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FA6FF">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hint="eastAsia" w:ascii="宋体"/>
          <w:b/>
          <w:color w:val="auto"/>
          <w:kern w:val="0"/>
          <w:sz w:val="52"/>
          <w:szCs w:val="52"/>
        </w:rPr>
      </w:pPr>
      <w:r>
        <w:rPr>
          <w:rFonts w:hint="eastAsia" w:ascii="宋体"/>
          <w:b/>
          <w:color w:val="auto"/>
          <w:kern w:val="0"/>
          <w:sz w:val="52"/>
          <w:szCs w:val="52"/>
        </w:rPr>
        <w:t xml:space="preserve"> </w:t>
      </w:r>
    </w:p>
    <w:p w14:paraId="378074E0">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rPr>
      </w:pPr>
      <w:r>
        <w:rPr>
          <w:rFonts w:hint="eastAsia" w:ascii="宋体"/>
          <w:b/>
          <w:color w:val="auto"/>
          <w:kern w:val="0"/>
          <w:sz w:val="52"/>
          <w:szCs w:val="52"/>
        </w:rPr>
        <w:t>玉环市政府采购招标文件</w:t>
      </w:r>
    </w:p>
    <w:p w14:paraId="72796367">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default" w:ascii="宋体" w:eastAsia="宋体"/>
          <w:b/>
          <w:color w:val="auto"/>
          <w:kern w:val="0"/>
          <w:sz w:val="32"/>
          <w:lang w:val="en-US" w:eastAsia="zh-CN"/>
        </w:rPr>
      </w:pPr>
      <w:r>
        <w:rPr>
          <w:rFonts w:hint="eastAsia" w:ascii="宋体"/>
          <w:color w:val="auto"/>
          <w:sz w:val="30"/>
          <w:szCs w:val="30"/>
        </w:rPr>
        <w:t>XLCG(YH)-202</w:t>
      </w:r>
      <w:r>
        <w:rPr>
          <w:rFonts w:hint="eastAsia" w:ascii="宋体"/>
          <w:color w:val="auto"/>
          <w:sz w:val="30"/>
          <w:szCs w:val="30"/>
          <w:lang w:val="en-US" w:eastAsia="zh-CN"/>
        </w:rPr>
        <w:t>5</w:t>
      </w:r>
      <w:r>
        <w:rPr>
          <w:rFonts w:hint="eastAsia" w:ascii="宋体"/>
          <w:color w:val="auto"/>
          <w:sz w:val="30"/>
          <w:szCs w:val="30"/>
        </w:rPr>
        <w:t>-0</w:t>
      </w:r>
      <w:r>
        <w:rPr>
          <w:rFonts w:hint="eastAsia" w:ascii="宋体"/>
          <w:color w:val="auto"/>
          <w:sz w:val="30"/>
          <w:szCs w:val="30"/>
          <w:lang w:val="en-US" w:eastAsia="zh-CN"/>
        </w:rPr>
        <w:t>23（重新）</w:t>
      </w:r>
    </w:p>
    <w:p w14:paraId="79AAB7E1">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24"/>
        </w:rPr>
      </w:pPr>
    </w:p>
    <w:p w14:paraId="610759D0">
      <w:pPr>
        <w:autoSpaceDE w:val="0"/>
        <w:autoSpaceDN w:val="0"/>
        <w:adjustRightInd w:val="0"/>
        <w:spacing w:line="360" w:lineRule="auto"/>
        <w:rPr>
          <w:rFonts w:ascii="宋体"/>
          <w:b/>
          <w:color w:val="auto"/>
          <w:kern w:val="0"/>
          <w:sz w:val="52"/>
          <w:szCs w:val="52"/>
        </w:rPr>
      </w:pPr>
    </w:p>
    <w:p w14:paraId="4763B2B3">
      <w:pPr>
        <w:autoSpaceDE w:val="0"/>
        <w:autoSpaceDN w:val="0"/>
        <w:adjustRightInd w:val="0"/>
        <w:spacing w:line="360" w:lineRule="auto"/>
        <w:ind w:firstLine="1797" w:firstLineChars="642"/>
        <w:jc w:val="left"/>
        <w:rPr>
          <w:rFonts w:ascii="宋体"/>
          <w:color w:val="auto"/>
          <w:kern w:val="0"/>
          <w:sz w:val="28"/>
        </w:rPr>
      </w:pPr>
    </w:p>
    <w:p w14:paraId="0566376F">
      <w:pPr>
        <w:autoSpaceDE w:val="0"/>
        <w:autoSpaceDN w:val="0"/>
        <w:adjustRightInd w:val="0"/>
        <w:spacing w:line="360" w:lineRule="auto"/>
        <w:ind w:firstLine="1797" w:firstLineChars="642"/>
        <w:jc w:val="left"/>
        <w:rPr>
          <w:rFonts w:ascii="宋体"/>
          <w:color w:val="auto"/>
          <w:kern w:val="0"/>
          <w:sz w:val="28"/>
        </w:rPr>
      </w:pPr>
    </w:p>
    <w:p w14:paraId="14F144AD">
      <w:pPr>
        <w:autoSpaceDE w:val="0"/>
        <w:autoSpaceDN w:val="0"/>
        <w:adjustRightInd w:val="0"/>
        <w:spacing w:line="360" w:lineRule="auto"/>
        <w:ind w:firstLine="1797" w:firstLineChars="642"/>
        <w:jc w:val="left"/>
        <w:rPr>
          <w:rFonts w:ascii="宋体"/>
          <w:color w:val="auto"/>
          <w:kern w:val="0"/>
          <w:sz w:val="28"/>
        </w:rPr>
      </w:pPr>
    </w:p>
    <w:p w14:paraId="2A27592A">
      <w:pPr>
        <w:autoSpaceDE w:val="0"/>
        <w:autoSpaceDN w:val="0"/>
        <w:adjustRightInd w:val="0"/>
        <w:spacing w:line="600" w:lineRule="auto"/>
        <w:ind w:left="2801" w:leftChars="667" w:hanging="1400" w:hangingChars="500"/>
        <w:rPr>
          <w:rFonts w:hint="eastAsia" w:ascii="宋体" w:eastAsia="宋体"/>
          <w:color w:val="auto"/>
          <w:kern w:val="0"/>
          <w:sz w:val="28"/>
          <w:lang w:eastAsia="zh-CN"/>
        </w:rPr>
      </w:pPr>
      <w:r>
        <w:rPr>
          <w:rFonts w:hint="eastAsia" w:ascii="宋体"/>
          <w:color w:val="auto"/>
          <w:kern w:val="0"/>
          <w:sz w:val="28"/>
        </w:rPr>
        <w:t>采购项目：</w:t>
      </w:r>
      <w:r>
        <w:rPr>
          <w:rFonts w:hint="eastAsia" w:ascii="宋体" w:hAnsi="Calibri" w:eastAsia="宋体" w:cs="Times New Roman"/>
          <w:color w:val="auto"/>
          <w:kern w:val="0"/>
          <w:sz w:val="28"/>
          <w:u w:val="single"/>
          <w:lang w:eastAsia="zh-CN"/>
        </w:rPr>
        <w:t>玉城中心幼儿园分园（金麟府配套幼儿园）配建工程-教玩具及家具采购项目</w:t>
      </w:r>
      <w:r>
        <w:rPr>
          <w:rFonts w:hint="eastAsia" w:ascii="宋体" w:hAnsi="Calibri" w:cs="Times New Roman"/>
          <w:color w:val="auto"/>
          <w:kern w:val="0"/>
          <w:sz w:val="28"/>
          <w:u w:val="single"/>
          <w:lang w:eastAsia="zh-CN"/>
        </w:rPr>
        <w:t>（</w:t>
      </w:r>
      <w:r>
        <w:rPr>
          <w:rFonts w:hint="eastAsia" w:ascii="宋体" w:hAnsi="Calibri" w:cs="Times New Roman"/>
          <w:color w:val="auto"/>
          <w:kern w:val="0"/>
          <w:sz w:val="28"/>
          <w:u w:val="single"/>
          <w:lang w:val="en-US" w:eastAsia="zh-CN"/>
        </w:rPr>
        <w:t>重新</w:t>
      </w:r>
      <w:r>
        <w:rPr>
          <w:rFonts w:hint="eastAsia" w:ascii="宋体" w:hAnsi="Calibri" w:cs="Times New Roman"/>
          <w:color w:val="auto"/>
          <w:kern w:val="0"/>
          <w:sz w:val="28"/>
          <w:u w:val="single"/>
          <w:lang w:eastAsia="zh-CN"/>
        </w:rPr>
        <w:t>）</w:t>
      </w:r>
    </w:p>
    <w:p w14:paraId="6D5502DD">
      <w:pPr>
        <w:autoSpaceDE w:val="0"/>
        <w:autoSpaceDN w:val="0"/>
        <w:adjustRightInd w:val="0"/>
        <w:spacing w:line="600" w:lineRule="auto"/>
        <w:ind w:firstLine="1400" w:firstLineChars="500"/>
        <w:rPr>
          <w:rFonts w:hint="eastAsia" w:ascii="宋体" w:eastAsia="宋体"/>
          <w:color w:val="auto"/>
          <w:kern w:val="0"/>
          <w:sz w:val="28"/>
          <w:lang w:eastAsia="zh-CN"/>
        </w:rPr>
      </w:pPr>
      <w:r>
        <w:rPr>
          <w:rFonts w:hint="eastAsia" w:ascii="宋体"/>
          <w:color w:val="auto"/>
          <w:kern w:val="0"/>
          <w:sz w:val="28"/>
        </w:rPr>
        <w:t>采 购 人：</w:t>
      </w:r>
      <w:r>
        <w:rPr>
          <w:rFonts w:hint="eastAsia" w:ascii="宋体"/>
          <w:color w:val="auto"/>
          <w:kern w:val="0"/>
          <w:sz w:val="28"/>
          <w:u w:val="single"/>
          <w:lang w:eastAsia="zh-CN"/>
        </w:rPr>
        <w:t>玉环市教育局</w:t>
      </w:r>
    </w:p>
    <w:p w14:paraId="2C6A0C76">
      <w:pPr>
        <w:autoSpaceDE w:val="0"/>
        <w:autoSpaceDN w:val="0"/>
        <w:adjustRightInd w:val="0"/>
        <w:spacing w:line="360" w:lineRule="auto"/>
        <w:rPr>
          <w:rFonts w:ascii="宋体"/>
          <w:color w:val="auto"/>
          <w:kern w:val="0"/>
          <w:sz w:val="28"/>
        </w:rPr>
      </w:pPr>
    </w:p>
    <w:p w14:paraId="025E649C">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rPr>
      </w:pPr>
    </w:p>
    <w:p w14:paraId="622ACD05">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rPr>
      </w:pPr>
    </w:p>
    <w:p w14:paraId="0E735DBE">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rPr>
      </w:pPr>
    </w:p>
    <w:p w14:paraId="0F9C1806">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rPr>
      </w:pPr>
    </w:p>
    <w:p w14:paraId="56036CD3">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rPr>
      </w:pPr>
    </w:p>
    <w:p w14:paraId="1C65F269">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rPr>
      </w:pPr>
    </w:p>
    <w:p w14:paraId="10B307E2">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26"/>
        <w:rPr>
          <w:rFonts w:ascii="宋体" w:cs="宋体"/>
          <w:color w:val="auto"/>
          <w:kern w:val="0"/>
          <w:sz w:val="28"/>
          <w:szCs w:val="28"/>
        </w:rPr>
      </w:pPr>
      <w:r>
        <w:rPr>
          <w:rFonts w:hint="eastAsia" w:ascii="宋体" w:hAnsi="宋体" w:cs="宋体"/>
          <w:color w:val="auto"/>
          <w:kern w:val="0"/>
          <w:sz w:val="28"/>
          <w:szCs w:val="28"/>
        </w:rPr>
        <w:t>采购代理机构名称：</w:t>
      </w:r>
      <w:r>
        <w:rPr>
          <w:rFonts w:hint="eastAsia" w:ascii="宋体" w:hAnsi="宋体" w:cs="宋体"/>
          <w:color w:val="auto"/>
          <w:kern w:val="0"/>
          <w:sz w:val="28"/>
          <w:szCs w:val="28"/>
          <w:u w:val="single"/>
        </w:rPr>
        <w:t>浙江协力工程管理咨询有限公司</w:t>
      </w:r>
    </w:p>
    <w:p w14:paraId="79A281CA">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cs="宋体"/>
          <w:color w:val="auto"/>
          <w:kern w:val="0"/>
          <w:sz w:val="28"/>
          <w:szCs w:val="28"/>
        </w:rPr>
      </w:pPr>
      <w:r>
        <w:rPr>
          <w:rFonts w:ascii="宋体" w:hAnsi="宋体"/>
          <w:color w:val="auto"/>
          <w:sz w:val="28"/>
          <w:szCs w:val="28"/>
        </w:rPr>
        <w:t>20</w:t>
      </w:r>
      <w:r>
        <w:rPr>
          <w:rFonts w:hint="eastAsia" w:ascii="宋体" w:hAnsi="宋体"/>
          <w:color w:val="auto"/>
          <w:sz w:val="28"/>
          <w:szCs w:val="28"/>
        </w:rPr>
        <w:t>2</w:t>
      </w:r>
      <w:r>
        <w:rPr>
          <w:rFonts w:hint="eastAsia" w:ascii="宋体" w:hAnsi="宋体"/>
          <w:color w:val="auto"/>
          <w:sz w:val="28"/>
          <w:szCs w:val="28"/>
          <w:lang w:val="en-US" w:eastAsia="zh-CN"/>
        </w:rPr>
        <w:t>5</w:t>
      </w:r>
      <w:r>
        <w:rPr>
          <w:rFonts w:hint="eastAsia" w:ascii="宋体" w:hAnsi="宋体" w:cs="宋体"/>
          <w:color w:val="auto"/>
          <w:kern w:val="0"/>
          <w:sz w:val="28"/>
          <w:szCs w:val="28"/>
        </w:rPr>
        <w:t>年</w:t>
      </w:r>
      <w:r>
        <w:rPr>
          <w:rFonts w:hint="eastAsia" w:ascii="宋体" w:hAnsi="宋体"/>
          <w:color w:val="auto"/>
          <w:sz w:val="28"/>
          <w:szCs w:val="28"/>
          <w:lang w:val="en-US" w:eastAsia="zh-CN"/>
        </w:rPr>
        <w:t>7</w:t>
      </w:r>
      <w:r>
        <w:rPr>
          <w:rFonts w:hint="eastAsia" w:ascii="宋体" w:hAnsi="宋体" w:cs="宋体"/>
          <w:color w:val="auto"/>
          <w:kern w:val="0"/>
          <w:sz w:val="28"/>
          <w:szCs w:val="28"/>
        </w:rPr>
        <w:t>月</w:t>
      </w:r>
      <w:r>
        <w:rPr>
          <w:rFonts w:ascii="宋体" w:hAnsi="宋体" w:cs="宋体"/>
          <w:color w:val="auto"/>
          <w:kern w:val="0"/>
          <w:sz w:val="28"/>
          <w:szCs w:val="28"/>
        </w:rPr>
        <w:t xml:space="preserve"> </w:t>
      </w:r>
    </w:p>
    <w:p w14:paraId="50565879">
      <w:pPr>
        <w:spacing w:line="360" w:lineRule="auto"/>
        <w:rPr>
          <w:color w:val="auto"/>
        </w:rPr>
        <w:sectPr>
          <w:headerReference r:id="rId5" w:type="first"/>
          <w:headerReference r:id="rId3" w:type="default"/>
          <w:headerReference r:id="rId4" w:type="even"/>
          <w:footerReference r:id="rId6" w:type="even"/>
          <w:pgSz w:w="11906" w:h="16838"/>
          <w:pgMar w:top="1440" w:right="1134" w:bottom="1440" w:left="1134" w:header="851" w:footer="992" w:gutter="0"/>
          <w:cols w:space="720" w:num="1"/>
          <w:docGrid w:type="lines" w:linePitch="312" w:charSpace="0"/>
        </w:sectPr>
      </w:pPr>
    </w:p>
    <w:p w14:paraId="079DB6D8">
      <w:pPr>
        <w:spacing w:line="360" w:lineRule="auto"/>
        <w:rPr>
          <w:color w:val="auto"/>
        </w:rPr>
      </w:pPr>
    </w:p>
    <w:p w14:paraId="70A70297">
      <w:pPr>
        <w:jc w:val="center"/>
        <w:rPr>
          <w:rFonts w:ascii="宋体" w:cs="Arial"/>
          <w:b/>
          <w:bCs/>
          <w:color w:val="auto"/>
          <w:sz w:val="36"/>
          <w:szCs w:val="36"/>
        </w:rPr>
      </w:pPr>
      <w:r>
        <w:rPr>
          <w:rFonts w:hint="eastAsia" w:ascii="宋体" w:hAnsi="宋体" w:cs="Arial"/>
          <w:b/>
          <w:bCs/>
          <w:color w:val="auto"/>
          <w:sz w:val="36"/>
          <w:szCs w:val="36"/>
        </w:rPr>
        <w:t>目</w:t>
      </w:r>
      <w:r>
        <w:rPr>
          <w:rFonts w:ascii="宋体" w:hAnsi="宋体" w:cs="Arial"/>
          <w:b/>
          <w:bCs/>
          <w:color w:val="auto"/>
          <w:sz w:val="36"/>
          <w:szCs w:val="36"/>
        </w:rPr>
        <w:t xml:space="preserve">    </w:t>
      </w:r>
      <w:r>
        <w:rPr>
          <w:rFonts w:hint="eastAsia" w:ascii="宋体" w:hAnsi="宋体" w:cs="Arial"/>
          <w:b/>
          <w:bCs/>
          <w:color w:val="auto"/>
          <w:sz w:val="36"/>
          <w:szCs w:val="36"/>
        </w:rPr>
        <w:t>录</w:t>
      </w:r>
    </w:p>
    <w:p w14:paraId="55921727">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b/>
          <w:color w:val="auto"/>
          <w:sz w:val="36"/>
        </w:rPr>
      </w:pPr>
    </w:p>
    <w:p w14:paraId="74D982D1">
      <w:pPr>
        <w:spacing w:line="360" w:lineRule="auto"/>
        <w:rPr>
          <w:rFonts w:ascii="新宋体" w:hAnsi="新宋体" w:eastAsia="新宋体"/>
          <w:color w:val="auto"/>
          <w:sz w:val="28"/>
          <w:szCs w:val="28"/>
        </w:rPr>
      </w:pPr>
    </w:p>
    <w:p w14:paraId="1A9B9663">
      <w:pPr>
        <w:numPr>
          <w:ilvl w:val="0"/>
          <w:numId w:val="3"/>
        </w:numPr>
        <w:spacing w:line="360" w:lineRule="auto"/>
        <w:rPr>
          <w:rFonts w:ascii="宋体"/>
          <w:b/>
          <w:color w:val="auto"/>
          <w:sz w:val="28"/>
          <w:szCs w:val="28"/>
        </w:rPr>
      </w:pPr>
      <w:r>
        <w:rPr>
          <w:rFonts w:hint="eastAsia" w:ascii="宋体" w:hAnsi="宋体"/>
          <w:b/>
          <w:color w:val="auto"/>
          <w:sz w:val="28"/>
          <w:szCs w:val="28"/>
        </w:rPr>
        <w:t>公开招标采购公告</w:t>
      </w:r>
    </w:p>
    <w:p w14:paraId="1DB050DB">
      <w:pPr>
        <w:numPr>
          <w:ilvl w:val="0"/>
          <w:numId w:val="3"/>
        </w:numPr>
        <w:spacing w:line="360" w:lineRule="auto"/>
        <w:rPr>
          <w:rFonts w:ascii="宋体"/>
          <w:b/>
          <w:color w:val="auto"/>
          <w:sz w:val="28"/>
          <w:szCs w:val="28"/>
        </w:rPr>
      </w:pPr>
      <w:r>
        <w:rPr>
          <w:rFonts w:hint="eastAsia" w:ascii="宋体" w:hAnsi="宋体"/>
          <w:b/>
          <w:color w:val="auto"/>
          <w:sz w:val="28"/>
          <w:szCs w:val="28"/>
        </w:rPr>
        <w:t>投标人须知</w:t>
      </w:r>
    </w:p>
    <w:p w14:paraId="44854CED">
      <w:pPr>
        <w:numPr>
          <w:ilvl w:val="0"/>
          <w:numId w:val="3"/>
        </w:numPr>
        <w:spacing w:line="360" w:lineRule="auto"/>
        <w:rPr>
          <w:rFonts w:ascii="宋体"/>
          <w:b/>
          <w:color w:val="auto"/>
          <w:sz w:val="28"/>
          <w:szCs w:val="28"/>
        </w:rPr>
      </w:pPr>
      <w:r>
        <w:rPr>
          <w:rFonts w:hint="eastAsia" w:ascii="宋体" w:hAnsi="宋体"/>
          <w:b/>
          <w:color w:val="auto"/>
          <w:sz w:val="28"/>
          <w:szCs w:val="28"/>
        </w:rPr>
        <w:t>评标办法及评分标准</w:t>
      </w:r>
    </w:p>
    <w:p w14:paraId="2BCEB897">
      <w:pPr>
        <w:numPr>
          <w:ilvl w:val="0"/>
          <w:numId w:val="3"/>
        </w:numPr>
        <w:spacing w:line="360" w:lineRule="auto"/>
        <w:rPr>
          <w:rFonts w:ascii="宋体"/>
          <w:b/>
          <w:color w:val="auto"/>
          <w:sz w:val="28"/>
          <w:szCs w:val="28"/>
        </w:rPr>
      </w:pPr>
      <w:r>
        <w:rPr>
          <w:rFonts w:hint="eastAsia" w:ascii="宋体" w:hAnsi="宋体"/>
          <w:b/>
          <w:color w:val="auto"/>
          <w:sz w:val="28"/>
          <w:szCs w:val="28"/>
        </w:rPr>
        <w:t>公开招标需求</w:t>
      </w:r>
    </w:p>
    <w:p w14:paraId="5FBFF74E">
      <w:pPr>
        <w:numPr>
          <w:ilvl w:val="0"/>
          <w:numId w:val="3"/>
        </w:numPr>
        <w:spacing w:line="360" w:lineRule="auto"/>
        <w:rPr>
          <w:rFonts w:ascii="宋体"/>
          <w:b/>
          <w:color w:val="auto"/>
          <w:sz w:val="28"/>
          <w:szCs w:val="28"/>
        </w:rPr>
      </w:pPr>
      <w:r>
        <w:rPr>
          <w:rFonts w:hint="eastAsia" w:ascii="宋体" w:hAnsi="宋体"/>
          <w:b/>
          <w:color w:val="auto"/>
          <w:sz w:val="28"/>
          <w:szCs w:val="28"/>
        </w:rPr>
        <w:t>政府采购合同主要条款指引</w:t>
      </w:r>
    </w:p>
    <w:p w14:paraId="000A6B8D">
      <w:pPr>
        <w:numPr>
          <w:ilvl w:val="0"/>
          <w:numId w:val="3"/>
        </w:numPr>
        <w:spacing w:line="360" w:lineRule="auto"/>
        <w:rPr>
          <w:rFonts w:ascii="宋体"/>
          <w:b/>
          <w:color w:val="auto"/>
          <w:sz w:val="28"/>
          <w:szCs w:val="28"/>
        </w:rPr>
      </w:pPr>
      <w:r>
        <w:rPr>
          <w:rFonts w:hint="eastAsia" w:ascii="宋体" w:hAnsi="宋体"/>
          <w:b/>
          <w:color w:val="auto"/>
          <w:sz w:val="28"/>
          <w:szCs w:val="28"/>
        </w:rPr>
        <w:t>投标文件格式附件</w:t>
      </w:r>
    </w:p>
    <w:p w14:paraId="3A4EBF03">
      <w:pPr>
        <w:spacing w:line="360" w:lineRule="auto"/>
        <w:rPr>
          <w:color w:val="auto"/>
        </w:rPr>
      </w:pPr>
    </w:p>
    <w:p w14:paraId="637787C7">
      <w:pPr>
        <w:spacing w:line="360" w:lineRule="auto"/>
        <w:rPr>
          <w:color w:val="auto"/>
        </w:rPr>
      </w:pPr>
    </w:p>
    <w:p w14:paraId="1275D51A">
      <w:pPr>
        <w:spacing w:line="360" w:lineRule="auto"/>
        <w:rPr>
          <w:color w:val="auto"/>
        </w:rPr>
      </w:pPr>
    </w:p>
    <w:p w14:paraId="1F784768">
      <w:pPr>
        <w:spacing w:line="360" w:lineRule="auto"/>
        <w:rPr>
          <w:color w:val="auto"/>
        </w:rPr>
      </w:pPr>
    </w:p>
    <w:p w14:paraId="1634F1DD">
      <w:pPr>
        <w:spacing w:line="360" w:lineRule="auto"/>
        <w:rPr>
          <w:color w:val="auto"/>
        </w:rPr>
      </w:pPr>
    </w:p>
    <w:p w14:paraId="0C18FD58">
      <w:pPr>
        <w:spacing w:line="360" w:lineRule="auto"/>
        <w:rPr>
          <w:color w:val="auto"/>
        </w:rPr>
      </w:pPr>
    </w:p>
    <w:p w14:paraId="041D72A7">
      <w:pPr>
        <w:spacing w:line="360" w:lineRule="auto"/>
        <w:rPr>
          <w:color w:val="auto"/>
        </w:rPr>
      </w:pPr>
    </w:p>
    <w:p w14:paraId="66786292">
      <w:pPr>
        <w:spacing w:line="360" w:lineRule="auto"/>
        <w:rPr>
          <w:color w:val="auto"/>
        </w:rPr>
      </w:pPr>
    </w:p>
    <w:p w14:paraId="2C933E84">
      <w:pPr>
        <w:spacing w:line="360" w:lineRule="auto"/>
        <w:rPr>
          <w:color w:val="auto"/>
        </w:rPr>
      </w:pPr>
    </w:p>
    <w:p w14:paraId="62815585">
      <w:pPr>
        <w:spacing w:line="360" w:lineRule="auto"/>
        <w:rPr>
          <w:color w:val="auto"/>
        </w:rPr>
      </w:pPr>
    </w:p>
    <w:p w14:paraId="1622389A">
      <w:pPr>
        <w:spacing w:line="360" w:lineRule="auto"/>
        <w:rPr>
          <w:color w:val="auto"/>
        </w:rPr>
      </w:pPr>
    </w:p>
    <w:p w14:paraId="03FBAE08">
      <w:pPr>
        <w:spacing w:line="360" w:lineRule="auto"/>
        <w:rPr>
          <w:color w:val="auto"/>
        </w:rPr>
      </w:pPr>
    </w:p>
    <w:p w14:paraId="7C70FCCF">
      <w:pPr>
        <w:spacing w:line="360" w:lineRule="auto"/>
        <w:rPr>
          <w:color w:val="auto"/>
        </w:rPr>
      </w:pPr>
    </w:p>
    <w:p w14:paraId="38D9E017">
      <w:pPr>
        <w:spacing w:line="360" w:lineRule="auto"/>
        <w:rPr>
          <w:rFonts w:hint="eastAsia"/>
          <w:color w:val="auto"/>
        </w:rPr>
      </w:pPr>
    </w:p>
    <w:p w14:paraId="55E6D73C">
      <w:pPr>
        <w:spacing w:line="360" w:lineRule="auto"/>
        <w:rPr>
          <w:color w:val="auto"/>
        </w:rPr>
      </w:pPr>
    </w:p>
    <w:p w14:paraId="12E77CA2">
      <w:pPr>
        <w:spacing w:line="360" w:lineRule="auto"/>
        <w:rPr>
          <w:color w:val="auto"/>
        </w:rPr>
      </w:pPr>
    </w:p>
    <w:p w14:paraId="1509D485">
      <w:pPr>
        <w:tabs>
          <w:tab w:val="left" w:pos="180"/>
          <w:tab w:val="left" w:pos="360"/>
          <w:tab w:val="left" w:pos="540"/>
          <w:tab w:val="left" w:pos="8280"/>
        </w:tabs>
        <w:autoSpaceDE w:val="0"/>
        <w:autoSpaceDN w:val="0"/>
        <w:adjustRightInd w:val="0"/>
        <w:spacing w:line="360" w:lineRule="auto"/>
        <w:ind w:right="23"/>
        <w:jc w:val="center"/>
        <w:rPr>
          <w:rFonts w:hint="eastAsia" w:ascii="宋体" w:hAnsi="宋体"/>
          <w:b/>
          <w:color w:val="auto"/>
          <w:sz w:val="30"/>
          <w:szCs w:val="30"/>
        </w:rPr>
      </w:pPr>
      <w:r>
        <w:rPr>
          <w:rFonts w:hint="eastAsia" w:ascii="宋体" w:hAnsi="宋体"/>
          <w:b/>
          <w:color w:val="auto"/>
          <w:kern w:val="0"/>
          <w:sz w:val="30"/>
          <w:szCs w:val="30"/>
        </w:rPr>
        <w:t>第一章</w:t>
      </w:r>
      <w:r>
        <w:rPr>
          <w:rFonts w:ascii="宋体" w:hAnsi="宋体"/>
          <w:b/>
          <w:color w:val="auto"/>
          <w:kern w:val="0"/>
          <w:sz w:val="30"/>
          <w:szCs w:val="30"/>
        </w:rPr>
        <w:t xml:space="preserve">  </w:t>
      </w:r>
      <w:r>
        <w:rPr>
          <w:rFonts w:hint="eastAsia" w:ascii="宋体" w:hAnsi="宋体"/>
          <w:b/>
          <w:color w:val="auto"/>
          <w:kern w:val="0"/>
          <w:sz w:val="30"/>
          <w:szCs w:val="30"/>
        </w:rPr>
        <w:t>公开</w:t>
      </w:r>
      <w:r>
        <w:rPr>
          <w:rFonts w:hint="eastAsia" w:ascii="宋体" w:hAnsi="宋体"/>
          <w:b/>
          <w:color w:val="auto"/>
          <w:sz w:val="30"/>
          <w:szCs w:val="30"/>
        </w:rPr>
        <w:t>招标采购公告</w:t>
      </w:r>
    </w:p>
    <w:p w14:paraId="3FAF8405">
      <w:pPr>
        <w:rPr>
          <w:rFonts w:ascii="宋体" w:hAnsi="宋体"/>
          <w:b/>
          <w:bCs/>
          <w:color w:val="auto"/>
          <w:sz w:val="30"/>
          <w:szCs w:val="30"/>
        </w:rPr>
      </w:pPr>
    </w:p>
    <w:tbl>
      <w:tblPr>
        <w:tblStyle w:val="22"/>
        <w:tblW w:w="9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5"/>
      </w:tblGrid>
      <w:tr w14:paraId="6D8E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9765" w:type="dxa"/>
            <w:noWrap w:val="0"/>
            <w:vAlign w:val="top"/>
          </w:tcPr>
          <w:p w14:paraId="50B6ACC0">
            <w:pPr>
              <w:spacing w:line="360" w:lineRule="auto"/>
              <w:rPr>
                <w:rFonts w:hint="eastAsia" w:ascii="宋体" w:hAnsi="宋体"/>
                <w:color w:val="auto"/>
                <w:szCs w:val="21"/>
              </w:rPr>
            </w:pPr>
            <w:r>
              <w:rPr>
                <w:rFonts w:hint="eastAsia" w:ascii="宋体" w:hAnsi="宋体"/>
                <w:color w:val="auto"/>
                <w:szCs w:val="21"/>
              </w:rPr>
              <w:t>项目概况:</w:t>
            </w:r>
          </w:p>
          <w:p w14:paraId="38DD018E">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hint="eastAsia" w:ascii="宋体" w:hAnsi="宋体"/>
                <w:color w:val="auto"/>
                <w:kern w:val="0"/>
                <w:sz w:val="21"/>
                <w:szCs w:val="21"/>
                <w:lang w:eastAsia="zh-CN"/>
              </w:rPr>
              <w:t>玉城中心幼儿园分园（金麟府配套幼儿园）配建工程-教玩具及家具采购项目（</w:t>
            </w:r>
            <w:r>
              <w:rPr>
                <w:rFonts w:hint="eastAsia" w:ascii="宋体" w:hAnsi="宋体"/>
                <w:color w:val="auto"/>
                <w:kern w:val="0"/>
                <w:sz w:val="21"/>
                <w:szCs w:val="21"/>
                <w:lang w:val="en-US" w:eastAsia="zh-CN"/>
              </w:rPr>
              <w:t>重新</w:t>
            </w:r>
            <w:r>
              <w:rPr>
                <w:rFonts w:hint="eastAsia" w:ascii="宋体" w:hAnsi="宋体"/>
                <w:color w:val="auto"/>
                <w:kern w:val="0"/>
                <w:sz w:val="21"/>
                <w:szCs w:val="21"/>
                <w:lang w:eastAsia="zh-CN"/>
              </w:rPr>
              <w:t>）</w:t>
            </w:r>
            <w:r>
              <w:rPr>
                <w:rFonts w:hint="eastAsia" w:ascii="宋体" w:hAnsi="宋体"/>
                <w:color w:val="auto"/>
                <w:szCs w:val="21"/>
                <w:highlight w:val="none"/>
              </w:rPr>
              <w:t>的潜在供应商应在政采云平台线上获取获取（下载）采购文件，并于2025年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 09:30（北京时间）前提交（上传）响应文件。</w:t>
            </w:r>
          </w:p>
        </w:tc>
      </w:tr>
    </w:tbl>
    <w:p w14:paraId="60122395">
      <w:pPr>
        <w:spacing w:line="360" w:lineRule="auto"/>
        <w:rPr>
          <w:rFonts w:ascii="宋体" w:hAnsi="宋体"/>
          <w:b/>
          <w:color w:val="auto"/>
          <w:szCs w:val="21"/>
        </w:rPr>
      </w:pPr>
      <w:r>
        <w:rPr>
          <w:rFonts w:hint="eastAsia" w:ascii="宋体" w:hAnsi="宋体"/>
          <w:b/>
          <w:color w:val="auto"/>
          <w:szCs w:val="21"/>
        </w:rPr>
        <w:t>一、项目基本情况</w:t>
      </w:r>
    </w:p>
    <w:p w14:paraId="6E1CA183">
      <w:pPr>
        <w:spacing w:line="360" w:lineRule="auto"/>
        <w:rPr>
          <w:rFonts w:hint="default" w:ascii="宋体" w:hAnsi="宋体" w:eastAsia="宋体"/>
          <w:color w:val="auto"/>
          <w:szCs w:val="21"/>
          <w:lang w:val="en-US" w:eastAsia="zh-CN"/>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项目编号：XLCG(YH)-20</w:t>
      </w:r>
      <w:r>
        <w:rPr>
          <w:rFonts w:hint="eastAsia" w:ascii="宋体" w:hAnsi="宋体"/>
          <w:color w:val="auto"/>
          <w:szCs w:val="21"/>
          <w:lang w:val="en-US" w:eastAsia="zh-CN"/>
        </w:rPr>
        <w:t>25</w:t>
      </w:r>
      <w:r>
        <w:rPr>
          <w:rFonts w:hint="eastAsia" w:ascii="宋体" w:hAnsi="宋体"/>
          <w:color w:val="auto"/>
          <w:szCs w:val="21"/>
        </w:rPr>
        <w:t>-0</w:t>
      </w:r>
      <w:r>
        <w:rPr>
          <w:rFonts w:hint="eastAsia" w:ascii="宋体" w:hAnsi="宋体"/>
          <w:color w:val="auto"/>
          <w:szCs w:val="21"/>
          <w:lang w:val="en-US" w:eastAsia="zh-CN"/>
        </w:rPr>
        <w:t>23</w:t>
      </w:r>
      <w:r>
        <w:rPr>
          <w:rFonts w:hint="eastAsia" w:ascii="宋体" w:hAnsi="宋体"/>
          <w:color w:val="auto"/>
          <w:kern w:val="0"/>
          <w:sz w:val="21"/>
          <w:szCs w:val="21"/>
          <w:lang w:eastAsia="zh-CN"/>
        </w:rPr>
        <w:t>（</w:t>
      </w:r>
      <w:r>
        <w:rPr>
          <w:rFonts w:hint="eastAsia" w:ascii="宋体" w:hAnsi="宋体"/>
          <w:color w:val="auto"/>
          <w:kern w:val="0"/>
          <w:sz w:val="21"/>
          <w:szCs w:val="21"/>
          <w:lang w:val="en-US" w:eastAsia="zh-CN"/>
        </w:rPr>
        <w:t>重新</w:t>
      </w:r>
      <w:r>
        <w:rPr>
          <w:rFonts w:hint="eastAsia" w:ascii="宋体" w:hAnsi="宋体"/>
          <w:color w:val="auto"/>
          <w:kern w:val="0"/>
          <w:sz w:val="21"/>
          <w:szCs w:val="21"/>
          <w:lang w:eastAsia="zh-CN"/>
        </w:rPr>
        <w:t>）</w:t>
      </w:r>
    </w:p>
    <w:p w14:paraId="540C4E20">
      <w:pPr>
        <w:spacing w:line="360" w:lineRule="auto"/>
        <w:rPr>
          <w:rFonts w:hint="eastAsia" w:ascii="宋体" w:hAnsi="宋体"/>
          <w:color w:val="auto"/>
          <w:szCs w:val="21"/>
          <w:lang w:eastAsia="zh-CN"/>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项目名称：</w:t>
      </w:r>
      <w:r>
        <w:rPr>
          <w:rFonts w:hint="eastAsia" w:ascii="宋体" w:hAnsi="宋体"/>
          <w:color w:val="auto"/>
          <w:kern w:val="0"/>
          <w:sz w:val="21"/>
          <w:szCs w:val="21"/>
          <w:lang w:eastAsia="zh-CN"/>
        </w:rPr>
        <w:t>玉城中心幼儿园分园（金麟府配套幼儿园）配建工程-教玩具及家具采购项目（</w:t>
      </w:r>
      <w:r>
        <w:rPr>
          <w:rFonts w:hint="eastAsia" w:ascii="宋体" w:hAnsi="宋体"/>
          <w:color w:val="auto"/>
          <w:kern w:val="0"/>
          <w:sz w:val="21"/>
          <w:szCs w:val="21"/>
          <w:lang w:val="en-US" w:eastAsia="zh-CN"/>
        </w:rPr>
        <w:t>重新</w:t>
      </w:r>
      <w:r>
        <w:rPr>
          <w:rFonts w:hint="eastAsia" w:ascii="宋体" w:hAnsi="宋体"/>
          <w:color w:val="auto"/>
          <w:kern w:val="0"/>
          <w:sz w:val="21"/>
          <w:szCs w:val="21"/>
          <w:lang w:eastAsia="zh-CN"/>
        </w:rPr>
        <w:t>）</w:t>
      </w:r>
    </w:p>
    <w:p w14:paraId="214C6434">
      <w:pPr>
        <w:spacing w:line="360" w:lineRule="auto"/>
        <w:rPr>
          <w:rFonts w:hint="eastAsia" w:ascii="宋体" w:hAnsi="宋体" w:eastAsia="宋体"/>
          <w:color w:val="auto"/>
          <w:szCs w:val="21"/>
          <w:lang w:eastAsia="zh-CN"/>
        </w:rPr>
      </w:pPr>
      <w:r>
        <w:rPr>
          <w:rFonts w:hint="eastAsia" w:ascii="宋体" w:hAnsi="宋体"/>
          <w:color w:val="auto"/>
          <w:szCs w:val="21"/>
          <w:lang w:val="en-US" w:eastAsia="zh-CN"/>
        </w:rPr>
        <w:t xml:space="preserve">    </w:t>
      </w:r>
      <w:r>
        <w:rPr>
          <w:rFonts w:hint="eastAsia"/>
          <w:color w:val="auto"/>
          <w:highlight w:val="none"/>
        </w:rPr>
        <w:t>采购方式：</w:t>
      </w:r>
      <w:r>
        <w:rPr>
          <w:rFonts w:hint="eastAsia"/>
          <w:color w:val="auto"/>
          <w:highlight w:val="none"/>
          <w:lang w:eastAsia="zh-CN"/>
        </w:rPr>
        <w:t>公开招标</w:t>
      </w:r>
      <w:r>
        <w:rPr>
          <w:rFonts w:hint="eastAsia" w:ascii="宋体" w:hAnsi="宋体"/>
          <w:color w:val="auto"/>
          <w:szCs w:val="21"/>
          <w:lang w:eastAsia="zh-CN"/>
        </w:rPr>
        <w:t xml:space="preserve"> </w:t>
      </w:r>
    </w:p>
    <w:p w14:paraId="7BB45D94">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预算金额（元）：</w:t>
      </w:r>
      <w:r>
        <w:rPr>
          <w:rFonts w:hint="eastAsia" w:ascii="宋体" w:hAnsi="宋体" w:cs="宋体"/>
          <w:bCs/>
          <w:color w:val="auto"/>
          <w:kern w:val="0"/>
          <w:sz w:val="21"/>
          <w:szCs w:val="21"/>
          <w:lang w:val="en-US" w:eastAsia="zh-CN"/>
        </w:rPr>
        <w:t>1440035</w:t>
      </w:r>
      <w:r>
        <w:rPr>
          <w:rFonts w:hint="eastAsia" w:ascii="宋体" w:hAnsi="宋体"/>
          <w:color w:val="auto"/>
          <w:szCs w:val="21"/>
        </w:rPr>
        <w:t>；</w:t>
      </w:r>
    </w:p>
    <w:p w14:paraId="7E4E67A5">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最高限价（元）：</w:t>
      </w:r>
      <w:r>
        <w:rPr>
          <w:rFonts w:hint="eastAsia" w:ascii="宋体" w:hAnsi="宋体" w:cs="宋体"/>
          <w:bCs/>
          <w:color w:val="auto"/>
          <w:kern w:val="0"/>
          <w:sz w:val="21"/>
          <w:szCs w:val="21"/>
          <w:lang w:val="en-US" w:eastAsia="zh-CN"/>
        </w:rPr>
        <w:t>1440035</w:t>
      </w:r>
      <w:r>
        <w:rPr>
          <w:rFonts w:hint="eastAsia" w:ascii="宋体" w:hAnsi="宋体"/>
          <w:color w:val="auto"/>
          <w:szCs w:val="21"/>
        </w:rPr>
        <w:t>。</w:t>
      </w:r>
    </w:p>
    <w:p w14:paraId="42BAAE59">
      <w:pPr>
        <w:spacing w:line="360" w:lineRule="auto"/>
        <w:rPr>
          <w:rFonts w:hint="eastAsia" w:ascii="宋体" w:hAnsi="宋体"/>
          <w:color w:val="auto"/>
          <w:szCs w:val="21"/>
          <w:lang w:eastAsia="zh-CN"/>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采购需求：</w:t>
      </w:r>
      <w:r>
        <w:rPr>
          <w:rFonts w:hint="eastAsia" w:ascii="宋体" w:hAnsi="宋体"/>
          <w:color w:val="auto"/>
          <w:kern w:val="0"/>
          <w:sz w:val="21"/>
          <w:szCs w:val="21"/>
          <w:lang w:eastAsia="zh-CN"/>
        </w:rPr>
        <w:t>玉城中心幼儿园分园（金麟府配套幼儿园）配建工程-教玩具及家具采购项目（</w:t>
      </w:r>
      <w:r>
        <w:rPr>
          <w:rFonts w:hint="eastAsia" w:ascii="宋体" w:hAnsi="宋体"/>
          <w:color w:val="auto"/>
          <w:kern w:val="0"/>
          <w:sz w:val="21"/>
          <w:szCs w:val="21"/>
          <w:lang w:val="en-US" w:eastAsia="zh-CN"/>
        </w:rPr>
        <w:t>重新</w:t>
      </w:r>
      <w:r>
        <w:rPr>
          <w:rFonts w:hint="eastAsia" w:ascii="宋体" w:hAnsi="宋体"/>
          <w:color w:val="auto"/>
          <w:kern w:val="0"/>
          <w:sz w:val="21"/>
          <w:szCs w:val="21"/>
          <w:lang w:eastAsia="zh-CN"/>
        </w:rPr>
        <w:t>）</w:t>
      </w:r>
    </w:p>
    <w:p w14:paraId="69FFABAB">
      <w:pPr>
        <w:widowControl/>
        <w:autoSpaceDE w:val="0"/>
        <w:autoSpaceDN w:val="0"/>
        <w:adjustRightInd w:val="0"/>
        <w:spacing w:line="460" w:lineRule="atLeast"/>
        <w:ind w:firstLine="420" w:firstLineChars="200"/>
        <w:textAlignment w:val="bottom"/>
        <w:rPr>
          <w:rFonts w:ascii="宋体" w:hAnsi="宋体" w:cs="宋体"/>
          <w:bCs/>
          <w:color w:val="auto"/>
          <w:kern w:val="0"/>
          <w:sz w:val="21"/>
          <w:szCs w:val="21"/>
        </w:rPr>
      </w:pPr>
      <w:r>
        <w:rPr>
          <w:rFonts w:hint="eastAsia" w:ascii="宋体" w:hAnsi="宋体" w:cs="宋体"/>
          <w:bCs/>
          <w:color w:val="auto"/>
          <w:kern w:val="0"/>
          <w:sz w:val="21"/>
          <w:szCs w:val="21"/>
        </w:rPr>
        <w:t>标项一:</w:t>
      </w:r>
    </w:p>
    <w:p w14:paraId="199C680A">
      <w:pPr>
        <w:spacing w:line="360" w:lineRule="auto"/>
        <w:ind w:firstLine="420" w:firstLineChars="200"/>
        <w:rPr>
          <w:rFonts w:hint="eastAsia" w:ascii="宋体" w:hAnsi="宋体" w:eastAsia="宋体"/>
          <w:color w:val="auto"/>
          <w:szCs w:val="21"/>
          <w:lang w:eastAsia="zh-CN"/>
        </w:rPr>
      </w:pPr>
      <w:r>
        <w:rPr>
          <w:rFonts w:hint="eastAsia" w:ascii="宋体" w:hAnsi="宋体" w:cs="宋体"/>
          <w:bCs/>
          <w:color w:val="auto"/>
          <w:kern w:val="0"/>
          <w:sz w:val="21"/>
          <w:szCs w:val="21"/>
        </w:rPr>
        <w:t>标项名称:</w:t>
      </w:r>
      <w:r>
        <w:rPr>
          <w:rFonts w:ascii="宋体" w:hAnsi="宋体" w:cs="宋体"/>
          <w:bCs/>
          <w:color w:val="auto"/>
          <w:kern w:val="0"/>
          <w:sz w:val="21"/>
          <w:szCs w:val="21"/>
        </w:rPr>
        <w:t> </w:t>
      </w:r>
      <w:r>
        <w:rPr>
          <w:rFonts w:hint="eastAsia" w:ascii="宋体" w:hAnsi="宋体"/>
          <w:color w:val="auto"/>
          <w:kern w:val="0"/>
          <w:sz w:val="21"/>
          <w:szCs w:val="21"/>
          <w:lang w:eastAsia="zh-CN"/>
        </w:rPr>
        <w:t>玉城中心幼儿园分园（金麟府配套幼儿园）配建工程-教玩具及家具采购项目（</w:t>
      </w:r>
      <w:r>
        <w:rPr>
          <w:rFonts w:hint="eastAsia" w:ascii="宋体" w:hAnsi="宋体"/>
          <w:color w:val="auto"/>
          <w:kern w:val="0"/>
          <w:sz w:val="21"/>
          <w:szCs w:val="21"/>
          <w:lang w:val="en-US" w:eastAsia="zh-CN"/>
        </w:rPr>
        <w:t>重新</w:t>
      </w:r>
      <w:r>
        <w:rPr>
          <w:rFonts w:hint="eastAsia" w:ascii="宋体" w:hAnsi="宋体"/>
          <w:color w:val="auto"/>
          <w:kern w:val="0"/>
          <w:sz w:val="21"/>
          <w:szCs w:val="21"/>
          <w:lang w:eastAsia="zh-CN"/>
        </w:rPr>
        <w:t>）</w:t>
      </w:r>
    </w:p>
    <w:p w14:paraId="222BB124">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数量:1；</w:t>
      </w:r>
      <w:r>
        <w:rPr>
          <w:rFonts w:ascii="宋体" w:hAnsi="宋体"/>
          <w:color w:val="auto"/>
          <w:szCs w:val="21"/>
        </w:rPr>
        <w:t>  </w:t>
      </w:r>
    </w:p>
    <w:p w14:paraId="2D0EDD80">
      <w:pPr>
        <w:spacing w:line="360" w:lineRule="auto"/>
        <w:rPr>
          <w:rFonts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预算金额（元）:</w:t>
      </w:r>
      <w:r>
        <w:rPr>
          <w:rFonts w:hint="eastAsia" w:ascii="宋体" w:hAnsi="宋体" w:cs="宋体"/>
          <w:bCs/>
          <w:color w:val="auto"/>
          <w:kern w:val="0"/>
          <w:sz w:val="21"/>
          <w:szCs w:val="21"/>
          <w:lang w:val="en-US" w:eastAsia="zh-CN"/>
        </w:rPr>
        <w:t>1440035</w:t>
      </w:r>
      <w:r>
        <w:rPr>
          <w:rFonts w:hint="eastAsia" w:ascii="宋体" w:hAnsi="宋体"/>
          <w:color w:val="auto"/>
          <w:szCs w:val="21"/>
        </w:rPr>
        <w:t>；</w:t>
      </w:r>
      <w:r>
        <w:rPr>
          <w:rFonts w:ascii="宋体" w:hAnsi="宋体"/>
          <w:color w:val="auto"/>
          <w:szCs w:val="21"/>
        </w:rPr>
        <w:t> </w:t>
      </w:r>
    </w:p>
    <w:p w14:paraId="20AFC293">
      <w:pPr>
        <w:pStyle w:val="21"/>
        <w:ind w:firstLine="420" w:firstLineChars="200"/>
        <w:rPr>
          <w:rFonts w:hint="eastAsia"/>
          <w:color w:val="auto"/>
        </w:rPr>
      </w:pPr>
      <w:r>
        <w:rPr>
          <w:rFonts w:hint="eastAsia" w:ascii="宋体" w:hAnsi="宋体"/>
          <w:color w:val="auto"/>
          <w:szCs w:val="21"/>
          <w:highlight w:val="none"/>
        </w:rPr>
        <w:t>单位：项</w:t>
      </w:r>
    </w:p>
    <w:p w14:paraId="52E9E56A">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简要规格描述或项目基本概况介绍、用途：详见采购文件。</w:t>
      </w:r>
      <w:r>
        <w:rPr>
          <w:rFonts w:ascii="宋体" w:hAnsi="宋体"/>
          <w:color w:val="auto"/>
          <w:szCs w:val="21"/>
        </w:rPr>
        <w:t> </w:t>
      </w:r>
    </w:p>
    <w:p w14:paraId="73128717">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备注：</w:t>
      </w:r>
      <w:r>
        <w:rPr>
          <w:rFonts w:ascii="宋体" w:hAnsi="宋体"/>
          <w:color w:val="auto"/>
          <w:szCs w:val="21"/>
        </w:rPr>
        <w:t> </w:t>
      </w:r>
    </w:p>
    <w:p w14:paraId="1B33A2B1">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合同履约期限：从合同签订之日起至合同内容全部履行完成为止。</w:t>
      </w:r>
    </w:p>
    <w:p w14:paraId="22EE1563">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本项目</w:t>
      </w:r>
      <w:r>
        <w:rPr>
          <w:rFonts w:hint="eastAsia" w:ascii="宋体" w:hAnsi="宋体" w:cs="宋体"/>
          <w:bCs/>
          <w:color w:val="auto"/>
          <w:kern w:val="0"/>
          <w:sz w:val="21"/>
          <w:szCs w:val="21"/>
        </w:rPr>
        <w:t>（否）</w:t>
      </w:r>
      <w:r>
        <w:rPr>
          <w:rFonts w:hint="eastAsia" w:ascii="宋体" w:hAnsi="宋体"/>
          <w:color w:val="auto"/>
          <w:szCs w:val="21"/>
        </w:rPr>
        <w:t>接受联合体投标。</w:t>
      </w:r>
    </w:p>
    <w:p w14:paraId="148CC6EA">
      <w:pPr>
        <w:spacing w:line="360" w:lineRule="auto"/>
        <w:rPr>
          <w:rFonts w:ascii="宋体" w:hAnsi="宋体"/>
          <w:b/>
          <w:color w:val="auto"/>
          <w:szCs w:val="21"/>
        </w:rPr>
      </w:pPr>
      <w:r>
        <w:rPr>
          <w:rFonts w:hint="eastAsia" w:ascii="宋体" w:hAnsi="宋体"/>
          <w:b/>
          <w:color w:val="auto"/>
          <w:szCs w:val="21"/>
        </w:rPr>
        <w:t>二、申请人的资格要求：</w:t>
      </w:r>
    </w:p>
    <w:p w14:paraId="616A58AB">
      <w:pPr>
        <w:spacing w:line="360" w:lineRule="auto"/>
        <w:ind w:firstLine="420" w:firstLineChars="200"/>
        <w:rPr>
          <w:rFonts w:hint="eastAsia" w:ascii="宋体" w:hAnsi="宋体"/>
          <w:color w:val="auto"/>
          <w:szCs w:val="21"/>
        </w:rPr>
      </w:pPr>
      <w:r>
        <w:rPr>
          <w:rFonts w:hint="eastAsia" w:ascii="宋体" w:hAnsi="宋体"/>
          <w:color w:val="auto"/>
          <w:szCs w:val="21"/>
        </w:rPr>
        <w:t>1.满足《中华人民共和国政府采购法》第二十二条规定；未被“信用中国”（www.creditchina.gov.cn)、中国政府采购网（www.ccgp.gov.cn）列入失信被执行人、重大税收违法案件当事人名单、政府采购严重违法失信行为记录名单。</w:t>
      </w:r>
    </w:p>
    <w:p w14:paraId="4A6EE6B6">
      <w:pPr>
        <w:spacing w:line="360" w:lineRule="auto"/>
        <w:ind w:firstLine="420" w:firstLineChars="200"/>
        <w:rPr>
          <w:rFonts w:hint="eastAsia" w:ascii="宋体" w:hAnsi="宋体"/>
          <w:color w:val="auto"/>
          <w:szCs w:val="21"/>
        </w:rPr>
      </w:pPr>
      <w:r>
        <w:rPr>
          <w:rFonts w:hint="eastAsia" w:ascii="宋体" w:hAnsi="宋体"/>
          <w:color w:val="auto"/>
          <w:szCs w:val="21"/>
        </w:rPr>
        <w:t>2.落实政府采购政策需满足的资格要求：</w:t>
      </w:r>
      <w:r>
        <w:rPr>
          <w:rFonts w:hint="eastAsia" w:ascii="宋体" w:hAnsi="宋体" w:eastAsia="宋体" w:cs="宋体"/>
          <w:bCs/>
          <w:color w:val="auto"/>
          <w:kern w:val="0"/>
          <w:sz w:val="21"/>
          <w:szCs w:val="21"/>
        </w:rPr>
        <w:t>标项1：本项目专门面向中小企业采购，供应商应为中小企业（监狱企业、残疾人福利性单位视同小型、微型企业）。</w:t>
      </w:r>
      <w:r>
        <w:rPr>
          <w:rFonts w:ascii="宋体" w:hAnsi="宋体"/>
          <w:color w:val="auto"/>
          <w:szCs w:val="21"/>
        </w:rPr>
        <w:t> </w:t>
      </w:r>
    </w:p>
    <w:p w14:paraId="5ECED1BC">
      <w:pPr>
        <w:spacing w:line="360" w:lineRule="auto"/>
        <w:ind w:firstLine="420" w:firstLineChars="200"/>
        <w:rPr>
          <w:rFonts w:hint="eastAsia" w:ascii="宋体" w:hAnsi="宋体"/>
          <w:color w:val="auto"/>
          <w:kern w:val="0"/>
          <w:szCs w:val="21"/>
        </w:rPr>
      </w:pPr>
      <w:r>
        <w:rPr>
          <w:rFonts w:hint="eastAsia" w:ascii="宋体" w:hAnsi="宋体"/>
          <w:color w:val="auto"/>
          <w:szCs w:val="21"/>
        </w:rPr>
        <w:t>3.本项目的特定资格要求：</w:t>
      </w:r>
      <w:r>
        <w:rPr>
          <w:rFonts w:hint="eastAsia" w:ascii="宋体" w:hAnsi="宋体"/>
          <w:color w:val="auto"/>
          <w:szCs w:val="21"/>
          <w:lang w:val="en-US" w:eastAsia="zh-CN"/>
        </w:rPr>
        <w:t>/</w:t>
      </w:r>
      <w:r>
        <w:rPr>
          <w:rFonts w:hint="eastAsia" w:ascii="宋体" w:hAnsi="宋体"/>
          <w:color w:val="auto"/>
          <w:kern w:val="0"/>
          <w:szCs w:val="21"/>
        </w:rPr>
        <w:t>。</w:t>
      </w:r>
    </w:p>
    <w:p w14:paraId="299DA084">
      <w:pPr>
        <w:spacing w:line="360" w:lineRule="auto"/>
        <w:rPr>
          <w:rFonts w:ascii="宋体" w:hAnsi="宋体"/>
          <w:b/>
          <w:color w:val="auto"/>
          <w:szCs w:val="21"/>
        </w:rPr>
      </w:pPr>
      <w:r>
        <w:rPr>
          <w:rFonts w:hint="eastAsia" w:ascii="宋体" w:hAnsi="宋体"/>
          <w:b/>
          <w:color w:val="auto"/>
          <w:szCs w:val="21"/>
        </w:rPr>
        <w:t>三、获取招标文件</w:t>
      </w:r>
      <w:r>
        <w:rPr>
          <w:rFonts w:ascii="宋体" w:hAnsi="宋体"/>
          <w:b/>
          <w:color w:val="auto"/>
          <w:szCs w:val="21"/>
        </w:rPr>
        <w:t> </w:t>
      </w:r>
    </w:p>
    <w:p w14:paraId="4B403975">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时间：/至202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6</w:t>
      </w:r>
      <w:r>
        <w:rPr>
          <w:rFonts w:hint="eastAsia" w:ascii="宋体" w:hAnsi="宋体"/>
          <w:color w:val="auto"/>
          <w:szCs w:val="21"/>
        </w:rPr>
        <w:t>日，每天上午00:00至12:00，下午12:00至23:59（北京时间，线上获取法定节假日均可，线下获取文件法定节假日除外）。</w:t>
      </w:r>
    </w:p>
    <w:p w14:paraId="36E3B4AB">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地点（网址）：政采云平台（http://zfcg.czt.zj.gov.cn）。</w:t>
      </w:r>
      <w:r>
        <w:rPr>
          <w:rFonts w:ascii="宋体" w:hAnsi="宋体"/>
          <w:color w:val="auto"/>
          <w:szCs w:val="21"/>
        </w:rPr>
        <w:t> </w:t>
      </w:r>
    </w:p>
    <w:p w14:paraId="208F32E9">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方式：</w:t>
      </w:r>
      <w:r>
        <w:rPr>
          <w:rFonts w:hint="eastAsia" w:ascii="宋体" w:hAnsi="宋体"/>
          <w:color w:val="auto"/>
          <w:szCs w:val="21"/>
          <w:highlight w:val="none"/>
        </w:rPr>
        <w:t>供应商登录政采云平台https://www.zcygov.cn/在线申请获取采购文件（进入“项目采购”应用，在获取采购文件菜单中选择项目，申请获取采购文件）</w:t>
      </w:r>
      <w:r>
        <w:rPr>
          <w:rFonts w:ascii="宋体" w:hAnsi="宋体"/>
          <w:color w:val="auto"/>
          <w:szCs w:val="21"/>
          <w:highlight w:val="none"/>
        </w:rPr>
        <w:t>。</w:t>
      </w:r>
    </w:p>
    <w:p w14:paraId="2F4BA413">
      <w:pPr>
        <w:spacing w:line="360" w:lineRule="auto"/>
        <w:rPr>
          <w:rFonts w:hint="eastAsia" w:ascii="宋体" w:hAnsi="宋体" w:cs="宋体"/>
          <w:color w:val="auto"/>
          <w:kern w:val="0"/>
          <w:szCs w:val="21"/>
        </w:rPr>
      </w:pPr>
      <w:r>
        <w:rPr>
          <w:rFonts w:ascii="宋体" w:hAnsi="宋体"/>
          <w:color w:val="auto"/>
          <w:szCs w:val="21"/>
        </w:rPr>
        <w:t> </w:t>
      </w:r>
      <w:r>
        <w:rPr>
          <w:rFonts w:hint="eastAsia" w:ascii="宋体" w:hAnsi="宋体"/>
          <w:color w:val="auto"/>
          <w:szCs w:val="21"/>
        </w:rPr>
        <w:t xml:space="preserve"> 售价（元）：0</w:t>
      </w:r>
      <w:r>
        <w:rPr>
          <w:rFonts w:ascii="宋体" w:hAnsi="宋体"/>
          <w:color w:val="auto"/>
          <w:szCs w:val="21"/>
        </w:rPr>
        <w:t> </w:t>
      </w:r>
    </w:p>
    <w:p w14:paraId="37FFB28C">
      <w:pPr>
        <w:spacing w:line="360" w:lineRule="auto"/>
        <w:rPr>
          <w:rFonts w:ascii="宋体" w:hAnsi="宋体"/>
          <w:b/>
          <w:color w:val="auto"/>
          <w:szCs w:val="21"/>
        </w:rPr>
      </w:pPr>
      <w:r>
        <w:rPr>
          <w:rFonts w:hint="eastAsia" w:ascii="宋体" w:hAnsi="宋体"/>
          <w:b/>
          <w:color w:val="auto"/>
          <w:szCs w:val="21"/>
        </w:rPr>
        <w:t>四、提交投标文件截止时间、开标时间和地点</w:t>
      </w:r>
    </w:p>
    <w:p w14:paraId="04BC89D0">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提交投标文件截止时间：202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6</w:t>
      </w:r>
      <w:r>
        <w:rPr>
          <w:rFonts w:hint="eastAsia" w:ascii="宋体" w:hAnsi="宋体"/>
          <w:color w:val="auto"/>
          <w:szCs w:val="21"/>
        </w:rPr>
        <w:t>日9:30（北京时间）</w:t>
      </w:r>
    </w:p>
    <w:p w14:paraId="046E6E0B">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投标地点（网址）：</w:t>
      </w:r>
      <w:r>
        <w:rPr>
          <w:rFonts w:hint="eastAsia" w:ascii="宋体" w:hAnsi="宋体"/>
          <w:color w:val="auto"/>
          <w:szCs w:val="21"/>
          <w:highlight w:val="none"/>
        </w:rPr>
        <w:t>请登录政采云投标客户端投标</w:t>
      </w:r>
    </w:p>
    <w:p w14:paraId="3B240A05">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开标时间：202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6</w:t>
      </w:r>
      <w:r>
        <w:rPr>
          <w:rFonts w:hint="eastAsia" w:ascii="宋体" w:hAnsi="宋体"/>
          <w:color w:val="auto"/>
          <w:szCs w:val="21"/>
        </w:rPr>
        <w:t>日9:30</w:t>
      </w:r>
      <w:r>
        <w:rPr>
          <w:rFonts w:ascii="宋体" w:hAnsi="宋体"/>
          <w:color w:val="auto"/>
          <w:szCs w:val="21"/>
        </w:rPr>
        <w:t xml:space="preserve">  </w:t>
      </w:r>
    </w:p>
    <w:p w14:paraId="0C160CCA">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开标地点（网址）：</w:t>
      </w:r>
      <w:r>
        <w:rPr>
          <w:rFonts w:hint="eastAsia" w:ascii="宋体" w:hAnsi="宋体"/>
          <w:color w:val="auto"/>
          <w:szCs w:val="21"/>
          <w:highlight w:val="none"/>
        </w:rPr>
        <w:t>通过“政府采购云平台（www.zcygov.cn）”在线开启</w:t>
      </w:r>
    </w:p>
    <w:p w14:paraId="3CD9DDC9">
      <w:pPr>
        <w:spacing w:line="360" w:lineRule="auto"/>
        <w:rPr>
          <w:rFonts w:hint="eastAsia" w:ascii="宋体" w:hAnsi="宋体"/>
          <w:b/>
          <w:color w:val="auto"/>
          <w:szCs w:val="21"/>
        </w:rPr>
      </w:pPr>
      <w:r>
        <w:rPr>
          <w:rFonts w:hint="eastAsia" w:ascii="宋体" w:hAnsi="宋体"/>
          <w:b/>
          <w:color w:val="auto"/>
          <w:szCs w:val="21"/>
        </w:rPr>
        <w:t>五、公告期限</w:t>
      </w:r>
      <w:r>
        <w:rPr>
          <w:rFonts w:ascii="宋体" w:hAnsi="宋体"/>
          <w:b/>
          <w:color w:val="auto"/>
          <w:szCs w:val="21"/>
        </w:rPr>
        <w:t> </w:t>
      </w:r>
    </w:p>
    <w:p w14:paraId="4BC02CA5">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自本公告发布之日起5个工作日。</w:t>
      </w:r>
    </w:p>
    <w:p w14:paraId="31EFCF5D">
      <w:pPr>
        <w:spacing w:line="360" w:lineRule="auto"/>
        <w:rPr>
          <w:rFonts w:hint="eastAsia" w:ascii="宋体" w:hAnsi="宋体"/>
          <w:b/>
          <w:color w:val="auto"/>
          <w:szCs w:val="21"/>
        </w:rPr>
      </w:pPr>
      <w:r>
        <w:rPr>
          <w:rFonts w:hint="eastAsia" w:ascii="宋体" w:hAnsi="宋体"/>
          <w:b/>
          <w:color w:val="auto"/>
          <w:szCs w:val="21"/>
        </w:rPr>
        <w:t>六、其他补充事宜</w:t>
      </w:r>
    </w:p>
    <w:p w14:paraId="7C5F445A">
      <w:pPr>
        <w:spacing w:line="440" w:lineRule="exact"/>
        <w:rPr>
          <w:rFonts w:hint="eastAsia" w:ascii="宋体" w:hAnsi="宋体"/>
          <w:color w:val="auto"/>
          <w:szCs w:val="21"/>
          <w:highlight w:val="none"/>
        </w:rPr>
      </w:pPr>
      <w:r>
        <w:rPr>
          <w:rFonts w:ascii="宋体" w:hAnsi="宋体"/>
          <w:color w:val="auto"/>
          <w:szCs w:val="21"/>
        </w:rPr>
        <w:t> </w:t>
      </w:r>
      <w:r>
        <w:rPr>
          <w:rFonts w:hint="eastAsia" w:ascii="宋体" w:hAnsi="宋体"/>
          <w:color w:val="auto"/>
          <w:szCs w:val="21"/>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olor w:val="auto"/>
          <w:szCs w:val="21"/>
          <w:highlight w:val="none"/>
        </w:rPr>
        <w:br w:type="textWrapping"/>
      </w:r>
      <w:r>
        <w:rPr>
          <w:rFonts w:ascii="宋体" w:hAnsi="宋体"/>
          <w:color w:val="auto"/>
          <w:szCs w:val="21"/>
          <w:highlight w:val="none"/>
        </w:rPr>
        <w:t> </w:t>
      </w:r>
      <w:r>
        <w:rPr>
          <w:rFonts w:hint="eastAsia" w:ascii="宋体" w:hAnsi="宋体"/>
          <w:color w:val="auto"/>
          <w:szCs w:val="21"/>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2189F95">
      <w:pPr>
        <w:pStyle w:val="17"/>
        <w:spacing w:line="440" w:lineRule="exact"/>
        <w:ind w:firstLine="420" w:firstLineChars="200"/>
        <w:rPr>
          <w:rFonts w:hint="eastAsia" w:ascii="宋体" w:hAnsi="宋体"/>
          <w:color w:val="auto"/>
          <w:szCs w:val="21"/>
          <w:highlight w:val="none"/>
        </w:rPr>
      </w:pPr>
      <w:r>
        <w:rPr>
          <w:rFonts w:hint="eastAsia"/>
          <w:color w:val="auto"/>
          <w:highlight w:val="none"/>
        </w:rPr>
        <w:t>3.</w:t>
      </w:r>
      <w:r>
        <w:rPr>
          <w:rFonts w:hint="eastAsia" w:ascii="宋体" w:hAnsi="宋体"/>
          <w:color w:val="auto"/>
          <w:szCs w:val="21"/>
          <w:highlight w:val="none"/>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465F11E">
      <w:pPr>
        <w:spacing w:line="360" w:lineRule="auto"/>
        <w:ind w:firstLine="420" w:firstLineChars="200"/>
        <w:rPr>
          <w:rFonts w:hint="eastAsia" w:ascii="宋体" w:hAnsi="宋体"/>
          <w:color w:val="auto"/>
          <w:szCs w:val="21"/>
        </w:rPr>
      </w:pPr>
      <w:r>
        <w:rPr>
          <w:rFonts w:hint="eastAsia"/>
          <w:color w:val="auto"/>
          <w:highlight w:val="none"/>
        </w:rPr>
        <w:t>4. 其他事项：</w:t>
      </w:r>
      <w:r>
        <w:rPr>
          <w:rFonts w:hint="eastAsia"/>
          <w:color w:val="auto"/>
          <w:highlight w:val="none"/>
          <w:u w:val="single"/>
        </w:rPr>
        <w:t xml:space="preserve">/ </w:t>
      </w:r>
      <w:r>
        <w:rPr>
          <w:rFonts w:ascii="宋体" w:hAnsi="宋体"/>
          <w:color w:val="auto"/>
          <w:szCs w:val="21"/>
        </w:rPr>
        <w:t> </w:t>
      </w:r>
    </w:p>
    <w:p w14:paraId="7FA06080">
      <w:pPr>
        <w:spacing w:line="360" w:lineRule="auto"/>
        <w:rPr>
          <w:rFonts w:ascii="宋体" w:hAnsi="宋体"/>
          <w:b/>
          <w:color w:val="auto"/>
          <w:szCs w:val="21"/>
        </w:rPr>
      </w:pPr>
      <w:r>
        <w:rPr>
          <w:rFonts w:hint="eastAsia" w:ascii="宋体" w:hAnsi="宋体"/>
          <w:b/>
          <w:color w:val="auto"/>
          <w:szCs w:val="21"/>
        </w:rPr>
        <w:t>七、对本次采购提出询问、质疑、投诉，请按以下方式联系</w:t>
      </w:r>
    </w:p>
    <w:p w14:paraId="381A8547">
      <w:pPr>
        <w:spacing w:line="360" w:lineRule="auto"/>
        <w:ind w:firstLine="210" w:firstLineChars="100"/>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1.采购人信息</w:t>
      </w:r>
    </w:p>
    <w:p w14:paraId="298A236F">
      <w:pPr>
        <w:spacing w:line="360" w:lineRule="auto"/>
        <w:rPr>
          <w:rFonts w:hint="eastAsia" w:ascii="宋体" w:hAnsi="宋体" w:eastAsia="宋体"/>
          <w:color w:val="auto"/>
          <w:szCs w:val="21"/>
          <w:lang w:eastAsia="zh-CN"/>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名</w:t>
      </w:r>
      <w:r>
        <w:rPr>
          <w:rFonts w:ascii="宋体" w:hAnsi="宋体"/>
          <w:color w:val="auto"/>
          <w:szCs w:val="21"/>
        </w:rPr>
        <w:t> </w:t>
      </w:r>
      <w:r>
        <w:rPr>
          <w:rFonts w:hint="eastAsia" w:ascii="宋体" w:hAnsi="宋体"/>
          <w:color w:val="auto"/>
          <w:szCs w:val="21"/>
        </w:rPr>
        <w:t>称：</w:t>
      </w:r>
      <w:r>
        <w:rPr>
          <w:rFonts w:hint="eastAsia" w:ascii="宋体" w:hAnsi="宋体"/>
          <w:color w:val="auto"/>
          <w:sz w:val="21"/>
          <w:szCs w:val="21"/>
          <w:lang w:eastAsia="zh-CN"/>
        </w:rPr>
        <w:t>玉环市教育局</w:t>
      </w:r>
    </w:p>
    <w:p w14:paraId="20F94A88">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地</w:t>
      </w:r>
      <w:r>
        <w:rPr>
          <w:rFonts w:ascii="宋体" w:hAnsi="宋体"/>
          <w:color w:val="auto"/>
          <w:szCs w:val="21"/>
        </w:rPr>
        <w:t> </w:t>
      </w:r>
      <w:r>
        <w:rPr>
          <w:rFonts w:hint="eastAsia" w:ascii="宋体" w:hAnsi="宋体"/>
          <w:color w:val="auto"/>
          <w:szCs w:val="21"/>
        </w:rPr>
        <w:t>址：</w:t>
      </w:r>
      <w:r>
        <w:rPr>
          <w:rFonts w:hint="eastAsia" w:ascii="宋体" w:hAnsi="宋体" w:eastAsia="宋体" w:cs="Times New Roman"/>
          <w:color w:val="auto"/>
          <w:sz w:val="21"/>
          <w:szCs w:val="21"/>
          <w:lang w:eastAsia="zh-CN"/>
        </w:rPr>
        <w:t>玉环市双港路97号</w:t>
      </w:r>
    </w:p>
    <w:p w14:paraId="27ADB18D">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传</w:t>
      </w:r>
      <w:r>
        <w:rPr>
          <w:rFonts w:ascii="宋体" w:hAnsi="宋体"/>
          <w:color w:val="auto"/>
          <w:szCs w:val="21"/>
        </w:rPr>
        <w:t> </w:t>
      </w:r>
      <w:r>
        <w:rPr>
          <w:rFonts w:hint="eastAsia" w:ascii="宋体" w:hAnsi="宋体"/>
          <w:color w:val="auto"/>
          <w:szCs w:val="21"/>
        </w:rPr>
        <w:t>真：/</w:t>
      </w:r>
      <w:r>
        <w:rPr>
          <w:rFonts w:ascii="宋体" w:hAnsi="宋体"/>
          <w:color w:val="auto"/>
          <w:szCs w:val="21"/>
        </w:rPr>
        <w:t> </w:t>
      </w:r>
    </w:p>
    <w:p w14:paraId="6B5BDCC0">
      <w:pPr>
        <w:spacing w:line="360" w:lineRule="auto"/>
        <w:rPr>
          <w:rFonts w:hint="default" w:ascii="宋体" w:hAnsi="宋体" w:eastAsia="宋体"/>
          <w:color w:val="auto"/>
          <w:szCs w:val="21"/>
          <w:lang w:val="en-US" w:eastAsia="zh-CN"/>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项目联系人（询问）：</w:t>
      </w:r>
      <w:r>
        <w:rPr>
          <w:rFonts w:hint="eastAsia"/>
          <w:color w:val="auto"/>
          <w:sz w:val="21"/>
          <w:szCs w:val="21"/>
          <w:lang w:val="en-US" w:eastAsia="zh-CN"/>
        </w:rPr>
        <w:t>王女士</w:t>
      </w:r>
    </w:p>
    <w:p w14:paraId="15467662">
      <w:pPr>
        <w:spacing w:line="360" w:lineRule="auto"/>
        <w:rPr>
          <w:rFonts w:hint="default" w:ascii="宋体" w:hAnsi="宋体" w:eastAsia="宋体"/>
          <w:color w:val="auto"/>
          <w:szCs w:val="21"/>
          <w:lang w:val="en-US" w:eastAsia="zh-CN"/>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项目联系方式（询问）：</w:t>
      </w:r>
      <w:r>
        <w:rPr>
          <w:rFonts w:hint="eastAsia" w:ascii="宋体" w:hAnsi="宋体"/>
          <w:color w:val="auto"/>
          <w:sz w:val="21"/>
          <w:szCs w:val="21"/>
          <w:lang w:val="en-US" w:eastAsia="zh-CN"/>
        </w:rPr>
        <w:t>15305767722</w:t>
      </w:r>
    </w:p>
    <w:p w14:paraId="6C15675B">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质疑联系人：</w:t>
      </w:r>
      <w:r>
        <w:rPr>
          <w:rFonts w:hint="eastAsia"/>
          <w:color w:val="auto"/>
          <w:sz w:val="21"/>
          <w:szCs w:val="21"/>
          <w:lang w:val="en-US" w:eastAsia="zh-CN"/>
        </w:rPr>
        <w:t>王女士</w:t>
      </w:r>
    </w:p>
    <w:p w14:paraId="12CA0807">
      <w:pPr>
        <w:spacing w:line="360" w:lineRule="auto"/>
        <w:rPr>
          <w:rFonts w:hint="default" w:ascii="宋体" w:hAnsi="宋体"/>
          <w:color w:val="auto"/>
          <w:szCs w:val="21"/>
          <w:lang w:val="en-US"/>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质疑联系方式：</w:t>
      </w:r>
      <w:r>
        <w:rPr>
          <w:rFonts w:hint="eastAsia" w:ascii="宋体" w:hAnsi="宋体"/>
          <w:color w:val="auto"/>
          <w:sz w:val="21"/>
          <w:szCs w:val="21"/>
          <w:lang w:val="en-US" w:eastAsia="zh-CN"/>
        </w:rPr>
        <w:t>15305767722</w:t>
      </w:r>
    </w:p>
    <w:p w14:paraId="07A50B95">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p>
    <w:p w14:paraId="349AB215">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2.采购代理机构信息</w:t>
      </w:r>
    </w:p>
    <w:p w14:paraId="2EA4465A">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名</w:t>
      </w:r>
      <w:r>
        <w:rPr>
          <w:rFonts w:ascii="宋体" w:hAnsi="宋体"/>
          <w:color w:val="auto"/>
          <w:szCs w:val="21"/>
        </w:rPr>
        <w:t> </w:t>
      </w:r>
      <w:r>
        <w:rPr>
          <w:rFonts w:hint="eastAsia" w:ascii="宋体" w:hAnsi="宋体"/>
          <w:color w:val="auto"/>
          <w:szCs w:val="21"/>
        </w:rPr>
        <w:t>称：浙江协力工程管理咨询有限公司</w:t>
      </w:r>
    </w:p>
    <w:p w14:paraId="1D06A9DB">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地</w:t>
      </w:r>
      <w:r>
        <w:rPr>
          <w:rFonts w:ascii="宋体" w:hAnsi="宋体"/>
          <w:color w:val="auto"/>
          <w:szCs w:val="21"/>
        </w:rPr>
        <w:t xml:space="preserve"> </w:t>
      </w:r>
      <w:r>
        <w:rPr>
          <w:rFonts w:hint="eastAsia" w:ascii="宋体" w:hAnsi="宋体"/>
          <w:color w:val="auto"/>
          <w:szCs w:val="21"/>
        </w:rPr>
        <w:t xml:space="preserve"> 址：浙江玉环市玉城街道泰安路312号财富中心五号楼11层</w:t>
      </w:r>
    </w:p>
    <w:p w14:paraId="0DD19CC4">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传</w:t>
      </w:r>
      <w:r>
        <w:rPr>
          <w:rFonts w:ascii="宋体" w:hAnsi="宋体"/>
          <w:color w:val="auto"/>
          <w:szCs w:val="21"/>
        </w:rPr>
        <w:t> </w:t>
      </w:r>
      <w:r>
        <w:rPr>
          <w:rFonts w:hint="eastAsia" w:ascii="宋体" w:hAnsi="宋体"/>
          <w:color w:val="auto"/>
          <w:szCs w:val="21"/>
        </w:rPr>
        <w:t>真：/</w:t>
      </w:r>
      <w:r>
        <w:rPr>
          <w:rFonts w:ascii="宋体" w:hAnsi="宋体"/>
          <w:color w:val="auto"/>
          <w:szCs w:val="21"/>
        </w:rPr>
        <w:t> </w:t>
      </w:r>
    </w:p>
    <w:p w14:paraId="4B00BC1A">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项目联系人（询问）：李陆明</w:t>
      </w:r>
    </w:p>
    <w:p w14:paraId="412F77E5">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项目联系方式（询问）：0576-87255885</w:t>
      </w:r>
    </w:p>
    <w:p w14:paraId="0DF6BB4C">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质疑联系人：李先生</w:t>
      </w:r>
    </w:p>
    <w:p w14:paraId="7959935B">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质疑联系方式：0576-87255805</w:t>
      </w:r>
    </w:p>
    <w:p w14:paraId="641E65DC">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p>
    <w:p w14:paraId="6988FA66">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3.同级政府采购监督管理部门</w:t>
      </w:r>
    </w:p>
    <w:p w14:paraId="1341116F">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名</w:t>
      </w:r>
      <w:r>
        <w:rPr>
          <w:rFonts w:ascii="宋体" w:hAnsi="宋体"/>
          <w:color w:val="auto"/>
          <w:szCs w:val="21"/>
        </w:rPr>
        <w:t xml:space="preserve">  </w:t>
      </w:r>
      <w:r>
        <w:rPr>
          <w:rFonts w:hint="eastAsia" w:ascii="宋体" w:hAnsi="宋体"/>
          <w:color w:val="auto"/>
          <w:szCs w:val="21"/>
        </w:rPr>
        <w:t>称：玉环市财政局政府采购监督管理科</w:t>
      </w:r>
    </w:p>
    <w:p w14:paraId="6913101C">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地</w:t>
      </w:r>
      <w:r>
        <w:rPr>
          <w:rFonts w:ascii="宋体" w:hAnsi="宋体"/>
          <w:color w:val="auto"/>
          <w:szCs w:val="21"/>
        </w:rPr>
        <w:t> </w:t>
      </w:r>
      <w:r>
        <w:rPr>
          <w:rFonts w:hint="eastAsia" w:ascii="宋体" w:hAnsi="宋体"/>
          <w:color w:val="auto"/>
          <w:szCs w:val="21"/>
        </w:rPr>
        <w:t>址：玉环市广陵路130号</w:t>
      </w:r>
    </w:p>
    <w:p w14:paraId="0190B75D">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传</w:t>
      </w:r>
      <w:r>
        <w:rPr>
          <w:rFonts w:ascii="宋体" w:hAnsi="宋体"/>
          <w:color w:val="auto"/>
          <w:szCs w:val="21"/>
        </w:rPr>
        <w:t> </w:t>
      </w:r>
      <w:r>
        <w:rPr>
          <w:rFonts w:hint="eastAsia" w:ascii="宋体" w:hAnsi="宋体"/>
          <w:color w:val="auto"/>
          <w:szCs w:val="21"/>
        </w:rPr>
        <w:t>真：/</w:t>
      </w:r>
      <w:r>
        <w:rPr>
          <w:rFonts w:ascii="宋体" w:hAnsi="宋体"/>
          <w:color w:val="auto"/>
          <w:szCs w:val="21"/>
        </w:rPr>
        <w:t> </w:t>
      </w:r>
    </w:p>
    <w:p w14:paraId="1AE9380F">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联系人 ：</w:t>
      </w:r>
      <w:r>
        <w:rPr>
          <w:rFonts w:hint="eastAsia" w:ascii="宋体" w:hAnsi="宋体"/>
          <w:color w:val="auto"/>
          <w:szCs w:val="21"/>
          <w:lang w:val="en-US" w:eastAsia="zh-CN"/>
        </w:rPr>
        <w:t>李</w:t>
      </w:r>
      <w:r>
        <w:rPr>
          <w:rFonts w:hint="eastAsia" w:ascii="宋体" w:hAnsi="宋体"/>
          <w:color w:val="auto"/>
          <w:szCs w:val="21"/>
        </w:rPr>
        <w:t>女士</w:t>
      </w:r>
    </w:p>
    <w:p w14:paraId="7853C393">
      <w:pPr>
        <w:spacing w:line="360" w:lineRule="auto"/>
        <w:rPr>
          <w:rFonts w:hint="eastAsia" w:ascii="宋体" w:hAnsi="宋体"/>
          <w:color w:val="auto"/>
          <w:szCs w:val="21"/>
        </w:rPr>
      </w:pP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监督投诉电话：0576-87250185</w:t>
      </w:r>
    </w:p>
    <w:p w14:paraId="5D1468E9">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若对项目采购电子交易系统操作有疑问，可登录政采云（https://www.zcygov.cn/），点击右侧咨询小采，获取采小蜜智能服务管家帮助，或拨打政采云服务热线</w:t>
      </w:r>
      <w:r>
        <w:rPr>
          <w:rFonts w:ascii="宋体" w:hAnsi="宋体"/>
          <w:color w:val="auto"/>
          <w:szCs w:val="21"/>
          <w:highlight w:val="none"/>
        </w:rPr>
        <w:t>95763</w:t>
      </w:r>
      <w:r>
        <w:rPr>
          <w:rFonts w:hint="eastAsia" w:ascii="宋体" w:hAnsi="宋体"/>
          <w:color w:val="auto"/>
          <w:szCs w:val="21"/>
          <w:highlight w:val="none"/>
        </w:rPr>
        <w:t>获取热线服务帮助。</w:t>
      </w:r>
      <w:r>
        <w:rPr>
          <w:rFonts w:ascii="宋体" w:hAnsi="宋体"/>
          <w:color w:val="auto"/>
          <w:szCs w:val="21"/>
          <w:highlight w:val="none"/>
        </w:rPr>
        <w:t> </w:t>
      </w:r>
      <w:r>
        <w:rPr>
          <w:rFonts w:hint="eastAsia" w:ascii="宋体" w:hAnsi="宋体"/>
          <w:color w:val="auto"/>
          <w:szCs w:val="21"/>
          <w:highlight w:val="none"/>
        </w:rPr>
        <w:t xml:space="preserve"> </w:t>
      </w:r>
      <w:r>
        <w:rPr>
          <w:rFonts w:ascii="宋体" w:hAnsi="宋体"/>
          <w:color w:val="auto"/>
          <w:szCs w:val="21"/>
          <w:highlight w:val="none"/>
        </w:rPr>
        <w:t> </w:t>
      </w:r>
      <w:r>
        <w:rPr>
          <w:rFonts w:hint="eastAsia" w:ascii="宋体" w:hAnsi="宋体"/>
          <w:color w:val="auto"/>
          <w:szCs w:val="21"/>
          <w:highlight w:val="none"/>
        </w:rPr>
        <w:t xml:space="preserve"> </w:t>
      </w:r>
      <w:r>
        <w:rPr>
          <w:rFonts w:ascii="宋体" w:hAnsi="宋体"/>
          <w:color w:val="auto"/>
          <w:szCs w:val="21"/>
          <w:highlight w:val="none"/>
        </w:rPr>
        <w:t> </w:t>
      </w:r>
      <w:r>
        <w:rPr>
          <w:rFonts w:hint="eastAsia" w:ascii="宋体" w:hAnsi="宋体"/>
          <w:color w:val="auto"/>
          <w:szCs w:val="21"/>
          <w:highlight w:val="none"/>
        </w:rPr>
        <w:t xml:space="preserve"> </w:t>
      </w:r>
      <w:r>
        <w:rPr>
          <w:rFonts w:ascii="宋体" w:hAnsi="宋体"/>
          <w:color w:val="auto"/>
          <w:szCs w:val="21"/>
          <w:highlight w:val="none"/>
        </w:rPr>
        <w:t> </w:t>
      </w:r>
    </w:p>
    <w:p w14:paraId="4D6B573B">
      <w:pPr>
        <w:spacing w:line="360" w:lineRule="auto"/>
        <w:rPr>
          <w:rFonts w:hint="eastAsia" w:ascii="宋体" w:hAnsi="宋体"/>
          <w:color w:val="auto"/>
          <w:szCs w:val="21"/>
        </w:rPr>
      </w:pPr>
      <w:r>
        <w:rPr>
          <w:rFonts w:hint="eastAsia" w:ascii="宋体" w:hAnsi="宋体"/>
          <w:color w:val="auto"/>
          <w:szCs w:val="21"/>
          <w:highlight w:val="none"/>
        </w:rPr>
        <w:t>CA问题联系电话（人工）：汇信CA 400-888-4636；天谷CA 400-087-8198。</w:t>
      </w: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r>
        <w:rPr>
          <w:rFonts w:hint="eastAsia" w:ascii="宋体" w:hAnsi="宋体"/>
          <w:color w:val="auto"/>
          <w:szCs w:val="21"/>
        </w:rPr>
        <w:t xml:space="preserve"> </w:t>
      </w:r>
      <w:r>
        <w:rPr>
          <w:rFonts w:ascii="宋体" w:hAnsi="宋体"/>
          <w:color w:val="auto"/>
          <w:szCs w:val="21"/>
        </w:rPr>
        <w:t> </w:t>
      </w:r>
    </w:p>
    <w:p w14:paraId="4C528882">
      <w:pPr>
        <w:numPr>
          <w:ilvl w:val="0"/>
          <w:numId w:val="0"/>
        </w:numPr>
        <w:spacing w:line="360" w:lineRule="auto"/>
        <w:jc w:val="center"/>
        <w:rPr>
          <w:rFonts w:ascii="宋体"/>
          <w:b/>
          <w:color w:val="auto"/>
          <w:sz w:val="30"/>
          <w:szCs w:val="30"/>
        </w:rPr>
      </w:pPr>
      <w:r>
        <w:rPr>
          <w:rFonts w:hint="eastAsia" w:ascii="宋体" w:cs="Times New Roman"/>
          <w:b/>
          <w:color w:val="auto"/>
          <w:kern w:val="2"/>
          <w:sz w:val="30"/>
          <w:szCs w:val="30"/>
          <w:lang w:val="en-US" w:eastAsia="zh-CN" w:bidi="ar-SA"/>
        </w:rPr>
        <w:t>第二章</w:t>
      </w:r>
      <w:r>
        <w:rPr>
          <w:rFonts w:hint="eastAsia" w:ascii="宋体" w:hAnsi="宋体"/>
          <w:b/>
          <w:color w:val="auto"/>
          <w:sz w:val="30"/>
          <w:szCs w:val="30"/>
        </w:rPr>
        <w:t>投标人须知</w:t>
      </w:r>
    </w:p>
    <w:p w14:paraId="344FC593">
      <w:pPr>
        <w:spacing w:line="360" w:lineRule="auto"/>
        <w:jc w:val="center"/>
        <w:rPr>
          <w:rFonts w:ascii="宋体" w:hAnsi="宋体"/>
          <w:b/>
          <w:color w:val="auto"/>
          <w:sz w:val="24"/>
        </w:rPr>
      </w:pPr>
      <w:r>
        <w:rPr>
          <w:rFonts w:hint="eastAsia" w:ascii="宋体" w:hAnsi="宋体"/>
          <w:b/>
          <w:color w:val="auto"/>
          <w:sz w:val="24"/>
        </w:rPr>
        <w:t>前附表</w:t>
      </w:r>
    </w:p>
    <w:tbl>
      <w:tblPr>
        <w:tblStyle w:val="22"/>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80"/>
        <w:gridCol w:w="7013"/>
      </w:tblGrid>
      <w:tr w14:paraId="5D7F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40" w:type="dxa"/>
            <w:noWrap w:val="0"/>
            <w:vAlign w:val="center"/>
          </w:tcPr>
          <w:p w14:paraId="4CC66E24">
            <w:pPr>
              <w:spacing w:line="360" w:lineRule="auto"/>
              <w:jc w:val="center"/>
              <w:rPr>
                <w:rFonts w:ascii="宋体" w:cs="宋体"/>
                <w:color w:val="auto"/>
                <w:szCs w:val="21"/>
              </w:rPr>
            </w:pPr>
            <w:r>
              <w:rPr>
                <w:rFonts w:hint="eastAsia" w:ascii="宋体" w:hAnsi="宋体" w:cs="宋体"/>
                <w:color w:val="auto"/>
                <w:szCs w:val="21"/>
              </w:rPr>
              <w:t>序号</w:t>
            </w:r>
          </w:p>
        </w:tc>
        <w:tc>
          <w:tcPr>
            <w:tcW w:w="1880" w:type="dxa"/>
            <w:noWrap w:val="0"/>
            <w:vAlign w:val="center"/>
          </w:tcPr>
          <w:p w14:paraId="61AA5663">
            <w:pPr>
              <w:spacing w:line="360" w:lineRule="auto"/>
              <w:jc w:val="center"/>
              <w:rPr>
                <w:rFonts w:ascii="宋体" w:cs="宋体"/>
                <w:color w:val="auto"/>
                <w:szCs w:val="21"/>
              </w:rPr>
            </w:pPr>
            <w:r>
              <w:rPr>
                <w:rFonts w:hint="eastAsia" w:ascii="宋体" w:hAnsi="宋体" w:cs="宋体"/>
                <w:color w:val="auto"/>
                <w:szCs w:val="21"/>
              </w:rPr>
              <w:t>项</w:t>
            </w:r>
            <w:r>
              <w:rPr>
                <w:rFonts w:ascii="宋体" w:hAnsi="宋体" w:cs="宋体"/>
                <w:color w:val="auto"/>
                <w:szCs w:val="21"/>
              </w:rPr>
              <w:t xml:space="preserve">    </w:t>
            </w:r>
            <w:r>
              <w:rPr>
                <w:rFonts w:hint="eastAsia" w:ascii="宋体" w:hAnsi="宋体" w:cs="宋体"/>
                <w:color w:val="auto"/>
                <w:szCs w:val="21"/>
              </w:rPr>
              <w:t>目</w:t>
            </w:r>
          </w:p>
        </w:tc>
        <w:tc>
          <w:tcPr>
            <w:tcW w:w="7013" w:type="dxa"/>
            <w:noWrap w:val="0"/>
            <w:vAlign w:val="center"/>
          </w:tcPr>
          <w:p w14:paraId="5BCE0418">
            <w:pPr>
              <w:spacing w:line="360" w:lineRule="auto"/>
              <w:jc w:val="center"/>
              <w:rPr>
                <w:rFonts w:ascii="宋体" w:cs="宋体"/>
                <w:color w:val="auto"/>
                <w:szCs w:val="21"/>
              </w:rPr>
            </w:pPr>
            <w:r>
              <w:rPr>
                <w:rFonts w:hint="eastAsia" w:ascii="宋体" w:hAnsi="宋体" w:cs="宋体"/>
                <w:color w:val="auto"/>
                <w:szCs w:val="21"/>
              </w:rPr>
              <w:t>内</w:t>
            </w:r>
            <w:r>
              <w:rPr>
                <w:rFonts w:ascii="宋体" w:hAnsi="宋体" w:cs="宋体"/>
                <w:color w:val="auto"/>
                <w:szCs w:val="21"/>
              </w:rPr>
              <w:t xml:space="preserve">                 </w:t>
            </w:r>
            <w:r>
              <w:rPr>
                <w:rFonts w:hint="eastAsia" w:ascii="宋体" w:hAnsi="宋体" w:cs="宋体"/>
                <w:color w:val="auto"/>
                <w:szCs w:val="21"/>
              </w:rPr>
              <w:t>容</w:t>
            </w:r>
          </w:p>
        </w:tc>
      </w:tr>
      <w:tr w14:paraId="23BE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0" w:type="dxa"/>
            <w:noWrap w:val="0"/>
            <w:vAlign w:val="center"/>
          </w:tcPr>
          <w:p w14:paraId="751E5047">
            <w:pPr>
              <w:spacing w:line="360" w:lineRule="auto"/>
              <w:jc w:val="center"/>
              <w:rPr>
                <w:rFonts w:ascii="宋体" w:hAnsi="宋体" w:cs="宋体"/>
                <w:color w:val="auto"/>
                <w:szCs w:val="21"/>
              </w:rPr>
            </w:pPr>
            <w:r>
              <w:rPr>
                <w:rFonts w:ascii="宋体" w:hAnsi="宋体" w:cs="宋体"/>
                <w:color w:val="auto"/>
                <w:szCs w:val="21"/>
              </w:rPr>
              <w:t>1</w:t>
            </w:r>
          </w:p>
        </w:tc>
        <w:tc>
          <w:tcPr>
            <w:tcW w:w="1880" w:type="dxa"/>
            <w:noWrap w:val="0"/>
            <w:vAlign w:val="center"/>
          </w:tcPr>
          <w:p w14:paraId="75D5C682">
            <w:pPr>
              <w:spacing w:line="240" w:lineRule="auto"/>
              <w:jc w:val="center"/>
              <w:rPr>
                <w:rFonts w:hint="eastAsia" w:ascii="宋体" w:hAnsi="宋体" w:cs="宋体"/>
                <w:color w:val="auto"/>
                <w:szCs w:val="21"/>
              </w:rPr>
            </w:pPr>
            <w:r>
              <w:rPr>
                <w:rFonts w:hint="eastAsia" w:ascii="宋体" w:hAnsi="宋体" w:cs="宋体"/>
                <w:color w:val="auto"/>
                <w:szCs w:val="21"/>
              </w:rPr>
              <w:t>供应商</w:t>
            </w:r>
          </w:p>
          <w:p w14:paraId="5F21736A">
            <w:pPr>
              <w:spacing w:line="240" w:lineRule="auto"/>
              <w:jc w:val="center"/>
              <w:rPr>
                <w:rFonts w:ascii="宋体" w:cs="宋体"/>
                <w:color w:val="auto"/>
                <w:szCs w:val="21"/>
              </w:rPr>
            </w:pPr>
            <w:r>
              <w:rPr>
                <w:rFonts w:hint="eastAsia" w:ascii="宋体" w:hAnsi="宋体" w:cs="宋体"/>
                <w:color w:val="auto"/>
                <w:szCs w:val="21"/>
              </w:rPr>
              <w:t>特定资格要求</w:t>
            </w:r>
          </w:p>
        </w:tc>
        <w:tc>
          <w:tcPr>
            <w:tcW w:w="7013" w:type="dxa"/>
            <w:noWrap w:val="0"/>
            <w:vAlign w:val="center"/>
          </w:tcPr>
          <w:p w14:paraId="7C2A1DE3">
            <w:pPr>
              <w:spacing w:line="360" w:lineRule="auto"/>
              <w:rPr>
                <w:rFonts w:ascii="宋体" w:cs="宋体"/>
                <w:color w:val="auto"/>
                <w:szCs w:val="21"/>
              </w:rPr>
            </w:pPr>
            <w:r>
              <w:rPr>
                <w:rFonts w:hint="eastAsia" w:ascii="宋体" w:hAnsi="宋体" w:cs="宋体"/>
                <w:color w:val="auto"/>
                <w:szCs w:val="21"/>
              </w:rPr>
              <w:t>符合招标公告资格要求的供应商</w:t>
            </w:r>
          </w:p>
        </w:tc>
      </w:tr>
      <w:tr w14:paraId="6D3A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40" w:type="dxa"/>
            <w:noWrap w:val="0"/>
            <w:vAlign w:val="center"/>
          </w:tcPr>
          <w:p w14:paraId="3ADC5AAE">
            <w:pPr>
              <w:spacing w:line="360" w:lineRule="auto"/>
              <w:jc w:val="center"/>
              <w:rPr>
                <w:rFonts w:ascii="宋体" w:hAnsi="宋体" w:cs="宋体"/>
                <w:color w:val="auto"/>
                <w:szCs w:val="21"/>
              </w:rPr>
            </w:pPr>
            <w:r>
              <w:rPr>
                <w:rFonts w:ascii="宋体" w:hAnsi="宋体" w:cs="宋体"/>
                <w:color w:val="auto"/>
                <w:szCs w:val="21"/>
              </w:rPr>
              <w:t>2</w:t>
            </w:r>
          </w:p>
        </w:tc>
        <w:tc>
          <w:tcPr>
            <w:tcW w:w="1880" w:type="dxa"/>
            <w:noWrap w:val="0"/>
            <w:vAlign w:val="center"/>
          </w:tcPr>
          <w:p w14:paraId="1EE01231">
            <w:pPr>
              <w:spacing w:line="240" w:lineRule="auto"/>
              <w:jc w:val="center"/>
              <w:rPr>
                <w:rFonts w:hint="eastAsia" w:ascii="宋体" w:hAnsi="宋体" w:cs="宋体"/>
                <w:color w:val="auto"/>
                <w:kern w:val="0"/>
                <w:szCs w:val="21"/>
              </w:rPr>
            </w:pPr>
            <w:r>
              <w:rPr>
                <w:rFonts w:hint="eastAsia" w:ascii="宋体" w:hAnsi="宋体" w:cs="宋体"/>
                <w:color w:val="auto"/>
                <w:kern w:val="0"/>
                <w:szCs w:val="21"/>
              </w:rPr>
              <w:t>答疑会或</w:t>
            </w:r>
          </w:p>
          <w:p w14:paraId="4B5F2601">
            <w:pPr>
              <w:spacing w:line="240" w:lineRule="auto"/>
              <w:jc w:val="center"/>
              <w:rPr>
                <w:rFonts w:ascii="宋体" w:cs="宋体"/>
                <w:color w:val="auto"/>
                <w:szCs w:val="21"/>
              </w:rPr>
            </w:pPr>
            <w:r>
              <w:rPr>
                <w:rFonts w:hint="eastAsia" w:ascii="宋体" w:hAnsi="宋体" w:cs="宋体"/>
                <w:color w:val="auto"/>
                <w:szCs w:val="21"/>
              </w:rPr>
              <w:t>现场踏勘</w:t>
            </w:r>
          </w:p>
        </w:tc>
        <w:tc>
          <w:tcPr>
            <w:tcW w:w="7013" w:type="dxa"/>
            <w:noWrap w:val="0"/>
            <w:vAlign w:val="center"/>
          </w:tcPr>
          <w:p w14:paraId="3174E1D6">
            <w:pPr>
              <w:spacing w:line="360" w:lineRule="auto"/>
              <w:rPr>
                <w:rFonts w:hint="eastAsia" w:ascii="宋体" w:eastAsia="宋体" w:cs="宋体"/>
                <w:color w:val="auto"/>
                <w:szCs w:val="21"/>
                <w:lang w:val="en-US" w:eastAsia="zh-CN"/>
              </w:rPr>
            </w:pPr>
            <w:r>
              <w:rPr>
                <w:rFonts w:hint="eastAsia" w:ascii="宋体" w:hAnsi="宋体" w:cs="Arial"/>
                <w:color w:val="auto"/>
                <w:szCs w:val="21"/>
                <w:lang w:val="en-US" w:eastAsia="zh-CN"/>
              </w:rPr>
              <w:t>不组织，投标人自行</w:t>
            </w:r>
            <w:r>
              <w:rPr>
                <w:rFonts w:hint="eastAsia" w:ascii="宋体" w:hAnsi="宋体" w:cs="宋体"/>
                <w:color w:val="auto"/>
                <w:szCs w:val="21"/>
              </w:rPr>
              <w:t>踏勘</w:t>
            </w:r>
            <w:r>
              <w:rPr>
                <w:rFonts w:hint="eastAsia" w:ascii="宋体" w:hAnsi="宋体" w:cs="宋体"/>
                <w:color w:val="auto"/>
                <w:szCs w:val="21"/>
                <w:lang w:eastAsia="zh-CN"/>
              </w:rPr>
              <w:t>。</w:t>
            </w:r>
          </w:p>
        </w:tc>
      </w:tr>
      <w:tr w14:paraId="378F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2E83B215">
            <w:pPr>
              <w:spacing w:line="360" w:lineRule="auto"/>
              <w:jc w:val="center"/>
              <w:rPr>
                <w:rFonts w:ascii="宋体" w:hAnsi="宋体" w:cs="宋体"/>
                <w:color w:val="auto"/>
                <w:szCs w:val="21"/>
              </w:rPr>
            </w:pPr>
            <w:r>
              <w:rPr>
                <w:rFonts w:ascii="宋体" w:hAnsi="宋体" w:cs="宋体"/>
                <w:color w:val="auto"/>
                <w:szCs w:val="21"/>
              </w:rPr>
              <w:t>3</w:t>
            </w:r>
          </w:p>
        </w:tc>
        <w:tc>
          <w:tcPr>
            <w:tcW w:w="1880" w:type="dxa"/>
            <w:noWrap w:val="0"/>
            <w:vAlign w:val="center"/>
          </w:tcPr>
          <w:p w14:paraId="09E8F27F">
            <w:pPr>
              <w:spacing w:line="360" w:lineRule="auto"/>
              <w:jc w:val="center"/>
              <w:rPr>
                <w:rFonts w:ascii="宋体" w:cs="宋体"/>
                <w:color w:val="auto"/>
                <w:szCs w:val="21"/>
              </w:rPr>
            </w:pPr>
            <w:r>
              <w:rPr>
                <w:rFonts w:hint="eastAsia" w:ascii="宋体" w:hAnsi="宋体" w:cs="宋体"/>
                <w:color w:val="auto"/>
                <w:szCs w:val="21"/>
              </w:rPr>
              <w:t>投标文件组成</w:t>
            </w:r>
          </w:p>
        </w:tc>
        <w:tc>
          <w:tcPr>
            <w:tcW w:w="7013" w:type="dxa"/>
            <w:noWrap w:val="0"/>
            <w:vAlign w:val="center"/>
          </w:tcPr>
          <w:p w14:paraId="283687ED">
            <w:pPr>
              <w:spacing w:line="360" w:lineRule="auto"/>
              <w:rPr>
                <w:rFonts w:hint="eastAsia" w:ascii="宋体" w:hAnsi="宋体" w:cs="宋体"/>
                <w:color w:val="auto"/>
                <w:szCs w:val="21"/>
              </w:rPr>
            </w:pPr>
            <w:r>
              <w:rPr>
                <w:rFonts w:ascii="宋体" w:hAnsi="宋体" w:cs="宋体"/>
                <w:color w:val="auto"/>
                <w:szCs w:val="21"/>
              </w:rPr>
              <w:t>完整的《投标文件》由</w:t>
            </w:r>
            <w:r>
              <w:rPr>
                <w:rFonts w:hint="eastAsia" w:ascii="宋体" w:hAnsi="宋体" w:cs="宋体"/>
                <w:color w:val="auto"/>
                <w:szCs w:val="21"/>
              </w:rPr>
              <w:t>“资格证明文件”、</w:t>
            </w:r>
            <w:r>
              <w:rPr>
                <w:rFonts w:ascii="宋体" w:hAnsi="宋体" w:cs="宋体"/>
                <w:color w:val="auto"/>
                <w:szCs w:val="21"/>
              </w:rPr>
              <w:t>“报价文件”</w:t>
            </w:r>
            <w:r>
              <w:rPr>
                <w:rFonts w:hint="eastAsia" w:ascii="宋体" w:hAnsi="宋体" w:cs="宋体"/>
                <w:color w:val="auto"/>
                <w:szCs w:val="21"/>
              </w:rPr>
              <w:t>和</w:t>
            </w:r>
            <w:r>
              <w:rPr>
                <w:rFonts w:ascii="宋体" w:hAnsi="宋体" w:cs="宋体"/>
                <w:color w:val="auto"/>
                <w:szCs w:val="21"/>
              </w:rPr>
              <w:t>“</w:t>
            </w:r>
            <w:r>
              <w:rPr>
                <w:rFonts w:hint="eastAsia" w:ascii="宋体" w:hAnsi="宋体" w:cs="宋体"/>
                <w:color w:val="auto"/>
                <w:szCs w:val="21"/>
              </w:rPr>
              <w:t>商务</w:t>
            </w:r>
            <w:r>
              <w:rPr>
                <w:rFonts w:ascii="宋体" w:hAnsi="宋体" w:cs="宋体"/>
                <w:color w:val="auto"/>
                <w:szCs w:val="21"/>
              </w:rPr>
              <w:t>技术文件”</w:t>
            </w:r>
            <w:r>
              <w:rPr>
                <w:rFonts w:hint="eastAsia" w:ascii="宋体" w:hAnsi="宋体" w:cs="宋体"/>
                <w:color w:val="auto"/>
                <w:szCs w:val="21"/>
              </w:rPr>
              <w:t>三</w:t>
            </w:r>
            <w:r>
              <w:rPr>
                <w:rFonts w:ascii="宋体" w:hAnsi="宋体" w:cs="宋体"/>
                <w:color w:val="auto"/>
                <w:szCs w:val="21"/>
              </w:rPr>
              <w:t>个部分组成。</w:t>
            </w:r>
          </w:p>
        </w:tc>
      </w:tr>
      <w:tr w14:paraId="66DE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155492BC">
            <w:pPr>
              <w:spacing w:line="360" w:lineRule="auto"/>
              <w:jc w:val="center"/>
              <w:rPr>
                <w:rFonts w:hint="eastAsia" w:ascii="宋体" w:hAnsi="宋体" w:cs="宋体"/>
                <w:color w:val="auto"/>
                <w:szCs w:val="21"/>
              </w:rPr>
            </w:pPr>
            <w:r>
              <w:rPr>
                <w:rFonts w:hint="eastAsia" w:ascii="宋体" w:hAnsi="宋体" w:cs="宋体"/>
                <w:color w:val="auto"/>
                <w:szCs w:val="21"/>
              </w:rPr>
              <w:t>4</w:t>
            </w:r>
          </w:p>
        </w:tc>
        <w:tc>
          <w:tcPr>
            <w:tcW w:w="1880" w:type="dxa"/>
            <w:noWrap w:val="0"/>
            <w:vAlign w:val="center"/>
          </w:tcPr>
          <w:p w14:paraId="33FB39D4">
            <w:pPr>
              <w:spacing w:line="360" w:lineRule="auto"/>
              <w:jc w:val="center"/>
              <w:rPr>
                <w:rFonts w:hint="eastAsia" w:ascii="宋体" w:hAnsi="宋体" w:cs="宋体"/>
                <w:color w:val="auto"/>
                <w:szCs w:val="21"/>
              </w:rPr>
            </w:pPr>
            <w:r>
              <w:rPr>
                <w:rFonts w:hint="eastAsia" w:ascii="宋体" w:hAnsi="宋体" w:cs="宋体"/>
                <w:color w:val="auto"/>
                <w:szCs w:val="21"/>
              </w:rPr>
              <w:t>投标文件的编制</w:t>
            </w:r>
          </w:p>
        </w:tc>
        <w:tc>
          <w:tcPr>
            <w:tcW w:w="7013" w:type="dxa"/>
            <w:noWrap w:val="0"/>
            <w:vAlign w:val="center"/>
          </w:tcPr>
          <w:p w14:paraId="187B9EB5">
            <w:pPr>
              <w:spacing w:line="360" w:lineRule="auto"/>
              <w:rPr>
                <w:rFonts w:ascii="宋体" w:hAnsi="宋体" w:cs="宋体"/>
                <w:color w:val="auto"/>
                <w:szCs w:val="21"/>
              </w:rPr>
            </w:pPr>
            <w:r>
              <w:rPr>
                <w:rFonts w:hint="eastAsia" w:ascii="宋体" w:hAnsi="宋体" w:cs="宋体"/>
                <w:color w:val="auto"/>
                <w:szCs w:val="21"/>
              </w:rPr>
              <w:t>供应商应先安装“政采云电子交易客户端”，并按照本招标文件和“政府采购云平台”的要求，通过“政采云电子交易客户端”编制并加密投标文件。</w:t>
            </w:r>
          </w:p>
        </w:tc>
      </w:tr>
      <w:tr w14:paraId="66FB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6E6F3D7D">
            <w:pPr>
              <w:spacing w:line="360" w:lineRule="auto"/>
              <w:jc w:val="center"/>
              <w:rPr>
                <w:rFonts w:hint="eastAsia" w:ascii="宋体" w:hAnsi="宋体" w:cs="宋体"/>
                <w:color w:val="auto"/>
                <w:szCs w:val="21"/>
              </w:rPr>
            </w:pPr>
            <w:r>
              <w:rPr>
                <w:rFonts w:hint="eastAsia" w:ascii="宋体" w:hAnsi="宋体" w:cs="宋体"/>
                <w:color w:val="auto"/>
                <w:szCs w:val="21"/>
              </w:rPr>
              <w:t>5</w:t>
            </w:r>
          </w:p>
        </w:tc>
        <w:tc>
          <w:tcPr>
            <w:tcW w:w="1880" w:type="dxa"/>
            <w:noWrap w:val="0"/>
            <w:vAlign w:val="center"/>
          </w:tcPr>
          <w:p w14:paraId="450A8863">
            <w:pPr>
              <w:spacing w:line="360" w:lineRule="auto"/>
              <w:jc w:val="center"/>
              <w:rPr>
                <w:rFonts w:hint="eastAsia" w:ascii="宋体" w:hAnsi="宋体" w:cs="宋体"/>
                <w:color w:val="auto"/>
                <w:szCs w:val="21"/>
              </w:rPr>
            </w:pPr>
            <w:r>
              <w:rPr>
                <w:rFonts w:hint="eastAsia" w:ascii="宋体" w:hAnsi="宋体" w:cs="宋体"/>
                <w:color w:val="auto"/>
                <w:szCs w:val="21"/>
              </w:rPr>
              <w:t>投标文件的签章</w:t>
            </w:r>
          </w:p>
        </w:tc>
        <w:tc>
          <w:tcPr>
            <w:tcW w:w="7013" w:type="dxa"/>
            <w:noWrap w:val="0"/>
            <w:vAlign w:val="center"/>
          </w:tcPr>
          <w:p w14:paraId="7DAD158F">
            <w:pPr>
              <w:spacing w:line="360" w:lineRule="auto"/>
              <w:rPr>
                <w:rFonts w:ascii="宋体" w:hAnsi="宋体" w:cs="宋体"/>
                <w:color w:val="auto"/>
                <w:szCs w:val="21"/>
              </w:rPr>
            </w:pPr>
            <w:r>
              <w:rPr>
                <w:rFonts w:hint="eastAsia" w:ascii="宋体" w:hAnsi="宋体" w:cs="宋体"/>
                <w:color w:val="auto"/>
                <w:szCs w:val="21"/>
              </w:rPr>
              <w:t>电子签章。</w:t>
            </w:r>
          </w:p>
        </w:tc>
      </w:tr>
      <w:tr w14:paraId="1F45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5C51F9C3">
            <w:pPr>
              <w:spacing w:line="360" w:lineRule="auto"/>
              <w:jc w:val="center"/>
              <w:rPr>
                <w:rFonts w:hint="eastAsia" w:ascii="宋体" w:hAnsi="宋体" w:cs="宋体"/>
                <w:color w:val="auto"/>
                <w:szCs w:val="21"/>
              </w:rPr>
            </w:pPr>
            <w:r>
              <w:rPr>
                <w:rFonts w:hint="eastAsia" w:ascii="宋体" w:hAnsi="宋体" w:cs="宋体"/>
                <w:color w:val="auto"/>
                <w:szCs w:val="21"/>
              </w:rPr>
              <w:t>6</w:t>
            </w:r>
          </w:p>
        </w:tc>
        <w:tc>
          <w:tcPr>
            <w:tcW w:w="1880" w:type="dxa"/>
            <w:noWrap w:val="0"/>
            <w:vAlign w:val="center"/>
          </w:tcPr>
          <w:p w14:paraId="0AC004C3">
            <w:pPr>
              <w:spacing w:line="360" w:lineRule="auto"/>
              <w:jc w:val="center"/>
              <w:rPr>
                <w:rFonts w:hint="eastAsia" w:ascii="宋体" w:hAnsi="宋体" w:cs="宋体"/>
                <w:color w:val="auto"/>
                <w:szCs w:val="21"/>
              </w:rPr>
            </w:pPr>
            <w:r>
              <w:rPr>
                <w:rFonts w:hint="eastAsia" w:ascii="宋体" w:hAnsi="宋体" w:cs="宋体"/>
                <w:color w:val="auto"/>
                <w:szCs w:val="21"/>
              </w:rPr>
              <w:t>投标文件的形式</w:t>
            </w:r>
          </w:p>
        </w:tc>
        <w:tc>
          <w:tcPr>
            <w:tcW w:w="7013" w:type="dxa"/>
            <w:noWrap w:val="0"/>
            <w:vAlign w:val="center"/>
          </w:tcPr>
          <w:p w14:paraId="21383898">
            <w:pPr>
              <w:spacing w:line="360" w:lineRule="auto"/>
              <w:rPr>
                <w:rFonts w:hint="eastAsia" w:ascii="宋体" w:hAnsi="宋体" w:cs="宋体"/>
                <w:color w:val="auto"/>
                <w:szCs w:val="21"/>
              </w:rPr>
            </w:pPr>
            <w:r>
              <w:rPr>
                <w:rFonts w:hint="eastAsia" w:ascii="宋体" w:hAnsi="宋体" w:cs="宋体"/>
                <w:color w:val="auto"/>
                <w:szCs w:val="21"/>
              </w:rPr>
              <w:t>电子投标文件（包括“电子加密投标文件”和“备份投标文件”， 在投标文件编制完成后同时生成）；</w:t>
            </w:r>
          </w:p>
          <w:p w14:paraId="111D6483">
            <w:pPr>
              <w:spacing w:line="360" w:lineRule="auto"/>
              <w:rPr>
                <w:rFonts w:hint="eastAsia" w:ascii="宋体" w:hAnsi="宋体" w:cs="宋体"/>
                <w:color w:val="auto"/>
                <w:szCs w:val="21"/>
              </w:rPr>
            </w:pPr>
            <w:r>
              <w:rPr>
                <w:rFonts w:hint="eastAsia" w:ascii="宋体" w:hAnsi="宋体" w:cs="宋体"/>
                <w:color w:val="auto"/>
                <w:szCs w:val="21"/>
              </w:rPr>
              <w:t>（1）“电子加密投标文件”是指通过“政采云电子交易客户端”完成投标文件编制后生成并加密的数据电文形式的投标文件。</w:t>
            </w:r>
          </w:p>
          <w:p w14:paraId="44E48CD7">
            <w:pPr>
              <w:spacing w:line="360" w:lineRule="auto"/>
              <w:rPr>
                <w:rFonts w:ascii="宋体" w:hAnsi="宋体" w:cs="宋体"/>
                <w:color w:val="auto"/>
                <w:szCs w:val="21"/>
              </w:rPr>
            </w:pPr>
            <w:r>
              <w:rPr>
                <w:rFonts w:hint="eastAsia" w:ascii="宋体" w:hAnsi="宋体" w:cs="宋体"/>
                <w:color w:val="auto"/>
                <w:szCs w:val="21"/>
              </w:rPr>
              <w:t>（2）“备份投标文件”是指与“电子加密投标文件”同时生成的数据电文形式的电子文件（备份标书），其他方式编制的备份投标文件视为无效备份投标文件。</w:t>
            </w:r>
          </w:p>
        </w:tc>
      </w:tr>
      <w:tr w14:paraId="4D0C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46AFC901">
            <w:pPr>
              <w:spacing w:line="360" w:lineRule="auto"/>
              <w:jc w:val="center"/>
              <w:rPr>
                <w:rFonts w:hint="eastAsia" w:ascii="宋体" w:hAnsi="宋体" w:cs="宋体"/>
                <w:color w:val="auto"/>
                <w:szCs w:val="21"/>
              </w:rPr>
            </w:pPr>
            <w:r>
              <w:rPr>
                <w:rFonts w:hint="eastAsia" w:ascii="宋体" w:hAnsi="宋体" w:cs="宋体"/>
                <w:color w:val="auto"/>
                <w:szCs w:val="21"/>
              </w:rPr>
              <w:t>7</w:t>
            </w:r>
          </w:p>
        </w:tc>
        <w:tc>
          <w:tcPr>
            <w:tcW w:w="1880" w:type="dxa"/>
            <w:noWrap w:val="0"/>
            <w:vAlign w:val="center"/>
          </w:tcPr>
          <w:p w14:paraId="7E32EC8A">
            <w:pPr>
              <w:spacing w:line="360" w:lineRule="auto"/>
              <w:jc w:val="center"/>
              <w:rPr>
                <w:rFonts w:hint="eastAsia" w:ascii="宋体" w:hAnsi="宋体" w:cs="宋体"/>
                <w:color w:val="auto"/>
                <w:szCs w:val="21"/>
              </w:rPr>
            </w:pPr>
            <w:r>
              <w:rPr>
                <w:rFonts w:hint="eastAsia" w:ascii="宋体" w:hAnsi="宋体" w:cs="宋体"/>
                <w:color w:val="auto"/>
                <w:szCs w:val="21"/>
              </w:rPr>
              <w:t>投标文件份数</w:t>
            </w:r>
          </w:p>
        </w:tc>
        <w:tc>
          <w:tcPr>
            <w:tcW w:w="7013" w:type="dxa"/>
            <w:noWrap w:val="0"/>
            <w:vAlign w:val="center"/>
          </w:tcPr>
          <w:p w14:paraId="6156907D">
            <w:pPr>
              <w:spacing w:line="360" w:lineRule="auto"/>
              <w:rPr>
                <w:rFonts w:hint="eastAsia" w:ascii="宋体" w:hAnsi="宋体" w:cs="宋体"/>
                <w:color w:val="auto"/>
                <w:szCs w:val="21"/>
              </w:rPr>
            </w:pPr>
            <w:r>
              <w:rPr>
                <w:rFonts w:hint="eastAsia" w:ascii="宋体" w:hAnsi="宋体" w:cs="宋体"/>
                <w:color w:val="auto"/>
                <w:szCs w:val="21"/>
              </w:rPr>
              <w:t>（1）“电子加密投标文件”：在线上传递交、一份。</w:t>
            </w:r>
          </w:p>
          <w:p w14:paraId="71A73949">
            <w:pPr>
              <w:spacing w:line="360" w:lineRule="auto"/>
              <w:rPr>
                <w:rFonts w:ascii="宋体" w:hAnsi="宋体" w:cs="宋体"/>
                <w:color w:val="auto"/>
                <w:szCs w:val="21"/>
              </w:rPr>
            </w:pPr>
            <w:r>
              <w:rPr>
                <w:rFonts w:hint="eastAsia" w:ascii="宋体" w:hAnsi="宋体" w:cs="宋体"/>
                <w:color w:val="auto"/>
                <w:szCs w:val="21"/>
              </w:rPr>
              <w:t>（2）“备份投标文件”：密封包装后（EMS邮寄或顺丰邮寄形式）投标截止时间前递交、一份</w:t>
            </w:r>
            <w:r>
              <w:rPr>
                <w:rFonts w:hint="eastAsia" w:ascii="宋体" w:hAnsi="宋体" w:cs="宋体"/>
                <w:b/>
                <w:color w:val="auto"/>
                <w:szCs w:val="21"/>
              </w:rPr>
              <w:t>（邮寄地址：浙江省玉环市泰安路</w:t>
            </w:r>
            <w:r>
              <w:rPr>
                <w:rFonts w:ascii="宋体" w:hAnsi="宋体" w:cs="宋体"/>
                <w:b/>
                <w:color w:val="auto"/>
                <w:szCs w:val="21"/>
              </w:rPr>
              <w:t>312</w:t>
            </w:r>
            <w:r>
              <w:rPr>
                <w:rFonts w:hint="eastAsia" w:ascii="宋体" w:hAnsi="宋体" w:cs="宋体"/>
                <w:b/>
                <w:color w:val="auto"/>
                <w:szCs w:val="21"/>
              </w:rPr>
              <w:t>号财富中心5号楼1</w:t>
            </w:r>
            <w:r>
              <w:rPr>
                <w:rFonts w:hint="eastAsia" w:ascii="宋体" w:hAnsi="宋体" w:cs="宋体"/>
                <w:b/>
                <w:color w:val="auto"/>
                <w:szCs w:val="21"/>
                <w:lang w:val="en-US" w:eastAsia="zh-CN"/>
              </w:rPr>
              <w:t>1</w:t>
            </w:r>
            <w:r>
              <w:rPr>
                <w:rFonts w:hint="eastAsia" w:ascii="宋体" w:hAnsi="宋体" w:cs="宋体"/>
                <w:b/>
                <w:color w:val="auto"/>
                <w:szCs w:val="21"/>
              </w:rPr>
              <w:t>层，联系人：</w:t>
            </w:r>
            <w:r>
              <w:rPr>
                <w:rFonts w:hint="eastAsia" w:ascii="宋体" w:hAnsi="宋体" w:cs="宋体"/>
                <w:b/>
                <w:color w:val="auto"/>
                <w:szCs w:val="21"/>
                <w:lang w:val="en-US" w:eastAsia="zh-CN"/>
              </w:rPr>
              <w:t>李陆明</w:t>
            </w:r>
            <w:r>
              <w:rPr>
                <w:rFonts w:hint="eastAsia" w:ascii="宋体" w:hAnsi="宋体" w:cs="宋体"/>
                <w:b/>
                <w:color w:val="auto"/>
                <w:szCs w:val="21"/>
              </w:rPr>
              <w:t>，电话：0576-8725</w:t>
            </w:r>
            <w:r>
              <w:rPr>
                <w:rFonts w:hint="eastAsia" w:ascii="宋体" w:hAnsi="宋体" w:cs="宋体"/>
                <w:b/>
                <w:color w:val="auto"/>
                <w:szCs w:val="21"/>
                <w:lang w:val="en-US" w:eastAsia="zh-CN"/>
              </w:rPr>
              <w:t>5885</w:t>
            </w:r>
            <w:r>
              <w:rPr>
                <w:rFonts w:hint="eastAsia" w:ascii="宋体" w:hAnsi="宋体" w:cs="宋体"/>
                <w:b/>
                <w:color w:val="auto"/>
                <w:szCs w:val="21"/>
              </w:rPr>
              <w:t>、1370686</w:t>
            </w:r>
            <w:r>
              <w:rPr>
                <w:rFonts w:hint="eastAsia" w:ascii="宋体" w:hAnsi="宋体" w:cs="宋体"/>
                <w:b/>
                <w:color w:val="auto"/>
                <w:szCs w:val="21"/>
                <w:lang w:val="en-US" w:eastAsia="zh-CN"/>
              </w:rPr>
              <w:t>2501</w:t>
            </w:r>
            <w:r>
              <w:rPr>
                <w:rFonts w:hint="eastAsia" w:ascii="宋体" w:hAnsi="宋体" w:cs="宋体"/>
                <w:b/>
                <w:color w:val="auto"/>
                <w:szCs w:val="21"/>
              </w:rPr>
              <w:t>）。</w:t>
            </w:r>
          </w:p>
        </w:tc>
      </w:tr>
      <w:tr w14:paraId="717F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2FF01D2F">
            <w:pPr>
              <w:spacing w:line="360" w:lineRule="auto"/>
              <w:jc w:val="center"/>
              <w:rPr>
                <w:rFonts w:hint="eastAsia" w:ascii="宋体" w:hAnsi="宋体" w:cs="宋体"/>
                <w:color w:val="auto"/>
                <w:szCs w:val="21"/>
              </w:rPr>
            </w:pPr>
            <w:r>
              <w:rPr>
                <w:rFonts w:hint="eastAsia" w:ascii="宋体" w:hAnsi="宋体" w:cs="宋体"/>
                <w:color w:val="auto"/>
                <w:szCs w:val="21"/>
              </w:rPr>
              <w:t>8</w:t>
            </w:r>
          </w:p>
        </w:tc>
        <w:tc>
          <w:tcPr>
            <w:tcW w:w="1880" w:type="dxa"/>
            <w:noWrap w:val="0"/>
            <w:vAlign w:val="center"/>
          </w:tcPr>
          <w:p w14:paraId="2018137D">
            <w:pPr>
              <w:spacing w:line="360" w:lineRule="auto"/>
              <w:jc w:val="center"/>
              <w:rPr>
                <w:rFonts w:hint="eastAsia" w:ascii="宋体" w:hAnsi="宋体" w:cs="宋体"/>
                <w:color w:val="auto"/>
                <w:szCs w:val="21"/>
              </w:rPr>
            </w:pPr>
            <w:r>
              <w:rPr>
                <w:rFonts w:hint="eastAsia" w:ascii="宋体" w:hAnsi="宋体" w:cs="宋体"/>
                <w:color w:val="auto"/>
                <w:szCs w:val="21"/>
              </w:rPr>
              <w:t>投标文件的上传和递交</w:t>
            </w:r>
          </w:p>
        </w:tc>
        <w:tc>
          <w:tcPr>
            <w:tcW w:w="7013" w:type="dxa"/>
            <w:noWrap w:val="0"/>
            <w:vAlign w:val="center"/>
          </w:tcPr>
          <w:p w14:paraId="666D3CE6">
            <w:pPr>
              <w:spacing w:line="360" w:lineRule="auto"/>
              <w:rPr>
                <w:rFonts w:hint="eastAsia" w:ascii="宋体" w:hAnsi="宋体" w:cs="宋体"/>
                <w:color w:val="auto"/>
                <w:szCs w:val="21"/>
              </w:rPr>
            </w:pPr>
            <w:r>
              <w:rPr>
                <w:rFonts w:hint="eastAsia" w:ascii="宋体" w:hAnsi="宋体" w:cs="宋体"/>
                <w:color w:val="auto"/>
                <w:szCs w:val="21"/>
              </w:rPr>
              <w:t>（1）“电子加密投标文件”的上传、递交：</w:t>
            </w:r>
          </w:p>
          <w:p w14:paraId="24DF2E45">
            <w:pPr>
              <w:spacing w:line="360" w:lineRule="auto"/>
              <w:rPr>
                <w:rFonts w:hint="eastAsia" w:ascii="宋体" w:hAnsi="宋体" w:cs="宋体"/>
                <w:color w:val="auto"/>
                <w:szCs w:val="21"/>
              </w:rPr>
            </w:pPr>
            <w:r>
              <w:rPr>
                <w:rFonts w:hint="eastAsia" w:ascii="宋体" w:hAnsi="宋体" w:cs="宋体"/>
                <w:color w:val="auto"/>
                <w:szCs w:val="21"/>
              </w:rPr>
              <w:t>a.投标供应商应在投标截止时间前将“电子加密投标文件”成功上传递交至“政府采购云平台”，否则投标无效。</w:t>
            </w:r>
          </w:p>
          <w:p w14:paraId="6D45ACE0">
            <w:pPr>
              <w:spacing w:line="360" w:lineRule="auto"/>
              <w:rPr>
                <w:rFonts w:hint="eastAsia" w:ascii="宋体" w:hAnsi="宋体" w:cs="宋体"/>
                <w:color w:val="auto"/>
                <w:szCs w:val="21"/>
              </w:rPr>
            </w:pPr>
            <w:r>
              <w:rPr>
                <w:rFonts w:hint="eastAsia" w:ascii="宋体" w:hAnsi="宋体" w:cs="宋体"/>
                <w:color w:val="auto"/>
                <w:szCs w:val="21"/>
              </w:rPr>
              <w:t>b.“电子加密投标文件”成功上传递交后，供应商可自行打印投标文件接收回执。</w:t>
            </w:r>
          </w:p>
          <w:p w14:paraId="0E4309B3">
            <w:pPr>
              <w:spacing w:line="360" w:lineRule="auto"/>
              <w:rPr>
                <w:rFonts w:hint="eastAsia" w:ascii="宋体" w:hAnsi="宋体" w:cs="宋体"/>
                <w:color w:val="auto"/>
                <w:szCs w:val="21"/>
              </w:rPr>
            </w:pPr>
            <w:r>
              <w:rPr>
                <w:rFonts w:hint="eastAsia" w:ascii="宋体" w:hAnsi="宋体" w:cs="宋体"/>
                <w:color w:val="auto"/>
                <w:szCs w:val="21"/>
              </w:rPr>
              <w:t>（2）“备份投标文件”的密封包装、递交：</w:t>
            </w:r>
          </w:p>
          <w:p w14:paraId="1A6E9481">
            <w:pPr>
              <w:spacing w:line="360" w:lineRule="auto"/>
              <w:rPr>
                <w:rFonts w:hint="eastAsia" w:ascii="宋体" w:hAnsi="宋体" w:cs="宋体"/>
                <w:color w:val="auto"/>
                <w:szCs w:val="21"/>
              </w:rPr>
            </w:pPr>
            <w:r>
              <w:rPr>
                <w:rFonts w:hint="eastAsia" w:ascii="宋体" w:hAnsi="宋体" w:cs="宋体"/>
                <w:color w:val="auto"/>
                <w:szCs w:val="21"/>
              </w:rPr>
              <w:t>a.投标供应商在“政府采购云平台”完成“电子加密投标文件”的上传递交后，还可以（EMS邮寄或顺丰邮寄形式）在投标截止时间前递交以介质（U盘）存储的 “备份投标文件”（一份）；</w:t>
            </w:r>
          </w:p>
          <w:p w14:paraId="1DA422EB">
            <w:pPr>
              <w:spacing w:line="360" w:lineRule="auto"/>
              <w:rPr>
                <w:rFonts w:hint="eastAsia" w:ascii="宋体" w:hAnsi="宋体" w:cs="宋体"/>
                <w:color w:val="auto"/>
                <w:szCs w:val="21"/>
              </w:rPr>
            </w:pPr>
            <w:r>
              <w:rPr>
                <w:rFonts w:hint="eastAsia" w:ascii="宋体" w:hAnsi="宋体" w:cs="宋体"/>
                <w:color w:val="auto"/>
                <w:szCs w:val="21"/>
              </w:rPr>
              <w:t>b.“备份投标文件”应当密封包装，并在包装上标注投标项目名称、投标单位名称并加盖公章。没有密封包装或者逾期邮寄送达至投标地点的“备份投标文件”将不予接收；</w:t>
            </w:r>
          </w:p>
          <w:p w14:paraId="08905572">
            <w:pPr>
              <w:spacing w:line="360" w:lineRule="auto"/>
              <w:rPr>
                <w:rFonts w:ascii="宋体" w:hAnsi="宋体" w:cs="宋体"/>
                <w:color w:val="auto"/>
                <w:szCs w:val="21"/>
              </w:rPr>
            </w:pPr>
            <w:r>
              <w:rPr>
                <w:rFonts w:hint="eastAsia" w:ascii="宋体" w:hAnsi="宋体" w:cs="宋体"/>
                <w:color w:val="auto"/>
                <w:szCs w:val="21"/>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14:paraId="5A2C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27612D14">
            <w:pPr>
              <w:spacing w:line="360" w:lineRule="auto"/>
              <w:jc w:val="center"/>
              <w:rPr>
                <w:rFonts w:hint="eastAsia" w:ascii="宋体" w:hAnsi="宋体" w:cs="宋体"/>
                <w:color w:val="auto"/>
                <w:szCs w:val="21"/>
              </w:rPr>
            </w:pPr>
            <w:r>
              <w:rPr>
                <w:rFonts w:hint="eastAsia" w:ascii="宋体" w:hAnsi="宋体" w:cs="宋体"/>
                <w:color w:val="auto"/>
                <w:szCs w:val="21"/>
              </w:rPr>
              <w:t>9</w:t>
            </w:r>
          </w:p>
        </w:tc>
        <w:tc>
          <w:tcPr>
            <w:tcW w:w="1880" w:type="dxa"/>
            <w:noWrap w:val="0"/>
            <w:vAlign w:val="center"/>
          </w:tcPr>
          <w:p w14:paraId="574C0B66">
            <w:pPr>
              <w:spacing w:line="360" w:lineRule="auto"/>
              <w:rPr>
                <w:rFonts w:hint="eastAsia" w:ascii="宋体" w:hAnsi="宋体" w:cs="宋体"/>
                <w:b/>
                <w:bCs/>
                <w:color w:val="auto"/>
                <w:sz w:val="24"/>
                <w:lang w:bidi="ar"/>
              </w:rPr>
            </w:pPr>
            <w:r>
              <w:rPr>
                <w:rFonts w:hint="eastAsia" w:ascii="宋体" w:hAnsi="宋体" w:cs="宋体"/>
                <w:color w:val="auto"/>
                <w:szCs w:val="21"/>
              </w:rPr>
              <w:t>电子加密投标文件的解密和异常情况处理</w:t>
            </w:r>
          </w:p>
        </w:tc>
        <w:tc>
          <w:tcPr>
            <w:tcW w:w="7013" w:type="dxa"/>
            <w:noWrap w:val="0"/>
            <w:vAlign w:val="center"/>
          </w:tcPr>
          <w:p w14:paraId="57DE31DC">
            <w:pPr>
              <w:spacing w:line="360" w:lineRule="auto"/>
              <w:rPr>
                <w:rFonts w:hint="eastAsia" w:ascii="宋体" w:hAnsi="宋体" w:cs="宋体"/>
                <w:color w:val="auto"/>
                <w:szCs w:val="21"/>
              </w:rPr>
            </w:pPr>
            <w:r>
              <w:rPr>
                <w:rFonts w:hint="eastAsia" w:ascii="宋体" w:hAnsi="宋体" w:cs="宋体"/>
                <w:color w:val="auto"/>
                <w:szCs w:val="21"/>
              </w:rPr>
              <w:t>（1）开标后，采购组织机构将向各投标供应商发出“电子加密投标文件”的解密通知，各投标供应商代表应当在接到解密通知后30分钟内自行完成“电子加密投标文件”的在线解密。</w:t>
            </w:r>
          </w:p>
          <w:p w14:paraId="673AF68E">
            <w:pPr>
              <w:spacing w:line="360" w:lineRule="auto"/>
              <w:rPr>
                <w:rFonts w:hint="eastAsia" w:ascii="宋体" w:hAnsi="宋体" w:cs="宋体"/>
                <w:color w:val="auto"/>
                <w:szCs w:val="21"/>
              </w:rPr>
            </w:pPr>
            <w:r>
              <w:rPr>
                <w:rFonts w:hint="eastAsia" w:ascii="宋体" w:hAnsi="宋体" w:cs="宋体"/>
                <w:color w:val="auto"/>
                <w:szCs w:val="21"/>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5EFE1602">
            <w:pPr>
              <w:spacing w:line="360" w:lineRule="auto"/>
              <w:rPr>
                <w:rFonts w:ascii="宋体" w:hAnsi="宋体" w:cs="宋体"/>
                <w:color w:val="auto"/>
                <w:szCs w:val="21"/>
              </w:rPr>
            </w:pPr>
            <w:r>
              <w:rPr>
                <w:rFonts w:hint="eastAsia" w:ascii="宋体" w:hAnsi="宋体" w:cs="宋体"/>
                <w:color w:val="auto"/>
                <w:szCs w:val="21"/>
              </w:rPr>
              <w:t>（3）投标截止时间前，投标供应商仅递交了“备份投标文件”而未将电子加密投标文件上传至“政府采购云平台”的，投标无效。</w:t>
            </w:r>
          </w:p>
        </w:tc>
      </w:tr>
      <w:tr w14:paraId="656E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616F20A9">
            <w:pPr>
              <w:spacing w:line="360" w:lineRule="auto"/>
              <w:jc w:val="center"/>
              <w:rPr>
                <w:rFonts w:hint="eastAsia" w:ascii="宋体" w:hAnsi="宋体" w:cs="宋体"/>
                <w:color w:val="auto"/>
                <w:szCs w:val="21"/>
              </w:rPr>
            </w:pPr>
            <w:r>
              <w:rPr>
                <w:rFonts w:hint="eastAsia" w:ascii="宋体" w:hAnsi="宋体" w:cs="宋体"/>
                <w:color w:val="auto"/>
                <w:szCs w:val="21"/>
              </w:rPr>
              <w:t>10</w:t>
            </w:r>
          </w:p>
        </w:tc>
        <w:tc>
          <w:tcPr>
            <w:tcW w:w="1880" w:type="dxa"/>
            <w:noWrap w:val="0"/>
            <w:vAlign w:val="center"/>
          </w:tcPr>
          <w:p w14:paraId="4AF85F4E">
            <w:pPr>
              <w:spacing w:line="360" w:lineRule="auto"/>
              <w:jc w:val="center"/>
              <w:rPr>
                <w:rFonts w:ascii="宋体" w:cs="宋体"/>
                <w:color w:val="auto"/>
                <w:szCs w:val="21"/>
              </w:rPr>
            </w:pPr>
            <w:r>
              <w:rPr>
                <w:rFonts w:hint="eastAsia" w:ascii="宋体" w:hAnsi="宋体" w:cs="宋体"/>
                <w:color w:val="auto"/>
                <w:szCs w:val="21"/>
              </w:rPr>
              <w:t>投标有效期</w:t>
            </w:r>
          </w:p>
        </w:tc>
        <w:tc>
          <w:tcPr>
            <w:tcW w:w="7013" w:type="dxa"/>
            <w:noWrap w:val="0"/>
            <w:vAlign w:val="center"/>
          </w:tcPr>
          <w:p w14:paraId="00858DDC">
            <w:pPr>
              <w:spacing w:line="360" w:lineRule="auto"/>
              <w:rPr>
                <w:rFonts w:ascii="宋体" w:cs="宋体"/>
                <w:color w:val="auto"/>
                <w:szCs w:val="21"/>
              </w:rPr>
            </w:pPr>
            <w:r>
              <w:rPr>
                <w:rFonts w:hint="eastAsia" w:ascii="宋体" w:hAnsi="宋体" w:cs="宋体"/>
                <w:color w:val="auto"/>
                <w:szCs w:val="21"/>
              </w:rPr>
              <w:t>投标有效期为开标后</w:t>
            </w:r>
            <w:r>
              <w:rPr>
                <w:rFonts w:ascii="宋体" w:hAnsi="宋体" w:cs="宋体"/>
                <w:color w:val="auto"/>
                <w:szCs w:val="21"/>
              </w:rPr>
              <w:t>90</w:t>
            </w:r>
            <w:r>
              <w:rPr>
                <w:rFonts w:hint="eastAsia" w:ascii="宋体" w:hAnsi="宋体" w:cs="宋体"/>
                <w:color w:val="auto"/>
                <w:szCs w:val="21"/>
              </w:rPr>
              <w:t>天，</w:t>
            </w:r>
            <w:r>
              <w:rPr>
                <w:rFonts w:hint="eastAsia" w:ascii="宋体" w:hAnsi="宋体" w:cs="宋体"/>
                <w:color w:val="auto"/>
                <w:kern w:val="0"/>
                <w:szCs w:val="21"/>
              </w:rPr>
              <w:t>投标有效期从提交投标文件的截止之日起算。</w:t>
            </w:r>
          </w:p>
        </w:tc>
      </w:tr>
      <w:tr w14:paraId="4260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5209FD31">
            <w:pPr>
              <w:spacing w:line="360" w:lineRule="auto"/>
              <w:jc w:val="center"/>
              <w:rPr>
                <w:rFonts w:hint="eastAsia" w:ascii="宋体" w:hAnsi="宋体" w:cs="宋体"/>
                <w:color w:val="auto"/>
                <w:szCs w:val="21"/>
              </w:rPr>
            </w:pPr>
            <w:r>
              <w:rPr>
                <w:rFonts w:hint="eastAsia" w:ascii="宋体" w:hAnsi="宋体" w:cs="宋体"/>
                <w:color w:val="auto"/>
                <w:szCs w:val="21"/>
              </w:rPr>
              <w:t>11</w:t>
            </w:r>
          </w:p>
        </w:tc>
        <w:tc>
          <w:tcPr>
            <w:tcW w:w="1880" w:type="dxa"/>
            <w:noWrap w:val="0"/>
            <w:vAlign w:val="center"/>
          </w:tcPr>
          <w:p w14:paraId="13CF3CD0">
            <w:pPr>
              <w:spacing w:line="360" w:lineRule="auto"/>
              <w:jc w:val="center"/>
              <w:rPr>
                <w:rFonts w:hint="eastAsia" w:ascii="宋体" w:hAnsi="宋体" w:cs="宋体"/>
                <w:color w:val="auto"/>
                <w:kern w:val="0"/>
                <w:szCs w:val="21"/>
              </w:rPr>
            </w:pPr>
            <w:r>
              <w:rPr>
                <w:rFonts w:hint="eastAsia" w:ascii="宋体" w:hAnsi="宋体" w:cs="宋体"/>
                <w:color w:val="auto"/>
                <w:kern w:val="0"/>
                <w:szCs w:val="21"/>
              </w:rPr>
              <w:t>投标截止时间</w:t>
            </w:r>
          </w:p>
        </w:tc>
        <w:tc>
          <w:tcPr>
            <w:tcW w:w="7013" w:type="dxa"/>
            <w:noWrap w:val="0"/>
            <w:vAlign w:val="center"/>
          </w:tcPr>
          <w:p w14:paraId="3B58558C">
            <w:pPr>
              <w:spacing w:line="360" w:lineRule="auto"/>
              <w:rPr>
                <w:rFonts w:hint="eastAsia" w:ascii="宋体" w:hAnsi="宋体" w:cs="宋体"/>
                <w:color w:val="auto"/>
                <w:kern w:val="0"/>
                <w:szCs w:val="21"/>
              </w:rPr>
            </w:pPr>
            <w:r>
              <w:rPr>
                <w:rFonts w:hint="eastAsia" w:ascii="宋体" w:hAnsi="宋体"/>
                <w:color w:val="auto"/>
                <w:szCs w:val="21"/>
              </w:rPr>
              <w:t>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6</w:t>
            </w:r>
            <w:bookmarkStart w:id="4" w:name="_GoBack"/>
            <w:bookmarkEnd w:id="4"/>
            <w:r>
              <w:rPr>
                <w:rFonts w:hint="eastAsia" w:ascii="宋体" w:hAnsi="宋体"/>
                <w:color w:val="auto"/>
                <w:szCs w:val="21"/>
              </w:rPr>
              <w:t>日9:30</w:t>
            </w:r>
          </w:p>
        </w:tc>
      </w:tr>
      <w:tr w14:paraId="2CCB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63B6AE80">
            <w:pPr>
              <w:spacing w:line="360" w:lineRule="auto"/>
              <w:jc w:val="center"/>
              <w:rPr>
                <w:rFonts w:hint="eastAsia" w:ascii="宋体" w:hAnsi="宋体" w:cs="宋体"/>
                <w:color w:val="auto"/>
                <w:szCs w:val="21"/>
              </w:rPr>
            </w:pPr>
            <w:r>
              <w:rPr>
                <w:rFonts w:hint="eastAsia" w:ascii="宋体" w:hAnsi="宋体" w:cs="宋体"/>
                <w:color w:val="auto"/>
                <w:szCs w:val="21"/>
              </w:rPr>
              <w:t>12</w:t>
            </w:r>
          </w:p>
        </w:tc>
        <w:tc>
          <w:tcPr>
            <w:tcW w:w="1880" w:type="dxa"/>
            <w:noWrap w:val="0"/>
            <w:vAlign w:val="center"/>
          </w:tcPr>
          <w:p w14:paraId="7B32C34B">
            <w:pPr>
              <w:spacing w:line="360" w:lineRule="auto"/>
              <w:jc w:val="center"/>
              <w:rPr>
                <w:rFonts w:hint="eastAsia" w:ascii="宋体" w:hAnsi="宋体" w:cs="宋体"/>
                <w:color w:val="auto"/>
                <w:kern w:val="0"/>
                <w:szCs w:val="21"/>
              </w:rPr>
            </w:pPr>
            <w:r>
              <w:rPr>
                <w:rFonts w:hint="eastAsia" w:ascii="宋体" w:hAnsi="宋体" w:cs="宋体"/>
                <w:color w:val="auto"/>
                <w:kern w:val="0"/>
                <w:szCs w:val="21"/>
              </w:rPr>
              <w:t>投标地点</w:t>
            </w:r>
          </w:p>
        </w:tc>
        <w:tc>
          <w:tcPr>
            <w:tcW w:w="7013" w:type="dxa"/>
            <w:noWrap w:val="0"/>
            <w:vAlign w:val="center"/>
          </w:tcPr>
          <w:p w14:paraId="4FF4FDBF">
            <w:pPr>
              <w:spacing w:line="360" w:lineRule="auto"/>
              <w:rPr>
                <w:rFonts w:hint="eastAsia" w:ascii="宋体" w:hAnsi="宋体" w:cs="宋体"/>
                <w:color w:val="auto"/>
                <w:kern w:val="0"/>
                <w:szCs w:val="21"/>
              </w:rPr>
            </w:pPr>
            <w:r>
              <w:rPr>
                <w:rFonts w:hint="eastAsia" w:ascii="宋体" w:hAnsi="宋体" w:cs="宋体"/>
                <w:color w:val="auto"/>
                <w:kern w:val="0"/>
                <w:szCs w:val="21"/>
              </w:rPr>
              <w:t>通过“政府采购云平台（www.zcygov.cn）”实行在线投标响应。</w:t>
            </w:r>
          </w:p>
        </w:tc>
      </w:tr>
      <w:tr w14:paraId="102F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noWrap w:val="0"/>
            <w:vAlign w:val="center"/>
          </w:tcPr>
          <w:p w14:paraId="1F41440D">
            <w:pPr>
              <w:spacing w:line="360" w:lineRule="auto"/>
              <w:jc w:val="center"/>
              <w:rPr>
                <w:rFonts w:hint="eastAsia" w:ascii="宋体" w:hAnsi="宋体" w:cs="宋体"/>
                <w:color w:val="auto"/>
                <w:szCs w:val="21"/>
              </w:rPr>
            </w:pPr>
            <w:r>
              <w:rPr>
                <w:rFonts w:hint="eastAsia" w:ascii="宋体" w:hAnsi="宋体" w:cs="宋体"/>
                <w:color w:val="auto"/>
                <w:szCs w:val="21"/>
              </w:rPr>
              <w:t>13</w:t>
            </w:r>
          </w:p>
        </w:tc>
        <w:tc>
          <w:tcPr>
            <w:tcW w:w="1880" w:type="dxa"/>
            <w:noWrap w:val="0"/>
            <w:vAlign w:val="center"/>
          </w:tcPr>
          <w:p w14:paraId="00CEC463">
            <w:pPr>
              <w:spacing w:line="360" w:lineRule="auto"/>
              <w:jc w:val="center"/>
              <w:rPr>
                <w:rFonts w:hint="eastAsia" w:ascii="宋体" w:hAnsi="宋体" w:cs="宋体"/>
                <w:color w:val="auto"/>
                <w:kern w:val="0"/>
                <w:szCs w:val="21"/>
              </w:rPr>
            </w:pPr>
            <w:r>
              <w:rPr>
                <w:rFonts w:hint="eastAsia" w:ascii="宋体" w:hAnsi="宋体" w:cs="宋体"/>
                <w:color w:val="auto"/>
                <w:kern w:val="0"/>
                <w:szCs w:val="21"/>
              </w:rPr>
              <w:t>开标时间和地点</w:t>
            </w:r>
          </w:p>
        </w:tc>
        <w:tc>
          <w:tcPr>
            <w:tcW w:w="7013" w:type="dxa"/>
            <w:noWrap w:val="0"/>
            <w:vAlign w:val="center"/>
          </w:tcPr>
          <w:p w14:paraId="62048C3A">
            <w:pPr>
              <w:spacing w:line="360" w:lineRule="auto"/>
              <w:rPr>
                <w:rFonts w:hint="eastAsia" w:ascii="宋体" w:hAnsi="宋体" w:cs="宋体"/>
                <w:color w:val="auto"/>
                <w:kern w:val="0"/>
                <w:szCs w:val="21"/>
              </w:rPr>
            </w:pPr>
            <w:r>
              <w:rPr>
                <w:rFonts w:hint="eastAsia" w:ascii="宋体" w:hAnsi="宋体" w:cs="宋体"/>
                <w:color w:val="auto"/>
                <w:kern w:val="0"/>
                <w:szCs w:val="21"/>
              </w:rPr>
              <w:t>同投标截止时间与地点</w:t>
            </w:r>
          </w:p>
        </w:tc>
      </w:tr>
      <w:tr w14:paraId="34C6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40" w:type="dxa"/>
            <w:noWrap w:val="0"/>
            <w:vAlign w:val="center"/>
          </w:tcPr>
          <w:p w14:paraId="063B4CBB">
            <w:pPr>
              <w:spacing w:line="360" w:lineRule="auto"/>
              <w:jc w:val="center"/>
              <w:rPr>
                <w:rFonts w:hint="eastAsia" w:ascii="宋体" w:hAnsi="宋体" w:cs="宋体"/>
                <w:color w:val="auto"/>
                <w:szCs w:val="21"/>
              </w:rPr>
            </w:pPr>
            <w:r>
              <w:rPr>
                <w:rFonts w:hint="eastAsia" w:ascii="宋体" w:hAnsi="宋体" w:cs="宋体"/>
                <w:color w:val="auto"/>
                <w:szCs w:val="21"/>
              </w:rPr>
              <w:t>14</w:t>
            </w:r>
          </w:p>
        </w:tc>
        <w:tc>
          <w:tcPr>
            <w:tcW w:w="1880" w:type="dxa"/>
            <w:noWrap w:val="0"/>
            <w:vAlign w:val="center"/>
          </w:tcPr>
          <w:p w14:paraId="3F09B3F3">
            <w:pPr>
              <w:spacing w:line="360" w:lineRule="auto"/>
              <w:jc w:val="center"/>
              <w:rPr>
                <w:rFonts w:ascii="宋体" w:cs="宋体"/>
                <w:color w:val="auto"/>
                <w:szCs w:val="21"/>
              </w:rPr>
            </w:pPr>
            <w:r>
              <w:rPr>
                <w:rFonts w:hint="eastAsia" w:ascii="宋体" w:hAnsi="宋体" w:cs="宋体"/>
                <w:color w:val="auto"/>
                <w:szCs w:val="21"/>
              </w:rPr>
              <w:t>投标保证金</w:t>
            </w:r>
          </w:p>
        </w:tc>
        <w:tc>
          <w:tcPr>
            <w:tcW w:w="7013" w:type="dxa"/>
            <w:noWrap w:val="0"/>
            <w:vAlign w:val="center"/>
          </w:tcPr>
          <w:p w14:paraId="40D70E51">
            <w:pPr>
              <w:spacing w:line="360" w:lineRule="auto"/>
              <w:rPr>
                <w:rFonts w:ascii="宋体" w:cs="宋体"/>
                <w:color w:val="auto"/>
                <w:szCs w:val="21"/>
              </w:rPr>
            </w:pPr>
            <w:r>
              <w:rPr>
                <w:rFonts w:hint="eastAsia" w:ascii="宋体" w:cs="宋体"/>
                <w:color w:val="auto"/>
                <w:szCs w:val="21"/>
              </w:rPr>
              <w:t>无</w:t>
            </w:r>
          </w:p>
        </w:tc>
      </w:tr>
      <w:tr w14:paraId="1481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40" w:type="dxa"/>
            <w:noWrap w:val="0"/>
            <w:vAlign w:val="center"/>
          </w:tcPr>
          <w:p w14:paraId="0AE41986">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15</w:t>
            </w:r>
          </w:p>
        </w:tc>
        <w:tc>
          <w:tcPr>
            <w:tcW w:w="1880" w:type="dxa"/>
            <w:noWrap w:val="0"/>
            <w:vAlign w:val="center"/>
          </w:tcPr>
          <w:p w14:paraId="76FAFA83">
            <w:pPr>
              <w:spacing w:line="348" w:lineRule="auto"/>
              <w:ind w:right="-1" w:rightChars="0"/>
              <w:rPr>
                <w:rFonts w:hint="eastAsia" w:ascii="宋体" w:hAnsi="宋体" w:cs="宋体"/>
                <w:color w:val="auto"/>
                <w:szCs w:val="21"/>
              </w:rPr>
            </w:pPr>
            <w:r>
              <w:rPr>
                <w:rFonts w:hint="eastAsia" w:ascii="宋体"/>
                <w:color w:val="auto"/>
                <w:szCs w:val="21"/>
                <w:highlight w:val="none"/>
              </w:rPr>
              <w:t>评标委员会组成人数</w:t>
            </w:r>
          </w:p>
        </w:tc>
        <w:tc>
          <w:tcPr>
            <w:tcW w:w="7013" w:type="dxa"/>
            <w:noWrap w:val="0"/>
            <w:vAlign w:val="center"/>
          </w:tcPr>
          <w:p w14:paraId="2675B90D">
            <w:pPr>
              <w:spacing w:line="348" w:lineRule="auto"/>
              <w:ind w:right="-1" w:rightChars="0"/>
              <w:rPr>
                <w:rFonts w:hint="eastAsia" w:ascii="宋体" w:cs="宋体"/>
                <w:color w:val="auto"/>
                <w:szCs w:val="21"/>
              </w:rPr>
            </w:pPr>
            <w:r>
              <w:rPr>
                <w:rFonts w:hint="eastAsia" w:hAnsi="宋体"/>
                <w:color w:val="auto"/>
              </w:rPr>
              <w:t>本项目评标委员会由采购评审专家和采购单位评审代表组成，成员为5人及以上单数，其中技术、经济类专家不得少于总人数的2/3。</w:t>
            </w:r>
          </w:p>
        </w:tc>
      </w:tr>
      <w:tr w14:paraId="26F2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40" w:type="dxa"/>
            <w:noWrap w:val="0"/>
            <w:vAlign w:val="center"/>
          </w:tcPr>
          <w:p w14:paraId="4930DF63">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16</w:t>
            </w:r>
          </w:p>
        </w:tc>
        <w:tc>
          <w:tcPr>
            <w:tcW w:w="1880" w:type="dxa"/>
            <w:noWrap w:val="0"/>
            <w:vAlign w:val="center"/>
          </w:tcPr>
          <w:p w14:paraId="3608C97A">
            <w:pPr>
              <w:spacing w:line="360" w:lineRule="auto"/>
              <w:jc w:val="center"/>
              <w:rPr>
                <w:rFonts w:hint="eastAsia" w:ascii="宋体" w:hAnsi="宋体" w:cs="宋体"/>
                <w:color w:val="auto"/>
                <w:szCs w:val="21"/>
              </w:rPr>
            </w:pPr>
            <w:r>
              <w:rPr>
                <w:rFonts w:hint="eastAsia" w:ascii="宋体"/>
                <w:color w:val="auto"/>
                <w:szCs w:val="21"/>
                <w:highlight w:val="none"/>
              </w:rPr>
              <w:t>评标方法</w:t>
            </w:r>
          </w:p>
        </w:tc>
        <w:tc>
          <w:tcPr>
            <w:tcW w:w="7013" w:type="dxa"/>
            <w:noWrap w:val="0"/>
            <w:vAlign w:val="center"/>
          </w:tcPr>
          <w:p w14:paraId="0B66EFD2">
            <w:pPr>
              <w:rPr>
                <w:rFonts w:hint="eastAsia" w:ascii="宋体" w:cs="宋体"/>
                <w:color w:val="auto"/>
                <w:szCs w:val="21"/>
              </w:rPr>
            </w:pPr>
            <w:r>
              <w:rPr>
                <w:rFonts w:hint="eastAsia" w:ascii="宋体"/>
                <w:color w:val="auto"/>
                <w:szCs w:val="21"/>
                <w:highlight w:val="none"/>
              </w:rPr>
              <w:t>综合评估法</w:t>
            </w:r>
          </w:p>
        </w:tc>
      </w:tr>
      <w:tr w14:paraId="0607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40" w:type="dxa"/>
            <w:noWrap w:val="0"/>
            <w:vAlign w:val="center"/>
          </w:tcPr>
          <w:p w14:paraId="16D874FE">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17</w:t>
            </w:r>
          </w:p>
        </w:tc>
        <w:tc>
          <w:tcPr>
            <w:tcW w:w="1880" w:type="dxa"/>
            <w:noWrap w:val="0"/>
            <w:vAlign w:val="center"/>
          </w:tcPr>
          <w:p w14:paraId="27248874">
            <w:pPr>
              <w:jc w:val="center"/>
              <w:rPr>
                <w:rFonts w:hint="eastAsia" w:ascii="宋体" w:hAnsi="宋体" w:cs="宋体"/>
                <w:color w:val="auto"/>
                <w:szCs w:val="21"/>
              </w:rPr>
            </w:pPr>
            <w:r>
              <w:rPr>
                <w:rFonts w:hint="eastAsia" w:ascii="宋体" w:hAnsi="宋体" w:cs="宋体"/>
                <w:color w:val="auto"/>
                <w:szCs w:val="21"/>
              </w:rPr>
              <w:t>中标候选人</w:t>
            </w:r>
          </w:p>
        </w:tc>
        <w:tc>
          <w:tcPr>
            <w:tcW w:w="7013" w:type="dxa"/>
            <w:noWrap w:val="0"/>
            <w:vAlign w:val="center"/>
          </w:tcPr>
          <w:p w14:paraId="33564ADF">
            <w:pPr>
              <w:jc w:val="left"/>
              <w:rPr>
                <w:rFonts w:hint="eastAsia" w:ascii="宋体" w:cs="宋体"/>
                <w:color w:val="auto"/>
                <w:szCs w:val="21"/>
              </w:rPr>
            </w:pPr>
            <w:r>
              <w:rPr>
                <w:rFonts w:hint="eastAsia" w:ascii="宋体" w:hAnsi="宋体" w:cs="宋体"/>
                <w:color w:val="auto"/>
                <w:szCs w:val="21"/>
              </w:rPr>
              <w:t>本项目推荐中标候选人：1 名。</w:t>
            </w:r>
          </w:p>
        </w:tc>
      </w:tr>
      <w:tr w14:paraId="1E9C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noWrap w:val="0"/>
            <w:vAlign w:val="center"/>
          </w:tcPr>
          <w:p w14:paraId="0A24A435">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18</w:t>
            </w:r>
          </w:p>
        </w:tc>
        <w:tc>
          <w:tcPr>
            <w:tcW w:w="1880" w:type="dxa"/>
            <w:noWrap w:val="0"/>
            <w:vAlign w:val="center"/>
          </w:tcPr>
          <w:p w14:paraId="476DF6AA">
            <w:pPr>
              <w:spacing w:line="360" w:lineRule="auto"/>
              <w:jc w:val="center"/>
              <w:rPr>
                <w:rFonts w:ascii="宋体" w:cs="宋体"/>
                <w:color w:val="auto"/>
                <w:szCs w:val="21"/>
              </w:rPr>
            </w:pPr>
            <w:r>
              <w:rPr>
                <w:rFonts w:hint="eastAsia" w:ascii="宋体" w:hAnsi="宋体" w:cs="宋体"/>
                <w:color w:val="auto"/>
                <w:szCs w:val="21"/>
              </w:rPr>
              <w:t>履约保证金</w:t>
            </w:r>
          </w:p>
        </w:tc>
        <w:tc>
          <w:tcPr>
            <w:tcW w:w="7013" w:type="dxa"/>
            <w:noWrap w:val="0"/>
            <w:vAlign w:val="center"/>
          </w:tcPr>
          <w:p w14:paraId="6C5F390F">
            <w:pPr>
              <w:pStyle w:val="13"/>
              <w:spacing w:line="360" w:lineRule="auto"/>
              <w:ind w:left="0" w:leftChars="0"/>
              <w:rPr>
                <w:rFonts w:hint="eastAsia" w:ascii="宋体" w:hAnsi="宋体" w:eastAsia="宋体" w:cs="宋体"/>
                <w:color w:val="auto"/>
                <w:sz w:val="21"/>
                <w:szCs w:val="21"/>
              </w:rPr>
            </w:pPr>
            <w:r>
              <w:rPr>
                <w:rFonts w:hint="eastAsia" w:ascii="宋体" w:hAnsi="宋体" w:eastAsia="宋体" w:cs="宋体"/>
                <w:color w:val="auto"/>
                <w:sz w:val="21"/>
                <w:szCs w:val="21"/>
              </w:rPr>
              <w:t>无</w:t>
            </w:r>
            <w:r>
              <w:rPr>
                <w:rFonts w:hint="eastAsia" w:ascii="宋体" w:hAnsi="宋体" w:eastAsia="宋体"/>
                <w:color w:val="auto"/>
                <w:sz w:val="21"/>
                <w:szCs w:val="21"/>
              </w:rPr>
              <w:t>。</w:t>
            </w:r>
          </w:p>
        </w:tc>
      </w:tr>
      <w:tr w14:paraId="4DE6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noWrap w:val="0"/>
            <w:vAlign w:val="center"/>
          </w:tcPr>
          <w:p w14:paraId="4DD24A4C">
            <w:pPr>
              <w:spacing w:line="360" w:lineRule="auto"/>
              <w:jc w:val="center"/>
              <w:rPr>
                <w:rFonts w:hint="eastAsia" w:ascii="宋体" w:hAnsi="宋体" w:cs="宋体"/>
                <w:color w:val="auto"/>
                <w:szCs w:val="21"/>
                <w:lang w:val="en-US" w:eastAsia="zh-CN"/>
              </w:rPr>
            </w:pPr>
            <w:r>
              <w:rPr>
                <w:rFonts w:hint="eastAsia" w:ascii="宋体" w:hAnsi="宋体" w:cs="宋体"/>
                <w:color w:val="auto"/>
                <w:szCs w:val="21"/>
                <w:lang w:val="en-US" w:eastAsia="zh-CN"/>
              </w:rPr>
              <w:t>19</w:t>
            </w:r>
          </w:p>
        </w:tc>
        <w:tc>
          <w:tcPr>
            <w:tcW w:w="1880" w:type="dxa"/>
            <w:noWrap w:val="0"/>
            <w:vAlign w:val="center"/>
          </w:tcPr>
          <w:p w14:paraId="6B76A1D2">
            <w:pPr>
              <w:jc w:val="center"/>
              <w:rPr>
                <w:rFonts w:hint="eastAsia" w:ascii="宋体" w:hAnsi="宋体" w:cs="宋体"/>
                <w:color w:val="auto"/>
                <w:szCs w:val="21"/>
              </w:rPr>
            </w:pPr>
            <w:r>
              <w:rPr>
                <w:rFonts w:hint="eastAsia" w:ascii="宋体" w:hAnsi="宋体" w:cs="宋体"/>
                <w:color w:val="auto"/>
                <w:szCs w:val="21"/>
              </w:rPr>
              <w:t>供应商信用查询</w:t>
            </w:r>
          </w:p>
        </w:tc>
        <w:tc>
          <w:tcPr>
            <w:tcW w:w="7013" w:type="dxa"/>
            <w:noWrap w:val="0"/>
            <w:vAlign w:val="center"/>
          </w:tcPr>
          <w:p w14:paraId="3FF1A032">
            <w:pPr>
              <w:ind w:left="17" w:right="199" w:rightChars="95" w:hanging="16" w:hangingChars="8"/>
              <w:rPr>
                <w:rFonts w:ascii="宋体" w:hAnsi="宋体" w:cs="宋体"/>
                <w:color w:val="auto"/>
                <w:szCs w:val="21"/>
              </w:rPr>
            </w:pPr>
            <w:r>
              <w:rPr>
                <w:rFonts w:hint="eastAsia" w:ascii="宋体" w:hAnsi="宋体" w:cs="宋体"/>
                <w:color w:val="auto"/>
                <w:szCs w:val="21"/>
              </w:rPr>
              <w:t>投标供应商信用信息查询的查询渠道：“信用中国”(</w:t>
            </w:r>
            <w:r>
              <w:rPr>
                <w:rFonts w:ascii="宋体" w:hAnsi="宋体" w:cs="宋体"/>
                <w:color w:val="auto"/>
                <w:szCs w:val="21"/>
              </w:rPr>
              <w:fldChar w:fldCharType="begin"/>
            </w:r>
            <w:r>
              <w:rPr>
                <w:rFonts w:ascii="宋体" w:hAnsi="宋体" w:cs="宋体"/>
                <w:color w:val="auto"/>
                <w:szCs w:val="21"/>
              </w:rPr>
              <w:instrText xml:space="preserve"> HYPERLINK "http://www.creditchina.gov.cn/" </w:instrText>
            </w:r>
            <w:r>
              <w:rPr>
                <w:rFonts w:ascii="宋体" w:hAnsi="宋体" w:cs="宋体"/>
                <w:color w:val="auto"/>
                <w:szCs w:val="21"/>
              </w:rPr>
              <w:fldChar w:fldCharType="separate"/>
            </w:r>
            <w:r>
              <w:rPr>
                <w:rStyle w:val="26"/>
                <w:rFonts w:hint="eastAsia" w:ascii="宋体" w:hAnsi="宋体" w:cs="宋体"/>
                <w:color w:val="auto"/>
                <w:szCs w:val="21"/>
              </w:rPr>
              <w:t>www.creditchina.gov.cn</w:t>
            </w:r>
            <w:r>
              <w:rPr>
                <w:rFonts w:ascii="宋体" w:hAnsi="宋体" w:cs="宋体"/>
                <w:color w:val="auto"/>
                <w:szCs w:val="21"/>
              </w:rPr>
              <w:fldChar w:fldCharType="end"/>
            </w:r>
            <w:r>
              <w:rPr>
                <w:rFonts w:hint="eastAsia" w:ascii="宋体" w:hAnsi="宋体" w:cs="宋体"/>
                <w:color w:val="auto"/>
                <w:szCs w:val="21"/>
              </w:rPr>
              <w:t>)；“中国政府采购网”（http://www.ccgp.gov.cn/）；</w:t>
            </w:r>
          </w:p>
          <w:p w14:paraId="0BF8C793">
            <w:pPr>
              <w:ind w:left="17" w:right="199" w:rightChars="95" w:hanging="16" w:hangingChars="8"/>
              <w:rPr>
                <w:rFonts w:hint="eastAsia" w:ascii="宋体" w:hAnsi="宋体" w:cs="宋体"/>
                <w:color w:val="auto"/>
                <w:szCs w:val="21"/>
              </w:rPr>
            </w:pPr>
            <w:r>
              <w:rPr>
                <w:rFonts w:hint="eastAsia" w:ascii="宋体" w:hAnsi="宋体" w:cs="宋体"/>
                <w:color w:val="auto"/>
                <w:szCs w:val="21"/>
              </w:rPr>
              <w:t>2、投标供应商信用信息查询截止时点：本项目投标截止时间。</w:t>
            </w:r>
          </w:p>
          <w:p w14:paraId="00BE00F4">
            <w:pPr>
              <w:ind w:left="17" w:right="199" w:rightChars="95" w:hanging="16" w:hangingChars="8"/>
              <w:rPr>
                <w:rFonts w:hint="eastAsia" w:ascii="宋体" w:hAnsi="宋体" w:cs="宋体"/>
                <w:color w:val="auto"/>
                <w:szCs w:val="21"/>
              </w:rPr>
            </w:pPr>
            <w:r>
              <w:rPr>
                <w:rFonts w:hint="eastAsia" w:ascii="宋体" w:hAnsi="宋体" w:cs="宋体"/>
                <w:color w:val="auto"/>
                <w:szCs w:val="21"/>
              </w:rPr>
              <w:t>3、投标供应商信用信息查询记录和证据留存的具体方式：网页截图打印；</w:t>
            </w:r>
          </w:p>
          <w:p w14:paraId="61563BE9">
            <w:pPr>
              <w:pStyle w:val="13"/>
              <w:ind w:left="0" w:leftChars="0"/>
              <w:rPr>
                <w:rFonts w:hint="eastAsia" w:ascii="宋体" w:hAnsi="宋体" w:eastAsia="宋体" w:cs="宋体"/>
                <w:color w:val="auto"/>
                <w:sz w:val="21"/>
                <w:szCs w:val="21"/>
              </w:rPr>
            </w:pPr>
            <w:r>
              <w:rPr>
                <w:rFonts w:hint="eastAsia" w:ascii="宋体" w:hAnsi="宋体" w:eastAsia="宋体" w:cs="宋体"/>
                <w:color w:val="auto"/>
                <w:sz w:val="21"/>
                <w:szCs w:val="21"/>
              </w:rPr>
              <w:t>4、信用信息的使用规则：“信用中国”被列入失信被执行人名单、重大税收违法案件当事人名单的供应商，或“中国政府采购网”具有严重违法失信行为信息记录的供应商，其投标做无效投标处理。</w:t>
            </w:r>
          </w:p>
        </w:tc>
      </w:tr>
      <w:tr w14:paraId="2B89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noWrap w:val="0"/>
            <w:vAlign w:val="center"/>
          </w:tcPr>
          <w:p w14:paraId="064E0655">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20</w:t>
            </w:r>
          </w:p>
        </w:tc>
        <w:tc>
          <w:tcPr>
            <w:tcW w:w="1880" w:type="dxa"/>
            <w:noWrap w:val="0"/>
            <w:vAlign w:val="center"/>
          </w:tcPr>
          <w:p w14:paraId="0CB99BF6">
            <w:pPr>
              <w:spacing w:line="360" w:lineRule="auto"/>
              <w:jc w:val="center"/>
              <w:rPr>
                <w:rFonts w:hint="eastAsia" w:ascii="宋体" w:hAnsi="宋体" w:cs="宋体"/>
                <w:color w:val="auto"/>
                <w:szCs w:val="21"/>
              </w:rPr>
            </w:pPr>
            <w:r>
              <w:rPr>
                <w:rFonts w:hint="eastAsia" w:ascii="宋体" w:hAnsi="宋体" w:cs="宋体"/>
                <w:color w:val="auto"/>
                <w:szCs w:val="21"/>
              </w:rPr>
              <w:t>履约保证金</w:t>
            </w:r>
          </w:p>
        </w:tc>
        <w:tc>
          <w:tcPr>
            <w:tcW w:w="7013" w:type="dxa"/>
            <w:noWrap w:val="0"/>
            <w:vAlign w:val="center"/>
          </w:tcPr>
          <w:p w14:paraId="7B37AC34">
            <w:pPr>
              <w:pStyle w:val="13"/>
              <w:spacing w:line="360" w:lineRule="auto"/>
              <w:ind w:left="0" w:leftChars="0"/>
              <w:rPr>
                <w:rFonts w:ascii="宋体" w:hAnsi="宋体" w:eastAsia="宋体" w:cs="宋体"/>
                <w:color w:val="auto"/>
                <w:sz w:val="21"/>
                <w:szCs w:val="21"/>
              </w:rPr>
            </w:pPr>
            <w:r>
              <w:rPr>
                <w:rFonts w:hint="eastAsia" w:ascii="宋体" w:hAnsi="宋体" w:eastAsia="宋体" w:cs="宋体"/>
                <w:color w:val="auto"/>
                <w:sz w:val="21"/>
                <w:szCs w:val="21"/>
              </w:rPr>
              <w:t>供应商在签订合同前须交纳本项目履约保证金为合同金额的</w:t>
            </w:r>
            <w:r>
              <w:rPr>
                <w:rFonts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1</w:t>
            </w:r>
            <w:r>
              <w:rPr>
                <w:rFonts w:ascii="宋体" w:hAnsi="宋体" w:eastAsia="宋体" w:cs="宋体"/>
                <w:color w:val="auto"/>
                <w:sz w:val="21"/>
                <w:szCs w:val="21"/>
                <w:u w:val="single"/>
              </w:rPr>
              <w:t xml:space="preserve"> </w:t>
            </w:r>
            <w:r>
              <w:rPr>
                <w:rFonts w:ascii="宋体" w:hAnsi="宋体" w:eastAsia="宋体" w:cs="宋体"/>
                <w:color w:val="auto"/>
                <w:sz w:val="21"/>
                <w:szCs w:val="21"/>
              </w:rPr>
              <w:t>%</w:t>
            </w:r>
          </w:p>
          <w:p w14:paraId="5F3C69DB">
            <w:pPr>
              <w:rPr>
                <w:rFonts w:hint="eastAsia" w:ascii="宋体" w:hAnsi="宋体" w:eastAsia="宋体" w:cs="宋体"/>
                <w:color w:val="auto"/>
                <w:sz w:val="21"/>
                <w:szCs w:val="21"/>
              </w:rPr>
            </w:pPr>
            <w:r>
              <w:rPr>
                <w:rFonts w:hint="eastAsia" w:ascii="宋体" w:hAnsi="宋体" w:cs="宋体"/>
                <w:color w:val="auto"/>
                <w:highlight w:val="none"/>
              </w:rPr>
              <w:t>履约保证金的形式：中标人在签订合同前提交履约保证金，履约保证金的形式为银行转账或保函（</w:t>
            </w:r>
            <w:r>
              <w:rPr>
                <w:rFonts w:hint="eastAsia" w:ascii="宋体" w:hAnsi="宋体" w:eastAsia="宋体" w:cs="宋体"/>
                <w:color w:val="auto"/>
                <w:highlight w:val="none"/>
              </w:rPr>
              <w:t>银行保函、保险公司保单、融资担保公司保函）。</w:t>
            </w:r>
          </w:p>
        </w:tc>
      </w:tr>
      <w:tr w14:paraId="01CA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noWrap w:val="0"/>
            <w:vAlign w:val="center"/>
          </w:tcPr>
          <w:p w14:paraId="0A954D9F">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21</w:t>
            </w:r>
          </w:p>
        </w:tc>
        <w:tc>
          <w:tcPr>
            <w:tcW w:w="1880" w:type="dxa"/>
            <w:noWrap w:val="0"/>
            <w:vAlign w:val="center"/>
          </w:tcPr>
          <w:p w14:paraId="134D9A3D">
            <w:pPr>
              <w:spacing w:line="360" w:lineRule="auto"/>
              <w:jc w:val="center"/>
              <w:rPr>
                <w:rFonts w:hint="eastAsia" w:ascii="宋体" w:hAnsi="宋体" w:cs="宋体"/>
                <w:color w:val="auto"/>
                <w:szCs w:val="21"/>
              </w:rPr>
            </w:pPr>
            <w:r>
              <w:rPr>
                <w:rFonts w:hint="eastAsia" w:ascii="宋体" w:hAnsi="宋体" w:cs="宋体"/>
                <w:color w:val="auto"/>
                <w:szCs w:val="21"/>
                <w:highlight w:val="none"/>
              </w:rPr>
              <w:t>中小企业划分标准所属行业</w:t>
            </w:r>
          </w:p>
        </w:tc>
        <w:tc>
          <w:tcPr>
            <w:tcW w:w="7013" w:type="dxa"/>
            <w:noWrap w:val="0"/>
            <w:vAlign w:val="center"/>
          </w:tcPr>
          <w:p w14:paraId="4F30B14B">
            <w:pPr>
              <w:pStyle w:val="13"/>
              <w:spacing w:line="360" w:lineRule="auto"/>
              <w:ind w:left="0" w:leftChars="0"/>
              <w:rPr>
                <w:rFonts w:hint="eastAsia" w:ascii="宋体" w:hAnsi="宋体" w:eastAsia="宋体" w:cs="宋体"/>
                <w:color w:val="auto"/>
                <w:sz w:val="21"/>
                <w:szCs w:val="21"/>
              </w:rPr>
            </w:pPr>
            <w:r>
              <w:rPr>
                <w:rFonts w:hint="eastAsia" w:ascii="宋体" w:hAnsi="宋体" w:eastAsia="宋体" w:cs="宋体"/>
                <w:color w:val="auto"/>
                <w:kern w:val="2"/>
                <w:sz w:val="21"/>
                <w:szCs w:val="21"/>
                <w:highlight w:val="none"/>
                <w:lang w:val="en-US" w:eastAsia="zh-CN" w:bidi="ar-SA"/>
              </w:rPr>
              <w:t>所属行业：工业。</w:t>
            </w:r>
          </w:p>
        </w:tc>
      </w:tr>
      <w:tr w14:paraId="7823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40" w:type="dxa"/>
            <w:noWrap w:val="0"/>
            <w:vAlign w:val="center"/>
          </w:tcPr>
          <w:p w14:paraId="41D4BC6F">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22</w:t>
            </w:r>
          </w:p>
        </w:tc>
        <w:tc>
          <w:tcPr>
            <w:tcW w:w="1880" w:type="dxa"/>
            <w:noWrap w:val="0"/>
            <w:vAlign w:val="center"/>
          </w:tcPr>
          <w:p w14:paraId="35E1A3BB">
            <w:pPr>
              <w:autoSpaceDE w:val="0"/>
              <w:autoSpaceDN w:val="0"/>
              <w:adjustRightInd w:val="0"/>
              <w:spacing w:line="360" w:lineRule="auto"/>
              <w:jc w:val="center"/>
              <w:rPr>
                <w:rFonts w:ascii="宋体" w:cs="宋体"/>
                <w:color w:val="auto"/>
                <w:szCs w:val="21"/>
                <w:lang w:val="zh-CN"/>
              </w:rPr>
            </w:pPr>
            <w:r>
              <w:rPr>
                <w:rFonts w:hint="eastAsia" w:ascii="宋体" w:hAnsi="宋体" w:cs="宋体"/>
                <w:color w:val="auto"/>
                <w:szCs w:val="21"/>
                <w:lang w:val="zh-CN"/>
              </w:rPr>
              <w:t>实质性条款</w:t>
            </w:r>
          </w:p>
        </w:tc>
        <w:tc>
          <w:tcPr>
            <w:tcW w:w="7013" w:type="dxa"/>
            <w:noWrap w:val="0"/>
            <w:vAlign w:val="center"/>
          </w:tcPr>
          <w:p w14:paraId="7A06B57F">
            <w:pPr>
              <w:rPr>
                <w:color w:val="auto"/>
              </w:rPr>
            </w:pPr>
            <w:r>
              <w:rPr>
                <w:rFonts w:hint="eastAsia"/>
                <w:color w:val="auto"/>
              </w:rPr>
              <w:t>带“▲”的条款是实质性条款，投标文件须作出实质性响应，否则作无效投标处理。</w:t>
            </w:r>
          </w:p>
        </w:tc>
      </w:tr>
      <w:tr w14:paraId="0CDC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40" w:type="dxa"/>
            <w:noWrap w:val="0"/>
            <w:vAlign w:val="center"/>
          </w:tcPr>
          <w:p w14:paraId="7F12AB8F">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23</w:t>
            </w:r>
          </w:p>
        </w:tc>
        <w:tc>
          <w:tcPr>
            <w:tcW w:w="1880" w:type="dxa"/>
            <w:noWrap w:val="0"/>
            <w:vAlign w:val="center"/>
          </w:tcPr>
          <w:p w14:paraId="75015510">
            <w:pPr>
              <w:autoSpaceDE w:val="0"/>
              <w:autoSpaceDN w:val="0"/>
              <w:adjustRightInd w:val="0"/>
              <w:spacing w:line="360" w:lineRule="auto"/>
              <w:jc w:val="center"/>
              <w:rPr>
                <w:rFonts w:hint="eastAsia"/>
                <w:color w:val="auto"/>
              </w:rPr>
            </w:pPr>
            <w:r>
              <w:rPr>
                <w:rFonts w:hint="eastAsia"/>
                <w:color w:val="auto"/>
              </w:rPr>
              <w:t>存档文件要求</w:t>
            </w:r>
          </w:p>
        </w:tc>
        <w:tc>
          <w:tcPr>
            <w:tcW w:w="7013" w:type="dxa"/>
            <w:noWrap w:val="0"/>
            <w:vAlign w:val="center"/>
          </w:tcPr>
          <w:p w14:paraId="69256AD9">
            <w:pPr>
              <w:autoSpaceDE w:val="0"/>
              <w:autoSpaceDN w:val="0"/>
              <w:adjustRightInd w:val="0"/>
              <w:spacing w:line="360" w:lineRule="auto"/>
              <w:rPr>
                <w:rFonts w:hint="eastAsia"/>
                <w:color w:val="auto"/>
              </w:rPr>
            </w:pPr>
            <w:r>
              <w:rPr>
                <w:rFonts w:hint="eastAsia"/>
                <w:color w:val="auto"/>
                <w:lang w:val="en-US" w:eastAsia="zh-CN"/>
              </w:rPr>
              <w:t>投标</w:t>
            </w:r>
            <w:r>
              <w:rPr>
                <w:rFonts w:hint="eastAsia"/>
                <w:color w:val="auto"/>
              </w:rPr>
              <w:t>供应商被确定为成交供应商后，须在合同签订前提交1正本3副本的纸质投标文件给采购代理机构。</w:t>
            </w:r>
          </w:p>
        </w:tc>
      </w:tr>
      <w:tr w14:paraId="3E06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40" w:type="dxa"/>
            <w:noWrap w:val="0"/>
            <w:vAlign w:val="center"/>
          </w:tcPr>
          <w:p w14:paraId="33400478">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w:t>
            </w:r>
            <w:r>
              <w:rPr>
                <w:rFonts w:hint="eastAsia" w:ascii="宋体" w:hAnsi="宋体" w:cs="宋体"/>
                <w:color w:val="auto"/>
                <w:szCs w:val="21"/>
                <w:lang w:val="en-US" w:eastAsia="zh-CN"/>
              </w:rPr>
              <w:t>4</w:t>
            </w:r>
          </w:p>
        </w:tc>
        <w:tc>
          <w:tcPr>
            <w:tcW w:w="1880" w:type="dxa"/>
            <w:noWrap w:val="0"/>
            <w:vAlign w:val="center"/>
          </w:tcPr>
          <w:p w14:paraId="023DC9B8">
            <w:pPr>
              <w:autoSpaceDE w:val="0"/>
              <w:autoSpaceDN w:val="0"/>
              <w:adjustRightInd w:val="0"/>
              <w:spacing w:line="360" w:lineRule="auto"/>
              <w:jc w:val="center"/>
              <w:rPr>
                <w:rFonts w:ascii="宋体" w:cs="宋体"/>
                <w:color w:val="auto"/>
                <w:szCs w:val="21"/>
              </w:rPr>
            </w:pPr>
            <w:r>
              <w:rPr>
                <w:rFonts w:hint="eastAsia" w:ascii="宋体" w:hAnsi="宋体" w:cs="宋体"/>
                <w:color w:val="auto"/>
                <w:szCs w:val="21"/>
              </w:rPr>
              <w:t>解释权</w:t>
            </w:r>
          </w:p>
        </w:tc>
        <w:tc>
          <w:tcPr>
            <w:tcW w:w="7013" w:type="dxa"/>
            <w:noWrap w:val="0"/>
            <w:vAlign w:val="center"/>
          </w:tcPr>
          <w:p w14:paraId="181F589B">
            <w:pPr>
              <w:autoSpaceDE w:val="0"/>
              <w:autoSpaceDN w:val="0"/>
              <w:adjustRightInd w:val="0"/>
              <w:spacing w:line="360" w:lineRule="auto"/>
              <w:rPr>
                <w:rFonts w:ascii="宋体" w:cs="宋体"/>
                <w:color w:val="auto"/>
                <w:szCs w:val="21"/>
              </w:rPr>
            </w:pPr>
            <w:r>
              <w:rPr>
                <w:rFonts w:hint="eastAsia" w:ascii="宋体" w:hAnsi="宋体" w:cs="宋体"/>
                <w:color w:val="auto"/>
                <w:szCs w:val="21"/>
              </w:rPr>
              <w:t>本招标文件解释权属于采购人和</w:t>
            </w:r>
            <w:r>
              <w:rPr>
                <w:rFonts w:hint="eastAsia" w:ascii="宋体" w:hAnsi="宋体" w:cs="Arial"/>
                <w:color w:val="auto"/>
                <w:szCs w:val="21"/>
              </w:rPr>
              <w:t>采购代理机构</w:t>
            </w:r>
          </w:p>
        </w:tc>
      </w:tr>
    </w:tbl>
    <w:p w14:paraId="0EFA59BB">
      <w:pPr>
        <w:pStyle w:val="12"/>
        <w:snapToGrid w:val="0"/>
        <w:spacing w:before="120" w:after="120" w:line="360" w:lineRule="auto"/>
        <w:rPr>
          <w:rFonts w:hint="eastAsia" w:hAnsi="宋体"/>
          <w:b/>
          <w:color w:val="auto"/>
          <w:szCs w:val="21"/>
        </w:rPr>
      </w:pPr>
    </w:p>
    <w:p w14:paraId="48760CEC">
      <w:pPr>
        <w:pStyle w:val="12"/>
        <w:snapToGrid w:val="0"/>
        <w:spacing w:before="120" w:after="120" w:line="360" w:lineRule="auto"/>
        <w:rPr>
          <w:rFonts w:hint="eastAsia" w:hAnsi="宋体"/>
          <w:b/>
          <w:color w:val="auto"/>
          <w:szCs w:val="21"/>
        </w:rPr>
      </w:pPr>
      <w:r>
        <w:rPr>
          <w:rFonts w:hint="eastAsia" w:ascii="黑体" w:hAnsi="黑体" w:eastAsia="黑体" w:cs="黑体"/>
          <w:b/>
          <w:color w:val="auto"/>
          <w:sz w:val="21"/>
          <w:szCs w:val="21"/>
          <w:highlight w:val="none"/>
        </w:rPr>
        <w:t>特别说明：为优化政府采购营商环境，缓解供应商资金难题，政府采购已推广应用“政采贷”、“政采保”等服务，供应商可以银行保函、保险公司保单、融资担保公司保函、银行转账（或电汇）等方式缴纳至采购人指定账户。”</w:t>
      </w:r>
    </w:p>
    <w:p w14:paraId="7CE32F95">
      <w:pPr>
        <w:pStyle w:val="12"/>
        <w:snapToGrid w:val="0"/>
        <w:spacing w:before="120" w:after="120" w:line="360" w:lineRule="auto"/>
        <w:rPr>
          <w:rFonts w:hint="eastAsia" w:hAnsi="宋体"/>
          <w:b/>
          <w:color w:val="auto"/>
          <w:szCs w:val="21"/>
        </w:rPr>
      </w:pPr>
    </w:p>
    <w:p w14:paraId="05169BF2">
      <w:pPr>
        <w:pStyle w:val="12"/>
        <w:snapToGrid w:val="0"/>
        <w:spacing w:before="120" w:after="120" w:line="360" w:lineRule="auto"/>
        <w:rPr>
          <w:rFonts w:hint="eastAsia" w:hAnsi="宋体"/>
          <w:b/>
          <w:color w:val="auto"/>
          <w:szCs w:val="21"/>
        </w:rPr>
      </w:pPr>
    </w:p>
    <w:p w14:paraId="7B897443">
      <w:pPr>
        <w:pStyle w:val="12"/>
        <w:snapToGrid w:val="0"/>
        <w:spacing w:before="120" w:after="120" w:line="360" w:lineRule="auto"/>
        <w:rPr>
          <w:rFonts w:hint="eastAsia" w:hAnsi="宋体"/>
          <w:b/>
          <w:color w:val="auto"/>
          <w:szCs w:val="21"/>
        </w:rPr>
      </w:pPr>
    </w:p>
    <w:p w14:paraId="313C1A0A">
      <w:pPr>
        <w:pStyle w:val="12"/>
        <w:snapToGrid w:val="0"/>
        <w:spacing w:before="120" w:after="120" w:line="360" w:lineRule="auto"/>
        <w:rPr>
          <w:rFonts w:hint="eastAsia" w:hAnsi="宋体"/>
          <w:b/>
          <w:color w:val="auto"/>
          <w:szCs w:val="21"/>
        </w:rPr>
      </w:pPr>
    </w:p>
    <w:p w14:paraId="1027AF0B">
      <w:pPr>
        <w:pStyle w:val="12"/>
        <w:snapToGrid w:val="0"/>
        <w:spacing w:before="120" w:after="120" w:line="360" w:lineRule="auto"/>
        <w:rPr>
          <w:rFonts w:hint="eastAsia" w:hAnsi="宋体"/>
          <w:b/>
          <w:color w:val="auto"/>
          <w:szCs w:val="21"/>
        </w:rPr>
      </w:pPr>
    </w:p>
    <w:p w14:paraId="7781B8B6">
      <w:pPr>
        <w:pStyle w:val="12"/>
        <w:snapToGrid w:val="0"/>
        <w:spacing w:before="120" w:after="120" w:line="360" w:lineRule="auto"/>
        <w:rPr>
          <w:rFonts w:hint="eastAsia" w:hAnsi="宋体"/>
          <w:b/>
          <w:color w:val="auto"/>
          <w:szCs w:val="21"/>
        </w:rPr>
      </w:pPr>
    </w:p>
    <w:p w14:paraId="562771CC">
      <w:pPr>
        <w:pStyle w:val="12"/>
        <w:snapToGrid w:val="0"/>
        <w:spacing w:before="120" w:after="120" w:line="360" w:lineRule="auto"/>
        <w:rPr>
          <w:rFonts w:hint="eastAsia" w:hAnsi="宋体"/>
          <w:b/>
          <w:color w:val="auto"/>
          <w:szCs w:val="21"/>
        </w:rPr>
      </w:pPr>
    </w:p>
    <w:p w14:paraId="60EB2458">
      <w:pPr>
        <w:pStyle w:val="12"/>
        <w:snapToGrid w:val="0"/>
        <w:spacing w:before="120" w:after="120" w:line="360" w:lineRule="auto"/>
        <w:rPr>
          <w:rFonts w:hAnsi="宋体"/>
          <w:b/>
          <w:color w:val="auto"/>
          <w:szCs w:val="21"/>
        </w:rPr>
      </w:pPr>
      <w:r>
        <w:rPr>
          <w:rFonts w:hint="eastAsia" w:hAnsi="宋体"/>
          <w:b/>
          <w:color w:val="auto"/>
          <w:szCs w:val="21"/>
        </w:rPr>
        <w:t>一</w:t>
      </w:r>
      <w:r>
        <w:rPr>
          <w:rFonts w:hAnsi="宋体"/>
          <w:b/>
          <w:color w:val="auto"/>
          <w:szCs w:val="21"/>
        </w:rPr>
        <w:t xml:space="preserve"> </w:t>
      </w:r>
      <w:r>
        <w:rPr>
          <w:rFonts w:hint="eastAsia" w:hAnsi="宋体"/>
          <w:b/>
          <w:color w:val="auto"/>
          <w:szCs w:val="21"/>
        </w:rPr>
        <w:t>、总</w:t>
      </w:r>
      <w:r>
        <w:rPr>
          <w:rFonts w:hAnsi="宋体"/>
          <w:b/>
          <w:color w:val="auto"/>
          <w:szCs w:val="21"/>
        </w:rPr>
        <w:t xml:space="preserve">  </w:t>
      </w:r>
      <w:r>
        <w:rPr>
          <w:rFonts w:hint="eastAsia" w:hAnsi="宋体"/>
          <w:b/>
          <w:color w:val="auto"/>
          <w:szCs w:val="21"/>
        </w:rPr>
        <w:t>则</w:t>
      </w:r>
    </w:p>
    <w:p w14:paraId="08EB19D0">
      <w:pPr>
        <w:snapToGrid w:val="0"/>
        <w:spacing w:line="360" w:lineRule="auto"/>
        <w:ind w:firstLine="413" w:firstLineChars="196"/>
        <w:jc w:val="left"/>
        <w:outlineLvl w:val="1"/>
        <w:rPr>
          <w:rFonts w:ascii="宋体"/>
          <w:b/>
          <w:color w:val="auto"/>
          <w:szCs w:val="21"/>
        </w:rPr>
      </w:pPr>
      <w:r>
        <w:rPr>
          <w:rFonts w:hint="eastAsia" w:ascii="宋体" w:hAnsi="宋体"/>
          <w:b/>
          <w:color w:val="auto"/>
          <w:szCs w:val="21"/>
        </w:rPr>
        <w:t>（一）</w:t>
      </w:r>
      <w:r>
        <w:rPr>
          <w:rFonts w:ascii="宋体" w:hAnsi="宋体"/>
          <w:b/>
          <w:color w:val="auto"/>
          <w:szCs w:val="21"/>
        </w:rPr>
        <w:t xml:space="preserve"> </w:t>
      </w:r>
      <w:r>
        <w:rPr>
          <w:rFonts w:hint="eastAsia" w:ascii="宋体" w:hAnsi="宋体"/>
          <w:b/>
          <w:color w:val="auto"/>
          <w:szCs w:val="21"/>
        </w:rPr>
        <w:t>适用范围</w:t>
      </w:r>
    </w:p>
    <w:p w14:paraId="3A20C4A1">
      <w:pPr>
        <w:snapToGrid w:val="0"/>
        <w:spacing w:line="360" w:lineRule="auto"/>
        <w:ind w:firstLine="420" w:firstLineChars="200"/>
        <w:jc w:val="left"/>
        <w:rPr>
          <w:rFonts w:ascii="宋体"/>
          <w:color w:val="auto"/>
          <w:szCs w:val="21"/>
        </w:rPr>
      </w:pPr>
      <w:r>
        <w:rPr>
          <w:rFonts w:hint="eastAsia" w:ascii="宋体" w:hAnsi="宋体"/>
          <w:color w:val="auto"/>
          <w:szCs w:val="21"/>
        </w:rPr>
        <w:t>本招标文件适用于</w:t>
      </w:r>
      <w:r>
        <w:rPr>
          <w:rFonts w:hint="eastAsia" w:ascii="宋体" w:hAnsi="宋体"/>
          <w:bCs/>
          <w:color w:val="auto"/>
          <w:szCs w:val="21"/>
        </w:rPr>
        <w:t>本次</w:t>
      </w:r>
      <w:r>
        <w:rPr>
          <w:rFonts w:hint="eastAsia" w:ascii="宋体" w:hAnsi="宋体"/>
          <w:color w:val="auto"/>
          <w:szCs w:val="21"/>
        </w:rPr>
        <w:t>项目的招标、投标、评标、定标、验收、合同履约、付款等行为（法律、法规另有规定的，从其规定）。</w:t>
      </w:r>
    </w:p>
    <w:p w14:paraId="6B69B2FE">
      <w:pPr>
        <w:snapToGrid w:val="0"/>
        <w:spacing w:before="156" w:beforeLines="50" w:line="360" w:lineRule="auto"/>
        <w:ind w:firstLine="310" w:firstLineChars="147"/>
        <w:jc w:val="left"/>
        <w:outlineLvl w:val="1"/>
        <w:rPr>
          <w:rFonts w:ascii="宋体"/>
          <w:b/>
          <w:color w:val="auto"/>
          <w:szCs w:val="21"/>
        </w:rPr>
      </w:pPr>
      <w:r>
        <w:rPr>
          <w:rFonts w:hint="eastAsia" w:ascii="宋体" w:hAnsi="宋体"/>
          <w:b/>
          <w:color w:val="auto"/>
          <w:szCs w:val="21"/>
        </w:rPr>
        <w:t>（二）定义</w:t>
      </w:r>
    </w:p>
    <w:p w14:paraId="2B00C267">
      <w:pPr>
        <w:pStyle w:val="4"/>
        <w:keepNext w:val="0"/>
        <w:keepLines w:val="0"/>
        <w:tabs>
          <w:tab w:val="left" w:pos="0"/>
          <w:tab w:val="left" w:pos="851"/>
        </w:tabs>
        <w:autoSpaceDE w:val="0"/>
        <w:autoSpaceDN w:val="0"/>
        <w:adjustRightInd w:val="0"/>
        <w:snapToGrid w:val="0"/>
        <w:spacing w:before="0" w:after="0" w:line="415" w:lineRule="auto"/>
        <w:ind w:firstLine="495" w:firstLineChars="236"/>
        <w:jc w:val="left"/>
        <w:rPr>
          <w:rFonts w:ascii="宋体"/>
          <w:b w:val="0"/>
          <w:bCs w:val="0"/>
          <w:color w:val="auto"/>
          <w:sz w:val="21"/>
          <w:szCs w:val="21"/>
        </w:rPr>
      </w:pPr>
      <w:r>
        <w:rPr>
          <w:rFonts w:ascii="宋体" w:hAnsi="宋体"/>
          <w:b w:val="0"/>
          <w:color w:val="auto"/>
          <w:sz w:val="21"/>
          <w:szCs w:val="21"/>
        </w:rPr>
        <w:t>1</w:t>
      </w:r>
      <w:r>
        <w:rPr>
          <w:rFonts w:hint="eastAsia" w:ascii="宋体" w:hAnsi="宋体"/>
          <w:b w:val="0"/>
          <w:bCs w:val="0"/>
          <w:color w:val="auto"/>
          <w:sz w:val="21"/>
          <w:szCs w:val="21"/>
        </w:rPr>
        <w:t>.</w:t>
      </w:r>
      <w:r>
        <w:rPr>
          <w:rFonts w:hint="eastAsia" w:ascii="宋体" w:hAnsi="宋体"/>
          <w:b w:val="0"/>
          <w:bCs w:val="0"/>
          <w:color w:val="auto"/>
          <w:sz w:val="21"/>
          <w:szCs w:val="21"/>
          <w:lang w:val="zh-CN"/>
        </w:rPr>
        <w:t>“采购组织机构”指采购人委托组织招标的采购代理机构。</w:t>
      </w:r>
    </w:p>
    <w:p w14:paraId="4E637AD8">
      <w:pPr>
        <w:snapToGrid w:val="0"/>
        <w:spacing w:line="360" w:lineRule="auto"/>
        <w:ind w:firstLine="525" w:firstLineChars="250"/>
        <w:rPr>
          <w:rFonts w:ascii="宋体"/>
          <w:color w:val="auto"/>
          <w:szCs w:val="21"/>
        </w:rPr>
      </w:pPr>
      <w:r>
        <w:rPr>
          <w:rFonts w:ascii="宋体" w:hAnsi="宋体"/>
          <w:color w:val="auto"/>
          <w:szCs w:val="21"/>
        </w:rPr>
        <w:t>2</w:t>
      </w:r>
      <w:r>
        <w:rPr>
          <w:rFonts w:hint="eastAsia" w:ascii="宋体" w:hAnsi="宋体"/>
          <w:color w:val="auto"/>
          <w:szCs w:val="21"/>
        </w:rPr>
        <w:t>.采购人：是指委托采购代理机构采购本次项目的国家机关、事业单位和团体组织。</w:t>
      </w:r>
    </w:p>
    <w:p w14:paraId="33919A52">
      <w:pPr>
        <w:snapToGrid w:val="0"/>
        <w:spacing w:line="360" w:lineRule="auto"/>
        <w:ind w:firstLine="525" w:firstLineChars="250"/>
        <w:jc w:val="left"/>
        <w:rPr>
          <w:rFonts w:ascii="宋体"/>
          <w:color w:val="auto"/>
          <w:szCs w:val="21"/>
        </w:rPr>
      </w:pPr>
      <w:r>
        <w:rPr>
          <w:rFonts w:ascii="宋体" w:hAnsi="宋体"/>
          <w:color w:val="auto"/>
          <w:szCs w:val="21"/>
        </w:rPr>
        <w:t>3</w:t>
      </w:r>
      <w:r>
        <w:rPr>
          <w:rFonts w:hint="eastAsia" w:ascii="宋体" w:hAnsi="宋体"/>
          <w:color w:val="auto"/>
          <w:szCs w:val="21"/>
        </w:rPr>
        <w:t>.投标人：是指向采购</w:t>
      </w:r>
      <w:r>
        <w:rPr>
          <w:rFonts w:hint="eastAsia" w:ascii="宋体" w:hAnsi="宋体"/>
          <w:color w:val="auto"/>
          <w:szCs w:val="21"/>
          <w:lang w:val="zh-CN"/>
        </w:rPr>
        <w:t>组织</w:t>
      </w:r>
      <w:r>
        <w:rPr>
          <w:rFonts w:hint="eastAsia" w:ascii="宋体" w:hAnsi="宋体"/>
          <w:color w:val="auto"/>
          <w:szCs w:val="21"/>
        </w:rPr>
        <w:t>机构提交投标文件的单位或个人。</w:t>
      </w:r>
    </w:p>
    <w:p w14:paraId="1DE53FB4">
      <w:pPr>
        <w:snapToGrid w:val="0"/>
        <w:spacing w:line="360" w:lineRule="auto"/>
        <w:ind w:firstLine="525" w:firstLineChars="250"/>
        <w:jc w:val="left"/>
        <w:rPr>
          <w:rFonts w:ascii="宋体"/>
          <w:color w:val="auto"/>
          <w:szCs w:val="21"/>
        </w:rPr>
      </w:pPr>
      <w:r>
        <w:rPr>
          <w:rFonts w:ascii="宋体" w:hAnsi="宋体"/>
          <w:color w:val="auto"/>
          <w:szCs w:val="21"/>
        </w:rPr>
        <w:t>4</w:t>
      </w:r>
      <w:r>
        <w:rPr>
          <w:rFonts w:hint="eastAsia" w:ascii="宋体" w:hAnsi="宋体"/>
          <w:color w:val="auto"/>
          <w:szCs w:val="21"/>
        </w:rPr>
        <w:t>.货物：是指各种形态和种类的物品，包括原材料、燃料、设备、产品等。</w:t>
      </w:r>
    </w:p>
    <w:p w14:paraId="51EEBC34">
      <w:pPr>
        <w:snapToGrid w:val="0"/>
        <w:spacing w:line="360" w:lineRule="auto"/>
        <w:ind w:firstLine="495" w:firstLineChars="236"/>
        <w:jc w:val="left"/>
        <w:rPr>
          <w:rFonts w:ascii="宋体"/>
          <w:b/>
          <w:color w:val="auto"/>
          <w:szCs w:val="21"/>
        </w:rPr>
      </w:pPr>
      <w:r>
        <w:rPr>
          <w:rFonts w:ascii="宋体" w:hAnsi="宋体"/>
          <w:color w:val="auto"/>
          <w:szCs w:val="21"/>
        </w:rPr>
        <w:t>5</w:t>
      </w:r>
      <w:r>
        <w:rPr>
          <w:rFonts w:hint="eastAsia" w:ascii="宋体" w:hAnsi="宋体"/>
          <w:color w:val="auto"/>
          <w:szCs w:val="21"/>
        </w:rPr>
        <w:t>.服务：是指除货物和工程以外的政府采购对象，包括各类专业服务、信息网络开发服务、金融保险服务、运输服务，以及维修与维护服务等。</w:t>
      </w:r>
    </w:p>
    <w:p w14:paraId="0559BFE2">
      <w:pPr>
        <w:snapToGrid w:val="0"/>
        <w:spacing w:line="360" w:lineRule="auto"/>
        <w:ind w:firstLine="495" w:firstLineChars="236"/>
        <w:jc w:val="left"/>
        <w:rPr>
          <w:rFonts w:ascii="宋体"/>
          <w:color w:val="auto"/>
          <w:szCs w:val="21"/>
        </w:rPr>
      </w:pPr>
      <w:r>
        <w:rPr>
          <w:rFonts w:ascii="宋体" w:hAnsi="宋体"/>
          <w:color w:val="auto"/>
          <w:szCs w:val="21"/>
        </w:rPr>
        <w:t>6</w:t>
      </w:r>
      <w:r>
        <w:rPr>
          <w:rFonts w:hint="eastAsia" w:ascii="宋体" w:hAnsi="宋体"/>
          <w:color w:val="auto"/>
          <w:szCs w:val="21"/>
        </w:rPr>
        <w:t>.“书面形式”包括信函、传真等。</w:t>
      </w:r>
    </w:p>
    <w:p w14:paraId="5708D135">
      <w:pPr>
        <w:snapToGrid w:val="0"/>
        <w:spacing w:line="360" w:lineRule="auto"/>
        <w:ind w:firstLine="495" w:firstLineChars="236"/>
        <w:jc w:val="left"/>
        <w:rPr>
          <w:rFonts w:ascii="宋体"/>
          <w:color w:val="auto"/>
          <w:szCs w:val="21"/>
        </w:rPr>
      </w:pPr>
      <w:r>
        <w:rPr>
          <w:rFonts w:ascii="宋体" w:hAnsi="宋体"/>
          <w:color w:val="auto"/>
          <w:szCs w:val="21"/>
        </w:rPr>
        <w:t>7</w:t>
      </w:r>
      <w:r>
        <w:rPr>
          <w:rFonts w:hint="eastAsia" w:ascii="宋体" w:hAnsi="宋体"/>
          <w:color w:val="auto"/>
          <w:szCs w:val="21"/>
        </w:rPr>
        <w:t>.“▲”系指实质性要求条款。</w:t>
      </w:r>
    </w:p>
    <w:p w14:paraId="54DBAC31">
      <w:pPr>
        <w:snapToGrid w:val="0"/>
        <w:spacing w:before="156" w:beforeLines="50" w:line="360" w:lineRule="auto"/>
        <w:ind w:firstLine="413" w:firstLineChars="196"/>
        <w:jc w:val="left"/>
        <w:outlineLvl w:val="1"/>
        <w:rPr>
          <w:rFonts w:ascii="宋体"/>
          <w:b/>
          <w:color w:val="auto"/>
          <w:szCs w:val="21"/>
        </w:rPr>
      </w:pPr>
      <w:r>
        <w:rPr>
          <w:rFonts w:hint="eastAsia" w:ascii="宋体" w:hAnsi="宋体"/>
          <w:b/>
          <w:color w:val="auto"/>
          <w:szCs w:val="21"/>
        </w:rPr>
        <w:t>（三）投标费用</w:t>
      </w:r>
    </w:p>
    <w:p w14:paraId="1524E2E6">
      <w:pPr>
        <w:snapToGrid w:val="0"/>
        <w:spacing w:line="360" w:lineRule="auto"/>
        <w:ind w:firstLine="420" w:firstLineChars="200"/>
        <w:jc w:val="left"/>
        <w:rPr>
          <w:rFonts w:ascii="宋体"/>
          <w:color w:val="auto"/>
          <w:szCs w:val="21"/>
        </w:rPr>
      </w:pPr>
      <w:r>
        <w:rPr>
          <w:rFonts w:hint="eastAsia" w:ascii="宋体" w:hAnsi="宋体"/>
          <w:color w:val="auto"/>
          <w:szCs w:val="21"/>
        </w:rPr>
        <w:t>不论投标结果如何，投标人均应自行承担所有与投标有关的全部费用（招标文件有相关规定除外）。</w:t>
      </w:r>
    </w:p>
    <w:p w14:paraId="33C57138">
      <w:pPr>
        <w:pStyle w:val="12"/>
        <w:snapToGrid w:val="0"/>
        <w:spacing w:line="360" w:lineRule="auto"/>
        <w:ind w:left="2" w:leftChars="1" w:firstLine="422" w:firstLineChars="200"/>
        <w:rPr>
          <w:rFonts w:hAnsi="宋体"/>
          <w:b/>
          <w:color w:val="auto"/>
          <w:szCs w:val="21"/>
        </w:rPr>
      </w:pPr>
      <w:r>
        <w:rPr>
          <w:rFonts w:hint="eastAsia" w:hAnsi="宋体"/>
          <w:b/>
          <w:color w:val="auto"/>
          <w:szCs w:val="21"/>
        </w:rPr>
        <w:t>（四）特别说明</w:t>
      </w:r>
    </w:p>
    <w:p w14:paraId="4129E74E">
      <w:pPr>
        <w:pStyle w:val="12"/>
        <w:snapToGrid w:val="0"/>
        <w:spacing w:line="360" w:lineRule="auto"/>
        <w:ind w:left="2" w:leftChars="1" w:firstLine="420" w:firstLineChars="200"/>
        <w:rPr>
          <w:rFonts w:hAnsi="宋体"/>
          <w:color w:val="auto"/>
          <w:szCs w:val="21"/>
        </w:rPr>
      </w:pPr>
      <w:r>
        <w:rPr>
          <w:rFonts w:hAnsi="宋体"/>
          <w:color w:val="auto"/>
          <w:szCs w:val="21"/>
        </w:rPr>
        <w:t>1</w:t>
      </w:r>
      <w:r>
        <w:rPr>
          <w:rFonts w:hint="eastAsia" w:hAnsi="宋体"/>
          <w:color w:val="auto"/>
          <w:szCs w:val="21"/>
        </w:rPr>
        <w:t>.投标人投标所使用的资格、信誉、荣誉、业绩与企业认证必须为本法人所拥有。投标人投标所使用的采购项目实施人员必须为本法人员工（指本法人或控股公司正式员工）。</w:t>
      </w:r>
    </w:p>
    <w:p w14:paraId="76F6F008">
      <w:pPr>
        <w:spacing w:line="360" w:lineRule="auto"/>
        <w:ind w:firstLine="420" w:firstLineChars="200"/>
        <w:rPr>
          <w:rFonts w:ascii="宋体"/>
          <w:color w:val="auto"/>
          <w:szCs w:val="21"/>
        </w:rPr>
      </w:pPr>
      <w:r>
        <w:rPr>
          <w:rFonts w:ascii="宋体" w:hAnsi="宋体"/>
          <w:color w:val="auto"/>
          <w:szCs w:val="21"/>
        </w:rPr>
        <w:t>2</w:t>
      </w:r>
      <w:r>
        <w:rPr>
          <w:rFonts w:hint="eastAsia" w:ascii="宋体" w:hAnsi="宋体"/>
          <w:color w:val="auto"/>
          <w:szCs w:val="21"/>
        </w:rPr>
        <w:t>.投标供应商所投产品除招标文件中明确规定要求“提供官网截图或相应有效证明；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ascii="宋体"/>
          <w:color w:val="auto"/>
          <w:szCs w:val="21"/>
        </w:rPr>
        <w:tab/>
      </w:r>
    </w:p>
    <w:p w14:paraId="3B5BC2DF">
      <w:pPr>
        <w:pStyle w:val="64"/>
        <w:snapToGrid w:val="0"/>
        <w:spacing w:line="360" w:lineRule="auto"/>
        <w:ind w:firstLineChars="0"/>
        <w:rPr>
          <w:rFonts w:ascii="宋体"/>
          <w:color w:val="auto"/>
          <w:szCs w:val="21"/>
        </w:rPr>
      </w:pPr>
      <w:r>
        <w:rPr>
          <w:rFonts w:ascii="宋体" w:hAnsi="宋体"/>
          <w:color w:val="auto"/>
          <w:szCs w:val="21"/>
        </w:rPr>
        <w:t>3</w:t>
      </w:r>
      <w:r>
        <w:rPr>
          <w:rFonts w:hint="eastAsia" w:ascii="宋体" w:hAnsi="宋体"/>
          <w:color w:val="auto"/>
          <w:szCs w:val="21"/>
        </w:rPr>
        <w:t>.投标人在投标活动中提供任何虚假材料</w:t>
      </w:r>
      <w:r>
        <w:rPr>
          <w:rFonts w:ascii="宋体"/>
          <w:color w:val="auto"/>
          <w:szCs w:val="21"/>
        </w:rPr>
        <w:t>,</w:t>
      </w:r>
      <w:r>
        <w:rPr>
          <w:rFonts w:hint="eastAsia" w:ascii="宋体" w:hAnsi="宋体"/>
          <w:color w:val="auto"/>
          <w:szCs w:val="21"/>
        </w:rPr>
        <w:t>其投标无效，并报监管部门查处；中标后发现的</w:t>
      </w:r>
      <w:r>
        <w:rPr>
          <w:rFonts w:ascii="宋体"/>
          <w:color w:val="auto"/>
          <w:szCs w:val="21"/>
        </w:rPr>
        <w:t>,</w:t>
      </w:r>
      <w:r>
        <w:rPr>
          <w:rFonts w:hint="eastAsia" w:ascii="宋体" w:hAnsi="宋体"/>
          <w:color w:val="auto"/>
          <w:szCs w:val="21"/>
        </w:rPr>
        <w:t>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市场监督管理局吊销营业执照；构成犯罪的，依法追究刑事责任。</w:t>
      </w:r>
    </w:p>
    <w:p w14:paraId="59CD3F7A">
      <w:pPr>
        <w:pStyle w:val="4"/>
        <w:keepNext w:val="0"/>
        <w:keepLines w:val="0"/>
        <w:tabs>
          <w:tab w:val="left" w:pos="851"/>
        </w:tabs>
        <w:autoSpaceDE w:val="0"/>
        <w:autoSpaceDN w:val="0"/>
        <w:adjustRightInd w:val="0"/>
        <w:snapToGrid w:val="0"/>
        <w:spacing w:before="0" w:after="0" w:line="360" w:lineRule="auto"/>
        <w:ind w:firstLine="420" w:firstLineChars="200"/>
        <w:rPr>
          <w:rFonts w:ascii="宋体"/>
          <w:b w:val="0"/>
          <w:bCs w:val="0"/>
          <w:color w:val="auto"/>
          <w:sz w:val="21"/>
          <w:szCs w:val="21"/>
        </w:rPr>
      </w:pPr>
      <w:r>
        <w:rPr>
          <w:rFonts w:ascii="宋体" w:hAnsi="宋体"/>
          <w:b w:val="0"/>
          <w:bCs w:val="0"/>
          <w:color w:val="auto"/>
          <w:sz w:val="21"/>
          <w:szCs w:val="21"/>
        </w:rPr>
        <w:t>4</w:t>
      </w:r>
      <w:r>
        <w:rPr>
          <w:rFonts w:hint="eastAsia" w:ascii="宋体" w:hAnsi="宋体"/>
          <w:b w:val="0"/>
          <w:bCs w:val="0"/>
          <w:color w:val="auto"/>
          <w:sz w:val="21"/>
          <w:szCs w:val="21"/>
        </w:rPr>
        <w:t>.投标人不得相互串通投标报价，不得妨碍其他投标人的公平竞争，不得损害采购人或其他投标人的合法权益，投标人不得以向采购人、评标委员会成员行贿或者采取其他不正当手段谋取中标。</w:t>
      </w:r>
    </w:p>
    <w:p w14:paraId="3B5DD939">
      <w:pPr>
        <w:pStyle w:val="4"/>
        <w:keepNext w:val="0"/>
        <w:keepLines w:val="0"/>
        <w:tabs>
          <w:tab w:val="left" w:pos="851"/>
        </w:tabs>
        <w:autoSpaceDE w:val="0"/>
        <w:autoSpaceDN w:val="0"/>
        <w:adjustRightInd w:val="0"/>
        <w:snapToGrid w:val="0"/>
        <w:spacing w:before="0" w:after="0" w:line="360" w:lineRule="auto"/>
        <w:ind w:firstLine="420" w:firstLineChars="200"/>
        <w:rPr>
          <w:rFonts w:ascii="宋体"/>
          <w:b w:val="0"/>
          <w:bCs w:val="0"/>
          <w:color w:val="auto"/>
          <w:sz w:val="21"/>
          <w:szCs w:val="21"/>
        </w:rPr>
      </w:pPr>
      <w:r>
        <w:rPr>
          <w:rFonts w:ascii="宋体" w:hAnsi="宋体"/>
          <w:b w:val="0"/>
          <w:bCs w:val="0"/>
          <w:color w:val="auto"/>
          <w:sz w:val="21"/>
          <w:szCs w:val="21"/>
        </w:rPr>
        <w:t>5</w:t>
      </w:r>
      <w:r>
        <w:rPr>
          <w:rFonts w:hint="eastAsia" w:ascii="宋体" w:hAnsi="宋体"/>
          <w:b w:val="0"/>
          <w:bCs w:val="0"/>
          <w:color w:val="auto"/>
          <w:sz w:val="21"/>
          <w:szCs w:val="21"/>
        </w:rPr>
        <w:t>.为采购项目提供整体设计、规范编制或者项目管理、监理、检测等服务的供应商，不得再参加该采购项目的其他采购活动。</w:t>
      </w:r>
    </w:p>
    <w:p w14:paraId="5E31AB54">
      <w:pPr>
        <w:pStyle w:val="4"/>
        <w:keepNext w:val="0"/>
        <w:keepLines w:val="0"/>
        <w:tabs>
          <w:tab w:val="left" w:pos="851"/>
        </w:tabs>
        <w:autoSpaceDE w:val="0"/>
        <w:autoSpaceDN w:val="0"/>
        <w:adjustRightInd w:val="0"/>
        <w:snapToGrid w:val="0"/>
        <w:spacing w:before="0" w:after="0" w:line="360" w:lineRule="auto"/>
        <w:ind w:firstLine="420" w:firstLineChars="200"/>
        <w:rPr>
          <w:rFonts w:ascii="宋体"/>
          <w:b w:val="0"/>
          <w:bCs w:val="0"/>
          <w:color w:val="auto"/>
          <w:sz w:val="21"/>
          <w:szCs w:val="21"/>
        </w:rPr>
      </w:pPr>
      <w:r>
        <w:rPr>
          <w:rFonts w:ascii="宋体" w:hAnsi="宋体"/>
          <w:b w:val="0"/>
          <w:bCs w:val="0"/>
          <w:color w:val="auto"/>
          <w:sz w:val="21"/>
          <w:szCs w:val="21"/>
        </w:rPr>
        <w:t>6</w:t>
      </w:r>
      <w:r>
        <w:rPr>
          <w:rFonts w:hint="eastAsia" w:ascii="宋体" w:hAnsi="宋体"/>
          <w:b w:val="0"/>
          <w:bCs w:val="0"/>
          <w:color w:val="auto"/>
          <w:sz w:val="21"/>
          <w:szCs w:val="21"/>
        </w:rPr>
        <w:t>.投标文件格式中的表格式样可以根据项目差别做适当调整</w:t>
      </w:r>
      <w:r>
        <w:rPr>
          <w:rFonts w:ascii="宋体"/>
          <w:b w:val="0"/>
          <w:bCs w:val="0"/>
          <w:color w:val="auto"/>
          <w:sz w:val="21"/>
          <w:szCs w:val="21"/>
        </w:rPr>
        <w:t>,</w:t>
      </w:r>
      <w:r>
        <w:rPr>
          <w:rFonts w:hint="eastAsia" w:ascii="宋体" w:hAnsi="宋体"/>
          <w:b w:val="0"/>
          <w:bCs w:val="0"/>
          <w:color w:val="auto"/>
          <w:sz w:val="21"/>
          <w:szCs w:val="21"/>
        </w:rPr>
        <w:t>但应当保持表格样式基本形态不变。</w:t>
      </w:r>
    </w:p>
    <w:p w14:paraId="75F87723">
      <w:pPr>
        <w:pStyle w:val="4"/>
        <w:keepNext w:val="0"/>
        <w:keepLines w:val="0"/>
        <w:tabs>
          <w:tab w:val="left" w:pos="851"/>
        </w:tabs>
        <w:autoSpaceDE w:val="0"/>
        <w:autoSpaceDN w:val="0"/>
        <w:adjustRightInd w:val="0"/>
        <w:snapToGrid w:val="0"/>
        <w:spacing w:before="0" w:after="0" w:line="360" w:lineRule="auto"/>
        <w:ind w:firstLine="420" w:firstLineChars="200"/>
        <w:rPr>
          <w:rFonts w:ascii="宋体"/>
          <w:b w:val="0"/>
          <w:bCs w:val="0"/>
          <w:color w:val="auto"/>
          <w:sz w:val="21"/>
          <w:szCs w:val="21"/>
        </w:rPr>
      </w:pPr>
      <w:r>
        <w:rPr>
          <w:rFonts w:ascii="宋体" w:hAnsi="宋体"/>
          <w:b w:val="0"/>
          <w:bCs w:val="0"/>
          <w:color w:val="auto"/>
          <w:sz w:val="21"/>
          <w:szCs w:val="21"/>
        </w:rPr>
        <w:t>7</w:t>
      </w:r>
      <w:r>
        <w:rPr>
          <w:rFonts w:hint="eastAsia" w:ascii="宋体" w:hAnsi="宋体"/>
          <w:b w:val="0"/>
          <w:bCs w:val="0"/>
          <w:color w:val="auto"/>
          <w:sz w:val="21"/>
          <w:szCs w:val="21"/>
        </w:rPr>
        <w:t>.单位负责人为同一人或者存在直接控股、管理关系的不同供应商，不得参加同一合同项下的政府采购活动。</w:t>
      </w:r>
    </w:p>
    <w:p w14:paraId="628329AC">
      <w:pPr>
        <w:pStyle w:val="4"/>
        <w:keepNext w:val="0"/>
        <w:keepLines w:val="0"/>
        <w:tabs>
          <w:tab w:val="left" w:pos="851"/>
        </w:tabs>
        <w:autoSpaceDE w:val="0"/>
        <w:autoSpaceDN w:val="0"/>
        <w:adjustRightInd w:val="0"/>
        <w:snapToGrid w:val="0"/>
        <w:spacing w:before="0" w:after="0" w:line="360" w:lineRule="auto"/>
        <w:ind w:firstLine="420" w:firstLineChars="200"/>
        <w:rPr>
          <w:rFonts w:ascii="宋体"/>
          <w:b w:val="0"/>
          <w:bCs w:val="0"/>
          <w:color w:val="auto"/>
          <w:sz w:val="21"/>
          <w:szCs w:val="21"/>
        </w:rPr>
      </w:pPr>
      <w:r>
        <w:rPr>
          <w:rFonts w:ascii="宋体" w:hAnsi="宋体"/>
          <w:b w:val="0"/>
          <w:bCs w:val="0"/>
          <w:color w:val="auto"/>
          <w:sz w:val="21"/>
          <w:szCs w:val="21"/>
        </w:rPr>
        <w:t>8</w:t>
      </w:r>
      <w:r>
        <w:rPr>
          <w:rFonts w:hint="eastAsia" w:ascii="宋体" w:hAnsi="宋体"/>
          <w:b w:val="0"/>
          <w:bCs w:val="0"/>
          <w:color w:val="auto"/>
          <w:sz w:val="21"/>
          <w:szCs w:val="21"/>
        </w:rPr>
        <w:t>.本项目不允许分包。</w:t>
      </w:r>
    </w:p>
    <w:p w14:paraId="0CC50C9B">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b/>
          <w:color w:val="auto"/>
          <w:kern w:val="0"/>
          <w:szCs w:val="21"/>
        </w:rPr>
      </w:pPr>
      <w:r>
        <w:rPr>
          <w:rFonts w:hint="eastAsia" w:ascii="宋体" w:hAnsi="宋体"/>
          <w:b/>
          <w:color w:val="auto"/>
          <w:kern w:val="0"/>
          <w:szCs w:val="21"/>
        </w:rPr>
        <w:t>二、招标文件</w:t>
      </w:r>
    </w:p>
    <w:p w14:paraId="7A559892">
      <w:pPr>
        <w:autoSpaceDE w:val="0"/>
        <w:autoSpaceDN w:val="0"/>
        <w:adjustRightInd w:val="0"/>
        <w:spacing w:line="360" w:lineRule="auto"/>
        <w:rPr>
          <w:rFonts w:ascii="宋体"/>
          <w:color w:val="auto"/>
          <w:kern w:val="0"/>
          <w:szCs w:val="21"/>
        </w:rPr>
      </w:pPr>
      <w:r>
        <w:rPr>
          <w:rFonts w:ascii="宋体" w:hAnsi="宋体"/>
          <w:color w:val="auto"/>
          <w:kern w:val="0"/>
          <w:szCs w:val="21"/>
        </w:rPr>
        <w:t xml:space="preserve">   </w:t>
      </w:r>
      <w:r>
        <w:rPr>
          <w:rFonts w:hint="eastAsia" w:ascii="宋体" w:hAnsi="宋体"/>
          <w:color w:val="auto"/>
          <w:kern w:val="0"/>
          <w:szCs w:val="21"/>
        </w:rPr>
        <w:t>（一）招标文件由招标文件总目录所列内容组成。</w:t>
      </w:r>
    </w:p>
    <w:p w14:paraId="0D48AE11">
      <w:pPr>
        <w:autoSpaceDE w:val="0"/>
        <w:autoSpaceDN w:val="0"/>
        <w:adjustRightInd w:val="0"/>
        <w:spacing w:line="360" w:lineRule="auto"/>
        <w:ind w:firstLine="315" w:firstLineChars="150"/>
        <w:rPr>
          <w:rFonts w:ascii="宋体"/>
          <w:color w:val="auto"/>
          <w:kern w:val="0"/>
          <w:szCs w:val="21"/>
        </w:rPr>
      </w:pPr>
      <w:r>
        <w:rPr>
          <w:rFonts w:hint="eastAsia" w:ascii="宋体" w:hAnsi="宋体"/>
          <w:color w:val="auto"/>
          <w:kern w:val="0"/>
          <w:szCs w:val="21"/>
        </w:rPr>
        <w:t>（二）招标文件的澄清或修改</w:t>
      </w:r>
    </w:p>
    <w:p w14:paraId="107BC420">
      <w:pPr>
        <w:autoSpaceDE w:val="0"/>
        <w:autoSpaceDN w:val="0"/>
        <w:adjustRightInd w:val="0"/>
        <w:spacing w:line="360" w:lineRule="auto"/>
        <w:ind w:firstLine="367" w:firstLineChars="175"/>
        <w:rPr>
          <w:rFonts w:ascii="宋体" w:hAnsi="宋体"/>
          <w:color w:val="auto"/>
          <w:kern w:val="0"/>
          <w:szCs w:val="21"/>
        </w:rPr>
      </w:pPr>
      <w:r>
        <w:rPr>
          <w:rFonts w:ascii="宋体" w:hAnsi="宋体"/>
          <w:color w:val="auto"/>
          <w:kern w:val="0"/>
          <w:szCs w:val="21"/>
        </w:rPr>
        <w:t>1</w:t>
      </w:r>
      <w:r>
        <w:rPr>
          <w:rFonts w:hint="eastAsia" w:ascii="宋体" w:hAnsi="宋体"/>
          <w:color w:val="auto"/>
          <w:kern w:val="0"/>
          <w:szCs w:val="21"/>
        </w:rPr>
        <w:t>.采购组织机构可视采购具体情况对已发出的招标文件进行必要的澄清或者修改。澄清或者修改的内容可能影响投标文件编制的，采购人或者采购组织机构应当在投标截止时间至少</w:t>
      </w:r>
      <w:r>
        <w:rPr>
          <w:rFonts w:ascii="宋体" w:hAnsi="宋体"/>
          <w:color w:val="auto"/>
          <w:kern w:val="0"/>
          <w:szCs w:val="21"/>
        </w:rPr>
        <w:t>15</w:t>
      </w:r>
      <w:r>
        <w:rPr>
          <w:rFonts w:hint="eastAsia" w:ascii="宋体" w:hAnsi="宋体"/>
          <w:color w:val="auto"/>
          <w:kern w:val="0"/>
          <w:szCs w:val="21"/>
        </w:rPr>
        <w:t>日前，在原公告发布媒体上发布澄清公告，澄清或者修改的内容为招标文件的组成部分；不足</w:t>
      </w:r>
      <w:r>
        <w:rPr>
          <w:rFonts w:ascii="宋体" w:hAnsi="宋体"/>
          <w:color w:val="auto"/>
          <w:kern w:val="0"/>
          <w:szCs w:val="21"/>
        </w:rPr>
        <w:t>15</w:t>
      </w:r>
      <w:r>
        <w:rPr>
          <w:rFonts w:hint="eastAsia" w:ascii="宋体" w:hAnsi="宋体"/>
          <w:color w:val="auto"/>
          <w:kern w:val="0"/>
          <w:szCs w:val="21"/>
        </w:rPr>
        <w:t>日的，采购人或者采购组织机构应当顺延提交投标文件的截止时间。</w:t>
      </w:r>
      <w:r>
        <w:rPr>
          <w:rFonts w:ascii="宋体" w:hAnsi="宋体"/>
          <w:color w:val="auto"/>
          <w:kern w:val="0"/>
          <w:szCs w:val="21"/>
        </w:rPr>
        <w:t xml:space="preserve"> </w:t>
      </w:r>
    </w:p>
    <w:p w14:paraId="27334556">
      <w:pPr>
        <w:autoSpaceDE w:val="0"/>
        <w:autoSpaceDN w:val="0"/>
        <w:adjustRightInd w:val="0"/>
        <w:spacing w:line="360" w:lineRule="auto"/>
        <w:ind w:firstLine="420" w:firstLineChars="200"/>
        <w:rPr>
          <w:rFonts w:ascii="宋体"/>
          <w:color w:val="auto"/>
          <w:kern w:val="0"/>
          <w:szCs w:val="21"/>
        </w:rPr>
      </w:pPr>
      <w:r>
        <w:rPr>
          <w:rFonts w:ascii="宋体" w:hAnsi="宋体"/>
          <w:color w:val="auto"/>
          <w:kern w:val="0"/>
          <w:szCs w:val="21"/>
        </w:rPr>
        <w:t>2</w:t>
      </w:r>
      <w:r>
        <w:rPr>
          <w:rFonts w:hint="eastAsia" w:ascii="宋体" w:hAnsi="宋体"/>
          <w:color w:val="auto"/>
          <w:kern w:val="0"/>
          <w:szCs w:val="21"/>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048C4F07">
      <w:pPr>
        <w:tabs>
          <w:tab w:val="left" w:pos="1418"/>
        </w:tabs>
        <w:autoSpaceDE w:val="0"/>
        <w:autoSpaceDN w:val="0"/>
        <w:adjustRightInd w:val="0"/>
        <w:spacing w:line="360" w:lineRule="auto"/>
        <w:rPr>
          <w:rFonts w:ascii="宋体"/>
          <w:b/>
          <w:color w:val="auto"/>
          <w:kern w:val="0"/>
          <w:szCs w:val="21"/>
        </w:rPr>
      </w:pPr>
      <w:r>
        <w:rPr>
          <w:rFonts w:ascii="宋体" w:hAnsi="宋体"/>
          <w:b/>
          <w:color w:val="auto"/>
          <w:kern w:val="0"/>
          <w:szCs w:val="21"/>
        </w:rPr>
        <w:t xml:space="preserve"> </w:t>
      </w:r>
      <w:r>
        <w:rPr>
          <w:rFonts w:hint="eastAsia" w:ascii="宋体" w:hAnsi="宋体"/>
          <w:b/>
          <w:color w:val="auto"/>
          <w:kern w:val="0"/>
          <w:szCs w:val="21"/>
        </w:rPr>
        <w:t>三、投标文件</w:t>
      </w:r>
    </w:p>
    <w:p w14:paraId="6071E9C7">
      <w:pPr>
        <w:autoSpaceDE w:val="0"/>
        <w:autoSpaceDN w:val="0"/>
        <w:adjustRightInd w:val="0"/>
        <w:spacing w:line="360" w:lineRule="auto"/>
        <w:ind w:firstLine="422" w:firstLineChars="200"/>
        <w:rPr>
          <w:rFonts w:ascii="宋体"/>
          <w:b/>
          <w:bCs/>
          <w:color w:val="auto"/>
          <w:kern w:val="0"/>
          <w:szCs w:val="21"/>
        </w:rPr>
      </w:pPr>
      <w:r>
        <w:rPr>
          <w:rFonts w:hint="eastAsia" w:ascii="宋体"/>
          <w:b/>
          <w:color w:val="auto"/>
          <w:szCs w:val="21"/>
          <w:lang w:val="zh-CN"/>
        </w:rPr>
        <w:t>（一）</w:t>
      </w:r>
      <w:r>
        <w:rPr>
          <w:rFonts w:hint="eastAsia" w:ascii="宋体" w:hAnsi="宋体"/>
          <w:b/>
          <w:bCs/>
          <w:color w:val="auto"/>
          <w:kern w:val="0"/>
          <w:szCs w:val="21"/>
        </w:rPr>
        <w:t>投标文件的组成</w:t>
      </w:r>
    </w:p>
    <w:p w14:paraId="59B081FE">
      <w:pPr>
        <w:snapToGrid w:val="0"/>
        <w:spacing w:line="360" w:lineRule="auto"/>
        <w:ind w:firstLine="420" w:firstLineChars="200"/>
        <w:rPr>
          <w:rFonts w:hint="eastAsia" w:ascii="宋体" w:hAnsi="宋体"/>
          <w:color w:val="auto"/>
          <w:kern w:val="0"/>
          <w:szCs w:val="21"/>
        </w:rPr>
      </w:pPr>
      <w:r>
        <w:rPr>
          <w:rFonts w:hint="eastAsia" w:ascii="宋体" w:hAnsi="宋体"/>
          <w:color w:val="auto"/>
          <w:kern w:val="0"/>
          <w:szCs w:val="21"/>
        </w:rPr>
        <w:t>投标文件应当包括以下主要内容：资格证明文件、商务技术文件、报价文件。</w:t>
      </w:r>
    </w:p>
    <w:p w14:paraId="15AE0FC4">
      <w:pPr>
        <w:snapToGrid w:val="0"/>
        <w:spacing w:line="360" w:lineRule="auto"/>
        <w:ind w:firstLine="422" w:firstLineChars="200"/>
        <w:rPr>
          <w:rFonts w:ascii="宋体"/>
          <w:color w:val="auto"/>
          <w:kern w:val="0"/>
          <w:szCs w:val="21"/>
        </w:rPr>
      </w:pPr>
      <w:r>
        <w:rPr>
          <w:rFonts w:hint="eastAsia" w:ascii="宋体" w:hAnsi="宋体" w:cs="宋体"/>
          <w:b/>
          <w:color w:val="auto"/>
          <w:szCs w:val="21"/>
        </w:rPr>
        <w:t>▲</w:t>
      </w:r>
      <w:r>
        <w:rPr>
          <w:rFonts w:ascii="宋体" w:hAnsi="宋体"/>
          <w:b/>
          <w:color w:val="auto"/>
          <w:szCs w:val="21"/>
        </w:rPr>
        <w:t>1</w:t>
      </w:r>
      <w:r>
        <w:rPr>
          <w:rFonts w:hint="eastAsia" w:ascii="宋体" w:hAnsi="宋体"/>
          <w:b/>
          <w:color w:val="auto"/>
          <w:szCs w:val="21"/>
        </w:rPr>
        <w:t>.资格证明文件的组成：</w:t>
      </w:r>
    </w:p>
    <w:p w14:paraId="6A83B4D4">
      <w:pPr>
        <w:widowControl/>
        <w:numPr>
          <w:ilvl w:val="0"/>
          <w:numId w:val="0"/>
        </w:numPr>
        <w:spacing w:line="360" w:lineRule="auto"/>
        <w:ind w:left="7" w:leftChars="0" w:right="60" w:rightChars="0" w:firstLine="413" w:firstLineChars="0"/>
        <w:jc w:val="left"/>
        <w:outlineLvl w:val="0"/>
        <w:rPr>
          <w:rFonts w:ascii="宋体" w:cs="宋体"/>
          <w:color w:val="auto"/>
          <w:szCs w:val="21"/>
        </w:rPr>
      </w:pPr>
      <w:r>
        <w:rPr>
          <w:rFonts w:ascii="宋体" w:cs="Times New Roman"/>
          <w:color w:val="auto"/>
          <w:kern w:val="2"/>
          <w:sz w:val="21"/>
          <w:szCs w:val="21"/>
          <w:lang w:val="en-US" w:eastAsia="zh-CN" w:bidi="ar-SA"/>
        </w:rPr>
        <w:t>（1）</w:t>
      </w:r>
      <w:r>
        <w:rPr>
          <w:rFonts w:hint="eastAsia" w:ascii="宋体" w:hAnsi="宋体" w:cs="宋体"/>
          <w:color w:val="auto"/>
          <w:szCs w:val="21"/>
        </w:rPr>
        <w:t>投标声明书；</w:t>
      </w:r>
    </w:p>
    <w:p w14:paraId="7102FD24">
      <w:pPr>
        <w:widowControl/>
        <w:numPr>
          <w:ilvl w:val="0"/>
          <w:numId w:val="0"/>
        </w:numPr>
        <w:spacing w:line="360" w:lineRule="auto"/>
        <w:ind w:left="7" w:leftChars="0" w:right="60" w:rightChars="0" w:firstLine="413" w:firstLineChars="0"/>
        <w:jc w:val="left"/>
        <w:outlineLvl w:val="0"/>
        <w:rPr>
          <w:rFonts w:ascii="宋体" w:cs="宋体"/>
          <w:color w:val="auto"/>
          <w:szCs w:val="21"/>
        </w:rPr>
      </w:pPr>
      <w:r>
        <w:rPr>
          <w:rFonts w:ascii="宋体" w:cs="Times New Roman"/>
          <w:color w:val="auto"/>
          <w:kern w:val="2"/>
          <w:sz w:val="21"/>
          <w:szCs w:val="21"/>
          <w:lang w:val="en-US" w:eastAsia="zh-CN" w:bidi="ar-SA"/>
        </w:rPr>
        <w:t>（2）</w:t>
      </w:r>
      <w:r>
        <w:rPr>
          <w:rFonts w:hint="eastAsia" w:ascii="宋体" w:hAnsi="宋体" w:cs="宋体"/>
          <w:color w:val="auto"/>
          <w:szCs w:val="21"/>
        </w:rPr>
        <w:t>授权委托书（法定代表人亲自办理投标事宜的，则无需提交</w:t>
      </w:r>
      <w:r>
        <w:rPr>
          <w:rFonts w:ascii="宋体" w:hAnsi="宋体" w:cs="宋体"/>
          <w:color w:val="auto"/>
          <w:szCs w:val="21"/>
        </w:rPr>
        <w:t>)</w:t>
      </w:r>
      <w:r>
        <w:rPr>
          <w:rFonts w:hint="eastAsia" w:ascii="宋体" w:hAnsi="宋体" w:cs="宋体"/>
          <w:color w:val="auto"/>
          <w:szCs w:val="21"/>
        </w:rPr>
        <w:t>；</w:t>
      </w:r>
    </w:p>
    <w:p w14:paraId="0ECF9FB5">
      <w:pPr>
        <w:widowControl/>
        <w:numPr>
          <w:ilvl w:val="0"/>
          <w:numId w:val="0"/>
        </w:numPr>
        <w:spacing w:line="360" w:lineRule="auto"/>
        <w:ind w:left="7" w:leftChars="0" w:right="60" w:rightChars="0" w:firstLine="413" w:firstLineChars="0"/>
        <w:jc w:val="left"/>
        <w:outlineLvl w:val="0"/>
        <w:rPr>
          <w:rFonts w:hint="eastAsia" w:ascii="宋体" w:cs="宋体"/>
          <w:color w:val="auto"/>
          <w:szCs w:val="21"/>
        </w:rPr>
      </w:pPr>
      <w:r>
        <w:rPr>
          <w:rFonts w:hint="eastAsia" w:ascii="宋体" w:cs="Times New Roman"/>
          <w:color w:val="auto"/>
          <w:kern w:val="2"/>
          <w:sz w:val="21"/>
          <w:szCs w:val="21"/>
          <w:lang w:val="en-US" w:eastAsia="zh-CN" w:bidi="ar-SA"/>
        </w:rPr>
        <w:t>（3）</w:t>
      </w:r>
      <w:r>
        <w:rPr>
          <w:rFonts w:hint="eastAsia" w:ascii="宋体" w:hAnsi="宋体" w:cs="宋体"/>
          <w:color w:val="auto"/>
          <w:szCs w:val="21"/>
        </w:rPr>
        <w:t>法人或者其他组织的营业执照等证明文件，自然人的身份证明；</w:t>
      </w:r>
    </w:p>
    <w:p w14:paraId="41CDA27F">
      <w:pPr>
        <w:widowControl/>
        <w:numPr>
          <w:ilvl w:val="0"/>
          <w:numId w:val="0"/>
        </w:numPr>
        <w:spacing w:line="360" w:lineRule="auto"/>
        <w:ind w:right="60" w:rightChars="0" w:firstLine="413" w:firstLineChars="197"/>
        <w:jc w:val="left"/>
        <w:outlineLvl w:val="0"/>
        <w:rPr>
          <w:rFonts w:ascii="宋体" w:cs="宋体"/>
          <w:color w:val="auto"/>
          <w:sz w:val="21"/>
          <w:szCs w:val="21"/>
        </w:rPr>
      </w:pPr>
      <w:r>
        <w:rPr>
          <w:rFonts w:ascii="宋体" w:cs="Times New Roman"/>
          <w:color w:val="auto"/>
          <w:kern w:val="2"/>
          <w:sz w:val="21"/>
          <w:szCs w:val="21"/>
          <w:lang w:val="en-US" w:eastAsia="zh-CN" w:bidi="ar-SA"/>
        </w:rPr>
        <w:t>（4）</w:t>
      </w:r>
      <w:r>
        <w:rPr>
          <w:rFonts w:hint="eastAsia" w:ascii="宋体" w:hAnsi="宋体" w:cs="宋体"/>
          <w:b w:val="0"/>
          <w:bCs w:val="0"/>
          <w:color w:val="auto"/>
          <w:sz w:val="21"/>
          <w:szCs w:val="21"/>
          <w:highlight w:val="none"/>
        </w:rPr>
        <w:t>中小企业声明函</w:t>
      </w:r>
      <w:r>
        <w:rPr>
          <w:rFonts w:hint="eastAsia" w:ascii="宋体" w:hAnsi="宋体" w:cs="宋体"/>
          <w:b w:val="0"/>
          <w:bCs w:val="0"/>
          <w:color w:val="auto"/>
          <w:sz w:val="21"/>
          <w:szCs w:val="21"/>
          <w:highlight w:val="none"/>
          <w:lang w:eastAsia="zh-CN"/>
        </w:rPr>
        <w:t>；</w:t>
      </w:r>
    </w:p>
    <w:p w14:paraId="18CD03B1">
      <w:pPr>
        <w:widowControl/>
        <w:numPr>
          <w:ilvl w:val="0"/>
          <w:numId w:val="0"/>
        </w:numPr>
        <w:spacing w:line="360" w:lineRule="auto"/>
        <w:ind w:left="7" w:leftChars="0" w:right="60" w:rightChars="0" w:firstLine="413" w:firstLineChars="0"/>
        <w:jc w:val="left"/>
        <w:outlineLvl w:val="0"/>
        <w:rPr>
          <w:rFonts w:ascii="宋体" w:cs="宋体"/>
          <w:color w:val="auto"/>
          <w:szCs w:val="21"/>
        </w:rPr>
      </w:pPr>
      <w:r>
        <w:rPr>
          <w:rFonts w:ascii="宋体" w:cs="Times New Roman"/>
          <w:color w:val="auto"/>
          <w:kern w:val="2"/>
          <w:sz w:val="21"/>
          <w:szCs w:val="21"/>
          <w:lang w:val="en-US" w:eastAsia="zh-CN" w:bidi="ar-SA"/>
        </w:rPr>
        <w:t>（</w:t>
      </w:r>
      <w:r>
        <w:rPr>
          <w:rFonts w:hint="eastAsia" w:ascii="宋体" w:cs="Times New Roman"/>
          <w:color w:val="auto"/>
          <w:kern w:val="2"/>
          <w:sz w:val="21"/>
          <w:szCs w:val="21"/>
          <w:lang w:val="en-US" w:eastAsia="zh-CN" w:bidi="ar-SA"/>
        </w:rPr>
        <w:t>5</w:t>
      </w:r>
      <w:r>
        <w:rPr>
          <w:rFonts w:ascii="宋体" w:cs="Times New Roman"/>
          <w:color w:val="auto"/>
          <w:kern w:val="2"/>
          <w:sz w:val="21"/>
          <w:szCs w:val="21"/>
          <w:lang w:val="en-US" w:eastAsia="zh-CN" w:bidi="ar-SA"/>
        </w:rPr>
        <w:t>）</w:t>
      </w:r>
      <w:r>
        <w:rPr>
          <w:rFonts w:hint="eastAsia" w:ascii="宋体" w:hAnsi="宋体" w:cs="宋体"/>
          <w:color w:val="auto"/>
          <w:szCs w:val="21"/>
        </w:rPr>
        <w:t>符合参加采购活动应当具备的一般条件的承诺函</w:t>
      </w:r>
      <w:r>
        <w:rPr>
          <w:rFonts w:hint="eastAsia" w:ascii="宋体" w:hAnsi="宋体" w:cs="宋体"/>
          <w:color w:val="auto"/>
          <w:szCs w:val="21"/>
        </w:rPr>
        <w:t>；</w:t>
      </w:r>
    </w:p>
    <w:p w14:paraId="323C468F">
      <w:pPr>
        <w:widowControl/>
        <w:numPr>
          <w:ilvl w:val="0"/>
          <w:numId w:val="0"/>
        </w:numPr>
        <w:spacing w:line="360" w:lineRule="auto"/>
        <w:ind w:left="7" w:leftChars="0" w:right="60" w:rightChars="0" w:firstLine="413" w:firstLineChars="0"/>
        <w:jc w:val="left"/>
        <w:outlineLvl w:val="0"/>
        <w:rPr>
          <w:rFonts w:ascii="宋体" w:cs="宋体"/>
          <w:color w:val="auto"/>
          <w:szCs w:val="21"/>
        </w:rPr>
      </w:pPr>
      <w:r>
        <w:rPr>
          <w:rFonts w:ascii="宋体" w:cs="Times New Roman"/>
          <w:color w:val="auto"/>
          <w:kern w:val="2"/>
          <w:sz w:val="21"/>
          <w:szCs w:val="21"/>
          <w:lang w:val="en-US" w:eastAsia="zh-CN" w:bidi="ar-SA"/>
        </w:rPr>
        <w:t>（</w:t>
      </w:r>
      <w:r>
        <w:rPr>
          <w:rFonts w:hint="eastAsia" w:ascii="宋体" w:cs="Times New Roman"/>
          <w:color w:val="auto"/>
          <w:kern w:val="2"/>
          <w:sz w:val="21"/>
          <w:szCs w:val="21"/>
          <w:lang w:val="en-US" w:eastAsia="zh-CN" w:bidi="ar-SA"/>
        </w:rPr>
        <w:t>6</w:t>
      </w:r>
      <w:r>
        <w:rPr>
          <w:rFonts w:ascii="宋体" w:cs="Times New Roman"/>
          <w:color w:val="auto"/>
          <w:kern w:val="2"/>
          <w:sz w:val="21"/>
          <w:szCs w:val="21"/>
          <w:lang w:val="en-US" w:eastAsia="zh-CN" w:bidi="ar-SA"/>
        </w:rPr>
        <w:t>）</w:t>
      </w:r>
      <w:r>
        <w:rPr>
          <w:rFonts w:hint="eastAsia" w:ascii="宋体" w:hAnsi="宋体" w:cs="宋体"/>
          <w:color w:val="auto"/>
          <w:szCs w:val="21"/>
        </w:rPr>
        <w:t>提供采购公告中符合供应商特定条件的有效证书</w:t>
      </w:r>
      <w:r>
        <w:rPr>
          <w:rFonts w:hint="eastAsia" w:ascii="宋体" w:hAnsi="宋体" w:cs="宋体"/>
          <w:color w:val="auto"/>
          <w:szCs w:val="21"/>
          <w:lang w:val="en-US" w:eastAsia="zh-CN"/>
        </w:rPr>
        <w:t>扫描件</w:t>
      </w:r>
      <w:r>
        <w:rPr>
          <w:rFonts w:hint="eastAsia" w:ascii="宋体" w:hAnsi="宋体" w:cs="宋体"/>
          <w:color w:val="auto"/>
          <w:szCs w:val="21"/>
        </w:rPr>
        <w:t>（投标供应商特定条件中有要求的必须提供），以及需要说明的其他资料；</w:t>
      </w:r>
    </w:p>
    <w:p w14:paraId="74C626BF">
      <w:pPr>
        <w:snapToGrid w:val="0"/>
        <w:spacing w:line="360" w:lineRule="auto"/>
        <w:ind w:left="429"/>
        <w:rPr>
          <w:rFonts w:ascii="宋体" w:cs="宋体"/>
          <w:color w:val="auto"/>
          <w:szCs w:val="21"/>
          <w:u w:val="single"/>
        </w:rPr>
      </w:pPr>
      <w:r>
        <w:rPr>
          <w:rFonts w:ascii="宋体" w:hAnsi="宋体"/>
          <w:b/>
          <w:color w:val="auto"/>
          <w:szCs w:val="21"/>
        </w:rPr>
        <w:t>2</w:t>
      </w:r>
      <w:r>
        <w:rPr>
          <w:rFonts w:hint="eastAsia" w:ascii="宋体" w:hAnsi="宋体"/>
          <w:b/>
          <w:color w:val="auto"/>
          <w:szCs w:val="21"/>
        </w:rPr>
        <w:t>.商务与技术文件的组成：</w:t>
      </w:r>
    </w:p>
    <w:p w14:paraId="730146C8">
      <w:pPr>
        <w:pStyle w:val="6"/>
        <w:widowControl/>
        <w:adjustRightInd w:val="0"/>
        <w:snapToGrid w:val="0"/>
        <w:spacing w:line="360" w:lineRule="auto"/>
        <w:ind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）投标人情况介绍（人员与技术力量、企业规模、经营业绩等）。</w:t>
      </w:r>
    </w:p>
    <w:p w14:paraId="16752C9F">
      <w:pPr>
        <w:pStyle w:val="6"/>
        <w:widowControl/>
        <w:adjustRightInd w:val="0"/>
        <w:snapToGrid w:val="0"/>
        <w:spacing w:line="360" w:lineRule="auto"/>
        <w:ind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）投标方案描述：</w:t>
      </w:r>
    </w:p>
    <w:p w14:paraId="0E1ACE7B">
      <w:pPr>
        <w:pStyle w:val="6"/>
        <w:widowControl/>
        <w:adjustRightInd w:val="0"/>
        <w:snapToGrid w:val="0"/>
        <w:spacing w:line="360" w:lineRule="auto"/>
        <w:ind w:left="218" w:leftChars="104" w:firstLine="541" w:firstLineChars="258"/>
        <w:rPr>
          <w:rFonts w:ascii="宋体" w:cs="宋体"/>
          <w:color w:val="auto"/>
          <w:szCs w:val="21"/>
        </w:rPr>
      </w:pPr>
      <w:r>
        <w:rPr>
          <w:rFonts w:ascii="宋体" w:hAnsi="宋体" w:cs="宋体"/>
          <w:color w:val="auto"/>
          <w:szCs w:val="21"/>
        </w:rPr>
        <w:t>A.</w:t>
      </w:r>
      <w:r>
        <w:rPr>
          <w:rFonts w:hint="eastAsia" w:ascii="宋体" w:hAnsi="宋体" w:cs="宋体"/>
          <w:color w:val="auto"/>
          <w:szCs w:val="21"/>
        </w:rPr>
        <w:t>项目需求的理解与分析</w:t>
      </w:r>
      <w:r>
        <w:rPr>
          <w:rFonts w:ascii="宋体" w:hAnsi="宋体" w:cs="宋体"/>
          <w:color w:val="auto"/>
          <w:szCs w:val="21"/>
        </w:rPr>
        <w:t>(</w:t>
      </w:r>
      <w:r>
        <w:rPr>
          <w:rFonts w:hint="eastAsia" w:ascii="宋体" w:hAnsi="宋体" w:cs="宋体"/>
          <w:color w:val="auto"/>
          <w:szCs w:val="21"/>
        </w:rPr>
        <w:t>投标人对项目现状及需求的理解情况，对项目现状和需求描述的全面性、准确性、针对性，项目功能设计完备、对系统各组成部分等功能进行准确的分析，对项目重点、难点的把握，解决方案及合理化建议</w:t>
      </w:r>
      <w:r>
        <w:rPr>
          <w:rFonts w:ascii="宋体" w:hAnsi="宋体" w:cs="宋体"/>
          <w:color w:val="auto"/>
          <w:szCs w:val="21"/>
        </w:rPr>
        <w:t>)</w:t>
      </w:r>
      <w:r>
        <w:rPr>
          <w:rFonts w:hint="eastAsia" w:ascii="宋体" w:hAnsi="宋体" w:cs="宋体"/>
          <w:color w:val="auto"/>
          <w:szCs w:val="21"/>
        </w:rPr>
        <w:t>。</w:t>
      </w:r>
    </w:p>
    <w:p w14:paraId="4E3EDB26">
      <w:pPr>
        <w:pStyle w:val="6"/>
        <w:widowControl/>
        <w:adjustRightInd w:val="0"/>
        <w:snapToGrid w:val="0"/>
        <w:spacing w:line="360" w:lineRule="auto"/>
        <w:ind w:left="218" w:leftChars="104" w:firstLine="541" w:firstLineChars="258"/>
        <w:rPr>
          <w:rFonts w:ascii="宋体" w:cs="宋体"/>
          <w:color w:val="auto"/>
          <w:szCs w:val="21"/>
        </w:rPr>
      </w:pPr>
      <w:r>
        <w:rPr>
          <w:rFonts w:ascii="宋体" w:hAnsi="宋体" w:cs="宋体"/>
          <w:color w:val="auto"/>
          <w:szCs w:val="21"/>
        </w:rPr>
        <w:t>B.</w:t>
      </w:r>
      <w:r>
        <w:rPr>
          <w:rFonts w:hint="eastAsia" w:ascii="宋体" w:hAnsi="宋体" w:cs="宋体"/>
          <w:color w:val="auto"/>
          <w:szCs w:val="21"/>
        </w:rPr>
        <w:t>项目组织实施方案（包括项目工期、确保项目供货的措施或方案、项目实施进度安排、项目实施人员及项目负责人的资质、类似经验及社保证明等）。</w:t>
      </w:r>
    </w:p>
    <w:p w14:paraId="17C5A083">
      <w:pPr>
        <w:pStyle w:val="6"/>
        <w:widowControl/>
        <w:adjustRightInd w:val="0"/>
        <w:snapToGrid w:val="0"/>
        <w:spacing w:line="360" w:lineRule="auto"/>
        <w:ind w:left="218" w:leftChars="104" w:firstLine="541" w:firstLineChars="258"/>
        <w:rPr>
          <w:rFonts w:ascii="宋体" w:cs="宋体"/>
          <w:color w:val="auto"/>
          <w:szCs w:val="21"/>
        </w:rPr>
      </w:pPr>
      <w:r>
        <w:rPr>
          <w:rFonts w:ascii="宋体" w:hAnsi="宋体" w:cs="宋体"/>
          <w:color w:val="auto"/>
          <w:szCs w:val="21"/>
        </w:rPr>
        <w:t>C.</w:t>
      </w:r>
      <w:r>
        <w:rPr>
          <w:rFonts w:hint="eastAsia" w:ascii="宋体" w:hAnsi="宋体"/>
          <w:color w:val="auto"/>
          <w:kern w:val="0"/>
          <w:szCs w:val="21"/>
        </w:rPr>
        <w:t>安装、调试及验收方案（包括项目验收标准和验收方法等）</w:t>
      </w:r>
      <w:r>
        <w:rPr>
          <w:rFonts w:hint="eastAsia" w:ascii="宋体" w:hAnsi="宋体"/>
          <w:color w:val="auto"/>
          <w:szCs w:val="21"/>
        </w:rPr>
        <w:t>和措施；</w:t>
      </w:r>
    </w:p>
    <w:p w14:paraId="518B05EF">
      <w:pPr>
        <w:pStyle w:val="6"/>
        <w:widowControl/>
        <w:adjustRightInd w:val="0"/>
        <w:snapToGrid w:val="0"/>
        <w:spacing w:line="360" w:lineRule="auto"/>
        <w:ind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）投标产品描述及相关资料：</w:t>
      </w:r>
    </w:p>
    <w:p w14:paraId="22719EC5">
      <w:pPr>
        <w:pStyle w:val="6"/>
        <w:widowControl/>
        <w:adjustRightInd w:val="0"/>
        <w:snapToGrid w:val="0"/>
        <w:spacing w:line="360" w:lineRule="auto"/>
        <w:ind w:left="218" w:leftChars="104" w:firstLine="541" w:firstLineChars="258"/>
        <w:rPr>
          <w:rFonts w:ascii="宋体" w:cs="宋体"/>
          <w:color w:val="auto"/>
          <w:szCs w:val="21"/>
        </w:rPr>
      </w:pPr>
      <w:r>
        <w:rPr>
          <w:rFonts w:ascii="宋体" w:hAnsi="宋体" w:cs="宋体"/>
          <w:color w:val="auto"/>
          <w:szCs w:val="21"/>
        </w:rPr>
        <w:t>A.</w:t>
      </w:r>
      <w:r>
        <w:rPr>
          <w:rFonts w:hint="eastAsia" w:ascii="宋体" w:hAnsi="宋体"/>
          <w:color w:val="auto"/>
          <w:szCs w:val="21"/>
        </w:rPr>
        <w:t>设备配置清单（均不含报价）。</w:t>
      </w:r>
    </w:p>
    <w:p w14:paraId="563AACFA">
      <w:pPr>
        <w:pStyle w:val="6"/>
        <w:widowControl/>
        <w:adjustRightInd w:val="0"/>
        <w:snapToGrid w:val="0"/>
        <w:spacing w:line="360" w:lineRule="auto"/>
        <w:ind w:left="218" w:leftChars="104" w:firstLine="541" w:firstLineChars="258"/>
        <w:rPr>
          <w:rFonts w:ascii="宋体" w:cs="宋体"/>
          <w:color w:val="auto"/>
          <w:szCs w:val="21"/>
        </w:rPr>
      </w:pPr>
      <w:r>
        <w:rPr>
          <w:rFonts w:ascii="宋体" w:hAnsi="宋体" w:cs="宋体"/>
          <w:color w:val="auto"/>
          <w:szCs w:val="21"/>
        </w:rPr>
        <w:t>B.</w:t>
      </w:r>
      <w:r>
        <w:rPr>
          <w:rFonts w:hint="eastAsia" w:ascii="宋体" w:hAnsi="宋体" w:cs="宋体"/>
          <w:color w:val="auto"/>
          <w:szCs w:val="21"/>
        </w:rPr>
        <w:t>产品品牌及型号、技术参数指标、性能特点、图片资料以及所遵循的技术规范、产品质保期、出厂标准、产品质量相关检测报告等内容。</w:t>
      </w:r>
    </w:p>
    <w:p w14:paraId="33F559C8">
      <w:pPr>
        <w:pStyle w:val="6"/>
        <w:widowControl/>
        <w:adjustRightInd w:val="0"/>
        <w:snapToGrid w:val="0"/>
        <w:spacing w:line="360" w:lineRule="auto"/>
        <w:ind w:left="218" w:leftChars="104" w:firstLine="541" w:firstLineChars="258"/>
        <w:rPr>
          <w:rFonts w:ascii="宋体" w:cs="宋体"/>
          <w:color w:val="auto"/>
          <w:szCs w:val="21"/>
        </w:rPr>
      </w:pPr>
      <w:r>
        <w:rPr>
          <w:rFonts w:ascii="宋体" w:hAnsi="宋体" w:cs="宋体"/>
          <w:color w:val="auto"/>
          <w:szCs w:val="21"/>
        </w:rPr>
        <w:t>C</w:t>
      </w:r>
      <w:r>
        <w:rPr>
          <w:rFonts w:ascii="宋体" w:cs="宋体"/>
          <w:color w:val="auto"/>
          <w:szCs w:val="21"/>
        </w:rPr>
        <w:t>.</w:t>
      </w:r>
      <w:r>
        <w:rPr>
          <w:rFonts w:hint="eastAsia" w:ascii="宋体" w:hAnsi="宋体" w:cs="宋体"/>
          <w:color w:val="auto"/>
          <w:szCs w:val="21"/>
        </w:rPr>
        <w:t>商务及技术响应表。</w:t>
      </w:r>
    </w:p>
    <w:p w14:paraId="6B466E89">
      <w:pPr>
        <w:spacing w:line="360" w:lineRule="auto"/>
        <w:ind w:left="218" w:leftChars="104" w:firstLine="541" w:firstLineChars="258"/>
        <w:rPr>
          <w:rFonts w:ascii="宋体" w:cs="宋体"/>
          <w:color w:val="auto"/>
          <w:szCs w:val="21"/>
        </w:rPr>
      </w:pPr>
      <w:r>
        <w:rPr>
          <w:rFonts w:ascii="宋体" w:hAnsi="宋体" w:cs="宋体"/>
          <w:color w:val="auto"/>
          <w:szCs w:val="21"/>
        </w:rPr>
        <w:t>D.</w:t>
      </w:r>
      <w:r>
        <w:rPr>
          <w:rFonts w:hint="eastAsia" w:ascii="宋体" w:hAnsi="宋体" w:cs="宋体"/>
          <w:color w:val="auto"/>
          <w:szCs w:val="21"/>
        </w:rPr>
        <w:t>投标产品中有节能产品的，应列明投标产品中有列入最新一期财政部、发展改革委公布的“节能产品政府采购清单”明细（提供所投产品在清单中所处的页码、截图或相应有效证明；，并以明显标识标注）；投标产品中有环保产品的，应列明投标产品中有列入最新一期财政部、环境保护部公布的“环境标志产品政府采购清单”明细（提供所投产品在清单中所处的页码、截图或相应有效证明；，并以明显标识标注）。</w:t>
      </w:r>
    </w:p>
    <w:p w14:paraId="632882D1">
      <w:pPr>
        <w:spacing w:line="360" w:lineRule="auto"/>
        <w:ind w:left="218" w:leftChars="104" w:firstLine="541" w:firstLineChars="258"/>
        <w:rPr>
          <w:rFonts w:ascii="宋体" w:cs="宋体"/>
          <w:color w:val="auto"/>
          <w:szCs w:val="21"/>
        </w:rPr>
      </w:pPr>
      <w:r>
        <w:rPr>
          <w:rFonts w:hint="eastAsia" w:ascii="宋体" w:hAnsi="宋体" w:cs="宋体"/>
          <w:color w:val="auto"/>
          <w:szCs w:val="21"/>
        </w:rPr>
        <w:t>【特别提示：节能和环境标志产品最新一期政府采购清单，可在“中国政府采购网”中查看】</w:t>
      </w:r>
    </w:p>
    <w:p w14:paraId="43178F7B">
      <w:pPr>
        <w:autoSpaceDE w:val="0"/>
        <w:autoSpaceDN w:val="0"/>
        <w:adjustRightInd w:val="0"/>
        <w:spacing w:line="360" w:lineRule="auto"/>
        <w:ind w:firstLine="371" w:firstLineChars="177"/>
        <w:rPr>
          <w:rFonts w:ascii="宋体" w:cs="宋体"/>
          <w:color w:val="auto"/>
          <w:szCs w:val="21"/>
        </w:rPr>
      </w:pPr>
      <w:r>
        <w:rPr>
          <w:rFonts w:hint="eastAsia" w:ascii="宋体" w:hAnsi="宋体"/>
          <w:color w:val="auto"/>
          <w:kern w:val="0"/>
          <w:szCs w:val="21"/>
        </w:rPr>
        <w:t>（</w:t>
      </w:r>
      <w:r>
        <w:rPr>
          <w:rFonts w:ascii="宋体" w:hAnsi="宋体"/>
          <w:color w:val="auto"/>
          <w:kern w:val="0"/>
          <w:szCs w:val="21"/>
        </w:rPr>
        <w:t>4</w:t>
      </w:r>
      <w:r>
        <w:rPr>
          <w:rFonts w:hint="eastAsia" w:ascii="宋体" w:hAnsi="宋体"/>
          <w:color w:val="auto"/>
          <w:kern w:val="0"/>
          <w:szCs w:val="21"/>
        </w:rPr>
        <w:t>）投标人通过的质量管理和质量保证体系、环保体系、</w:t>
      </w:r>
      <w:r>
        <w:rPr>
          <w:rFonts w:hint="eastAsia" w:ascii="宋体" w:hAnsi="宋体"/>
          <w:color w:val="auto"/>
          <w:szCs w:val="21"/>
        </w:rPr>
        <w:t>自主创新相关证书、软件著作权证等等与本项目相关</w:t>
      </w:r>
      <w:r>
        <w:rPr>
          <w:rFonts w:hint="eastAsia" w:ascii="宋体" w:hAnsi="宋体"/>
          <w:color w:val="auto"/>
          <w:kern w:val="0"/>
          <w:szCs w:val="21"/>
        </w:rPr>
        <w:t>的认证证书或文件；</w:t>
      </w:r>
    </w:p>
    <w:p w14:paraId="754C73E3">
      <w:pPr>
        <w:pStyle w:val="6"/>
        <w:widowControl/>
        <w:adjustRightInd w:val="0"/>
        <w:snapToGrid w:val="0"/>
        <w:spacing w:line="360" w:lineRule="auto"/>
        <w:ind w:firstLineChars="200"/>
        <w:rPr>
          <w:rFonts w:ascii="宋体" w:cs="宋体"/>
          <w:color w:val="auto"/>
          <w:szCs w:val="21"/>
        </w:rPr>
      </w:pPr>
      <w:r>
        <w:rPr>
          <w:rFonts w:hint="eastAsia" w:ascii="宋体" w:hAnsi="宋体"/>
          <w:color w:val="auto"/>
          <w:kern w:val="0"/>
          <w:szCs w:val="21"/>
        </w:rPr>
        <w:t>（</w:t>
      </w:r>
      <w:r>
        <w:rPr>
          <w:rFonts w:ascii="宋体" w:hAnsi="宋体"/>
          <w:color w:val="auto"/>
          <w:kern w:val="0"/>
          <w:szCs w:val="21"/>
        </w:rPr>
        <w:t>5</w:t>
      </w:r>
      <w:r>
        <w:rPr>
          <w:rFonts w:hint="eastAsia" w:ascii="宋体" w:hAnsi="宋体"/>
          <w:color w:val="auto"/>
          <w:kern w:val="0"/>
          <w:szCs w:val="21"/>
        </w:rPr>
        <w:t>）近三年来类似项目的成功案例（投标人类似项目实施情况一览表、合同复印件及其相应的发票、用户验收报告等；</w:t>
      </w:r>
    </w:p>
    <w:p w14:paraId="15542906">
      <w:pPr>
        <w:snapToGrid w:val="0"/>
        <w:spacing w:line="360" w:lineRule="auto"/>
        <w:ind w:firstLine="420" w:firstLineChars="200"/>
        <w:rPr>
          <w:rFonts w:ascii="宋体"/>
          <w:color w:val="auto"/>
          <w:szCs w:val="21"/>
          <w:lang w:val="zh-CN"/>
        </w:rPr>
      </w:pPr>
      <w:r>
        <w:rPr>
          <w:rFonts w:hint="eastAsia" w:ascii="宋体" w:hAnsi="宋体" w:cs="宋体"/>
          <w:color w:val="auto"/>
          <w:szCs w:val="21"/>
        </w:rPr>
        <w:t>（</w:t>
      </w:r>
      <w:r>
        <w:rPr>
          <w:rFonts w:ascii="宋体" w:hAnsi="宋体" w:cs="宋体"/>
          <w:color w:val="auto"/>
          <w:szCs w:val="21"/>
        </w:rPr>
        <w:t>6</w:t>
      </w:r>
      <w:r>
        <w:rPr>
          <w:rFonts w:hint="eastAsia" w:ascii="宋体" w:hAnsi="宋体" w:cs="宋体"/>
          <w:color w:val="auto"/>
          <w:szCs w:val="21"/>
        </w:rPr>
        <w:t>）投标人认为需要提供的其他资料（包括可能影响投标人商务与技术文件评分的各类证明材料）。</w:t>
      </w:r>
    </w:p>
    <w:p w14:paraId="7C6F1DF2">
      <w:pPr>
        <w:pStyle w:val="6"/>
        <w:widowControl/>
        <w:adjustRightInd w:val="0"/>
        <w:snapToGrid w:val="0"/>
        <w:spacing w:line="360" w:lineRule="auto"/>
        <w:ind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7</w:t>
      </w:r>
      <w:r>
        <w:rPr>
          <w:rFonts w:hint="eastAsia" w:ascii="宋体" w:hAnsi="宋体" w:cs="宋体"/>
          <w:color w:val="auto"/>
          <w:szCs w:val="21"/>
        </w:rPr>
        <w:t>）售后服务描述及承诺：</w:t>
      </w:r>
    </w:p>
    <w:p w14:paraId="5758B8FD">
      <w:pPr>
        <w:pStyle w:val="6"/>
        <w:widowControl/>
        <w:adjustRightInd w:val="0"/>
        <w:snapToGrid w:val="0"/>
        <w:spacing w:line="360" w:lineRule="auto"/>
        <w:ind w:left="218" w:leftChars="104" w:firstLine="541" w:firstLineChars="258"/>
        <w:rPr>
          <w:rFonts w:ascii="宋体" w:cs="宋体"/>
          <w:color w:val="auto"/>
          <w:szCs w:val="21"/>
        </w:rPr>
      </w:pPr>
      <w:r>
        <w:rPr>
          <w:rFonts w:ascii="宋体" w:hAnsi="宋体" w:cs="宋体"/>
          <w:color w:val="auto"/>
          <w:szCs w:val="21"/>
        </w:rPr>
        <w:t>A.</w:t>
      </w:r>
      <w:r>
        <w:rPr>
          <w:rFonts w:hint="eastAsia" w:ascii="宋体" w:hAnsi="宋体" w:cs="宋体"/>
          <w:color w:val="auto"/>
          <w:szCs w:val="21"/>
        </w:rPr>
        <w:t>距采购人最近的服务网点详细介绍（包括地理位置、资质资格、技术力量、工作业绩、服务内容及联系电话等）。</w:t>
      </w:r>
    </w:p>
    <w:p w14:paraId="71CB58C2">
      <w:pPr>
        <w:pStyle w:val="6"/>
        <w:widowControl/>
        <w:adjustRightInd w:val="0"/>
        <w:snapToGrid w:val="0"/>
        <w:spacing w:line="360" w:lineRule="auto"/>
        <w:ind w:left="218" w:leftChars="104" w:firstLine="541" w:firstLineChars="258"/>
        <w:rPr>
          <w:rFonts w:hint="eastAsia" w:ascii="宋体" w:hAnsi="宋体" w:cs="宋体"/>
          <w:color w:val="auto"/>
          <w:szCs w:val="21"/>
        </w:rPr>
      </w:pPr>
      <w:r>
        <w:rPr>
          <w:rFonts w:ascii="宋体" w:hAnsi="宋体" w:cs="宋体"/>
          <w:color w:val="auto"/>
          <w:szCs w:val="21"/>
        </w:rPr>
        <w:t>B.</w:t>
      </w:r>
      <w:r>
        <w:rPr>
          <w:rFonts w:hint="eastAsia" w:ascii="宋体" w:hAnsi="宋体" w:cs="宋体"/>
          <w:color w:val="auto"/>
          <w:szCs w:val="21"/>
        </w:rPr>
        <w:t>针对本项目的售后服务措施及承诺（售后技术服务方案、人员配备、故障响应时间、技术培训方案等）。</w:t>
      </w:r>
    </w:p>
    <w:p w14:paraId="1163906E">
      <w:pPr>
        <w:pStyle w:val="6"/>
        <w:widowControl/>
        <w:adjustRightInd w:val="0"/>
        <w:snapToGrid w:val="0"/>
        <w:spacing w:line="360" w:lineRule="auto"/>
        <w:ind w:left="218" w:leftChars="104" w:firstLine="541" w:firstLineChars="258"/>
        <w:rPr>
          <w:rFonts w:hint="eastAsia" w:ascii="宋体" w:hAnsi="宋体" w:eastAsia="宋体" w:cs="宋体"/>
          <w:color w:val="auto"/>
          <w:szCs w:val="21"/>
          <w:lang w:eastAsia="zh-CN"/>
        </w:rPr>
      </w:pPr>
      <w:r>
        <w:rPr>
          <w:rFonts w:hint="eastAsia" w:ascii="宋体" w:hAnsi="宋体" w:cs="宋体"/>
          <w:color w:val="auto"/>
          <w:szCs w:val="21"/>
          <w:lang w:eastAsia="zh-CN"/>
        </w:rPr>
        <w:t>（</w:t>
      </w:r>
      <w:r>
        <w:rPr>
          <w:rFonts w:hint="eastAsia" w:ascii="宋体" w:hAnsi="宋体" w:cs="宋体"/>
          <w:color w:val="auto"/>
          <w:szCs w:val="21"/>
          <w:lang w:val="en-US" w:eastAsia="zh-CN"/>
        </w:rPr>
        <w:t>8</w:t>
      </w:r>
      <w:r>
        <w:rPr>
          <w:rFonts w:hint="eastAsia" w:ascii="宋体" w:hAnsi="宋体" w:cs="宋体"/>
          <w:color w:val="auto"/>
          <w:szCs w:val="21"/>
          <w:lang w:eastAsia="zh-CN"/>
        </w:rPr>
        <w:t>）</w:t>
      </w:r>
      <w:r>
        <w:rPr>
          <w:rFonts w:hint="eastAsia" w:ascii="宋体" w:hAnsi="宋体"/>
          <w:color w:val="auto"/>
          <w:kern w:val="0"/>
          <w:szCs w:val="21"/>
        </w:rPr>
        <w:t>▲</w:t>
      </w:r>
      <w:r>
        <w:rPr>
          <w:rFonts w:hint="eastAsia" w:ascii="宋体" w:hAnsi="宋体" w:cs="宋体"/>
          <w:b/>
          <w:bCs/>
          <w:color w:val="auto"/>
          <w:szCs w:val="21"/>
          <w:lang w:val="en-US" w:eastAsia="zh-CN"/>
        </w:rPr>
        <w:t>投标产品符合《强制性产品认证目录描述与界定表（2023年修订）》的，投标人投标时需提供强制性产品认证，未提供做无效标处理。</w:t>
      </w:r>
    </w:p>
    <w:p w14:paraId="7190DE29">
      <w:pPr>
        <w:autoSpaceDE w:val="0"/>
        <w:autoSpaceDN w:val="0"/>
        <w:adjustRightInd w:val="0"/>
        <w:spacing w:line="360" w:lineRule="auto"/>
        <w:ind w:left="426" w:firstLine="57" w:firstLineChars="27"/>
        <w:rPr>
          <w:rFonts w:ascii="宋体"/>
          <w:b/>
          <w:color w:val="auto"/>
          <w:kern w:val="0"/>
          <w:szCs w:val="21"/>
        </w:rPr>
      </w:pPr>
      <w:r>
        <w:rPr>
          <w:rFonts w:ascii="宋体" w:hAnsi="宋体"/>
          <w:b/>
          <w:color w:val="auto"/>
          <w:kern w:val="0"/>
          <w:szCs w:val="21"/>
        </w:rPr>
        <w:t>3</w:t>
      </w:r>
      <w:r>
        <w:rPr>
          <w:rFonts w:hint="eastAsia" w:ascii="宋体" w:hAnsi="宋体"/>
          <w:b/>
          <w:color w:val="auto"/>
          <w:kern w:val="0"/>
          <w:szCs w:val="21"/>
        </w:rPr>
        <w:t>.报价文件的组成</w:t>
      </w:r>
    </w:p>
    <w:p w14:paraId="625A26B7">
      <w:pPr>
        <w:autoSpaceDE w:val="0"/>
        <w:autoSpaceDN w:val="0"/>
        <w:adjustRightInd w:val="0"/>
        <w:spacing w:line="360" w:lineRule="auto"/>
        <w:ind w:firstLine="420" w:firstLineChars="200"/>
        <w:rPr>
          <w:rFonts w:ascii="宋体"/>
          <w:color w:val="auto"/>
          <w:kern w:val="0"/>
          <w:szCs w:val="21"/>
        </w:rPr>
      </w:pPr>
      <w:r>
        <w:rPr>
          <w:rFonts w:hint="eastAsia" w:ascii="宋体" w:hAnsi="宋体"/>
          <w:color w:val="auto"/>
          <w:kern w:val="0"/>
          <w:szCs w:val="21"/>
        </w:rPr>
        <w:t>（</w:t>
      </w:r>
      <w:r>
        <w:rPr>
          <w:rFonts w:ascii="宋体" w:hAnsi="宋体"/>
          <w:color w:val="auto"/>
          <w:kern w:val="0"/>
          <w:szCs w:val="21"/>
        </w:rPr>
        <w:t>1</w:t>
      </w:r>
      <w:r>
        <w:rPr>
          <w:rFonts w:hint="eastAsia" w:ascii="宋体" w:hAnsi="宋体"/>
          <w:color w:val="auto"/>
          <w:kern w:val="0"/>
          <w:szCs w:val="21"/>
        </w:rPr>
        <w:t>）报价文件由开标一览表、报价明细表，以及投标人认为其他需要说明的内容组成。</w:t>
      </w:r>
    </w:p>
    <w:p w14:paraId="02DD1FE4">
      <w:pPr>
        <w:autoSpaceDE w:val="0"/>
        <w:autoSpaceDN w:val="0"/>
        <w:adjustRightInd w:val="0"/>
        <w:spacing w:line="360" w:lineRule="auto"/>
        <w:ind w:firstLine="420" w:firstLineChars="200"/>
        <w:rPr>
          <w:rFonts w:ascii="宋体"/>
          <w:color w:val="auto"/>
          <w:kern w:val="0"/>
          <w:szCs w:val="21"/>
        </w:rPr>
      </w:pPr>
      <w:r>
        <w:rPr>
          <w:rFonts w:hint="eastAsia" w:ascii="宋体" w:hAnsi="宋体"/>
          <w:color w:val="auto"/>
          <w:kern w:val="0"/>
          <w:szCs w:val="21"/>
        </w:rPr>
        <w:t>（</w:t>
      </w:r>
      <w:r>
        <w:rPr>
          <w:rFonts w:ascii="宋体" w:hAnsi="宋体"/>
          <w:color w:val="auto"/>
          <w:kern w:val="0"/>
          <w:szCs w:val="21"/>
        </w:rPr>
        <w:t>2</w:t>
      </w:r>
      <w:r>
        <w:rPr>
          <w:rFonts w:hint="eastAsia" w:ascii="宋体" w:hAnsi="宋体"/>
          <w:color w:val="auto"/>
          <w:kern w:val="0"/>
          <w:szCs w:val="21"/>
        </w:rPr>
        <w:t>）此报价为投标人一次性报出唯一的最终价格，包含其它一切所要涉及到的费用，有选择的报价将被拒绝。</w:t>
      </w:r>
    </w:p>
    <w:p w14:paraId="289BB016">
      <w:pPr>
        <w:snapToGrid w:val="0"/>
        <w:spacing w:line="360" w:lineRule="auto"/>
        <w:ind w:firstLine="420" w:firstLineChars="200"/>
        <w:rPr>
          <w:rFonts w:ascii="宋体"/>
          <w:color w:val="auto"/>
          <w:kern w:val="0"/>
          <w:szCs w:val="21"/>
          <w:lang w:val="zh-CN"/>
        </w:rPr>
      </w:pPr>
      <w:r>
        <w:rPr>
          <w:rFonts w:hint="eastAsia" w:ascii="宋体" w:hAnsi="宋体"/>
          <w:color w:val="auto"/>
          <w:kern w:val="0"/>
          <w:szCs w:val="21"/>
          <w:lang w:val="zh-CN"/>
        </w:rPr>
        <w:t>（</w:t>
      </w:r>
      <w:r>
        <w:rPr>
          <w:rFonts w:ascii="宋体" w:hAnsi="宋体"/>
          <w:color w:val="auto"/>
          <w:kern w:val="0"/>
          <w:szCs w:val="21"/>
        </w:rPr>
        <w:t>3</w:t>
      </w:r>
      <w:r>
        <w:rPr>
          <w:rFonts w:hint="eastAsia" w:ascii="宋体" w:hAnsi="宋体"/>
          <w:color w:val="auto"/>
          <w:kern w:val="0"/>
          <w:szCs w:val="21"/>
          <w:lang w:val="zh-CN"/>
        </w:rPr>
        <w:t>）投标报价是包括</w:t>
      </w:r>
      <w:r>
        <w:rPr>
          <w:rFonts w:hint="eastAsia" w:ascii="宋体" w:hAnsi="宋体"/>
          <w:color w:val="auto"/>
          <w:kern w:val="0"/>
          <w:szCs w:val="21"/>
        </w:rPr>
        <w:t>货款、标准附件、备品备件、专用工具、包装、运输、装卸、保险、税金、货到就位以及安装、调试、培训、保修、合同包含的所有风险责任等各项费用及不可预见费等所需的全部费用。</w:t>
      </w:r>
    </w:p>
    <w:p w14:paraId="56383A1C">
      <w:pPr>
        <w:snapToGrid w:val="0"/>
        <w:spacing w:line="360" w:lineRule="auto"/>
        <w:ind w:firstLine="420" w:firstLineChars="200"/>
        <w:rPr>
          <w:rFonts w:ascii="宋体"/>
          <w:color w:val="auto"/>
          <w:kern w:val="0"/>
          <w:szCs w:val="21"/>
          <w:lang w:val="zh-CN"/>
        </w:rPr>
      </w:pPr>
      <w:r>
        <w:rPr>
          <w:rFonts w:hint="eastAsia" w:ascii="宋体" w:hAnsi="宋体"/>
          <w:color w:val="auto"/>
          <w:kern w:val="0"/>
          <w:szCs w:val="21"/>
          <w:lang w:val="zh-CN"/>
        </w:rPr>
        <w:t>（</w:t>
      </w:r>
      <w:r>
        <w:rPr>
          <w:rFonts w:ascii="宋体" w:hAnsi="宋体"/>
          <w:color w:val="auto"/>
          <w:kern w:val="0"/>
          <w:szCs w:val="21"/>
        </w:rPr>
        <w:t>4</w:t>
      </w:r>
      <w:r>
        <w:rPr>
          <w:rFonts w:hint="eastAsia" w:ascii="宋体" w:hAnsi="宋体"/>
          <w:color w:val="auto"/>
          <w:kern w:val="0"/>
          <w:szCs w:val="21"/>
          <w:lang w:val="zh-CN"/>
        </w:rPr>
        <w:t>）</w:t>
      </w:r>
      <w:r>
        <w:rPr>
          <w:rFonts w:hint="eastAsia" w:ascii="宋体" w:hAnsi="宋体"/>
          <w:color w:val="auto"/>
          <w:kern w:val="0"/>
          <w:szCs w:val="21"/>
        </w:rPr>
        <w:t>政府采购优惠政策相关资料、产品适用政府采购政策情况表（如有）。</w:t>
      </w:r>
    </w:p>
    <w:p w14:paraId="17324C4E">
      <w:pPr>
        <w:autoSpaceDE w:val="0"/>
        <w:autoSpaceDN w:val="0"/>
        <w:adjustRightInd w:val="0"/>
        <w:spacing w:line="360" w:lineRule="auto"/>
        <w:ind w:firstLine="420" w:firstLineChars="200"/>
        <w:rPr>
          <w:rFonts w:ascii="宋体"/>
          <w:color w:val="auto"/>
          <w:kern w:val="0"/>
          <w:szCs w:val="21"/>
        </w:rPr>
      </w:pPr>
      <w:r>
        <w:rPr>
          <w:rFonts w:hint="eastAsia" w:ascii="宋体" w:hAnsi="宋体"/>
          <w:color w:val="auto"/>
          <w:kern w:val="0"/>
          <w:szCs w:val="21"/>
        </w:rPr>
        <w:t>（</w:t>
      </w:r>
      <w:r>
        <w:rPr>
          <w:rFonts w:ascii="宋体" w:hAnsi="宋体"/>
          <w:color w:val="auto"/>
          <w:kern w:val="0"/>
          <w:szCs w:val="21"/>
        </w:rPr>
        <w:t>5</w:t>
      </w:r>
      <w:r>
        <w:rPr>
          <w:rFonts w:hint="eastAsia" w:ascii="宋体" w:hAnsi="宋体"/>
          <w:color w:val="auto"/>
          <w:kern w:val="0"/>
          <w:szCs w:val="21"/>
        </w:rPr>
        <w:t>）相关报价单需打印或用不退色的墨水填写，</w:t>
      </w:r>
      <w:r>
        <w:rPr>
          <w:rFonts w:ascii="宋体" w:hAnsi="宋体"/>
          <w:color w:val="auto"/>
          <w:kern w:val="0"/>
          <w:szCs w:val="21"/>
        </w:rPr>
        <w:t xml:space="preserve"> </w:t>
      </w:r>
      <w:r>
        <w:rPr>
          <w:rFonts w:hint="eastAsia" w:ascii="宋体" w:hAnsi="宋体"/>
          <w:color w:val="auto"/>
          <w:kern w:val="0"/>
          <w:szCs w:val="21"/>
        </w:rPr>
        <w:t>投标报价单不得涂改和增删，如有错漏必须修改，修改处须由同一签署人签字或盖章。由于字迹模糊或表达不清引起的后果由投标人负责。</w:t>
      </w:r>
    </w:p>
    <w:p w14:paraId="1FBD34D6">
      <w:pPr>
        <w:autoSpaceDE w:val="0"/>
        <w:autoSpaceDN w:val="0"/>
        <w:adjustRightInd w:val="0"/>
        <w:spacing w:line="360" w:lineRule="auto"/>
        <w:ind w:firstLine="420" w:firstLineChars="200"/>
        <w:rPr>
          <w:rFonts w:hint="eastAsia" w:ascii="宋体" w:hAnsi="宋体"/>
          <w:color w:val="auto"/>
          <w:szCs w:val="21"/>
        </w:rPr>
      </w:pPr>
      <w:r>
        <w:rPr>
          <w:rFonts w:hint="eastAsia" w:ascii="宋体" w:hAnsi="宋体"/>
          <w:color w:val="auto"/>
          <w:szCs w:val="21"/>
        </w:rPr>
        <w:t>（</w:t>
      </w:r>
      <w:r>
        <w:rPr>
          <w:rFonts w:ascii="宋体" w:hAnsi="宋体"/>
          <w:color w:val="auto"/>
          <w:kern w:val="0"/>
          <w:szCs w:val="21"/>
        </w:rPr>
        <w:t>6</w:t>
      </w:r>
      <w:r>
        <w:rPr>
          <w:rFonts w:hint="eastAsia" w:ascii="宋体" w:hAnsi="宋体"/>
          <w:color w:val="auto"/>
          <w:szCs w:val="21"/>
        </w:rPr>
        <w:t>）投标报价应按招标文件中相关附表格式填写。</w:t>
      </w:r>
    </w:p>
    <w:p w14:paraId="26C76803">
      <w:pPr>
        <w:pStyle w:val="12"/>
        <w:snapToGrid w:val="0"/>
        <w:spacing w:line="360" w:lineRule="auto"/>
        <w:ind w:firstLine="422" w:firstLineChars="200"/>
        <w:rPr>
          <w:rFonts w:hint="eastAsia" w:hAnsi="宋体" w:cs="宋体"/>
          <w:b/>
          <w:color w:val="auto"/>
          <w:sz w:val="24"/>
          <w:lang w:val="zh-CN"/>
        </w:rPr>
      </w:pPr>
      <w:r>
        <w:rPr>
          <w:rFonts w:hint="eastAsia"/>
          <w:b/>
          <w:color w:val="auto"/>
          <w:lang w:val="zh-CN"/>
        </w:rPr>
        <w:t>投标文件中所需的各种证书、证件、证明资料如是复印件，须在复印件上加盖有效公章。</w:t>
      </w:r>
    </w:p>
    <w:p w14:paraId="1F4AEC39">
      <w:pPr>
        <w:numPr>
          <w:ilvl w:val="0"/>
          <w:numId w:val="4"/>
        </w:numPr>
        <w:spacing w:line="360" w:lineRule="auto"/>
        <w:rPr>
          <w:rFonts w:ascii="宋体"/>
          <w:b/>
          <w:bCs/>
          <w:color w:val="auto"/>
          <w:kern w:val="0"/>
          <w:szCs w:val="21"/>
        </w:rPr>
      </w:pPr>
      <w:r>
        <w:rPr>
          <w:rFonts w:hint="eastAsia" w:ascii="宋体" w:hAnsi="宋体"/>
          <w:b/>
          <w:bCs/>
          <w:color w:val="auto"/>
          <w:kern w:val="0"/>
          <w:szCs w:val="21"/>
        </w:rPr>
        <w:t>投标文件的制作、签章、形式及份数要求</w:t>
      </w:r>
    </w:p>
    <w:p w14:paraId="6E9EF9EB">
      <w:pPr>
        <w:autoSpaceDE w:val="0"/>
        <w:autoSpaceDN w:val="0"/>
        <w:adjustRightInd w:val="0"/>
        <w:spacing w:line="360" w:lineRule="auto"/>
        <w:ind w:firstLine="480"/>
        <w:rPr>
          <w:rFonts w:hint="eastAsia" w:ascii="宋体" w:hAnsi="宋体"/>
          <w:b/>
          <w:bCs/>
          <w:color w:val="auto"/>
          <w:szCs w:val="21"/>
        </w:rPr>
      </w:pPr>
      <w:r>
        <w:rPr>
          <w:rFonts w:ascii="宋体" w:hAnsi="宋体"/>
          <w:b/>
          <w:bCs/>
          <w:color w:val="auto"/>
          <w:szCs w:val="21"/>
        </w:rPr>
        <w:t>1</w:t>
      </w:r>
      <w:r>
        <w:rPr>
          <w:rFonts w:hint="eastAsia" w:ascii="宋体" w:hAnsi="宋体"/>
          <w:b/>
          <w:bCs/>
          <w:color w:val="auto"/>
          <w:szCs w:val="21"/>
        </w:rPr>
        <w:t>.投标文件的制作要求</w:t>
      </w:r>
    </w:p>
    <w:p w14:paraId="42E38662">
      <w:pPr>
        <w:spacing w:line="360" w:lineRule="auto"/>
        <w:ind w:firstLine="420" w:firstLineChars="200"/>
        <w:rPr>
          <w:rFonts w:hint="eastAsia" w:ascii="宋体" w:hAnsi="宋体" w:cs="Arial"/>
          <w:b/>
          <w:color w:val="auto"/>
          <w:szCs w:val="21"/>
        </w:rPr>
      </w:pPr>
      <w:r>
        <w:rPr>
          <w:rFonts w:hint="eastAsia" w:ascii="宋体" w:hAnsi="宋体"/>
          <w:color w:val="auto"/>
          <w:kern w:val="0"/>
          <w:szCs w:val="21"/>
        </w:rPr>
        <w:t>（</w:t>
      </w:r>
      <w:r>
        <w:rPr>
          <w:rFonts w:ascii="宋体" w:hAnsi="宋体"/>
          <w:color w:val="auto"/>
          <w:kern w:val="0"/>
          <w:szCs w:val="21"/>
        </w:rPr>
        <w:t>1</w:t>
      </w:r>
      <w:r>
        <w:rPr>
          <w:rFonts w:hint="eastAsia" w:ascii="宋体" w:hAnsi="宋体"/>
          <w:color w:val="auto"/>
          <w:kern w:val="0"/>
          <w:szCs w:val="21"/>
        </w:rPr>
        <w:t>）</w:t>
      </w:r>
      <w:r>
        <w:rPr>
          <w:rFonts w:hint="eastAsia" w:ascii="宋体" w:hAnsi="宋体" w:cs="Arial"/>
          <w:b/>
          <w:color w:val="auto"/>
          <w:szCs w:val="21"/>
        </w:rPr>
        <w:t>本项目通过“政府采购云平台（</w:t>
      </w:r>
      <w:r>
        <w:rPr>
          <w:rFonts w:ascii="宋体" w:hAnsi="宋体" w:cs="Arial"/>
          <w:b/>
          <w:color w:val="auto"/>
          <w:szCs w:val="21"/>
        </w:rPr>
        <w:t>www.</w:t>
      </w:r>
      <w:r>
        <w:rPr>
          <w:rFonts w:hint="eastAsia" w:ascii="宋体" w:hAnsi="宋体" w:cs="Arial"/>
          <w:b/>
          <w:color w:val="auto"/>
          <w:szCs w:val="21"/>
        </w:rPr>
        <w:t>zcy</w:t>
      </w:r>
      <w:r>
        <w:rPr>
          <w:rFonts w:ascii="宋体" w:hAnsi="宋体" w:cs="Arial"/>
          <w:b/>
          <w:color w:val="auto"/>
          <w:szCs w:val="21"/>
        </w:rPr>
        <w:t>gov.cn</w:t>
      </w:r>
      <w:r>
        <w:rPr>
          <w:rFonts w:hint="eastAsia" w:ascii="宋体" w:hAnsi="宋体" w:cs="Arial"/>
          <w:b/>
          <w:color w:val="auto"/>
          <w:szCs w:val="21"/>
        </w:rPr>
        <w:t>）”实行在线投标响应（电子投标）。供应商应通过“政采云电子交易客户端”，并按照本招标文件和“政府采购云平台”的要求编制并加密投标文件。</w:t>
      </w:r>
    </w:p>
    <w:p w14:paraId="37F4ACB2">
      <w:pPr>
        <w:spacing w:line="360" w:lineRule="auto"/>
        <w:ind w:firstLine="367" w:firstLineChars="175"/>
        <w:rPr>
          <w:rFonts w:hint="eastAsia" w:ascii="宋体" w:hAnsi="宋体" w:cs="Arial"/>
          <w:b/>
          <w:color w:val="auto"/>
          <w:kern w:val="0"/>
          <w:szCs w:val="21"/>
        </w:rPr>
      </w:pPr>
      <w:r>
        <w:rPr>
          <w:rFonts w:hint="eastAsia" w:ascii="宋体" w:hAnsi="宋体"/>
          <w:color w:val="auto"/>
          <w:kern w:val="0"/>
          <w:szCs w:val="21"/>
        </w:rPr>
        <w:t>（</w:t>
      </w:r>
      <w:r>
        <w:rPr>
          <w:rFonts w:ascii="宋体" w:hAnsi="宋体"/>
          <w:color w:val="auto"/>
          <w:kern w:val="0"/>
          <w:szCs w:val="21"/>
        </w:rPr>
        <w:t>2</w:t>
      </w:r>
      <w:r>
        <w:rPr>
          <w:rFonts w:hint="eastAsia" w:ascii="宋体" w:hAnsi="宋体"/>
          <w:color w:val="auto"/>
          <w:kern w:val="0"/>
          <w:szCs w:val="21"/>
        </w:rPr>
        <w:t>）</w:t>
      </w:r>
      <w:r>
        <w:rPr>
          <w:rFonts w:hint="eastAsia" w:ascii="宋体" w:hAnsi="宋体" w:cs="Arial"/>
          <w:b/>
          <w:color w:val="auto"/>
          <w:kern w:val="0"/>
          <w:szCs w:val="21"/>
        </w:rPr>
        <w:t>投标供应商应当按照</w:t>
      </w:r>
      <w:r>
        <w:rPr>
          <w:rFonts w:ascii="宋体" w:hAnsi="宋体" w:cs="Arial"/>
          <w:b/>
          <w:color w:val="auto"/>
          <w:kern w:val="0"/>
          <w:szCs w:val="21"/>
        </w:rPr>
        <w:t>本</w:t>
      </w:r>
      <w:r>
        <w:rPr>
          <w:rFonts w:hint="eastAsia" w:ascii="宋体" w:hAnsi="宋体" w:cs="Arial"/>
          <w:b/>
          <w:color w:val="auto"/>
          <w:kern w:val="0"/>
          <w:szCs w:val="21"/>
        </w:rPr>
        <w:t>章节 “投标文件组成”规定的内容及顺序在“政采云电子交易客户端”编制投标文件。其中《资格证明文件》和《商务技术文件》中不得出现本项目投标报价，如因投标人原因提前泄露投标报价，是投标人的责任。</w:t>
      </w:r>
    </w:p>
    <w:p w14:paraId="365BFE69">
      <w:pPr>
        <w:spacing w:line="360" w:lineRule="auto"/>
        <w:ind w:firstLine="367" w:firstLineChars="175"/>
        <w:rPr>
          <w:rFonts w:hint="eastAsia" w:ascii="宋体" w:hAnsi="宋体"/>
          <w:b/>
          <w:color w:val="auto"/>
          <w:szCs w:val="21"/>
        </w:rPr>
      </w:pPr>
      <w:r>
        <w:rPr>
          <w:rFonts w:hint="eastAsia" w:ascii="宋体" w:hAnsi="宋体"/>
          <w:color w:val="auto"/>
          <w:kern w:val="0"/>
          <w:szCs w:val="21"/>
          <w:lang w:val="zh-CN"/>
        </w:rPr>
        <w:t>（</w:t>
      </w:r>
      <w:r>
        <w:rPr>
          <w:rFonts w:ascii="宋体" w:hAnsi="宋体"/>
          <w:color w:val="auto"/>
          <w:kern w:val="0"/>
          <w:szCs w:val="21"/>
        </w:rPr>
        <w:t>3</w:t>
      </w:r>
      <w:r>
        <w:rPr>
          <w:rFonts w:hint="eastAsia" w:ascii="宋体" w:hAnsi="宋体"/>
          <w:color w:val="auto"/>
          <w:kern w:val="0"/>
          <w:szCs w:val="21"/>
          <w:lang w:val="zh-CN"/>
        </w:rPr>
        <w:t>）</w:t>
      </w:r>
      <w:r>
        <w:rPr>
          <w:rFonts w:hint="eastAsia" w:ascii="宋体" w:hAnsi="宋体"/>
          <w:b/>
          <w:color w:val="auto"/>
          <w:szCs w:val="21"/>
        </w:rPr>
        <w:t>本文件中有</w:t>
      </w:r>
      <w:r>
        <w:rPr>
          <w:rFonts w:ascii="宋体" w:hAnsi="宋体"/>
          <w:b/>
          <w:color w:val="auto"/>
          <w:szCs w:val="21"/>
        </w:rPr>
        <w:t>提供格式的，投标</w:t>
      </w:r>
      <w:r>
        <w:rPr>
          <w:rFonts w:hint="eastAsia" w:ascii="宋体" w:hAnsi="宋体"/>
          <w:b/>
          <w:color w:val="auto"/>
          <w:szCs w:val="21"/>
        </w:rPr>
        <w:t>供应商须参</w:t>
      </w:r>
      <w:r>
        <w:rPr>
          <w:rFonts w:ascii="宋体" w:hAnsi="宋体"/>
          <w:b/>
          <w:color w:val="auto"/>
          <w:szCs w:val="21"/>
        </w:rPr>
        <w:t>照格式</w:t>
      </w:r>
      <w:r>
        <w:rPr>
          <w:rFonts w:hint="eastAsia" w:ascii="宋体" w:hAnsi="宋体"/>
          <w:b/>
          <w:color w:val="auto"/>
          <w:szCs w:val="21"/>
        </w:rPr>
        <w:t>进行编制（格式中要求提供相关证明材料的还需后附相关证明材料），并按格式要求在指定位置根据要求进行签章，否则视为未提供；本文件</w:t>
      </w:r>
      <w:r>
        <w:rPr>
          <w:rFonts w:ascii="宋体" w:hAnsi="宋体"/>
          <w:b/>
          <w:color w:val="auto"/>
          <w:szCs w:val="21"/>
        </w:rPr>
        <w:t>未提供格式的，请各投标单位自行拟定格式</w:t>
      </w:r>
      <w:r>
        <w:rPr>
          <w:rFonts w:hint="eastAsia" w:ascii="宋体" w:hAnsi="宋体"/>
          <w:b/>
          <w:color w:val="auto"/>
          <w:szCs w:val="21"/>
        </w:rPr>
        <w:t>，并加盖单位公章并由法定代表人或其授权代表签署（签字或盖章），否则视为未提供。</w:t>
      </w:r>
    </w:p>
    <w:p w14:paraId="227EBB42">
      <w:pPr>
        <w:spacing w:line="360" w:lineRule="auto"/>
        <w:ind w:firstLine="367" w:firstLineChars="175"/>
        <w:rPr>
          <w:rFonts w:hint="eastAsia" w:ascii="宋体" w:hAnsi="宋体" w:cs="Arial"/>
          <w:color w:val="auto"/>
          <w:kern w:val="0"/>
          <w:szCs w:val="21"/>
        </w:rPr>
      </w:pPr>
      <w:r>
        <w:rPr>
          <w:rFonts w:hint="eastAsia" w:ascii="宋体" w:hAnsi="宋体"/>
          <w:color w:val="auto"/>
          <w:kern w:val="0"/>
          <w:szCs w:val="21"/>
          <w:lang w:val="zh-CN"/>
        </w:rPr>
        <w:t>（</w:t>
      </w:r>
      <w:r>
        <w:rPr>
          <w:rFonts w:ascii="宋体" w:hAnsi="宋体"/>
          <w:color w:val="auto"/>
          <w:kern w:val="0"/>
          <w:szCs w:val="21"/>
        </w:rPr>
        <w:t>4</w:t>
      </w:r>
      <w:r>
        <w:rPr>
          <w:rFonts w:hint="eastAsia" w:ascii="宋体" w:hAnsi="宋体"/>
          <w:color w:val="auto"/>
          <w:kern w:val="0"/>
          <w:szCs w:val="21"/>
          <w:lang w:val="zh-CN"/>
        </w:rPr>
        <w:t>）</w:t>
      </w:r>
      <w:r>
        <w:rPr>
          <w:rFonts w:ascii="宋体" w:hAnsi="宋体" w:cs="Arial"/>
          <w:color w:val="auto"/>
          <w:kern w:val="0"/>
          <w:szCs w:val="21"/>
        </w:rPr>
        <w:t>《投标文件》内容不完整、编排混乱导致《投标文件》被误读、漏读或者查找不到相关内容的，是投标供应商的责任。</w:t>
      </w:r>
    </w:p>
    <w:p w14:paraId="581A1AA2">
      <w:pPr>
        <w:spacing w:line="360" w:lineRule="auto"/>
        <w:ind w:firstLine="367" w:firstLineChars="175"/>
        <w:rPr>
          <w:rFonts w:hint="eastAsia" w:ascii="宋体" w:hAnsi="宋体" w:cs="Arial"/>
          <w:color w:val="auto"/>
          <w:kern w:val="0"/>
          <w:szCs w:val="21"/>
        </w:rPr>
      </w:pPr>
      <w:r>
        <w:rPr>
          <w:rFonts w:hint="eastAsia" w:ascii="宋体" w:hAnsi="宋体"/>
          <w:color w:val="auto"/>
          <w:kern w:val="0"/>
          <w:szCs w:val="21"/>
        </w:rPr>
        <w:t>（</w:t>
      </w:r>
      <w:r>
        <w:rPr>
          <w:rFonts w:ascii="宋体" w:hAnsi="宋体"/>
          <w:color w:val="auto"/>
          <w:kern w:val="0"/>
          <w:szCs w:val="21"/>
        </w:rPr>
        <w:t>5</w:t>
      </w:r>
      <w:r>
        <w:rPr>
          <w:rFonts w:hint="eastAsia" w:ascii="宋体" w:hAnsi="宋体"/>
          <w:color w:val="auto"/>
          <w:kern w:val="0"/>
          <w:szCs w:val="21"/>
        </w:rPr>
        <w:t>）</w:t>
      </w:r>
      <w:r>
        <w:rPr>
          <w:rFonts w:hint="eastAsia" w:ascii="宋体" w:hAnsi="宋体" w:cs="Arial"/>
          <w:color w:val="auto"/>
          <w:kern w:val="0"/>
          <w:szCs w:val="21"/>
        </w:rPr>
        <w:t>《</w:t>
      </w:r>
      <w:r>
        <w:rPr>
          <w:rFonts w:ascii="宋体" w:hAnsi="宋体" w:cs="Arial"/>
          <w:color w:val="auto"/>
          <w:kern w:val="0"/>
          <w:szCs w:val="21"/>
        </w:rPr>
        <w:t>投标文件</w:t>
      </w:r>
      <w:r>
        <w:rPr>
          <w:rFonts w:hint="eastAsia" w:ascii="宋体" w:hAnsi="宋体" w:cs="Arial"/>
          <w:color w:val="auto"/>
          <w:kern w:val="0"/>
          <w:szCs w:val="21"/>
        </w:rPr>
        <w:t>》</w:t>
      </w:r>
      <w:r>
        <w:rPr>
          <w:rFonts w:ascii="宋体" w:hAnsi="宋体" w:cs="Arial"/>
          <w:color w:val="auto"/>
          <w:kern w:val="0"/>
          <w:szCs w:val="21"/>
        </w:rPr>
        <w:t>因字迹潦草或表达不清所引起的后果由投标供应商负责。</w:t>
      </w:r>
    </w:p>
    <w:p w14:paraId="11262DFD">
      <w:pPr>
        <w:spacing w:line="360" w:lineRule="auto"/>
        <w:ind w:firstLine="367" w:firstLineChars="175"/>
        <w:rPr>
          <w:rFonts w:hint="eastAsia" w:ascii="宋体" w:hAnsi="宋体"/>
          <w:bCs/>
          <w:color w:val="auto"/>
          <w:szCs w:val="21"/>
        </w:rPr>
      </w:pPr>
      <w:r>
        <w:rPr>
          <w:rFonts w:hint="eastAsia" w:ascii="宋体" w:hAnsi="宋体"/>
          <w:color w:val="auto"/>
          <w:szCs w:val="21"/>
        </w:rPr>
        <w:t>（</w:t>
      </w:r>
      <w:r>
        <w:rPr>
          <w:rFonts w:ascii="宋体" w:hAnsi="宋体"/>
          <w:color w:val="auto"/>
          <w:kern w:val="0"/>
          <w:szCs w:val="21"/>
        </w:rPr>
        <w:t>6</w:t>
      </w:r>
      <w:r>
        <w:rPr>
          <w:rFonts w:hint="eastAsia" w:ascii="宋体" w:hAnsi="宋体"/>
          <w:color w:val="auto"/>
          <w:szCs w:val="21"/>
        </w:rPr>
        <w:t>）</w:t>
      </w:r>
      <w:r>
        <w:rPr>
          <w:rFonts w:ascii="宋体" w:hAnsi="宋体" w:cs="Arial"/>
          <w:color w:val="auto"/>
          <w:kern w:val="0"/>
          <w:szCs w:val="21"/>
        </w:rPr>
        <w:t>投标供应商没有按照本</w:t>
      </w:r>
      <w:r>
        <w:rPr>
          <w:rFonts w:hint="eastAsia" w:ascii="宋体" w:hAnsi="宋体" w:cs="Arial"/>
          <w:color w:val="auto"/>
          <w:kern w:val="0"/>
          <w:szCs w:val="21"/>
        </w:rPr>
        <w:t>章节 “投标文件组成”</w:t>
      </w:r>
      <w:r>
        <w:rPr>
          <w:rFonts w:ascii="宋体" w:hAnsi="宋体" w:cs="Arial"/>
          <w:color w:val="auto"/>
          <w:kern w:val="0"/>
          <w:szCs w:val="21"/>
        </w:rPr>
        <w:t>要求提供全部资料，</w:t>
      </w:r>
      <w:r>
        <w:rPr>
          <w:rFonts w:hint="eastAsia" w:ascii="宋体" w:hAnsi="宋体" w:cs="Arial"/>
          <w:color w:val="auto"/>
          <w:kern w:val="0"/>
          <w:szCs w:val="21"/>
        </w:rPr>
        <w:t>或者没有仔细阅读招标文件，</w:t>
      </w:r>
      <w:r>
        <w:rPr>
          <w:rFonts w:ascii="宋体" w:hAnsi="宋体" w:cs="Arial"/>
          <w:color w:val="auto"/>
          <w:kern w:val="0"/>
          <w:szCs w:val="21"/>
        </w:rPr>
        <w:t>或者没有对招标文件在各方面的要求作出实质性响应是投标供应商的风险</w:t>
      </w:r>
      <w:r>
        <w:rPr>
          <w:rFonts w:hint="eastAsia" w:ascii="宋体" w:hAnsi="宋体" w:cs="Arial"/>
          <w:color w:val="auto"/>
          <w:kern w:val="0"/>
          <w:szCs w:val="21"/>
        </w:rPr>
        <w:t>，由此造成的一切后果由投标供</w:t>
      </w:r>
      <w:r>
        <w:rPr>
          <w:rFonts w:hint="eastAsia" w:ascii="宋体" w:hAnsi="宋体"/>
          <w:bCs/>
          <w:color w:val="auto"/>
          <w:szCs w:val="21"/>
        </w:rPr>
        <w:t>应商自行承担。</w:t>
      </w:r>
    </w:p>
    <w:p w14:paraId="5D4FCC44">
      <w:pPr>
        <w:snapToGrid w:val="0"/>
        <w:spacing w:line="360" w:lineRule="auto"/>
        <w:ind w:firstLine="420" w:firstLineChars="200"/>
        <w:jc w:val="left"/>
        <w:rPr>
          <w:rFonts w:ascii="宋体"/>
          <w:color w:val="auto"/>
          <w:szCs w:val="21"/>
        </w:rPr>
      </w:pPr>
      <w:r>
        <w:rPr>
          <w:rFonts w:hint="eastAsia" w:ascii="宋体" w:hAnsi="宋体"/>
          <w:color w:val="auto"/>
          <w:kern w:val="0"/>
          <w:szCs w:val="21"/>
          <w:lang w:val="zh-CN"/>
        </w:rPr>
        <w:t>（</w:t>
      </w:r>
      <w:r>
        <w:rPr>
          <w:rFonts w:hint="eastAsia" w:ascii="宋体" w:hAnsi="宋体"/>
          <w:color w:val="auto"/>
          <w:kern w:val="0"/>
          <w:szCs w:val="21"/>
        </w:rPr>
        <w:t>7</w:t>
      </w:r>
      <w:r>
        <w:rPr>
          <w:rFonts w:hint="eastAsia" w:ascii="宋体" w:hAnsi="宋体"/>
          <w:color w:val="auto"/>
          <w:kern w:val="0"/>
          <w:szCs w:val="21"/>
          <w:lang w:val="zh-CN"/>
        </w:rPr>
        <w:t>）</w:t>
      </w:r>
      <w:r>
        <w:rPr>
          <w:rFonts w:hint="eastAsia" w:ascii="宋体" w:hAnsi="宋体"/>
          <w:color w:val="auto"/>
          <w:szCs w:val="21"/>
        </w:rPr>
        <w:t>投标文件以及投标人与采购组织机构就有关投标事宜的所有来往函电，均应以中文汉语书写。除签字、盖章、专用名称等特殊情形外，以中文汉语以外的文字表述的投标文件视同未提供。</w:t>
      </w:r>
    </w:p>
    <w:p w14:paraId="3661A889">
      <w:pPr>
        <w:snapToGrid w:val="0"/>
        <w:spacing w:line="360" w:lineRule="auto"/>
        <w:ind w:firstLine="420" w:firstLineChars="200"/>
        <w:jc w:val="left"/>
        <w:rPr>
          <w:rFonts w:hint="eastAsia" w:ascii="宋体"/>
          <w:color w:val="auto"/>
          <w:szCs w:val="21"/>
        </w:rPr>
      </w:pPr>
      <w:r>
        <w:rPr>
          <w:rFonts w:hint="eastAsia" w:ascii="宋体" w:hAnsi="宋体"/>
          <w:color w:val="auto"/>
          <w:szCs w:val="21"/>
        </w:rPr>
        <w:t>（8）投标计量单位，招标文件已有明确规定的，使用招标文件规定的计量单位；招标文件没有规定的，应采用中华人民共和国法定计量单位（货币单位：人民币元）。</w:t>
      </w:r>
    </w:p>
    <w:p w14:paraId="57715E6B">
      <w:pPr>
        <w:autoSpaceDE w:val="0"/>
        <w:autoSpaceDN w:val="0"/>
        <w:adjustRightInd w:val="0"/>
        <w:spacing w:line="360" w:lineRule="auto"/>
        <w:ind w:firstLine="480"/>
        <w:rPr>
          <w:rFonts w:hint="eastAsia" w:ascii="宋体" w:hAnsi="宋体"/>
          <w:b/>
          <w:bCs/>
          <w:color w:val="auto"/>
          <w:szCs w:val="21"/>
        </w:rPr>
      </w:pPr>
      <w:r>
        <w:rPr>
          <w:rFonts w:hint="eastAsia" w:ascii="宋体" w:hAnsi="宋体"/>
          <w:b/>
          <w:bCs/>
          <w:color w:val="auto"/>
          <w:szCs w:val="21"/>
        </w:rPr>
        <w:t>2.投标文件的签章</w:t>
      </w:r>
    </w:p>
    <w:p w14:paraId="6BA5590C">
      <w:pPr>
        <w:spacing w:line="360" w:lineRule="auto"/>
        <w:ind w:firstLine="403" w:firstLineChars="192"/>
        <w:rPr>
          <w:rFonts w:hint="eastAsia" w:ascii="宋体" w:hAnsi="宋体" w:cs="Arial"/>
          <w:b/>
          <w:color w:val="auto"/>
          <w:kern w:val="0"/>
          <w:szCs w:val="21"/>
        </w:rPr>
      </w:pPr>
      <w:r>
        <w:rPr>
          <w:rFonts w:hint="eastAsia" w:ascii="宋体" w:hAnsi="宋体"/>
          <w:color w:val="auto"/>
          <w:kern w:val="0"/>
          <w:szCs w:val="21"/>
        </w:rPr>
        <w:t>（</w:t>
      </w:r>
      <w:r>
        <w:rPr>
          <w:rFonts w:ascii="宋体" w:hAnsi="宋体"/>
          <w:color w:val="auto"/>
          <w:kern w:val="0"/>
          <w:szCs w:val="21"/>
        </w:rPr>
        <w:t>1</w:t>
      </w:r>
      <w:r>
        <w:rPr>
          <w:rFonts w:hint="eastAsia" w:ascii="宋体" w:hAnsi="宋体"/>
          <w:color w:val="auto"/>
          <w:kern w:val="0"/>
          <w:szCs w:val="21"/>
        </w:rPr>
        <w:t>）</w:t>
      </w:r>
      <w:r>
        <w:rPr>
          <w:rFonts w:hint="eastAsia" w:ascii="宋体" w:hAnsi="宋体" w:cs="Arial"/>
          <w:b/>
          <w:color w:val="auto"/>
          <w:kern w:val="0"/>
          <w:szCs w:val="21"/>
        </w:rPr>
        <w:t>《</w:t>
      </w:r>
      <w:r>
        <w:rPr>
          <w:rFonts w:ascii="宋体" w:hAnsi="宋体" w:cs="Arial"/>
          <w:b/>
          <w:color w:val="auto"/>
          <w:kern w:val="0"/>
          <w:szCs w:val="21"/>
        </w:rPr>
        <w:t>投标文件</w:t>
      </w:r>
      <w:r>
        <w:rPr>
          <w:rFonts w:hint="eastAsia" w:ascii="宋体" w:hAnsi="宋体" w:cs="Arial"/>
          <w:b/>
          <w:color w:val="auto"/>
          <w:kern w:val="0"/>
          <w:szCs w:val="21"/>
        </w:rPr>
        <w:t>》的签章：</w:t>
      </w:r>
      <w:r>
        <w:rPr>
          <w:rFonts w:hint="eastAsia" w:ascii="宋体" w:hAnsi="宋体"/>
          <w:b/>
          <w:color w:val="auto"/>
          <w:szCs w:val="21"/>
        </w:rPr>
        <w:t>见《前附表》；</w:t>
      </w:r>
    </w:p>
    <w:p w14:paraId="79C8E67C">
      <w:pPr>
        <w:spacing w:line="360" w:lineRule="auto"/>
        <w:ind w:firstLine="403" w:firstLineChars="192"/>
        <w:rPr>
          <w:rFonts w:hint="eastAsia" w:ascii="宋体" w:hAnsi="宋体" w:cs="Arial"/>
          <w:b/>
          <w:color w:val="auto"/>
          <w:kern w:val="0"/>
          <w:szCs w:val="21"/>
        </w:rPr>
      </w:pPr>
      <w:r>
        <w:rPr>
          <w:rFonts w:hint="eastAsia" w:ascii="宋体" w:hAnsi="宋体"/>
          <w:color w:val="auto"/>
          <w:kern w:val="0"/>
          <w:szCs w:val="21"/>
        </w:rPr>
        <w:t>（</w:t>
      </w:r>
      <w:r>
        <w:rPr>
          <w:rFonts w:ascii="宋体" w:hAnsi="宋体"/>
          <w:color w:val="auto"/>
          <w:kern w:val="0"/>
          <w:szCs w:val="21"/>
        </w:rPr>
        <w:t>2</w:t>
      </w:r>
      <w:r>
        <w:rPr>
          <w:rFonts w:hint="eastAsia" w:ascii="宋体" w:hAnsi="宋体"/>
          <w:color w:val="auto"/>
          <w:kern w:val="0"/>
          <w:szCs w:val="21"/>
        </w:rPr>
        <w:t>）</w:t>
      </w:r>
      <w:r>
        <w:rPr>
          <w:rFonts w:hint="eastAsia" w:ascii="宋体" w:hAnsi="宋体" w:cs="Arial"/>
          <w:b/>
          <w:color w:val="auto"/>
          <w:kern w:val="0"/>
          <w:szCs w:val="21"/>
        </w:rPr>
        <w:t>《</w:t>
      </w:r>
      <w:r>
        <w:rPr>
          <w:rFonts w:ascii="宋体" w:hAnsi="宋体" w:cs="Arial"/>
          <w:b/>
          <w:color w:val="auto"/>
          <w:kern w:val="0"/>
          <w:szCs w:val="21"/>
        </w:rPr>
        <w:t>投标文件</w:t>
      </w:r>
      <w:r>
        <w:rPr>
          <w:rFonts w:hint="eastAsia" w:ascii="宋体" w:hAnsi="宋体" w:cs="Arial"/>
          <w:b/>
          <w:color w:val="auto"/>
          <w:kern w:val="0"/>
          <w:szCs w:val="21"/>
        </w:rPr>
        <w:t>》应由投标供应商法定代表人或其授权代表签字（或盖章），并时加盖投标供应商公章。</w:t>
      </w:r>
    </w:p>
    <w:p w14:paraId="45B6238F">
      <w:pPr>
        <w:spacing w:line="360" w:lineRule="auto"/>
        <w:ind w:firstLine="369" w:firstLineChars="176"/>
        <w:rPr>
          <w:rFonts w:ascii="宋体" w:hAnsi="宋体" w:cs="Arial"/>
          <w:color w:val="auto"/>
          <w:szCs w:val="21"/>
        </w:rPr>
      </w:pPr>
      <w:r>
        <w:rPr>
          <w:rFonts w:hint="eastAsia" w:ascii="宋体" w:hAnsi="宋体"/>
          <w:color w:val="auto"/>
          <w:kern w:val="0"/>
          <w:szCs w:val="21"/>
          <w:lang w:val="zh-CN"/>
        </w:rPr>
        <w:t>（</w:t>
      </w:r>
      <w:r>
        <w:rPr>
          <w:rFonts w:ascii="宋体" w:hAnsi="宋体"/>
          <w:color w:val="auto"/>
          <w:kern w:val="0"/>
          <w:szCs w:val="21"/>
        </w:rPr>
        <w:t>3</w:t>
      </w:r>
      <w:r>
        <w:rPr>
          <w:rFonts w:hint="eastAsia" w:ascii="宋体" w:hAnsi="宋体"/>
          <w:color w:val="auto"/>
          <w:kern w:val="0"/>
          <w:szCs w:val="21"/>
          <w:lang w:val="zh-CN"/>
        </w:rPr>
        <w:t>）</w:t>
      </w:r>
      <w:r>
        <w:rPr>
          <w:rFonts w:hint="eastAsia" w:ascii="宋体" w:hAnsi="宋体" w:cs="Arial"/>
          <w:b/>
          <w:color w:val="auto"/>
          <w:kern w:val="0"/>
          <w:szCs w:val="21"/>
        </w:rPr>
        <w:t>电子签章操作指南详见</w:t>
      </w:r>
      <w:r>
        <w:rPr>
          <w:rFonts w:hint="eastAsia" w:ascii="宋体" w:hAnsi="宋体" w:cs="Arial"/>
          <w:b/>
          <w:color w:val="auto"/>
          <w:szCs w:val="21"/>
        </w:rPr>
        <w:t>《供应商项目采购-电子招投标操作指南》</w:t>
      </w:r>
      <w:r>
        <w:rPr>
          <w:rFonts w:hint="eastAsia" w:ascii="宋体" w:hAnsi="宋体" w:cs="Arial"/>
          <w:color w:val="auto"/>
          <w:szCs w:val="21"/>
        </w:rPr>
        <w:t>。</w:t>
      </w:r>
    </w:p>
    <w:p w14:paraId="44C342C1">
      <w:pPr>
        <w:autoSpaceDE w:val="0"/>
        <w:autoSpaceDN w:val="0"/>
        <w:adjustRightInd w:val="0"/>
        <w:spacing w:line="360" w:lineRule="auto"/>
        <w:ind w:firstLine="480"/>
        <w:rPr>
          <w:rFonts w:hint="eastAsia" w:ascii="宋体" w:hAnsi="宋体"/>
          <w:b/>
          <w:bCs/>
          <w:color w:val="auto"/>
          <w:szCs w:val="21"/>
        </w:rPr>
      </w:pPr>
      <w:r>
        <w:rPr>
          <w:rFonts w:hint="eastAsia" w:ascii="宋体"/>
          <w:b/>
          <w:bCs/>
          <w:color w:val="auto"/>
          <w:szCs w:val="21"/>
        </w:rPr>
        <w:t>3.</w:t>
      </w:r>
      <w:r>
        <w:rPr>
          <w:rFonts w:hint="eastAsia" w:ascii="宋体" w:hAnsi="宋体"/>
          <w:b/>
          <w:bCs/>
          <w:color w:val="auto"/>
          <w:szCs w:val="21"/>
        </w:rPr>
        <w:t>投标文件的形式</w:t>
      </w:r>
    </w:p>
    <w:p w14:paraId="5ABE006F">
      <w:pPr>
        <w:spacing w:line="360" w:lineRule="auto"/>
        <w:ind w:firstLine="369" w:firstLineChars="176"/>
        <w:rPr>
          <w:rFonts w:hint="eastAsia" w:ascii="宋体" w:hAnsi="宋体" w:cs="Arial"/>
          <w:color w:val="auto"/>
          <w:szCs w:val="21"/>
        </w:rPr>
      </w:pPr>
      <w:r>
        <w:rPr>
          <w:rFonts w:hint="eastAsia" w:ascii="宋体" w:hAnsi="宋体"/>
          <w:color w:val="auto"/>
          <w:kern w:val="0"/>
          <w:szCs w:val="21"/>
        </w:rPr>
        <w:t>（</w:t>
      </w:r>
      <w:r>
        <w:rPr>
          <w:rFonts w:ascii="宋体" w:hAnsi="宋体"/>
          <w:color w:val="auto"/>
          <w:kern w:val="0"/>
          <w:szCs w:val="21"/>
        </w:rPr>
        <w:t>1</w:t>
      </w:r>
      <w:r>
        <w:rPr>
          <w:rFonts w:hint="eastAsia" w:ascii="宋体" w:hAnsi="宋体"/>
          <w:color w:val="auto"/>
          <w:kern w:val="0"/>
          <w:szCs w:val="21"/>
        </w:rPr>
        <w:t>）</w:t>
      </w:r>
      <w:r>
        <w:rPr>
          <w:rFonts w:hint="eastAsia" w:ascii="宋体" w:hAnsi="宋体" w:cs="Arial"/>
          <w:b/>
          <w:color w:val="auto"/>
          <w:szCs w:val="21"/>
        </w:rPr>
        <w:t>投标文件的形式：</w:t>
      </w:r>
      <w:r>
        <w:rPr>
          <w:rFonts w:hint="eastAsia" w:ascii="宋体" w:hAnsi="宋体"/>
          <w:b/>
          <w:color w:val="auto"/>
          <w:szCs w:val="21"/>
        </w:rPr>
        <w:t>见《前附表》；</w:t>
      </w:r>
    </w:p>
    <w:p w14:paraId="6D20C7B3">
      <w:pPr>
        <w:spacing w:line="360" w:lineRule="auto"/>
        <w:ind w:firstLine="369" w:firstLineChars="176"/>
        <w:rPr>
          <w:rFonts w:hint="eastAsia" w:ascii="宋体" w:hAnsi="宋体" w:cs="Arial"/>
          <w:b/>
          <w:color w:val="auto"/>
          <w:szCs w:val="21"/>
        </w:rPr>
      </w:pPr>
      <w:r>
        <w:rPr>
          <w:rFonts w:hint="eastAsia" w:ascii="宋体" w:hAnsi="宋体"/>
          <w:color w:val="auto"/>
          <w:kern w:val="0"/>
          <w:szCs w:val="21"/>
        </w:rPr>
        <w:t>（</w:t>
      </w:r>
      <w:r>
        <w:rPr>
          <w:rFonts w:ascii="宋体" w:hAnsi="宋体"/>
          <w:color w:val="auto"/>
          <w:kern w:val="0"/>
          <w:szCs w:val="21"/>
        </w:rPr>
        <w:t>2</w:t>
      </w:r>
      <w:r>
        <w:rPr>
          <w:rFonts w:hint="eastAsia" w:ascii="宋体" w:hAnsi="宋体"/>
          <w:color w:val="auto"/>
          <w:kern w:val="0"/>
          <w:szCs w:val="21"/>
        </w:rPr>
        <w:t>）</w:t>
      </w:r>
      <w:r>
        <w:rPr>
          <w:rFonts w:hint="eastAsia" w:ascii="宋体" w:hAnsi="宋体" w:cs="Arial"/>
          <w:b/>
          <w:color w:val="auto"/>
          <w:szCs w:val="21"/>
        </w:rPr>
        <w:t>“电子加密投标文件”：“电子加密投标文件”是指通过“政采云电子交易客户端”完成投标文件编制后生成并加密的数据电文形式的投标文件。</w:t>
      </w:r>
    </w:p>
    <w:p w14:paraId="2C52A4A9">
      <w:pPr>
        <w:spacing w:line="360" w:lineRule="auto"/>
        <w:ind w:firstLine="369" w:firstLineChars="176"/>
        <w:rPr>
          <w:rFonts w:hint="eastAsia" w:ascii="宋体" w:hAnsi="宋体" w:cs="Arial"/>
          <w:b/>
          <w:color w:val="auto"/>
          <w:szCs w:val="21"/>
        </w:rPr>
      </w:pPr>
      <w:r>
        <w:rPr>
          <w:rFonts w:hint="eastAsia" w:ascii="宋体" w:hAnsi="宋体"/>
          <w:color w:val="auto"/>
          <w:kern w:val="0"/>
          <w:szCs w:val="21"/>
          <w:lang w:val="zh-CN"/>
        </w:rPr>
        <w:t>（</w:t>
      </w:r>
      <w:r>
        <w:rPr>
          <w:rFonts w:ascii="宋体" w:hAnsi="宋体"/>
          <w:color w:val="auto"/>
          <w:kern w:val="0"/>
          <w:szCs w:val="21"/>
        </w:rPr>
        <w:t>3</w:t>
      </w:r>
      <w:r>
        <w:rPr>
          <w:rFonts w:hint="eastAsia" w:ascii="宋体" w:hAnsi="宋体"/>
          <w:color w:val="auto"/>
          <w:kern w:val="0"/>
          <w:szCs w:val="21"/>
          <w:lang w:val="zh-CN"/>
        </w:rPr>
        <w:t>）</w:t>
      </w:r>
      <w:r>
        <w:rPr>
          <w:rFonts w:hint="eastAsia" w:ascii="宋体" w:hAnsi="宋体" w:cs="Arial"/>
          <w:b/>
          <w:color w:val="auto"/>
          <w:szCs w:val="21"/>
        </w:rPr>
        <w:t>“备份投标文件”：“备份投标文件”是指与“电子加密投标文件”同时生成的数据电文形式的电子文件（备份标书），其他方式编制的“备份投标文件”视为无效的“备份投标文件”。</w:t>
      </w:r>
    </w:p>
    <w:p w14:paraId="758508B1">
      <w:pPr>
        <w:tabs>
          <w:tab w:val="left" w:pos="4425"/>
        </w:tabs>
        <w:autoSpaceDE w:val="0"/>
        <w:autoSpaceDN w:val="0"/>
        <w:adjustRightInd w:val="0"/>
        <w:spacing w:line="360" w:lineRule="auto"/>
        <w:ind w:firstLine="480"/>
        <w:rPr>
          <w:rFonts w:hint="eastAsia" w:ascii="宋体"/>
          <w:b/>
          <w:bCs/>
          <w:color w:val="auto"/>
          <w:szCs w:val="21"/>
        </w:rPr>
      </w:pPr>
      <w:r>
        <w:rPr>
          <w:rFonts w:hint="eastAsia" w:ascii="宋体" w:hAnsi="宋体"/>
          <w:b/>
          <w:bCs/>
          <w:color w:val="auto"/>
          <w:szCs w:val="21"/>
        </w:rPr>
        <w:t>4.投标文件的份数</w:t>
      </w:r>
      <w:r>
        <w:rPr>
          <w:rFonts w:ascii="宋体"/>
          <w:b/>
          <w:bCs/>
          <w:color w:val="auto"/>
          <w:szCs w:val="21"/>
        </w:rPr>
        <w:tab/>
      </w:r>
    </w:p>
    <w:p w14:paraId="0FB3D23E">
      <w:pPr>
        <w:autoSpaceDE w:val="0"/>
        <w:autoSpaceDN w:val="0"/>
        <w:adjustRightInd w:val="0"/>
        <w:spacing w:line="360" w:lineRule="auto"/>
        <w:ind w:firstLine="480"/>
        <w:rPr>
          <w:rFonts w:hint="eastAsia" w:ascii="宋体" w:hAnsi="宋体"/>
          <w:color w:val="auto"/>
          <w:szCs w:val="21"/>
        </w:rPr>
      </w:pPr>
      <w:r>
        <w:rPr>
          <w:rFonts w:hint="eastAsia" w:ascii="宋体" w:hAnsi="宋体"/>
          <w:color w:val="auto"/>
          <w:szCs w:val="21"/>
        </w:rPr>
        <w:t>（1）投标文件的份数：见《前附表》。</w:t>
      </w:r>
    </w:p>
    <w:p w14:paraId="3E2E57C5">
      <w:pPr>
        <w:tabs>
          <w:tab w:val="left" w:pos="1898"/>
        </w:tabs>
        <w:autoSpaceDE w:val="0"/>
        <w:autoSpaceDN w:val="0"/>
        <w:adjustRightInd w:val="0"/>
        <w:spacing w:line="360" w:lineRule="auto"/>
        <w:rPr>
          <w:rFonts w:ascii="宋体"/>
          <w:b/>
          <w:color w:val="auto"/>
          <w:kern w:val="0"/>
          <w:szCs w:val="21"/>
        </w:rPr>
      </w:pPr>
      <w:r>
        <w:rPr>
          <w:rFonts w:hint="eastAsia" w:ascii="宋体" w:hAnsi="宋体"/>
          <w:b/>
          <w:color w:val="auto"/>
          <w:kern w:val="0"/>
          <w:szCs w:val="21"/>
        </w:rPr>
        <w:t>（三）投标文件的有效期</w:t>
      </w:r>
    </w:p>
    <w:p w14:paraId="50A7992E">
      <w:pPr>
        <w:pStyle w:val="5"/>
        <w:tabs>
          <w:tab w:val="left" w:pos="454"/>
          <w:tab w:val="left" w:pos="720"/>
          <w:tab w:val="left" w:pos="1200"/>
        </w:tabs>
        <w:snapToGrid w:val="0"/>
        <w:spacing w:line="360" w:lineRule="auto"/>
        <w:ind w:left="0" w:firstLine="420" w:firstLineChars="200"/>
        <w:rPr>
          <w:rFonts w:ascii="仿宋_GB2312" w:hAnsi="仿宋_GB2312" w:eastAsia="仿宋_GB2312" w:cs="仿宋_GB2312"/>
          <w:color w:val="auto"/>
          <w:szCs w:val="21"/>
          <w:lang w:val="en-GB"/>
        </w:rPr>
      </w:pPr>
      <w:r>
        <w:rPr>
          <w:rFonts w:hint="eastAsia" w:ascii="宋体" w:hAnsi="宋体"/>
          <w:color w:val="auto"/>
          <w:szCs w:val="21"/>
          <w:lang w:val="en-GB"/>
        </w:rPr>
        <w:t>自投标截止日起</w:t>
      </w:r>
      <w:r>
        <w:rPr>
          <w:rFonts w:ascii="宋体" w:hAnsi="宋体"/>
          <w:color w:val="auto"/>
          <w:szCs w:val="21"/>
          <w:lang w:val="en-GB"/>
        </w:rPr>
        <w:t>90</w:t>
      </w:r>
      <w:r>
        <w:rPr>
          <w:rFonts w:hint="eastAsia" w:ascii="宋体" w:hAnsi="宋体"/>
          <w:color w:val="auto"/>
          <w:szCs w:val="21"/>
          <w:lang w:val="en-GB"/>
        </w:rPr>
        <w:t>天投标文件应保持有效。有效期不足的投标文件将被拒绝。</w:t>
      </w:r>
    </w:p>
    <w:p w14:paraId="4307CFA8">
      <w:pPr>
        <w:pStyle w:val="5"/>
        <w:tabs>
          <w:tab w:val="left" w:pos="454"/>
          <w:tab w:val="left" w:pos="720"/>
          <w:tab w:val="left" w:pos="1200"/>
        </w:tabs>
        <w:snapToGrid w:val="0"/>
        <w:spacing w:line="360" w:lineRule="auto"/>
        <w:ind w:left="0" w:firstLine="420" w:firstLineChars="200"/>
        <w:rPr>
          <w:rFonts w:ascii="宋体"/>
          <w:color w:val="auto"/>
          <w:szCs w:val="21"/>
          <w:lang w:val="en-GB"/>
        </w:rPr>
      </w:pPr>
      <w:r>
        <w:rPr>
          <w:rFonts w:hint="eastAsia" w:ascii="宋体" w:hAnsi="宋体"/>
          <w:color w:val="auto"/>
          <w:szCs w:val="21"/>
          <w:lang w:val="en-GB"/>
        </w:rPr>
        <w:t>在特殊情况下，采购人可与投标人协商延长投标文件的有效期，这种要求和答复均以书面形式进行。</w:t>
      </w:r>
    </w:p>
    <w:p w14:paraId="25CA35D0">
      <w:pPr>
        <w:pStyle w:val="5"/>
        <w:numPr>
          <w:ilvl w:val="0"/>
          <w:numId w:val="0"/>
        </w:numPr>
        <w:tabs>
          <w:tab w:val="left" w:pos="0"/>
          <w:tab w:val="left" w:pos="720"/>
          <w:tab w:val="left" w:pos="1200"/>
        </w:tabs>
        <w:snapToGrid w:val="0"/>
        <w:spacing w:line="360" w:lineRule="auto"/>
        <w:ind w:firstLine="367" w:firstLineChars="175"/>
        <w:rPr>
          <w:rFonts w:ascii="宋体"/>
          <w:b/>
          <w:color w:val="auto"/>
          <w:szCs w:val="21"/>
        </w:rPr>
      </w:pPr>
      <w:r>
        <w:rPr>
          <w:rFonts w:ascii="宋体" w:hAnsi="宋体"/>
          <w:color w:val="auto"/>
          <w:szCs w:val="21"/>
        </w:rPr>
        <w:t>3.</w:t>
      </w:r>
      <w:r>
        <w:rPr>
          <w:rFonts w:hint="eastAsia" w:ascii="宋体" w:hAnsi="宋体"/>
          <w:color w:val="auto"/>
          <w:szCs w:val="21"/>
          <w:lang w:val="en-GB"/>
        </w:rPr>
        <w:t>投标人可拒绝接受延期要求而不会导致投标保证金被没收。同意延长有效期的投标人需要相应延长投标</w:t>
      </w:r>
      <w:r>
        <w:rPr>
          <w:rFonts w:hint="eastAsia" w:ascii="宋体" w:hAnsi="宋体"/>
          <w:color w:val="auto"/>
          <w:szCs w:val="21"/>
        </w:rPr>
        <w:t>保证金的有效期，但不能修改投标文件。</w:t>
      </w:r>
    </w:p>
    <w:p w14:paraId="333C64D7">
      <w:pPr>
        <w:snapToGrid w:val="0"/>
        <w:spacing w:line="360" w:lineRule="auto"/>
        <w:ind w:firstLine="420" w:firstLineChars="200"/>
        <w:jc w:val="left"/>
        <w:outlineLvl w:val="0"/>
        <w:rPr>
          <w:rFonts w:hint="eastAsia" w:ascii="宋体" w:hAnsi="宋体"/>
          <w:color w:val="auto"/>
          <w:szCs w:val="21"/>
        </w:rPr>
      </w:pPr>
      <w:r>
        <w:rPr>
          <w:rFonts w:ascii="宋体" w:hAnsi="宋体"/>
          <w:color w:val="auto"/>
          <w:szCs w:val="21"/>
        </w:rPr>
        <w:t>4.</w:t>
      </w:r>
      <w:r>
        <w:rPr>
          <w:rFonts w:hint="eastAsia" w:ascii="宋体" w:hAnsi="宋体"/>
          <w:color w:val="auto"/>
          <w:szCs w:val="21"/>
        </w:rPr>
        <w:t>中标人的投标文件自开标之日起至合同履行完毕均应保持有效。</w:t>
      </w:r>
    </w:p>
    <w:p w14:paraId="6A04BAF7">
      <w:pPr>
        <w:snapToGrid w:val="0"/>
        <w:spacing w:line="360" w:lineRule="auto"/>
        <w:outlineLvl w:val="1"/>
        <w:rPr>
          <w:rFonts w:hint="eastAsia" w:ascii="宋体" w:hAnsi="宋体" w:cs="宋体"/>
          <w:color w:val="auto"/>
          <w:szCs w:val="21"/>
        </w:rPr>
      </w:pPr>
      <w:r>
        <w:rPr>
          <w:rFonts w:hint="eastAsia" w:ascii="宋体" w:hAnsi="宋体"/>
          <w:b/>
          <w:color w:val="auto"/>
          <w:kern w:val="0"/>
          <w:szCs w:val="21"/>
        </w:rPr>
        <w:t>（四）</w:t>
      </w:r>
      <w:r>
        <w:rPr>
          <w:rFonts w:hint="eastAsia" w:ascii="宋体" w:hAnsi="宋体" w:cs="宋体"/>
          <w:b/>
          <w:color w:val="auto"/>
          <w:szCs w:val="21"/>
        </w:rPr>
        <w:t>投标</w:t>
      </w:r>
    </w:p>
    <w:p w14:paraId="2BD55896">
      <w:pPr>
        <w:snapToGrid w:val="0"/>
        <w:spacing w:line="360" w:lineRule="auto"/>
        <w:ind w:firstLine="422" w:firstLineChars="200"/>
        <w:outlineLvl w:val="1"/>
        <w:rPr>
          <w:rFonts w:hint="eastAsia" w:ascii="宋体" w:hAnsi="宋体" w:cs="宋体"/>
          <w:b/>
          <w:color w:val="auto"/>
          <w:szCs w:val="21"/>
        </w:rPr>
      </w:pPr>
      <w:r>
        <w:rPr>
          <w:rFonts w:hint="eastAsia" w:ascii="宋体" w:hAnsi="宋体"/>
          <w:b/>
          <w:color w:val="auto"/>
          <w:szCs w:val="21"/>
        </w:rPr>
        <w:t>1.投标文件的上传和递交：见《前附表》</w:t>
      </w:r>
    </w:p>
    <w:p w14:paraId="42E09CC0">
      <w:pPr>
        <w:snapToGrid w:val="0"/>
        <w:spacing w:line="360" w:lineRule="auto"/>
        <w:ind w:firstLine="422" w:firstLineChars="200"/>
        <w:jc w:val="left"/>
        <w:outlineLvl w:val="0"/>
        <w:rPr>
          <w:rFonts w:hint="eastAsia" w:ascii="宋体" w:hAnsi="宋体"/>
          <w:b/>
          <w:color w:val="auto"/>
          <w:kern w:val="0"/>
          <w:szCs w:val="21"/>
        </w:rPr>
      </w:pPr>
      <w:r>
        <w:rPr>
          <w:rFonts w:hint="eastAsia" w:ascii="宋体" w:hAnsi="宋体"/>
          <w:b/>
          <w:color w:val="auto"/>
          <w:kern w:val="0"/>
          <w:szCs w:val="21"/>
        </w:rPr>
        <w:t>2.</w:t>
      </w:r>
      <w:r>
        <w:rPr>
          <w:rFonts w:hint="eastAsia" w:ascii="宋体" w:hAnsi="宋体"/>
          <w:b/>
          <w:color w:val="auto"/>
          <w:szCs w:val="21"/>
        </w:rPr>
        <w:t>“电子加密投标文件”解密和异常情况处理：见《前附表》</w:t>
      </w:r>
    </w:p>
    <w:p w14:paraId="63F06F28">
      <w:pPr>
        <w:snapToGrid w:val="0"/>
        <w:spacing w:line="360" w:lineRule="auto"/>
        <w:ind w:firstLine="422" w:firstLineChars="200"/>
        <w:jc w:val="left"/>
        <w:outlineLvl w:val="0"/>
        <w:rPr>
          <w:rFonts w:hint="eastAsia" w:ascii="宋体" w:hAnsi="宋体"/>
          <w:b/>
          <w:color w:val="auto"/>
          <w:szCs w:val="21"/>
        </w:rPr>
      </w:pPr>
      <w:r>
        <w:rPr>
          <w:rFonts w:hint="eastAsia" w:ascii="宋体" w:hAnsi="宋体"/>
          <w:b/>
          <w:color w:val="auto"/>
          <w:kern w:val="0"/>
          <w:szCs w:val="21"/>
        </w:rPr>
        <w:t>3.</w:t>
      </w:r>
      <w:r>
        <w:rPr>
          <w:rFonts w:hint="eastAsia" w:ascii="宋体" w:hAnsi="宋体"/>
          <w:b/>
          <w:color w:val="auto"/>
          <w:szCs w:val="21"/>
        </w:rPr>
        <w:t>投标文件的补充、修改或撤回</w:t>
      </w:r>
    </w:p>
    <w:p w14:paraId="4A990186">
      <w:pPr>
        <w:spacing w:line="360" w:lineRule="auto"/>
        <w:ind w:firstLine="373" w:firstLineChars="177"/>
        <w:rPr>
          <w:rFonts w:hint="eastAsia" w:ascii="宋体" w:hAnsi="宋体" w:cs="Arial"/>
          <w:b/>
          <w:color w:val="auto"/>
          <w:kern w:val="0"/>
          <w:szCs w:val="21"/>
        </w:rPr>
      </w:pPr>
      <w:r>
        <w:rPr>
          <w:rFonts w:hint="eastAsia" w:ascii="宋体" w:hAnsi="宋体"/>
          <w:b/>
          <w:color w:val="auto"/>
          <w:szCs w:val="21"/>
        </w:rPr>
        <w:t>（1）</w:t>
      </w:r>
      <w:r>
        <w:rPr>
          <w:rFonts w:hint="eastAsia" w:ascii="宋体" w:hAnsi="宋体" w:cs="Arial"/>
          <w:b/>
          <w:color w:val="auto"/>
          <w:kern w:val="0"/>
          <w:szCs w:val="21"/>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738B3EFF">
      <w:pPr>
        <w:snapToGrid w:val="0"/>
        <w:spacing w:line="360" w:lineRule="auto"/>
        <w:ind w:firstLine="310" w:firstLineChars="147"/>
        <w:jc w:val="left"/>
        <w:outlineLvl w:val="0"/>
        <w:rPr>
          <w:rFonts w:hint="eastAsia" w:ascii="宋体" w:hAnsi="宋体" w:cs="Arial"/>
          <w:b/>
          <w:color w:val="auto"/>
          <w:kern w:val="0"/>
          <w:szCs w:val="21"/>
        </w:rPr>
      </w:pPr>
      <w:r>
        <w:rPr>
          <w:rFonts w:hint="eastAsia" w:ascii="宋体" w:hAnsi="宋体"/>
          <w:b/>
          <w:color w:val="auto"/>
          <w:kern w:val="0"/>
          <w:szCs w:val="21"/>
        </w:rPr>
        <w:t>（2）</w:t>
      </w:r>
      <w:r>
        <w:rPr>
          <w:rFonts w:ascii="宋体" w:hAnsi="宋体" w:cs="Arial"/>
          <w:b/>
          <w:color w:val="auto"/>
          <w:kern w:val="0"/>
          <w:szCs w:val="21"/>
        </w:rPr>
        <w:t>投标截止时间后，投标供应商不得撤回、修改《投标文件》</w:t>
      </w:r>
      <w:r>
        <w:rPr>
          <w:rFonts w:hint="eastAsia" w:ascii="宋体" w:hAnsi="宋体" w:cs="Arial"/>
          <w:b/>
          <w:color w:val="auto"/>
          <w:kern w:val="0"/>
          <w:szCs w:val="21"/>
        </w:rPr>
        <w:t>。</w:t>
      </w:r>
    </w:p>
    <w:p w14:paraId="18684808">
      <w:pPr>
        <w:pStyle w:val="4"/>
        <w:spacing w:before="0" w:after="0" w:line="360" w:lineRule="auto"/>
        <w:ind w:left="719" w:leftChars="200" w:hanging="299" w:hangingChars="142"/>
        <w:rPr>
          <w:rFonts w:hint="eastAsia" w:ascii="宋体" w:hAnsi="宋体"/>
          <w:color w:val="auto"/>
          <w:sz w:val="21"/>
          <w:szCs w:val="21"/>
        </w:rPr>
      </w:pPr>
      <w:r>
        <w:rPr>
          <w:rFonts w:hint="eastAsia" w:ascii="宋体" w:hAnsi="宋体" w:cs="Arial"/>
          <w:color w:val="auto"/>
          <w:kern w:val="0"/>
          <w:sz w:val="21"/>
          <w:szCs w:val="21"/>
        </w:rPr>
        <w:t>4.</w:t>
      </w:r>
      <w:r>
        <w:rPr>
          <w:rFonts w:hint="eastAsia" w:ascii="宋体" w:hAnsi="宋体"/>
          <w:color w:val="auto"/>
          <w:sz w:val="21"/>
          <w:szCs w:val="21"/>
        </w:rPr>
        <w:t>投标文件的备选方案</w:t>
      </w:r>
    </w:p>
    <w:p w14:paraId="29076917">
      <w:pPr>
        <w:spacing w:line="360" w:lineRule="auto"/>
        <w:ind w:firstLine="373" w:firstLineChars="177"/>
        <w:rPr>
          <w:rFonts w:hint="eastAsia" w:ascii="宋体" w:hAnsi="宋体"/>
          <w:b/>
          <w:color w:val="auto"/>
          <w:szCs w:val="21"/>
        </w:rPr>
      </w:pPr>
      <w:r>
        <w:rPr>
          <w:rFonts w:hint="eastAsia" w:ascii="宋体" w:hAnsi="宋体"/>
          <w:b/>
          <w:color w:val="auto"/>
          <w:kern w:val="0"/>
          <w:szCs w:val="21"/>
        </w:rPr>
        <w:t>（1）</w:t>
      </w:r>
      <w:r>
        <w:rPr>
          <w:rFonts w:hint="eastAsia" w:ascii="宋体" w:hAnsi="宋体"/>
          <w:b/>
          <w:color w:val="auto"/>
          <w:szCs w:val="21"/>
        </w:rPr>
        <w:t>投标供应商不得递交任何的</w:t>
      </w:r>
      <w:r>
        <w:rPr>
          <w:rFonts w:ascii="宋体" w:hAnsi="宋体" w:cs="Arial"/>
          <w:b/>
          <w:color w:val="auto"/>
          <w:kern w:val="0"/>
          <w:szCs w:val="21"/>
        </w:rPr>
        <w:t>投标备选（替代）方案</w:t>
      </w:r>
      <w:r>
        <w:rPr>
          <w:rFonts w:hint="eastAsia" w:ascii="宋体" w:hAnsi="宋体"/>
          <w:b/>
          <w:color w:val="auto"/>
          <w:szCs w:val="21"/>
        </w:rPr>
        <w:t>，否则其投标文件将作无效标处理。与“电子加密投标文件”同时生成的“备份投标文件”不是投标备选（替代）方案。</w:t>
      </w:r>
    </w:p>
    <w:p w14:paraId="5E954DD5">
      <w:pPr>
        <w:snapToGrid w:val="0"/>
        <w:spacing w:line="360" w:lineRule="auto"/>
        <w:jc w:val="left"/>
        <w:rPr>
          <w:rFonts w:ascii="宋体"/>
          <w:b/>
          <w:color w:val="auto"/>
          <w:kern w:val="0"/>
          <w:szCs w:val="21"/>
        </w:rPr>
      </w:pPr>
      <w:r>
        <w:rPr>
          <w:rFonts w:hint="eastAsia" w:ascii="宋体" w:hAnsi="宋体"/>
          <w:b/>
          <w:color w:val="auto"/>
          <w:kern w:val="0"/>
          <w:szCs w:val="21"/>
        </w:rPr>
        <w:t>四、开标</w:t>
      </w:r>
    </w:p>
    <w:p w14:paraId="4F6BB08E">
      <w:pPr>
        <w:pStyle w:val="4"/>
        <w:spacing w:before="0" w:after="0" w:line="360" w:lineRule="auto"/>
        <w:ind w:left="720" w:hanging="720"/>
        <w:rPr>
          <w:rFonts w:hint="eastAsia" w:ascii="宋体" w:hAnsi="宋体"/>
          <w:color w:val="auto"/>
          <w:sz w:val="21"/>
          <w:szCs w:val="21"/>
        </w:rPr>
      </w:pPr>
      <w:r>
        <w:rPr>
          <w:rFonts w:ascii="宋体" w:hAnsi="宋体"/>
          <w:color w:val="auto"/>
          <w:kern w:val="0"/>
          <w:sz w:val="21"/>
          <w:szCs w:val="21"/>
        </w:rPr>
        <w:t xml:space="preserve">  </w:t>
      </w:r>
      <w:r>
        <w:rPr>
          <w:rFonts w:hint="eastAsia" w:ascii="宋体" w:hAnsi="宋体" w:cs="宋体"/>
          <w:color w:val="auto"/>
          <w:sz w:val="21"/>
          <w:szCs w:val="21"/>
        </w:rPr>
        <w:t>（一）</w:t>
      </w:r>
      <w:r>
        <w:rPr>
          <w:rFonts w:hint="eastAsia" w:ascii="宋体" w:hAnsi="宋体"/>
          <w:color w:val="auto"/>
          <w:sz w:val="21"/>
          <w:szCs w:val="21"/>
        </w:rPr>
        <w:t>开标</w:t>
      </w:r>
      <w:r>
        <w:rPr>
          <w:rFonts w:hint="eastAsia" w:ascii="宋体" w:hAnsi="宋体" w:cs="宋体"/>
          <w:color w:val="auto"/>
          <w:sz w:val="21"/>
          <w:szCs w:val="21"/>
        </w:rPr>
        <w:t>形式</w:t>
      </w:r>
    </w:p>
    <w:p w14:paraId="4F5DF5FE">
      <w:pPr>
        <w:spacing w:line="360" w:lineRule="auto"/>
        <w:ind w:firstLine="373" w:firstLineChars="177"/>
        <w:rPr>
          <w:rFonts w:hint="eastAsia" w:ascii="宋体" w:hAnsi="宋体"/>
          <w:b/>
          <w:color w:val="auto"/>
          <w:szCs w:val="21"/>
        </w:rPr>
      </w:pPr>
      <w:r>
        <w:rPr>
          <w:rFonts w:hint="eastAsia" w:ascii="宋体" w:hAnsi="宋体"/>
          <w:b/>
          <w:color w:val="auto"/>
          <w:szCs w:val="21"/>
        </w:rPr>
        <w:t>1.采购组织机构将按照招标文件规定的时间通过“政府采购云平台”组织开标、开启投标文件，所有供应商均应当准时在线参加。</w:t>
      </w:r>
    </w:p>
    <w:p w14:paraId="62D88A7D">
      <w:pPr>
        <w:pStyle w:val="4"/>
        <w:spacing w:before="0" w:after="0"/>
        <w:ind w:left="720" w:hanging="720"/>
        <w:rPr>
          <w:rFonts w:ascii="宋体" w:hAnsi="宋体"/>
          <w:color w:val="auto"/>
          <w:sz w:val="21"/>
          <w:szCs w:val="21"/>
        </w:rPr>
      </w:pPr>
      <w:r>
        <w:rPr>
          <w:rFonts w:hint="eastAsia" w:ascii="宋体" w:hAnsi="宋体" w:cs="宋体"/>
          <w:color w:val="auto"/>
          <w:sz w:val="21"/>
          <w:szCs w:val="21"/>
        </w:rPr>
        <w:t>（二）</w:t>
      </w:r>
      <w:r>
        <w:rPr>
          <w:rFonts w:hint="eastAsia" w:ascii="宋体" w:hAnsi="宋体"/>
          <w:color w:val="auto"/>
          <w:sz w:val="21"/>
          <w:szCs w:val="21"/>
        </w:rPr>
        <w:t xml:space="preserve"> </w:t>
      </w:r>
      <w:r>
        <w:rPr>
          <w:rFonts w:ascii="宋体" w:hAnsi="宋体"/>
          <w:color w:val="auto"/>
          <w:sz w:val="21"/>
          <w:szCs w:val="21"/>
        </w:rPr>
        <w:t>开标准备</w:t>
      </w:r>
    </w:p>
    <w:p w14:paraId="668F27EE">
      <w:pPr>
        <w:spacing w:line="360" w:lineRule="auto"/>
        <w:ind w:firstLine="369" w:firstLineChars="176"/>
        <w:rPr>
          <w:rFonts w:hint="eastAsia" w:ascii="宋体" w:hAnsi="宋体" w:cs="Arial"/>
          <w:color w:val="auto"/>
          <w:kern w:val="0"/>
          <w:szCs w:val="21"/>
        </w:rPr>
      </w:pPr>
      <w:r>
        <w:rPr>
          <w:rFonts w:hint="eastAsia" w:ascii="宋体" w:hAnsi="宋体" w:cs="Arial"/>
          <w:color w:val="auto"/>
          <w:kern w:val="0"/>
          <w:szCs w:val="21"/>
        </w:rPr>
        <w:t>1.开标的准备工作由采购组织机构负责落实；</w:t>
      </w:r>
    </w:p>
    <w:p w14:paraId="5CFF589E">
      <w:pPr>
        <w:spacing w:line="360" w:lineRule="auto"/>
        <w:ind w:firstLine="371" w:firstLineChars="176"/>
        <w:rPr>
          <w:rFonts w:hint="eastAsia" w:ascii="宋体" w:hAnsi="宋体" w:cs="Arial"/>
          <w:color w:val="auto"/>
          <w:kern w:val="0"/>
          <w:szCs w:val="21"/>
        </w:rPr>
      </w:pPr>
      <w:r>
        <w:rPr>
          <w:rFonts w:hint="eastAsia" w:ascii="宋体" w:hAnsi="宋体" w:cs="Arial"/>
          <w:b/>
          <w:bCs/>
          <w:color w:val="auto"/>
          <w:kern w:val="0"/>
          <w:szCs w:val="21"/>
        </w:rPr>
        <w:t>2.</w:t>
      </w:r>
      <w:r>
        <w:rPr>
          <w:rFonts w:hint="eastAsia" w:ascii="宋体" w:hAnsi="宋体"/>
          <w:b/>
          <w:color w:val="auto"/>
          <w:szCs w:val="21"/>
        </w:rPr>
        <w:t>采购组织机构将按照招标文件规定的时间通过“政府采购云平台”组织开标、开启投标文件，所有供应商均应当准时在线参加。</w:t>
      </w:r>
      <w:r>
        <w:rPr>
          <w:rFonts w:hint="eastAsia" w:ascii="宋体" w:hAnsi="宋体" w:cs="Arial"/>
          <w:b/>
          <w:color w:val="auto"/>
          <w:kern w:val="0"/>
          <w:szCs w:val="21"/>
        </w:rPr>
        <w:t>投标供应商</w:t>
      </w:r>
      <w:r>
        <w:rPr>
          <w:rFonts w:ascii="宋体" w:hAnsi="宋体" w:cs="Arial"/>
          <w:b/>
          <w:color w:val="auto"/>
          <w:kern w:val="0"/>
          <w:szCs w:val="21"/>
        </w:rPr>
        <w:t>如不</w:t>
      </w:r>
      <w:r>
        <w:rPr>
          <w:rFonts w:hint="eastAsia" w:ascii="宋体" w:hAnsi="宋体" w:cs="Arial"/>
          <w:b/>
          <w:color w:val="auto"/>
          <w:kern w:val="0"/>
          <w:szCs w:val="21"/>
        </w:rPr>
        <w:t>参加</w:t>
      </w:r>
      <w:r>
        <w:rPr>
          <w:rFonts w:ascii="宋体" w:hAnsi="宋体" w:cs="Arial"/>
          <w:b/>
          <w:color w:val="auto"/>
          <w:kern w:val="0"/>
          <w:szCs w:val="21"/>
        </w:rPr>
        <w:t>开标大会的，</w:t>
      </w:r>
      <w:r>
        <w:rPr>
          <w:rFonts w:hint="eastAsia" w:ascii="宋体" w:hAnsi="宋体" w:cs="Arial"/>
          <w:b/>
          <w:color w:val="auto"/>
          <w:kern w:val="0"/>
          <w:szCs w:val="21"/>
        </w:rPr>
        <w:t>视同认可开标结果，</w:t>
      </w:r>
      <w:r>
        <w:rPr>
          <w:rFonts w:ascii="宋体" w:hAnsi="宋体" w:cs="Arial"/>
          <w:b/>
          <w:color w:val="auto"/>
          <w:kern w:val="0"/>
          <w:szCs w:val="21"/>
        </w:rPr>
        <w:t>事后不得对采购相关人员、开标过程和开标结果提出异议</w:t>
      </w:r>
      <w:r>
        <w:rPr>
          <w:rFonts w:hint="eastAsia" w:ascii="宋体" w:hAnsi="宋体" w:cs="Arial"/>
          <w:b/>
          <w:color w:val="auto"/>
          <w:kern w:val="0"/>
          <w:szCs w:val="21"/>
        </w:rPr>
        <w:t>，同时投标供应商因未在线参加开标而导致投标文件无法按时解密等一切后果由供应商自己承担。</w:t>
      </w:r>
    </w:p>
    <w:p w14:paraId="0B32AEE2">
      <w:pPr>
        <w:pStyle w:val="4"/>
        <w:spacing w:before="0" w:after="0"/>
        <w:ind w:left="720" w:hanging="720"/>
        <w:rPr>
          <w:rFonts w:ascii="宋体" w:hAnsi="宋体"/>
          <w:color w:val="auto"/>
          <w:sz w:val="21"/>
          <w:szCs w:val="21"/>
        </w:rPr>
      </w:pPr>
      <w:r>
        <w:rPr>
          <w:rFonts w:hint="eastAsia" w:ascii="宋体" w:hAnsi="宋体" w:cs="宋体"/>
          <w:color w:val="auto"/>
          <w:sz w:val="21"/>
          <w:szCs w:val="21"/>
        </w:rPr>
        <w:t>（三）</w:t>
      </w:r>
      <w:r>
        <w:rPr>
          <w:rFonts w:ascii="宋体" w:hAnsi="宋体"/>
          <w:color w:val="auto"/>
          <w:sz w:val="21"/>
          <w:szCs w:val="21"/>
        </w:rPr>
        <w:t>开标</w:t>
      </w:r>
      <w:r>
        <w:rPr>
          <w:rFonts w:hint="eastAsia" w:ascii="宋体" w:hAnsi="宋体"/>
          <w:color w:val="auto"/>
          <w:sz w:val="21"/>
          <w:szCs w:val="21"/>
        </w:rPr>
        <w:t>流程（两阶段）</w:t>
      </w:r>
    </w:p>
    <w:p w14:paraId="00D7B2FD">
      <w:pPr>
        <w:spacing w:line="360" w:lineRule="auto"/>
        <w:ind w:firstLine="373" w:firstLineChars="177"/>
        <w:jc w:val="left"/>
        <w:rPr>
          <w:rFonts w:hint="eastAsia" w:ascii="宋体" w:hAnsi="宋体" w:cs="Arial"/>
          <w:b/>
          <w:color w:val="auto"/>
          <w:kern w:val="0"/>
          <w:szCs w:val="21"/>
        </w:rPr>
      </w:pPr>
      <w:r>
        <w:rPr>
          <w:rFonts w:hint="eastAsia" w:ascii="宋体" w:hAnsi="宋体" w:cs="Arial"/>
          <w:b/>
          <w:color w:val="auto"/>
          <w:kern w:val="0"/>
          <w:szCs w:val="21"/>
        </w:rPr>
        <w:t>1.开标第一阶段</w:t>
      </w:r>
    </w:p>
    <w:p w14:paraId="2F3DED84">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1</w:t>
      </w:r>
      <w:r>
        <w:rPr>
          <w:rFonts w:hint="eastAsia" w:ascii="宋体" w:hAnsi="宋体" w:cs="Arial"/>
          <w:color w:val="auto"/>
          <w:kern w:val="0"/>
          <w:szCs w:val="21"/>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2826235B">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2</w:t>
      </w:r>
      <w:r>
        <w:rPr>
          <w:rFonts w:hint="eastAsia" w:ascii="宋体" w:hAnsi="宋体" w:cs="Arial"/>
          <w:color w:val="auto"/>
          <w:kern w:val="0"/>
          <w:szCs w:val="21"/>
        </w:rPr>
        <w:t>）投标文件解密结束，通过邮件形式发送各投标人组织签署《政府采购活动现场确认声明书》；</w:t>
      </w:r>
    </w:p>
    <w:p w14:paraId="1BB918CE">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3</w:t>
      </w:r>
      <w:r>
        <w:rPr>
          <w:rFonts w:hint="eastAsia" w:ascii="宋体" w:hAnsi="宋体" w:cs="Arial"/>
          <w:color w:val="auto"/>
          <w:kern w:val="0"/>
          <w:szCs w:val="21"/>
        </w:rPr>
        <w:t>）开启投标文件，进入资格审查；</w:t>
      </w:r>
    </w:p>
    <w:p w14:paraId="075673C5">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4</w:t>
      </w:r>
      <w:r>
        <w:rPr>
          <w:rFonts w:hint="eastAsia" w:ascii="宋体" w:hAnsi="宋体" w:cs="Arial"/>
          <w:color w:val="auto"/>
          <w:kern w:val="0"/>
          <w:szCs w:val="21"/>
        </w:rPr>
        <w:t>）开启资格审查通过的投标供应商的商务技术文件进入符合性审查、商务技术评审；</w:t>
      </w:r>
    </w:p>
    <w:p w14:paraId="12F79343">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5</w:t>
      </w:r>
      <w:r>
        <w:rPr>
          <w:rFonts w:hint="eastAsia" w:ascii="宋体" w:hAnsi="宋体" w:cs="Arial"/>
          <w:color w:val="auto"/>
          <w:kern w:val="0"/>
          <w:szCs w:val="21"/>
        </w:rPr>
        <w:t>）第一阶段开标结束。</w:t>
      </w:r>
    </w:p>
    <w:p w14:paraId="5326FA7D">
      <w:pPr>
        <w:spacing w:line="360" w:lineRule="auto"/>
        <w:ind w:firstLine="373" w:firstLineChars="177"/>
        <w:jc w:val="left"/>
        <w:rPr>
          <w:rFonts w:hint="eastAsia" w:ascii="宋体" w:hAnsi="宋体" w:cs="Arial"/>
          <w:b/>
          <w:color w:val="auto"/>
          <w:kern w:val="0"/>
          <w:szCs w:val="21"/>
        </w:rPr>
      </w:pPr>
      <w:r>
        <w:rPr>
          <w:rFonts w:hint="eastAsia" w:ascii="宋体" w:hAnsi="宋体" w:cs="Arial"/>
          <w:b/>
          <w:color w:val="auto"/>
          <w:kern w:val="0"/>
          <w:szCs w:val="21"/>
        </w:rPr>
        <w:t>备注：开标第一阶段结束后，</w:t>
      </w:r>
      <w:r>
        <w:rPr>
          <w:rFonts w:hint="eastAsia" w:ascii="宋体" w:hAnsi="宋体" w:cs="Arial"/>
          <w:b/>
          <w:color w:val="auto"/>
          <w:kern w:val="0"/>
          <w:szCs w:val="21"/>
          <w:lang w:val="en-US" w:eastAsia="zh-CN"/>
        </w:rPr>
        <w:t>评标委员会</w:t>
      </w:r>
      <w:r>
        <w:rPr>
          <w:rFonts w:hint="eastAsia" w:ascii="宋体" w:hAnsi="宋体" w:cs="Arial"/>
          <w:b/>
          <w:color w:val="auto"/>
          <w:kern w:val="0"/>
          <w:szCs w:val="21"/>
        </w:rPr>
        <w:t>将对依法对投标供应商的资格进行审查，资格审查结束后进入符合性审查和商务技术的评审工作，具体见本章节“投标供应商资格审查”相关规定。</w:t>
      </w:r>
    </w:p>
    <w:p w14:paraId="628A97F5">
      <w:pPr>
        <w:spacing w:line="360" w:lineRule="auto"/>
        <w:ind w:firstLine="373" w:firstLineChars="177"/>
        <w:jc w:val="left"/>
        <w:rPr>
          <w:rFonts w:hint="eastAsia" w:ascii="宋体" w:hAnsi="宋体" w:cs="Arial"/>
          <w:b/>
          <w:color w:val="auto"/>
          <w:kern w:val="0"/>
          <w:szCs w:val="21"/>
        </w:rPr>
      </w:pPr>
      <w:r>
        <w:rPr>
          <w:rFonts w:hint="eastAsia" w:ascii="宋体" w:hAnsi="宋体" w:cs="Arial"/>
          <w:b/>
          <w:color w:val="auto"/>
          <w:kern w:val="0"/>
          <w:szCs w:val="21"/>
        </w:rPr>
        <w:t>2.开标第二阶段</w:t>
      </w:r>
    </w:p>
    <w:p w14:paraId="4B131503">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（1）符合性审查、商务技术评审结束后，举行开标第二阶段会议。首先通过政采云公布符合性审查、商务技术评审无效供应商名称及理由</w:t>
      </w:r>
      <w:r>
        <w:rPr>
          <w:rFonts w:ascii="宋体" w:hAnsi="宋体" w:cs="Arial"/>
          <w:color w:val="auto"/>
          <w:kern w:val="0"/>
          <w:szCs w:val="21"/>
        </w:rPr>
        <w:t>；公布经商务技术评审</w:t>
      </w:r>
      <w:r>
        <w:rPr>
          <w:rFonts w:hint="eastAsia" w:ascii="宋体" w:hAnsi="宋体" w:cs="Arial"/>
          <w:color w:val="auto"/>
          <w:kern w:val="0"/>
          <w:szCs w:val="21"/>
        </w:rPr>
        <w:t>后有效投标</w:t>
      </w:r>
      <w:r>
        <w:rPr>
          <w:rFonts w:ascii="宋体" w:hAnsi="宋体" w:cs="Arial"/>
          <w:color w:val="auto"/>
          <w:kern w:val="0"/>
          <w:szCs w:val="21"/>
        </w:rPr>
        <w:t>供应商</w:t>
      </w:r>
      <w:r>
        <w:rPr>
          <w:rFonts w:hint="eastAsia" w:ascii="宋体" w:hAnsi="宋体" w:cs="Arial"/>
          <w:color w:val="auto"/>
          <w:kern w:val="0"/>
          <w:szCs w:val="21"/>
        </w:rPr>
        <w:t>的</w:t>
      </w:r>
      <w:r>
        <w:rPr>
          <w:rFonts w:ascii="宋体" w:hAnsi="宋体" w:cs="Arial"/>
          <w:color w:val="auto"/>
          <w:kern w:val="0"/>
          <w:szCs w:val="21"/>
        </w:rPr>
        <w:t>名单，同时公布</w:t>
      </w:r>
      <w:r>
        <w:rPr>
          <w:rFonts w:hint="eastAsia" w:ascii="宋体" w:hAnsi="宋体" w:cs="Arial"/>
          <w:color w:val="auto"/>
          <w:kern w:val="0"/>
          <w:szCs w:val="21"/>
        </w:rPr>
        <w:t>其</w:t>
      </w:r>
      <w:r>
        <w:rPr>
          <w:rFonts w:ascii="宋体" w:hAnsi="宋体" w:cs="Arial"/>
          <w:color w:val="auto"/>
          <w:kern w:val="0"/>
          <w:szCs w:val="21"/>
        </w:rPr>
        <w:t>商务技术</w:t>
      </w:r>
      <w:r>
        <w:rPr>
          <w:rFonts w:hint="eastAsia" w:ascii="宋体" w:hAnsi="宋体" w:cs="Arial"/>
          <w:color w:val="auto"/>
          <w:kern w:val="0"/>
          <w:szCs w:val="21"/>
        </w:rPr>
        <w:t>部分</w:t>
      </w:r>
      <w:r>
        <w:rPr>
          <w:rFonts w:ascii="宋体" w:hAnsi="宋体" w:cs="Arial"/>
          <w:color w:val="auto"/>
          <w:kern w:val="0"/>
          <w:szCs w:val="21"/>
        </w:rPr>
        <w:t>得分情况</w:t>
      </w:r>
      <w:r>
        <w:rPr>
          <w:rFonts w:hint="eastAsia" w:ascii="宋体" w:hAnsi="宋体" w:cs="Arial"/>
          <w:color w:val="auto"/>
          <w:kern w:val="0"/>
          <w:szCs w:val="21"/>
        </w:rPr>
        <w:t>。</w:t>
      </w:r>
    </w:p>
    <w:p w14:paraId="0461EBA5">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（2）开启符合性审查、商务技术评审有效投标供应商的《报价文件》，通过政采云公布开标一览表有关内容，同时当场制作开标记录表，供应商通过政采云</w:t>
      </w:r>
      <w:r>
        <w:rPr>
          <w:rFonts w:ascii="宋体" w:hAnsi="宋体" w:cs="Arial"/>
          <w:color w:val="auto"/>
          <w:kern w:val="0"/>
          <w:szCs w:val="21"/>
        </w:rPr>
        <w:t>签字确认（不予确认的应说明理由，否则视为无异议）。唱标结束后，由评标委员会对报价的合理性、准确性等进行审查核实</w:t>
      </w:r>
      <w:r>
        <w:rPr>
          <w:rFonts w:hint="eastAsia" w:ascii="宋体" w:hAnsi="宋体" w:cs="Arial"/>
          <w:color w:val="auto"/>
          <w:kern w:val="0"/>
          <w:szCs w:val="21"/>
        </w:rPr>
        <w:t>。</w:t>
      </w:r>
    </w:p>
    <w:p w14:paraId="3FA26DAC">
      <w:pPr>
        <w:spacing w:line="360" w:lineRule="auto"/>
        <w:ind w:firstLine="371" w:firstLineChars="177"/>
        <w:jc w:val="left"/>
        <w:rPr>
          <w:rFonts w:hint="eastAsia" w:ascii="宋体" w:hAnsi="宋体" w:cs="Arial"/>
          <w:color w:val="auto"/>
          <w:kern w:val="0"/>
          <w:szCs w:val="21"/>
        </w:rPr>
      </w:pPr>
      <w:r>
        <w:rPr>
          <w:rFonts w:hint="eastAsia" w:ascii="宋体" w:hAnsi="宋体" w:cs="Arial"/>
          <w:color w:val="auto"/>
          <w:kern w:val="0"/>
          <w:szCs w:val="21"/>
        </w:rPr>
        <w:t>（3）评审结束后，通过政采云公布中标（成交）候选供应商名单，及采购人最终确定中标或成交供应商名单的时间和公告方式等。</w:t>
      </w:r>
    </w:p>
    <w:p w14:paraId="63972A99">
      <w:pPr>
        <w:spacing w:line="360" w:lineRule="auto"/>
        <w:ind w:firstLine="373" w:firstLineChars="177"/>
        <w:jc w:val="left"/>
        <w:rPr>
          <w:rFonts w:hint="eastAsia" w:ascii="宋体" w:hAnsi="宋体" w:cs="Arial"/>
          <w:b/>
          <w:color w:val="auto"/>
          <w:kern w:val="0"/>
          <w:szCs w:val="21"/>
        </w:rPr>
      </w:pPr>
      <w:r>
        <w:rPr>
          <w:rFonts w:hint="eastAsia" w:ascii="宋体" w:hAnsi="宋体" w:cs="Arial"/>
          <w:b/>
          <w:color w:val="auto"/>
          <w:kern w:val="0"/>
          <w:szCs w:val="21"/>
        </w:rPr>
        <w:t>特别说明：如遇“政府采购云平台”电子化开标或评审程序调整的，按调整后程序执行。</w:t>
      </w:r>
    </w:p>
    <w:p w14:paraId="0E30BA63">
      <w:pPr>
        <w:pStyle w:val="12"/>
        <w:snapToGrid w:val="0"/>
        <w:spacing w:line="360" w:lineRule="auto"/>
        <w:outlineLvl w:val="1"/>
        <w:rPr>
          <w:rFonts w:hAnsi="宋体"/>
          <w:b/>
          <w:color w:val="auto"/>
          <w:szCs w:val="21"/>
        </w:rPr>
      </w:pPr>
      <w:r>
        <w:rPr>
          <w:rFonts w:hint="eastAsia" w:hAnsi="宋体"/>
          <w:b/>
          <w:color w:val="auto"/>
          <w:szCs w:val="21"/>
        </w:rPr>
        <w:t>五、评标</w:t>
      </w:r>
    </w:p>
    <w:p w14:paraId="2BB8F164">
      <w:pPr>
        <w:pStyle w:val="12"/>
        <w:snapToGrid w:val="0"/>
        <w:spacing w:line="360" w:lineRule="auto"/>
        <w:ind w:left="690" w:leftChars="228" w:hanging="211" w:hangingChars="100"/>
        <w:rPr>
          <w:rFonts w:hAnsi="宋体"/>
          <w:b/>
          <w:color w:val="auto"/>
          <w:szCs w:val="21"/>
        </w:rPr>
      </w:pPr>
      <w:r>
        <w:rPr>
          <w:rFonts w:hint="eastAsia" w:hAnsi="宋体"/>
          <w:b/>
          <w:color w:val="auto"/>
          <w:szCs w:val="21"/>
        </w:rPr>
        <w:t>（一）组建评标委员会</w:t>
      </w:r>
    </w:p>
    <w:p w14:paraId="6EE66242">
      <w:pPr>
        <w:pStyle w:val="12"/>
        <w:snapToGrid w:val="0"/>
        <w:spacing w:line="360" w:lineRule="auto"/>
        <w:ind w:firstLine="420" w:firstLineChars="200"/>
        <w:rPr>
          <w:rFonts w:hint="eastAsia" w:hAnsi="宋体"/>
          <w:color w:val="auto"/>
          <w:szCs w:val="21"/>
        </w:rPr>
      </w:pPr>
      <w:r>
        <w:rPr>
          <w:rFonts w:hint="eastAsia" w:hAnsi="宋体"/>
          <w:color w:val="auto"/>
          <w:szCs w:val="21"/>
        </w:rPr>
        <w:t>1.本项目评标委员会由政府采购评审专家和采购单位评审代表组成，成员为5人及以上单数，其中技术、经济类专家不得少于总人数的2/3。</w:t>
      </w:r>
    </w:p>
    <w:p w14:paraId="52C6AE02">
      <w:pPr>
        <w:pStyle w:val="12"/>
        <w:snapToGrid w:val="0"/>
        <w:spacing w:line="360" w:lineRule="auto"/>
        <w:ind w:firstLine="420" w:firstLineChars="200"/>
        <w:rPr>
          <w:rFonts w:hAnsi="宋体"/>
          <w:color w:val="auto"/>
          <w:szCs w:val="21"/>
        </w:rPr>
      </w:pPr>
      <w:r>
        <w:rPr>
          <w:rFonts w:hint="eastAsia" w:hAnsi="宋体"/>
          <w:color w:val="auto"/>
          <w:szCs w:val="21"/>
        </w:rPr>
        <w:t>2.评标专家确定方式：按相关规定从专家库中抽取。</w:t>
      </w:r>
    </w:p>
    <w:p w14:paraId="14A48490">
      <w:pPr>
        <w:pStyle w:val="12"/>
        <w:snapToGrid w:val="0"/>
        <w:spacing w:line="360" w:lineRule="auto"/>
        <w:ind w:left="690" w:leftChars="228" w:hanging="211" w:hangingChars="100"/>
        <w:rPr>
          <w:rFonts w:hAnsi="宋体"/>
          <w:b/>
          <w:color w:val="auto"/>
          <w:szCs w:val="21"/>
        </w:rPr>
      </w:pPr>
      <w:r>
        <w:rPr>
          <w:rFonts w:hint="eastAsia" w:hAnsi="宋体"/>
          <w:b/>
          <w:color w:val="auto"/>
          <w:szCs w:val="21"/>
        </w:rPr>
        <w:t>（二）</w:t>
      </w:r>
      <w:r>
        <w:rPr>
          <w:rFonts w:hint="eastAsia" w:hAnsi="宋体"/>
          <w:b/>
          <w:bCs/>
          <w:color w:val="auto"/>
          <w:szCs w:val="21"/>
        </w:rPr>
        <w:t>评标程序</w:t>
      </w:r>
    </w:p>
    <w:p w14:paraId="5A96A730">
      <w:pPr>
        <w:snapToGrid w:val="0"/>
        <w:spacing w:line="360" w:lineRule="auto"/>
        <w:ind w:firstLine="413" w:firstLineChars="196"/>
        <w:rPr>
          <w:rFonts w:ascii="宋体"/>
          <w:b/>
          <w:bCs/>
          <w:color w:val="auto"/>
          <w:szCs w:val="21"/>
        </w:rPr>
      </w:pPr>
      <w:r>
        <w:rPr>
          <w:rFonts w:ascii="宋体" w:hAnsi="宋体"/>
          <w:b/>
          <w:bCs/>
          <w:color w:val="auto"/>
          <w:szCs w:val="21"/>
        </w:rPr>
        <w:t>1</w:t>
      </w:r>
      <w:r>
        <w:rPr>
          <w:rFonts w:hint="eastAsia" w:ascii="宋体" w:hAnsi="宋体"/>
          <w:b/>
          <w:bCs/>
          <w:color w:val="auto"/>
          <w:szCs w:val="21"/>
        </w:rPr>
        <w:t>.资格审查</w:t>
      </w:r>
    </w:p>
    <w:p w14:paraId="75907524">
      <w:pPr>
        <w:pStyle w:val="19"/>
        <w:spacing w:before="0" w:beforeAutospacing="0" w:after="0" w:afterAutospacing="0" w:line="360" w:lineRule="auto"/>
        <w:ind w:firstLine="420" w:firstLineChars="200"/>
        <w:jc w:val="both"/>
        <w:rPr>
          <w:color w:val="auto"/>
          <w:sz w:val="21"/>
          <w:szCs w:val="21"/>
        </w:rPr>
      </w:pPr>
      <w:r>
        <w:rPr>
          <w:rFonts w:hint="eastAsia"/>
          <w:color w:val="auto"/>
          <w:sz w:val="21"/>
          <w:szCs w:val="21"/>
        </w:rPr>
        <w:t>公开招标采购项目开标结束后，</w:t>
      </w:r>
      <w:r>
        <w:rPr>
          <w:rFonts w:hint="eastAsia" w:ascii="宋体" w:hAnsi="宋体" w:eastAsia="宋体" w:cs="Times New Roman"/>
          <w:color w:val="auto"/>
          <w:sz w:val="21"/>
          <w:szCs w:val="21"/>
          <w:lang w:val="en-US" w:eastAsia="zh-CN"/>
        </w:rPr>
        <w:t>评标委员会</w:t>
      </w:r>
      <w:r>
        <w:rPr>
          <w:rFonts w:hint="eastAsia"/>
          <w:color w:val="auto"/>
          <w:sz w:val="21"/>
          <w:szCs w:val="21"/>
        </w:rPr>
        <w:t>应当依法对投标人的资格进行审查，对审查发现无效的进行必要的询标，结束后公布无效投标的投标人名单、投标无效的原因。</w:t>
      </w:r>
    </w:p>
    <w:p w14:paraId="2BA03B21">
      <w:pPr>
        <w:pStyle w:val="19"/>
        <w:spacing w:before="0" w:beforeAutospacing="0" w:after="0" w:afterAutospacing="0" w:line="360" w:lineRule="auto"/>
        <w:ind w:firstLine="413" w:firstLineChars="196"/>
        <w:jc w:val="both"/>
        <w:rPr>
          <w:b/>
          <w:bCs/>
          <w:color w:val="auto"/>
          <w:sz w:val="21"/>
          <w:szCs w:val="21"/>
        </w:rPr>
      </w:pPr>
      <w:r>
        <w:rPr>
          <w:b/>
          <w:bCs/>
          <w:color w:val="auto"/>
          <w:sz w:val="21"/>
          <w:szCs w:val="21"/>
        </w:rPr>
        <w:t>2</w:t>
      </w:r>
      <w:r>
        <w:rPr>
          <w:rFonts w:hint="eastAsia"/>
          <w:b/>
          <w:bCs/>
          <w:color w:val="auto"/>
          <w:sz w:val="21"/>
          <w:szCs w:val="21"/>
        </w:rPr>
        <w:t>.符合性审查</w:t>
      </w:r>
    </w:p>
    <w:p w14:paraId="34DEFC66">
      <w:pPr>
        <w:pStyle w:val="19"/>
        <w:spacing w:before="0" w:beforeAutospacing="0" w:after="0" w:afterAutospacing="0" w:line="360" w:lineRule="auto"/>
        <w:ind w:firstLine="420" w:firstLineChars="200"/>
        <w:jc w:val="both"/>
        <w:rPr>
          <w:color w:val="auto"/>
          <w:sz w:val="21"/>
          <w:szCs w:val="21"/>
        </w:rPr>
      </w:pPr>
      <w:r>
        <w:rPr>
          <w:rFonts w:hint="eastAsia"/>
          <w:color w:val="auto"/>
          <w:sz w:val="21"/>
          <w:szCs w:val="21"/>
        </w:rPr>
        <w:t>评标委员会应当对符合资格的投标人的投标文件进行符合性审查，以确定其是否满足招标文件的实质性要求，对审查发现无效的进行必要的询标，结束后公布无效投标的投标人名单、投标无效的原因。</w:t>
      </w:r>
    </w:p>
    <w:p w14:paraId="327B6EBC">
      <w:pPr>
        <w:pStyle w:val="19"/>
        <w:spacing w:before="0" w:beforeAutospacing="0" w:after="0" w:afterAutospacing="0" w:line="360" w:lineRule="auto"/>
        <w:ind w:firstLine="422" w:firstLineChars="200"/>
        <w:jc w:val="both"/>
        <w:rPr>
          <w:color w:val="auto"/>
          <w:sz w:val="21"/>
          <w:szCs w:val="21"/>
        </w:rPr>
      </w:pPr>
      <w:r>
        <w:rPr>
          <w:b/>
          <w:bCs/>
          <w:color w:val="auto"/>
          <w:sz w:val="21"/>
          <w:szCs w:val="21"/>
        </w:rPr>
        <w:t>3</w:t>
      </w:r>
      <w:r>
        <w:rPr>
          <w:rFonts w:hint="eastAsia"/>
          <w:b/>
          <w:bCs/>
          <w:color w:val="auto"/>
          <w:sz w:val="21"/>
          <w:szCs w:val="21"/>
        </w:rPr>
        <w:t>.</w:t>
      </w:r>
      <w:r>
        <w:rPr>
          <w:rFonts w:hint="eastAsia" w:ascii="Arial" w:hAnsi="Arial" w:cs="Arial"/>
          <w:b/>
          <w:bCs/>
          <w:color w:val="auto"/>
          <w:sz w:val="21"/>
          <w:szCs w:val="21"/>
        </w:rPr>
        <w:t>综合比较与评价</w:t>
      </w:r>
    </w:p>
    <w:p w14:paraId="3CCB8FF7">
      <w:pPr>
        <w:pStyle w:val="19"/>
        <w:spacing w:before="0" w:beforeAutospacing="0" w:after="0" w:afterAutospacing="0" w:line="360" w:lineRule="auto"/>
        <w:ind w:firstLine="315" w:firstLineChars="150"/>
        <w:jc w:val="both"/>
        <w:rPr>
          <w:color w:val="auto"/>
          <w:sz w:val="21"/>
          <w:szCs w:val="21"/>
        </w:rPr>
      </w:pPr>
      <w:r>
        <w:rPr>
          <w:rFonts w:hint="eastAsia"/>
          <w:color w:val="auto"/>
          <w:sz w:val="21"/>
          <w:szCs w:val="21"/>
        </w:rPr>
        <w:t>（</w:t>
      </w:r>
      <w:r>
        <w:rPr>
          <w:color w:val="auto"/>
          <w:sz w:val="21"/>
          <w:szCs w:val="21"/>
        </w:rPr>
        <w:t>1</w:t>
      </w:r>
      <w:r>
        <w:rPr>
          <w:rFonts w:hint="eastAsia"/>
          <w:color w:val="auto"/>
          <w:sz w:val="21"/>
          <w:szCs w:val="21"/>
        </w:rPr>
        <w:t>）对于投标文件中含义不明确、同类问题表述不一致或者有明显文字和计算错误的内容，评标委员会应当以书面形式要求投标人作出必要的澄清、说明或者补正。</w:t>
      </w:r>
    </w:p>
    <w:p w14:paraId="4AAC42D0">
      <w:pPr>
        <w:pStyle w:val="19"/>
        <w:spacing w:before="0" w:beforeAutospacing="0" w:after="0" w:afterAutospacing="0" w:line="360" w:lineRule="auto"/>
        <w:ind w:firstLine="315" w:firstLineChars="150"/>
        <w:jc w:val="both"/>
        <w:rPr>
          <w:color w:val="auto"/>
          <w:sz w:val="21"/>
          <w:szCs w:val="21"/>
        </w:rPr>
      </w:pPr>
      <w:r>
        <w:rPr>
          <w:rFonts w:hint="eastAsia"/>
          <w:color w:val="auto"/>
          <w:sz w:val="21"/>
          <w:szCs w:val="21"/>
        </w:rPr>
        <w:t>（</w:t>
      </w:r>
      <w:r>
        <w:rPr>
          <w:color w:val="auto"/>
          <w:sz w:val="21"/>
          <w:szCs w:val="21"/>
        </w:rPr>
        <w:t>2</w:t>
      </w:r>
      <w:r>
        <w:rPr>
          <w:rFonts w:hint="eastAsia"/>
          <w:color w:val="auto"/>
          <w:sz w:val="21"/>
          <w:szCs w:val="21"/>
        </w:rPr>
        <w:t>）评标委员会应当按照招标文件中规定的评标方法和标准，对符合性审查合格的投标文件进行商务和技术评估，综合比较与评价。</w:t>
      </w:r>
    </w:p>
    <w:p w14:paraId="2EC095E0">
      <w:pPr>
        <w:snapToGrid w:val="0"/>
        <w:spacing w:line="360" w:lineRule="auto"/>
        <w:ind w:firstLine="315" w:firstLineChars="150"/>
        <w:rPr>
          <w:rFonts w:ascii="宋体"/>
          <w:color w:val="auto"/>
          <w:kern w:val="0"/>
          <w:szCs w:val="21"/>
        </w:rPr>
      </w:pPr>
      <w:r>
        <w:rPr>
          <w:rFonts w:hint="eastAsia" w:ascii="宋体" w:hAnsi="宋体"/>
          <w:color w:val="auto"/>
          <w:kern w:val="0"/>
          <w:szCs w:val="21"/>
        </w:rPr>
        <w:t>（</w:t>
      </w:r>
      <w:r>
        <w:rPr>
          <w:rFonts w:ascii="宋体" w:hAnsi="宋体"/>
          <w:color w:val="auto"/>
          <w:kern w:val="0"/>
          <w:szCs w:val="21"/>
        </w:rPr>
        <w:t>3</w:t>
      </w:r>
      <w:r>
        <w:rPr>
          <w:rFonts w:hint="eastAsia" w:ascii="宋体" w:hAnsi="宋体"/>
          <w:color w:val="auto"/>
          <w:kern w:val="0"/>
          <w:szCs w:val="21"/>
        </w:rPr>
        <w:t>）评标时，评标委员会各成员应当独立对每个投标人的投标文件进行评价，并汇总每个投标人的得分。</w:t>
      </w:r>
    </w:p>
    <w:p w14:paraId="04FFC376">
      <w:pPr>
        <w:snapToGrid w:val="0"/>
        <w:spacing w:line="360" w:lineRule="auto"/>
        <w:ind w:firstLine="422" w:firstLineChars="200"/>
        <w:rPr>
          <w:rFonts w:ascii="Arial" w:hAnsi="Arial" w:cs="Arial"/>
          <w:b/>
          <w:bCs/>
          <w:color w:val="auto"/>
          <w:szCs w:val="21"/>
        </w:rPr>
      </w:pPr>
      <w:r>
        <w:rPr>
          <w:rFonts w:ascii="Arial" w:hAnsi="Arial" w:cs="Arial"/>
          <w:b/>
          <w:bCs/>
          <w:color w:val="auto"/>
          <w:szCs w:val="21"/>
        </w:rPr>
        <w:t>4</w:t>
      </w:r>
      <w:r>
        <w:rPr>
          <w:rFonts w:hint="eastAsia" w:ascii="Arial" w:hAnsi="Arial" w:cs="Arial"/>
          <w:b/>
          <w:bCs/>
          <w:color w:val="auto"/>
          <w:szCs w:val="21"/>
        </w:rPr>
        <w:t>.得分确认及评审报告编写</w:t>
      </w:r>
    </w:p>
    <w:p w14:paraId="543CEF52">
      <w:pPr>
        <w:pStyle w:val="12"/>
        <w:snapToGrid w:val="0"/>
        <w:spacing w:line="360" w:lineRule="auto"/>
        <w:ind w:firstLine="367" w:firstLineChars="175"/>
        <w:rPr>
          <w:rFonts w:hAnsi="宋体"/>
          <w:color w:val="auto"/>
          <w:szCs w:val="21"/>
        </w:rPr>
      </w:pPr>
      <w:r>
        <w:rPr>
          <w:rFonts w:hint="eastAsia" w:hAnsi="宋体"/>
          <w:color w:val="auto"/>
          <w:szCs w:val="21"/>
        </w:rPr>
        <w:t>（</w:t>
      </w:r>
      <w:r>
        <w:rPr>
          <w:rFonts w:hAnsi="宋体"/>
          <w:color w:val="auto"/>
          <w:szCs w:val="21"/>
        </w:rPr>
        <w:t>1</w:t>
      </w:r>
      <w:r>
        <w:rPr>
          <w:rFonts w:hint="eastAsia" w:hAnsi="宋体"/>
          <w:color w:val="auto"/>
          <w:szCs w:val="21"/>
        </w:rPr>
        <w:t>）评标委员会对报价文件进行复核，对于系统计算出的价格分及总得分进行确认；</w:t>
      </w:r>
    </w:p>
    <w:p w14:paraId="273FAD9A">
      <w:pPr>
        <w:pStyle w:val="19"/>
        <w:spacing w:before="0" w:beforeAutospacing="0" w:after="0" w:afterAutospacing="0" w:line="360" w:lineRule="auto"/>
        <w:ind w:firstLine="367" w:firstLineChars="175"/>
        <w:jc w:val="both"/>
        <w:rPr>
          <w:color w:val="auto"/>
          <w:sz w:val="21"/>
          <w:szCs w:val="21"/>
        </w:rPr>
      </w:pPr>
      <w:r>
        <w:rPr>
          <w:rFonts w:hint="eastAsia"/>
          <w:color w:val="auto"/>
          <w:sz w:val="21"/>
          <w:szCs w:val="21"/>
        </w:rPr>
        <w:t>（</w:t>
      </w:r>
      <w:r>
        <w:rPr>
          <w:color w:val="auto"/>
          <w:sz w:val="21"/>
          <w:szCs w:val="21"/>
        </w:rPr>
        <w:t>2</w:t>
      </w:r>
      <w:r>
        <w:rPr>
          <w:rFonts w:hint="eastAsia"/>
          <w:color w:val="auto"/>
          <w:sz w:val="21"/>
          <w:szCs w:val="21"/>
        </w:rPr>
        <w:t>）评标委员会应当按照招标文件中规定的评标方法和标准，对符合性审查合格的投标文件进行商务和技术评估，综合比较与评价。</w:t>
      </w:r>
    </w:p>
    <w:p w14:paraId="768AD999">
      <w:pPr>
        <w:snapToGrid w:val="0"/>
        <w:spacing w:line="360" w:lineRule="auto"/>
        <w:ind w:firstLine="420" w:firstLineChars="200"/>
        <w:rPr>
          <w:rFonts w:ascii="Arial" w:hAnsi="Arial" w:cs="Arial"/>
          <w:b/>
          <w:bCs/>
          <w:color w:val="auto"/>
          <w:szCs w:val="21"/>
        </w:rPr>
      </w:pPr>
      <w:r>
        <w:rPr>
          <w:rFonts w:hint="eastAsia" w:ascii="宋体" w:hAnsi="宋体"/>
          <w:color w:val="auto"/>
          <w:szCs w:val="21"/>
        </w:rPr>
        <w:t>（</w:t>
      </w:r>
      <w:r>
        <w:rPr>
          <w:rFonts w:ascii="宋体" w:hAnsi="宋体"/>
          <w:color w:val="auto"/>
          <w:szCs w:val="21"/>
        </w:rPr>
        <w:t>3</w:t>
      </w:r>
      <w:r>
        <w:rPr>
          <w:rFonts w:hint="eastAsia" w:ascii="宋体" w:hAnsi="宋体"/>
          <w:color w:val="auto"/>
          <w:szCs w:val="21"/>
        </w:rPr>
        <w:t>）</w:t>
      </w:r>
      <w:r>
        <w:rPr>
          <w:rFonts w:hint="eastAsia" w:ascii="宋体" w:hAnsi="宋体"/>
          <w:color w:val="auto"/>
          <w:kern w:val="0"/>
          <w:szCs w:val="21"/>
        </w:rPr>
        <w:t>评标委员会</w:t>
      </w:r>
      <w:r>
        <w:rPr>
          <w:rFonts w:hint="eastAsia" w:ascii="宋体" w:hAnsi="宋体"/>
          <w:color w:val="auto"/>
          <w:szCs w:val="21"/>
        </w:rPr>
        <w:t>按评标原则及得分情况编写评审报告。</w:t>
      </w:r>
    </w:p>
    <w:p w14:paraId="3D0DD0D1">
      <w:pPr>
        <w:snapToGrid w:val="0"/>
        <w:spacing w:line="360" w:lineRule="auto"/>
        <w:ind w:firstLine="422" w:firstLineChars="200"/>
        <w:rPr>
          <w:rFonts w:ascii="宋体"/>
          <w:b/>
          <w:color w:val="auto"/>
          <w:kern w:val="0"/>
          <w:szCs w:val="21"/>
        </w:rPr>
      </w:pPr>
      <w:r>
        <w:rPr>
          <w:rFonts w:ascii="宋体" w:hAnsi="宋体"/>
          <w:b/>
          <w:color w:val="auto"/>
          <w:kern w:val="0"/>
          <w:szCs w:val="21"/>
        </w:rPr>
        <w:t>5</w:t>
      </w:r>
      <w:r>
        <w:rPr>
          <w:rFonts w:hint="eastAsia" w:ascii="宋体" w:hAnsi="宋体"/>
          <w:b/>
          <w:color w:val="auto"/>
          <w:kern w:val="0"/>
          <w:szCs w:val="21"/>
        </w:rPr>
        <w:t>.评价</w:t>
      </w:r>
    </w:p>
    <w:p w14:paraId="6C9F54E2">
      <w:pPr>
        <w:snapToGrid w:val="0"/>
        <w:spacing w:line="360" w:lineRule="auto"/>
        <w:ind w:firstLine="420" w:firstLineChars="200"/>
        <w:rPr>
          <w:rFonts w:ascii="宋体"/>
          <w:b/>
          <w:color w:val="auto"/>
          <w:kern w:val="0"/>
          <w:szCs w:val="21"/>
        </w:rPr>
      </w:pPr>
      <w:r>
        <w:rPr>
          <w:rFonts w:hint="eastAsia" w:ascii="宋体" w:hAnsi="宋体"/>
          <w:color w:val="auto"/>
          <w:szCs w:val="21"/>
        </w:rPr>
        <w:t>采购组织机构对评标委员会评审专家进行评价。</w:t>
      </w:r>
    </w:p>
    <w:p w14:paraId="5A91BBCF">
      <w:pPr>
        <w:snapToGrid w:val="0"/>
        <w:spacing w:line="360" w:lineRule="auto"/>
        <w:ind w:firstLine="422" w:firstLineChars="200"/>
        <w:rPr>
          <w:rFonts w:ascii="宋体"/>
          <w:b/>
          <w:color w:val="auto"/>
          <w:szCs w:val="21"/>
        </w:rPr>
      </w:pPr>
      <w:r>
        <w:rPr>
          <w:rFonts w:hint="eastAsia" w:ascii="宋体" w:hAnsi="宋体"/>
          <w:b/>
          <w:color w:val="auto"/>
          <w:szCs w:val="21"/>
        </w:rPr>
        <w:t>（三）澄清问题的形式</w:t>
      </w:r>
    </w:p>
    <w:p w14:paraId="632E809B">
      <w:pPr>
        <w:spacing w:line="360" w:lineRule="auto"/>
        <w:ind w:firstLine="371" w:firstLineChars="177"/>
        <w:rPr>
          <w:rFonts w:hint="eastAsia" w:ascii="宋体" w:hAnsi="宋体" w:cs="Arial"/>
          <w:color w:val="auto"/>
          <w:kern w:val="0"/>
          <w:szCs w:val="21"/>
        </w:rPr>
      </w:pPr>
      <w:r>
        <w:rPr>
          <w:rFonts w:hint="eastAsia" w:ascii="宋体" w:hAnsi="宋体" w:cs="Arial"/>
          <w:color w:val="auto"/>
          <w:kern w:val="0"/>
          <w:szCs w:val="21"/>
        </w:rPr>
        <w:t>1.对于投标文件中含义不明确、同类问题表述不一致或者有明显文字和计算错误的内容，评标委员会将以书面形式（或通过“政府采购云平台”在线询标）的形式要求</w:t>
      </w:r>
      <w:r>
        <w:rPr>
          <w:rFonts w:ascii="宋体" w:hAnsi="宋体" w:cs="Arial"/>
          <w:color w:val="auto"/>
          <w:kern w:val="0"/>
          <w:szCs w:val="21"/>
        </w:rPr>
        <w:t>投标供应商</w:t>
      </w:r>
      <w:r>
        <w:rPr>
          <w:rFonts w:hint="eastAsia" w:ascii="宋体" w:hAnsi="宋体" w:cs="Arial"/>
          <w:color w:val="auto"/>
          <w:kern w:val="0"/>
          <w:szCs w:val="21"/>
        </w:rPr>
        <w:t>在规定的时间内作出必要的澄清、说明或者补正，投标供应商澄清、说明或补正时间为30分钟。</w:t>
      </w:r>
    </w:p>
    <w:p w14:paraId="3FA2B750">
      <w:pPr>
        <w:spacing w:line="360" w:lineRule="auto"/>
        <w:ind w:firstLine="371" w:firstLineChars="177"/>
        <w:rPr>
          <w:rFonts w:hint="eastAsia" w:ascii="宋体" w:hAnsi="宋体" w:cs="Arial"/>
          <w:color w:val="auto"/>
          <w:kern w:val="0"/>
          <w:szCs w:val="21"/>
        </w:rPr>
      </w:pPr>
      <w:r>
        <w:rPr>
          <w:rFonts w:hint="eastAsia" w:ascii="宋体" w:hAnsi="宋体" w:cs="Arial"/>
          <w:color w:val="auto"/>
          <w:kern w:val="0"/>
          <w:szCs w:val="21"/>
        </w:rPr>
        <w:t>2.</w:t>
      </w:r>
      <w:r>
        <w:rPr>
          <w:rFonts w:ascii="宋体" w:hAnsi="宋体" w:cs="Arial"/>
          <w:color w:val="auto"/>
          <w:kern w:val="0"/>
          <w:szCs w:val="21"/>
        </w:rPr>
        <w:t>投标供应商</w:t>
      </w:r>
      <w:r>
        <w:rPr>
          <w:rFonts w:hint="eastAsia" w:ascii="宋体" w:hAnsi="宋体" w:cs="Arial"/>
          <w:color w:val="auto"/>
          <w:kern w:val="0"/>
          <w:szCs w:val="21"/>
        </w:rPr>
        <w:t>的澄清、说明或者补正应当采用书面（或通过“政府采购云平台”在线答复）形式提交，并加盖公章，或者由法定代表人或其授权的代表签字。</w:t>
      </w:r>
      <w:r>
        <w:rPr>
          <w:rFonts w:ascii="宋体" w:hAnsi="宋体" w:cs="Arial"/>
          <w:color w:val="auto"/>
          <w:kern w:val="0"/>
          <w:szCs w:val="21"/>
        </w:rPr>
        <w:t>投标供应商</w:t>
      </w:r>
      <w:r>
        <w:rPr>
          <w:rFonts w:hint="eastAsia" w:ascii="宋体" w:hAnsi="宋体" w:cs="Arial"/>
          <w:color w:val="auto"/>
          <w:kern w:val="0"/>
          <w:szCs w:val="21"/>
        </w:rPr>
        <w:t>的澄清、说明或者补正不得超出投标文件的范围或者改变投标文件的实质性内容。</w:t>
      </w:r>
    </w:p>
    <w:p w14:paraId="5B606A5A">
      <w:pPr>
        <w:pStyle w:val="12"/>
        <w:snapToGrid w:val="0"/>
        <w:spacing w:line="360" w:lineRule="auto"/>
        <w:ind w:left="690" w:leftChars="228" w:hanging="211" w:hangingChars="100"/>
        <w:rPr>
          <w:rFonts w:hAnsi="宋体"/>
          <w:b/>
          <w:color w:val="auto"/>
          <w:szCs w:val="21"/>
        </w:rPr>
      </w:pPr>
      <w:r>
        <w:rPr>
          <w:rFonts w:hint="eastAsia" w:hAnsi="宋体"/>
          <w:b/>
          <w:color w:val="auto"/>
          <w:szCs w:val="21"/>
        </w:rPr>
        <w:t>（四）错误修正</w:t>
      </w:r>
    </w:p>
    <w:p w14:paraId="13397A47">
      <w:pPr>
        <w:pStyle w:val="19"/>
        <w:spacing w:before="0" w:beforeAutospacing="0" w:after="0" w:afterAutospacing="0" w:line="360" w:lineRule="auto"/>
        <w:ind w:firstLine="420" w:firstLineChars="200"/>
        <w:jc w:val="both"/>
        <w:rPr>
          <w:color w:val="auto"/>
          <w:sz w:val="21"/>
          <w:szCs w:val="21"/>
        </w:rPr>
      </w:pPr>
      <w:r>
        <w:rPr>
          <w:rFonts w:hint="eastAsia"/>
          <w:color w:val="auto"/>
          <w:sz w:val="21"/>
          <w:szCs w:val="21"/>
        </w:rPr>
        <w:t>投标文件报价出现前后不一致的，除招标文件另有规定外，按照下列规定修正：</w:t>
      </w:r>
    </w:p>
    <w:p w14:paraId="5176A6C1">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1</w:t>
      </w:r>
      <w:r>
        <w:rPr>
          <w:rFonts w:hint="eastAsia"/>
          <w:color w:val="auto"/>
          <w:sz w:val="21"/>
          <w:szCs w:val="21"/>
        </w:rPr>
        <w:t>.投标文件中开标一览表（报价表）内容与投标文件中相应内容不一致的，以开标一览表（报价表）为准；</w:t>
      </w:r>
    </w:p>
    <w:p w14:paraId="7170E27C">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2</w:t>
      </w:r>
      <w:r>
        <w:rPr>
          <w:rFonts w:hint="eastAsia"/>
          <w:color w:val="auto"/>
          <w:sz w:val="21"/>
          <w:szCs w:val="21"/>
        </w:rPr>
        <w:t>.大写金额和小写金额不一致的，以大写金额为准；</w:t>
      </w:r>
    </w:p>
    <w:p w14:paraId="0F7F1230">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3</w:t>
      </w:r>
      <w:r>
        <w:rPr>
          <w:rFonts w:hint="eastAsia"/>
          <w:color w:val="auto"/>
          <w:sz w:val="21"/>
          <w:szCs w:val="21"/>
        </w:rPr>
        <w:t>.单价金额小数点或者百分比有明显错位的，以开标一览表的总价为准，并修改单价；</w:t>
      </w:r>
    </w:p>
    <w:p w14:paraId="49954025">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4</w:t>
      </w:r>
      <w:r>
        <w:rPr>
          <w:rFonts w:hint="eastAsia"/>
          <w:color w:val="auto"/>
          <w:sz w:val="21"/>
          <w:szCs w:val="21"/>
        </w:rPr>
        <w:t>.总价金额与按单价汇总金额不一致的，以单价金额计算结果为准。</w:t>
      </w:r>
    </w:p>
    <w:p w14:paraId="36C5BF94">
      <w:pPr>
        <w:pStyle w:val="19"/>
        <w:spacing w:before="0" w:beforeAutospacing="0" w:after="0" w:afterAutospacing="0" w:line="360" w:lineRule="auto"/>
        <w:ind w:firstLine="316" w:firstLineChars="150"/>
        <w:jc w:val="both"/>
        <w:rPr>
          <w:b/>
          <w:color w:val="auto"/>
          <w:sz w:val="21"/>
          <w:szCs w:val="21"/>
        </w:rPr>
      </w:pPr>
      <w:r>
        <w:rPr>
          <w:rFonts w:hint="eastAsia"/>
          <w:b/>
          <w:bCs/>
          <w:color w:val="auto"/>
          <w:sz w:val="21"/>
          <w:szCs w:val="21"/>
        </w:rPr>
        <w:t>（五）</w:t>
      </w:r>
      <w:r>
        <w:rPr>
          <w:rFonts w:hint="eastAsia"/>
          <w:b/>
          <w:color w:val="auto"/>
          <w:sz w:val="21"/>
          <w:szCs w:val="21"/>
        </w:rPr>
        <w:t>投标人存在下列情况之一的，投标无效</w:t>
      </w:r>
    </w:p>
    <w:p w14:paraId="5389301D">
      <w:pPr>
        <w:adjustRightInd w:val="0"/>
        <w:snapToGrid w:val="0"/>
        <w:spacing w:line="360" w:lineRule="auto"/>
        <w:ind w:left="4" w:firstLine="411" w:firstLineChars="196"/>
        <w:jc w:val="left"/>
        <w:rPr>
          <w:rFonts w:ascii="宋体"/>
          <w:b/>
          <w:bCs/>
          <w:color w:val="auto"/>
          <w:szCs w:val="21"/>
        </w:rPr>
      </w:pPr>
      <w:r>
        <w:rPr>
          <w:rFonts w:ascii="宋体" w:hAnsi="宋体"/>
          <w:color w:val="auto"/>
          <w:kern w:val="0"/>
          <w:szCs w:val="21"/>
        </w:rPr>
        <w:t>1</w:t>
      </w:r>
      <w:r>
        <w:rPr>
          <w:rFonts w:hint="eastAsia" w:ascii="宋体" w:hAnsi="宋体"/>
          <w:color w:val="auto"/>
          <w:kern w:val="0"/>
          <w:szCs w:val="21"/>
        </w:rPr>
        <w:t>.报价文件中报价的货物跟商务与技术文件中的投标货物出现重大偏差的；</w:t>
      </w:r>
    </w:p>
    <w:p w14:paraId="71EE7D83">
      <w:pPr>
        <w:pStyle w:val="19"/>
        <w:tabs>
          <w:tab w:val="left" w:pos="7380"/>
        </w:tabs>
        <w:adjustRightInd w:val="0"/>
        <w:snapToGrid w:val="0"/>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2</w:t>
      </w:r>
      <w:r>
        <w:rPr>
          <w:rFonts w:hint="eastAsia"/>
          <w:color w:val="auto"/>
          <w:sz w:val="21"/>
          <w:szCs w:val="21"/>
        </w:rPr>
        <w:t>.不具备招标文件中规定的资格要求的；</w:t>
      </w:r>
      <w:r>
        <w:rPr>
          <w:color w:val="auto"/>
          <w:sz w:val="21"/>
          <w:szCs w:val="21"/>
        </w:rPr>
        <w:tab/>
      </w:r>
    </w:p>
    <w:p w14:paraId="28C0DFF0">
      <w:pPr>
        <w:pStyle w:val="19"/>
        <w:adjustRightInd w:val="0"/>
        <w:snapToGrid w:val="0"/>
        <w:spacing w:before="0" w:beforeAutospacing="0" w:after="0" w:afterAutospacing="0" w:line="360" w:lineRule="auto"/>
        <w:jc w:val="both"/>
        <w:rPr>
          <w:rFonts w:hint="eastAsia"/>
          <w:color w:val="auto"/>
          <w:sz w:val="21"/>
          <w:szCs w:val="21"/>
        </w:rPr>
      </w:pPr>
      <w:r>
        <w:rPr>
          <w:rFonts w:hint="eastAsia"/>
          <w:color w:val="auto"/>
          <w:sz w:val="21"/>
          <w:szCs w:val="21"/>
        </w:rPr>
        <w:t>　</w:t>
      </w:r>
      <w:r>
        <w:rPr>
          <w:color w:val="auto"/>
          <w:sz w:val="21"/>
          <w:szCs w:val="21"/>
        </w:rPr>
        <w:t xml:space="preserve">  3</w:t>
      </w:r>
      <w:r>
        <w:rPr>
          <w:rFonts w:hint="eastAsia"/>
          <w:color w:val="auto"/>
          <w:sz w:val="21"/>
          <w:szCs w:val="21"/>
        </w:rPr>
        <w:t>.投标文件含有采购人不能接受的附加条件的；</w:t>
      </w:r>
    </w:p>
    <w:p w14:paraId="4B35493D">
      <w:pPr>
        <w:adjustRightInd w:val="0"/>
        <w:snapToGrid w:val="0"/>
        <w:spacing w:line="360" w:lineRule="auto"/>
        <w:ind w:firstLine="411" w:firstLineChars="196"/>
        <w:rPr>
          <w:rFonts w:ascii="宋体"/>
          <w:bCs/>
          <w:color w:val="auto"/>
          <w:kern w:val="0"/>
          <w:szCs w:val="21"/>
        </w:rPr>
      </w:pPr>
      <w:r>
        <w:rPr>
          <w:rFonts w:ascii="宋体" w:hAnsi="宋体"/>
          <w:color w:val="auto"/>
          <w:kern w:val="0"/>
          <w:szCs w:val="21"/>
        </w:rPr>
        <w:t>4</w:t>
      </w:r>
      <w:r>
        <w:rPr>
          <w:rFonts w:hint="eastAsia" w:ascii="宋体" w:hAnsi="宋体"/>
          <w:color w:val="auto"/>
          <w:szCs w:val="21"/>
        </w:rPr>
        <w:t>.投标代表人未能出具身份证明或与法定代表人授权委托人身份不符的；</w:t>
      </w:r>
    </w:p>
    <w:p w14:paraId="4DA168FD">
      <w:pPr>
        <w:pStyle w:val="19"/>
        <w:adjustRightInd w:val="0"/>
        <w:snapToGrid w:val="0"/>
        <w:spacing w:before="0" w:beforeAutospacing="0" w:after="0" w:afterAutospacing="0" w:line="360" w:lineRule="auto"/>
        <w:ind w:firstLine="420" w:firstLineChars="200"/>
        <w:jc w:val="both"/>
        <w:rPr>
          <w:rFonts w:hint="eastAsia"/>
          <w:color w:val="auto"/>
          <w:sz w:val="21"/>
          <w:szCs w:val="21"/>
        </w:rPr>
      </w:pPr>
      <w:r>
        <w:rPr>
          <w:color w:val="auto"/>
          <w:sz w:val="21"/>
          <w:szCs w:val="21"/>
        </w:rPr>
        <w:t>5</w:t>
      </w:r>
      <w:r>
        <w:rPr>
          <w:rFonts w:hint="eastAsia"/>
          <w:color w:val="auto"/>
          <w:sz w:val="21"/>
          <w:szCs w:val="21"/>
        </w:rPr>
        <w:t>.评标委员会认为投标人的报价明显低于其他通过符合性审查投标人的报价，有可能影响产品质量或者不能诚信履约的，应当要求其在评标现场合理的时间内提供说明，必要时提交相关证明材料；投标人不能证明其报价合理性的，评标委员会应当将其作为无效投标处理；</w:t>
      </w:r>
    </w:p>
    <w:p w14:paraId="792B8658">
      <w:pPr>
        <w:pStyle w:val="19"/>
        <w:adjustRightInd w:val="0"/>
        <w:snapToGrid w:val="0"/>
        <w:spacing w:before="0" w:beforeAutospacing="0" w:after="0" w:afterAutospacing="0" w:line="360" w:lineRule="auto"/>
        <w:ind w:firstLine="420" w:firstLineChars="200"/>
        <w:jc w:val="both"/>
        <w:rPr>
          <w:color w:val="auto"/>
          <w:sz w:val="21"/>
          <w:szCs w:val="21"/>
        </w:rPr>
      </w:pPr>
      <w:r>
        <w:rPr>
          <w:color w:val="auto"/>
          <w:sz w:val="21"/>
          <w:szCs w:val="21"/>
        </w:rPr>
        <w:t>6</w:t>
      </w:r>
      <w:r>
        <w:rPr>
          <w:rFonts w:hint="eastAsia"/>
          <w:color w:val="auto"/>
          <w:sz w:val="21"/>
          <w:szCs w:val="21"/>
        </w:rPr>
        <w:t>.报价超过招标文件中规定的预算金额</w:t>
      </w:r>
      <w:r>
        <w:rPr>
          <w:color w:val="auto"/>
          <w:sz w:val="21"/>
          <w:szCs w:val="21"/>
        </w:rPr>
        <w:t>/</w:t>
      </w:r>
      <w:r>
        <w:rPr>
          <w:rFonts w:hint="eastAsia"/>
          <w:color w:val="auto"/>
          <w:sz w:val="21"/>
          <w:szCs w:val="21"/>
        </w:rPr>
        <w:t>最高限价；</w:t>
      </w:r>
      <w:r>
        <w:rPr>
          <w:color w:val="auto"/>
          <w:sz w:val="21"/>
          <w:szCs w:val="21"/>
        </w:rPr>
        <w:t xml:space="preserve"> </w:t>
      </w:r>
    </w:p>
    <w:p w14:paraId="220A6A28">
      <w:pPr>
        <w:tabs>
          <w:tab w:val="left" w:pos="1898"/>
        </w:tabs>
        <w:autoSpaceDE w:val="0"/>
        <w:autoSpaceDN w:val="0"/>
        <w:adjustRightInd w:val="0"/>
        <w:snapToGrid w:val="0"/>
        <w:spacing w:line="360" w:lineRule="auto"/>
        <w:ind w:firstLine="420" w:firstLineChars="200"/>
        <w:rPr>
          <w:rFonts w:hint="eastAsia" w:ascii="宋体" w:hAnsi="宋体"/>
          <w:color w:val="auto"/>
          <w:kern w:val="0"/>
          <w:szCs w:val="21"/>
        </w:rPr>
      </w:pPr>
      <w:r>
        <w:rPr>
          <w:rFonts w:hint="eastAsia" w:ascii="宋体" w:hAnsi="宋体"/>
          <w:color w:val="auto"/>
          <w:kern w:val="0"/>
          <w:szCs w:val="21"/>
        </w:rPr>
        <w:t>7.投标文件提供虚假材料的；</w:t>
      </w:r>
    </w:p>
    <w:p w14:paraId="7366E08E">
      <w:pPr>
        <w:tabs>
          <w:tab w:val="left" w:pos="1898"/>
        </w:tabs>
        <w:autoSpaceDE w:val="0"/>
        <w:autoSpaceDN w:val="0"/>
        <w:adjustRightInd w:val="0"/>
        <w:snapToGrid w:val="0"/>
        <w:spacing w:line="360" w:lineRule="auto"/>
        <w:ind w:firstLine="420" w:firstLineChars="200"/>
        <w:rPr>
          <w:rFonts w:ascii="宋体"/>
          <w:color w:val="auto"/>
          <w:kern w:val="0"/>
          <w:szCs w:val="21"/>
        </w:rPr>
      </w:pPr>
      <w:r>
        <w:rPr>
          <w:rFonts w:hint="eastAsia" w:ascii="宋体" w:hAnsi="宋体"/>
          <w:color w:val="auto"/>
          <w:kern w:val="0"/>
          <w:szCs w:val="21"/>
        </w:rPr>
        <w:t>8.不符合中华人民共和国财政部令第</w:t>
      </w:r>
      <w:r>
        <w:rPr>
          <w:rFonts w:ascii="宋体" w:hAnsi="宋体"/>
          <w:color w:val="auto"/>
          <w:kern w:val="0"/>
          <w:szCs w:val="21"/>
        </w:rPr>
        <w:t>87</w:t>
      </w:r>
      <w:r>
        <w:rPr>
          <w:rFonts w:hint="eastAsia" w:ascii="宋体" w:hAnsi="宋体"/>
          <w:color w:val="auto"/>
          <w:kern w:val="0"/>
          <w:szCs w:val="21"/>
        </w:rPr>
        <w:t>号《政府采购货物和服务招标投标管理办法》第三十七条情形之一的，视为投标人串通投标，其投标无效，并移送采购监管部门：</w:t>
      </w:r>
    </w:p>
    <w:p w14:paraId="2B0DFF89">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 xml:space="preserve"> </w:t>
      </w:r>
      <w:r>
        <w:rPr>
          <w:rFonts w:hint="eastAsia"/>
          <w:color w:val="auto"/>
          <w:sz w:val="21"/>
          <w:szCs w:val="21"/>
        </w:rPr>
        <w:t>（</w:t>
      </w:r>
      <w:r>
        <w:rPr>
          <w:color w:val="auto"/>
          <w:sz w:val="21"/>
          <w:szCs w:val="21"/>
        </w:rPr>
        <w:t>1</w:t>
      </w:r>
      <w:r>
        <w:rPr>
          <w:rFonts w:hint="eastAsia"/>
          <w:color w:val="auto"/>
          <w:sz w:val="21"/>
          <w:szCs w:val="21"/>
        </w:rPr>
        <w:t>）不同投标人的投标文件由同一单位或者个人编制；</w:t>
      </w:r>
    </w:p>
    <w:p w14:paraId="6FB9FB5F">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 xml:space="preserve"> </w:t>
      </w:r>
      <w:r>
        <w:rPr>
          <w:rFonts w:hint="eastAsia"/>
          <w:color w:val="auto"/>
          <w:sz w:val="21"/>
          <w:szCs w:val="21"/>
        </w:rPr>
        <w:t>（</w:t>
      </w:r>
      <w:r>
        <w:rPr>
          <w:color w:val="auto"/>
          <w:sz w:val="21"/>
          <w:szCs w:val="21"/>
        </w:rPr>
        <w:t>2</w:t>
      </w:r>
      <w:r>
        <w:rPr>
          <w:rFonts w:hint="eastAsia"/>
          <w:color w:val="auto"/>
          <w:sz w:val="21"/>
          <w:szCs w:val="21"/>
        </w:rPr>
        <w:t>）不同投标人委托同一单位或者个人办理投标事宜；</w:t>
      </w:r>
    </w:p>
    <w:p w14:paraId="38BF5001">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 xml:space="preserve"> </w:t>
      </w:r>
      <w:r>
        <w:rPr>
          <w:rFonts w:hint="eastAsia"/>
          <w:color w:val="auto"/>
          <w:sz w:val="21"/>
          <w:szCs w:val="21"/>
        </w:rPr>
        <w:t>（</w:t>
      </w:r>
      <w:r>
        <w:rPr>
          <w:color w:val="auto"/>
          <w:sz w:val="21"/>
          <w:szCs w:val="21"/>
        </w:rPr>
        <w:t>3</w:t>
      </w:r>
      <w:r>
        <w:rPr>
          <w:rFonts w:hint="eastAsia"/>
          <w:color w:val="auto"/>
          <w:sz w:val="21"/>
          <w:szCs w:val="21"/>
        </w:rPr>
        <w:t>）不同投标人的投标文件载明的项目管理成员或者联系人员为同一人；</w:t>
      </w:r>
    </w:p>
    <w:p w14:paraId="6ACC2AB1">
      <w:pPr>
        <w:pStyle w:val="19"/>
        <w:spacing w:before="0" w:beforeAutospacing="0" w:after="0" w:afterAutospacing="0" w:line="360" w:lineRule="auto"/>
        <w:jc w:val="both"/>
        <w:rPr>
          <w:color w:val="auto"/>
          <w:sz w:val="21"/>
          <w:szCs w:val="21"/>
        </w:rPr>
      </w:pPr>
      <w:r>
        <w:rPr>
          <w:rFonts w:hint="eastAsia"/>
          <w:color w:val="auto"/>
          <w:sz w:val="21"/>
          <w:szCs w:val="21"/>
        </w:rPr>
        <w:t>　</w:t>
      </w:r>
      <w:r>
        <w:rPr>
          <w:color w:val="auto"/>
          <w:sz w:val="21"/>
          <w:szCs w:val="21"/>
        </w:rPr>
        <w:t xml:space="preserve"> </w:t>
      </w:r>
      <w:r>
        <w:rPr>
          <w:rFonts w:hint="eastAsia"/>
          <w:color w:val="auto"/>
          <w:sz w:val="21"/>
          <w:szCs w:val="21"/>
        </w:rPr>
        <w:t>（</w:t>
      </w:r>
      <w:r>
        <w:rPr>
          <w:color w:val="auto"/>
          <w:sz w:val="21"/>
          <w:szCs w:val="21"/>
        </w:rPr>
        <w:t>4</w:t>
      </w:r>
      <w:r>
        <w:rPr>
          <w:rFonts w:hint="eastAsia"/>
          <w:color w:val="auto"/>
          <w:sz w:val="21"/>
          <w:szCs w:val="21"/>
        </w:rPr>
        <w:t>）不同投标人的投标文件异常一致或者投标报价呈规律性差异；</w:t>
      </w:r>
    </w:p>
    <w:p w14:paraId="099475AD">
      <w:pPr>
        <w:autoSpaceDE w:val="0"/>
        <w:autoSpaceDN w:val="0"/>
        <w:adjustRightInd w:val="0"/>
        <w:spacing w:line="360" w:lineRule="auto"/>
        <w:ind w:firstLine="420" w:firstLineChars="200"/>
        <w:rPr>
          <w:rFonts w:ascii="宋体"/>
          <w:color w:val="auto"/>
          <w:kern w:val="0"/>
          <w:szCs w:val="21"/>
        </w:rPr>
      </w:pPr>
      <w:r>
        <w:rPr>
          <w:rFonts w:hint="eastAsia" w:ascii="宋体" w:hAnsi="宋体"/>
          <w:color w:val="auto"/>
          <w:kern w:val="0"/>
          <w:szCs w:val="21"/>
        </w:rPr>
        <w:t>9.不符合法律、法规和招标文件中规定的其他实质性要求的（招标文件中打“▲”内容及被拒绝的条款）。</w:t>
      </w:r>
    </w:p>
    <w:p w14:paraId="659F2886">
      <w:pPr>
        <w:autoSpaceDE w:val="0"/>
        <w:autoSpaceDN w:val="0"/>
        <w:adjustRightInd w:val="0"/>
        <w:spacing w:line="360" w:lineRule="auto"/>
        <w:ind w:left="480"/>
        <w:rPr>
          <w:rFonts w:ascii="宋体"/>
          <w:color w:val="auto"/>
          <w:kern w:val="0"/>
          <w:szCs w:val="21"/>
        </w:rPr>
      </w:pPr>
      <w:r>
        <w:rPr>
          <w:rFonts w:hint="eastAsia" w:ascii="宋体" w:hAnsi="宋体"/>
          <w:b/>
          <w:color w:val="auto"/>
          <w:kern w:val="0"/>
          <w:szCs w:val="21"/>
        </w:rPr>
        <w:t>（六）有下列情况之一的，本次招标作为废标处理</w:t>
      </w:r>
    </w:p>
    <w:p w14:paraId="35377952">
      <w:pPr>
        <w:pStyle w:val="19"/>
        <w:spacing w:before="0" w:beforeAutospacing="0" w:after="0" w:afterAutospacing="0" w:line="360" w:lineRule="auto"/>
        <w:ind w:firstLine="525" w:firstLineChars="250"/>
        <w:jc w:val="both"/>
        <w:rPr>
          <w:color w:val="auto"/>
          <w:sz w:val="21"/>
          <w:szCs w:val="21"/>
        </w:rPr>
      </w:pPr>
      <w:r>
        <w:rPr>
          <w:color w:val="auto"/>
          <w:sz w:val="21"/>
          <w:szCs w:val="21"/>
        </w:rPr>
        <w:t>1</w:t>
      </w:r>
      <w:r>
        <w:rPr>
          <w:rFonts w:hint="eastAsia"/>
          <w:color w:val="auto"/>
          <w:sz w:val="21"/>
          <w:szCs w:val="21"/>
        </w:rPr>
        <w:t>.出现影响采购公正的违法、违规行为的；</w:t>
      </w:r>
    </w:p>
    <w:p w14:paraId="493D35B2">
      <w:pPr>
        <w:pStyle w:val="19"/>
        <w:spacing w:before="0" w:beforeAutospacing="0" w:after="0" w:afterAutospacing="0" w:line="360" w:lineRule="auto"/>
        <w:ind w:firstLine="525" w:firstLineChars="250"/>
        <w:jc w:val="both"/>
        <w:rPr>
          <w:b/>
          <w:bCs/>
          <w:color w:val="auto"/>
          <w:sz w:val="21"/>
          <w:szCs w:val="21"/>
        </w:rPr>
      </w:pPr>
      <w:r>
        <w:rPr>
          <w:color w:val="auto"/>
          <w:sz w:val="21"/>
          <w:szCs w:val="21"/>
        </w:rPr>
        <w:t>2</w:t>
      </w:r>
      <w:r>
        <w:rPr>
          <w:rFonts w:hint="eastAsia"/>
          <w:color w:val="auto"/>
          <w:sz w:val="21"/>
          <w:szCs w:val="21"/>
        </w:rPr>
        <w:t>.评标委员会发现招标文件存在歧义、重大缺陷导致评标工作无法进行，或者招标文件内容违反国家有关强制性规定的；</w:t>
      </w:r>
      <w:r>
        <w:rPr>
          <w:color w:val="auto"/>
          <w:sz w:val="21"/>
          <w:szCs w:val="21"/>
        </w:rPr>
        <w:t xml:space="preserve"> </w:t>
      </w:r>
    </w:p>
    <w:p w14:paraId="39EBFA1B">
      <w:pPr>
        <w:pStyle w:val="19"/>
        <w:spacing w:before="0" w:beforeAutospacing="0" w:after="0" w:afterAutospacing="0" w:line="360" w:lineRule="auto"/>
        <w:ind w:firstLine="525" w:firstLineChars="250"/>
        <w:jc w:val="both"/>
        <w:rPr>
          <w:color w:val="auto"/>
          <w:sz w:val="21"/>
          <w:szCs w:val="21"/>
        </w:rPr>
      </w:pPr>
      <w:r>
        <w:rPr>
          <w:color w:val="auto"/>
          <w:sz w:val="21"/>
          <w:szCs w:val="21"/>
        </w:rPr>
        <w:t>3</w:t>
      </w:r>
      <w:r>
        <w:rPr>
          <w:rFonts w:hint="eastAsia"/>
          <w:color w:val="auto"/>
          <w:sz w:val="21"/>
          <w:szCs w:val="21"/>
        </w:rPr>
        <w:t>.因重大变故，采购任务取消的；</w:t>
      </w:r>
    </w:p>
    <w:p w14:paraId="10C275A4">
      <w:pPr>
        <w:pStyle w:val="19"/>
        <w:spacing w:before="0" w:beforeAutospacing="0" w:after="0" w:afterAutospacing="0" w:line="360" w:lineRule="auto"/>
        <w:ind w:firstLine="525" w:firstLineChars="250"/>
        <w:jc w:val="both"/>
        <w:rPr>
          <w:color w:val="auto"/>
          <w:sz w:val="21"/>
          <w:szCs w:val="21"/>
        </w:rPr>
      </w:pPr>
      <w:r>
        <w:rPr>
          <w:color w:val="auto"/>
          <w:sz w:val="21"/>
          <w:szCs w:val="21"/>
        </w:rPr>
        <w:t>4</w:t>
      </w:r>
      <w:r>
        <w:rPr>
          <w:rFonts w:hint="eastAsia"/>
          <w:color w:val="auto"/>
          <w:sz w:val="21"/>
          <w:szCs w:val="21"/>
        </w:rPr>
        <w:t>.法律、法规和招标文件规定的其他导致评标结果无效的。</w:t>
      </w:r>
    </w:p>
    <w:p w14:paraId="099F2234">
      <w:pPr>
        <w:pStyle w:val="12"/>
        <w:tabs>
          <w:tab w:val="left" w:pos="630"/>
        </w:tabs>
        <w:snapToGrid w:val="0"/>
        <w:spacing w:line="360" w:lineRule="auto"/>
        <w:ind w:firstLine="413" w:firstLineChars="196"/>
        <w:rPr>
          <w:rFonts w:hAnsi="宋体"/>
          <w:b/>
          <w:color w:val="auto"/>
          <w:szCs w:val="21"/>
        </w:rPr>
      </w:pPr>
      <w:r>
        <w:rPr>
          <w:rFonts w:hint="eastAsia" w:hAnsi="宋体"/>
          <w:b/>
          <w:color w:val="auto"/>
          <w:szCs w:val="21"/>
        </w:rPr>
        <w:t>（七）评标原则和评标办法</w:t>
      </w:r>
    </w:p>
    <w:p w14:paraId="27CA1C50">
      <w:pPr>
        <w:pStyle w:val="12"/>
        <w:snapToGrid w:val="0"/>
        <w:spacing w:line="360" w:lineRule="auto"/>
        <w:ind w:firstLine="525" w:firstLineChars="250"/>
        <w:rPr>
          <w:rFonts w:hAnsi="宋体"/>
          <w:color w:val="auto"/>
          <w:szCs w:val="21"/>
        </w:rPr>
      </w:pPr>
      <w:r>
        <w:rPr>
          <w:rFonts w:hAnsi="宋体"/>
          <w:color w:val="auto"/>
          <w:szCs w:val="21"/>
        </w:rPr>
        <w:t>1</w:t>
      </w:r>
      <w:r>
        <w:rPr>
          <w:rFonts w:hint="eastAsia" w:hAnsi="宋体"/>
          <w:color w:val="auto"/>
          <w:szCs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96EA142">
      <w:pPr>
        <w:pStyle w:val="12"/>
        <w:snapToGrid w:val="0"/>
        <w:spacing w:line="360" w:lineRule="auto"/>
        <w:ind w:firstLine="525" w:firstLineChars="250"/>
        <w:rPr>
          <w:rFonts w:hAnsi="宋体"/>
          <w:color w:val="auto"/>
          <w:szCs w:val="21"/>
        </w:rPr>
      </w:pPr>
      <w:r>
        <w:rPr>
          <w:rFonts w:hAnsi="宋体"/>
          <w:color w:val="auto"/>
          <w:szCs w:val="21"/>
        </w:rPr>
        <w:t>2</w:t>
      </w:r>
      <w:r>
        <w:rPr>
          <w:rFonts w:hint="eastAsia" w:hAnsi="宋体"/>
          <w:color w:val="auto"/>
          <w:szCs w:val="21"/>
        </w:rPr>
        <w:t>.评标办法。具体评标内容及评分标准等详见《第三章：评标方法及评分标准》。</w:t>
      </w:r>
    </w:p>
    <w:p w14:paraId="778C0CDD">
      <w:pPr>
        <w:pStyle w:val="12"/>
        <w:snapToGrid w:val="0"/>
        <w:spacing w:line="360" w:lineRule="auto"/>
        <w:ind w:firstLine="413" w:firstLineChars="196"/>
        <w:rPr>
          <w:rFonts w:hAnsi="宋体"/>
          <w:b/>
          <w:color w:val="auto"/>
          <w:szCs w:val="21"/>
        </w:rPr>
      </w:pPr>
      <w:r>
        <w:rPr>
          <w:rFonts w:hint="eastAsia" w:hAnsi="宋体"/>
          <w:b/>
          <w:color w:val="auto"/>
          <w:szCs w:val="21"/>
        </w:rPr>
        <w:t>（八）评标过程的监控</w:t>
      </w:r>
    </w:p>
    <w:p w14:paraId="4E5AE507">
      <w:pPr>
        <w:pStyle w:val="19"/>
        <w:spacing w:before="0" w:beforeAutospacing="0" w:after="0" w:afterAutospacing="0" w:line="360" w:lineRule="auto"/>
        <w:ind w:firstLine="420" w:firstLineChars="200"/>
        <w:jc w:val="both"/>
        <w:rPr>
          <w:color w:val="auto"/>
          <w:sz w:val="21"/>
          <w:szCs w:val="21"/>
        </w:rPr>
      </w:pPr>
      <w:r>
        <w:rPr>
          <w:rFonts w:hint="eastAsia"/>
          <w:color w:val="auto"/>
          <w:sz w:val="21"/>
          <w:szCs w:val="21"/>
        </w:rPr>
        <w:t>本项目评标过程实行全程录音、录像监控，政府采购监管部门视情进行现场监督，投标人在评标过程中所进行的试图影响评标结果的不公正活动，可能导致其投标被拒绝。</w:t>
      </w:r>
    </w:p>
    <w:p w14:paraId="00ABE2A5">
      <w:pPr>
        <w:pStyle w:val="19"/>
        <w:spacing w:before="0" w:beforeAutospacing="0" w:after="0" w:afterAutospacing="0" w:line="360" w:lineRule="auto"/>
        <w:ind w:firstLine="316" w:firstLineChars="150"/>
        <w:jc w:val="both"/>
        <w:rPr>
          <w:b/>
          <w:color w:val="auto"/>
          <w:sz w:val="21"/>
          <w:szCs w:val="21"/>
        </w:rPr>
      </w:pPr>
      <w:r>
        <w:rPr>
          <w:rFonts w:hint="eastAsia"/>
          <w:b/>
          <w:color w:val="auto"/>
          <w:sz w:val="21"/>
          <w:szCs w:val="21"/>
          <w:lang w:val="en-US" w:eastAsia="zh-CN"/>
        </w:rPr>
        <w:t>六</w:t>
      </w:r>
      <w:r>
        <w:rPr>
          <w:rFonts w:hint="eastAsia"/>
          <w:b/>
          <w:color w:val="auto"/>
          <w:sz w:val="21"/>
          <w:szCs w:val="21"/>
        </w:rPr>
        <w:t>、定标</w:t>
      </w:r>
    </w:p>
    <w:p w14:paraId="6EB99D00">
      <w:pPr>
        <w:pStyle w:val="19"/>
        <w:spacing w:before="0" w:beforeAutospacing="0" w:after="0" w:afterAutospacing="0" w:line="360" w:lineRule="auto"/>
        <w:ind w:firstLine="420" w:firstLineChars="200"/>
        <w:jc w:val="both"/>
        <w:rPr>
          <w:color w:val="auto"/>
          <w:sz w:val="21"/>
          <w:szCs w:val="21"/>
        </w:rPr>
      </w:pPr>
      <w:r>
        <w:rPr>
          <w:color w:val="auto"/>
          <w:sz w:val="21"/>
          <w:szCs w:val="21"/>
        </w:rPr>
        <w:t>1</w:t>
      </w:r>
      <w:r>
        <w:rPr>
          <w:rFonts w:hint="eastAsia"/>
          <w:color w:val="auto"/>
          <w:sz w:val="21"/>
          <w:szCs w:val="21"/>
        </w:rPr>
        <w:t>.确定中标供应商。评标委员会根据采购单位的《授权意见确认书》，推荐中标候选人或确定中标人。其中推荐中标候选人的，采购组织机构在评审结束后</w:t>
      </w:r>
      <w:r>
        <w:rPr>
          <w:color w:val="auto"/>
          <w:sz w:val="21"/>
          <w:szCs w:val="21"/>
        </w:rPr>
        <w:t>2</w:t>
      </w:r>
      <w:r>
        <w:rPr>
          <w:rFonts w:hint="eastAsia"/>
          <w:color w:val="auto"/>
          <w:sz w:val="21"/>
          <w:szCs w:val="21"/>
        </w:rPr>
        <w:t>个工作日内将评标报告送采购人，采购人自收到评审报告之日起</w:t>
      </w:r>
      <w:r>
        <w:rPr>
          <w:color w:val="auto"/>
          <w:sz w:val="21"/>
          <w:szCs w:val="21"/>
        </w:rPr>
        <w:t>5</w:t>
      </w:r>
      <w:r>
        <w:rPr>
          <w:rFonts w:hint="eastAsia"/>
          <w:color w:val="auto"/>
          <w:sz w:val="21"/>
          <w:szCs w:val="21"/>
        </w:rPr>
        <w:t>个工作日内在评审报告推荐的中标候选人中按顺序确定中标人。</w:t>
      </w:r>
    </w:p>
    <w:p w14:paraId="4329C662">
      <w:pPr>
        <w:spacing w:line="360" w:lineRule="auto"/>
        <w:ind w:firstLine="420" w:firstLineChars="200"/>
        <w:rPr>
          <w:rFonts w:ascii="宋体"/>
          <w:color w:val="auto"/>
          <w:kern w:val="0"/>
          <w:szCs w:val="21"/>
        </w:rPr>
      </w:pPr>
      <w:r>
        <w:rPr>
          <w:rFonts w:ascii="宋体" w:hAnsi="宋体"/>
          <w:color w:val="auto"/>
          <w:szCs w:val="21"/>
        </w:rPr>
        <w:t>2</w:t>
      </w:r>
      <w:r>
        <w:rPr>
          <w:rFonts w:hint="eastAsia" w:ascii="宋体" w:hAnsi="宋体"/>
          <w:color w:val="auto"/>
          <w:szCs w:val="21"/>
        </w:rPr>
        <w:t>.</w:t>
      </w:r>
      <w:r>
        <w:rPr>
          <w:rFonts w:hint="eastAsia" w:ascii="宋体" w:hAnsi="宋体"/>
          <w:color w:val="auto"/>
          <w:kern w:val="0"/>
          <w:szCs w:val="21"/>
        </w:rPr>
        <w:t>发布</w:t>
      </w:r>
      <w:r>
        <w:rPr>
          <w:rFonts w:hint="eastAsia"/>
          <w:color w:val="auto"/>
          <w:szCs w:val="21"/>
        </w:rPr>
        <w:t>中标</w:t>
      </w:r>
      <w:r>
        <w:rPr>
          <w:rFonts w:hint="eastAsia" w:ascii="宋体" w:hAnsi="宋体"/>
          <w:color w:val="auto"/>
          <w:kern w:val="0"/>
          <w:szCs w:val="21"/>
        </w:rPr>
        <w:t>结果公告。采购组织机构应当自中标人确定之日起</w:t>
      </w:r>
      <w:r>
        <w:rPr>
          <w:rFonts w:ascii="宋体" w:hAnsi="宋体"/>
          <w:color w:val="auto"/>
          <w:kern w:val="0"/>
          <w:szCs w:val="21"/>
        </w:rPr>
        <w:t>2</w:t>
      </w:r>
      <w:r>
        <w:rPr>
          <w:rFonts w:hint="eastAsia" w:ascii="宋体" w:hAnsi="宋体"/>
          <w:color w:val="auto"/>
          <w:kern w:val="0"/>
          <w:szCs w:val="21"/>
        </w:rPr>
        <w:t>个工作日内，在省级以上财政部门指定的媒体及相关网站上公告中标结果，招标文件应当随中标结果同时公告。</w:t>
      </w:r>
    </w:p>
    <w:p w14:paraId="3182A806">
      <w:pPr>
        <w:spacing w:line="360" w:lineRule="auto"/>
        <w:ind w:firstLine="420" w:firstLineChars="200"/>
        <w:rPr>
          <w:rFonts w:ascii="宋体"/>
          <w:color w:val="auto"/>
          <w:kern w:val="0"/>
          <w:szCs w:val="21"/>
        </w:rPr>
      </w:pPr>
      <w:r>
        <w:rPr>
          <w:rFonts w:ascii="宋体" w:hAnsi="宋体"/>
          <w:color w:val="auto"/>
          <w:kern w:val="0"/>
          <w:szCs w:val="21"/>
        </w:rPr>
        <w:t>3</w:t>
      </w:r>
      <w:r>
        <w:rPr>
          <w:rFonts w:hint="eastAsia" w:ascii="宋体" w:hAnsi="宋体"/>
          <w:color w:val="auto"/>
          <w:kern w:val="0"/>
          <w:szCs w:val="21"/>
        </w:rPr>
        <w:t>.发出中标通知书。采购组织机构在发布中标结果的同时，向中标人发出中标通知书。</w:t>
      </w:r>
    </w:p>
    <w:p w14:paraId="0B7BEFD4">
      <w:pPr>
        <w:spacing w:line="360" w:lineRule="auto"/>
        <w:ind w:firstLine="422" w:firstLineChars="200"/>
        <w:rPr>
          <w:rFonts w:ascii="宋体"/>
          <w:color w:val="auto"/>
          <w:kern w:val="0"/>
          <w:szCs w:val="21"/>
        </w:rPr>
      </w:pPr>
      <w:r>
        <w:rPr>
          <w:rFonts w:hint="eastAsia" w:ascii="宋体" w:hAnsi="宋体"/>
          <w:b/>
          <w:color w:val="auto"/>
          <w:szCs w:val="21"/>
          <w:lang w:eastAsia="zh-CN"/>
        </w:rPr>
        <w:t>七</w:t>
      </w:r>
      <w:r>
        <w:rPr>
          <w:rFonts w:hint="eastAsia" w:ascii="宋体" w:hAnsi="宋体"/>
          <w:b/>
          <w:color w:val="auto"/>
          <w:szCs w:val="21"/>
        </w:rPr>
        <w:t>、</w:t>
      </w:r>
      <w:r>
        <w:rPr>
          <w:rFonts w:hint="eastAsia" w:ascii="宋体" w:hAnsi="宋体"/>
          <w:b/>
          <w:color w:val="auto"/>
          <w:kern w:val="0"/>
          <w:szCs w:val="21"/>
        </w:rPr>
        <w:t>合同签订及公告</w:t>
      </w:r>
    </w:p>
    <w:p w14:paraId="135EDBBC">
      <w:pPr>
        <w:spacing w:line="360" w:lineRule="auto"/>
        <w:ind w:firstLine="422" w:firstLineChars="200"/>
        <w:rPr>
          <w:rFonts w:ascii="宋体"/>
          <w:b/>
          <w:color w:val="auto"/>
          <w:kern w:val="0"/>
          <w:szCs w:val="21"/>
        </w:rPr>
      </w:pPr>
      <w:r>
        <w:rPr>
          <w:rFonts w:hint="eastAsia" w:ascii="宋体" w:hAnsi="宋体"/>
          <w:b/>
          <w:color w:val="auto"/>
          <w:szCs w:val="21"/>
        </w:rPr>
        <w:t>（一）签订合同</w:t>
      </w:r>
    </w:p>
    <w:p w14:paraId="7E716BC0">
      <w:pPr>
        <w:pStyle w:val="19"/>
        <w:spacing w:before="0" w:beforeAutospacing="0" w:after="0" w:afterAutospacing="0" w:line="360" w:lineRule="auto"/>
        <w:ind w:firstLine="420" w:firstLineChars="200"/>
        <w:jc w:val="both"/>
        <w:rPr>
          <w:color w:val="auto"/>
          <w:sz w:val="21"/>
          <w:szCs w:val="21"/>
        </w:rPr>
      </w:pPr>
      <w:r>
        <w:rPr>
          <w:color w:val="auto"/>
          <w:sz w:val="21"/>
          <w:szCs w:val="21"/>
        </w:rPr>
        <w:t>1</w:t>
      </w:r>
      <w:r>
        <w:rPr>
          <w:rFonts w:hint="eastAsia"/>
          <w:color w:val="auto"/>
          <w:sz w:val="21"/>
          <w:szCs w:val="21"/>
        </w:rPr>
        <w:t>.采购人应当自中标通知书发出之日起30日内，按照招标文件和中标人投标文件的规定，与中标人签订书面合同。所签订的合同不得对招标文件确定的事项和中标人投标文件作实质性修改。</w:t>
      </w:r>
    </w:p>
    <w:p w14:paraId="1963E5C7">
      <w:pPr>
        <w:pStyle w:val="19"/>
        <w:spacing w:before="0" w:beforeAutospacing="0" w:after="0" w:afterAutospacing="0" w:line="360" w:lineRule="auto"/>
        <w:ind w:firstLine="420" w:firstLineChars="200"/>
        <w:jc w:val="both"/>
        <w:rPr>
          <w:color w:val="auto"/>
          <w:sz w:val="21"/>
          <w:szCs w:val="21"/>
        </w:rPr>
      </w:pPr>
      <w:r>
        <w:rPr>
          <w:color w:val="auto"/>
          <w:sz w:val="21"/>
          <w:szCs w:val="21"/>
        </w:rPr>
        <w:t>2</w:t>
      </w:r>
      <w:r>
        <w:rPr>
          <w:rFonts w:hint="eastAsia"/>
          <w:color w:val="auto"/>
          <w:sz w:val="21"/>
          <w:szCs w:val="21"/>
        </w:rPr>
        <w:t>.采购人不得向中标人提出任何不合理的要求作为签订合同的条件。</w:t>
      </w:r>
    </w:p>
    <w:p w14:paraId="3987943C">
      <w:pPr>
        <w:pStyle w:val="19"/>
        <w:spacing w:before="0" w:beforeAutospacing="0" w:after="0" w:afterAutospacing="0" w:line="360" w:lineRule="auto"/>
        <w:ind w:firstLine="420" w:firstLineChars="200"/>
        <w:jc w:val="both"/>
        <w:rPr>
          <w:color w:val="auto"/>
          <w:sz w:val="21"/>
          <w:szCs w:val="21"/>
        </w:rPr>
      </w:pPr>
      <w:r>
        <w:rPr>
          <w:color w:val="auto"/>
          <w:sz w:val="21"/>
          <w:szCs w:val="21"/>
        </w:rPr>
        <w:t>3</w:t>
      </w:r>
      <w:r>
        <w:rPr>
          <w:rFonts w:hint="eastAsia"/>
          <w:color w:val="auto"/>
          <w:sz w:val="21"/>
          <w:szCs w:val="21"/>
        </w:rPr>
        <w:t>.中标供应商无故拖延、拒签合同的</w:t>
      </w:r>
      <w:r>
        <w:rPr>
          <w:color w:val="auto"/>
          <w:sz w:val="21"/>
          <w:szCs w:val="21"/>
        </w:rPr>
        <w:t>,</w:t>
      </w:r>
      <w:r>
        <w:rPr>
          <w:rFonts w:hint="eastAsia"/>
          <w:color w:val="auto"/>
          <w:sz w:val="21"/>
          <w:szCs w:val="21"/>
        </w:rPr>
        <w:t>取消中标资格。</w:t>
      </w:r>
    </w:p>
    <w:p w14:paraId="63521AB2">
      <w:pPr>
        <w:pStyle w:val="19"/>
        <w:spacing w:before="0" w:beforeAutospacing="0" w:after="0" w:afterAutospacing="0" w:line="360" w:lineRule="auto"/>
        <w:ind w:firstLine="420" w:firstLineChars="200"/>
        <w:jc w:val="both"/>
        <w:rPr>
          <w:color w:val="auto"/>
          <w:sz w:val="21"/>
          <w:szCs w:val="21"/>
        </w:rPr>
      </w:pPr>
      <w:r>
        <w:rPr>
          <w:color w:val="auto"/>
          <w:sz w:val="21"/>
          <w:szCs w:val="21"/>
        </w:rPr>
        <w:t>4</w:t>
      </w:r>
      <w:r>
        <w:rPr>
          <w:rFonts w:hint="eastAsia"/>
          <w:color w:val="auto"/>
          <w:sz w:val="21"/>
          <w:szCs w:val="21"/>
        </w:rPr>
        <w:t>.中标供应商拒绝与采购人签订合同的，采购人重新开展政府采购活动。同时，拒绝与采购人签订合同的供应商，由同级财政部门依法作出处理。</w:t>
      </w:r>
    </w:p>
    <w:p w14:paraId="5A70DF2E">
      <w:pPr>
        <w:pStyle w:val="19"/>
        <w:spacing w:before="0" w:beforeAutospacing="0" w:after="0" w:afterAutospacing="0" w:line="360" w:lineRule="auto"/>
        <w:ind w:firstLine="420" w:firstLineChars="200"/>
        <w:rPr>
          <w:rFonts w:cs="仿宋_GB2312"/>
          <w:color w:val="auto"/>
          <w:sz w:val="21"/>
          <w:szCs w:val="21"/>
        </w:rPr>
      </w:pPr>
      <w:r>
        <w:rPr>
          <w:color w:val="auto"/>
          <w:sz w:val="21"/>
          <w:szCs w:val="21"/>
        </w:rPr>
        <w:t>5</w:t>
      </w:r>
      <w:r>
        <w:rPr>
          <w:rFonts w:hint="eastAsia"/>
          <w:color w:val="auto"/>
          <w:sz w:val="21"/>
          <w:szCs w:val="21"/>
        </w:rPr>
        <w:t>.询问或者质疑事项可能影响中标结果的，采购人应当暂停签订合同，已经签订合同的，应当中止履行合同（中标结果的质疑期为中标结果公告期限届满之日起七个工作日）。</w:t>
      </w:r>
    </w:p>
    <w:p w14:paraId="5D9F16E1">
      <w:pPr>
        <w:pStyle w:val="19"/>
        <w:spacing w:before="0" w:beforeAutospacing="0" w:after="0" w:afterAutospacing="0" w:line="360" w:lineRule="auto"/>
        <w:ind w:firstLine="371" w:firstLineChars="176"/>
        <w:rPr>
          <w:rFonts w:cs="仿宋_GB2312"/>
          <w:b/>
          <w:color w:val="auto"/>
          <w:sz w:val="21"/>
          <w:szCs w:val="21"/>
        </w:rPr>
      </w:pPr>
      <w:r>
        <w:rPr>
          <w:rFonts w:hint="eastAsia"/>
          <w:b/>
          <w:color w:val="auto"/>
          <w:sz w:val="21"/>
          <w:szCs w:val="21"/>
        </w:rPr>
        <w:t>（二）合同公告及备案</w:t>
      </w:r>
    </w:p>
    <w:p w14:paraId="1B99F979">
      <w:pPr>
        <w:pStyle w:val="11"/>
        <w:spacing w:line="360" w:lineRule="auto"/>
        <w:ind w:left="0" w:leftChars="0" w:firstLine="420" w:firstLineChars="200"/>
        <w:jc w:val="left"/>
        <w:rPr>
          <w:rFonts w:ascii="宋体"/>
          <w:color w:val="auto"/>
          <w:szCs w:val="21"/>
        </w:rPr>
      </w:pPr>
      <w:r>
        <w:rPr>
          <w:rFonts w:ascii="宋体" w:hAnsi="宋体"/>
          <w:color w:val="auto"/>
          <w:szCs w:val="21"/>
        </w:rPr>
        <w:t>1</w:t>
      </w:r>
      <w:r>
        <w:rPr>
          <w:rFonts w:hint="eastAsia" w:ascii="宋体" w:hAnsi="宋体"/>
          <w:color w:val="auto"/>
          <w:szCs w:val="21"/>
        </w:rPr>
        <w:t>.采购人应当自政府采购合同签订之日起</w:t>
      </w:r>
      <w:r>
        <w:rPr>
          <w:rFonts w:ascii="宋体" w:hAnsi="宋体"/>
          <w:color w:val="auto"/>
          <w:szCs w:val="21"/>
        </w:rPr>
        <w:t>2</w:t>
      </w:r>
      <w:r>
        <w:rPr>
          <w:rFonts w:hint="eastAsia" w:ascii="宋体" w:hAnsi="宋体"/>
          <w:color w:val="auto"/>
          <w:szCs w:val="21"/>
        </w:rPr>
        <w:t>个工作日内，</w:t>
      </w:r>
      <w:r>
        <w:rPr>
          <w:rFonts w:hint="eastAsia" w:ascii="宋体" w:hAnsi="宋体"/>
          <w:color w:val="auto"/>
          <w:kern w:val="0"/>
          <w:szCs w:val="21"/>
        </w:rPr>
        <w:t>在省级以上财政部门指定的政府采购信息发布媒体及相关网站上公告</w:t>
      </w:r>
      <w:r>
        <w:rPr>
          <w:rFonts w:hint="eastAsia" w:ascii="宋体" w:hAnsi="宋体"/>
          <w:color w:val="auto"/>
          <w:szCs w:val="21"/>
        </w:rPr>
        <w:t>。</w:t>
      </w:r>
    </w:p>
    <w:p w14:paraId="68DFED51">
      <w:pPr>
        <w:pStyle w:val="11"/>
        <w:spacing w:line="360" w:lineRule="auto"/>
        <w:ind w:left="0" w:leftChars="0" w:firstLine="420" w:firstLineChars="200"/>
        <w:rPr>
          <w:rFonts w:hint="eastAsia" w:ascii="宋体" w:hAnsi="宋体"/>
          <w:color w:val="auto"/>
          <w:szCs w:val="21"/>
        </w:rPr>
      </w:pPr>
      <w:r>
        <w:rPr>
          <w:rFonts w:ascii="宋体" w:hAnsi="宋体"/>
          <w:color w:val="auto"/>
          <w:szCs w:val="21"/>
        </w:rPr>
        <w:t>2</w:t>
      </w:r>
      <w:r>
        <w:rPr>
          <w:rFonts w:hint="eastAsia" w:ascii="宋体" w:hAnsi="宋体"/>
          <w:color w:val="auto"/>
          <w:szCs w:val="21"/>
        </w:rPr>
        <w:t>.采购人应当自政府采购合同签订之日起</w:t>
      </w:r>
      <w:r>
        <w:rPr>
          <w:rFonts w:ascii="宋体" w:hAnsi="宋体"/>
          <w:color w:val="auto"/>
          <w:szCs w:val="21"/>
        </w:rPr>
        <w:t>7</w:t>
      </w:r>
      <w:r>
        <w:rPr>
          <w:rFonts w:hint="eastAsia" w:ascii="宋体" w:hAnsi="宋体"/>
          <w:color w:val="auto"/>
          <w:szCs w:val="21"/>
        </w:rPr>
        <w:t>个工作日内，将政府采购合同副本报同级人民政府财政部门备案以及采购组织机构存档。</w:t>
      </w:r>
    </w:p>
    <w:p w14:paraId="33E7ED25">
      <w:pPr>
        <w:pStyle w:val="11"/>
        <w:spacing w:line="360" w:lineRule="auto"/>
        <w:ind w:left="0" w:leftChars="0" w:firstLine="422" w:firstLineChars="200"/>
        <w:rPr>
          <w:rFonts w:hint="eastAsia" w:ascii="宋体" w:hAnsi="宋体"/>
          <w:b/>
          <w:color w:val="auto"/>
          <w:kern w:val="0"/>
          <w:szCs w:val="21"/>
        </w:rPr>
      </w:pPr>
      <w:r>
        <w:rPr>
          <w:rFonts w:hint="eastAsia" w:ascii="宋体" w:hAnsi="宋体"/>
          <w:b/>
          <w:color w:val="auto"/>
          <w:kern w:val="0"/>
          <w:szCs w:val="21"/>
          <w:lang w:eastAsia="zh-CN"/>
        </w:rPr>
        <w:t>八</w:t>
      </w:r>
      <w:r>
        <w:rPr>
          <w:rFonts w:hint="eastAsia" w:ascii="宋体" w:hAnsi="宋体"/>
          <w:b/>
          <w:color w:val="auto"/>
          <w:kern w:val="0"/>
          <w:szCs w:val="21"/>
        </w:rPr>
        <w:t>、招标代理费</w:t>
      </w:r>
    </w:p>
    <w:p w14:paraId="7999E67E">
      <w:pPr>
        <w:spacing w:line="360" w:lineRule="auto"/>
        <w:ind w:firstLine="411" w:firstLineChars="196"/>
        <w:rPr>
          <w:rFonts w:ascii="宋体" w:hAnsi="宋体"/>
          <w:bCs/>
          <w:color w:val="auto"/>
          <w:szCs w:val="21"/>
        </w:rPr>
      </w:pPr>
      <w:r>
        <w:rPr>
          <w:rFonts w:hint="eastAsia" w:ascii="宋体" w:hAnsi="宋体"/>
          <w:bCs/>
          <w:color w:val="auto"/>
          <w:szCs w:val="21"/>
        </w:rPr>
        <w:t>中标供应商在领取中标通知书前向招标代理机构支付招标代理服务费。招标代理服务费包含在投标总价中。</w:t>
      </w:r>
      <w:r>
        <w:rPr>
          <w:rFonts w:hint="eastAsia" w:hAnsi="宋体"/>
          <w:b/>
          <w:color w:val="auto"/>
          <w:szCs w:val="21"/>
        </w:rPr>
        <w:t>招标代理服务费按（计价格[2002]1980号）规定招标代理服务费计取标准。不足7000元按7000元收取。</w:t>
      </w:r>
      <w:r>
        <w:rPr>
          <w:rFonts w:ascii="宋体" w:hAnsi="宋体"/>
          <w:bCs/>
          <w:color w:val="auto"/>
          <w:szCs w:val="21"/>
        </w:rPr>
        <w:tab/>
      </w:r>
    </w:p>
    <w:p w14:paraId="541487CA">
      <w:pPr>
        <w:pStyle w:val="21"/>
        <w:rPr>
          <w:rFonts w:ascii="宋体" w:hAnsi="宋体"/>
          <w:bCs/>
          <w:color w:val="auto"/>
          <w:szCs w:val="21"/>
        </w:rPr>
      </w:pPr>
    </w:p>
    <w:p w14:paraId="02F5F904">
      <w:pPr>
        <w:pStyle w:val="18"/>
        <w:rPr>
          <w:rFonts w:ascii="宋体" w:hAnsi="宋体"/>
          <w:bCs/>
          <w:color w:val="auto"/>
          <w:szCs w:val="21"/>
        </w:rPr>
      </w:pPr>
    </w:p>
    <w:p w14:paraId="6301C0E6">
      <w:pPr>
        <w:rPr>
          <w:rFonts w:ascii="宋体" w:hAnsi="宋体"/>
          <w:bCs/>
          <w:color w:val="auto"/>
          <w:szCs w:val="21"/>
        </w:rPr>
      </w:pPr>
    </w:p>
    <w:p w14:paraId="133BB07D">
      <w:pPr>
        <w:pStyle w:val="21"/>
        <w:rPr>
          <w:rFonts w:ascii="宋体" w:hAnsi="宋体"/>
          <w:bCs/>
          <w:color w:val="auto"/>
          <w:szCs w:val="21"/>
        </w:rPr>
      </w:pPr>
    </w:p>
    <w:p w14:paraId="3740962C">
      <w:pPr>
        <w:pStyle w:val="18"/>
        <w:rPr>
          <w:rFonts w:ascii="宋体" w:hAnsi="宋体"/>
          <w:bCs/>
          <w:color w:val="auto"/>
          <w:szCs w:val="21"/>
        </w:rPr>
      </w:pPr>
    </w:p>
    <w:p w14:paraId="7958F677">
      <w:pPr>
        <w:rPr>
          <w:rFonts w:ascii="宋体" w:hAnsi="宋体"/>
          <w:bCs/>
          <w:color w:val="auto"/>
          <w:szCs w:val="21"/>
        </w:rPr>
      </w:pPr>
    </w:p>
    <w:p w14:paraId="0878D38F">
      <w:pPr>
        <w:pStyle w:val="21"/>
        <w:rPr>
          <w:rFonts w:ascii="宋体" w:hAnsi="宋体"/>
          <w:bCs/>
          <w:color w:val="auto"/>
          <w:szCs w:val="21"/>
        </w:rPr>
      </w:pPr>
    </w:p>
    <w:p w14:paraId="2C03BAE6">
      <w:pPr>
        <w:pStyle w:val="18"/>
        <w:rPr>
          <w:rFonts w:ascii="宋体" w:hAnsi="宋体"/>
          <w:bCs/>
          <w:color w:val="auto"/>
          <w:szCs w:val="21"/>
        </w:rPr>
      </w:pPr>
    </w:p>
    <w:p w14:paraId="33F52040">
      <w:pPr>
        <w:rPr>
          <w:rFonts w:ascii="宋体" w:hAnsi="宋体"/>
          <w:bCs/>
          <w:color w:val="auto"/>
          <w:szCs w:val="21"/>
        </w:rPr>
      </w:pPr>
    </w:p>
    <w:p w14:paraId="2C8C42D6">
      <w:pPr>
        <w:pStyle w:val="21"/>
        <w:rPr>
          <w:rFonts w:ascii="宋体" w:hAnsi="宋体"/>
          <w:bCs/>
          <w:color w:val="auto"/>
          <w:szCs w:val="21"/>
        </w:rPr>
      </w:pPr>
    </w:p>
    <w:p w14:paraId="5079FA0E">
      <w:pPr>
        <w:pStyle w:val="18"/>
        <w:rPr>
          <w:rFonts w:ascii="宋体" w:hAnsi="宋体"/>
          <w:bCs/>
          <w:color w:val="auto"/>
          <w:szCs w:val="21"/>
        </w:rPr>
      </w:pPr>
    </w:p>
    <w:p w14:paraId="7E91D925">
      <w:pPr>
        <w:rPr>
          <w:rFonts w:ascii="宋体" w:hAnsi="宋体"/>
          <w:bCs/>
          <w:color w:val="auto"/>
          <w:szCs w:val="21"/>
        </w:rPr>
      </w:pPr>
    </w:p>
    <w:p w14:paraId="430AAA5D">
      <w:pPr>
        <w:pStyle w:val="21"/>
        <w:rPr>
          <w:rFonts w:ascii="宋体" w:hAnsi="宋体"/>
          <w:bCs/>
          <w:color w:val="auto"/>
          <w:szCs w:val="21"/>
        </w:rPr>
      </w:pPr>
    </w:p>
    <w:p w14:paraId="1B2F54AC">
      <w:pPr>
        <w:pStyle w:val="18"/>
        <w:rPr>
          <w:rFonts w:ascii="宋体" w:hAnsi="宋体"/>
          <w:bCs/>
          <w:color w:val="auto"/>
          <w:szCs w:val="21"/>
        </w:rPr>
      </w:pPr>
    </w:p>
    <w:p w14:paraId="072A5CAA">
      <w:pPr>
        <w:rPr>
          <w:rFonts w:ascii="宋体" w:hAnsi="宋体"/>
          <w:bCs/>
          <w:color w:val="auto"/>
          <w:szCs w:val="21"/>
        </w:rPr>
      </w:pPr>
    </w:p>
    <w:p w14:paraId="36A492B0">
      <w:pPr>
        <w:pStyle w:val="21"/>
        <w:rPr>
          <w:rFonts w:ascii="宋体" w:hAnsi="宋体"/>
          <w:bCs/>
          <w:color w:val="auto"/>
          <w:szCs w:val="21"/>
        </w:rPr>
      </w:pPr>
    </w:p>
    <w:p w14:paraId="20C8EAAE">
      <w:pPr>
        <w:pStyle w:val="18"/>
        <w:rPr>
          <w:rFonts w:ascii="宋体" w:hAnsi="宋体"/>
          <w:bCs/>
          <w:color w:val="auto"/>
          <w:szCs w:val="21"/>
        </w:rPr>
      </w:pPr>
    </w:p>
    <w:p w14:paraId="45C539AA">
      <w:pPr>
        <w:rPr>
          <w:rFonts w:ascii="宋体" w:hAnsi="宋体"/>
          <w:bCs/>
          <w:color w:val="auto"/>
          <w:szCs w:val="21"/>
        </w:rPr>
      </w:pPr>
    </w:p>
    <w:p w14:paraId="66F10E59">
      <w:pPr>
        <w:pStyle w:val="21"/>
        <w:rPr>
          <w:rFonts w:ascii="宋体" w:hAnsi="宋体"/>
          <w:bCs/>
          <w:color w:val="auto"/>
          <w:szCs w:val="21"/>
        </w:rPr>
      </w:pPr>
    </w:p>
    <w:p w14:paraId="52ECDC94">
      <w:pPr>
        <w:pStyle w:val="18"/>
        <w:rPr>
          <w:rFonts w:ascii="宋体" w:hAnsi="宋体"/>
          <w:bCs/>
          <w:color w:val="auto"/>
          <w:szCs w:val="21"/>
        </w:rPr>
      </w:pPr>
    </w:p>
    <w:p w14:paraId="61090065">
      <w:pPr>
        <w:rPr>
          <w:rFonts w:ascii="宋体" w:hAnsi="宋体"/>
          <w:bCs/>
          <w:color w:val="auto"/>
          <w:szCs w:val="21"/>
        </w:rPr>
      </w:pPr>
    </w:p>
    <w:p w14:paraId="1E9981F4">
      <w:pPr>
        <w:pStyle w:val="21"/>
        <w:rPr>
          <w:rFonts w:ascii="宋体" w:hAnsi="宋体"/>
          <w:bCs/>
          <w:color w:val="auto"/>
          <w:szCs w:val="21"/>
        </w:rPr>
      </w:pPr>
    </w:p>
    <w:p w14:paraId="4B4FAE54">
      <w:pPr>
        <w:pStyle w:val="18"/>
        <w:rPr>
          <w:rFonts w:ascii="宋体" w:hAnsi="宋体"/>
          <w:bCs/>
          <w:color w:val="auto"/>
          <w:szCs w:val="21"/>
        </w:rPr>
      </w:pPr>
    </w:p>
    <w:p w14:paraId="53784C13">
      <w:pPr>
        <w:rPr>
          <w:rFonts w:ascii="宋体" w:hAnsi="宋体"/>
          <w:bCs/>
          <w:color w:val="auto"/>
          <w:szCs w:val="21"/>
        </w:rPr>
      </w:pPr>
    </w:p>
    <w:p w14:paraId="277B70D4">
      <w:pPr>
        <w:pStyle w:val="21"/>
        <w:rPr>
          <w:rFonts w:ascii="宋体" w:hAnsi="宋体"/>
          <w:bCs/>
          <w:color w:val="auto"/>
          <w:szCs w:val="21"/>
        </w:rPr>
      </w:pPr>
    </w:p>
    <w:p w14:paraId="305E25A1">
      <w:pPr>
        <w:pStyle w:val="18"/>
        <w:rPr>
          <w:rFonts w:ascii="宋体" w:hAnsi="宋体"/>
          <w:bCs/>
          <w:color w:val="auto"/>
          <w:szCs w:val="21"/>
        </w:rPr>
      </w:pPr>
    </w:p>
    <w:p w14:paraId="68114A46">
      <w:pPr>
        <w:rPr>
          <w:rFonts w:ascii="宋体" w:hAnsi="宋体"/>
          <w:bCs/>
          <w:color w:val="auto"/>
          <w:szCs w:val="21"/>
        </w:rPr>
      </w:pPr>
    </w:p>
    <w:p w14:paraId="35BB5D30">
      <w:pPr>
        <w:pStyle w:val="21"/>
        <w:rPr>
          <w:rFonts w:ascii="宋体" w:hAnsi="宋体"/>
          <w:bCs/>
          <w:color w:val="auto"/>
          <w:szCs w:val="21"/>
        </w:rPr>
      </w:pPr>
    </w:p>
    <w:p w14:paraId="7BB5D67F">
      <w:pPr>
        <w:pStyle w:val="18"/>
        <w:rPr>
          <w:rFonts w:ascii="宋体" w:hAnsi="宋体"/>
          <w:bCs/>
          <w:color w:val="auto"/>
          <w:szCs w:val="21"/>
        </w:rPr>
      </w:pPr>
    </w:p>
    <w:p w14:paraId="3443566A">
      <w:pPr>
        <w:rPr>
          <w:rFonts w:ascii="宋体" w:hAnsi="宋体"/>
          <w:bCs/>
          <w:color w:val="auto"/>
          <w:szCs w:val="21"/>
        </w:rPr>
      </w:pPr>
    </w:p>
    <w:p w14:paraId="3C11912E">
      <w:pPr>
        <w:pStyle w:val="21"/>
        <w:rPr>
          <w:rFonts w:ascii="宋体" w:hAnsi="宋体"/>
          <w:bCs/>
          <w:color w:val="auto"/>
          <w:szCs w:val="21"/>
        </w:rPr>
      </w:pPr>
    </w:p>
    <w:p w14:paraId="0AD9BFC4">
      <w:pPr>
        <w:pStyle w:val="18"/>
        <w:rPr>
          <w:rFonts w:ascii="宋体" w:hAnsi="宋体"/>
          <w:bCs/>
          <w:color w:val="auto"/>
          <w:szCs w:val="21"/>
        </w:rPr>
      </w:pPr>
    </w:p>
    <w:p w14:paraId="57F21319">
      <w:pPr>
        <w:rPr>
          <w:rFonts w:ascii="宋体" w:hAnsi="宋体"/>
          <w:bCs/>
          <w:color w:val="auto"/>
          <w:szCs w:val="21"/>
        </w:rPr>
      </w:pPr>
    </w:p>
    <w:p w14:paraId="2B009CD2">
      <w:pPr>
        <w:pStyle w:val="21"/>
        <w:rPr>
          <w:color w:val="auto"/>
        </w:rPr>
      </w:pPr>
    </w:p>
    <w:p w14:paraId="4041F1CF">
      <w:pPr>
        <w:numPr>
          <w:ilvl w:val="0"/>
          <w:numId w:val="0"/>
        </w:numPr>
        <w:spacing w:line="360" w:lineRule="auto"/>
        <w:jc w:val="center"/>
        <w:rPr>
          <w:rFonts w:ascii="宋体"/>
          <w:b/>
          <w:color w:val="auto"/>
          <w:sz w:val="30"/>
          <w:szCs w:val="30"/>
        </w:rPr>
      </w:pPr>
      <w:r>
        <w:rPr>
          <w:rFonts w:hint="eastAsia" w:ascii="宋体" w:cs="Times New Roman"/>
          <w:b/>
          <w:color w:val="auto"/>
          <w:kern w:val="2"/>
          <w:sz w:val="30"/>
          <w:szCs w:val="30"/>
          <w:lang w:val="en-US" w:eastAsia="zh-CN" w:bidi="ar-SA"/>
        </w:rPr>
        <w:t>第三章</w:t>
      </w:r>
      <w:r>
        <w:rPr>
          <w:rFonts w:hint="eastAsia" w:ascii="宋体" w:hAnsi="宋体"/>
          <w:b/>
          <w:color w:val="auto"/>
          <w:sz w:val="30"/>
          <w:szCs w:val="30"/>
        </w:rPr>
        <w:t>评标办法及评分标准</w:t>
      </w:r>
    </w:p>
    <w:p w14:paraId="38C6A09B">
      <w:pPr>
        <w:autoSpaceDE w:val="0"/>
        <w:autoSpaceDN w:val="0"/>
        <w:spacing w:line="360" w:lineRule="auto"/>
        <w:ind w:firstLine="420" w:firstLineChars="200"/>
        <w:rPr>
          <w:rFonts w:ascii="宋体"/>
          <w:b/>
          <w:i/>
          <w:color w:val="auto"/>
          <w:kern w:val="0"/>
          <w:szCs w:val="21"/>
        </w:rPr>
      </w:pPr>
      <w:r>
        <w:rPr>
          <w:rFonts w:hint="eastAsia" w:ascii="宋体" w:hAnsi="宋体"/>
          <w:color w:val="auto"/>
          <w:kern w:val="0"/>
          <w:szCs w:val="21"/>
        </w:rPr>
        <w:t>一、采购组织机构将组织评标委员会，对投标人提供的投标文件进行综合评审。</w:t>
      </w:r>
    </w:p>
    <w:p w14:paraId="4D746A5C">
      <w:pPr>
        <w:autoSpaceDE w:val="0"/>
        <w:autoSpaceDN w:val="0"/>
        <w:spacing w:line="360" w:lineRule="auto"/>
        <w:ind w:firstLine="420" w:firstLineChars="200"/>
        <w:rPr>
          <w:rFonts w:ascii="宋体"/>
          <w:color w:val="auto"/>
          <w:kern w:val="0"/>
          <w:szCs w:val="21"/>
        </w:rPr>
      </w:pPr>
      <w:r>
        <w:rPr>
          <w:rFonts w:hint="eastAsia" w:ascii="宋体" w:hAnsi="宋体"/>
          <w:color w:val="auto"/>
          <w:kern w:val="0"/>
          <w:szCs w:val="21"/>
        </w:rPr>
        <w:t>二、本次招标项目的评标方法为综合评分法，总计</w:t>
      </w:r>
      <w:r>
        <w:rPr>
          <w:rFonts w:ascii="宋体" w:hAnsi="宋体"/>
          <w:color w:val="auto"/>
          <w:kern w:val="0"/>
          <w:szCs w:val="21"/>
        </w:rPr>
        <w:t>100</w:t>
      </w:r>
      <w:r>
        <w:rPr>
          <w:rFonts w:hint="eastAsia" w:ascii="宋体" w:hAnsi="宋体"/>
          <w:color w:val="auto"/>
          <w:kern w:val="0"/>
          <w:szCs w:val="21"/>
        </w:rPr>
        <w:t>分。评标标准按以下内容及分值进行评审。</w:t>
      </w:r>
    </w:p>
    <w:p w14:paraId="3D2B4565">
      <w:pPr>
        <w:autoSpaceDE w:val="0"/>
        <w:autoSpaceDN w:val="0"/>
        <w:adjustRightInd w:val="0"/>
        <w:spacing w:line="360" w:lineRule="auto"/>
        <w:ind w:right="84" w:firstLine="472"/>
        <w:rPr>
          <w:rFonts w:ascii="宋体"/>
          <w:bCs/>
          <w:color w:val="auto"/>
          <w:szCs w:val="21"/>
          <w:lang w:val="zh-CN"/>
        </w:rPr>
      </w:pPr>
      <w:r>
        <w:rPr>
          <w:rFonts w:hint="eastAsia" w:ascii="宋体"/>
          <w:bCs/>
          <w:color w:val="auto"/>
          <w:szCs w:val="21"/>
          <w:lang w:val="zh-CN"/>
        </w:rPr>
        <w:t>（一）商务与技术文件中的客观分由评标委员会讨论后统一打分；其余在规定的分值内单独评定打分。</w:t>
      </w:r>
    </w:p>
    <w:p w14:paraId="79D21E86">
      <w:pPr>
        <w:autoSpaceDE w:val="0"/>
        <w:autoSpaceDN w:val="0"/>
        <w:adjustRightInd w:val="0"/>
        <w:spacing w:line="360" w:lineRule="auto"/>
        <w:ind w:right="84" w:firstLine="472"/>
        <w:rPr>
          <w:rFonts w:ascii="宋体"/>
          <w:bCs/>
          <w:color w:val="auto"/>
          <w:szCs w:val="21"/>
          <w:shd w:val="clear" w:color="FFFFFF" w:fill="D9D9D9"/>
          <w:lang w:val="zh-CN"/>
        </w:rPr>
      </w:pPr>
      <w:r>
        <w:rPr>
          <w:rFonts w:hint="eastAsia" w:ascii="宋体"/>
          <w:bCs/>
          <w:color w:val="auto"/>
          <w:szCs w:val="21"/>
          <w:lang w:val="zh-CN"/>
        </w:rPr>
        <w:t>（二）各投标人商务与技术文件</w:t>
      </w:r>
      <w:r>
        <w:rPr>
          <w:rFonts w:hint="eastAsia" w:ascii="宋体"/>
          <w:color w:val="auto"/>
          <w:kern w:val="0"/>
          <w:szCs w:val="21"/>
          <w:lang w:val="zh-CN"/>
        </w:rPr>
        <w:t>得分按照评标委员会成</w:t>
      </w:r>
      <w:r>
        <w:rPr>
          <w:rFonts w:hint="eastAsia" w:ascii="宋体"/>
          <w:bCs/>
          <w:color w:val="auto"/>
          <w:szCs w:val="21"/>
          <w:lang w:val="zh-CN"/>
        </w:rPr>
        <w:t>员的独立评分结果汇总后的算术平均分计算，计算公式为：</w:t>
      </w:r>
    </w:p>
    <w:p w14:paraId="56CE4195">
      <w:pPr>
        <w:autoSpaceDE w:val="0"/>
        <w:autoSpaceDN w:val="0"/>
        <w:adjustRightInd w:val="0"/>
        <w:spacing w:line="360" w:lineRule="auto"/>
        <w:ind w:right="84" w:firstLine="472"/>
        <w:rPr>
          <w:rFonts w:ascii="宋体"/>
          <w:bCs/>
          <w:color w:val="auto"/>
          <w:szCs w:val="21"/>
          <w:shd w:val="clear" w:color="FFFFFF" w:fill="D9D9D9"/>
          <w:lang w:val="zh-CN"/>
        </w:rPr>
      </w:pPr>
      <w:r>
        <w:rPr>
          <w:rFonts w:hint="eastAsia" w:ascii="宋体" w:hAnsi="宋体"/>
          <w:color w:val="auto"/>
          <w:szCs w:val="21"/>
        </w:rPr>
        <w:t>商务与技术文件得分</w:t>
      </w:r>
      <w:r>
        <w:rPr>
          <w:rFonts w:ascii="宋体"/>
          <w:bCs/>
          <w:color w:val="auto"/>
          <w:szCs w:val="21"/>
          <w:lang w:val="zh-CN"/>
        </w:rPr>
        <w:t>=</w:t>
      </w:r>
      <w:r>
        <w:rPr>
          <w:rFonts w:hint="eastAsia" w:ascii="宋体"/>
          <w:bCs/>
          <w:color w:val="auto"/>
          <w:szCs w:val="21"/>
          <w:lang w:val="zh-CN"/>
        </w:rPr>
        <w:t>评标委员会所有成员评分合计数</w:t>
      </w:r>
      <w:r>
        <w:rPr>
          <w:rFonts w:ascii="宋体"/>
          <w:bCs/>
          <w:color w:val="auto"/>
          <w:szCs w:val="21"/>
          <w:lang w:val="zh-CN"/>
        </w:rPr>
        <w:t>/</w:t>
      </w:r>
      <w:r>
        <w:rPr>
          <w:rFonts w:hint="eastAsia" w:ascii="宋体"/>
          <w:bCs/>
          <w:color w:val="auto"/>
          <w:szCs w:val="21"/>
          <w:lang w:val="zh-CN"/>
        </w:rPr>
        <w:t>评标委员会组成人员数。</w:t>
      </w:r>
    </w:p>
    <w:p w14:paraId="6B892995">
      <w:pPr>
        <w:autoSpaceDE w:val="0"/>
        <w:autoSpaceDN w:val="0"/>
        <w:adjustRightInd w:val="0"/>
        <w:spacing w:line="360" w:lineRule="auto"/>
        <w:ind w:right="85" w:firstLine="420" w:firstLineChars="200"/>
        <w:rPr>
          <w:rFonts w:ascii="宋体"/>
          <w:color w:val="auto"/>
          <w:szCs w:val="21"/>
          <w:lang w:val="zh-CN"/>
        </w:rPr>
      </w:pPr>
      <w:r>
        <w:rPr>
          <w:rFonts w:hint="eastAsia" w:ascii="宋体"/>
          <w:bCs/>
          <w:color w:val="auto"/>
          <w:szCs w:val="21"/>
          <w:lang w:val="zh-CN"/>
        </w:rPr>
        <w:t>（三）</w:t>
      </w:r>
      <w:r>
        <w:rPr>
          <w:rFonts w:hint="eastAsia" w:ascii="宋体"/>
          <w:color w:val="auto"/>
          <w:szCs w:val="21"/>
          <w:lang w:val="zh-CN"/>
        </w:rPr>
        <w:t>投标报价得分采用低价优先法计算，即满足招标文件要求且投标价格最低的投标报价为评标基准价，其报价得满分。其他投标人的投标报价得分按下列公式计算：</w:t>
      </w:r>
    </w:p>
    <w:p w14:paraId="2E39D645">
      <w:pPr>
        <w:autoSpaceDE w:val="0"/>
        <w:autoSpaceDN w:val="0"/>
        <w:adjustRightInd w:val="0"/>
        <w:spacing w:line="360" w:lineRule="auto"/>
        <w:ind w:right="85" w:firstLine="420" w:firstLineChars="200"/>
        <w:rPr>
          <w:rFonts w:ascii="宋体"/>
          <w:color w:val="auto"/>
          <w:szCs w:val="21"/>
          <w:u w:val="single"/>
        </w:rPr>
      </w:pPr>
      <w:r>
        <w:rPr>
          <w:rFonts w:hint="eastAsia"/>
          <w:color w:val="auto"/>
          <w:szCs w:val="21"/>
          <w:u w:val="single"/>
        </w:rPr>
        <w:t>投标报价得分</w:t>
      </w:r>
      <w:r>
        <w:rPr>
          <w:color w:val="auto"/>
          <w:szCs w:val="21"/>
          <w:u w:val="single"/>
        </w:rPr>
        <w:t>=(</w:t>
      </w:r>
      <w:r>
        <w:rPr>
          <w:rFonts w:hint="eastAsia"/>
          <w:color w:val="auto"/>
          <w:szCs w:val="21"/>
          <w:u w:val="single"/>
        </w:rPr>
        <w:t>评标基准价／投</w:t>
      </w:r>
      <w:r>
        <w:rPr>
          <w:rFonts w:hint="eastAsia" w:ascii="宋体" w:hAnsi="宋体"/>
          <w:color w:val="auto"/>
          <w:szCs w:val="21"/>
          <w:u w:val="single"/>
        </w:rPr>
        <w:t>标报价</w:t>
      </w:r>
      <w:r>
        <w:rPr>
          <w:rFonts w:ascii="宋体" w:hAnsi="宋体"/>
          <w:color w:val="auto"/>
          <w:szCs w:val="21"/>
          <w:u w:val="single"/>
        </w:rPr>
        <w:t>)</w:t>
      </w:r>
      <w:r>
        <w:rPr>
          <w:rFonts w:hint="eastAsia" w:ascii="宋体" w:hAnsi="宋体"/>
          <w:color w:val="auto"/>
          <w:szCs w:val="21"/>
          <w:u w:val="single"/>
        </w:rPr>
        <w:t>×3</w:t>
      </w:r>
      <w:r>
        <w:rPr>
          <w:rFonts w:hint="eastAsia" w:ascii="宋体" w:hAnsi="宋体"/>
          <w:color w:val="auto"/>
          <w:szCs w:val="21"/>
          <w:u w:val="single"/>
          <w:lang w:val="en-US" w:eastAsia="zh-CN"/>
        </w:rPr>
        <w:t>0</w:t>
      </w:r>
      <w:r>
        <w:rPr>
          <w:rFonts w:ascii="宋体" w:hAnsi="宋体"/>
          <w:color w:val="auto"/>
          <w:szCs w:val="21"/>
          <w:u w:val="single"/>
        </w:rPr>
        <w:t>%</w:t>
      </w:r>
      <w:r>
        <w:rPr>
          <w:rFonts w:hint="eastAsia" w:ascii="宋体"/>
          <w:color w:val="auto"/>
          <w:szCs w:val="21"/>
          <w:u w:val="single"/>
        </w:rPr>
        <w:t>×</w:t>
      </w:r>
      <w:r>
        <w:rPr>
          <w:rFonts w:ascii="宋体" w:hAnsi="宋体"/>
          <w:color w:val="auto"/>
          <w:szCs w:val="21"/>
          <w:u w:val="single"/>
        </w:rPr>
        <w:t>100</w:t>
      </w:r>
      <w:r>
        <w:rPr>
          <w:rFonts w:ascii="宋体" w:hAnsi="宋体"/>
          <w:color w:val="auto"/>
          <w:szCs w:val="21"/>
        </w:rPr>
        <w:t xml:space="preserve"> </w:t>
      </w:r>
      <w:r>
        <w:rPr>
          <w:rFonts w:hint="eastAsia" w:ascii="宋体" w:hAnsi="宋体"/>
          <w:color w:val="auto"/>
          <w:szCs w:val="21"/>
        </w:rPr>
        <w:t>。</w:t>
      </w:r>
    </w:p>
    <w:p w14:paraId="68AFA3A0">
      <w:pPr>
        <w:autoSpaceDE w:val="0"/>
        <w:autoSpaceDN w:val="0"/>
        <w:adjustRightInd w:val="0"/>
        <w:spacing w:line="360" w:lineRule="auto"/>
        <w:ind w:right="85" w:firstLine="420" w:firstLineChars="200"/>
        <w:rPr>
          <w:rFonts w:ascii="宋体"/>
          <w:color w:val="auto"/>
          <w:szCs w:val="21"/>
          <w:lang w:val="zh-CN"/>
        </w:rPr>
      </w:pPr>
      <w:r>
        <w:rPr>
          <w:rFonts w:hint="eastAsia" w:ascii="宋体"/>
          <w:color w:val="auto"/>
          <w:szCs w:val="21"/>
          <w:lang w:val="zh-CN"/>
        </w:rPr>
        <w:t>三、在最大限度地满足招标文件实质性要求前提下，评标委员会按照招标文件中规定的各项因素进行综合评审后，以评标总得分最高的投标人为中标候选人。</w:t>
      </w:r>
    </w:p>
    <w:p w14:paraId="739F315F">
      <w:pPr>
        <w:autoSpaceDE w:val="0"/>
        <w:autoSpaceDN w:val="0"/>
        <w:adjustRightInd w:val="0"/>
        <w:spacing w:line="360" w:lineRule="auto"/>
        <w:ind w:right="85" w:firstLine="420" w:firstLineChars="200"/>
        <w:rPr>
          <w:rFonts w:ascii="宋体"/>
          <w:color w:val="auto"/>
          <w:szCs w:val="21"/>
          <w:lang w:val="zh-CN"/>
        </w:rPr>
      </w:pPr>
      <w:r>
        <w:rPr>
          <w:rFonts w:hint="eastAsia" w:ascii="宋体"/>
          <w:color w:val="auto"/>
          <w:szCs w:val="21"/>
          <w:lang w:val="zh-CN"/>
        </w:rPr>
        <w:t>四、如综合得分相同，投标报价低者为先；如综合得分且投标报价相同的，货物类采购项目以技术性能得分较高者为先，服务类采购项目以实力信誉及业绩得分较高者为先。</w:t>
      </w:r>
    </w:p>
    <w:p w14:paraId="36202870">
      <w:pPr>
        <w:autoSpaceDE w:val="0"/>
        <w:autoSpaceDN w:val="0"/>
        <w:adjustRightInd w:val="0"/>
        <w:spacing w:line="360" w:lineRule="auto"/>
        <w:ind w:firstLine="315" w:firstLineChars="150"/>
        <w:jc w:val="left"/>
        <w:rPr>
          <w:rFonts w:hint="eastAsia" w:ascii="宋体" w:hAnsi="宋体"/>
          <w:color w:val="auto"/>
          <w:kern w:val="0"/>
          <w:szCs w:val="21"/>
        </w:rPr>
      </w:pPr>
      <w:r>
        <w:rPr>
          <w:rFonts w:hint="eastAsia" w:ascii="宋体" w:hAnsi="宋体"/>
          <w:color w:val="auto"/>
          <w:kern w:val="0"/>
          <w:szCs w:val="21"/>
        </w:rPr>
        <w:t>五、本次评分具体分值细化条款如下表：</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598"/>
        <w:gridCol w:w="713"/>
      </w:tblGrid>
      <w:tr w14:paraId="6906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543" w:type="dxa"/>
            <w:shd w:val="clear" w:color="auto" w:fill="DDDDDD"/>
            <w:noWrap w:val="0"/>
            <w:vAlign w:val="center"/>
          </w:tcPr>
          <w:p w14:paraId="0B08010D">
            <w:pPr>
              <w:adjustRightInd w:val="0"/>
              <w:snapToGrid w:val="0"/>
              <w:jc w:val="center"/>
              <w:rPr>
                <w:rFonts w:ascii="宋体"/>
                <w:b/>
                <w:color w:val="auto"/>
                <w:szCs w:val="21"/>
              </w:rPr>
            </w:pPr>
            <w:bookmarkStart w:id="0" w:name="_Toc157410883"/>
            <w:bookmarkStart w:id="1" w:name="_Toc457330787"/>
            <w:r>
              <w:rPr>
                <w:rFonts w:hint="eastAsia" w:ascii="宋体" w:hAnsi="宋体"/>
                <w:b/>
                <w:color w:val="auto"/>
                <w:szCs w:val="21"/>
              </w:rPr>
              <w:t>评分项目</w:t>
            </w:r>
          </w:p>
        </w:tc>
        <w:tc>
          <w:tcPr>
            <w:tcW w:w="7598" w:type="dxa"/>
            <w:shd w:val="clear" w:color="auto" w:fill="DDDDDD"/>
            <w:noWrap w:val="0"/>
            <w:vAlign w:val="center"/>
          </w:tcPr>
          <w:p w14:paraId="4661079D">
            <w:pPr>
              <w:adjustRightInd w:val="0"/>
              <w:snapToGrid w:val="0"/>
              <w:jc w:val="center"/>
              <w:rPr>
                <w:rFonts w:ascii="宋体"/>
                <w:b/>
                <w:color w:val="auto"/>
                <w:szCs w:val="21"/>
              </w:rPr>
            </w:pPr>
            <w:r>
              <w:rPr>
                <w:rFonts w:hint="eastAsia" w:ascii="宋体" w:hAnsi="宋体"/>
                <w:b/>
                <w:color w:val="auto"/>
                <w:szCs w:val="21"/>
              </w:rPr>
              <w:t>评分细则</w:t>
            </w:r>
          </w:p>
        </w:tc>
        <w:tc>
          <w:tcPr>
            <w:tcW w:w="713" w:type="dxa"/>
            <w:shd w:val="clear" w:color="auto" w:fill="DDDDDD"/>
            <w:noWrap w:val="0"/>
            <w:vAlign w:val="center"/>
          </w:tcPr>
          <w:p w14:paraId="28836243">
            <w:pPr>
              <w:adjustRightInd w:val="0"/>
              <w:snapToGrid w:val="0"/>
              <w:ind w:right="-105" w:rightChars="-50"/>
              <w:jc w:val="center"/>
              <w:rPr>
                <w:rFonts w:ascii="宋体"/>
                <w:b/>
                <w:color w:val="auto"/>
                <w:szCs w:val="21"/>
              </w:rPr>
            </w:pPr>
            <w:r>
              <w:rPr>
                <w:rFonts w:hint="eastAsia" w:ascii="宋体" w:hAnsi="宋体"/>
                <w:b/>
                <w:color w:val="auto"/>
                <w:szCs w:val="21"/>
              </w:rPr>
              <w:t>分值</w:t>
            </w:r>
          </w:p>
        </w:tc>
      </w:tr>
      <w:tr w14:paraId="047B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543" w:type="dxa"/>
            <w:noWrap w:val="0"/>
            <w:vAlign w:val="center"/>
          </w:tcPr>
          <w:p w14:paraId="0668F0E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rPr>
            </w:pPr>
            <w:r>
              <w:rPr>
                <w:rFonts w:hint="eastAsia"/>
                <w:color w:val="auto"/>
                <w:szCs w:val="21"/>
              </w:rPr>
              <w:t>综合性能</w:t>
            </w:r>
          </w:p>
        </w:tc>
        <w:tc>
          <w:tcPr>
            <w:tcW w:w="7598" w:type="dxa"/>
            <w:noWrap w:val="0"/>
            <w:vAlign w:val="center"/>
          </w:tcPr>
          <w:p w14:paraId="5AA806E3">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olor w:val="auto"/>
                <w:kern w:val="0"/>
                <w:szCs w:val="21"/>
                <w:lang w:val="en-US" w:eastAsia="zh-CN"/>
              </w:rPr>
            </w:pPr>
            <w:r>
              <w:rPr>
                <w:rFonts w:hint="eastAsia" w:hAnsi="宋体" w:cs="Arial"/>
                <w:color w:val="auto"/>
              </w:rPr>
              <w:t>全部响应或优于招标文件技术参数要求的得</w:t>
            </w:r>
            <w:r>
              <w:rPr>
                <w:rFonts w:hint="eastAsia" w:hAnsi="宋体" w:cs="Arial"/>
                <w:color w:val="auto"/>
                <w:lang w:val="en-US" w:eastAsia="zh-CN"/>
              </w:rPr>
              <w:t>11</w:t>
            </w:r>
            <w:r>
              <w:rPr>
                <w:rFonts w:hint="eastAsia" w:hAnsi="宋体" w:cs="Arial"/>
                <w:color w:val="auto"/>
              </w:rPr>
              <w:t>分。不响应招标文件的，每项扣</w:t>
            </w:r>
            <w:r>
              <w:rPr>
                <w:rFonts w:hint="eastAsia" w:hAnsi="宋体" w:cs="Arial"/>
                <w:color w:val="auto"/>
                <w:lang w:val="en-US" w:eastAsia="zh-CN"/>
              </w:rPr>
              <w:t>0.5</w:t>
            </w:r>
            <w:r>
              <w:rPr>
                <w:rFonts w:hint="eastAsia" w:hAnsi="宋体" w:cs="Arial"/>
                <w:color w:val="auto"/>
              </w:rPr>
              <w:t>分，扣完为止。</w:t>
            </w:r>
          </w:p>
        </w:tc>
        <w:tc>
          <w:tcPr>
            <w:tcW w:w="713" w:type="dxa"/>
            <w:noWrap w:val="0"/>
            <w:vAlign w:val="center"/>
          </w:tcPr>
          <w:p w14:paraId="5164B6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eastAsia="宋体"/>
                <w:color w:val="auto"/>
                <w:szCs w:val="21"/>
                <w:lang w:val="en-US" w:eastAsia="zh-CN"/>
              </w:rPr>
            </w:pPr>
            <w:r>
              <w:rPr>
                <w:rFonts w:hint="eastAsia" w:ascii="宋体"/>
                <w:color w:val="auto"/>
                <w:szCs w:val="21"/>
                <w:lang w:val="en-US" w:eastAsia="zh-CN"/>
              </w:rPr>
              <w:t>11</w:t>
            </w:r>
          </w:p>
        </w:tc>
      </w:tr>
      <w:tr w14:paraId="0202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43" w:type="dxa"/>
            <w:vMerge w:val="restart"/>
            <w:noWrap w:val="0"/>
            <w:vAlign w:val="center"/>
          </w:tcPr>
          <w:p w14:paraId="5918C959">
            <w:pPr>
              <w:keepNext w:val="0"/>
              <w:keepLines w:val="0"/>
              <w:pageBreakBefore w:val="0"/>
              <w:kinsoku/>
              <w:wordWrap/>
              <w:overflowPunct/>
              <w:topLinePunct w:val="0"/>
              <w:autoSpaceDE/>
              <w:autoSpaceDN/>
              <w:bidi w:val="0"/>
              <w:adjustRightInd w:val="0"/>
              <w:snapToGrid/>
              <w:spacing w:line="240" w:lineRule="auto"/>
              <w:textAlignment w:val="auto"/>
              <w:rPr>
                <w:rFonts w:hint="eastAsia"/>
                <w:color w:val="auto"/>
                <w:szCs w:val="21"/>
              </w:rPr>
            </w:pPr>
            <w:r>
              <w:rPr>
                <w:rFonts w:hint="eastAsia" w:ascii="宋体" w:hAnsi="宋体" w:eastAsia="宋体" w:cs="宋体"/>
                <w:b w:val="0"/>
                <w:bCs w:val="0"/>
                <w:color w:val="auto"/>
                <w:sz w:val="21"/>
                <w:szCs w:val="21"/>
                <w:lang w:val="en-US" w:eastAsia="zh-CN"/>
              </w:rPr>
              <w:t>产品检测报告</w:t>
            </w:r>
          </w:p>
        </w:tc>
        <w:tc>
          <w:tcPr>
            <w:tcW w:w="7598" w:type="dxa"/>
            <w:noWrap w:val="0"/>
            <w:vAlign w:val="center"/>
          </w:tcPr>
          <w:p w14:paraId="6031B4FB">
            <w:pPr>
              <w:keepNext w:val="0"/>
              <w:keepLines w:val="0"/>
              <w:pageBreakBefore w:val="0"/>
              <w:kinsoku/>
              <w:wordWrap/>
              <w:overflowPunct/>
              <w:topLinePunct w:val="0"/>
              <w:autoSpaceDE/>
              <w:autoSpaceDN/>
              <w:bidi w:val="0"/>
              <w:snapToGrid/>
              <w:spacing w:line="240" w:lineRule="auto"/>
              <w:jc w:val="left"/>
              <w:textAlignment w:val="auto"/>
              <w:rPr>
                <w:rFonts w:hint="eastAsia" w:ascii="宋体" w:hAnsi="宋体" w:eastAsia="宋体" w:cs="宋体"/>
                <w:color w:val="auto"/>
                <w:sz w:val="21"/>
                <w:szCs w:val="21"/>
              </w:rPr>
            </w:pPr>
            <w:r>
              <w:rPr>
                <w:rFonts w:hint="eastAsia" w:hAnsi="宋体" w:cs="Arial"/>
                <w:color w:val="auto"/>
                <w:lang w:val="en-US" w:eastAsia="zh-CN"/>
              </w:rPr>
              <w:t>评标委员会</w:t>
            </w:r>
            <w:r>
              <w:rPr>
                <w:rFonts w:hint="eastAsia" w:ascii="宋体" w:hAnsi="宋体" w:eastAsia="宋体" w:cs="宋体"/>
                <w:color w:val="auto"/>
                <w:sz w:val="21"/>
                <w:szCs w:val="21"/>
                <w:lang w:val="en-US" w:eastAsia="zh-CN"/>
              </w:rPr>
              <w:t>根据供应商提供的</w:t>
            </w:r>
            <w:r>
              <w:rPr>
                <w:rFonts w:hint="eastAsia" w:ascii="宋体" w:hAnsi="宋体" w:cs="宋体"/>
                <w:color w:val="auto"/>
                <w:sz w:val="21"/>
                <w:szCs w:val="21"/>
                <w:lang w:val="en-US" w:eastAsia="zh-CN"/>
              </w:rPr>
              <w:t>成品检测报告：</w:t>
            </w:r>
            <w:r>
              <w:rPr>
                <w:rFonts w:hint="eastAsia" w:ascii="宋体" w:hAnsi="宋体" w:cs="宋体"/>
                <w:b/>
                <w:bCs/>
                <w:color w:val="auto"/>
                <w:sz w:val="21"/>
                <w:szCs w:val="21"/>
                <w:lang w:val="en-US" w:eastAsia="zh-CN"/>
              </w:rPr>
              <w:t>儿童床</w:t>
            </w:r>
            <w:r>
              <w:rPr>
                <w:rFonts w:hint="eastAsia" w:ascii="宋体" w:hAnsi="宋体" w:cs="宋体"/>
                <w:color w:val="auto"/>
                <w:sz w:val="21"/>
                <w:szCs w:val="21"/>
                <w:lang w:val="en-US" w:eastAsia="zh-CN"/>
              </w:rPr>
              <w:t>（</w:t>
            </w:r>
            <w:r>
              <w:rPr>
                <w:rFonts w:hint="eastAsia" w:hAnsi="宋体" w:cs="Arial"/>
                <w:color w:val="auto"/>
                <w:lang w:val="en-US" w:eastAsia="zh-CN"/>
              </w:rPr>
              <w:t>六人推拉床</w:t>
            </w:r>
            <w:r>
              <w:rPr>
                <w:rFonts w:hint="eastAsia" w:ascii="宋体" w:hAnsi="宋体" w:cs="宋体"/>
                <w:color w:val="auto"/>
                <w:sz w:val="21"/>
                <w:szCs w:val="21"/>
                <w:lang w:val="en-US" w:eastAsia="zh-CN"/>
              </w:rPr>
              <w:t>）</w:t>
            </w:r>
            <w:r>
              <w:rPr>
                <w:rFonts w:hint="eastAsia" w:hAnsi="宋体" w:cs="Arial"/>
                <w:color w:val="auto"/>
                <w:lang w:val="en-US" w:eastAsia="zh-CN"/>
              </w:rPr>
              <w:t>、</w:t>
            </w:r>
            <w:r>
              <w:rPr>
                <w:rFonts w:hint="eastAsia" w:hAnsi="宋体" w:cs="Arial"/>
                <w:b/>
                <w:bCs/>
                <w:color w:val="auto"/>
                <w:lang w:val="en-US" w:eastAsia="zh-CN"/>
              </w:rPr>
              <w:t>儿童桌</w:t>
            </w:r>
            <w:r>
              <w:rPr>
                <w:rFonts w:hint="eastAsia" w:hAnsi="宋体" w:cs="Arial"/>
                <w:color w:val="auto"/>
                <w:lang w:val="en-US" w:eastAsia="zh-CN"/>
              </w:rPr>
              <w:t>（原木长方桌）、</w:t>
            </w:r>
            <w:r>
              <w:rPr>
                <w:rFonts w:hint="eastAsia" w:hAnsi="宋体" w:cs="Arial"/>
                <w:b/>
                <w:bCs/>
                <w:color w:val="auto"/>
                <w:lang w:val="en-US" w:eastAsia="zh-CN"/>
              </w:rPr>
              <w:t>儿童椅</w:t>
            </w:r>
            <w:r>
              <w:rPr>
                <w:rFonts w:hint="eastAsia" w:hAnsi="宋体" w:cs="Arial"/>
                <w:color w:val="auto"/>
                <w:lang w:val="en-US" w:eastAsia="zh-CN"/>
              </w:rPr>
              <w:t>（原木椅子）、</w:t>
            </w:r>
            <w:r>
              <w:rPr>
                <w:rFonts w:hint="eastAsia" w:hAnsi="宋体" w:cs="Arial"/>
                <w:b/>
                <w:bCs/>
                <w:color w:val="auto"/>
                <w:lang w:val="en-US" w:eastAsia="zh-CN"/>
              </w:rPr>
              <w:t>玩具柜</w:t>
            </w:r>
            <w:r>
              <w:rPr>
                <w:rFonts w:hint="eastAsia" w:hAnsi="宋体" w:cs="Arial"/>
                <w:color w:val="auto"/>
                <w:lang w:val="en-US" w:eastAsia="zh-CN"/>
              </w:rPr>
              <w:t>（三层收纳柜）、</w:t>
            </w:r>
            <w:r>
              <w:rPr>
                <w:rFonts w:hint="eastAsia" w:hAnsi="宋体" w:cs="Arial"/>
                <w:b/>
                <w:bCs/>
                <w:color w:val="auto"/>
                <w:lang w:val="en-US" w:eastAsia="zh-CN"/>
              </w:rPr>
              <w:t>区角组合</w:t>
            </w:r>
            <w:r>
              <w:rPr>
                <w:rFonts w:hint="eastAsia" w:hAnsi="宋体" w:cs="Arial"/>
                <w:color w:val="auto"/>
                <w:lang w:val="en-US" w:eastAsia="zh-CN"/>
              </w:rPr>
              <w:t>（厨房组合2件套）</w:t>
            </w:r>
            <w:r>
              <w:rPr>
                <w:rFonts w:hint="eastAsia" w:hAnsi="宋体" w:cs="Arial"/>
                <w:b/>
                <w:bCs/>
                <w:color w:val="auto"/>
                <w:lang w:val="en-US" w:eastAsia="zh-CN"/>
              </w:rPr>
              <w:t>转角柜</w:t>
            </w:r>
            <w:r>
              <w:rPr>
                <w:rFonts w:hint="eastAsia" w:hAnsi="宋体" w:cs="Arial"/>
                <w:color w:val="auto"/>
                <w:lang w:val="en-US" w:eastAsia="zh-CN"/>
              </w:rPr>
              <w:t>（</w:t>
            </w:r>
            <w:r>
              <w:rPr>
                <w:rFonts w:hint="eastAsia" w:ascii="宋体" w:hAnsi="宋体" w:eastAsia="宋体" w:cs="宋体"/>
                <w:i w:val="0"/>
                <w:iCs w:val="0"/>
                <w:color w:val="auto"/>
                <w:kern w:val="0"/>
                <w:sz w:val="21"/>
                <w:szCs w:val="21"/>
                <w:u w:val="none"/>
                <w:lang w:val="en-US" w:eastAsia="zh-CN" w:bidi="ar"/>
              </w:rPr>
              <w:t>三层扇形转角柜45°</w:t>
            </w:r>
            <w:r>
              <w:rPr>
                <w:rFonts w:hint="eastAsia" w:hAnsi="宋体" w:cs="Arial"/>
                <w:color w:val="auto"/>
                <w:lang w:val="en-US" w:eastAsia="zh-CN"/>
              </w:rPr>
              <w:t>）、</w:t>
            </w:r>
            <w:r>
              <w:rPr>
                <w:rFonts w:hint="eastAsia" w:ascii="宋体" w:hAnsi="宋体" w:eastAsia="宋体" w:cs="宋体"/>
                <w:b/>
                <w:bCs/>
                <w:i w:val="0"/>
                <w:iCs w:val="0"/>
                <w:color w:val="auto"/>
                <w:kern w:val="0"/>
                <w:sz w:val="21"/>
                <w:szCs w:val="21"/>
                <w:u w:val="none"/>
                <w:lang w:val="en-US" w:eastAsia="zh-CN" w:bidi="ar"/>
              </w:rPr>
              <w:t>户外体能拓展组合玩具</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根据检测报告中检测的数值优劣进行综合打分（0-</w:t>
            </w: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分）。检测报告少提供一个扣1分。</w:t>
            </w:r>
          </w:p>
          <w:p w14:paraId="37D843C0">
            <w:pPr>
              <w:keepNext w:val="0"/>
              <w:keepLines w:val="0"/>
              <w:pageBreakBefore w:val="0"/>
              <w:kinsoku/>
              <w:wordWrap/>
              <w:overflowPunct/>
              <w:topLinePunct w:val="0"/>
              <w:autoSpaceDE/>
              <w:autoSpaceDN/>
              <w:bidi w:val="0"/>
              <w:adjustRightInd w:val="0"/>
              <w:snapToGrid/>
              <w:spacing w:line="240" w:lineRule="auto"/>
              <w:textAlignment w:val="auto"/>
              <w:rPr>
                <w:rFonts w:hint="eastAsia" w:hAnsi="宋体" w:eastAsia="宋体" w:cs="Arial"/>
                <w:color w:val="auto"/>
                <w:lang w:val="en-US" w:eastAsia="zh-CN"/>
              </w:rPr>
            </w:pPr>
            <w:r>
              <w:rPr>
                <w:rFonts w:hint="eastAsia" w:ascii="宋体" w:hAnsi="宋体" w:cs="宋体"/>
                <w:b/>
                <w:bCs/>
                <w:color w:val="auto"/>
                <w:sz w:val="21"/>
                <w:szCs w:val="21"/>
              </w:rPr>
              <w:t>提供</w:t>
            </w:r>
            <w:r>
              <w:rPr>
                <w:rFonts w:hint="eastAsia" w:ascii="宋体" w:hAnsi="宋体" w:cs="宋体"/>
                <w:b/>
                <w:bCs/>
                <w:color w:val="auto"/>
                <w:sz w:val="21"/>
                <w:szCs w:val="21"/>
                <w:lang w:val="en-US" w:eastAsia="zh-CN"/>
              </w:rPr>
              <w:t>第三方检测机构出具的带</w:t>
            </w:r>
            <w:r>
              <w:rPr>
                <w:rFonts w:hint="eastAsia" w:ascii="宋体" w:hAnsi="宋体" w:eastAsia="宋体" w:cs="宋体"/>
                <w:b w:val="0"/>
                <w:bCs w:val="0"/>
                <w:color w:val="auto"/>
                <w:sz w:val="21"/>
                <w:szCs w:val="21"/>
              </w:rPr>
              <w:t>CMA或CNAS</w:t>
            </w:r>
            <w:r>
              <w:rPr>
                <w:rFonts w:hint="eastAsia" w:ascii="宋体" w:hAnsi="宋体" w:cs="宋体"/>
                <w:b w:val="0"/>
                <w:bCs w:val="0"/>
                <w:color w:val="auto"/>
                <w:sz w:val="21"/>
                <w:szCs w:val="21"/>
                <w:lang w:val="en-US" w:eastAsia="zh-CN"/>
              </w:rPr>
              <w:t>标志</w:t>
            </w:r>
            <w:r>
              <w:rPr>
                <w:rFonts w:hint="eastAsia" w:ascii="宋体" w:hAnsi="宋体" w:eastAsia="宋体" w:cs="宋体"/>
                <w:b w:val="0"/>
                <w:bCs w:val="0"/>
                <w:color w:val="auto"/>
                <w:sz w:val="21"/>
                <w:szCs w:val="21"/>
              </w:rPr>
              <w:t>认证的</w:t>
            </w:r>
            <w:r>
              <w:rPr>
                <w:rFonts w:hint="eastAsia" w:ascii="宋体" w:hAnsi="宋体" w:eastAsia="宋体" w:cs="宋体"/>
                <w:color w:val="auto"/>
                <w:sz w:val="21"/>
                <w:szCs w:val="21"/>
                <w:lang w:val="en-US" w:eastAsia="zh-CN"/>
              </w:rPr>
              <w:t>符合国家标准、国家推荐标准或行业推荐标准的</w:t>
            </w:r>
            <w:r>
              <w:rPr>
                <w:rFonts w:hint="eastAsia" w:ascii="宋体" w:hAnsi="宋体" w:eastAsia="宋体" w:cs="宋体"/>
                <w:b w:val="0"/>
                <w:bCs w:val="0"/>
                <w:color w:val="auto"/>
                <w:sz w:val="21"/>
                <w:szCs w:val="21"/>
              </w:rPr>
              <w:t>合格检测报告（缺检测项或有任意一项不合格的不得分）</w:t>
            </w:r>
            <w:r>
              <w:rPr>
                <w:rFonts w:hint="eastAsia" w:ascii="宋体" w:hAnsi="宋体" w:eastAsia="宋体" w:cs="宋体"/>
                <w:b w:val="0"/>
                <w:bCs w:val="0"/>
                <w:color w:val="auto"/>
                <w:sz w:val="21"/>
                <w:szCs w:val="21"/>
                <w:lang w:eastAsia="zh-CN"/>
              </w:rPr>
              <w:t>。</w:t>
            </w:r>
          </w:p>
        </w:tc>
        <w:tc>
          <w:tcPr>
            <w:tcW w:w="713" w:type="dxa"/>
            <w:noWrap w:val="0"/>
            <w:vAlign w:val="center"/>
          </w:tcPr>
          <w:p w14:paraId="7A599666">
            <w:pPr>
              <w:keepNext w:val="0"/>
              <w:keepLines w:val="0"/>
              <w:pageBreakBefore w:val="0"/>
              <w:kinsoku/>
              <w:wordWrap/>
              <w:overflowPunct/>
              <w:topLinePunct w:val="0"/>
              <w:autoSpaceDE/>
              <w:autoSpaceDN/>
              <w:bidi w:val="0"/>
              <w:adjustRightInd w:val="0"/>
              <w:snapToGrid/>
              <w:spacing w:line="240" w:lineRule="auto"/>
              <w:jc w:val="center"/>
              <w:textAlignment w:val="auto"/>
              <w:rPr>
                <w:rFonts w:hint="default" w:ascii="宋体"/>
                <w:color w:val="auto"/>
                <w:szCs w:val="21"/>
                <w:lang w:val="en-US" w:eastAsia="zh-CN"/>
              </w:rPr>
            </w:pPr>
            <w:r>
              <w:rPr>
                <w:rFonts w:hint="eastAsia" w:ascii="宋体"/>
                <w:color w:val="auto"/>
                <w:szCs w:val="21"/>
                <w:lang w:val="en-US" w:eastAsia="zh-CN"/>
              </w:rPr>
              <w:t>7</w:t>
            </w:r>
          </w:p>
        </w:tc>
      </w:tr>
      <w:tr w14:paraId="5CF2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543" w:type="dxa"/>
            <w:vMerge w:val="continue"/>
            <w:noWrap w:val="0"/>
            <w:vAlign w:val="center"/>
          </w:tcPr>
          <w:p w14:paraId="24332730">
            <w:pPr>
              <w:keepNext w:val="0"/>
              <w:keepLines w:val="0"/>
              <w:pageBreakBefore w:val="0"/>
              <w:kinsoku/>
              <w:wordWrap/>
              <w:overflowPunct/>
              <w:topLinePunct w:val="0"/>
              <w:autoSpaceDE/>
              <w:autoSpaceDN/>
              <w:bidi w:val="0"/>
              <w:adjustRightInd w:val="0"/>
              <w:snapToGrid/>
              <w:spacing w:line="240" w:lineRule="auto"/>
              <w:textAlignment w:val="auto"/>
              <w:rPr>
                <w:rFonts w:hint="eastAsia" w:ascii="宋体" w:hAnsi="宋体" w:eastAsia="宋体" w:cs="宋体"/>
                <w:b w:val="0"/>
                <w:bCs w:val="0"/>
                <w:color w:val="auto"/>
                <w:sz w:val="21"/>
                <w:szCs w:val="21"/>
                <w:lang w:val="en-US" w:eastAsia="zh-CN"/>
              </w:rPr>
            </w:pPr>
          </w:p>
        </w:tc>
        <w:tc>
          <w:tcPr>
            <w:tcW w:w="7598" w:type="dxa"/>
            <w:noWrap w:val="0"/>
            <w:vAlign w:val="center"/>
          </w:tcPr>
          <w:p w14:paraId="07AD9643">
            <w:pPr>
              <w:keepNext w:val="0"/>
              <w:keepLines w:val="0"/>
              <w:pageBreakBefore w:val="0"/>
              <w:kinsoku/>
              <w:wordWrap/>
              <w:overflowPunct/>
              <w:topLinePunct w:val="0"/>
              <w:autoSpaceDE/>
              <w:autoSpaceDN/>
              <w:bidi w:val="0"/>
              <w:snapToGrid/>
              <w:spacing w:line="240" w:lineRule="auto"/>
              <w:jc w:val="left"/>
              <w:textAlignment w:val="auto"/>
              <w:rPr>
                <w:rFonts w:hint="eastAsia" w:ascii="宋体" w:hAnsi="宋体" w:eastAsia="宋体" w:cs="宋体"/>
                <w:color w:val="auto"/>
                <w:sz w:val="21"/>
                <w:szCs w:val="21"/>
                <w:lang w:val="en-US" w:eastAsia="zh-CN"/>
              </w:rPr>
            </w:pPr>
            <w:r>
              <w:rPr>
                <w:rFonts w:hint="eastAsia" w:hAnsi="宋体" w:cs="Arial"/>
                <w:color w:val="auto"/>
                <w:lang w:val="en-US" w:eastAsia="zh-CN"/>
              </w:rPr>
              <w:t>1、评标委员会</w:t>
            </w:r>
            <w:r>
              <w:rPr>
                <w:rFonts w:hint="eastAsia" w:ascii="宋体" w:hAnsi="宋体" w:eastAsia="宋体" w:cs="宋体"/>
                <w:color w:val="auto"/>
                <w:sz w:val="21"/>
                <w:szCs w:val="21"/>
                <w:lang w:val="en-US" w:eastAsia="zh-CN"/>
              </w:rPr>
              <w:t>根据供应商提供的</w:t>
            </w:r>
            <w:r>
              <w:rPr>
                <w:rFonts w:hint="eastAsia" w:ascii="宋体" w:hAnsi="宋体" w:cs="宋体"/>
                <w:color w:val="auto"/>
                <w:sz w:val="21"/>
                <w:szCs w:val="21"/>
                <w:lang w:val="en-US" w:eastAsia="zh-CN"/>
              </w:rPr>
              <w:t>原材料</w:t>
            </w:r>
            <w:r>
              <w:rPr>
                <w:rFonts w:hint="eastAsia" w:ascii="宋体" w:hAnsi="宋体" w:eastAsia="宋体" w:cs="宋体"/>
                <w:b/>
                <w:bCs/>
                <w:color w:val="auto"/>
                <w:spacing w:val="0"/>
                <w:sz w:val="21"/>
                <w:szCs w:val="21"/>
                <w:lang w:val="en-US" w:eastAsia="zh-CN"/>
              </w:rPr>
              <w:t>铝合金</w:t>
            </w:r>
            <w:r>
              <w:rPr>
                <w:rFonts w:hint="eastAsia" w:ascii="宋体" w:hAnsi="宋体" w:eastAsia="宋体" w:cs="宋体"/>
                <w:b/>
                <w:bCs/>
                <w:color w:val="auto"/>
                <w:spacing w:val="0"/>
                <w:sz w:val="21"/>
                <w:szCs w:val="21"/>
              </w:rPr>
              <w:t>、绳网扣</w:t>
            </w:r>
            <w:r>
              <w:rPr>
                <w:rFonts w:hint="eastAsia" w:ascii="宋体" w:hAnsi="宋体" w:eastAsia="宋体" w:cs="宋体"/>
                <w:b/>
                <w:bCs/>
                <w:color w:val="auto"/>
                <w:spacing w:val="0"/>
                <w:sz w:val="21"/>
                <w:szCs w:val="21"/>
                <w:lang w:eastAsia="zh-CN"/>
              </w:rPr>
              <w:t>、</w:t>
            </w:r>
            <w:r>
              <w:rPr>
                <w:rFonts w:hint="eastAsia" w:ascii="宋体" w:hAnsi="宋体" w:eastAsia="宋体" w:cs="宋体"/>
                <w:b/>
                <w:bCs/>
                <w:color w:val="auto"/>
                <w:spacing w:val="0"/>
                <w:sz w:val="21"/>
                <w:szCs w:val="21"/>
              </w:rPr>
              <w:t>螺丝、子母螺丝、防松螺母、三角铁、顶盖、扣件、膨胀螺丝、镀锌管、钢丝绳、不锈钢板（检测内容含：硬度、中性盐雾实验及试验评级、抗拉强度、规定塑性延伸强度、断后伸长率、冲击测试、密度测试）</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根据检测报告中检测的数值优劣进行综合打分（0-</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分）。检测报告少提供一个扣</w:t>
            </w:r>
            <w:r>
              <w:rPr>
                <w:rFonts w:hint="eastAsia" w:ascii="宋体" w:hAnsi="宋体" w:cs="宋体"/>
                <w:color w:val="auto"/>
                <w:sz w:val="21"/>
                <w:szCs w:val="21"/>
                <w:lang w:val="en-US" w:eastAsia="zh-CN"/>
              </w:rPr>
              <w:t>0.5</w:t>
            </w:r>
            <w:r>
              <w:rPr>
                <w:rFonts w:hint="eastAsia" w:ascii="宋体" w:hAnsi="宋体" w:eastAsia="宋体" w:cs="宋体"/>
                <w:color w:val="auto"/>
                <w:sz w:val="21"/>
                <w:szCs w:val="21"/>
                <w:lang w:val="en-US" w:eastAsia="zh-CN"/>
              </w:rPr>
              <w:t>分。</w:t>
            </w:r>
          </w:p>
          <w:p w14:paraId="3DDCF0DB">
            <w:pPr>
              <w:keepNext w:val="0"/>
              <w:keepLines w:val="0"/>
              <w:pageBreakBefore w:val="0"/>
              <w:kinsoku/>
              <w:wordWrap/>
              <w:overflowPunct/>
              <w:topLinePunct w:val="0"/>
              <w:autoSpaceDE/>
              <w:autoSpaceDN/>
              <w:bidi w:val="0"/>
              <w:snapToGrid/>
              <w:spacing w:line="240" w:lineRule="auto"/>
              <w:jc w:val="left"/>
              <w:textAlignment w:val="auto"/>
              <w:rPr>
                <w:rFonts w:hint="eastAsia" w:ascii="宋体" w:hAnsi="宋体" w:eastAsia="宋体" w:cs="宋体"/>
                <w:color w:val="auto"/>
                <w:sz w:val="21"/>
                <w:szCs w:val="21"/>
                <w:lang w:val="en-US" w:eastAsia="zh-CN"/>
              </w:rPr>
            </w:pPr>
            <w:r>
              <w:rPr>
                <w:rFonts w:hint="eastAsia" w:hAnsi="宋体" w:cs="Arial"/>
                <w:color w:val="auto"/>
                <w:lang w:val="en-US" w:eastAsia="zh-CN"/>
              </w:rPr>
              <w:t>2、标委员会</w:t>
            </w:r>
            <w:r>
              <w:rPr>
                <w:rFonts w:hint="eastAsia" w:ascii="宋体" w:hAnsi="宋体" w:eastAsia="宋体" w:cs="宋体"/>
                <w:color w:val="auto"/>
                <w:sz w:val="21"/>
                <w:szCs w:val="21"/>
                <w:lang w:val="en-US" w:eastAsia="zh-CN"/>
              </w:rPr>
              <w:t>根据供应商提供的</w:t>
            </w:r>
            <w:r>
              <w:rPr>
                <w:rFonts w:hint="eastAsia" w:ascii="宋体" w:hAnsi="宋体" w:cs="宋体"/>
                <w:color w:val="auto"/>
                <w:sz w:val="21"/>
                <w:szCs w:val="21"/>
                <w:lang w:val="en-US" w:eastAsia="zh-CN"/>
              </w:rPr>
              <w:t>原材料</w:t>
            </w:r>
            <w:r>
              <w:rPr>
                <w:rFonts w:hint="eastAsia" w:ascii="宋体" w:hAnsi="宋体" w:cs="宋体"/>
                <w:b/>
                <w:bCs/>
                <w:color w:val="auto"/>
                <w:sz w:val="21"/>
                <w:szCs w:val="21"/>
                <w:lang w:val="en-US" w:eastAsia="zh-CN"/>
              </w:rPr>
              <w:t>橡胶木、多层板、芬兰木</w:t>
            </w:r>
            <w:r>
              <w:rPr>
                <w:rFonts w:hint="eastAsia" w:ascii="宋体" w:hAnsi="宋体" w:eastAsia="宋体" w:cs="宋体"/>
                <w:b/>
                <w:bCs/>
                <w:color w:val="auto"/>
                <w:spacing w:val="0"/>
                <w:sz w:val="21"/>
                <w:szCs w:val="21"/>
              </w:rPr>
              <w:t>（检测内容含：</w:t>
            </w:r>
            <w:r>
              <w:rPr>
                <w:rFonts w:hint="eastAsia" w:ascii="宋体" w:hAnsi="宋体" w:cs="宋体"/>
                <w:b/>
                <w:bCs/>
                <w:color w:val="auto"/>
                <w:spacing w:val="0"/>
                <w:sz w:val="21"/>
                <w:szCs w:val="21"/>
                <w:lang w:val="en-US" w:eastAsia="zh-CN"/>
              </w:rPr>
              <w:t>甲醛释放量、抗霉菌性能0级</w:t>
            </w:r>
            <w:r>
              <w:rPr>
                <w:rFonts w:hint="eastAsia" w:ascii="宋体" w:hAnsi="宋体" w:eastAsia="宋体" w:cs="宋体"/>
                <w:b/>
                <w:bCs/>
                <w:color w:val="auto"/>
                <w:spacing w:val="0"/>
                <w:sz w:val="21"/>
                <w:szCs w:val="21"/>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根据检测报告中检测的数值优劣进行综合打分（0-</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分）。检测报告少提供一个扣</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p>
          <w:p w14:paraId="6E723618">
            <w:pPr>
              <w:keepNext w:val="0"/>
              <w:keepLines w:val="0"/>
              <w:pageBreakBefore w:val="0"/>
              <w:kinsoku/>
              <w:wordWrap/>
              <w:overflowPunct/>
              <w:topLinePunct w:val="0"/>
              <w:autoSpaceDE/>
              <w:autoSpaceDN/>
              <w:bidi w:val="0"/>
              <w:adjustRightInd w:val="0"/>
              <w:snapToGrid/>
              <w:spacing w:line="240" w:lineRule="auto"/>
              <w:textAlignment w:val="auto"/>
              <w:rPr>
                <w:rFonts w:hint="eastAsia" w:ascii="宋体" w:hAnsi="宋体" w:cs="宋体"/>
                <w:b/>
                <w:bCs/>
                <w:color w:val="auto"/>
                <w:sz w:val="21"/>
                <w:szCs w:val="21"/>
              </w:rPr>
            </w:pPr>
            <w:r>
              <w:rPr>
                <w:rFonts w:hint="eastAsia" w:ascii="宋体" w:hAnsi="宋体" w:cs="宋体"/>
                <w:b/>
                <w:bCs/>
                <w:color w:val="auto"/>
                <w:sz w:val="21"/>
                <w:szCs w:val="21"/>
              </w:rPr>
              <w:t>提供</w:t>
            </w:r>
            <w:r>
              <w:rPr>
                <w:rFonts w:hint="eastAsia" w:ascii="宋体" w:hAnsi="宋体" w:cs="宋体"/>
                <w:b/>
                <w:bCs/>
                <w:color w:val="auto"/>
                <w:sz w:val="21"/>
                <w:szCs w:val="21"/>
                <w:lang w:val="en-US" w:eastAsia="zh-CN"/>
              </w:rPr>
              <w:t>第三方检测机构出具的带</w:t>
            </w:r>
            <w:r>
              <w:rPr>
                <w:rFonts w:hint="eastAsia" w:ascii="宋体" w:hAnsi="宋体" w:eastAsia="宋体" w:cs="宋体"/>
                <w:b w:val="0"/>
                <w:bCs w:val="0"/>
                <w:color w:val="auto"/>
                <w:sz w:val="21"/>
                <w:szCs w:val="21"/>
              </w:rPr>
              <w:t>CMA或CNAS</w:t>
            </w:r>
            <w:r>
              <w:rPr>
                <w:rFonts w:hint="eastAsia" w:ascii="宋体" w:hAnsi="宋体" w:cs="宋体"/>
                <w:b w:val="0"/>
                <w:bCs w:val="0"/>
                <w:color w:val="auto"/>
                <w:sz w:val="21"/>
                <w:szCs w:val="21"/>
                <w:lang w:val="en-US" w:eastAsia="zh-CN"/>
              </w:rPr>
              <w:t>标志</w:t>
            </w:r>
            <w:r>
              <w:rPr>
                <w:rFonts w:hint="eastAsia" w:ascii="宋体" w:hAnsi="宋体" w:eastAsia="宋体" w:cs="宋体"/>
                <w:b w:val="0"/>
                <w:bCs w:val="0"/>
                <w:color w:val="auto"/>
                <w:sz w:val="21"/>
                <w:szCs w:val="21"/>
              </w:rPr>
              <w:t>认证的</w:t>
            </w:r>
            <w:r>
              <w:rPr>
                <w:rFonts w:hint="eastAsia" w:ascii="宋体" w:hAnsi="宋体" w:eastAsia="宋体" w:cs="宋体"/>
                <w:color w:val="auto"/>
                <w:sz w:val="21"/>
                <w:szCs w:val="21"/>
                <w:lang w:val="en-US" w:eastAsia="zh-CN"/>
              </w:rPr>
              <w:t>符合国家标准、国家推荐标准或行业推荐标准的合格</w:t>
            </w:r>
            <w:r>
              <w:rPr>
                <w:rFonts w:hint="eastAsia" w:ascii="宋体" w:hAnsi="宋体" w:eastAsia="宋体" w:cs="宋体"/>
                <w:b w:val="0"/>
                <w:bCs w:val="0"/>
                <w:color w:val="auto"/>
                <w:sz w:val="21"/>
                <w:szCs w:val="21"/>
              </w:rPr>
              <w:t>检测报告（缺检测项或有任意一项不合格的不得分）</w:t>
            </w:r>
            <w:r>
              <w:rPr>
                <w:rFonts w:hint="eastAsia" w:ascii="宋体" w:hAnsi="宋体" w:eastAsia="宋体" w:cs="宋体"/>
                <w:b w:val="0"/>
                <w:bCs w:val="0"/>
                <w:color w:val="auto"/>
                <w:sz w:val="21"/>
                <w:szCs w:val="21"/>
                <w:lang w:eastAsia="zh-CN"/>
              </w:rPr>
              <w:t>。</w:t>
            </w:r>
          </w:p>
        </w:tc>
        <w:tc>
          <w:tcPr>
            <w:tcW w:w="713" w:type="dxa"/>
            <w:noWrap w:val="0"/>
            <w:vAlign w:val="center"/>
          </w:tcPr>
          <w:p w14:paraId="23948F33">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宋体"/>
                <w:color w:val="auto"/>
                <w:szCs w:val="21"/>
                <w:lang w:val="en-US" w:eastAsia="zh-CN"/>
              </w:rPr>
            </w:pPr>
            <w:r>
              <w:rPr>
                <w:rFonts w:hint="eastAsia" w:ascii="宋体"/>
                <w:color w:val="auto"/>
                <w:szCs w:val="21"/>
                <w:lang w:val="en-US" w:eastAsia="zh-CN"/>
              </w:rPr>
              <w:t>9</w:t>
            </w:r>
          </w:p>
        </w:tc>
      </w:tr>
      <w:tr w14:paraId="0E9C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543" w:type="dxa"/>
            <w:shd w:val="clear" w:color="auto" w:fill="auto"/>
            <w:noWrap w:val="0"/>
            <w:vAlign w:val="center"/>
          </w:tcPr>
          <w:p w14:paraId="7A432DE8">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设备情况</w:t>
            </w:r>
          </w:p>
        </w:tc>
        <w:tc>
          <w:tcPr>
            <w:tcW w:w="7598" w:type="dxa"/>
            <w:shd w:val="clear" w:color="auto" w:fill="auto"/>
            <w:noWrap w:val="0"/>
            <w:vAlign w:val="center"/>
          </w:tcPr>
          <w:p w14:paraId="14CE8EFC">
            <w:pPr>
              <w:keepNext w:val="0"/>
              <w:keepLines w:val="0"/>
              <w:pageBreakBefore w:val="0"/>
              <w:kinsoku/>
              <w:wordWrap/>
              <w:overflowPunct/>
              <w:topLinePunct w:val="0"/>
              <w:autoSpaceDE/>
              <w:autoSpaceDN/>
              <w:bidi w:val="0"/>
              <w:adjustRightInd w:val="0"/>
              <w:snapToGrid/>
              <w:spacing w:line="240" w:lineRule="auto"/>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投标人提供的核心专业生产设备进行打分，设备类别如下：开料设备、封边设备、钻铣设备、涂装设备、切割设备、弯管设备、焊接设备、加工中心等，每提供一项得</w:t>
            </w:r>
            <w:r>
              <w:rPr>
                <w:rFonts w:hint="eastAsia" w:ascii="宋体" w:hAnsi="宋体" w:eastAsia="宋体" w:cs="宋体"/>
                <w:b/>
                <w:bCs/>
                <w:color w:val="auto"/>
                <w:sz w:val="21"/>
                <w:szCs w:val="21"/>
                <w:lang w:val="en-US" w:eastAsia="zh-CN"/>
              </w:rPr>
              <w:t>0.</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分</w:t>
            </w:r>
            <w:r>
              <w:rPr>
                <w:rFonts w:hint="eastAsia" w:ascii="宋体" w:hAnsi="宋体" w:eastAsia="宋体" w:cs="宋体"/>
                <w:color w:val="auto"/>
                <w:sz w:val="21"/>
                <w:szCs w:val="21"/>
                <w:lang w:val="en-US" w:eastAsia="zh-CN"/>
              </w:rPr>
              <w:t>，最高得6分。</w:t>
            </w:r>
          </w:p>
          <w:p w14:paraId="12DA854A">
            <w:pPr>
              <w:keepNext w:val="0"/>
              <w:keepLines w:val="0"/>
              <w:pageBreakBefore w:val="0"/>
              <w:widowControl/>
              <w:kinsoku/>
              <w:wordWrap/>
              <w:overflowPunct/>
              <w:topLinePunct w:val="0"/>
              <w:autoSpaceDE/>
              <w:autoSpaceDN/>
              <w:bidi w:val="0"/>
              <w:snapToGrid/>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eastAsia="zh-CN"/>
              </w:rPr>
              <w:t>注：</w:t>
            </w:r>
            <w:r>
              <w:rPr>
                <w:rFonts w:hint="eastAsia" w:ascii="宋体" w:hAnsi="宋体" w:eastAsia="宋体" w:cs="宋体"/>
                <w:b/>
                <w:bCs/>
                <w:color w:val="auto"/>
                <w:sz w:val="21"/>
                <w:szCs w:val="21"/>
              </w:rPr>
              <w:t>须同时提供</w:t>
            </w:r>
            <w:r>
              <w:rPr>
                <w:rFonts w:hint="eastAsia" w:ascii="宋体" w:hAnsi="宋体" w:eastAsia="宋体" w:cs="宋体"/>
                <w:b/>
                <w:bCs/>
                <w:color w:val="auto"/>
                <w:kern w:val="0"/>
                <w:szCs w:val="24"/>
              </w:rPr>
              <w:t>发票</w:t>
            </w:r>
            <w:r>
              <w:rPr>
                <w:rFonts w:hint="eastAsia" w:ascii="宋体" w:hAnsi="宋体" w:eastAsia="宋体" w:cs="宋体"/>
                <w:b/>
                <w:bCs/>
                <w:color w:val="auto"/>
                <w:kern w:val="0"/>
                <w:szCs w:val="24"/>
                <w:lang w:val="en-US" w:eastAsia="zh-CN"/>
              </w:rPr>
              <w:t>扫描件</w:t>
            </w:r>
            <w:r>
              <w:rPr>
                <w:rFonts w:hint="eastAsia" w:ascii="宋体" w:hAnsi="宋体" w:eastAsia="宋体" w:cs="宋体"/>
                <w:b/>
                <w:bCs/>
                <w:color w:val="auto"/>
                <w:kern w:val="0"/>
                <w:szCs w:val="24"/>
              </w:rPr>
              <w:t>、设备现场照片</w:t>
            </w:r>
            <w:r>
              <w:rPr>
                <w:rFonts w:hint="eastAsia" w:ascii="宋体" w:hAnsi="宋体" w:eastAsia="宋体" w:cs="宋体"/>
                <w:b/>
                <w:bCs/>
                <w:color w:val="auto"/>
                <w:spacing w:val="-1"/>
                <w:sz w:val="21"/>
                <w:szCs w:val="21"/>
              </w:rPr>
              <w:t>，未提供的不得分</w:t>
            </w:r>
            <w:r>
              <w:rPr>
                <w:rFonts w:hint="eastAsia" w:ascii="宋体" w:hAnsi="宋体" w:eastAsia="宋体" w:cs="宋体"/>
                <w:b/>
                <w:bCs/>
                <w:color w:val="auto"/>
                <w:sz w:val="21"/>
                <w:szCs w:val="21"/>
              </w:rPr>
              <w:t>。</w:t>
            </w:r>
          </w:p>
        </w:tc>
        <w:tc>
          <w:tcPr>
            <w:tcW w:w="713" w:type="dxa"/>
            <w:shd w:val="clear" w:color="auto" w:fill="auto"/>
            <w:noWrap w:val="0"/>
            <w:vAlign w:val="center"/>
          </w:tcPr>
          <w:p w14:paraId="7AAD0B57">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6</w:t>
            </w:r>
          </w:p>
        </w:tc>
      </w:tr>
      <w:tr w14:paraId="4215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543" w:type="dxa"/>
            <w:noWrap w:val="0"/>
            <w:vAlign w:val="center"/>
          </w:tcPr>
          <w:p w14:paraId="6C0DA2C9">
            <w:pPr>
              <w:keepNext w:val="0"/>
              <w:keepLines w:val="0"/>
              <w:pageBreakBefore w:val="0"/>
              <w:kinsoku/>
              <w:wordWrap/>
              <w:overflowPunct/>
              <w:topLinePunct w:val="0"/>
              <w:autoSpaceDE/>
              <w:autoSpaceDN/>
              <w:bidi w:val="0"/>
              <w:adjustRightInd w:val="0"/>
              <w:snapToGrid/>
              <w:spacing w:line="240" w:lineRule="auto"/>
              <w:textAlignment w:val="auto"/>
              <w:rPr>
                <w:rFonts w:hint="eastAsia"/>
                <w:color w:val="auto"/>
                <w:szCs w:val="21"/>
              </w:rPr>
            </w:pPr>
            <w:r>
              <w:rPr>
                <w:rFonts w:hint="eastAsia"/>
                <w:color w:val="auto"/>
                <w:szCs w:val="21"/>
              </w:rPr>
              <w:t>项目实施保障评定</w:t>
            </w:r>
          </w:p>
        </w:tc>
        <w:tc>
          <w:tcPr>
            <w:tcW w:w="7598" w:type="dxa"/>
            <w:noWrap w:val="0"/>
            <w:vAlign w:val="center"/>
          </w:tcPr>
          <w:p w14:paraId="1E3A174D">
            <w:pPr>
              <w:keepNext w:val="0"/>
              <w:keepLines w:val="0"/>
              <w:pageBreakBefore w:val="0"/>
              <w:kinsoku/>
              <w:wordWrap/>
              <w:overflowPunct/>
              <w:topLinePunct w:val="0"/>
              <w:autoSpaceDE/>
              <w:autoSpaceDN/>
              <w:bidi w:val="0"/>
              <w:adjustRightInd w:val="0"/>
              <w:snapToGrid/>
              <w:spacing w:line="240" w:lineRule="auto"/>
              <w:textAlignment w:val="auto"/>
              <w:rPr>
                <w:rFonts w:hint="eastAsia" w:hAnsi="宋体" w:cs="Arial"/>
                <w:color w:val="auto"/>
              </w:rPr>
            </w:pPr>
            <w:r>
              <w:rPr>
                <w:rFonts w:hint="eastAsia" w:hAnsi="宋体" w:cs="Arial"/>
                <w:color w:val="auto"/>
              </w:rPr>
              <w:t>根据投标人提供的设计方案的科学性、先进性及项目组织实施方案（包括项目工期、确保项目供货的措施或方案、项目实施进度安排、项目管理机构人员的资质、完善性及合理性）等</w:t>
            </w:r>
            <w:r>
              <w:rPr>
                <w:rFonts w:hint="eastAsia" w:hAnsi="宋体" w:cs="Arial"/>
                <w:color w:val="auto"/>
                <w:lang w:val="en-US" w:eastAsia="zh-CN"/>
              </w:rPr>
              <w:t>由评标委员会</w:t>
            </w:r>
            <w:r>
              <w:rPr>
                <w:rFonts w:hint="eastAsia" w:hAnsi="宋体" w:cs="Arial"/>
                <w:color w:val="auto"/>
              </w:rPr>
              <w:t>综合比较评分。</w:t>
            </w:r>
          </w:p>
          <w:p w14:paraId="0E1BF292">
            <w:pPr>
              <w:keepNext w:val="0"/>
              <w:keepLines w:val="0"/>
              <w:pageBreakBefore w:val="0"/>
              <w:kinsoku/>
              <w:wordWrap/>
              <w:overflowPunct/>
              <w:topLinePunct w:val="0"/>
              <w:autoSpaceDE/>
              <w:autoSpaceDN/>
              <w:bidi w:val="0"/>
              <w:adjustRightInd w:val="0"/>
              <w:snapToGrid/>
              <w:spacing w:line="240" w:lineRule="auto"/>
              <w:textAlignment w:val="auto"/>
              <w:rPr>
                <w:rFonts w:hint="default" w:hAnsi="宋体" w:eastAsia="宋体" w:cs="Arial"/>
                <w:color w:val="auto"/>
                <w:lang w:val="en-US" w:eastAsia="zh-CN"/>
              </w:rPr>
            </w:pPr>
            <w:r>
              <w:rPr>
                <w:rFonts w:hint="eastAsia" w:hAnsi="宋体" w:cs="Arial"/>
                <w:color w:val="auto"/>
                <w:lang w:val="en-US" w:eastAsia="zh-CN"/>
              </w:rPr>
              <w:t>一档5-4分、二挡3-2分、一档1-0分。</w:t>
            </w:r>
          </w:p>
        </w:tc>
        <w:tc>
          <w:tcPr>
            <w:tcW w:w="713" w:type="dxa"/>
            <w:noWrap w:val="0"/>
            <w:vAlign w:val="center"/>
          </w:tcPr>
          <w:p w14:paraId="0E143EC7">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宋体"/>
                <w:color w:val="auto"/>
                <w:szCs w:val="21"/>
              </w:rPr>
            </w:pPr>
            <w:r>
              <w:rPr>
                <w:rFonts w:hint="eastAsia" w:ascii="宋体"/>
                <w:color w:val="auto"/>
                <w:szCs w:val="21"/>
              </w:rPr>
              <w:t>5</w:t>
            </w:r>
          </w:p>
        </w:tc>
      </w:tr>
      <w:tr w14:paraId="4CE6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3" w:type="dxa"/>
            <w:shd w:val="clear" w:color="auto" w:fill="auto"/>
            <w:noWrap w:val="0"/>
            <w:vAlign w:val="center"/>
          </w:tcPr>
          <w:p w14:paraId="6517968B">
            <w:pPr>
              <w:keepNext w:val="0"/>
              <w:keepLines w:val="0"/>
              <w:pageBreakBefore w:val="0"/>
              <w:kinsoku/>
              <w:wordWrap/>
              <w:overflowPunct/>
              <w:topLinePunct w:val="0"/>
              <w:autoSpaceDE/>
              <w:autoSpaceDN/>
              <w:bidi w:val="0"/>
              <w:snapToGrid/>
              <w:spacing w:line="240" w:lineRule="auto"/>
              <w:textAlignment w:val="auto"/>
              <w:rPr>
                <w:rFonts w:hint="eastAsia" w:ascii="Times New Roman" w:hAnsi="Times New Roman" w:eastAsia="宋体" w:cs="Times New Roman"/>
                <w:color w:val="auto"/>
                <w:kern w:val="2"/>
                <w:sz w:val="21"/>
                <w:szCs w:val="24"/>
                <w:lang w:val="en-US" w:eastAsia="zh-CN" w:bidi="ar-SA"/>
              </w:rPr>
            </w:pPr>
            <w:r>
              <w:rPr>
                <w:rFonts w:hint="eastAsia" w:ascii="宋体" w:hAnsi="宋体" w:eastAsia="宋体" w:cs="宋体"/>
                <w:b w:val="0"/>
                <w:bCs w:val="0"/>
                <w:color w:val="auto"/>
                <w:kern w:val="0"/>
                <w:szCs w:val="21"/>
                <w:highlight w:val="none"/>
                <w:lang w:val="en-US" w:eastAsia="zh-CN"/>
              </w:rPr>
              <w:t>企业综合实力</w:t>
            </w:r>
          </w:p>
        </w:tc>
        <w:tc>
          <w:tcPr>
            <w:tcW w:w="7598" w:type="dxa"/>
            <w:shd w:val="clear" w:color="auto" w:fill="auto"/>
            <w:noWrap w:val="0"/>
            <w:vAlign w:val="center"/>
          </w:tcPr>
          <w:p w14:paraId="1C492B4F">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olor w:val="auto"/>
                <w:kern w:val="0"/>
                <w:szCs w:val="21"/>
                <w:lang w:eastAsia="zh-CN"/>
              </w:rPr>
            </w:pPr>
            <w:r>
              <w:rPr>
                <w:rFonts w:hint="eastAsia" w:ascii="宋体" w:hAnsi="宋体" w:eastAsia="宋体" w:cs="Times New Roman"/>
                <w:color w:val="auto"/>
                <w:kern w:val="0"/>
                <w:sz w:val="21"/>
                <w:szCs w:val="21"/>
                <w:lang w:val="en-US" w:eastAsia="zh-CN" w:bidi="ar-SA"/>
              </w:rPr>
              <w:t>1.</w:t>
            </w:r>
            <w:r>
              <w:rPr>
                <w:rFonts w:hint="eastAsia" w:ascii="宋体" w:hAnsi="宋体" w:eastAsia="宋体"/>
                <w:color w:val="auto"/>
                <w:kern w:val="0"/>
                <w:szCs w:val="21"/>
              </w:rPr>
              <w:t>制造商具有有效期内的中国环境标志产品认证证书，认证范围至少包含：实木类家具</w:t>
            </w:r>
            <w:r>
              <w:rPr>
                <w:rFonts w:hint="eastAsia" w:ascii="宋体" w:hAnsi="宋体" w:eastAsia="宋体"/>
                <w:color w:val="auto"/>
                <w:kern w:val="0"/>
                <w:szCs w:val="21"/>
                <w:lang w:eastAsia="zh-CN"/>
              </w:rPr>
              <w:t>；</w:t>
            </w:r>
          </w:p>
          <w:p w14:paraId="4E7A6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rPr>
              <w:t>制造商具有有效期内的中国环保产品认证证书</w:t>
            </w:r>
            <w:r>
              <w:rPr>
                <w:rFonts w:hint="eastAsia" w:ascii="宋体" w:hAnsi="宋体" w:eastAsia="宋体" w:cs="宋体"/>
                <w:color w:val="auto"/>
                <w:sz w:val="21"/>
                <w:szCs w:val="21"/>
                <w:lang w:eastAsia="zh-CN"/>
              </w:rPr>
              <w:t>；</w:t>
            </w:r>
          </w:p>
          <w:p w14:paraId="444B6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制造商具有有效期内的中国绿色产品认证证书，认证范围至少包含：实木家具</w:t>
            </w:r>
            <w:r>
              <w:rPr>
                <w:rFonts w:hint="eastAsia" w:ascii="宋体" w:hAnsi="宋体" w:eastAsia="宋体" w:cs="宋体"/>
                <w:color w:val="auto"/>
                <w:sz w:val="21"/>
                <w:szCs w:val="21"/>
                <w:lang w:eastAsia="zh-CN"/>
              </w:rPr>
              <w:t>；</w:t>
            </w:r>
          </w:p>
          <w:p w14:paraId="4E941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制造商具有有效期内的家具中有害物质限量认证证书，认证范围至少包含：实木家具</w:t>
            </w:r>
            <w:r>
              <w:rPr>
                <w:rFonts w:hint="eastAsia" w:ascii="宋体" w:hAnsi="宋体" w:eastAsia="宋体" w:cs="宋体"/>
                <w:color w:val="auto"/>
                <w:sz w:val="21"/>
                <w:szCs w:val="21"/>
                <w:lang w:eastAsia="zh-CN"/>
              </w:rPr>
              <w:t>；</w:t>
            </w:r>
          </w:p>
          <w:p w14:paraId="7E2AE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rPr>
              <w:t>制造商具有有效期内的</w:t>
            </w:r>
            <w:r>
              <w:rPr>
                <w:rFonts w:hint="eastAsia" w:ascii="宋体" w:hAnsi="宋体" w:eastAsia="宋体" w:cs="宋体"/>
                <w:color w:val="auto"/>
                <w:sz w:val="21"/>
                <w:szCs w:val="21"/>
                <w:highlight w:val="none"/>
                <w:lang w:val="zh-CN"/>
              </w:rPr>
              <w:t>家具产品环保卫士认证证书</w:t>
            </w:r>
            <w:r>
              <w:rPr>
                <w:rFonts w:hint="eastAsia" w:ascii="宋体" w:hAnsi="宋体" w:eastAsia="宋体" w:cs="宋体"/>
                <w:color w:val="auto"/>
                <w:sz w:val="21"/>
                <w:szCs w:val="21"/>
              </w:rPr>
              <w:t>，认证范围至少包含：实木家具。</w:t>
            </w:r>
          </w:p>
          <w:p w14:paraId="4E42F534">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宋体" w:hAnsi="宋体" w:eastAsia="宋体" w:cs="Times New Roman"/>
                <w:color w:val="auto"/>
                <w:kern w:val="0"/>
                <w:sz w:val="21"/>
                <w:szCs w:val="21"/>
                <w:lang w:val="en-US" w:eastAsia="zh-CN" w:bidi="ar-SA"/>
              </w:rPr>
            </w:pPr>
            <w:r>
              <w:rPr>
                <w:rFonts w:hint="eastAsia" w:ascii="宋体" w:hAnsi="宋体" w:eastAsia="宋体" w:cs="宋体"/>
                <w:color w:val="auto"/>
                <w:sz w:val="21"/>
                <w:szCs w:val="21"/>
              </w:rPr>
              <w:t>以上证书每提供一项得1分，最高得5分。</w:t>
            </w:r>
          </w:p>
        </w:tc>
        <w:tc>
          <w:tcPr>
            <w:tcW w:w="713" w:type="dxa"/>
            <w:shd w:val="clear" w:color="auto" w:fill="auto"/>
            <w:noWrap w:val="0"/>
            <w:vAlign w:val="center"/>
          </w:tcPr>
          <w:p w14:paraId="4D838ADE">
            <w:pPr>
              <w:keepNext w:val="0"/>
              <w:keepLines w:val="0"/>
              <w:pageBreakBefore w:val="0"/>
              <w:kinsoku/>
              <w:wordWrap/>
              <w:overflowPunct/>
              <w:topLinePunct w:val="0"/>
              <w:autoSpaceDE/>
              <w:autoSpaceDN/>
              <w:bidi w:val="0"/>
              <w:snapToGrid/>
              <w:jc w:val="center"/>
              <w:textAlignment w:val="auto"/>
              <w:rPr>
                <w:rFonts w:hint="default" w:ascii="宋体" w:hAnsi="Times New Roman" w:eastAsia="宋体" w:cs="Times New Roman"/>
                <w:color w:val="auto"/>
                <w:kern w:val="2"/>
                <w:sz w:val="21"/>
                <w:szCs w:val="21"/>
                <w:lang w:val="en-US" w:eastAsia="zh-CN" w:bidi="ar-SA"/>
              </w:rPr>
            </w:pPr>
            <w:r>
              <w:rPr>
                <w:rFonts w:hint="eastAsia" w:ascii="宋体"/>
                <w:color w:val="auto"/>
                <w:szCs w:val="21"/>
                <w:lang w:val="en-US" w:eastAsia="zh-CN"/>
              </w:rPr>
              <w:t xml:space="preserve">5 </w:t>
            </w:r>
          </w:p>
        </w:tc>
      </w:tr>
      <w:tr w14:paraId="0E76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1543" w:type="dxa"/>
            <w:vMerge w:val="restart"/>
            <w:noWrap w:val="0"/>
            <w:vAlign w:val="center"/>
          </w:tcPr>
          <w:p w14:paraId="078C32B8">
            <w:pPr>
              <w:adjustRightInd w:val="0"/>
              <w:snapToGrid w:val="0"/>
              <w:spacing w:line="360" w:lineRule="auto"/>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效果图</w:t>
            </w:r>
          </w:p>
        </w:tc>
        <w:tc>
          <w:tcPr>
            <w:tcW w:w="7598" w:type="dxa"/>
            <w:noWrap w:val="0"/>
            <w:vAlign w:val="center"/>
          </w:tcPr>
          <w:p w14:paraId="4E21C74E">
            <w:pPr>
              <w:jc w:val="left"/>
              <w:rPr>
                <w:rFonts w:hint="eastAsia" w:ascii="宋体" w:hAnsi="宋体" w:cs="宋体"/>
                <w:bCs/>
                <w:color w:val="auto"/>
                <w:sz w:val="21"/>
                <w:szCs w:val="21"/>
              </w:rPr>
            </w:pPr>
            <w:r>
              <w:rPr>
                <w:rFonts w:hint="eastAsia" w:ascii="宋体" w:hAnsi="宋体" w:cs="宋体"/>
                <w:bCs/>
                <w:color w:val="auto"/>
                <w:sz w:val="21"/>
                <w:szCs w:val="21"/>
              </w:rPr>
              <w:t>根据采购人需求，</w:t>
            </w:r>
            <w:r>
              <w:rPr>
                <w:rFonts w:hint="eastAsia" w:ascii="宋体" w:hAnsi="宋体" w:cs="宋体"/>
                <w:color w:val="auto"/>
                <w:sz w:val="21"/>
                <w:szCs w:val="21"/>
              </w:rPr>
              <w:t>小班、中班、大班</w:t>
            </w:r>
            <w:r>
              <w:rPr>
                <w:rFonts w:hint="eastAsia" w:ascii="宋体" w:hAnsi="宋体" w:cs="宋体"/>
                <w:color w:val="auto"/>
                <w:sz w:val="21"/>
                <w:szCs w:val="21"/>
                <w:lang w:eastAsia="zh-CN"/>
              </w:rPr>
              <w:t>、</w:t>
            </w:r>
            <w:r>
              <w:rPr>
                <w:rFonts w:hint="eastAsia" w:ascii="宋体" w:hAnsi="宋体" w:cs="宋体"/>
                <w:bCs/>
                <w:color w:val="auto"/>
                <w:sz w:val="21"/>
                <w:szCs w:val="21"/>
              </w:rPr>
              <w:t>阅览室</w:t>
            </w:r>
            <w:r>
              <w:rPr>
                <w:rFonts w:hint="eastAsia" w:ascii="宋体" w:hAnsi="宋体" w:cs="宋体"/>
                <w:color w:val="auto"/>
                <w:sz w:val="21"/>
                <w:szCs w:val="21"/>
              </w:rPr>
              <w:t>请分别提供效果图及安装分解图。</w:t>
            </w:r>
          </w:p>
          <w:p w14:paraId="56B89E39">
            <w:pPr>
              <w:rPr>
                <w:rFonts w:hint="eastAsia" w:ascii="宋体" w:hAnsi="宋体" w:cs="宋体"/>
                <w:color w:val="auto"/>
                <w:sz w:val="21"/>
                <w:szCs w:val="21"/>
              </w:rPr>
            </w:pPr>
            <w:r>
              <w:rPr>
                <w:rFonts w:hint="eastAsia" w:ascii="宋体" w:hAnsi="宋体" w:cs="宋体"/>
                <w:color w:val="auto"/>
                <w:sz w:val="21"/>
                <w:szCs w:val="21"/>
              </w:rPr>
              <w:t>投标人需提供场地实际面积设计教室、功能室设计方案，提供平面布置图并制作成效果图（产品整体效果图须包含正面、侧面、俯视效果图），不能完全提供的不得分。</w:t>
            </w:r>
          </w:p>
          <w:p w14:paraId="0F1DD79B">
            <w:pPr>
              <w:numPr>
                <w:ilvl w:val="0"/>
                <w:numId w:val="0"/>
              </w:numPr>
              <w:rPr>
                <w:rFonts w:hint="eastAsia" w:ascii="宋体" w:hAnsi="宋体" w:cs="宋体"/>
                <w:color w:val="auto"/>
                <w:sz w:val="21"/>
                <w:szCs w:val="21"/>
                <w:lang w:eastAsia="zh-CN"/>
              </w:rPr>
            </w:pPr>
            <w:r>
              <w:rPr>
                <w:rFonts w:hint="eastAsia" w:ascii="宋体" w:hAnsi="宋体" w:cs="宋体"/>
                <w:color w:val="auto"/>
                <w:sz w:val="21"/>
                <w:szCs w:val="21"/>
              </w:rPr>
              <w:t>根据项目产品做整体设计方案，考虑空间利用合理性、细节处理、颜色搭配、设备布置齐整性、科学性、人性化程度</w:t>
            </w:r>
            <w:r>
              <w:rPr>
                <w:rFonts w:hint="eastAsia" w:hAnsi="宋体" w:cs="Arial"/>
                <w:color w:val="auto"/>
                <w:sz w:val="21"/>
                <w:szCs w:val="21"/>
                <w:lang w:val="en-US" w:eastAsia="zh-CN"/>
              </w:rPr>
              <w:t>由评标委员会</w:t>
            </w:r>
            <w:r>
              <w:rPr>
                <w:rFonts w:hint="eastAsia" w:hAnsi="宋体" w:cs="Arial"/>
                <w:color w:val="auto"/>
                <w:sz w:val="21"/>
                <w:szCs w:val="21"/>
              </w:rPr>
              <w:t>综合比较评分</w:t>
            </w:r>
            <w:r>
              <w:rPr>
                <w:rFonts w:hint="eastAsia" w:ascii="宋体" w:hAnsi="宋体" w:cs="宋体"/>
                <w:color w:val="auto"/>
                <w:sz w:val="21"/>
                <w:szCs w:val="21"/>
                <w:lang w:eastAsia="zh-CN"/>
              </w:rPr>
              <w:t>。</w:t>
            </w:r>
          </w:p>
          <w:p w14:paraId="6C51C942">
            <w:pPr>
              <w:pStyle w:val="9"/>
              <w:rPr>
                <w:rFonts w:hint="default"/>
                <w:color w:val="auto"/>
                <w:lang w:val="en-US" w:eastAsia="zh-CN"/>
              </w:rPr>
            </w:pPr>
            <w:r>
              <w:rPr>
                <w:rFonts w:hint="eastAsia" w:ascii="宋体" w:hAnsi="宋体" w:eastAsia="宋体" w:cs="宋体"/>
                <w:color w:val="auto"/>
                <w:lang w:val="en-US" w:eastAsia="zh-CN"/>
              </w:rPr>
              <w:t>一档6-4分、二挡4-2分、一档2-0分。</w:t>
            </w:r>
          </w:p>
        </w:tc>
        <w:tc>
          <w:tcPr>
            <w:tcW w:w="713" w:type="dxa"/>
            <w:noWrap w:val="0"/>
            <w:vAlign w:val="center"/>
          </w:tcPr>
          <w:p w14:paraId="1A305BEA">
            <w:pPr>
              <w:adjustRightInd w:val="0"/>
              <w:snapToGrid w:val="0"/>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w:t>
            </w:r>
          </w:p>
        </w:tc>
      </w:tr>
      <w:tr w14:paraId="0258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543" w:type="dxa"/>
            <w:vMerge w:val="continue"/>
            <w:noWrap w:val="0"/>
            <w:vAlign w:val="center"/>
          </w:tcPr>
          <w:p w14:paraId="093EF6E4">
            <w:pPr>
              <w:adjustRightInd w:val="0"/>
              <w:snapToGrid w:val="0"/>
              <w:spacing w:line="360" w:lineRule="auto"/>
              <w:jc w:val="center"/>
              <w:rPr>
                <w:rFonts w:hint="eastAsia" w:cs="Times New Roman"/>
                <w:color w:val="auto"/>
                <w:kern w:val="2"/>
                <w:sz w:val="21"/>
                <w:szCs w:val="24"/>
                <w:lang w:val="en-US" w:eastAsia="zh-CN" w:bidi="ar-SA"/>
              </w:rPr>
            </w:pPr>
          </w:p>
        </w:tc>
        <w:tc>
          <w:tcPr>
            <w:tcW w:w="7598" w:type="dxa"/>
            <w:shd w:val="clear" w:color="auto" w:fill="auto"/>
            <w:noWrap w:val="0"/>
            <w:vAlign w:val="center"/>
          </w:tcPr>
          <w:p w14:paraId="270A98C6">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bCs/>
                <w:color w:val="auto"/>
                <w:sz w:val="21"/>
                <w:szCs w:val="21"/>
              </w:rPr>
              <w:t>根据采购人需求，</w:t>
            </w:r>
            <w:r>
              <w:rPr>
                <w:rFonts w:hint="eastAsia" w:ascii="宋体" w:hAnsi="宋体" w:eastAsia="宋体" w:cs="宋体"/>
                <w:color w:val="auto"/>
                <w:sz w:val="21"/>
                <w:szCs w:val="21"/>
              </w:rPr>
              <w:t>户外</w:t>
            </w:r>
            <w:r>
              <w:rPr>
                <w:rFonts w:hint="eastAsia" w:ascii="宋体" w:hAnsi="宋体" w:eastAsia="宋体" w:cs="宋体"/>
                <w:color w:val="auto"/>
                <w:sz w:val="21"/>
                <w:szCs w:val="21"/>
                <w:lang w:val="en-US" w:eastAsia="zh-CN"/>
              </w:rPr>
              <w:t>区域</w:t>
            </w:r>
            <w:r>
              <w:rPr>
                <w:rFonts w:hint="eastAsia" w:ascii="宋体" w:hAnsi="宋体" w:eastAsia="宋体" w:cs="宋体"/>
                <w:color w:val="auto"/>
                <w:sz w:val="21"/>
                <w:szCs w:val="21"/>
              </w:rPr>
              <w:t>整体布置</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效果图</w:t>
            </w:r>
            <w:r>
              <w:rPr>
                <w:rFonts w:hint="eastAsia" w:ascii="宋体" w:hAnsi="宋体" w:eastAsia="宋体" w:cs="宋体"/>
                <w:color w:val="auto"/>
                <w:sz w:val="21"/>
                <w:szCs w:val="21"/>
                <w:highlight w:val="none"/>
                <w:lang w:val="en-US" w:eastAsia="zh-CN"/>
              </w:rPr>
              <w:t>：</w:t>
            </w:r>
          </w:p>
          <w:p w14:paraId="71AA475D">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①产品工艺材质及安全等性能指标：</w:t>
            </w:r>
          </w:p>
          <w:p w14:paraId="4A2C2E72">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根据所投产品工艺精湛、制作精美、细节处理精致，安全性考虑全面，安全措施完善，性能指标等进行打分。</w:t>
            </w:r>
            <w:r>
              <w:rPr>
                <w:rFonts w:hint="eastAsia" w:ascii="宋体" w:hAnsi="宋体" w:eastAsia="宋体" w:cs="宋体"/>
                <w:color w:val="auto"/>
                <w:kern w:val="0"/>
                <w:sz w:val="21"/>
                <w:szCs w:val="21"/>
              </w:rPr>
              <w:t>（0-</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分）</w:t>
            </w:r>
          </w:p>
          <w:p w14:paraId="1AB111D6">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②产品适应性：</w:t>
            </w:r>
          </w:p>
          <w:p w14:paraId="086C4402">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根据所投产品与现场结合完美、空间利用合理，与教学理念、周围环境自然融合进行打分。</w:t>
            </w:r>
            <w:r>
              <w:rPr>
                <w:rFonts w:hint="eastAsia" w:ascii="宋体" w:hAnsi="宋体" w:eastAsia="宋体" w:cs="宋体"/>
                <w:color w:val="auto"/>
                <w:kern w:val="0"/>
                <w:sz w:val="21"/>
                <w:szCs w:val="21"/>
              </w:rPr>
              <w:t>（0-</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分）</w:t>
            </w:r>
          </w:p>
          <w:p w14:paraId="03D5655B">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③产品互动性：</w:t>
            </w:r>
          </w:p>
          <w:p w14:paraId="31CC39C0">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根据所投产品的上下出入口和游戏平台多方位、多通道、多形式，便于游戏时流通及交流，游戏互动性强进行打分。</w:t>
            </w:r>
            <w:r>
              <w:rPr>
                <w:rFonts w:hint="eastAsia" w:ascii="宋体" w:hAnsi="宋体" w:eastAsia="宋体" w:cs="宋体"/>
                <w:color w:val="auto"/>
                <w:kern w:val="0"/>
                <w:sz w:val="21"/>
                <w:szCs w:val="21"/>
              </w:rPr>
              <w:t>（0-</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分）</w:t>
            </w:r>
          </w:p>
          <w:p w14:paraId="60D6AACA">
            <w:pPr>
              <w:pStyle w:val="6"/>
              <w:keepNext w:val="0"/>
              <w:keepLines w:val="0"/>
              <w:pageBreakBefore w:val="0"/>
              <w:widowControl/>
              <w:kinsoku/>
              <w:wordWrap/>
              <w:overflowPunct/>
              <w:topLinePunct w:val="0"/>
              <w:autoSpaceDE/>
              <w:autoSpaceDN/>
              <w:bidi w:val="0"/>
              <w:adjustRightInd/>
              <w:spacing w:line="340" w:lineRule="exact"/>
              <w:ind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④产品趣味性：</w:t>
            </w:r>
          </w:p>
          <w:p w14:paraId="7E426940">
            <w:pPr>
              <w:pStyle w:val="6"/>
              <w:keepNext w:val="0"/>
              <w:keepLines w:val="0"/>
              <w:pageBreakBefore w:val="0"/>
              <w:widowControl/>
              <w:kinsoku/>
              <w:wordWrap/>
              <w:overflowPunct/>
              <w:topLinePunct w:val="0"/>
              <w:autoSpaceDE/>
              <w:autoSpaceDN/>
              <w:bidi w:val="0"/>
              <w:adjustRightInd/>
              <w:spacing w:line="340" w:lineRule="exact"/>
              <w:ind w:right="0" w:firstLine="0" w:firstLineChars="0"/>
              <w:jc w:val="both"/>
              <w:textAlignment w:val="auto"/>
              <w:rPr>
                <w:rFonts w:hint="eastAsia" w:ascii="宋体" w:hAnsi="宋体" w:eastAsia="宋体" w:cs="宋体"/>
                <w:color w:val="auto"/>
                <w:kern w:val="0"/>
                <w:sz w:val="21"/>
                <w:szCs w:val="21"/>
              </w:rPr>
            </w:pPr>
            <w:r>
              <w:rPr>
                <w:rFonts w:hint="eastAsia" w:ascii="宋体" w:hAnsi="宋体" w:eastAsia="宋体" w:cs="宋体"/>
                <w:color w:val="auto"/>
                <w:sz w:val="21"/>
                <w:szCs w:val="21"/>
              </w:rPr>
              <w:t>根据所投产品的富挑战性、富观察性、趣味性、开放性，能引起孩子玩耍的兴趣，能鼓励他们探索环境，增强各方面能力进行打分。</w:t>
            </w:r>
            <w:r>
              <w:rPr>
                <w:rFonts w:hint="eastAsia" w:ascii="宋体" w:hAnsi="宋体" w:eastAsia="宋体" w:cs="宋体"/>
                <w:color w:val="auto"/>
                <w:kern w:val="0"/>
                <w:sz w:val="21"/>
                <w:szCs w:val="21"/>
              </w:rPr>
              <w:t>（0-</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分）</w:t>
            </w:r>
          </w:p>
          <w:p w14:paraId="10148B21">
            <w:pPr>
              <w:keepNext w:val="0"/>
              <w:keepLines w:val="0"/>
              <w:pageBreakBefore w:val="0"/>
              <w:widowControl/>
              <w:suppressLineNumbers w:val="0"/>
              <w:kinsoku/>
              <w:wordWrap/>
              <w:overflowPunct/>
              <w:topLinePunct w:val="0"/>
              <w:autoSpaceDE/>
              <w:autoSpaceDN/>
              <w:bidi w:val="0"/>
              <w:spacing w:line="340" w:lineRule="exact"/>
              <w:ind w:right="0" w:rightChars="0"/>
              <w:jc w:val="left"/>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备注：</w:t>
            </w:r>
            <w:r>
              <w:rPr>
                <w:rFonts w:hint="eastAsia" w:ascii="宋体" w:hAnsi="宋体" w:eastAsia="宋体" w:cs="宋体"/>
                <w:b w:val="0"/>
                <w:bCs w:val="0"/>
                <w:color w:val="auto"/>
                <w:sz w:val="21"/>
                <w:szCs w:val="21"/>
              </w:rPr>
              <w:t>提供详细的材质、图片及相关文字说明</w:t>
            </w:r>
            <w:r>
              <w:rPr>
                <w:rFonts w:hint="eastAsia" w:ascii="宋体" w:hAnsi="宋体" w:eastAsia="宋体" w:cs="宋体"/>
                <w:b w:val="0"/>
                <w:bCs w:val="0"/>
                <w:color w:val="auto"/>
                <w:sz w:val="21"/>
                <w:szCs w:val="21"/>
                <w:lang w:eastAsia="zh-CN"/>
              </w:rPr>
              <w:t>。</w:t>
            </w:r>
          </w:p>
        </w:tc>
        <w:tc>
          <w:tcPr>
            <w:tcW w:w="713" w:type="dxa"/>
            <w:noWrap w:val="0"/>
            <w:vAlign w:val="center"/>
          </w:tcPr>
          <w:p w14:paraId="36ABA79F">
            <w:pPr>
              <w:adjustRightInd w:val="0"/>
              <w:snapToGrid w:val="0"/>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8</w:t>
            </w:r>
          </w:p>
        </w:tc>
      </w:tr>
      <w:tr w14:paraId="03C7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543" w:type="dxa"/>
            <w:shd w:val="clear" w:color="auto" w:fill="auto"/>
            <w:noWrap w:val="0"/>
            <w:vAlign w:val="center"/>
          </w:tcPr>
          <w:p w14:paraId="1CC3ACBA">
            <w:pPr>
              <w:widowControl/>
              <w:spacing w:line="400" w:lineRule="exact"/>
              <w:jc w:val="both"/>
              <w:rPr>
                <w:rFonts w:hint="eastAsia" w:ascii="宋体" w:hAnsi="Times New Roman" w:eastAsia="宋体" w:cs="Times New Roman"/>
                <w:color w:val="auto"/>
                <w:kern w:val="2"/>
                <w:sz w:val="21"/>
                <w:szCs w:val="21"/>
                <w:lang w:val="en-US" w:eastAsia="zh-CN" w:bidi="ar-SA"/>
              </w:rPr>
            </w:pPr>
            <w:r>
              <w:rPr>
                <w:rFonts w:hint="eastAsia" w:ascii="宋体" w:hAnsi="宋体"/>
                <w:color w:val="auto"/>
                <w:szCs w:val="21"/>
              </w:rPr>
              <w:t>售后服务承诺</w:t>
            </w:r>
          </w:p>
        </w:tc>
        <w:tc>
          <w:tcPr>
            <w:tcW w:w="7598" w:type="dxa"/>
            <w:shd w:val="clear" w:color="auto" w:fill="auto"/>
            <w:noWrap w:val="0"/>
            <w:vAlign w:val="center"/>
          </w:tcPr>
          <w:p w14:paraId="7982CC2A">
            <w:pPr>
              <w:rPr>
                <w:color w:val="auto"/>
                <w:szCs w:val="21"/>
              </w:rPr>
            </w:pPr>
            <w:r>
              <w:rPr>
                <w:rFonts w:hint="eastAsia"/>
                <w:color w:val="auto"/>
                <w:szCs w:val="21"/>
              </w:rPr>
              <w:t>（</w:t>
            </w:r>
            <w:r>
              <w:rPr>
                <w:color w:val="auto"/>
                <w:szCs w:val="21"/>
              </w:rPr>
              <w:t>1</w:t>
            </w:r>
            <w:r>
              <w:rPr>
                <w:rFonts w:hint="eastAsia"/>
                <w:color w:val="auto"/>
                <w:szCs w:val="21"/>
              </w:rPr>
              <w:t>）售后服务方案全面、周到、有保障且耗材优惠幅度大，得</w:t>
            </w:r>
            <w:r>
              <w:rPr>
                <w:rFonts w:hint="eastAsia"/>
                <w:color w:val="auto"/>
                <w:szCs w:val="21"/>
                <w:lang w:val="en-US" w:eastAsia="zh-CN"/>
              </w:rPr>
              <w:t>5-3</w:t>
            </w:r>
            <w:r>
              <w:rPr>
                <w:rFonts w:hint="eastAsia"/>
                <w:color w:val="auto"/>
                <w:szCs w:val="21"/>
              </w:rPr>
              <w:t>分，售后服务方案不够全面周到等的，得</w:t>
            </w:r>
            <w:r>
              <w:rPr>
                <w:rFonts w:hint="eastAsia"/>
                <w:color w:val="auto"/>
                <w:szCs w:val="21"/>
                <w:lang w:val="en-US" w:eastAsia="zh-CN"/>
              </w:rPr>
              <w:t>2-0.5</w:t>
            </w:r>
            <w:r>
              <w:rPr>
                <w:rFonts w:hint="eastAsia"/>
                <w:color w:val="auto"/>
                <w:szCs w:val="21"/>
              </w:rPr>
              <w:t>分，除招标文件规定内容外无其他售后服务承诺的，该项不得分。（要求投标单位明确给出耗材优惠幅度）</w:t>
            </w:r>
          </w:p>
          <w:p w14:paraId="135C575B">
            <w:pPr>
              <w:rPr>
                <w:color w:val="auto"/>
                <w:szCs w:val="21"/>
              </w:rPr>
            </w:pPr>
            <w:r>
              <w:rPr>
                <w:rFonts w:hint="eastAsia"/>
                <w:color w:val="auto"/>
                <w:szCs w:val="21"/>
              </w:rPr>
              <w:t>（</w:t>
            </w:r>
            <w:r>
              <w:rPr>
                <w:color w:val="auto"/>
                <w:szCs w:val="21"/>
              </w:rPr>
              <w:t>2</w:t>
            </w:r>
            <w:r>
              <w:rPr>
                <w:rFonts w:hint="eastAsia"/>
                <w:color w:val="auto"/>
                <w:szCs w:val="21"/>
              </w:rPr>
              <w:t>）质保期要求2年，每增加</w:t>
            </w:r>
            <w:r>
              <w:rPr>
                <w:color w:val="auto"/>
                <w:szCs w:val="21"/>
              </w:rPr>
              <w:t>1</w:t>
            </w:r>
            <w:r>
              <w:rPr>
                <w:rFonts w:hint="eastAsia"/>
                <w:color w:val="auto"/>
                <w:szCs w:val="21"/>
              </w:rPr>
              <w:t>年加1分，最高加3分。</w:t>
            </w:r>
          </w:p>
          <w:p w14:paraId="5ED26D74">
            <w:pPr>
              <w:tabs>
                <w:tab w:val="left" w:pos="1080"/>
              </w:tabs>
              <w:spacing w:line="300" w:lineRule="exact"/>
              <w:rPr>
                <w:rFonts w:hint="eastAsia" w:ascii="宋体" w:hAnsi="Times New Roman" w:eastAsia="宋体" w:cs="Times New Roman"/>
                <w:color w:val="auto"/>
                <w:kern w:val="2"/>
                <w:sz w:val="21"/>
                <w:szCs w:val="21"/>
                <w:lang w:val="en-US" w:eastAsia="zh-CN" w:bidi="ar-SA"/>
              </w:rPr>
            </w:pPr>
            <w:r>
              <w:rPr>
                <w:rFonts w:hint="eastAsia"/>
                <w:color w:val="auto"/>
                <w:szCs w:val="21"/>
              </w:rPr>
              <w:t>（3）售后服务响应时间，由专家比较打分。</w:t>
            </w:r>
            <w:r>
              <w:rPr>
                <w:rFonts w:ascii="宋体" w:hAnsi="宋体"/>
                <w:color w:val="auto"/>
                <w:szCs w:val="21"/>
              </w:rPr>
              <w:t>0-</w:t>
            </w:r>
            <w:r>
              <w:rPr>
                <w:rFonts w:hint="eastAsia" w:ascii="宋体" w:hAnsi="宋体"/>
                <w:color w:val="auto"/>
                <w:szCs w:val="21"/>
              </w:rPr>
              <w:t>2分</w:t>
            </w:r>
          </w:p>
        </w:tc>
        <w:tc>
          <w:tcPr>
            <w:tcW w:w="713" w:type="dxa"/>
            <w:shd w:val="clear" w:color="auto" w:fill="auto"/>
            <w:noWrap w:val="0"/>
            <w:vAlign w:val="center"/>
          </w:tcPr>
          <w:p w14:paraId="6E21B95A">
            <w:pPr>
              <w:adjustRightInd w:val="0"/>
              <w:snapToGrid w:val="0"/>
              <w:jc w:val="center"/>
              <w:rPr>
                <w:rFonts w:hint="default" w:ascii="宋体" w:hAnsi="Times New Roman" w:eastAsia="宋体" w:cs="Times New Roman"/>
                <w:color w:val="auto"/>
                <w:kern w:val="2"/>
                <w:sz w:val="21"/>
                <w:szCs w:val="21"/>
                <w:lang w:val="en-US" w:eastAsia="zh-CN" w:bidi="ar-SA"/>
              </w:rPr>
            </w:pPr>
            <w:r>
              <w:rPr>
                <w:rFonts w:hint="eastAsia" w:ascii="宋体"/>
                <w:color w:val="auto"/>
                <w:szCs w:val="21"/>
                <w:lang w:val="en-US" w:eastAsia="zh-CN"/>
              </w:rPr>
              <w:t>10</w:t>
            </w:r>
          </w:p>
        </w:tc>
      </w:tr>
      <w:tr w14:paraId="1387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43" w:type="dxa"/>
            <w:noWrap w:val="0"/>
            <w:vAlign w:val="center"/>
          </w:tcPr>
          <w:p w14:paraId="0A45DB8C">
            <w:pPr>
              <w:adjustRightInd w:val="0"/>
              <w:snapToGrid w:val="0"/>
              <w:jc w:val="center"/>
              <w:rPr>
                <w:rFonts w:hint="eastAsia" w:hAnsi="宋体" w:eastAsia="宋体" w:cs="Arial"/>
                <w:color w:val="auto"/>
                <w:lang w:val="en-US" w:eastAsia="zh-CN"/>
              </w:rPr>
            </w:pPr>
            <w:r>
              <w:rPr>
                <w:rFonts w:hint="eastAsia" w:hAnsi="宋体" w:cs="Arial"/>
                <w:color w:val="auto"/>
                <w:lang w:val="en-US" w:eastAsia="zh-CN"/>
              </w:rPr>
              <w:t>业绩</w:t>
            </w:r>
          </w:p>
        </w:tc>
        <w:tc>
          <w:tcPr>
            <w:tcW w:w="7598" w:type="dxa"/>
            <w:noWrap w:val="0"/>
            <w:vAlign w:val="center"/>
          </w:tcPr>
          <w:p w14:paraId="7A96DF35">
            <w:pPr>
              <w:keepNext w:val="0"/>
              <w:keepLines w:val="0"/>
              <w:pageBreakBefore w:val="0"/>
              <w:widowControl/>
              <w:numPr>
                <w:ilvl w:val="0"/>
                <w:numId w:val="0"/>
              </w:numPr>
              <w:kinsoku/>
              <w:wordWrap/>
              <w:overflowPunct/>
              <w:topLinePunct w:val="0"/>
              <w:autoSpaceDN/>
              <w:bidi w:val="0"/>
              <w:adjustRightInd/>
              <w:snapToGrid/>
              <w:spacing w:line="340" w:lineRule="exact"/>
              <w:ind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自20</w:t>
            </w:r>
            <w:r>
              <w:rPr>
                <w:rFonts w:hint="eastAsia" w:ascii="宋体" w:hAnsi="宋体" w:eastAsia="宋体" w:cs="宋体"/>
                <w:color w:val="auto"/>
                <w:szCs w:val="21"/>
                <w:lang w:val="en-US" w:eastAsia="zh-CN"/>
              </w:rPr>
              <w:t>22</w:t>
            </w:r>
            <w:r>
              <w:rPr>
                <w:rFonts w:hint="eastAsia" w:ascii="宋体" w:hAnsi="宋体" w:eastAsia="宋体" w:cs="宋体"/>
                <w:color w:val="auto"/>
                <w:szCs w:val="21"/>
              </w:rPr>
              <w:t>年1月</w:t>
            </w:r>
            <w:r>
              <w:rPr>
                <w:rFonts w:hint="eastAsia" w:ascii="宋体" w:hAnsi="宋体" w:eastAsia="宋体" w:cs="宋体"/>
                <w:color w:val="auto"/>
                <w:szCs w:val="21"/>
                <w:lang w:val="en-US" w:eastAsia="zh-CN"/>
              </w:rPr>
              <w:t>1日</w:t>
            </w:r>
            <w:r>
              <w:rPr>
                <w:rFonts w:hint="eastAsia" w:ascii="宋体" w:hAnsi="宋体" w:eastAsia="宋体" w:cs="宋体"/>
                <w:color w:val="auto"/>
                <w:szCs w:val="21"/>
              </w:rPr>
              <w:t>以来</w:t>
            </w:r>
            <w:r>
              <w:rPr>
                <w:rFonts w:hint="eastAsia" w:ascii="宋体" w:hAnsi="宋体" w:eastAsia="宋体" w:cs="宋体"/>
                <w:color w:val="auto"/>
                <w:kern w:val="0"/>
                <w:szCs w:val="21"/>
                <w:highlight w:val="none"/>
                <w:lang w:val="en-US" w:eastAsia="zh-CN"/>
              </w:rPr>
              <w:t>（以合同签订日期为准）完成过</w:t>
            </w:r>
            <w:r>
              <w:rPr>
                <w:rFonts w:hint="eastAsia" w:ascii="宋体" w:hAnsi="宋体" w:eastAsia="宋体" w:cs="宋体"/>
                <w:color w:val="auto"/>
                <w:sz w:val="21"/>
                <w:szCs w:val="21"/>
                <w:highlight w:val="none"/>
                <w:lang w:val="en-US" w:eastAsia="zh-CN"/>
              </w:rPr>
              <w:t>类似项目的案例。每个案例得1分，最高得3分。</w:t>
            </w:r>
          </w:p>
          <w:p w14:paraId="1C4E269D">
            <w:pPr>
              <w:pStyle w:val="21"/>
              <w:ind w:left="0" w:leftChars="0" w:firstLine="0" w:firstLineChars="0"/>
              <w:rPr>
                <w:rFonts w:hint="default"/>
                <w:color w:val="auto"/>
                <w:lang w:val="en-US" w:eastAsia="zh-CN"/>
              </w:rPr>
            </w:pPr>
            <w:r>
              <w:rPr>
                <w:rFonts w:hint="eastAsia" w:ascii="宋体" w:hAnsi="宋体" w:eastAsia="宋体" w:cs="宋体"/>
                <w:color w:val="auto"/>
                <w:lang w:val="en-US" w:eastAsia="zh-CN"/>
              </w:rPr>
              <w:t>备注：提供合同扫描件。</w:t>
            </w:r>
          </w:p>
        </w:tc>
        <w:tc>
          <w:tcPr>
            <w:tcW w:w="713" w:type="dxa"/>
            <w:noWrap w:val="0"/>
            <w:vAlign w:val="center"/>
          </w:tcPr>
          <w:p w14:paraId="01CE5FAF">
            <w:pPr>
              <w:adjustRightInd w:val="0"/>
              <w:snapToGrid w:val="0"/>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w:t>
            </w:r>
          </w:p>
        </w:tc>
      </w:tr>
      <w:tr w14:paraId="6E6F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543" w:type="dxa"/>
            <w:noWrap w:val="0"/>
            <w:vAlign w:val="center"/>
          </w:tcPr>
          <w:p w14:paraId="2C517C08">
            <w:pPr>
              <w:spacing w:line="360" w:lineRule="auto"/>
              <w:jc w:val="center"/>
              <w:rPr>
                <w:rFonts w:hint="eastAsia" w:ascii="宋体" w:hAnsi="宋体" w:cs="宋体"/>
                <w:color w:val="auto"/>
                <w:szCs w:val="21"/>
              </w:rPr>
            </w:pPr>
            <w:r>
              <w:rPr>
                <w:rFonts w:hint="eastAsia" w:ascii="宋体" w:hAnsi="宋体" w:cs="宋体"/>
                <w:color w:val="auto"/>
                <w:kern w:val="0"/>
                <w:szCs w:val="21"/>
              </w:rPr>
              <w:t>产品价格</w:t>
            </w:r>
          </w:p>
        </w:tc>
        <w:tc>
          <w:tcPr>
            <w:tcW w:w="7598" w:type="dxa"/>
            <w:noWrap w:val="0"/>
            <w:vAlign w:val="center"/>
          </w:tcPr>
          <w:p w14:paraId="648BDA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Cs/>
                <w:color w:val="auto"/>
                <w:szCs w:val="21"/>
              </w:rPr>
            </w:pPr>
            <w:r>
              <w:rPr>
                <w:rFonts w:hint="eastAsia" w:ascii="宋体" w:hAnsi="宋体" w:cs="宋体"/>
                <w:color w:val="auto"/>
                <w:szCs w:val="21"/>
              </w:rPr>
              <w:t>取投标合格供应商的投标最终报价最低价为基准价。基准价为</w:t>
            </w:r>
            <w:r>
              <w:rPr>
                <w:rFonts w:hint="eastAsia" w:ascii="宋体" w:hAnsi="宋体" w:cs="宋体"/>
                <w:color w:val="auto"/>
                <w:szCs w:val="21"/>
                <w:lang w:val="en-US" w:eastAsia="zh-CN"/>
              </w:rPr>
              <w:t>30</w:t>
            </w:r>
            <w:r>
              <w:rPr>
                <w:rFonts w:hint="eastAsia" w:ascii="宋体" w:hAnsi="宋体" w:cs="宋体"/>
                <w:color w:val="auto"/>
                <w:szCs w:val="21"/>
              </w:rPr>
              <w:t>分。投标报价得分＝（评标基准价/最终投标报价）×</w:t>
            </w:r>
            <w:r>
              <w:rPr>
                <w:rFonts w:hint="eastAsia" w:ascii="宋体" w:hAnsi="宋体" w:cs="宋体"/>
                <w:color w:val="auto"/>
                <w:szCs w:val="21"/>
                <w:lang w:val="en-US" w:eastAsia="zh-CN"/>
              </w:rPr>
              <w:t>30</w:t>
            </w:r>
            <w:r>
              <w:rPr>
                <w:rFonts w:hint="eastAsia" w:ascii="宋体" w:hAnsi="宋体" w:cs="宋体"/>
                <w:color w:val="auto"/>
                <w:szCs w:val="21"/>
              </w:rPr>
              <w:t>%×100（小数点后保留2位小数）。</w:t>
            </w:r>
          </w:p>
        </w:tc>
        <w:tc>
          <w:tcPr>
            <w:tcW w:w="713" w:type="dxa"/>
            <w:noWrap w:val="0"/>
            <w:vAlign w:val="center"/>
          </w:tcPr>
          <w:p w14:paraId="31C737DE">
            <w:pPr>
              <w:adjustRightInd w:val="0"/>
              <w:snapToGrid w:val="0"/>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30</w:t>
            </w:r>
          </w:p>
        </w:tc>
      </w:tr>
    </w:tbl>
    <w:p w14:paraId="35F74CFD">
      <w:pPr>
        <w:snapToGrid w:val="0"/>
        <w:spacing w:line="460" w:lineRule="atLeast"/>
        <w:rPr>
          <w:rFonts w:hint="eastAsia" w:ascii="宋体"/>
          <w:b/>
          <w:color w:val="auto"/>
          <w:szCs w:val="21"/>
        </w:rPr>
      </w:pPr>
    </w:p>
    <w:p w14:paraId="399EC1A8">
      <w:pPr>
        <w:snapToGrid w:val="0"/>
        <w:spacing w:line="460" w:lineRule="atLeast"/>
        <w:rPr>
          <w:rFonts w:hint="eastAsia" w:ascii="宋体"/>
          <w:b/>
          <w:color w:val="auto"/>
          <w:szCs w:val="21"/>
        </w:rPr>
      </w:pPr>
    </w:p>
    <w:p w14:paraId="53D5C029">
      <w:pPr>
        <w:snapToGrid w:val="0"/>
        <w:spacing w:line="460" w:lineRule="atLeast"/>
        <w:rPr>
          <w:rFonts w:hint="eastAsia" w:ascii="宋体"/>
          <w:b/>
          <w:color w:val="auto"/>
          <w:szCs w:val="21"/>
        </w:rPr>
      </w:pPr>
    </w:p>
    <w:p w14:paraId="47024AAB">
      <w:pPr>
        <w:snapToGrid w:val="0"/>
        <w:spacing w:line="460" w:lineRule="atLeast"/>
        <w:rPr>
          <w:rFonts w:hint="eastAsia" w:ascii="宋体"/>
          <w:b/>
          <w:color w:val="auto"/>
          <w:szCs w:val="21"/>
        </w:rPr>
      </w:pPr>
    </w:p>
    <w:p w14:paraId="569F79BE">
      <w:pPr>
        <w:snapToGrid w:val="0"/>
        <w:spacing w:line="460" w:lineRule="atLeast"/>
        <w:rPr>
          <w:rFonts w:hint="eastAsia" w:ascii="宋体"/>
          <w:b/>
          <w:color w:val="auto"/>
          <w:szCs w:val="21"/>
        </w:rPr>
      </w:pPr>
    </w:p>
    <w:p w14:paraId="2072815A">
      <w:pPr>
        <w:snapToGrid w:val="0"/>
        <w:spacing w:line="460" w:lineRule="atLeast"/>
        <w:rPr>
          <w:rFonts w:hint="eastAsia" w:ascii="宋体"/>
          <w:b/>
          <w:color w:val="auto"/>
          <w:szCs w:val="21"/>
        </w:rPr>
      </w:pPr>
    </w:p>
    <w:p w14:paraId="5D2FF7BA">
      <w:pPr>
        <w:snapToGrid w:val="0"/>
        <w:spacing w:line="460" w:lineRule="atLeast"/>
        <w:rPr>
          <w:rFonts w:hint="eastAsia" w:ascii="宋体"/>
          <w:b/>
          <w:color w:val="auto"/>
          <w:szCs w:val="21"/>
        </w:rPr>
      </w:pPr>
    </w:p>
    <w:p w14:paraId="7929B263">
      <w:pPr>
        <w:snapToGrid w:val="0"/>
        <w:spacing w:line="460" w:lineRule="atLeast"/>
        <w:rPr>
          <w:rFonts w:hint="eastAsia" w:ascii="宋体"/>
          <w:b/>
          <w:color w:val="auto"/>
          <w:szCs w:val="21"/>
        </w:rPr>
      </w:pPr>
    </w:p>
    <w:p w14:paraId="3024FF08">
      <w:pPr>
        <w:snapToGrid w:val="0"/>
        <w:spacing w:line="460" w:lineRule="atLeast"/>
        <w:rPr>
          <w:rFonts w:hint="eastAsia" w:ascii="宋体"/>
          <w:b/>
          <w:color w:val="auto"/>
          <w:szCs w:val="21"/>
        </w:rPr>
      </w:pPr>
    </w:p>
    <w:p w14:paraId="3C36EE9B">
      <w:pPr>
        <w:snapToGrid w:val="0"/>
        <w:spacing w:line="460" w:lineRule="atLeast"/>
        <w:rPr>
          <w:rFonts w:hint="eastAsia" w:ascii="宋体"/>
          <w:b/>
          <w:color w:val="auto"/>
          <w:szCs w:val="21"/>
        </w:rPr>
      </w:pPr>
    </w:p>
    <w:p w14:paraId="0ACCC098">
      <w:pPr>
        <w:snapToGrid w:val="0"/>
        <w:spacing w:line="460" w:lineRule="atLeast"/>
        <w:rPr>
          <w:rFonts w:hint="eastAsia" w:ascii="宋体"/>
          <w:b/>
          <w:color w:val="auto"/>
          <w:szCs w:val="21"/>
        </w:rPr>
      </w:pPr>
    </w:p>
    <w:p w14:paraId="554C6D9D">
      <w:pPr>
        <w:snapToGrid w:val="0"/>
        <w:spacing w:line="460" w:lineRule="atLeast"/>
        <w:rPr>
          <w:rFonts w:hint="eastAsia" w:ascii="宋体"/>
          <w:b/>
          <w:color w:val="auto"/>
          <w:szCs w:val="21"/>
        </w:rPr>
      </w:pPr>
    </w:p>
    <w:p w14:paraId="644069DA">
      <w:pPr>
        <w:snapToGrid w:val="0"/>
        <w:spacing w:line="460" w:lineRule="atLeast"/>
        <w:rPr>
          <w:rFonts w:hint="eastAsia" w:ascii="宋体"/>
          <w:b/>
          <w:color w:val="auto"/>
          <w:szCs w:val="21"/>
        </w:rPr>
      </w:pPr>
    </w:p>
    <w:p w14:paraId="6C4C0558">
      <w:pPr>
        <w:snapToGrid w:val="0"/>
        <w:spacing w:line="460" w:lineRule="atLeast"/>
        <w:rPr>
          <w:rFonts w:hint="eastAsia" w:ascii="宋体"/>
          <w:b/>
          <w:color w:val="auto"/>
          <w:szCs w:val="21"/>
        </w:rPr>
      </w:pPr>
    </w:p>
    <w:p w14:paraId="1C61E4BE">
      <w:pPr>
        <w:snapToGrid w:val="0"/>
        <w:spacing w:line="460" w:lineRule="atLeast"/>
        <w:rPr>
          <w:rFonts w:hint="eastAsia" w:ascii="宋体"/>
          <w:b/>
          <w:color w:val="auto"/>
          <w:szCs w:val="21"/>
        </w:rPr>
      </w:pPr>
    </w:p>
    <w:p w14:paraId="314E57EF">
      <w:pPr>
        <w:snapToGrid w:val="0"/>
        <w:spacing w:line="460" w:lineRule="atLeast"/>
        <w:rPr>
          <w:rFonts w:hint="eastAsia" w:ascii="宋体"/>
          <w:b/>
          <w:color w:val="auto"/>
          <w:szCs w:val="21"/>
        </w:rPr>
      </w:pPr>
    </w:p>
    <w:p w14:paraId="4ECD3565">
      <w:pPr>
        <w:snapToGrid w:val="0"/>
        <w:spacing w:line="460" w:lineRule="atLeast"/>
        <w:rPr>
          <w:rFonts w:hint="eastAsia" w:ascii="宋体"/>
          <w:b/>
          <w:color w:val="auto"/>
          <w:szCs w:val="21"/>
        </w:rPr>
      </w:pPr>
    </w:p>
    <w:p w14:paraId="048AB02F">
      <w:pPr>
        <w:snapToGrid w:val="0"/>
        <w:spacing w:line="460" w:lineRule="atLeast"/>
        <w:rPr>
          <w:rFonts w:hint="eastAsia" w:ascii="宋体"/>
          <w:b/>
          <w:color w:val="auto"/>
          <w:szCs w:val="21"/>
        </w:rPr>
      </w:pPr>
    </w:p>
    <w:p w14:paraId="17AFEC5E">
      <w:pPr>
        <w:snapToGrid w:val="0"/>
        <w:spacing w:line="460" w:lineRule="atLeast"/>
        <w:rPr>
          <w:rFonts w:hint="eastAsia" w:ascii="宋体"/>
          <w:b/>
          <w:color w:val="auto"/>
          <w:szCs w:val="21"/>
        </w:rPr>
      </w:pPr>
    </w:p>
    <w:p w14:paraId="1E43AAB9">
      <w:pPr>
        <w:numPr>
          <w:ilvl w:val="0"/>
          <w:numId w:val="0"/>
        </w:numPr>
        <w:spacing w:line="360" w:lineRule="auto"/>
        <w:jc w:val="center"/>
        <w:rPr>
          <w:rFonts w:ascii="宋体"/>
          <w:b/>
          <w:color w:val="auto"/>
          <w:sz w:val="30"/>
          <w:szCs w:val="30"/>
        </w:rPr>
      </w:pPr>
      <w:r>
        <w:rPr>
          <w:rFonts w:hint="eastAsia" w:ascii="宋体" w:cs="Times New Roman"/>
          <w:b/>
          <w:color w:val="auto"/>
          <w:kern w:val="2"/>
          <w:sz w:val="30"/>
          <w:szCs w:val="30"/>
          <w:lang w:val="en-US" w:eastAsia="zh-CN" w:bidi="ar-SA"/>
        </w:rPr>
        <w:t xml:space="preserve">第四章 </w:t>
      </w:r>
      <w:r>
        <w:rPr>
          <w:rFonts w:hint="eastAsia" w:ascii="宋体" w:hAnsi="宋体" w:cs="宋体"/>
          <w:b/>
          <w:color w:val="auto"/>
          <w:sz w:val="30"/>
          <w:szCs w:val="30"/>
        </w:rPr>
        <w:t>公开招标需求</w:t>
      </w:r>
    </w:p>
    <w:bookmarkEnd w:id="0"/>
    <w:bookmarkEnd w:id="1"/>
    <w:p w14:paraId="520A7C14">
      <w:pPr>
        <w:widowControl/>
        <w:shd w:val="clear" w:color="auto" w:fill="FFFFFF"/>
        <w:spacing w:line="360" w:lineRule="auto"/>
        <w:rPr>
          <w:rFonts w:hint="eastAsia" w:ascii="宋体" w:hAnsi="宋体" w:cs="宋体"/>
          <w:b/>
          <w:color w:val="auto"/>
          <w:szCs w:val="21"/>
        </w:rPr>
      </w:pPr>
    </w:p>
    <w:p w14:paraId="591F7872">
      <w:pPr>
        <w:tabs>
          <w:tab w:val="left" w:pos="8280"/>
        </w:tabs>
        <w:autoSpaceDE w:val="0"/>
        <w:autoSpaceDN w:val="0"/>
        <w:adjustRightInd w:val="0"/>
        <w:spacing w:line="360" w:lineRule="auto"/>
        <w:ind w:right="25"/>
        <w:rPr>
          <w:rFonts w:ascii="宋体"/>
          <w:color w:val="auto"/>
          <w:szCs w:val="21"/>
        </w:rPr>
      </w:pPr>
      <w:r>
        <w:rPr>
          <w:rFonts w:hint="eastAsia" w:ascii="宋体" w:hAnsi="宋体"/>
          <w:b/>
          <w:color w:val="auto"/>
          <w:szCs w:val="21"/>
        </w:rPr>
        <w:t>一、招标项目一览表</w:t>
      </w:r>
    </w:p>
    <w:p w14:paraId="222040CD">
      <w:pPr>
        <w:tabs>
          <w:tab w:val="left" w:pos="8280"/>
        </w:tabs>
        <w:autoSpaceDE w:val="0"/>
        <w:autoSpaceDN w:val="0"/>
        <w:adjustRightInd w:val="0"/>
        <w:spacing w:line="360" w:lineRule="auto"/>
        <w:ind w:right="25" w:firstLine="280"/>
        <w:rPr>
          <w:rFonts w:ascii="宋体"/>
          <w:color w:val="auto"/>
          <w:szCs w:val="21"/>
        </w:rPr>
      </w:pPr>
      <w:r>
        <w:rPr>
          <w:rFonts w:hint="eastAsia" w:ascii="宋体" w:hAnsi="宋体"/>
          <w:color w:val="auto"/>
          <w:szCs w:val="21"/>
        </w:rPr>
        <w:t>本次招标共</w:t>
      </w:r>
      <w:r>
        <w:rPr>
          <w:rFonts w:ascii="宋体" w:hAnsi="宋体"/>
          <w:color w:val="auto"/>
          <w:szCs w:val="21"/>
          <w:u w:val="single"/>
        </w:rPr>
        <w:t xml:space="preserve"> 1 </w:t>
      </w:r>
      <w:r>
        <w:rPr>
          <w:rFonts w:hint="eastAsia" w:ascii="宋体" w:hAnsi="宋体"/>
          <w:color w:val="auto"/>
          <w:szCs w:val="21"/>
        </w:rPr>
        <w:t>个标段，具体内容如下表：</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20"/>
        <w:gridCol w:w="1620"/>
        <w:gridCol w:w="843"/>
        <w:gridCol w:w="882"/>
        <w:gridCol w:w="1101"/>
        <w:gridCol w:w="2060"/>
      </w:tblGrid>
      <w:tr w14:paraId="2268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828" w:type="dxa"/>
            <w:noWrap w:val="0"/>
            <w:vAlign w:val="center"/>
          </w:tcPr>
          <w:p w14:paraId="02FC87C3">
            <w:pPr>
              <w:tabs>
                <w:tab w:val="left" w:pos="8280"/>
              </w:tabs>
              <w:autoSpaceDE w:val="0"/>
              <w:autoSpaceDN w:val="0"/>
              <w:adjustRightInd w:val="0"/>
              <w:ind w:right="25"/>
              <w:jc w:val="center"/>
              <w:rPr>
                <w:rFonts w:ascii="宋体"/>
                <w:b/>
                <w:color w:val="auto"/>
                <w:szCs w:val="21"/>
              </w:rPr>
            </w:pPr>
            <w:r>
              <w:rPr>
                <w:rFonts w:hint="eastAsia" w:ascii="宋体" w:hAnsi="宋体"/>
                <w:b/>
                <w:color w:val="auto"/>
                <w:szCs w:val="21"/>
              </w:rPr>
              <w:t>标段号</w:t>
            </w:r>
          </w:p>
        </w:tc>
        <w:tc>
          <w:tcPr>
            <w:tcW w:w="2520" w:type="dxa"/>
            <w:noWrap w:val="0"/>
            <w:vAlign w:val="center"/>
          </w:tcPr>
          <w:p w14:paraId="1CADC5B1">
            <w:pPr>
              <w:tabs>
                <w:tab w:val="left" w:pos="8280"/>
              </w:tabs>
              <w:autoSpaceDE w:val="0"/>
              <w:autoSpaceDN w:val="0"/>
              <w:adjustRightInd w:val="0"/>
              <w:ind w:right="25" w:firstLine="105" w:firstLineChars="50"/>
              <w:jc w:val="center"/>
              <w:rPr>
                <w:rFonts w:ascii="宋体"/>
                <w:b/>
                <w:color w:val="auto"/>
                <w:szCs w:val="21"/>
              </w:rPr>
            </w:pPr>
            <w:r>
              <w:rPr>
                <w:rFonts w:hint="eastAsia" w:ascii="宋体" w:hAnsi="宋体"/>
                <w:b/>
                <w:color w:val="auto"/>
                <w:szCs w:val="21"/>
              </w:rPr>
              <w:t>项目名称</w:t>
            </w:r>
          </w:p>
        </w:tc>
        <w:tc>
          <w:tcPr>
            <w:tcW w:w="1620" w:type="dxa"/>
            <w:noWrap w:val="0"/>
            <w:vAlign w:val="center"/>
          </w:tcPr>
          <w:p w14:paraId="596888A5">
            <w:pPr>
              <w:tabs>
                <w:tab w:val="left" w:pos="8280"/>
              </w:tabs>
              <w:autoSpaceDE w:val="0"/>
              <w:autoSpaceDN w:val="0"/>
              <w:adjustRightInd w:val="0"/>
              <w:ind w:right="25"/>
              <w:rPr>
                <w:rFonts w:ascii="宋体"/>
                <w:b/>
                <w:color w:val="auto"/>
                <w:szCs w:val="21"/>
              </w:rPr>
            </w:pPr>
            <w:r>
              <w:rPr>
                <w:rFonts w:hint="eastAsia" w:ascii="宋体" w:hAnsi="宋体" w:cs="宋体"/>
                <w:b/>
                <w:color w:val="auto"/>
                <w:kern w:val="0"/>
                <w:szCs w:val="21"/>
              </w:rPr>
              <w:t>简要技术要求</w:t>
            </w:r>
          </w:p>
        </w:tc>
        <w:tc>
          <w:tcPr>
            <w:tcW w:w="843" w:type="dxa"/>
            <w:noWrap w:val="0"/>
            <w:vAlign w:val="center"/>
          </w:tcPr>
          <w:p w14:paraId="2AE3EB81">
            <w:pPr>
              <w:tabs>
                <w:tab w:val="left" w:pos="8280"/>
              </w:tabs>
              <w:autoSpaceDE w:val="0"/>
              <w:autoSpaceDN w:val="0"/>
              <w:adjustRightInd w:val="0"/>
              <w:ind w:right="25"/>
              <w:jc w:val="center"/>
              <w:rPr>
                <w:rFonts w:ascii="宋体"/>
                <w:b/>
                <w:color w:val="auto"/>
                <w:szCs w:val="21"/>
              </w:rPr>
            </w:pPr>
            <w:r>
              <w:rPr>
                <w:rFonts w:hint="eastAsia" w:ascii="宋体" w:hAnsi="宋体"/>
                <w:b/>
                <w:color w:val="auto"/>
                <w:szCs w:val="21"/>
              </w:rPr>
              <w:t>数量</w:t>
            </w:r>
          </w:p>
        </w:tc>
        <w:tc>
          <w:tcPr>
            <w:tcW w:w="882" w:type="dxa"/>
            <w:noWrap w:val="0"/>
            <w:vAlign w:val="center"/>
          </w:tcPr>
          <w:p w14:paraId="444EE831">
            <w:pPr>
              <w:tabs>
                <w:tab w:val="left" w:pos="8280"/>
              </w:tabs>
              <w:autoSpaceDE w:val="0"/>
              <w:autoSpaceDN w:val="0"/>
              <w:adjustRightInd w:val="0"/>
              <w:ind w:right="25"/>
              <w:jc w:val="center"/>
              <w:rPr>
                <w:rFonts w:ascii="宋体"/>
                <w:b/>
                <w:color w:val="auto"/>
                <w:szCs w:val="21"/>
              </w:rPr>
            </w:pPr>
            <w:r>
              <w:rPr>
                <w:rFonts w:hint="eastAsia" w:ascii="宋体" w:hAnsi="宋体"/>
                <w:b/>
                <w:color w:val="auto"/>
                <w:szCs w:val="21"/>
              </w:rPr>
              <w:t>单位</w:t>
            </w:r>
          </w:p>
        </w:tc>
        <w:tc>
          <w:tcPr>
            <w:tcW w:w="1101" w:type="dxa"/>
            <w:noWrap w:val="0"/>
            <w:vAlign w:val="center"/>
          </w:tcPr>
          <w:p w14:paraId="2F1AE6E1">
            <w:pPr>
              <w:tabs>
                <w:tab w:val="left" w:pos="8280"/>
              </w:tabs>
              <w:autoSpaceDE w:val="0"/>
              <w:autoSpaceDN w:val="0"/>
              <w:adjustRightInd w:val="0"/>
              <w:ind w:right="25"/>
              <w:jc w:val="center"/>
              <w:rPr>
                <w:rFonts w:ascii="宋体"/>
                <w:b/>
                <w:color w:val="auto"/>
                <w:szCs w:val="21"/>
              </w:rPr>
            </w:pPr>
            <w:r>
              <w:rPr>
                <w:rFonts w:hint="eastAsia" w:ascii="宋体" w:hAnsi="宋体"/>
                <w:b/>
                <w:color w:val="auto"/>
                <w:szCs w:val="21"/>
              </w:rPr>
              <w:t>预</w:t>
            </w:r>
            <w:r>
              <w:rPr>
                <w:rFonts w:ascii="宋体" w:hAnsi="宋体"/>
                <w:b/>
                <w:color w:val="auto"/>
                <w:szCs w:val="21"/>
              </w:rPr>
              <w:t xml:space="preserve"> </w:t>
            </w:r>
            <w:r>
              <w:rPr>
                <w:rFonts w:hint="eastAsia" w:ascii="宋体" w:hAnsi="宋体"/>
                <w:b/>
                <w:color w:val="auto"/>
                <w:szCs w:val="21"/>
              </w:rPr>
              <w:t>算</w:t>
            </w:r>
          </w:p>
          <w:p w14:paraId="1796C9A7">
            <w:pPr>
              <w:tabs>
                <w:tab w:val="left" w:pos="8280"/>
              </w:tabs>
              <w:autoSpaceDE w:val="0"/>
              <w:autoSpaceDN w:val="0"/>
              <w:adjustRightInd w:val="0"/>
              <w:ind w:right="25"/>
              <w:jc w:val="center"/>
              <w:rPr>
                <w:rFonts w:ascii="宋体"/>
                <w:b/>
                <w:color w:val="auto"/>
                <w:szCs w:val="21"/>
              </w:rPr>
            </w:pPr>
            <w:r>
              <w:rPr>
                <w:rFonts w:hint="eastAsia" w:ascii="宋体" w:hAnsi="宋体"/>
                <w:b/>
                <w:color w:val="auto"/>
                <w:szCs w:val="21"/>
              </w:rPr>
              <w:t>（元）</w:t>
            </w:r>
          </w:p>
        </w:tc>
        <w:tc>
          <w:tcPr>
            <w:tcW w:w="2060" w:type="dxa"/>
            <w:noWrap w:val="0"/>
            <w:vAlign w:val="center"/>
          </w:tcPr>
          <w:p w14:paraId="0CE419CC">
            <w:pPr>
              <w:tabs>
                <w:tab w:val="left" w:pos="8280"/>
              </w:tabs>
              <w:autoSpaceDE w:val="0"/>
              <w:autoSpaceDN w:val="0"/>
              <w:adjustRightInd w:val="0"/>
              <w:ind w:right="25" w:firstLine="240"/>
              <w:jc w:val="center"/>
              <w:rPr>
                <w:rFonts w:hint="eastAsia" w:ascii="宋体"/>
                <w:b/>
                <w:color w:val="auto"/>
                <w:szCs w:val="21"/>
              </w:rPr>
            </w:pPr>
            <w:r>
              <w:rPr>
                <w:rFonts w:hint="eastAsia" w:ascii="宋体" w:hAnsi="宋体"/>
                <w:b/>
                <w:color w:val="auto"/>
                <w:szCs w:val="21"/>
              </w:rPr>
              <w:t>交货期</w:t>
            </w:r>
          </w:p>
        </w:tc>
      </w:tr>
      <w:tr w14:paraId="5B51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28" w:type="dxa"/>
            <w:noWrap w:val="0"/>
            <w:vAlign w:val="center"/>
          </w:tcPr>
          <w:p w14:paraId="374245CC">
            <w:pPr>
              <w:tabs>
                <w:tab w:val="left" w:pos="8280"/>
              </w:tabs>
              <w:autoSpaceDE w:val="0"/>
              <w:autoSpaceDN w:val="0"/>
              <w:adjustRightInd w:val="0"/>
              <w:ind w:right="25"/>
              <w:jc w:val="center"/>
              <w:rPr>
                <w:rFonts w:ascii="宋体"/>
                <w:color w:val="auto"/>
                <w:szCs w:val="21"/>
              </w:rPr>
            </w:pPr>
            <w:r>
              <w:rPr>
                <w:rFonts w:ascii="宋体" w:hAnsi="宋体"/>
                <w:color w:val="auto"/>
                <w:szCs w:val="21"/>
              </w:rPr>
              <w:t>1</w:t>
            </w:r>
          </w:p>
        </w:tc>
        <w:tc>
          <w:tcPr>
            <w:tcW w:w="2520" w:type="dxa"/>
            <w:noWrap w:val="0"/>
            <w:vAlign w:val="center"/>
          </w:tcPr>
          <w:p w14:paraId="0ABDBE1E">
            <w:pPr>
              <w:widowControl/>
              <w:jc w:val="center"/>
              <w:rPr>
                <w:rFonts w:hint="eastAsia" w:ascii="宋体" w:eastAsia="宋体"/>
                <w:color w:val="auto"/>
                <w:szCs w:val="21"/>
                <w:lang w:eastAsia="zh-CN"/>
              </w:rPr>
            </w:pPr>
            <w:r>
              <w:rPr>
                <w:rFonts w:hint="eastAsia" w:ascii="宋体" w:hAnsi="宋体"/>
                <w:color w:val="auto"/>
                <w:kern w:val="0"/>
                <w:szCs w:val="21"/>
                <w:lang w:eastAsia="zh-CN"/>
              </w:rPr>
              <w:t>玉城中心幼儿园分园（金麟府配套幼儿园）配建工程-教玩具及家具采购项目</w:t>
            </w:r>
            <w:r>
              <w:rPr>
                <w:rFonts w:hint="eastAsia" w:ascii="宋体" w:hAnsi="宋体"/>
                <w:color w:val="auto"/>
                <w:szCs w:val="21"/>
                <w:lang w:eastAsia="zh-CN"/>
              </w:rPr>
              <w:t xml:space="preserve"> </w:t>
            </w:r>
          </w:p>
        </w:tc>
        <w:tc>
          <w:tcPr>
            <w:tcW w:w="1620" w:type="dxa"/>
            <w:noWrap w:val="0"/>
            <w:vAlign w:val="center"/>
          </w:tcPr>
          <w:p w14:paraId="46802352">
            <w:pPr>
              <w:widowControl/>
              <w:jc w:val="center"/>
              <w:rPr>
                <w:rFonts w:ascii="宋体"/>
                <w:color w:val="auto"/>
                <w:szCs w:val="21"/>
              </w:rPr>
            </w:pPr>
            <w:r>
              <w:rPr>
                <w:rFonts w:hint="eastAsia" w:ascii="宋体"/>
                <w:color w:val="auto"/>
                <w:szCs w:val="21"/>
              </w:rPr>
              <w:t>详见采购文件</w:t>
            </w:r>
          </w:p>
        </w:tc>
        <w:tc>
          <w:tcPr>
            <w:tcW w:w="843" w:type="dxa"/>
            <w:noWrap w:val="0"/>
            <w:vAlign w:val="center"/>
          </w:tcPr>
          <w:p w14:paraId="39A9A32D">
            <w:pPr>
              <w:tabs>
                <w:tab w:val="left" w:pos="8280"/>
              </w:tabs>
              <w:autoSpaceDE w:val="0"/>
              <w:autoSpaceDN w:val="0"/>
              <w:adjustRightInd w:val="0"/>
              <w:ind w:right="25"/>
              <w:jc w:val="center"/>
              <w:rPr>
                <w:rFonts w:hint="eastAsia" w:ascii="宋体"/>
                <w:color w:val="auto"/>
                <w:szCs w:val="21"/>
              </w:rPr>
            </w:pPr>
            <w:r>
              <w:rPr>
                <w:rFonts w:hint="eastAsia" w:ascii="宋体"/>
                <w:color w:val="auto"/>
                <w:szCs w:val="21"/>
              </w:rPr>
              <w:t>1</w:t>
            </w:r>
          </w:p>
        </w:tc>
        <w:tc>
          <w:tcPr>
            <w:tcW w:w="882" w:type="dxa"/>
            <w:noWrap w:val="0"/>
            <w:vAlign w:val="center"/>
          </w:tcPr>
          <w:p w14:paraId="5F270B65">
            <w:pPr>
              <w:widowControl/>
              <w:jc w:val="center"/>
              <w:rPr>
                <w:rFonts w:ascii="宋体"/>
                <w:color w:val="auto"/>
                <w:szCs w:val="21"/>
              </w:rPr>
            </w:pPr>
            <w:r>
              <w:rPr>
                <w:rFonts w:hint="eastAsia" w:ascii="宋体"/>
                <w:color w:val="auto"/>
                <w:szCs w:val="21"/>
              </w:rPr>
              <w:t>项</w:t>
            </w:r>
          </w:p>
        </w:tc>
        <w:tc>
          <w:tcPr>
            <w:tcW w:w="1101" w:type="dxa"/>
            <w:noWrap w:val="0"/>
            <w:vAlign w:val="center"/>
          </w:tcPr>
          <w:p w14:paraId="5B37049A">
            <w:pPr>
              <w:widowControl/>
              <w:jc w:val="center"/>
              <w:rPr>
                <w:rFonts w:hint="default" w:ascii="宋体" w:hAnsi="Times New Roman" w:eastAsia="宋体" w:cs="Times New Roman"/>
                <w:color w:val="auto"/>
                <w:szCs w:val="21"/>
                <w:lang w:val="en-US" w:eastAsia="zh-CN"/>
              </w:rPr>
            </w:pPr>
            <w:r>
              <w:rPr>
                <w:rFonts w:hint="eastAsia" w:ascii="宋体"/>
                <w:color w:val="auto"/>
                <w:szCs w:val="21"/>
                <w:lang w:val="en-US" w:eastAsia="zh-CN"/>
              </w:rPr>
              <w:t>1440035</w:t>
            </w:r>
          </w:p>
        </w:tc>
        <w:tc>
          <w:tcPr>
            <w:tcW w:w="2060" w:type="dxa"/>
            <w:noWrap w:val="0"/>
            <w:vAlign w:val="center"/>
          </w:tcPr>
          <w:p w14:paraId="709D76F1">
            <w:pPr>
              <w:widowControl/>
              <w:jc w:val="center"/>
              <w:rPr>
                <w:rFonts w:hint="eastAsia" w:ascii="宋体" w:hAnsi="Times New Roman" w:eastAsia="宋体" w:cs="Times New Roman"/>
                <w:color w:val="auto"/>
                <w:szCs w:val="21"/>
              </w:rPr>
            </w:pPr>
            <w:r>
              <w:rPr>
                <w:rFonts w:hint="eastAsia" w:ascii="宋体"/>
                <w:color w:val="auto"/>
                <w:szCs w:val="21"/>
                <w:lang w:val="en-US" w:eastAsia="zh-CN"/>
              </w:rPr>
              <w:t>在2025年8月28日前</w:t>
            </w:r>
            <w:r>
              <w:rPr>
                <w:rFonts w:hint="eastAsia" w:ascii="宋体"/>
                <w:color w:val="auto"/>
                <w:szCs w:val="21"/>
              </w:rPr>
              <w:t>完成全部供货并安装调试验收合格。</w:t>
            </w:r>
          </w:p>
        </w:tc>
      </w:tr>
    </w:tbl>
    <w:p w14:paraId="3DE67612">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color w:val="auto"/>
          <w:szCs w:val="21"/>
        </w:rPr>
      </w:pPr>
      <w:r>
        <w:rPr>
          <w:rFonts w:hint="eastAsia" w:ascii="宋体" w:hAnsi="宋体" w:cs="宋体"/>
          <w:b/>
          <w:color w:val="auto"/>
          <w:szCs w:val="21"/>
        </w:rPr>
        <w:t>二、采购总说明</w:t>
      </w:r>
    </w:p>
    <w:p w14:paraId="70419FD5">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1.本技术规范要求提出的是最低限度的基本技术要求，并未对所有技术细节作出规定，供应商应提供符合本技术要求和国家标准、行业标准的优质产品。</w:t>
      </w:r>
    </w:p>
    <w:p w14:paraId="2D8C286F">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 xml:space="preserve">2.供应商产品与本技术要求不一致时，供应商应在投标文件中予以说明，并由评标委员会鉴定供应商产品能否达到要求。如供应商没有在投标文件中提出异议，则视为供应商提供的产品完全按照本招标文件要求。 </w:t>
      </w:r>
    </w:p>
    <w:p w14:paraId="3EC87E0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3.技术要求及标准的执行：供应商提供的产品应标明所执行的质量标准，若同一标准已颁发新标准，则按规定标准执行。</w:t>
      </w:r>
    </w:p>
    <w:p w14:paraId="76B06E18">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0" w:firstLineChars="200"/>
        <w:textAlignment w:val="auto"/>
        <w:rPr>
          <w:rFonts w:hint="eastAsia" w:ascii="宋体" w:hAnsi="宋体" w:cs="宋体"/>
          <w:color w:val="auto"/>
          <w:szCs w:val="21"/>
        </w:rPr>
      </w:pPr>
      <w:r>
        <w:rPr>
          <w:rFonts w:hint="eastAsia" w:ascii="宋体" w:hAnsi="宋体" w:cs="宋体"/>
          <w:color w:val="auto"/>
          <w:szCs w:val="21"/>
        </w:rPr>
        <w:t>4.供应商须按国家有关规定及标准完成本次采购产品的供货、运输、装卸、就位、安装、调试、技术培训、检验、通过有关部门验收、维保期服务、产品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335C7134">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2" w:firstLineChars="200"/>
        <w:textAlignment w:val="auto"/>
        <w:rPr>
          <w:rFonts w:hint="default" w:ascii="宋体" w:hAnsi="宋体" w:eastAsia="宋体" w:cs="宋体"/>
          <w:b/>
          <w:bCs/>
          <w:color w:val="auto"/>
          <w:szCs w:val="21"/>
          <w:lang w:val="en-US" w:eastAsia="zh-CN"/>
        </w:rPr>
      </w:pPr>
      <w:r>
        <w:rPr>
          <w:rFonts w:hint="eastAsia" w:ascii="宋体" w:hAnsi="宋体"/>
          <w:b/>
          <w:bCs/>
          <w:color w:val="auto"/>
          <w:kern w:val="0"/>
          <w:szCs w:val="21"/>
        </w:rPr>
        <w:t>▲</w:t>
      </w:r>
      <w:r>
        <w:rPr>
          <w:rFonts w:hint="eastAsia" w:ascii="宋体" w:hAnsi="宋体" w:cs="宋体"/>
          <w:b/>
          <w:bCs/>
          <w:color w:val="auto"/>
          <w:szCs w:val="21"/>
          <w:lang w:val="en-US" w:eastAsia="zh-CN"/>
        </w:rPr>
        <w:t>5.投标产品符合《强制性产品认证目录描述与界定表（2023年修订）》的，投标人投标时需提供强制性产品认证，未提供做无效标处理。</w:t>
      </w:r>
    </w:p>
    <w:p w14:paraId="00D71F86">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0" w:firstLineChars="200"/>
        <w:textAlignment w:val="auto"/>
        <w:rPr>
          <w:rFonts w:hint="eastAsia" w:ascii="宋体" w:hAnsi="宋体" w:cs="宋体"/>
          <w:color w:val="auto"/>
          <w:szCs w:val="21"/>
        </w:rPr>
      </w:pPr>
    </w:p>
    <w:p w14:paraId="178398D3">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0" w:firstLineChars="200"/>
        <w:textAlignment w:val="auto"/>
        <w:rPr>
          <w:rFonts w:hint="eastAsia" w:ascii="宋体" w:hAnsi="宋体" w:cs="宋体"/>
          <w:color w:val="auto"/>
          <w:szCs w:val="21"/>
        </w:rPr>
      </w:pPr>
    </w:p>
    <w:p w14:paraId="03E811D8">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0" w:firstLineChars="200"/>
        <w:textAlignment w:val="auto"/>
        <w:rPr>
          <w:rFonts w:hint="eastAsia" w:ascii="宋体" w:hAnsi="宋体" w:cs="宋体"/>
          <w:color w:val="auto"/>
          <w:szCs w:val="21"/>
        </w:rPr>
      </w:pPr>
    </w:p>
    <w:p w14:paraId="3D2DF42C">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0" w:firstLineChars="200"/>
        <w:textAlignment w:val="auto"/>
        <w:rPr>
          <w:rFonts w:hint="eastAsia" w:ascii="宋体" w:hAnsi="宋体" w:cs="宋体"/>
          <w:color w:val="auto"/>
          <w:szCs w:val="21"/>
        </w:rPr>
      </w:pPr>
    </w:p>
    <w:p w14:paraId="3AABC0FB">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0" w:firstLineChars="200"/>
        <w:textAlignment w:val="auto"/>
        <w:rPr>
          <w:rFonts w:hint="eastAsia" w:ascii="宋体" w:hAnsi="宋体" w:cs="宋体"/>
          <w:color w:val="auto"/>
          <w:szCs w:val="21"/>
        </w:rPr>
      </w:pPr>
    </w:p>
    <w:p w14:paraId="150F502E">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firstLine="420" w:firstLineChars="200"/>
        <w:textAlignment w:val="auto"/>
        <w:rPr>
          <w:rFonts w:hint="eastAsia" w:ascii="宋体" w:hAnsi="宋体" w:cs="宋体"/>
          <w:color w:val="auto"/>
          <w:szCs w:val="21"/>
        </w:rPr>
        <w:sectPr>
          <w:footerReference r:id="rId7" w:type="default"/>
          <w:pgSz w:w="11906" w:h="16838"/>
          <w:pgMar w:top="1440" w:right="1134" w:bottom="1440" w:left="1134" w:header="851" w:footer="992" w:gutter="0"/>
          <w:cols w:space="720" w:num="1"/>
          <w:docGrid w:type="lines" w:linePitch="312" w:charSpace="0"/>
        </w:sectPr>
      </w:pPr>
    </w:p>
    <w:p w14:paraId="37DF212C">
      <w:pPr>
        <w:pStyle w:val="1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b/>
          <w:color w:val="auto"/>
          <w:szCs w:val="21"/>
        </w:rPr>
      </w:pPr>
      <w:r>
        <w:rPr>
          <w:rFonts w:hint="eastAsia" w:hAnsi="宋体" w:cs="宋体"/>
          <w:b/>
          <w:color w:val="auto"/>
          <w:szCs w:val="21"/>
        </w:rPr>
        <w:t>三、采购总内容</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293"/>
        <w:gridCol w:w="8697"/>
        <w:gridCol w:w="840"/>
        <w:gridCol w:w="893"/>
        <w:gridCol w:w="1720"/>
      </w:tblGrid>
      <w:tr w14:paraId="6DA3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64" w:type="dxa"/>
            <w:vAlign w:val="center"/>
          </w:tcPr>
          <w:p w14:paraId="2EFF9CF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b/>
                <w:bCs/>
                <w:color w:val="auto"/>
                <w:sz w:val="21"/>
                <w:szCs w:val="21"/>
              </w:rPr>
              <w:t>序号</w:t>
            </w:r>
          </w:p>
        </w:tc>
        <w:tc>
          <w:tcPr>
            <w:tcW w:w="1293" w:type="dxa"/>
            <w:vAlign w:val="center"/>
          </w:tcPr>
          <w:p w14:paraId="0A09F4E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b/>
                <w:bCs/>
                <w:color w:val="auto"/>
                <w:sz w:val="21"/>
                <w:szCs w:val="21"/>
              </w:rPr>
              <w:t>项目名称</w:t>
            </w:r>
          </w:p>
        </w:tc>
        <w:tc>
          <w:tcPr>
            <w:tcW w:w="8697" w:type="dxa"/>
            <w:vAlign w:val="center"/>
          </w:tcPr>
          <w:p w14:paraId="3FCE649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b/>
                <w:bCs/>
                <w:color w:val="auto"/>
                <w:sz w:val="21"/>
                <w:szCs w:val="21"/>
              </w:rPr>
              <w:t>技术参数</w:t>
            </w:r>
          </w:p>
        </w:tc>
        <w:tc>
          <w:tcPr>
            <w:tcW w:w="840" w:type="dxa"/>
            <w:vAlign w:val="center"/>
          </w:tcPr>
          <w:p w14:paraId="1B1E2F8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b/>
                <w:bCs/>
                <w:color w:val="auto"/>
                <w:sz w:val="21"/>
                <w:szCs w:val="21"/>
              </w:rPr>
              <w:t>单位</w:t>
            </w:r>
          </w:p>
        </w:tc>
        <w:tc>
          <w:tcPr>
            <w:tcW w:w="893" w:type="dxa"/>
            <w:vAlign w:val="center"/>
          </w:tcPr>
          <w:p w14:paraId="63C20F2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b/>
                <w:bCs/>
                <w:color w:val="auto"/>
                <w:sz w:val="21"/>
                <w:szCs w:val="21"/>
              </w:rPr>
              <w:t>数量</w:t>
            </w:r>
          </w:p>
        </w:tc>
        <w:tc>
          <w:tcPr>
            <w:tcW w:w="1720" w:type="dxa"/>
            <w:vAlign w:val="center"/>
          </w:tcPr>
          <w:p w14:paraId="13236D4D">
            <w:pPr>
              <w:jc w:val="center"/>
              <w:rPr>
                <w:rFonts w:hint="eastAsia" w:ascii="宋体" w:hAnsi="宋体" w:eastAsia="宋体" w:cs="宋体"/>
                <w:b/>
                <w:color w:val="auto"/>
                <w:kern w:val="2"/>
                <w:sz w:val="21"/>
                <w:szCs w:val="21"/>
                <w:vertAlign w:val="baseline"/>
                <w:lang w:val="en-US" w:eastAsia="zh-CN" w:bidi="ar-SA"/>
              </w:rPr>
            </w:pPr>
            <w:r>
              <w:rPr>
                <w:rFonts w:ascii="宋体" w:cs="宋体"/>
                <w:b/>
                <w:bCs/>
                <w:color w:val="auto"/>
                <w:sz w:val="21"/>
                <w:szCs w:val="21"/>
              </w:rPr>
              <w:t>参考图片</w:t>
            </w:r>
          </w:p>
        </w:tc>
      </w:tr>
      <w:tr w14:paraId="5437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3E2F92A0">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小班</w:t>
            </w:r>
          </w:p>
        </w:tc>
      </w:tr>
      <w:tr w14:paraId="01F2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6C8BE8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olor w:val="auto"/>
                <w:sz w:val="21"/>
                <w:szCs w:val="21"/>
              </w:rPr>
              <w:t>1</w:t>
            </w:r>
          </w:p>
        </w:tc>
        <w:tc>
          <w:tcPr>
            <w:tcW w:w="1293" w:type="dxa"/>
            <w:vAlign w:val="center"/>
          </w:tcPr>
          <w:p w14:paraId="5F82668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olor w:val="auto"/>
                <w:sz w:val="21"/>
                <w:szCs w:val="21"/>
              </w:rPr>
              <w:t>六人推拉床</w:t>
            </w:r>
          </w:p>
        </w:tc>
        <w:tc>
          <w:tcPr>
            <w:tcW w:w="8697" w:type="dxa"/>
            <w:vAlign w:val="center"/>
          </w:tcPr>
          <w:p w14:paraId="7BAB292D">
            <w:pPr>
              <w:pStyle w:val="9"/>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w:t>
            </w:r>
            <w:r>
              <w:rPr>
                <w:rFonts w:hint="eastAsia" w:ascii="宋体" w:hAnsi="宋体"/>
                <w:color w:val="auto"/>
                <w:sz w:val="21"/>
                <w:szCs w:val="21"/>
              </w:rPr>
              <w:t>规格：六人推拉床140*130*96cm，</w:t>
            </w:r>
          </w:p>
          <w:p w14:paraId="6A045597">
            <w:pPr>
              <w:pStyle w:val="9"/>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w:t>
            </w:r>
            <w:r>
              <w:rPr>
                <w:rFonts w:hint="eastAsia" w:ascii="宋体" w:hAnsi="宋体"/>
                <w:color w:val="auto"/>
                <w:sz w:val="21"/>
                <w:szCs w:val="21"/>
              </w:rPr>
              <w:t>材质：整体框架采用厚度1.8cm双面无结橡胶木指接板，板材材质稳定，抗菌、防霉，不易变形、含水率和甲醛释放量符合GB/T3324-2017和GB 18584-2001的要求。</w:t>
            </w:r>
          </w:p>
          <w:p w14:paraId="1AAD7DA3">
            <w:pPr>
              <w:pStyle w:val="9"/>
              <w:rPr>
                <w:rFonts w:hint="eastAsia" w:ascii="宋体" w:hAnsi="宋体"/>
                <w:color w:val="auto"/>
                <w:sz w:val="21"/>
                <w:szCs w:val="21"/>
              </w:rPr>
            </w:pPr>
            <w:r>
              <w:rPr>
                <w:rFonts w:hint="eastAsia" w:ascii="宋体" w:hAnsi="宋体"/>
                <w:color w:val="auto"/>
                <w:sz w:val="21"/>
                <w:szCs w:val="21"/>
              </w:rPr>
              <w:t>3</w:t>
            </w:r>
            <w:r>
              <w:rPr>
                <w:rFonts w:hint="eastAsia" w:ascii="宋体" w:hAnsi="宋体"/>
                <w:color w:val="auto"/>
                <w:sz w:val="21"/>
                <w:szCs w:val="21"/>
                <w:lang w:val="en-US" w:eastAsia="zh-CN"/>
              </w:rPr>
              <w:t>.</w:t>
            </w:r>
            <w:r>
              <w:rPr>
                <w:rFonts w:hint="eastAsia" w:ascii="宋体" w:hAnsi="宋体"/>
                <w:color w:val="auto"/>
                <w:sz w:val="21"/>
                <w:szCs w:val="21"/>
              </w:rPr>
              <w:t>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p>
          <w:p w14:paraId="3D4DA197">
            <w:pPr>
              <w:pStyle w:val="9"/>
              <w:rPr>
                <w:rFonts w:hint="eastAsia" w:ascii="宋体" w:hAnsi="宋体"/>
                <w:color w:val="auto"/>
                <w:sz w:val="21"/>
                <w:szCs w:val="21"/>
              </w:rPr>
            </w:pPr>
            <w:r>
              <w:rPr>
                <w:rFonts w:hint="eastAsia" w:ascii="宋体" w:hAnsi="宋体"/>
                <w:color w:val="auto"/>
                <w:sz w:val="21"/>
                <w:szCs w:val="21"/>
              </w:rPr>
              <w:t>4</w:t>
            </w:r>
            <w:r>
              <w:rPr>
                <w:rFonts w:hint="eastAsia" w:ascii="宋体" w:hAnsi="宋体"/>
                <w:color w:val="auto"/>
                <w:sz w:val="21"/>
                <w:szCs w:val="21"/>
                <w:lang w:val="en-US" w:eastAsia="zh-CN"/>
              </w:rPr>
              <w:t>.</w:t>
            </w:r>
            <w:r>
              <w:rPr>
                <w:rFonts w:hint="eastAsia" w:ascii="宋体" w:hAnsi="宋体"/>
                <w:color w:val="auto"/>
                <w:sz w:val="21"/>
                <w:szCs w:val="21"/>
              </w:rPr>
              <w:t>产品：儿童床带刹车万向轮，图案采用UV打印，产品外观要求、理化性能要求、结构安全、有害物质限量（可迁移元素、甲醛释放量等）、力学性能、警示标识等符合GB 28007-2011《儿童家具通用技术条件》标准要求；</w:t>
            </w:r>
          </w:p>
          <w:p w14:paraId="35A4F3AC">
            <w:pPr>
              <w:pStyle w:val="9"/>
              <w:rPr>
                <w:rFonts w:hint="eastAsia" w:ascii="宋体" w:hAnsi="宋体"/>
                <w:color w:val="auto"/>
                <w:sz w:val="21"/>
                <w:szCs w:val="21"/>
              </w:rPr>
            </w:pPr>
            <w:r>
              <w:rPr>
                <w:rFonts w:hint="eastAsia" w:ascii="宋体" w:hAnsi="宋体"/>
                <w:color w:val="auto"/>
                <w:sz w:val="21"/>
                <w:szCs w:val="21"/>
              </w:rPr>
              <w:t>5</w:t>
            </w:r>
            <w:r>
              <w:rPr>
                <w:rFonts w:hint="eastAsia" w:ascii="宋体" w:hAnsi="宋体"/>
                <w:color w:val="auto"/>
                <w:sz w:val="21"/>
                <w:szCs w:val="21"/>
                <w:lang w:val="en-US" w:eastAsia="zh-CN"/>
              </w:rPr>
              <w:t>.</w:t>
            </w:r>
            <w:r>
              <w:rPr>
                <w:rFonts w:hint="eastAsia" w:ascii="宋体" w:hAnsi="宋体"/>
                <w:color w:val="auto"/>
                <w:sz w:val="21"/>
                <w:szCs w:val="21"/>
              </w:rPr>
              <w:t>螺丝：采用优质环保五金，稳固不松动，五金表面经防锈处理，耐磨损，抗腐蚀符合国家相关标准要求；</w:t>
            </w:r>
          </w:p>
          <w:p w14:paraId="418EC0F5">
            <w:pPr>
              <w:pStyle w:val="9"/>
              <w:rPr>
                <w:rFonts w:hint="eastAsia" w:ascii="宋体" w:hAnsi="宋体" w:eastAsia="宋体" w:cs="宋体"/>
                <w:b/>
                <w:color w:val="auto"/>
                <w:kern w:val="2"/>
                <w:sz w:val="21"/>
                <w:szCs w:val="21"/>
                <w:vertAlign w:val="baseline"/>
                <w:lang w:val="en-US" w:eastAsia="zh-CN" w:bidi="ar-SA"/>
              </w:rPr>
            </w:pPr>
            <w:r>
              <w:rPr>
                <w:rFonts w:hint="eastAsia" w:ascii="宋体" w:hAnsi="宋体"/>
                <w:color w:val="auto"/>
                <w:sz w:val="21"/>
                <w:szCs w:val="21"/>
              </w:rPr>
              <w:t>6</w:t>
            </w:r>
            <w:r>
              <w:rPr>
                <w:rFonts w:hint="eastAsia" w:ascii="宋体" w:hAnsi="宋体"/>
                <w:color w:val="auto"/>
                <w:sz w:val="21"/>
                <w:szCs w:val="21"/>
                <w:lang w:val="en-US" w:eastAsia="zh-CN"/>
              </w:rPr>
              <w:t>.</w:t>
            </w:r>
            <w:r>
              <w:rPr>
                <w:rFonts w:hint="eastAsia" w:ascii="宋体" w:hAnsi="宋体"/>
                <w:color w:val="auto"/>
                <w:sz w:val="21"/>
                <w:szCs w:val="21"/>
              </w:rPr>
              <w:t>其他：保留原木色设计，让小朋友更接近大自然，简约设计实用性强，视觉感更温馨；</w:t>
            </w:r>
          </w:p>
        </w:tc>
        <w:tc>
          <w:tcPr>
            <w:tcW w:w="840" w:type="dxa"/>
            <w:vAlign w:val="center"/>
          </w:tcPr>
          <w:p w14:paraId="1BADBA1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olor w:val="auto"/>
                <w:sz w:val="21"/>
                <w:szCs w:val="21"/>
              </w:rPr>
              <w:t>套</w:t>
            </w:r>
          </w:p>
        </w:tc>
        <w:tc>
          <w:tcPr>
            <w:tcW w:w="893" w:type="dxa"/>
            <w:vAlign w:val="center"/>
          </w:tcPr>
          <w:p w14:paraId="6322898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olor w:val="auto"/>
                <w:sz w:val="21"/>
                <w:szCs w:val="21"/>
                <w:lang w:val="en-US" w:eastAsia="zh-CN"/>
              </w:rPr>
              <w:t>14</w:t>
            </w:r>
          </w:p>
        </w:tc>
        <w:tc>
          <w:tcPr>
            <w:tcW w:w="1720" w:type="dxa"/>
            <w:vAlign w:val="center"/>
          </w:tcPr>
          <w:p w14:paraId="6A82C06A">
            <w:pPr>
              <w:jc w:val="center"/>
              <w:rPr>
                <w:rFonts w:hint="eastAsia" w:ascii="宋体" w:hAnsi="宋体" w:eastAsia="宋体" w:cs="宋体"/>
                <w:b/>
                <w:color w:val="auto"/>
                <w:kern w:val="2"/>
                <w:sz w:val="21"/>
                <w:szCs w:val="21"/>
                <w:vertAlign w:val="baseline"/>
                <w:lang w:val="en-US" w:eastAsia="zh-CN" w:bidi="ar-SA"/>
              </w:rPr>
            </w:pPr>
            <w:r>
              <w:rPr>
                <w:color w:val="auto"/>
                <w:sz w:val="21"/>
                <w:szCs w:val="21"/>
              </w:rPr>
              <w:drawing>
                <wp:inline distT="0" distB="0" distL="114300" distR="114300">
                  <wp:extent cx="897255" cy="646430"/>
                  <wp:effectExtent l="0" t="0" r="1905" b="8890"/>
                  <wp:docPr id="5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3"/>
                          <pic:cNvPicPr>
                            <a:picLocks noChangeAspect="1"/>
                          </pic:cNvPicPr>
                        </pic:nvPicPr>
                        <pic:blipFill>
                          <a:blip r:embed="rId9"/>
                          <a:stretch>
                            <a:fillRect/>
                          </a:stretch>
                        </pic:blipFill>
                        <pic:spPr>
                          <a:xfrm>
                            <a:off x="0" y="0"/>
                            <a:ext cx="897255" cy="646430"/>
                          </a:xfrm>
                          <a:prstGeom prst="rect">
                            <a:avLst/>
                          </a:prstGeom>
                          <a:noFill/>
                          <a:ln>
                            <a:noFill/>
                          </a:ln>
                        </pic:spPr>
                      </pic:pic>
                    </a:graphicData>
                  </a:graphic>
                </wp:inline>
              </w:drawing>
            </w:r>
          </w:p>
        </w:tc>
      </w:tr>
      <w:tr w14:paraId="3A6E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6971685">
            <w:pPr>
              <w:jc w:val="center"/>
              <w:rPr>
                <w:rFonts w:hint="eastAsia" w:ascii="宋体" w:hAnsi="宋体" w:eastAsia="宋体" w:cs="宋体"/>
                <w:color w:val="auto"/>
                <w:sz w:val="21"/>
                <w:szCs w:val="21"/>
                <w:lang w:val="en-US" w:eastAsia="zh-CN"/>
              </w:rPr>
            </w:pPr>
          </w:p>
          <w:p w14:paraId="5942899F">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p w14:paraId="06A2F4CE">
            <w:pPr>
              <w:jc w:val="center"/>
              <w:rPr>
                <w:rFonts w:hint="eastAsia" w:ascii="宋体" w:hAnsi="宋体" w:eastAsia="宋体" w:cs="宋体"/>
                <w:b/>
                <w:color w:val="auto"/>
                <w:kern w:val="2"/>
                <w:sz w:val="21"/>
                <w:szCs w:val="21"/>
                <w:vertAlign w:val="baseline"/>
                <w:lang w:val="en-US" w:eastAsia="zh-CN" w:bidi="ar-SA"/>
              </w:rPr>
            </w:pPr>
          </w:p>
        </w:tc>
        <w:tc>
          <w:tcPr>
            <w:tcW w:w="1293" w:type="dxa"/>
            <w:vAlign w:val="center"/>
          </w:tcPr>
          <w:p w14:paraId="21A9DCD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二层定制床</w:t>
            </w:r>
          </w:p>
        </w:tc>
        <w:tc>
          <w:tcPr>
            <w:tcW w:w="8697" w:type="dxa"/>
            <w:vAlign w:val="center"/>
          </w:tcPr>
          <w:p w14:paraId="7CDBEB0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1.规格：133*65*67cm， 上面那层长度是133  下面那层长度是124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2.材质：整体框架采用厚度1.8cm双面无结橡胶木指接板，板材材质稳定，抗菌、防霉，不易变形、含水率和甲醛释放量符合GB/T3324-2017和GB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4.产品：儿童床带刹车万向轮，图案采用UV打印，产品外观要求、理化性能要求、结构安全、有害物质限量（可迁移元素、甲醛释放量等）、力学性能、警示标识等符合GB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6.其他：保留原木色设计，让小朋友更接近大自然，简约设计实用性强，视觉感更温馨；</w:t>
            </w:r>
          </w:p>
        </w:tc>
        <w:tc>
          <w:tcPr>
            <w:tcW w:w="840" w:type="dxa"/>
            <w:vAlign w:val="center"/>
          </w:tcPr>
          <w:p w14:paraId="3F2E306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D0E24C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1720" w:type="dxa"/>
            <w:vAlign w:val="center"/>
          </w:tcPr>
          <w:p w14:paraId="1E6528E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352425</wp:posOffset>
                  </wp:positionV>
                  <wp:extent cx="867410" cy="842645"/>
                  <wp:effectExtent l="0" t="0" r="1270" b="10795"/>
                  <wp:wrapNone/>
                  <wp:docPr id="599" name="ID_03573CAADAA646218C4FEE6330604B91"/>
                  <wp:cNvGraphicFramePr/>
                  <a:graphic xmlns:a="http://schemas.openxmlformats.org/drawingml/2006/main">
                    <a:graphicData uri="http://schemas.openxmlformats.org/drawingml/2006/picture">
                      <pic:pic xmlns:pic="http://schemas.openxmlformats.org/drawingml/2006/picture">
                        <pic:nvPicPr>
                          <pic:cNvPr id="599" name="ID_03573CAADAA646218C4FEE6330604B91"/>
                          <pic:cNvPicPr/>
                        </pic:nvPicPr>
                        <pic:blipFill>
                          <a:blip r:embed="rId10"/>
                          <a:stretch>
                            <a:fillRect/>
                          </a:stretch>
                        </pic:blipFill>
                        <pic:spPr>
                          <a:xfrm>
                            <a:off x="0" y="0"/>
                            <a:ext cx="867410" cy="842645"/>
                          </a:xfrm>
                          <a:prstGeom prst="rect">
                            <a:avLst/>
                          </a:prstGeom>
                          <a:noFill/>
                          <a:ln>
                            <a:noFill/>
                          </a:ln>
                        </pic:spPr>
                      </pic:pic>
                    </a:graphicData>
                  </a:graphic>
                </wp:anchor>
              </w:drawing>
            </w:r>
          </w:p>
        </w:tc>
      </w:tr>
      <w:tr w14:paraId="2AEA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D83824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w:t>
            </w:r>
          </w:p>
        </w:tc>
        <w:tc>
          <w:tcPr>
            <w:tcW w:w="1293" w:type="dxa"/>
            <w:vAlign w:val="center"/>
          </w:tcPr>
          <w:p w14:paraId="36D3702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三层推拉床</w:t>
            </w:r>
          </w:p>
        </w:tc>
        <w:tc>
          <w:tcPr>
            <w:tcW w:w="8697" w:type="dxa"/>
            <w:vAlign w:val="center"/>
          </w:tcPr>
          <w:p w14:paraId="512FC66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1.规格:三层推拉床145*65*91cm，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2.材质：整体框架采用厚度1.8cm双面无结橡胶木指接板，板材材质稳定，抗菌、防霉，不易变形、含水率和甲醛释放量符合GB/T3324-2017和GB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4.产品：儿童床带刹车万向轮，图案采用UV打印，产品外观要求、理化性能要求、结构安全、有害物质限量（可迁移元素、甲醛释放量等）、力学性能、警示标识等符合GB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6.其他：保留原木色设计，让小朋友更接近大自然，简约设计实用性强，视觉感更温馨；</w:t>
            </w:r>
          </w:p>
        </w:tc>
        <w:tc>
          <w:tcPr>
            <w:tcW w:w="840" w:type="dxa"/>
            <w:vAlign w:val="center"/>
          </w:tcPr>
          <w:p w14:paraId="3A74ED1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70D36C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47721A7D">
            <w:pPr>
              <w:keepNext w:val="0"/>
              <w:keepLines w:val="0"/>
              <w:widowControl/>
              <w:suppressLineNumbers w:val="0"/>
              <w:jc w:val="left"/>
              <w:textAlignment w:val="center"/>
              <w:rPr>
                <w:rFonts w:hint="eastAsia" w:ascii="宋体" w:hAnsi="宋体" w:cs="宋体"/>
                <w:color w:val="auto"/>
                <w:sz w:val="21"/>
                <w:szCs w:val="21"/>
              </w:rPr>
            </w:pPr>
          </w:p>
          <w:p w14:paraId="3E47ACCC">
            <w:pPr>
              <w:keepNext w:val="0"/>
              <w:keepLines w:val="0"/>
              <w:widowControl/>
              <w:suppressLineNumbers w:val="0"/>
              <w:jc w:val="left"/>
              <w:textAlignment w:val="center"/>
              <w:rPr>
                <w:rFonts w:hint="eastAsia" w:ascii="宋体" w:hAnsi="宋体" w:cs="宋体"/>
                <w:color w:val="auto"/>
                <w:sz w:val="21"/>
                <w:szCs w:val="21"/>
              </w:rPr>
            </w:pPr>
          </w:p>
          <w:p w14:paraId="0261B45A">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26670</wp:posOffset>
                  </wp:positionH>
                  <wp:positionV relativeFrom="paragraph">
                    <wp:posOffset>172720</wp:posOffset>
                  </wp:positionV>
                  <wp:extent cx="859790" cy="909320"/>
                  <wp:effectExtent l="0" t="0" r="8890" b="5080"/>
                  <wp:wrapNone/>
                  <wp:docPr id="601" name="ID_934501B60DE94BECA8A6A93FF77AC78B"/>
                  <wp:cNvGraphicFramePr/>
                  <a:graphic xmlns:a="http://schemas.openxmlformats.org/drawingml/2006/main">
                    <a:graphicData uri="http://schemas.openxmlformats.org/drawingml/2006/picture">
                      <pic:pic xmlns:pic="http://schemas.openxmlformats.org/drawingml/2006/picture">
                        <pic:nvPicPr>
                          <pic:cNvPr id="601" name="ID_934501B60DE94BECA8A6A93FF77AC78B"/>
                          <pic:cNvPicPr/>
                        </pic:nvPicPr>
                        <pic:blipFill>
                          <a:blip r:embed="rId11"/>
                          <a:stretch>
                            <a:fillRect/>
                          </a:stretch>
                        </pic:blipFill>
                        <pic:spPr>
                          <a:xfrm>
                            <a:off x="0" y="0"/>
                            <a:ext cx="859790" cy="909320"/>
                          </a:xfrm>
                          <a:prstGeom prst="rect">
                            <a:avLst/>
                          </a:prstGeom>
                          <a:noFill/>
                          <a:ln>
                            <a:noFill/>
                          </a:ln>
                        </pic:spPr>
                      </pic:pic>
                    </a:graphicData>
                  </a:graphic>
                </wp:anchor>
              </w:drawing>
            </w:r>
          </w:p>
          <w:p w14:paraId="6AD7062C">
            <w:pPr>
              <w:keepNext w:val="0"/>
              <w:keepLines w:val="0"/>
              <w:widowControl/>
              <w:suppressLineNumbers w:val="0"/>
              <w:jc w:val="left"/>
              <w:textAlignment w:val="center"/>
              <w:rPr>
                <w:rFonts w:hint="eastAsia" w:ascii="宋体" w:hAnsi="宋体" w:cs="宋体"/>
                <w:color w:val="auto"/>
                <w:sz w:val="21"/>
                <w:szCs w:val="21"/>
              </w:rPr>
            </w:pPr>
          </w:p>
          <w:p w14:paraId="6CB07320">
            <w:pPr>
              <w:keepNext w:val="0"/>
              <w:keepLines w:val="0"/>
              <w:widowControl/>
              <w:suppressLineNumbers w:val="0"/>
              <w:jc w:val="left"/>
              <w:textAlignment w:val="center"/>
              <w:rPr>
                <w:rFonts w:hint="eastAsia" w:ascii="宋体" w:hAnsi="宋体" w:cs="宋体"/>
                <w:color w:val="auto"/>
                <w:sz w:val="21"/>
                <w:szCs w:val="21"/>
              </w:rPr>
            </w:pPr>
          </w:p>
          <w:p w14:paraId="6ECCAC8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p>
        </w:tc>
      </w:tr>
      <w:tr w14:paraId="32FD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EDDDAA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4</w:t>
            </w:r>
          </w:p>
        </w:tc>
        <w:tc>
          <w:tcPr>
            <w:tcW w:w="1293" w:type="dxa"/>
            <w:vAlign w:val="center"/>
          </w:tcPr>
          <w:p w14:paraId="1A22E19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原木长方桌(不含椅子)</w:t>
            </w:r>
          </w:p>
        </w:tc>
        <w:tc>
          <w:tcPr>
            <w:tcW w:w="8697" w:type="dxa"/>
            <w:vAlign w:val="center"/>
          </w:tcPr>
          <w:p w14:paraId="4F382F7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1.规格:120*60*50cm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2.材质：桌面采用厚度2.2cm双面无结橡胶木指接板，桌腿及边框采用实木橡胶木；橡胶木材质稳定，抗菌、防霉、不易变形、含水率和甲醛释放量符合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4.产品：桌脚厚度5*5cm，边框2.2*7.5cm，产品边角安全圆角处理，能减少磕碰的意外，外观要求、理化性能要求、结构安全、有害物质限量（可迁移元素、甲醛释放量等）、力学性能、警示标识等符合GB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5.连接件：桌脚与桌面之间采用三角铁和防松螺母固定连接，安装简易，表面经防锈处理，耐磨损，抗腐蚀符合国家相关标准要求。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6FF4C3A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7AF0EF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16</w:t>
            </w:r>
          </w:p>
        </w:tc>
        <w:tc>
          <w:tcPr>
            <w:tcW w:w="1720" w:type="dxa"/>
            <w:vAlign w:val="center"/>
          </w:tcPr>
          <w:p w14:paraId="2BD4B18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40005</wp:posOffset>
                  </wp:positionH>
                  <wp:positionV relativeFrom="paragraph">
                    <wp:posOffset>697230</wp:posOffset>
                  </wp:positionV>
                  <wp:extent cx="879475" cy="906780"/>
                  <wp:effectExtent l="0" t="0" r="4445" b="7620"/>
                  <wp:wrapNone/>
                  <wp:docPr id="603" name="ID_3C2BE37EA46F41B8A529265342F7C882"/>
                  <wp:cNvGraphicFramePr/>
                  <a:graphic xmlns:a="http://schemas.openxmlformats.org/drawingml/2006/main">
                    <a:graphicData uri="http://schemas.openxmlformats.org/drawingml/2006/picture">
                      <pic:pic xmlns:pic="http://schemas.openxmlformats.org/drawingml/2006/picture">
                        <pic:nvPicPr>
                          <pic:cNvPr id="603" name="ID_3C2BE37EA46F41B8A529265342F7C882"/>
                          <pic:cNvPicPr/>
                        </pic:nvPicPr>
                        <pic:blipFill>
                          <a:blip r:embed="rId12"/>
                          <a:stretch>
                            <a:fillRect/>
                          </a:stretch>
                        </pic:blipFill>
                        <pic:spPr>
                          <a:xfrm>
                            <a:off x="0" y="0"/>
                            <a:ext cx="879475" cy="906780"/>
                          </a:xfrm>
                          <a:prstGeom prst="rect">
                            <a:avLst/>
                          </a:prstGeom>
                          <a:noFill/>
                          <a:ln>
                            <a:noFill/>
                          </a:ln>
                        </pic:spPr>
                      </pic:pic>
                    </a:graphicData>
                  </a:graphic>
                </wp:anchor>
              </w:drawing>
            </w:r>
          </w:p>
        </w:tc>
      </w:tr>
      <w:tr w14:paraId="5973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2E1685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5</w:t>
            </w:r>
          </w:p>
        </w:tc>
        <w:tc>
          <w:tcPr>
            <w:tcW w:w="1293" w:type="dxa"/>
            <w:vAlign w:val="center"/>
          </w:tcPr>
          <w:p w14:paraId="2ECDE20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原木四方桌(不含椅子)</w:t>
            </w:r>
          </w:p>
        </w:tc>
        <w:tc>
          <w:tcPr>
            <w:tcW w:w="8697" w:type="dxa"/>
            <w:vAlign w:val="center"/>
          </w:tcPr>
          <w:p w14:paraId="100D8BF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1.规格:60*60*50cm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2.材质：桌面采用厚度2.2cm双面无结橡胶木指接板，桌腿及边框采用实木橡胶木；橡胶木材质稳定，抗菌、防霉、不易变形、含水率和甲醛释放量符合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4.产品：桌脚厚度5*5cm，边框2.2*7.5cm，产品边角安全圆角处理，能减少磕碰的意外，外观要求、理化性能要求、结构安全、有害物质限量（可迁移元素、甲醛释放量等）、力学性能、警示标识等符合GB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5.连接件：桌脚与桌面之间采用三角铁和防松螺母固定连接，安装简易，表面经防锈处理，耐磨损，抗腐蚀符合国家相关标准要求。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25F249D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E9E8A8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7714DA6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-57150</wp:posOffset>
                  </wp:positionH>
                  <wp:positionV relativeFrom="paragraph">
                    <wp:posOffset>727710</wp:posOffset>
                  </wp:positionV>
                  <wp:extent cx="967740" cy="902335"/>
                  <wp:effectExtent l="0" t="0" r="7620" b="12065"/>
                  <wp:wrapNone/>
                  <wp:docPr id="605" name="ID_0278C4CFF51341D38D088C489E8CE174"/>
                  <wp:cNvGraphicFramePr/>
                  <a:graphic xmlns:a="http://schemas.openxmlformats.org/drawingml/2006/main">
                    <a:graphicData uri="http://schemas.openxmlformats.org/drawingml/2006/picture">
                      <pic:pic xmlns:pic="http://schemas.openxmlformats.org/drawingml/2006/picture">
                        <pic:nvPicPr>
                          <pic:cNvPr id="605" name="ID_0278C4CFF51341D38D088C489E8CE174"/>
                          <pic:cNvPicPr/>
                        </pic:nvPicPr>
                        <pic:blipFill>
                          <a:blip r:embed="rId13"/>
                          <a:stretch>
                            <a:fillRect/>
                          </a:stretch>
                        </pic:blipFill>
                        <pic:spPr>
                          <a:xfrm>
                            <a:off x="0" y="0"/>
                            <a:ext cx="967740" cy="902335"/>
                          </a:xfrm>
                          <a:prstGeom prst="rect">
                            <a:avLst/>
                          </a:prstGeom>
                          <a:noFill/>
                          <a:ln>
                            <a:noFill/>
                          </a:ln>
                        </pic:spPr>
                      </pic:pic>
                    </a:graphicData>
                  </a:graphic>
                </wp:anchor>
              </w:drawing>
            </w:r>
          </w:p>
        </w:tc>
      </w:tr>
      <w:tr w14:paraId="214C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1B7663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6</w:t>
            </w:r>
          </w:p>
        </w:tc>
        <w:tc>
          <w:tcPr>
            <w:tcW w:w="1293" w:type="dxa"/>
            <w:vAlign w:val="center"/>
          </w:tcPr>
          <w:p w14:paraId="53AC58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原木椅子</w:t>
            </w:r>
          </w:p>
        </w:tc>
        <w:tc>
          <w:tcPr>
            <w:tcW w:w="8697" w:type="dxa"/>
            <w:vAlign w:val="center"/>
          </w:tcPr>
          <w:p w14:paraId="4855EDF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1.规格28*29*26cm；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2.材质：椅面采用厚度1.8cm双面无结橡胶木指接板，靠背及椅子腿采用实木橡胶木，橡胶木材质稳定，抗菌、防霉、不易变形、含水率和甲醛释放量符合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靠背尺寸为23.5*1.8*8.5cm拆装式设计，椅子后脚5*2.2cm，前脚4*2.2cm，椅子四周小撑杆2*2cm，其中靠背及后脚均带弧形；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6.其他：椅子设计符合人体工程力学，充分结合人机功能学；设计美观舒适温馨；</w:t>
            </w:r>
          </w:p>
        </w:tc>
        <w:tc>
          <w:tcPr>
            <w:tcW w:w="840" w:type="dxa"/>
            <w:vAlign w:val="center"/>
          </w:tcPr>
          <w:p w14:paraId="1ABC50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433B6C2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120</w:t>
            </w:r>
          </w:p>
        </w:tc>
        <w:tc>
          <w:tcPr>
            <w:tcW w:w="1720" w:type="dxa"/>
            <w:vAlign w:val="center"/>
          </w:tcPr>
          <w:p w14:paraId="1CE02B4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99060</wp:posOffset>
                  </wp:positionH>
                  <wp:positionV relativeFrom="paragraph">
                    <wp:posOffset>335280</wp:posOffset>
                  </wp:positionV>
                  <wp:extent cx="809625" cy="1033780"/>
                  <wp:effectExtent l="0" t="0" r="13335" b="2540"/>
                  <wp:wrapNone/>
                  <wp:docPr id="607" name="ID_74B7D8AC426E40D9857F5E1D14128E5D"/>
                  <wp:cNvGraphicFramePr/>
                  <a:graphic xmlns:a="http://schemas.openxmlformats.org/drawingml/2006/main">
                    <a:graphicData uri="http://schemas.openxmlformats.org/drawingml/2006/picture">
                      <pic:pic xmlns:pic="http://schemas.openxmlformats.org/drawingml/2006/picture">
                        <pic:nvPicPr>
                          <pic:cNvPr id="607" name="ID_74B7D8AC426E40D9857F5E1D14128E5D"/>
                          <pic:cNvPicPr/>
                        </pic:nvPicPr>
                        <pic:blipFill>
                          <a:blip r:embed="rId14"/>
                          <a:stretch>
                            <a:fillRect/>
                          </a:stretch>
                        </pic:blipFill>
                        <pic:spPr>
                          <a:xfrm>
                            <a:off x="0" y="0"/>
                            <a:ext cx="809625" cy="1033780"/>
                          </a:xfrm>
                          <a:prstGeom prst="rect">
                            <a:avLst/>
                          </a:prstGeom>
                          <a:noFill/>
                          <a:ln>
                            <a:noFill/>
                          </a:ln>
                        </pic:spPr>
                      </pic:pic>
                    </a:graphicData>
                  </a:graphic>
                </wp:anchor>
              </w:drawing>
            </w:r>
          </w:p>
        </w:tc>
      </w:tr>
      <w:tr w14:paraId="5A98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41D283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7</w:t>
            </w:r>
          </w:p>
        </w:tc>
        <w:tc>
          <w:tcPr>
            <w:tcW w:w="1293" w:type="dxa"/>
            <w:vAlign w:val="center"/>
          </w:tcPr>
          <w:p w14:paraId="40627E7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原木造型书架</w:t>
            </w:r>
          </w:p>
        </w:tc>
        <w:tc>
          <w:tcPr>
            <w:tcW w:w="8697" w:type="dxa"/>
            <w:vAlign w:val="center"/>
          </w:tcPr>
          <w:p w14:paraId="37C6CE9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1.规格:90*30*85cm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5.连接件：书架面板跟侧板采用二合一连接件连接，其余部分采用木牙螺丝组装；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778C5D6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58764E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FE900C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40005</wp:posOffset>
                  </wp:positionH>
                  <wp:positionV relativeFrom="paragraph">
                    <wp:posOffset>619125</wp:posOffset>
                  </wp:positionV>
                  <wp:extent cx="925195" cy="771525"/>
                  <wp:effectExtent l="0" t="0" r="4445" b="5715"/>
                  <wp:wrapNone/>
                  <wp:docPr id="609" name="ID_6BF46178142D4C58B9506DE1E4876C56"/>
                  <wp:cNvGraphicFramePr/>
                  <a:graphic xmlns:a="http://schemas.openxmlformats.org/drawingml/2006/main">
                    <a:graphicData uri="http://schemas.openxmlformats.org/drawingml/2006/picture">
                      <pic:pic xmlns:pic="http://schemas.openxmlformats.org/drawingml/2006/picture">
                        <pic:nvPicPr>
                          <pic:cNvPr id="609" name="ID_6BF46178142D4C58B9506DE1E4876C56"/>
                          <pic:cNvPicPr/>
                        </pic:nvPicPr>
                        <pic:blipFill>
                          <a:blip r:embed="rId15"/>
                          <a:stretch>
                            <a:fillRect/>
                          </a:stretch>
                        </pic:blipFill>
                        <pic:spPr>
                          <a:xfrm>
                            <a:off x="0" y="0"/>
                            <a:ext cx="925195" cy="771525"/>
                          </a:xfrm>
                          <a:prstGeom prst="rect">
                            <a:avLst/>
                          </a:prstGeom>
                          <a:noFill/>
                          <a:ln>
                            <a:noFill/>
                          </a:ln>
                        </pic:spPr>
                      </pic:pic>
                    </a:graphicData>
                  </a:graphic>
                </wp:anchor>
              </w:drawing>
            </w:r>
          </w:p>
        </w:tc>
      </w:tr>
      <w:tr w14:paraId="2158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896A08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8</w:t>
            </w:r>
          </w:p>
        </w:tc>
        <w:tc>
          <w:tcPr>
            <w:tcW w:w="1293" w:type="dxa"/>
            <w:vAlign w:val="center"/>
          </w:tcPr>
          <w:p w14:paraId="7BDA177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沙发</w:t>
            </w:r>
          </w:p>
        </w:tc>
        <w:tc>
          <w:tcPr>
            <w:tcW w:w="8697" w:type="dxa"/>
            <w:vAlign w:val="center"/>
          </w:tcPr>
          <w:p w14:paraId="3F3EB7A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产品尺寸：54*40*54cm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299FFA9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3ECF774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D454ED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50165</wp:posOffset>
                  </wp:positionH>
                  <wp:positionV relativeFrom="paragraph">
                    <wp:posOffset>28575</wp:posOffset>
                  </wp:positionV>
                  <wp:extent cx="793115" cy="483870"/>
                  <wp:effectExtent l="0" t="0" r="14605" b="3810"/>
                  <wp:wrapNone/>
                  <wp:docPr id="611" name="ID_E1193BD91AFD4DC3BE5348A10FB0381C"/>
                  <wp:cNvGraphicFramePr/>
                  <a:graphic xmlns:a="http://schemas.openxmlformats.org/drawingml/2006/main">
                    <a:graphicData uri="http://schemas.openxmlformats.org/drawingml/2006/picture">
                      <pic:pic xmlns:pic="http://schemas.openxmlformats.org/drawingml/2006/picture">
                        <pic:nvPicPr>
                          <pic:cNvPr id="611" name="ID_E1193BD91AFD4DC3BE5348A10FB0381C"/>
                          <pic:cNvPicPr/>
                        </pic:nvPicPr>
                        <pic:blipFill>
                          <a:blip r:embed="rId16"/>
                          <a:stretch>
                            <a:fillRect/>
                          </a:stretch>
                        </pic:blipFill>
                        <pic:spPr>
                          <a:xfrm>
                            <a:off x="0" y="0"/>
                            <a:ext cx="793115" cy="483870"/>
                          </a:xfrm>
                          <a:prstGeom prst="rect">
                            <a:avLst/>
                          </a:prstGeom>
                          <a:noFill/>
                          <a:ln>
                            <a:noFill/>
                          </a:ln>
                        </pic:spPr>
                      </pic:pic>
                    </a:graphicData>
                  </a:graphic>
                </wp:anchor>
              </w:drawing>
            </w:r>
          </w:p>
        </w:tc>
      </w:tr>
      <w:tr w14:paraId="7DD5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FD39F5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9</w:t>
            </w:r>
          </w:p>
        </w:tc>
        <w:tc>
          <w:tcPr>
            <w:tcW w:w="1293" w:type="dxa"/>
            <w:vAlign w:val="center"/>
          </w:tcPr>
          <w:p w14:paraId="0A97B2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黑板柜</w:t>
            </w:r>
          </w:p>
        </w:tc>
        <w:tc>
          <w:tcPr>
            <w:tcW w:w="8697" w:type="dxa"/>
            <w:vAlign w:val="center"/>
          </w:tcPr>
          <w:p w14:paraId="4D045CF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1.规格:115*35*120cm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黑板柜上下层设计，上层为两种板面设计，一面软木一面绿板，下层为双层柜体设计含三格抽屉，抽屉两侧为镂空空格柜内径不小于22.5*33.5cm；底部四边采用5公分万向轮。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37F9F75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5D525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3C2990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13970</wp:posOffset>
                  </wp:positionH>
                  <wp:positionV relativeFrom="paragraph">
                    <wp:posOffset>211455</wp:posOffset>
                  </wp:positionV>
                  <wp:extent cx="951230" cy="832485"/>
                  <wp:effectExtent l="0" t="0" r="8890" b="5715"/>
                  <wp:wrapNone/>
                  <wp:docPr id="613" name="ID_726F81E5E6FC4DACBABB25C7022E63A6"/>
                  <wp:cNvGraphicFramePr/>
                  <a:graphic xmlns:a="http://schemas.openxmlformats.org/drawingml/2006/main">
                    <a:graphicData uri="http://schemas.openxmlformats.org/drawingml/2006/picture">
                      <pic:pic xmlns:pic="http://schemas.openxmlformats.org/drawingml/2006/picture">
                        <pic:nvPicPr>
                          <pic:cNvPr id="613" name="ID_726F81E5E6FC4DACBABB25C7022E63A6"/>
                          <pic:cNvPicPr/>
                        </pic:nvPicPr>
                        <pic:blipFill>
                          <a:blip r:embed="rId17"/>
                          <a:stretch>
                            <a:fillRect/>
                          </a:stretch>
                        </pic:blipFill>
                        <pic:spPr>
                          <a:xfrm>
                            <a:off x="0" y="0"/>
                            <a:ext cx="951230" cy="832485"/>
                          </a:xfrm>
                          <a:prstGeom prst="rect">
                            <a:avLst/>
                          </a:prstGeom>
                          <a:noFill/>
                          <a:ln>
                            <a:noFill/>
                          </a:ln>
                        </pic:spPr>
                      </pic:pic>
                    </a:graphicData>
                  </a:graphic>
                </wp:anchor>
              </w:drawing>
            </w:r>
          </w:p>
        </w:tc>
      </w:tr>
      <w:tr w14:paraId="702D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8B80AB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10</w:t>
            </w:r>
          </w:p>
        </w:tc>
        <w:tc>
          <w:tcPr>
            <w:tcW w:w="1293" w:type="dxa"/>
            <w:vAlign w:val="center"/>
          </w:tcPr>
          <w:p w14:paraId="63210E5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卡通衣架</w:t>
            </w:r>
          </w:p>
        </w:tc>
        <w:tc>
          <w:tcPr>
            <w:tcW w:w="8697" w:type="dxa"/>
            <w:vAlign w:val="center"/>
          </w:tcPr>
          <w:p w14:paraId="4E2639F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1.规格：90*39*100cm；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2.材质：采用厚度1.8cm桦木多层板，桦木多层板材质稳定，不易变形、含水率和甲醛释放量符合GB/T3324-2017和GB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3.产品：含4个卡通晾衣架，规格：26*12*20cm。底部带4个5公分万向轮。产品外观要求、理化性能要求、结构安全、有害物质限量（可迁移元素、甲醛释放量等）、力学性能、警示标识等符合GB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5.连接件：横板跟侧板采用二合一连接件连接，其余部分采用木牙螺丝组装；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6B76F3A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B482DE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C2DC19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69215</wp:posOffset>
                  </wp:positionH>
                  <wp:positionV relativeFrom="paragraph">
                    <wp:posOffset>471170</wp:posOffset>
                  </wp:positionV>
                  <wp:extent cx="916940" cy="934085"/>
                  <wp:effectExtent l="0" t="0" r="12700" b="10795"/>
                  <wp:wrapNone/>
                  <wp:docPr id="615" name="ID_D9AE8618B4884BEA81870A311079A320"/>
                  <wp:cNvGraphicFramePr/>
                  <a:graphic xmlns:a="http://schemas.openxmlformats.org/drawingml/2006/main">
                    <a:graphicData uri="http://schemas.openxmlformats.org/drawingml/2006/picture">
                      <pic:pic xmlns:pic="http://schemas.openxmlformats.org/drawingml/2006/picture">
                        <pic:nvPicPr>
                          <pic:cNvPr id="615" name="ID_D9AE8618B4884BEA81870A311079A320"/>
                          <pic:cNvPicPr/>
                        </pic:nvPicPr>
                        <pic:blipFill>
                          <a:blip r:embed="rId18"/>
                          <a:stretch>
                            <a:fillRect/>
                          </a:stretch>
                        </pic:blipFill>
                        <pic:spPr>
                          <a:xfrm>
                            <a:off x="0" y="0"/>
                            <a:ext cx="916940" cy="934085"/>
                          </a:xfrm>
                          <a:prstGeom prst="rect">
                            <a:avLst/>
                          </a:prstGeom>
                          <a:noFill/>
                          <a:ln>
                            <a:noFill/>
                          </a:ln>
                        </pic:spPr>
                      </pic:pic>
                    </a:graphicData>
                  </a:graphic>
                </wp:anchor>
              </w:drawing>
            </w:r>
          </w:p>
        </w:tc>
      </w:tr>
      <w:tr w14:paraId="4D3B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trPr>
        <w:tc>
          <w:tcPr>
            <w:tcW w:w="664" w:type="dxa"/>
            <w:vAlign w:val="center"/>
          </w:tcPr>
          <w:p w14:paraId="4DCF100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11</w:t>
            </w:r>
          </w:p>
        </w:tc>
        <w:tc>
          <w:tcPr>
            <w:tcW w:w="1293" w:type="dxa"/>
            <w:vAlign w:val="center"/>
          </w:tcPr>
          <w:p w14:paraId="548185C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娃娃家桌椅</w:t>
            </w:r>
          </w:p>
        </w:tc>
        <w:tc>
          <w:tcPr>
            <w:tcW w:w="8697" w:type="dxa"/>
            <w:vAlign w:val="center"/>
          </w:tcPr>
          <w:p w14:paraId="303C17B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1.规格：圆桌：50*48cm；1张 小凳：25*24cm，4张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2.材质：采用厚度1.8cm桦木多层板，桦木多层板材质稳定，抗菌、防霉，不易变形、含水率和甲醛释放量符合GB/T3324-2017和GB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6.其他：保留原木色设计，让小朋友更加接近大自然，简约设计实用性强，视觉感更温馨；</w:t>
            </w:r>
          </w:p>
        </w:tc>
        <w:tc>
          <w:tcPr>
            <w:tcW w:w="840" w:type="dxa"/>
            <w:vAlign w:val="center"/>
          </w:tcPr>
          <w:p w14:paraId="2AFF839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FDEC45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DE83D9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5715</wp:posOffset>
                  </wp:positionH>
                  <wp:positionV relativeFrom="paragraph">
                    <wp:posOffset>589280</wp:posOffset>
                  </wp:positionV>
                  <wp:extent cx="861695" cy="920750"/>
                  <wp:effectExtent l="0" t="0" r="6985" b="8890"/>
                  <wp:wrapNone/>
                  <wp:docPr id="617" name="ID_1728F6085DE84949A6ECE036E4A820DF"/>
                  <wp:cNvGraphicFramePr/>
                  <a:graphic xmlns:a="http://schemas.openxmlformats.org/drawingml/2006/main">
                    <a:graphicData uri="http://schemas.openxmlformats.org/drawingml/2006/picture">
                      <pic:pic xmlns:pic="http://schemas.openxmlformats.org/drawingml/2006/picture">
                        <pic:nvPicPr>
                          <pic:cNvPr id="617" name="ID_1728F6085DE84949A6ECE036E4A820DF"/>
                          <pic:cNvPicPr/>
                        </pic:nvPicPr>
                        <pic:blipFill>
                          <a:blip r:embed="rId19"/>
                          <a:stretch>
                            <a:fillRect/>
                          </a:stretch>
                        </pic:blipFill>
                        <pic:spPr>
                          <a:xfrm>
                            <a:off x="0" y="0"/>
                            <a:ext cx="861695" cy="920750"/>
                          </a:xfrm>
                          <a:prstGeom prst="rect">
                            <a:avLst/>
                          </a:prstGeom>
                          <a:noFill/>
                          <a:ln>
                            <a:noFill/>
                          </a:ln>
                        </pic:spPr>
                      </pic:pic>
                    </a:graphicData>
                  </a:graphic>
                </wp:anchor>
              </w:drawing>
            </w:r>
          </w:p>
        </w:tc>
      </w:tr>
      <w:tr w14:paraId="7513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592FE1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2ED96DC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森林原木系列-梳妆台组合</w:t>
            </w:r>
          </w:p>
        </w:tc>
        <w:tc>
          <w:tcPr>
            <w:tcW w:w="8697" w:type="dxa"/>
            <w:vAlign w:val="center"/>
          </w:tcPr>
          <w:p w14:paraId="5D761C0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1.规格：80*45*80cm；梳妆凳 规格：φ30*28cm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 ，不易变形、含水率和甲醛释放量符合GB/T3324-2017和GB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6.其他：保留原木色设计，让小朋友更加接近大自然，简约设计实用性强，视觉感更温馨；</w:t>
            </w:r>
          </w:p>
        </w:tc>
        <w:tc>
          <w:tcPr>
            <w:tcW w:w="840" w:type="dxa"/>
            <w:vAlign w:val="center"/>
          </w:tcPr>
          <w:p w14:paraId="6FC50D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8AD6C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6D1FF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60325</wp:posOffset>
                  </wp:positionH>
                  <wp:positionV relativeFrom="paragraph">
                    <wp:posOffset>-150495</wp:posOffset>
                  </wp:positionV>
                  <wp:extent cx="782955" cy="773430"/>
                  <wp:effectExtent l="0" t="0" r="9525" b="3810"/>
                  <wp:wrapNone/>
                  <wp:docPr id="619" name="ID_0484BABC495742239FD2165021A94731"/>
                  <wp:cNvGraphicFramePr/>
                  <a:graphic xmlns:a="http://schemas.openxmlformats.org/drawingml/2006/main">
                    <a:graphicData uri="http://schemas.openxmlformats.org/drawingml/2006/picture">
                      <pic:pic xmlns:pic="http://schemas.openxmlformats.org/drawingml/2006/picture">
                        <pic:nvPicPr>
                          <pic:cNvPr id="619" name="ID_0484BABC495742239FD2165021A94731"/>
                          <pic:cNvPicPr/>
                        </pic:nvPicPr>
                        <pic:blipFill>
                          <a:blip r:embed="rId20"/>
                          <a:stretch>
                            <a:fillRect/>
                          </a:stretch>
                        </pic:blipFill>
                        <pic:spPr>
                          <a:xfrm>
                            <a:off x="0" y="0"/>
                            <a:ext cx="782955" cy="773430"/>
                          </a:xfrm>
                          <a:prstGeom prst="rect">
                            <a:avLst/>
                          </a:prstGeom>
                          <a:noFill/>
                          <a:ln>
                            <a:noFill/>
                          </a:ln>
                        </pic:spPr>
                      </pic:pic>
                    </a:graphicData>
                  </a:graphic>
                </wp:anchor>
              </w:drawing>
            </w:r>
          </w:p>
        </w:tc>
      </w:tr>
      <w:tr w14:paraId="1667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3" w:hRule="atLeast"/>
        </w:trPr>
        <w:tc>
          <w:tcPr>
            <w:tcW w:w="664" w:type="dxa"/>
            <w:vAlign w:val="center"/>
          </w:tcPr>
          <w:p w14:paraId="7B09831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2FC5043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三层收纳柜</w:t>
            </w:r>
          </w:p>
        </w:tc>
        <w:tc>
          <w:tcPr>
            <w:tcW w:w="8697" w:type="dxa"/>
            <w:vAlign w:val="center"/>
          </w:tcPr>
          <w:p w14:paraId="725866B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其中内径高15.9cm，宽86.4cm厚度1.8cm；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C42681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463001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32</w:t>
            </w:r>
          </w:p>
        </w:tc>
        <w:tc>
          <w:tcPr>
            <w:tcW w:w="1720" w:type="dxa"/>
            <w:vAlign w:val="center"/>
          </w:tcPr>
          <w:p w14:paraId="5EB3452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38100</wp:posOffset>
                  </wp:positionH>
                  <wp:positionV relativeFrom="paragraph">
                    <wp:posOffset>238125</wp:posOffset>
                  </wp:positionV>
                  <wp:extent cx="873125" cy="641985"/>
                  <wp:effectExtent l="0" t="0" r="10795" b="13335"/>
                  <wp:wrapNone/>
                  <wp:docPr id="621" name="ID_00C9278C293847CD98FA8DD72245A20E"/>
                  <wp:cNvGraphicFramePr/>
                  <a:graphic xmlns:a="http://schemas.openxmlformats.org/drawingml/2006/main">
                    <a:graphicData uri="http://schemas.openxmlformats.org/drawingml/2006/picture">
                      <pic:pic xmlns:pic="http://schemas.openxmlformats.org/drawingml/2006/picture">
                        <pic:nvPicPr>
                          <pic:cNvPr id="621" name="ID_00C9278C293847CD98FA8DD72245A20E"/>
                          <pic:cNvPicPr/>
                        </pic:nvPicPr>
                        <pic:blipFill>
                          <a:blip r:embed="rId21"/>
                          <a:stretch>
                            <a:fillRect/>
                          </a:stretch>
                        </pic:blipFill>
                        <pic:spPr>
                          <a:xfrm>
                            <a:off x="0" y="0"/>
                            <a:ext cx="873125" cy="641985"/>
                          </a:xfrm>
                          <a:prstGeom prst="rect">
                            <a:avLst/>
                          </a:prstGeom>
                          <a:noFill/>
                          <a:ln>
                            <a:noFill/>
                          </a:ln>
                        </pic:spPr>
                      </pic:pic>
                    </a:graphicData>
                  </a:graphic>
                </wp:anchor>
              </w:drawing>
            </w:r>
          </w:p>
        </w:tc>
      </w:tr>
      <w:tr w14:paraId="499B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242C36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61E2B5D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展示柜</w:t>
            </w:r>
          </w:p>
        </w:tc>
        <w:tc>
          <w:tcPr>
            <w:tcW w:w="8697" w:type="dxa"/>
            <w:vAlign w:val="center"/>
          </w:tcPr>
          <w:p w14:paraId="5D3E1B6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1.规格：90*30*140cm；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2.材质：板面采用厚度1.8cm双面无结橡胶木指接板，橡胶木材质稳定，抗菌、防霉，不易变形、含水率和甲醛释放量符合GB/T3324-2017和GB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上层为绳网编织展示架，下层为四格玩具柜，带造型板，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5.连接件：柜体面板跟侧板采用二合一连接件连接，其余部分采用木牙螺丝组装，上造型部分跟柜体连接处采用子母螺丝；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80358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CFD6A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40F23C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38100</wp:posOffset>
                  </wp:positionH>
                  <wp:positionV relativeFrom="paragraph">
                    <wp:posOffset>375285</wp:posOffset>
                  </wp:positionV>
                  <wp:extent cx="817880" cy="1098550"/>
                  <wp:effectExtent l="0" t="0" r="5080" b="13970"/>
                  <wp:wrapNone/>
                  <wp:docPr id="623" name="ID_AA9B43D62C1A424CAB8564B529ADD5E0"/>
                  <wp:cNvGraphicFramePr/>
                  <a:graphic xmlns:a="http://schemas.openxmlformats.org/drawingml/2006/main">
                    <a:graphicData uri="http://schemas.openxmlformats.org/drawingml/2006/picture">
                      <pic:pic xmlns:pic="http://schemas.openxmlformats.org/drawingml/2006/picture">
                        <pic:nvPicPr>
                          <pic:cNvPr id="623" name="ID_AA9B43D62C1A424CAB8564B529ADD5E0"/>
                          <pic:cNvPicPr/>
                        </pic:nvPicPr>
                        <pic:blipFill>
                          <a:blip r:embed="rId22"/>
                          <a:stretch>
                            <a:fillRect/>
                          </a:stretch>
                        </pic:blipFill>
                        <pic:spPr>
                          <a:xfrm>
                            <a:off x="0" y="0"/>
                            <a:ext cx="817880" cy="1098550"/>
                          </a:xfrm>
                          <a:prstGeom prst="rect">
                            <a:avLst/>
                          </a:prstGeom>
                          <a:noFill/>
                          <a:ln>
                            <a:noFill/>
                          </a:ln>
                        </pic:spPr>
                      </pic:pic>
                    </a:graphicData>
                  </a:graphic>
                </wp:anchor>
              </w:drawing>
            </w:r>
          </w:p>
        </w:tc>
      </w:tr>
      <w:tr w14:paraId="7CB5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321AD3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6D1F1C1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原木分餐桌</w:t>
            </w:r>
          </w:p>
        </w:tc>
        <w:tc>
          <w:tcPr>
            <w:tcW w:w="8697" w:type="dxa"/>
            <w:vAlign w:val="center"/>
          </w:tcPr>
          <w:p w14:paraId="4252EEC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1.规格：165*55*50cm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2.材质：采用厚度1.8cm双面无结橡胶木指接板，桌腿厚度4*4cm，橡胶木材质稳定，抗菌、防霉 ，不易变形、含水率和甲醛释放量符合GB/T3324-2017和GB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3.产品：分餐桌底下带万向轮，方便移动。 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5.连接件：分餐桌各层连接采用三层拉轨（配件为轨道），符合</w:t>
            </w:r>
            <w:r>
              <w:rPr>
                <w:rFonts w:hint="eastAsia" w:ascii="宋体" w:hAnsi="宋体" w:cs="宋体"/>
                <w:i w:val="0"/>
                <w:iCs w:val="0"/>
                <w:color w:val="auto"/>
                <w:kern w:val="0"/>
                <w:sz w:val="21"/>
                <w:szCs w:val="21"/>
                <w:u w:val="none"/>
                <w:lang w:val="en-US" w:eastAsia="zh-CN" w:bidi="ar"/>
              </w:rPr>
              <w:t>GB/T 4340.1-2024</w:t>
            </w:r>
            <w:r>
              <w:rPr>
                <w:rFonts w:hint="eastAsia" w:ascii="宋体" w:hAnsi="宋体" w:eastAsia="宋体" w:cs="宋体"/>
                <w:i w:val="0"/>
                <w:iCs w:val="0"/>
                <w:color w:val="auto"/>
                <w:kern w:val="0"/>
                <w:sz w:val="21"/>
                <w:szCs w:val="21"/>
                <w:u w:val="none"/>
                <w:lang w:val="en-US" w:eastAsia="zh-CN" w:bidi="ar"/>
              </w:rPr>
              <w:t>、GB/T 10125-2021标准表面经过处理，耐磨损，耐腐蚀性强；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5F63DA2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37E44F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5B9DEC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38100</wp:posOffset>
                  </wp:positionH>
                  <wp:positionV relativeFrom="paragraph">
                    <wp:posOffset>125730</wp:posOffset>
                  </wp:positionV>
                  <wp:extent cx="882650" cy="978535"/>
                  <wp:effectExtent l="0" t="0" r="1270" b="12065"/>
                  <wp:wrapNone/>
                  <wp:docPr id="625" name="ID_3EF612BCBFC946E484F1C23C0054C57C"/>
                  <wp:cNvGraphicFramePr/>
                  <a:graphic xmlns:a="http://schemas.openxmlformats.org/drawingml/2006/main">
                    <a:graphicData uri="http://schemas.openxmlformats.org/drawingml/2006/picture">
                      <pic:pic xmlns:pic="http://schemas.openxmlformats.org/drawingml/2006/picture">
                        <pic:nvPicPr>
                          <pic:cNvPr id="625" name="ID_3EF612BCBFC946E484F1C23C0054C57C"/>
                          <pic:cNvPicPr/>
                        </pic:nvPicPr>
                        <pic:blipFill>
                          <a:blip r:embed="rId23"/>
                          <a:stretch>
                            <a:fillRect/>
                          </a:stretch>
                        </pic:blipFill>
                        <pic:spPr>
                          <a:xfrm>
                            <a:off x="0" y="0"/>
                            <a:ext cx="882650" cy="978535"/>
                          </a:xfrm>
                          <a:prstGeom prst="rect">
                            <a:avLst/>
                          </a:prstGeom>
                          <a:noFill/>
                          <a:ln>
                            <a:noFill/>
                          </a:ln>
                        </pic:spPr>
                      </pic:pic>
                    </a:graphicData>
                  </a:graphic>
                </wp:anchor>
              </w:drawing>
            </w:r>
          </w:p>
        </w:tc>
      </w:tr>
      <w:tr w14:paraId="1E4C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7D9DF1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4F944D5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厨房组合2件套</w:t>
            </w:r>
          </w:p>
        </w:tc>
        <w:tc>
          <w:tcPr>
            <w:tcW w:w="8697" w:type="dxa"/>
            <w:vAlign w:val="center"/>
          </w:tcPr>
          <w:p w14:paraId="585907C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1.规格:a原木洗手台：45*40*50cm  d原木小灶台：45*40*50cm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2.材质：板面采用厚度1.8cm双面无结橡胶木指接板，橡胶木材质稳定，抗菌、防霉，不易变形、含水率和甲醛释放量符合GB/T3324-2017和GB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其中冰箱规格40*40*85cm1个，小灶台45*40*50cm1个，洗手台45*40*50cm1个,小橱柜45*40*50cm1个，洗衣机45*40*50cm1个；其中门洞造型采用亚克力板反面裁口嵌入式外表平整美观，柜体上开关造型可转动调节，柜门采用铰链连接，表面经过处理，耐磨损，耐腐蚀性强符合国家相关标准要求；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D68582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A580B9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19D963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89535</wp:posOffset>
                  </wp:positionH>
                  <wp:positionV relativeFrom="paragraph">
                    <wp:posOffset>927735</wp:posOffset>
                  </wp:positionV>
                  <wp:extent cx="711200" cy="940435"/>
                  <wp:effectExtent l="0" t="0" r="5080" b="4445"/>
                  <wp:wrapNone/>
                  <wp:docPr id="627" name="ID_3EFD3175EE5D4673ADF2F2C6F059CC84"/>
                  <wp:cNvGraphicFramePr/>
                  <a:graphic xmlns:a="http://schemas.openxmlformats.org/drawingml/2006/main">
                    <a:graphicData uri="http://schemas.openxmlformats.org/drawingml/2006/picture">
                      <pic:pic xmlns:pic="http://schemas.openxmlformats.org/drawingml/2006/picture">
                        <pic:nvPicPr>
                          <pic:cNvPr id="627" name="ID_3EFD3175EE5D4673ADF2F2C6F059CC84"/>
                          <pic:cNvPicPr/>
                        </pic:nvPicPr>
                        <pic:blipFill>
                          <a:blip r:embed="rId24"/>
                          <a:stretch>
                            <a:fillRect/>
                          </a:stretch>
                        </pic:blipFill>
                        <pic:spPr>
                          <a:xfrm>
                            <a:off x="0" y="0"/>
                            <a:ext cx="711200" cy="940435"/>
                          </a:xfrm>
                          <a:prstGeom prst="rect">
                            <a:avLst/>
                          </a:prstGeom>
                          <a:noFill/>
                          <a:ln>
                            <a:noFill/>
                          </a:ln>
                        </pic:spPr>
                      </pic:pic>
                    </a:graphicData>
                  </a:graphic>
                </wp:anchor>
              </w:drawing>
            </w:r>
          </w:p>
        </w:tc>
      </w:tr>
      <w:tr w14:paraId="000A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F34808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17</w:t>
            </w:r>
          </w:p>
        </w:tc>
        <w:tc>
          <w:tcPr>
            <w:tcW w:w="1293" w:type="dxa"/>
            <w:vAlign w:val="center"/>
          </w:tcPr>
          <w:p w14:paraId="35EB10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小床</w:t>
            </w:r>
          </w:p>
        </w:tc>
        <w:tc>
          <w:tcPr>
            <w:tcW w:w="8697" w:type="dxa"/>
            <w:vAlign w:val="center"/>
          </w:tcPr>
          <w:p w14:paraId="1EC8B54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1.规格：85*44*40cm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2.材质：采用厚度1.8cm桦木多层板，桦木多层板材质稳定，抗菌、防霉，不易变形、含水率和甲醛释放量符合GB/T3324-2017和GB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3.产品：图案采用UV打印，产品外观要求、理化性能要求、结构安全、有害物质限量（可迁移元素、甲醛释放量等）、力学性能、警示标识等符合GB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6.其他：保留原木色设计，让小朋友更加接近大自然，简约设计实用性强，视觉感更温馨；</w:t>
            </w:r>
          </w:p>
        </w:tc>
        <w:tc>
          <w:tcPr>
            <w:tcW w:w="840" w:type="dxa"/>
            <w:vAlign w:val="center"/>
          </w:tcPr>
          <w:p w14:paraId="013C6DC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1811A8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4275EA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-12065</wp:posOffset>
                  </wp:positionH>
                  <wp:positionV relativeFrom="paragraph">
                    <wp:posOffset>171450</wp:posOffset>
                  </wp:positionV>
                  <wp:extent cx="919480" cy="918845"/>
                  <wp:effectExtent l="0" t="0" r="10160" b="10795"/>
                  <wp:wrapNone/>
                  <wp:docPr id="629" name="ID_8B92EA2476F44D6FA2D84075AD728E74"/>
                  <wp:cNvGraphicFramePr/>
                  <a:graphic xmlns:a="http://schemas.openxmlformats.org/drawingml/2006/main">
                    <a:graphicData uri="http://schemas.openxmlformats.org/drawingml/2006/picture">
                      <pic:pic xmlns:pic="http://schemas.openxmlformats.org/drawingml/2006/picture">
                        <pic:nvPicPr>
                          <pic:cNvPr id="629" name="ID_8B92EA2476F44D6FA2D84075AD728E74"/>
                          <pic:cNvPicPr/>
                        </pic:nvPicPr>
                        <pic:blipFill>
                          <a:blip r:embed="rId25"/>
                          <a:stretch>
                            <a:fillRect/>
                          </a:stretch>
                        </pic:blipFill>
                        <pic:spPr>
                          <a:xfrm>
                            <a:off x="0" y="0"/>
                            <a:ext cx="919480" cy="918845"/>
                          </a:xfrm>
                          <a:prstGeom prst="rect">
                            <a:avLst/>
                          </a:prstGeom>
                          <a:noFill/>
                          <a:ln>
                            <a:noFill/>
                          </a:ln>
                        </pic:spPr>
                      </pic:pic>
                    </a:graphicData>
                  </a:graphic>
                </wp:anchor>
              </w:drawing>
            </w:r>
          </w:p>
        </w:tc>
      </w:tr>
      <w:tr w14:paraId="301C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664" w:type="dxa"/>
            <w:vAlign w:val="center"/>
          </w:tcPr>
          <w:p w14:paraId="22D1619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18</w:t>
            </w:r>
          </w:p>
        </w:tc>
        <w:tc>
          <w:tcPr>
            <w:tcW w:w="1293" w:type="dxa"/>
            <w:vAlign w:val="center"/>
          </w:tcPr>
          <w:p w14:paraId="5039DB2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电脑桌</w:t>
            </w:r>
          </w:p>
        </w:tc>
        <w:tc>
          <w:tcPr>
            <w:tcW w:w="8697" w:type="dxa"/>
            <w:vAlign w:val="center"/>
          </w:tcPr>
          <w:p w14:paraId="22F42C6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规格：120*55*75cm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材质：实木框架，田园橡木色</w:t>
            </w:r>
          </w:p>
        </w:tc>
        <w:tc>
          <w:tcPr>
            <w:tcW w:w="840" w:type="dxa"/>
            <w:vAlign w:val="center"/>
          </w:tcPr>
          <w:p w14:paraId="081E244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080C775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4A6805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126365</wp:posOffset>
                  </wp:positionH>
                  <wp:positionV relativeFrom="paragraph">
                    <wp:posOffset>11430</wp:posOffset>
                  </wp:positionV>
                  <wp:extent cx="650875" cy="517525"/>
                  <wp:effectExtent l="0" t="0" r="4445" b="635"/>
                  <wp:wrapNone/>
                  <wp:docPr id="631" name="ID_4D9FAB610C634333AA74786E5CAF75BF"/>
                  <wp:cNvGraphicFramePr/>
                  <a:graphic xmlns:a="http://schemas.openxmlformats.org/drawingml/2006/main">
                    <a:graphicData uri="http://schemas.openxmlformats.org/drawingml/2006/picture">
                      <pic:pic xmlns:pic="http://schemas.openxmlformats.org/drawingml/2006/picture">
                        <pic:nvPicPr>
                          <pic:cNvPr id="631" name="ID_4D9FAB610C634333AA74786E5CAF75BF"/>
                          <pic:cNvPicPr/>
                        </pic:nvPicPr>
                        <pic:blipFill>
                          <a:blip r:embed="rId26"/>
                          <a:stretch>
                            <a:fillRect/>
                          </a:stretch>
                        </pic:blipFill>
                        <pic:spPr>
                          <a:xfrm>
                            <a:off x="0" y="0"/>
                            <a:ext cx="650875" cy="517525"/>
                          </a:xfrm>
                          <a:prstGeom prst="rect">
                            <a:avLst/>
                          </a:prstGeom>
                          <a:noFill/>
                          <a:ln>
                            <a:noFill/>
                          </a:ln>
                        </pic:spPr>
                      </pic:pic>
                    </a:graphicData>
                  </a:graphic>
                </wp:anchor>
              </w:drawing>
            </w:r>
          </w:p>
        </w:tc>
      </w:tr>
      <w:tr w14:paraId="493E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1A9C282B">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lang w:val="en-US" w:eastAsia="zh-CN"/>
              </w:rPr>
              <w:t>中班</w:t>
            </w:r>
          </w:p>
        </w:tc>
      </w:tr>
      <w:tr w14:paraId="1A2B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DE5E3C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w:t>
            </w:r>
          </w:p>
        </w:tc>
        <w:tc>
          <w:tcPr>
            <w:tcW w:w="1293" w:type="dxa"/>
            <w:vAlign w:val="center"/>
          </w:tcPr>
          <w:p w14:paraId="6B35BD4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六人推拉床</w:t>
            </w:r>
          </w:p>
        </w:tc>
        <w:tc>
          <w:tcPr>
            <w:tcW w:w="8697" w:type="dxa"/>
            <w:vAlign w:val="center"/>
          </w:tcPr>
          <w:p w14:paraId="15C2466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1.规格：六人推拉床140*130*96cm，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2.材质：整体框架采用厚度1.8cm双面无结橡胶木指接板，板材材质稳定，抗菌、防霉，不易变形、含水率和甲醛释放量符合GB/T3324-2017和GB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4.产品：儿童床带刹车万向轮，图案采用UV打印，产品外观要求、理化性能要求、结构安全、有害物质限量（可迁移元素、甲醛释放量等）、力学性能、警示标识等符合GB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6.其他：保留原木色设计，让小朋友更接近大自然，简约设计实用性强，视觉感更温馨；</w:t>
            </w:r>
          </w:p>
        </w:tc>
        <w:tc>
          <w:tcPr>
            <w:tcW w:w="840" w:type="dxa"/>
            <w:vAlign w:val="center"/>
          </w:tcPr>
          <w:p w14:paraId="55F9AB2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09C486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1720" w:type="dxa"/>
            <w:vAlign w:val="center"/>
          </w:tcPr>
          <w:p w14:paraId="2BEC5AA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-12065</wp:posOffset>
                  </wp:positionH>
                  <wp:positionV relativeFrom="paragraph">
                    <wp:posOffset>852805</wp:posOffset>
                  </wp:positionV>
                  <wp:extent cx="977265" cy="647700"/>
                  <wp:effectExtent l="0" t="0" r="13335" b="7620"/>
                  <wp:wrapNone/>
                  <wp:docPr id="633" name="ID_048CA5B70C004882917767BAE906F2AE"/>
                  <wp:cNvGraphicFramePr/>
                  <a:graphic xmlns:a="http://schemas.openxmlformats.org/drawingml/2006/main">
                    <a:graphicData uri="http://schemas.openxmlformats.org/drawingml/2006/picture">
                      <pic:pic xmlns:pic="http://schemas.openxmlformats.org/drawingml/2006/picture">
                        <pic:nvPicPr>
                          <pic:cNvPr id="633" name="ID_048CA5B70C004882917767BAE906F2AE"/>
                          <pic:cNvPicPr/>
                        </pic:nvPicPr>
                        <pic:blipFill>
                          <a:blip r:embed="rId27"/>
                          <a:stretch>
                            <a:fillRect/>
                          </a:stretch>
                        </pic:blipFill>
                        <pic:spPr>
                          <a:xfrm>
                            <a:off x="0" y="0"/>
                            <a:ext cx="977265" cy="647700"/>
                          </a:xfrm>
                          <a:prstGeom prst="rect">
                            <a:avLst/>
                          </a:prstGeom>
                          <a:noFill/>
                          <a:ln>
                            <a:noFill/>
                          </a:ln>
                        </pic:spPr>
                      </pic:pic>
                    </a:graphicData>
                  </a:graphic>
                </wp:anchor>
              </w:drawing>
            </w:r>
          </w:p>
        </w:tc>
      </w:tr>
      <w:tr w14:paraId="219B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B52B2D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1AE196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原木三层柜</w:t>
            </w:r>
          </w:p>
        </w:tc>
        <w:tc>
          <w:tcPr>
            <w:tcW w:w="8697" w:type="dxa"/>
            <w:vAlign w:val="center"/>
          </w:tcPr>
          <w:p w14:paraId="48E7934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E9AA4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3FF080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A39341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-51435</wp:posOffset>
                  </wp:positionH>
                  <wp:positionV relativeFrom="paragraph">
                    <wp:posOffset>770255</wp:posOffset>
                  </wp:positionV>
                  <wp:extent cx="1016635" cy="916940"/>
                  <wp:effectExtent l="0" t="0" r="4445" b="12700"/>
                  <wp:wrapNone/>
                  <wp:docPr id="635" name="ID_D3363934D4DA48D9BFE7A96613A72087"/>
                  <wp:cNvGraphicFramePr/>
                  <a:graphic xmlns:a="http://schemas.openxmlformats.org/drawingml/2006/main">
                    <a:graphicData uri="http://schemas.openxmlformats.org/drawingml/2006/picture">
                      <pic:pic xmlns:pic="http://schemas.openxmlformats.org/drawingml/2006/picture">
                        <pic:nvPicPr>
                          <pic:cNvPr id="635" name="ID_D3363934D4DA48D9BFE7A96613A72087"/>
                          <pic:cNvPicPr/>
                        </pic:nvPicPr>
                        <pic:blipFill>
                          <a:blip r:embed="rId28"/>
                          <a:stretch>
                            <a:fillRect/>
                          </a:stretch>
                        </pic:blipFill>
                        <pic:spPr>
                          <a:xfrm>
                            <a:off x="0" y="0"/>
                            <a:ext cx="1016635" cy="916940"/>
                          </a:xfrm>
                          <a:prstGeom prst="rect">
                            <a:avLst/>
                          </a:prstGeom>
                          <a:noFill/>
                          <a:ln>
                            <a:noFill/>
                          </a:ln>
                        </pic:spPr>
                      </pic:pic>
                    </a:graphicData>
                  </a:graphic>
                </wp:anchor>
              </w:drawing>
            </w:r>
          </w:p>
        </w:tc>
      </w:tr>
      <w:tr w14:paraId="3BCA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F6549B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4776FCD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贩卖柜</w:t>
            </w:r>
          </w:p>
        </w:tc>
        <w:tc>
          <w:tcPr>
            <w:tcW w:w="8697" w:type="dxa"/>
            <w:vAlign w:val="center"/>
          </w:tcPr>
          <w:p w14:paraId="13F13C8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6CB7722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693571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5D803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6350</wp:posOffset>
                  </wp:positionH>
                  <wp:positionV relativeFrom="paragraph">
                    <wp:posOffset>846455</wp:posOffset>
                  </wp:positionV>
                  <wp:extent cx="872490" cy="899160"/>
                  <wp:effectExtent l="0" t="0" r="11430" b="0"/>
                  <wp:wrapNone/>
                  <wp:docPr id="637" name="ID_C3167EF8DA744E82A7479D6491B5D928"/>
                  <wp:cNvGraphicFramePr/>
                  <a:graphic xmlns:a="http://schemas.openxmlformats.org/drawingml/2006/main">
                    <a:graphicData uri="http://schemas.openxmlformats.org/drawingml/2006/picture">
                      <pic:pic xmlns:pic="http://schemas.openxmlformats.org/drawingml/2006/picture">
                        <pic:nvPicPr>
                          <pic:cNvPr id="637" name="ID_C3167EF8DA744E82A7479D6491B5D928"/>
                          <pic:cNvPicPr/>
                        </pic:nvPicPr>
                        <pic:blipFill>
                          <a:blip r:embed="rId29"/>
                          <a:stretch>
                            <a:fillRect/>
                          </a:stretch>
                        </pic:blipFill>
                        <pic:spPr>
                          <a:xfrm>
                            <a:off x="0" y="0"/>
                            <a:ext cx="872490" cy="899160"/>
                          </a:xfrm>
                          <a:prstGeom prst="rect">
                            <a:avLst/>
                          </a:prstGeom>
                          <a:noFill/>
                          <a:ln>
                            <a:noFill/>
                          </a:ln>
                        </pic:spPr>
                      </pic:pic>
                    </a:graphicData>
                  </a:graphic>
                </wp:anchor>
              </w:drawing>
            </w:r>
          </w:p>
        </w:tc>
      </w:tr>
      <w:tr w14:paraId="4F9E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2B4D2D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w:t>
            </w:r>
          </w:p>
        </w:tc>
        <w:tc>
          <w:tcPr>
            <w:tcW w:w="1293" w:type="dxa"/>
            <w:vAlign w:val="center"/>
          </w:tcPr>
          <w:p w14:paraId="1DE4239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三层直角转角柜</w:t>
            </w:r>
          </w:p>
        </w:tc>
        <w:tc>
          <w:tcPr>
            <w:tcW w:w="8697" w:type="dxa"/>
            <w:vAlign w:val="center"/>
          </w:tcPr>
          <w:p w14:paraId="098B864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1.规格：60*60*70cm；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2.材质：采用厚度1.8cm实木橡胶木饰面橡木纹，材质稳定，抗菌、防霉 ，不易变形、含水率和甲醛释放量符合GB/T3324-2017和GB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36E5F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CB0F0D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44F86A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6350</wp:posOffset>
                  </wp:positionH>
                  <wp:positionV relativeFrom="paragraph">
                    <wp:posOffset>835025</wp:posOffset>
                  </wp:positionV>
                  <wp:extent cx="993775" cy="783590"/>
                  <wp:effectExtent l="0" t="0" r="12065" b="8890"/>
                  <wp:wrapNone/>
                  <wp:docPr id="639" name="ID_52EB4891202542D58CFC3943E231D1FF"/>
                  <wp:cNvGraphicFramePr/>
                  <a:graphic xmlns:a="http://schemas.openxmlformats.org/drawingml/2006/main">
                    <a:graphicData uri="http://schemas.openxmlformats.org/drawingml/2006/picture">
                      <pic:pic xmlns:pic="http://schemas.openxmlformats.org/drawingml/2006/picture">
                        <pic:nvPicPr>
                          <pic:cNvPr id="639" name="ID_52EB4891202542D58CFC3943E231D1FF"/>
                          <pic:cNvPicPr/>
                        </pic:nvPicPr>
                        <pic:blipFill>
                          <a:blip r:embed="rId30"/>
                          <a:stretch>
                            <a:fillRect/>
                          </a:stretch>
                        </pic:blipFill>
                        <pic:spPr>
                          <a:xfrm>
                            <a:off x="0" y="0"/>
                            <a:ext cx="993775" cy="783590"/>
                          </a:xfrm>
                          <a:prstGeom prst="rect">
                            <a:avLst/>
                          </a:prstGeom>
                          <a:noFill/>
                          <a:ln>
                            <a:noFill/>
                          </a:ln>
                        </pic:spPr>
                      </pic:pic>
                    </a:graphicData>
                  </a:graphic>
                </wp:anchor>
              </w:drawing>
            </w:r>
          </w:p>
        </w:tc>
      </w:tr>
      <w:tr w14:paraId="30D0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956A08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5</w:t>
            </w:r>
          </w:p>
        </w:tc>
        <w:tc>
          <w:tcPr>
            <w:tcW w:w="1293" w:type="dxa"/>
            <w:vAlign w:val="center"/>
          </w:tcPr>
          <w:p w14:paraId="5557D8B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三层收纳柜</w:t>
            </w:r>
          </w:p>
        </w:tc>
        <w:tc>
          <w:tcPr>
            <w:tcW w:w="8697" w:type="dxa"/>
            <w:vAlign w:val="center"/>
          </w:tcPr>
          <w:p w14:paraId="45357DD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481EB7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76DBE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28</w:t>
            </w:r>
          </w:p>
        </w:tc>
        <w:tc>
          <w:tcPr>
            <w:tcW w:w="1720" w:type="dxa"/>
            <w:vAlign w:val="center"/>
          </w:tcPr>
          <w:p w14:paraId="2CD18EC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18415</wp:posOffset>
                  </wp:positionH>
                  <wp:positionV relativeFrom="paragraph">
                    <wp:posOffset>1017905</wp:posOffset>
                  </wp:positionV>
                  <wp:extent cx="957580" cy="786765"/>
                  <wp:effectExtent l="0" t="0" r="2540" b="5715"/>
                  <wp:wrapNone/>
                  <wp:docPr id="641" name="ID_5A094DF9415A413D923C08D89B6B54FC"/>
                  <wp:cNvGraphicFramePr/>
                  <a:graphic xmlns:a="http://schemas.openxmlformats.org/drawingml/2006/main">
                    <a:graphicData uri="http://schemas.openxmlformats.org/drawingml/2006/picture">
                      <pic:pic xmlns:pic="http://schemas.openxmlformats.org/drawingml/2006/picture">
                        <pic:nvPicPr>
                          <pic:cNvPr id="641" name="ID_5A094DF9415A413D923C08D89B6B54FC"/>
                          <pic:cNvPicPr/>
                        </pic:nvPicPr>
                        <pic:blipFill>
                          <a:blip r:embed="rId31"/>
                          <a:stretch>
                            <a:fillRect/>
                          </a:stretch>
                        </pic:blipFill>
                        <pic:spPr>
                          <a:xfrm>
                            <a:off x="0" y="0"/>
                            <a:ext cx="957580" cy="786765"/>
                          </a:xfrm>
                          <a:prstGeom prst="rect">
                            <a:avLst/>
                          </a:prstGeom>
                          <a:noFill/>
                          <a:ln>
                            <a:noFill/>
                          </a:ln>
                        </pic:spPr>
                      </pic:pic>
                    </a:graphicData>
                  </a:graphic>
                </wp:anchor>
              </w:drawing>
            </w:r>
          </w:p>
        </w:tc>
      </w:tr>
      <w:tr w14:paraId="70B8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0C7484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6</w:t>
            </w:r>
          </w:p>
        </w:tc>
        <w:tc>
          <w:tcPr>
            <w:tcW w:w="1293" w:type="dxa"/>
            <w:vAlign w:val="center"/>
          </w:tcPr>
          <w:p w14:paraId="5A332B5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操作柜</w:t>
            </w:r>
          </w:p>
        </w:tc>
        <w:tc>
          <w:tcPr>
            <w:tcW w:w="8697" w:type="dxa"/>
            <w:vAlign w:val="center"/>
          </w:tcPr>
          <w:p w14:paraId="39B1F43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1.规格：90*30*136cm；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上层为洞洞板可拼插积木，下层为六格玩具柜，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5.连接件：柜体面板跟侧板采用二合一连接件连接，其余部分采用木牙螺丝组装，上造型部分跟柜体连接处采用子母螺丝；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79B3FA8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296C3A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5FBAF9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-6350</wp:posOffset>
                  </wp:positionH>
                  <wp:positionV relativeFrom="paragraph">
                    <wp:posOffset>465455</wp:posOffset>
                  </wp:positionV>
                  <wp:extent cx="889000" cy="1240155"/>
                  <wp:effectExtent l="0" t="0" r="10160" b="9525"/>
                  <wp:wrapNone/>
                  <wp:docPr id="643" name="ID_49488083AE3642A9971CEC1866B3AF93"/>
                  <wp:cNvGraphicFramePr/>
                  <a:graphic xmlns:a="http://schemas.openxmlformats.org/drawingml/2006/main">
                    <a:graphicData uri="http://schemas.openxmlformats.org/drawingml/2006/picture">
                      <pic:pic xmlns:pic="http://schemas.openxmlformats.org/drawingml/2006/picture">
                        <pic:nvPicPr>
                          <pic:cNvPr id="643" name="ID_49488083AE3642A9971CEC1866B3AF93"/>
                          <pic:cNvPicPr/>
                        </pic:nvPicPr>
                        <pic:blipFill>
                          <a:blip r:embed="rId32"/>
                          <a:stretch>
                            <a:fillRect/>
                          </a:stretch>
                        </pic:blipFill>
                        <pic:spPr>
                          <a:xfrm>
                            <a:off x="0" y="0"/>
                            <a:ext cx="889000" cy="1240155"/>
                          </a:xfrm>
                          <a:prstGeom prst="rect">
                            <a:avLst/>
                          </a:prstGeom>
                          <a:noFill/>
                          <a:ln>
                            <a:noFill/>
                          </a:ln>
                        </pic:spPr>
                      </pic:pic>
                    </a:graphicData>
                  </a:graphic>
                </wp:anchor>
              </w:drawing>
            </w:r>
          </w:p>
        </w:tc>
      </w:tr>
      <w:tr w14:paraId="4080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DDEE16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7</w:t>
            </w:r>
          </w:p>
        </w:tc>
        <w:tc>
          <w:tcPr>
            <w:tcW w:w="1293" w:type="dxa"/>
            <w:vAlign w:val="center"/>
          </w:tcPr>
          <w:p w14:paraId="2179DCE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原木分餐桌</w:t>
            </w:r>
          </w:p>
        </w:tc>
        <w:tc>
          <w:tcPr>
            <w:tcW w:w="8697" w:type="dxa"/>
            <w:vAlign w:val="center"/>
          </w:tcPr>
          <w:p w14:paraId="3126D28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1.规格：165*55*50cm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2.材质：采用厚度1.8cm双面无结橡胶木指接板，桌腿厚度4*4cm，橡胶木材质稳定，抗菌、防霉 ，不易变形、含水率和甲醛释放量符合GB/T3324-2017和GB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3.产品：分餐桌底下带万向轮，方便移动。 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5.连接件：分餐桌各层连接采用三层拉轨（配件为轨道），符合</w:t>
            </w:r>
            <w:r>
              <w:rPr>
                <w:rFonts w:hint="eastAsia" w:ascii="宋体" w:hAnsi="宋体" w:cs="宋体"/>
                <w:i w:val="0"/>
                <w:iCs w:val="0"/>
                <w:color w:val="auto"/>
                <w:kern w:val="0"/>
                <w:sz w:val="21"/>
                <w:szCs w:val="21"/>
                <w:u w:val="none"/>
                <w:lang w:val="en-US" w:eastAsia="zh-CN" w:bidi="ar"/>
              </w:rPr>
              <w:t>GB/T 4340.1-2024</w:t>
            </w:r>
            <w:r>
              <w:rPr>
                <w:rFonts w:hint="eastAsia" w:ascii="宋体" w:hAnsi="宋体" w:eastAsia="宋体" w:cs="宋体"/>
                <w:i w:val="0"/>
                <w:iCs w:val="0"/>
                <w:color w:val="auto"/>
                <w:kern w:val="0"/>
                <w:sz w:val="21"/>
                <w:szCs w:val="21"/>
                <w:u w:val="none"/>
                <w:lang w:val="en-US" w:eastAsia="zh-CN" w:bidi="ar"/>
              </w:rPr>
              <w:t>、GB/T 10125-2021标准表面经过处理，耐磨损，耐腐蚀性强；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468B34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78775A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EDBEBE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-6350</wp:posOffset>
                  </wp:positionH>
                  <wp:positionV relativeFrom="paragraph">
                    <wp:posOffset>583565</wp:posOffset>
                  </wp:positionV>
                  <wp:extent cx="964565" cy="941070"/>
                  <wp:effectExtent l="0" t="0" r="10795" b="3810"/>
                  <wp:wrapNone/>
                  <wp:docPr id="645" name="ID_18D4D7D8113940E983C7994685184A2E"/>
                  <wp:cNvGraphicFramePr/>
                  <a:graphic xmlns:a="http://schemas.openxmlformats.org/drawingml/2006/main">
                    <a:graphicData uri="http://schemas.openxmlformats.org/drawingml/2006/picture">
                      <pic:pic xmlns:pic="http://schemas.openxmlformats.org/drawingml/2006/picture">
                        <pic:nvPicPr>
                          <pic:cNvPr id="645" name="ID_18D4D7D8113940E983C7994685184A2E"/>
                          <pic:cNvPicPr/>
                        </pic:nvPicPr>
                        <pic:blipFill>
                          <a:blip r:embed="rId33"/>
                          <a:stretch>
                            <a:fillRect/>
                          </a:stretch>
                        </pic:blipFill>
                        <pic:spPr>
                          <a:xfrm>
                            <a:off x="0" y="0"/>
                            <a:ext cx="964565" cy="941070"/>
                          </a:xfrm>
                          <a:prstGeom prst="rect">
                            <a:avLst/>
                          </a:prstGeom>
                          <a:noFill/>
                          <a:ln>
                            <a:noFill/>
                          </a:ln>
                        </pic:spPr>
                      </pic:pic>
                    </a:graphicData>
                  </a:graphic>
                </wp:anchor>
              </w:drawing>
            </w:r>
          </w:p>
        </w:tc>
      </w:tr>
      <w:tr w14:paraId="27BB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67E34B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8</w:t>
            </w:r>
          </w:p>
        </w:tc>
        <w:tc>
          <w:tcPr>
            <w:tcW w:w="1293" w:type="dxa"/>
            <w:vAlign w:val="center"/>
          </w:tcPr>
          <w:p w14:paraId="57930AB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原木长方桌(不含椅子)</w:t>
            </w:r>
          </w:p>
        </w:tc>
        <w:tc>
          <w:tcPr>
            <w:tcW w:w="8697" w:type="dxa"/>
            <w:vAlign w:val="center"/>
          </w:tcPr>
          <w:p w14:paraId="2DB6A32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1.规格:120*60*54cm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2.材质：桌面采用厚度2.2cm双面无结橡胶木指接板，桌腿及边框采用实木橡胶木；橡胶木材质稳定，抗菌、防霉、不易变形、含水率和甲醛释放量符合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4.产品：桌脚厚度5*5cm，边框2.2*7.5cm，产品边角安全圆角处理，能减少磕碰的意外，外观要求、理化性能要求、结构安全、有害物质限量（可迁移元素、甲醛释放量等）、力学性能、警示标识等符合GB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5.连接件：桌脚与桌面之间采用三角铁和防松螺母固定连接，安装简易，表面经防锈处理，耐磨损，抗腐蚀符合国家相关标准要求。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40BE75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B30413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16</w:t>
            </w:r>
          </w:p>
        </w:tc>
        <w:tc>
          <w:tcPr>
            <w:tcW w:w="1720" w:type="dxa"/>
            <w:vAlign w:val="center"/>
          </w:tcPr>
          <w:p w14:paraId="2C90B94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33020</wp:posOffset>
                  </wp:positionH>
                  <wp:positionV relativeFrom="paragraph">
                    <wp:posOffset>817245</wp:posOffset>
                  </wp:positionV>
                  <wp:extent cx="757555" cy="800100"/>
                  <wp:effectExtent l="0" t="0" r="4445" b="7620"/>
                  <wp:wrapNone/>
                  <wp:docPr id="647" name="ID_F207437595D54618B4E6E948A69D08EA"/>
                  <wp:cNvGraphicFramePr/>
                  <a:graphic xmlns:a="http://schemas.openxmlformats.org/drawingml/2006/main">
                    <a:graphicData uri="http://schemas.openxmlformats.org/drawingml/2006/picture">
                      <pic:pic xmlns:pic="http://schemas.openxmlformats.org/drawingml/2006/picture">
                        <pic:nvPicPr>
                          <pic:cNvPr id="647" name="ID_F207437595D54618B4E6E948A69D08EA"/>
                          <pic:cNvPicPr/>
                        </pic:nvPicPr>
                        <pic:blipFill>
                          <a:blip r:embed="rId34"/>
                          <a:stretch>
                            <a:fillRect/>
                          </a:stretch>
                        </pic:blipFill>
                        <pic:spPr>
                          <a:xfrm>
                            <a:off x="0" y="0"/>
                            <a:ext cx="757555" cy="800100"/>
                          </a:xfrm>
                          <a:prstGeom prst="rect">
                            <a:avLst/>
                          </a:prstGeom>
                          <a:noFill/>
                          <a:ln>
                            <a:noFill/>
                          </a:ln>
                        </pic:spPr>
                      </pic:pic>
                    </a:graphicData>
                  </a:graphic>
                </wp:anchor>
              </w:drawing>
            </w:r>
          </w:p>
        </w:tc>
      </w:tr>
      <w:tr w14:paraId="4544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AE4C63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9</w:t>
            </w:r>
          </w:p>
        </w:tc>
        <w:tc>
          <w:tcPr>
            <w:tcW w:w="1293" w:type="dxa"/>
            <w:vAlign w:val="center"/>
          </w:tcPr>
          <w:p w14:paraId="61586C4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原木四方桌(不含椅子)</w:t>
            </w:r>
          </w:p>
        </w:tc>
        <w:tc>
          <w:tcPr>
            <w:tcW w:w="8697" w:type="dxa"/>
            <w:vAlign w:val="center"/>
          </w:tcPr>
          <w:p w14:paraId="180D0D5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1.规格:60*60*54cm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2.材质：桌面采用厚度2.2cm双面无结橡胶木指接板，桌腿及边框采用实木橡胶木；橡胶木材质稳定，抗菌、防霉、不易变形、含水率和甲醛释放量符合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4.产品：桌脚厚度5*5cm，边框2.2*7.5cm，产品边角安全圆角处理，能减少磕碰的意外，外观要求、理化性能要求、结构安全、有害物质限量（可迁移元素、甲醛释放量等）、力学性能、警示标识等符合GB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5.连接件：桌脚与桌面之间采用三角铁和防松螺母固定连接，安装简易，表面经防锈处理，耐磨损，抗腐蚀符合国家相关标准要求。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35996AC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2DA491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3AC91E8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34925</wp:posOffset>
                  </wp:positionH>
                  <wp:positionV relativeFrom="paragraph">
                    <wp:posOffset>288290</wp:posOffset>
                  </wp:positionV>
                  <wp:extent cx="932815" cy="934085"/>
                  <wp:effectExtent l="0" t="0" r="12065" b="10795"/>
                  <wp:wrapNone/>
                  <wp:docPr id="649" name="ID_7E7A125140F64946B11EF85A986CB2B1"/>
                  <wp:cNvGraphicFramePr/>
                  <a:graphic xmlns:a="http://schemas.openxmlformats.org/drawingml/2006/main">
                    <a:graphicData uri="http://schemas.openxmlformats.org/drawingml/2006/picture">
                      <pic:pic xmlns:pic="http://schemas.openxmlformats.org/drawingml/2006/picture">
                        <pic:nvPicPr>
                          <pic:cNvPr id="649" name="ID_7E7A125140F64946B11EF85A986CB2B1"/>
                          <pic:cNvPicPr/>
                        </pic:nvPicPr>
                        <pic:blipFill>
                          <a:blip r:embed="rId13"/>
                          <a:stretch>
                            <a:fillRect/>
                          </a:stretch>
                        </pic:blipFill>
                        <pic:spPr>
                          <a:xfrm>
                            <a:off x="0" y="0"/>
                            <a:ext cx="932815" cy="934085"/>
                          </a:xfrm>
                          <a:prstGeom prst="rect">
                            <a:avLst/>
                          </a:prstGeom>
                          <a:noFill/>
                          <a:ln>
                            <a:noFill/>
                          </a:ln>
                        </pic:spPr>
                      </pic:pic>
                    </a:graphicData>
                  </a:graphic>
                </wp:anchor>
              </w:drawing>
            </w:r>
          </w:p>
        </w:tc>
      </w:tr>
      <w:tr w14:paraId="7660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189ABC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10</w:t>
            </w:r>
          </w:p>
        </w:tc>
        <w:tc>
          <w:tcPr>
            <w:tcW w:w="1293" w:type="dxa"/>
            <w:vAlign w:val="center"/>
          </w:tcPr>
          <w:p w14:paraId="0CF471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原木椅子</w:t>
            </w:r>
          </w:p>
        </w:tc>
        <w:tc>
          <w:tcPr>
            <w:tcW w:w="8697" w:type="dxa"/>
            <w:vAlign w:val="center"/>
          </w:tcPr>
          <w:p w14:paraId="73E090B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1.规格28*29*28cm；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2.材质：椅面采用厚度1.8cm双面无结橡胶木指接板，靠背及椅子腿采用实木橡胶木，橡胶木材质稳定，抗菌、防霉、不易变形、含水率和甲醛释放量符合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靠背尺寸为23.5*1.8*8.5cm拆装式设计，椅子后脚5*2.2cm，前脚4*2.2cm，椅子四周小撑杆2*2cm，其中靠背及后脚均带弧形；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6.其他：椅子设计符合人体工程力学，充分结合人机功能学；设计美观舒适温馨；</w:t>
            </w:r>
          </w:p>
        </w:tc>
        <w:tc>
          <w:tcPr>
            <w:tcW w:w="840" w:type="dxa"/>
            <w:vAlign w:val="center"/>
          </w:tcPr>
          <w:p w14:paraId="224D787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4979D26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120</w:t>
            </w:r>
          </w:p>
        </w:tc>
        <w:tc>
          <w:tcPr>
            <w:tcW w:w="1720" w:type="dxa"/>
            <w:vAlign w:val="center"/>
          </w:tcPr>
          <w:p w14:paraId="36DC025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34925</wp:posOffset>
                  </wp:positionH>
                  <wp:positionV relativeFrom="paragraph">
                    <wp:posOffset>474345</wp:posOffset>
                  </wp:positionV>
                  <wp:extent cx="776605" cy="1018540"/>
                  <wp:effectExtent l="0" t="0" r="635" b="2540"/>
                  <wp:wrapNone/>
                  <wp:docPr id="651" name="ID_F094EC66A9D74B4784331B2E3D5B2FE6"/>
                  <wp:cNvGraphicFramePr/>
                  <a:graphic xmlns:a="http://schemas.openxmlformats.org/drawingml/2006/main">
                    <a:graphicData uri="http://schemas.openxmlformats.org/drawingml/2006/picture">
                      <pic:pic xmlns:pic="http://schemas.openxmlformats.org/drawingml/2006/picture">
                        <pic:nvPicPr>
                          <pic:cNvPr id="651" name="ID_F094EC66A9D74B4784331B2E3D5B2FE6"/>
                          <pic:cNvPicPr/>
                        </pic:nvPicPr>
                        <pic:blipFill>
                          <a:blip r:embed="rId35"/>
                          <a:stretch>
                            <a:fillRect/>
                          </a:stretch>
                        </pic:blipFill>
                        <pic:spPr>
                          <a:xfrm>
                            <a:off x="0" y="0"/>
                            <a:ext cx="776605" cy="1018540"/>
                          </a:xfrm>
                          <a:prstGeom prst="rect">
                            <a:avLst/>
                          </a:prstGeom>
                          <a:noFill/>
                          <a:ln>
                            <a:noFill/>
                          </a:ln>
                        </pic:spPr>
                      </pic:pic>
                    </a:graphicData>
                  </a:graphic>
                </wp:anchor>
              </w:drawing>
            </w:r>
          </w:p>
        </w:tc>
      </w:tr>
      <w:tr w14:paraId="2ECB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2CC18F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11</w:t>
            </w:r>
          </w:p>
        </w:tc>
        <w:tc>
          <w:tcPr>
            <w:tcW w:w="1293" w:type="dxa"/>
            <w:vAlign w:val="center"/>
          </w:tcPr>
          <w:p w14:paraId="04F1DAA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三层扇形转角柜45°</w:t>
            </w:r>
          </w:p>
        </w:tc>
        <w:tc>
          <w:tcPr>
            <w:tcW w:w="8697" w:type="dxa"/>
            <w:vAlign w:val="center"/>
          </w:tcPr>
          <w:p w14:paraId="065C856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1.规格:53*30*70cm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2873CCD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C789A0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1C4957F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59055</wp:posOffset>
                  </wp:positionH>
                  <wp:positionV relativeFrom="paragraph">
                    <wp:posOffset>-238125</wp:posOffset>
                  </wp:positionV>
                  <wp:extent cx="929005" cy="1007745"/>
                  <wp:effectExtent l="0" t="0" r="635" b="13335"/>
                  <wp:wrapNone/>
                  <wp:docPr id="653" name="ID_031CCF25D8D94F69B6698B410DC00170"/>
                  <wp:cNvGraphicFramePr/>
                  <a:graphic xmlns:a="http://schemas.openxmlformats.org/drawingml/2006/main">
                    <a:graphicData uri="http://schemas.openxmlformats.org/drawingml/2006/picture">
                      <pic:pic xmlns:pic="http://schemas.openxmlformats.org/drawingml/2006/picture">
                        <pic:nvPicPr>
                          <pic:cNvPr id="653" name="ID_031CCF25D8D94F69B6698B410DC00170"/>
                          <pic:cNvPicPr/>
                        </pic:nvPicPr>
                        <pic:blipFill>
                          <a:blip r:embed="rId36"/>
                          <a:stretch>
                            <a:fillRect/>
                          </a:stretch>
                        </pic:blipFill>
                        <pic:spPr>
                          <a:xfrm>
                            <a:off x="0" y="0"/>
                            <a:ext cx="929005" cy="1007745"/>
                          </a:xfrm>
                          <a:prstGeom prst="rect">
                            <a:avLst/>
                          </a:prstGeom>
                          <a:noFill/>
                          <a:ln>
                            <a:noFill/>
                          </a:ln>
                        </pic:spPr>
                      </pic:pic>
                    </a:graphicData>
                  </a:graphic>
                </wp:anchor>
              </w:drawing>
            </w:r>
          </w:p>
        </w:tc>
      </w:tr>
      <w:tr w14:paraId="1BE6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055A91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4FAE2A1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阅读柜</w:t>
            </w:r>
          </w:p>
        </w:tc>
        <w:tc>
          <w:tcPr>
            <w:tcW w:w="8697" w:type="dxa"/>
            <w:vAlign w:val="center"/>
          </w:tcPr>
          <w:p w14:paraId="6897DBB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1.规格：90*30*48cm；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3.产品：坐面规格86*29.5*30cm为软包海绵与麻布相结合，柔软舒适，带2个抽屉规格42*28*18cm。产品外观要求、理化性能要求、结构安全、有害物质限量（可迁移元素、甲醛释放量等）、力学性能、警示标识等符合GB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28DC3B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AB7B60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A83D2C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113030</wp:posOffset>
                  </wp:positionH>
                  <wp:positionV relativeFrom="paragraph">
                    <wp:posOffset>1142365</wp:posOffset>
                  </wp:positionV>
                  <wp:extent cx="875030" cy="701675"/>
                  <wp:effectExtent l="0" t="0" r="8890" b="14605"/>
                  <wp:wrapNone/>
                  <wp:docPr id="655" name="ID_49954E70680642F396C81167925BC57C"/>
                  <wp:cNvGraphicFramePr/>
                  <a:graphic xmlns:a="http://schemas.openxmlformats.org/drawingml/2006/main">
                    <a:graphicData uri="http://schemas.openxmlformats.org/drawingml/2006/picture">
                      <pic:pic xmlns:pic="http://schemas.openxmlformats.org/drawingml/2006/picture">
                        <pic:nvPicPr>
                          <pic:cNvPr id="655" name="ID_49954E70680642F396C81167925BC57C"/>
                          <pic:cNvPicPr/>
                        </pic:nvPicPr>
                        <pic:blipFill>
                          <a:blip r:embed="rId37"/>
                          <a:stretch>
                            <a:fillRect/>
                          </a:stretch>
                        </pic:blipFill>
                        <pic:spPr>
                          <a:xfrm>
                            <a:off x="0" y="0"/>
                            <a:ext cx="875030" cy="701675"/>
                          </a:xfrm>
                          <a:prstGeom prst="rect">
                            <a:avLst/>
                          </a:prstGeom>
                          <a:noFill/>
                          <a:ln>
                            <a:noFill/>
                          </a:ln>
                        </pic:spPr>
                      </pic:pic>
                    </a:graphicData>
                  </a:graphic>
                </wp:anchor>
              </w:drawing>
            </w:r>
          </w:p>
        </w:tc>
      </w:tr>
      <w:tr w14:paraId="0FD8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528E3E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144492E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造型书架B</w:t>
            </w:r>
          </w:p>
        </w:tc>
        <w:tc>
          <w:tcPr>
            <w:tcW w:w="8697" w:type="dxa"/>
            <w:vAlign w:val="center"/>
          </w:tcPr>
          <w:p w14:paraId="1932315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1.规格：90*30*95cm；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书架下层带有两个储物格和一个造型移动小书架（含四个带刹车万向轮），移动小书架尺寸不小于53*26*26cm,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5.连接件：书架面板跟侧板采用二合一连接件连接，其余部分采用木牙螺丝组装；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26AE676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135981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E7116C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120015</wp:posOffset>
                  </wp:positionH>
                  <wp:positionV relativeFrom="paragraph">
                    <wp:posOffset>475615</wp:posOffset>
                  </wp:positionV>
                  <wp:extent cx="861060" cy="1022985"/>
                  <wp:effectExtent l="0" t="0" r="7620" b="13335"/>
                  <wp:wrapNone/>
                  <wp:docPr id="657" name="ID_D7BA51BEB9B14FB39D3FC7636D7764EC"/>
                  <wp:cNvGraphicFramePr/>
                  <a:graphic xmlns:a="http://schemas.openxmlformats.org/drawingml/2006/main">
                    <a:graphicData uri="http://schemas.openxmlformats.org/drawingml/2006/picture">
                      <pic:pic xmlns:pic="http://schemas.openxmlformats.org/drawingml/2006/picture">
                        <pic:nvPicPr>
                          <pic:cNvPr id="657" name="ID_D7BA51BEB9B14FB39D3FC7636D7764EC"/>
                          <pic:cNvPicPr/>
                        </pic:nvPicPr>
                        <pic:blipFill>
                          <a:blip r:embed="rId38"/>
                          <a:stretch>
                            <a:fillRect/>
                          </a:stretch>
                        </pic:blipFill>
                        <pic:spPr>
                          <a:xfrm>
                            <a:off x="0" y="0"/>
                            <a:ext cx="861060" cy="1022985"/>
                          </a:xfrm>
                          <a:prstGeom prst="rect">
                            <a:avLst/>
                          </a:prstGeom>
                          <a:noFill/>
                          <a:ln>
                            <a:noFill/>
                          </a:ln>
                        </pic:spPr>
                      </pic:pic>
                    </a:graphicData>
                  </a:graphic>
                </wp:anchor>
              </w:drawing>
            </w:r>
          </w:p>
        </w:tc>
      </w:tr>
      <w:tr w14:paraId="26C4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4" w:hRule="atLeast"/>
        </w:trPr>
        <w:tc>
          <w:tcPr>
            <w:tcW w:w="664" w:type="dxa"/>
            <w:vAlign w:val="center"/>
          </w:tcPr>
          <w:p w14:paraId="352A26A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60442CA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茶几</w:t>
            </w:r>
          </w:p>
        </w:tc>
        <w:tc>
          <w:tcPr>
            <w:tcW w:w="8697" w:type="dxa"/>
            <w:vAlign w:val="center"/>
          </w:tcPr>
          <w:p w14:paraId="3CC8E36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1.茶几：70*50*48cm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5.产品：产品边角安全圆角处理，能减少磕碰的意外，外观要求、理化性能要求、结构安全、有害物质限量（可迁移元素、甲醛释放量等）、力学性能、警示标识等符合GB 28007-2011《儿童家具通用技术条件》标准要求；；</w:t>
            </w:r>
          </w:p>
        </w:tc>
        <w:tc>
          <w:tcPr>
            <w:tcW w:w="840" w:type="dxa"/>
            <w:vAlign w:val="center"/>
          </w:tcPr>
          <w:p w14:paraId="4E3E0B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EEA1A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967C25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4445</wp:posOffset>
                  </wp:positionH>
                  <wp:positionV relativeFrom="paragraph">
                    <wp:posOffset>685800</wp:posOffset>
                  </wp:positionV>
                  <wp:extent cx="976630" cy="662940"/>
                  <wp:effectExtent l="0" t="0" r="13970" b="7620"/>
                  <wp:wrapNone/>
                  <wp:docPr id="659" name="ID_06D0968B3F0B412683BAB0D639189FF3"/>
                  <wp:cNvGraphicFramePr/>
                  <a:graphic xmlns:a="http://schemas.openxmlformats.org/drawingml/2006/main">
                    <a:graphicData uri="http://schemas.openxmlformats.org/drawingml/2006/picture">
                      <pic:pic xmlns:pic="http://schemas.openxmlformats.org/drawingml/2006/picture">
                        <pic:nvPicPr>
                          <pic:cNvPr id="659" name="ID_06D0968B3F0B412683BAB0D639189FF3"/>
                          <pic:cNvPicPr/>
                        </pic:nvPicPr>
                        <pic:blipFill>
                          <a:blip r:embed="rId39"/>
                          <a:stretch>
                            <a:fillRect/>
                          </a:stretch>
                        </pic:blipFill>
                        <pic:spPr>
                          <a:xfrm>
                            <a:off x="0" y="0"/>
                            <a:ext cx="976630" cy="662940"/>
                          </a:xfrm>
                          <a:prstGeom prst="rect">
                            <a:avLst/>
                          </a:prstGeom>
                          <a:noFill/>
                          <a:ln>
                            <a:noFill/>
                          </a:ln>
                        </pic:spPr>
                      </pic:pic>
                    </a:graphicData>
                  </a:graphic>
                </wp:anchor>
              </w:drawing>
            </w:r>
          </w:p>
        </w:tc>
      </w:tr>
      <w:tr w14:paraId="1045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664" w:type="dxa"/>
            <w:vAlign w:val="center"/>
          </w:tcPr>
          <w:p w14:paraId="2FDD571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08A65A1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电脑桌</w:t>
            </w:r>
          </w:p>
        </w:tc>
        <w:tc>
          <w:tcPr>
            <w:tcW w:w="8697" w:type="dxa"/>
            <w:vAlign w:val="center"/>
          </w:tcPr>
          <w:p w14:paraId="0CA6D36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规格：120*55*75cm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材质：实木框架，田园橡木色</w:t>
            </w:r>
          </w:p>
        </w:tc>
        <w:tc>
          <w:tcPr>
            <w:tcW w:w="840" w:type="dxa"/>
            <w:vAlign w:val="center"/>
          </w:tcPr>
          <w:p w14:paraId="2206C81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6FC7F4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D50517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64135</wp:posOffset>
                  </wp:positionH>
                  <wp:positionV relativeFrom="paragraph">
                    <wp:posOffset>-55245</wp:posOffset>
                  </wp:positionV>
                  <wp:extent cx="765175" cy="435610"/>
                  <wp:effectExtent l="0" t="0" r="12065" b="6350"/>
                  <wp:wrapNone/>
                  <wp:docPr id="661" name="ID_32DAA3620FAB449483FBE603B862A62D"/>
                  <wp:cNvGraphicFramePr/>
                  <a:graphic xmlns:a="http://schemas.openxmlformats.org/drawingml/2006/main">
                    <a:graphicData uri="http://schemas.openxmlformats.org/drawingml/2006/picture">
                      <pic:pic xmlns:pic="http://schemas.openxmlformats.org/drawingml/2006/picture">
                        <pic:nvPicPr>
                          <pic:cNvPr id="661" name="ID_32DAA3620FAB449483FBE603B862A62D"/>
                          <pic:cNvPicPr/>
                        </pic:nvPicPr>
                        <pic:blipFill>
                          <a:blip r:embed="rId26"/>
                          <a:stretch>
                            <a:fillRect/>
                          </a:stretch>
                        </pic:blipFill>
                        <pic:spPr>
                          <a:xfrm>
                            <a:off x="0" y="0"/>
                            <a:ext cx="765175" cy="435610"/>
                          </a:xfrm>
                          <a:prstGeom prst="rect">
                            <a:avLst/>
                          </a:prstGeom>
                          <a:noFill/>
                          <a:ln>
                            <a:noFill/>
                          </a:ln>
                        </pic:spPr>
                      </pic:pic>
                    </a:graphicData>
                  </a:graphic>
                </wp:anchor>
              </w:drawing>
            </w:r>
          </w:p>
        </w:tc>
      </w:tr>
      <w:tr w14:paraId="3100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6286F0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0A68ADE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六格柜</w:t>
            </w:r>
          </w:p>
        </w:tc>
        <w:tc>
          <w:tcPr>
            <w:tcW w:w="8697" w:type="dxa"/>
            <w:vAlign w:val="center"/>
          </w:tcPr>
          <w:p w14:paraId="3165775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3层六格设计，柜体两侧边板留有开孔，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1A2CFD6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1699F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6961C70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88265</wp:posOffset>
                  </wp:positionH>
                  <wp:positionV relativeFrom="paragraph">
                    <wp:posOffset>371475</wp:posOffset>
                  </wp:positionV>
                  <wp:extent cx="831215" cy="925195"/>
                  <wp:effectExtent l="0" t="0" r="6985" b="4445"/>
                  <wp:wrapNone/>
                  <wp:docPr id="663" name="ID_273CE0198821459385BE21732F196B19"/>
                  <wp:cNvGraphicFramePr/>
                  <a:graphic xmlns:a="http://schemas.openxmlformats.org/drawingml/2006/main">
                    <a:graphicData uri="http://schemas.openxmlformats.org/drawingml/2006/picture">
                      <pic:pic xmlns:pic="http://schemas.openxmlformats.org/drawingml/2006/picture">
                        <pic:nvPicPr>
                          <pic:cNvPr id="663" name="ID_273CE0198821459385BE21732F196B19"/>
                          <pic:cNvPicPr/>
                        </pic:nvPicPr>
                        <pic:blipFill>
                          <a:blip r:embed="rId40"/>
                          <a:stretch>
                            <a:fillRect/>
                          </a:stretch>
                        </pic:blipFill>
                        <pic:spPr>
                          <a:xfrm>
                            <a:off x="0" y="0"/>
                            <a:ext cx="831215" cy="925195"/>
                          </a:xfrm>
                          <a:prstGeom prst="rect">
                            <a:avLst/>
                          </a:prstGeom>
                          <a:noFill/>
                          <a:ln>
                            <a:noFill/>
                          </a:ln>
                        </pic:spPr>
                      </pic:pic>
                    </a:graphicData>
                  </a:graphic>
                </wp:anchor>
              </w:drawing>
            </w:r>
          </w:p>
        </w:tc>
      </w:tr>
      <w:tr w14:paraId="3686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atLeast"/>
        </w:trPr>
        <w:tc>
          <w:tcPr>
            <w:tcW w:w="664" w:type="dxa"/>
            <w:vAlign w:val="center"/>
          </w:tcPr>
          <w:p w14:paraId="290F067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17</w:t>
            </w:r>
          </w:p>
        </w:tc>
        <w:tc>
          <w:tcPr>
            <w:tcW w:w="1293" w:type="dxa"/>
            <w:vAlign w:val="center"/>
          </w:tcPr>
          <w:p w14:paraId="58EA173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森林原木系列-小沙发</w:t>
            </w:r>
          </w:p>
        </w:tc>
        <w:tc>
          <w:tcPr>
            <w:tcW w:w="8697" w:type="dxa"/>
            <w:vAlign w:val="center"/>
          </w:tcPr>
          <w:p w14:paraId="76DF530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1.规格：47*39*50cm；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2.材质：座面麻布+高密度海绵，底座采用实木，木材质稳定，不易变形、含水率和甲醛释放量符合GB/T3324-2017和GB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67BE32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CEA9D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80CE13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34290</wp:posOffset>
                  </wp:positionH>
                  <wp:positionV relativeFrom="paragraph">
                    <wp:posOffset>481965</wp:posOffset>
                  </wp:positionV>
                  <wp:extent cx="772795" cy="1134110"/>
                  <wp:effectExtent l="0" t="0" r="4445" b="8890"/>
                  <wp:wrapNone/>
                  <wp:docPr id="665" name="ID_E4A5278A2D2C41AF99A270624365A5EB"/>
                  <wp:cNvGraphicFramePr/>
                  <a:graphic xmlns:a="http://schemas.openxmlformats.org/drawingml/2006/main">
                    <a:graphicData uri="http://schemas.openxmlformats.org/drawingml/2006/picture">
                      <pic:pic xmlns:pic="http://schemas.openxmlformats.org/drawingml/2006/picture">
                        <pic:nvPicPr>
                          <pic:cNvPr id="665" name="ID_E4A5278A2D2C41AF99A270624365A5EB"/>
                          <pic:cNvPicPr/>
                        </pic:nvPicPr>
                        <pic:blipFill>
                          <a:blip r:embed="rId41"/>
                          <a:stretch>
                            <a:fillRect/>
                          </a:stretch>
                        </pic:blipFill>
                        <pic:spPr>
                          <a:xfrm>
                            <a:off x="0" y="0"/>
                            <a:ext cx="772795" cy="1134110"/>
                          </a:xfrm>
                          <a:prstGeom prst="rect">
                            <a:avLst/>
                          </a:prstGeom>
                          <a:noFill/>
                          <a:ln>
                            <a:noFill/>
                          </a:ln>
                        </pic:spPr>
                      </pic:pic>
                    </a:graphicData>
                  </a:graphic>
                </wp:anchor>
              </w:drawing>
            </w:r>
          </w:p>
        </w:tc>
      </w:tr>
      <w:tr w14:paraId="7907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B6B7A5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18</w:t>
            </w:r>
          </w:p>
        </w:tc>
        <w:tc>
          <w:tcPr>
            <w:tcW w:w="1293" w:type="dxa"/>
            <w:vAlign w:val="center"/>
          </w:tcPr>
          <w:p w14:paraId="4EAFADD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黑板柜</w:t>
            </w:r>
          </w:p>
        </w:tc>
        <w:tc>
          <w:tcPr>
            <w:tcW w:w="8697" w:type="dxa"/>
            <w:vAlign w:val="center"/>
          </w:tcPr>
          <w:p w14:paraId="517CF7E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1.规格:115*35*120cm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黑板柜上下层设计，上层为两种板面设计，一面软木一面绿板，下层为双层柜体设计含三格抽屉，抽屉两侧为镂空空格柜内径不小于22.5*33.5cm；底部四边采用5公分万向轮。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798E716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2263A6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E5A045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34290</wp:posOffset>
                  </wp:positionH>
                  <wp:positionV relativeFrom="paragraph">
                    <wp:posOffset>617220</wp:posOffset>
                  </wp:positionV>
                  <wp:extent cx="871855" cy="1009015"/>
                  <wp:effectExtent l="0" t="0" r="12065" b="12065"/>
                  <wp:wrapNone/>
                  <wp:docPr id="667" name="ID_1521155902B14AF28BA44BE0506E2701"/>
                  <wp:cNvGraphicFramePr/>
                  <a:graphic xmlns:a="http://schemas.openxmlformats.org/drawingml/2006/main">
                    <a:graphicData uri="http://schemas.openxmlformats.org/drawingml/2006/picture">
                      <pic:pic xmlns:pic="http://schemas.openxmlformats.org/drawingml/2006/picture">
                        <pic:nvPicPr>
                          <pic:cNvPr id="667" name="ID_1521155902B14AF28BA44BE0506E2701"/>
                          <pic:cNvPicPr/>
                        </pic:nvPicPr>
                        <pic:blipFill>
                          <a:blip r:embed="rId42"/>
                          <a:stretch>
                            <a:fillRect/>
                          </a:stretch>
                        </pic:blipFill>
                        <pic:spPr>
                          <a:xfrm>
                            <a:off x="0" y="0"/>
                            <a:ext cx="871855" cy="1009015"/>
                          </a:xfrm>
                          <a:prstGeom prst="rect">
                            <a:avLst/>
                          </a:prstGeom>
                          <a:noFill/>
                          <a:ln>
                            <a:noFill/>
                          </a:ln>
                        </pic:spPr>
                      </pic:pic>
                    </a:graphicData>
                  </a:graphic>
                </wp:anchor>
              </w:drawing>
            </w:r>
          </w:p>
        </w:tc>
      </w:tr>
      <w:tr w14:paraId="0E3D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6056787E">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大班</w:t>
            </w:r>
          </w:p>
        </w:tc>
      </w:tr>
      <w:tr w14:paraId="33DC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trPr>
        <w:tc>
          <w:tcPr>
            <w:tcW w:w="664" w:type="dxa"/>
            <w:vAlign w:val="center"/>
          </w:tcPr>
          <w:p w14:paraId="56E83EC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w:t>
            </w:r>
          </w:p>
        </w:tc>
        <w:tc>
          <w:tcPr>
            <w:tcW w:w="1293" w:type="dxa"/>
            <w:vAlign w:val="center"/>
          </w:tcPr>
          <w:p w14:paraId="22370E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六人推拉床</w:t>
            </w:r>
          </w:p>
        </w:tc>
        <w:tc>
          <w:tcPr>
            <w:tcW w:w="8697" w:type="dxa"/>
            <w:vAlign w:val="center"/>
          </w:tcPr>
          <w:p w14:paraId="6FDCAE9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1.规格：六人推拉床140*130*96cm，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2.材质：整体框架采用厚度1.8cm双面无结橡胶木指接板，板材材质稳定，抗菌、防霉，不易变形、含水率和甲醛释放量符合GB/T3324-2017和GB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4.产品：儿童床带刹车万向轮，图案采用UV打印，产品外观要求、理化性能要求、结构安全、有害物质限量（可迁移元素、甲醛释放量等）、力学性能、警示标识等符合GB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6.其他：保留原木色设计，让小朋友更接近大自然，简约设计实用性强，视觉感更温馨；</w:t>
            </w:r>
          </w:p>
        </w:tc>
        <w:tc>
          <w:tcPr>
            <w:tcW w:w="840" w:type="dxa"/>
            <w:vAlign w:val="center"/>
          </w:tcPr>
          <w:p w14:paraId="7EE9A79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5087CE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1720" w:type="dxa"/>
            <w:vAlign w:val="center"/>
          </w:tcPr>
          <w:p w14:paraId="3960254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34290</wp:posOffset>
                  </wp:positionH>
                  <wp:positionV relativeFrom="paragraph">
                    <wp:posOffset>-643890</wp:posOffset>
                  </wp:positionV>
                  <wp:extent cx="908685" cy="1056005"/>
                  <wp:effectExtent l="0" t="0" r="5715" b="10795"/>
                  <wp:wrapNone/>
                  <wp:docPr id="669" name="ID_DC07BB2015D74FAB95A4A2C0A9F14DA5"/>
                  <wp:cNvGraphicFramePr/>
                  <a:graphic xmlns:a="http://schemas.openxmlformats.org/drawingml/2006/main">
                    <a:graphicData uri="http://schemas.openxmlformats.org/drawingml/2006/picture">
                      <pic:pic xmlns:pic="http://schemas.openxmlformats.org/drawingml/2006/picture">
                        <pic:nvPicPr>
                          <pic:cNvPr id="669" name="ID_DC07BB2015D74FAB95A4A2C0A9F14DA5"/>
                          <pic:cNvPicPr/>
                        </pic:nvPicPr>
                        <pic:blipFill>
                          <a:blip r:embed="rId43"/>
                          <a:stretch>
                            <a:fillRect/>
                          </a:stretch>
                        </pic:blipFill>
                        <pic:spPr>
                          <a:xfrm>
                            <a:off x="0" y="0"/>
                            <a:ext cx="908685" cy="1056005"/>
                          </a:xfrm>
                          <a:prstGeom prst="rect">
                            <a:avLst/>
                          </a:prstGeom>
                          <a:noFill/>
                          <a:ln>
                            <a:noFill/>
                          </a:ln>
                        </pic:spPr>
                      </pic:pic>
                    </a:graphicData>
                  </a:graphic>
                </wp:anchor>
              </w:drawing>
            </w:r>
          </w:p>
        </w:tc>
      </w:tr>
      <w:tr w14:paraId="682F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6C0C19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w:t>
            </w:r>
          </w:p>
        </w:tc>
        <w:tc>
          <w:tcPr>
            <w:tcW w:w="1293" w:type="dxa"/>
            <w:vAlign w:val="center"/>
          </w:tcPr>
          <w:p w14:paraId="6A24C2E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原木三层柜</w:t>
            </w:r>
          </w:p>
        </w:tc>
        <w:tc>
          <w:tcPr>
            <w:tcW w:w="8697" w:type="dxa"/>
            <w:vAlign w:val="center"/>
          </w:tcPr>
          <w:p w14:paraId="4E10092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470408E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7B131C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82B761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35560</wp:posOffset>
                  </wp:positionH>
                  <wp:positionV relativeFrom="paragraph">
                    <wp:posOffset>327025</wp:posOffset>
                  </wp:positionV>
                  <wp:extent cx="957580" cy="845185"/>
                  <wp:effectExtent l="0" t="0" r="2540" b="8255"/>
                  <wp:wrapNone/>
                  <wp:docPr id="671" name="ID_D1D4FAD695064F039C9086651159E44C"/>
                  <wp:cNvGraphicFramePr/>
                  <a:graphic xmlns:a="http://schemas.openxmlformats.org/drawingml/2006/main">
                    <a:graphicData uri="http://schemas.openxmlformats.org/drawingml/2006/picture">
                      <pic:pic xmlns:pic="http://schemas.openxmlformats.org/drawingml/2006/picture">
                        <pic:nvPicPr>
                          <pic:cNvPr id="671" name="ID_D1D4FAD695064F039C9086651159E44C"/>
                          <pic:cNvPicPr/>
                        </pic:nvPicPr>
                        <pic:blipFill>
                          <a:blip r:embed="rId28"/>
                          <a:stretch>
                            <a:fillRect/>
                          </a:stretch>
                        </pic:blipFill>
                        <pic:spPr>
                          <a:xfrm>
                            <a:off x="0" y="0"/>
                            <a:ext cx="957580" cy="845185"/>
                          </a:xfrm>
                          <a:prstGeom prst="rect">
                            <a:avLst/>
                          </a:prstGeom>
                          <a:noFill/>
                          <a:ln>
                            <a:noFill/>
                          </a:ln>
                        </pic:spPr>
                      </pic:pic>
                    </a:graphicData>
                  </a:graphic>
                </wp:anchor>
              </w:drawing>
            </w:r>
          </w:p>
        </w:tc>
      </w:tr>
      <w:tr w14:paraId="3054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B33F06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2C3F83F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贩卖柜</w:t>
            </w:r>
          </w:p>
        </w:tc>
        <w:tc>
          <w:tcPr>
            <w:tcW w:w="8697" w:type="dxa"/>
            <w:vAlign w:val="center"/>
          </w:tcPr>
          <w:p w14:paraId="10BA633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6595027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F2162E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D20F8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39370</wp:posOffset>
                  </wp:positionH>
                  <wp:positionV relativeFrom="paragraph">
                    <wp:posOffset>195580</wp:posOffset>
                  </wp:positionV>
                  <wp:extent cx="902970" cy="927735"/>
                  <wp:effectExtent l="0" t="0" r="11430" b="1905"/>
                  <wp:wrapNone/>
                  <wp:docPr id="673" name="ID_41B05E29334D4527BA5A5FC255D8DB38"/>
                  <wp:cNvGraphicFramePr/>
                  <a:graphic xmlns:a="http://schemas.openxmlformats.org/drawingml/2006/main">
                    <a:graphicData uri="http://schemas.openxmlformats.org/drawingml/2006/picture">
                      <pic:pic xmlns:pic="http://schemas.openxmlformats.org/drawingml/2006/picture">
                        <pic:nvPicPr>
                          <pic:cNvPr id="673" name="ID_41B05E29334D4527BA5A5FC255D8DB38"/>
                          <pic:cNvPicPr/>
                        </pic:nvPicPr>
                        <pic:blipFill>
                          <a:blip r:embed="rId44"/>
                          <a:stretch>
                            <a:fillRect/>
                          </a:stretch>
                        </pic:blipFill>
                        <pic:spPr>
                          <a:xfrm>
                            <a:off x="0" y="0"/>
                            <a:ext cx="902970" cy="927735"/>
                          </a:xfrm>
                          <a:prstGeom prst="rect">
                            <a:avLst/>
                          </a:prstGeom>
                          <a:noFill/>
                          <a:ln>
                            <a:noFill/>
                          </a:ln>
                        </pic:spPr>
                      </pic:pic>
                    </a:graphicData>
                  </a:graphic>
                </wp:anchor>
              </w:drawing>
            </w:r>
          </w:p>
        </w:tc>
      </w:tr>
      <w:tr w14:paraId="0846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DC32DD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w:t>
            </w:r>
          </w:p>
        </w:tc>
        <w:tc>
          <w:tcPr>
            <w:tcW w:w="1293" w:type="dxa"/>
            <w:vAlign w:val="center"/>
          </w:tcPr>
          <w:p w14:paraId="73CC644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三层直角转角柜</w:t>
            </w:r>
          </w:p>
        </w:tc>
        <w:tc>
          <w:tcPr>
            <w:tcW w:w="8697" w:type="dxa"/>
            <w:vAlign w:val="center"/>
          </w:tcPr>
          <w:p w14:paraId="4638228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1.规格：60*60*70cm；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2.材质：采用厚度1.8cm实木橡胶木饰面橡木纹，材质稳定，抗菌、防霉 ，不易变形、含水率和甲醛释放量符合GB/T3324-2017和GB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7347DE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35482A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A6AA1A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-3175</wp:posOffset>
                  </wp:positionH>
                  <wp:positionV relativeFrom="paragraph">
                    <wp:posOffset>318135</wp:posOffset>
                  </wp:positionV>
                  <wp:extent cx="974090" cy="729615"/>
                  <wp:effectExtent l="0" t="0" r="1270" b="1905"/>
                  <wp:wrapNone/>
                  <wp:docPr id="675" name="ID_947B8E41FFB54849882890C7FAB5F1D7"/>
                  <wp:cNvGraphicFramePr/>
                  <a:graphic xmlns:a="http://schemas.openxmlformats.org/drawingml/2006/main">
                    <a:graphicData uri="http://schemas.openxmlformats.org/drawingml/2006/picture">
                      <pic:pic xmlns:pic="http://schemas.openxmlformats.org/drawingml/2006/picture">
                        <pic:nvPicPr>
                          <pic:cNvPr id="675" name="ID_947B8E41FFB54849882890C7FAB5F1D7"/>
                          <pic:cNvPicPr/>
                        </pic:nvPicPr>
                        <pic:blipFill>
                          <a:blip r:embed="rId45"/>
                          <a:stretch>
                            <a:fillRect/>
                          </a:stretch>
                        </pic:blipFill>
                        <pic:spPr>
                          <a:xfrm>
                            <a:off x="0" y="0"/>
                            <a:ext cx="974090" cy="729615"/>
                          </a:xfrm>
                          <a:prstGeom prst="rect">
                            <a:avLst/>
                          </a:prstGeom>
                          <a:noFill/>
                          <a:ln>
                            <a:noFill/>
                          </a:ln>
                        </pic:spPr>
                      </pic:pic>
                    </a:graphicData>
                  </a:graphic>
                </wp:anchor>
              </w:drawing>
            </w:r>
          </w:p>
        </w:tc>
      </w:tr>
      <w:tr w14:paraId="1380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0" w:hRule="atLeast"/>
        </w:trPr>
        <w:tc>
          <w:tcPr>
            <w:tcW w:w="664" w:type="dxa"/>
            <w:vAlign w:val="center"/>
          </w:tcPr>
          <w:p w14:paraId="45FEF6A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5</w:t>
            </w:r>
          </w:p>
        </w:tc>
        <w:tc>
          <w:tcPr>
            <w:tcW w:w="1293" w:type="dxa"/>
            <w:vAlign w:val="center"/>
          </w:tcPr>
          <w:p w14:paraId="6225DF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三层收纳柜</w:t>
            </w:r>
          </w:p>
        </w:tc>
        <w:tc>
          <w:tcPr>
            <w:tcW w:w="8697" w:type="dxa"/>
            <w:vAlign w:val="center"/>
          </w:tcPr>
          <w:p w14:paraId="79CBE6C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219E6EF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A33BD8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28</w:t>
            </w:r>
          </w:p>
        </w:tc>
        <w:tc>
          <w:tcPr>
            <w:tcW w:w="1720" w:type="dxa"/>
            <w:vAlign w:val="center"/>
          </w:tcPr>
          <w:p w14:paraId="4B0738A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-3175</wp:posOffset>
                  </wp:positionH>
                  <wp:positionV relativeFrom="paragraph">
                    <wp:posOffset>662305</wp:posOffset>
                  </wp:positionV>
                  <wp:extent cx="901065" cy="823595"/>
                  <wp:effectExtent l="0" t="0" r="13335" b="14605"/>
                  <wp:wrapNone/>
                  <wp:docPr id="677" name="ID_34CECACF5EF344BD89AEAF4A1428091A"/>
                  <wp:cNvGraphicFramePr/>
                  <a:graphic xmlns:a="http://schemas.openxmlformats.org/drawingml/2006/main">
                    <a:graphicData uri="http://schemas.openxmlformats.org/drawingml/2006/picture">
                      <pic:pic xmlns:pic="http://schemas.openxmlformats.org/drawingml/2006/picture">
                        <pic:nvPicPr>
                          <pic:cNvPr id="677" name="ID_34CECACF5EF344BD89AEAF4A1428091A"/>
                          <pic:cNvPicPr/>
                        </pic:nvPicPr>
                        <pic:blipFill>
                          <a:blip r:embed="rId46"/>
                          <a:stretch>
                            <a:fillRect/>
                          </a:stretch>
                        </pic:blipFill>
                        <pic:spPr>
                          <a:xfrm>
                            <a:off x="0" y="0"/>
                            <a:ext cx="901065" cy="823595"/>
                          </a:xfrm>
                          <a:prstGeom prst="rect">
                            <a:avLst/>
                          </a:prstGeom>
                          <a:noFill/>
                          <a:ln>
                            <a:noFill/>
                          </a:ln>
                        </pic:spPr>
                      </pic:pic>
                    </a:graphicData>
                  </a:graphic>
                </wp:anchor>
              </w:drawing>
            </w:r>
          </w:p>
        </w:tc>
      </w:tr>
      <w:tr w14:paraId="5559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F763F0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6</w:t>
            </w:r>
          </w:p>
        </w:tc>
        <w:tc>
          <w:tcPr>
            <w:tcW w:w="1293" w:type="dxa"/>
            <w:vAlign w:val="center"/>
          </w:tcPr>
          <w:p w14:paraId="528503A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操作柜</w:t>
            </w:r>
          </w:p>
        </w:tc>
        <w:tc>
          <w:tcPr>
            <w:tcW w:w="8697" w:type="dxa"/>
            <w:vAlign w:val="center"/>
          </w:tcPr>
          <w:p w14:paraId="09D7BA2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1.规格：90*30*136cm；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上层为洞洞板可拼插积木，下层为六格玩具柜，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5.连接件：柜体面板跟侧板采用二合一连接件连接，其余部分采用木牙螺丝组装，上造型部分跟柜体连接处采用子母螺丝；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784AF45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FC38E6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1662E6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86995</wp:posOffset>
                  </wp:positionH>
                  <wp:positionV relativeFrom="paragraph">
                    <wp:posOffset>73660</wp:posOffset>
                  </wp:positionV>
                  <wp:extent cx="783590" cy="963930"/>
                  <wp:effectExtent l="0" t="0" r="8890" b="11430"/>
                  <wp:wrapNone/>
                  <wp:docPr id="679" name="ID_8439D3D8FE064410909723DC5A7275A4"/>
                  <wp:cNvGraphicFramePr/>
                  <a:graphic xmlns:a="http://schemas.openxmlformats.org/drawingml/2006/main">
                    <a:graphicData uri="http://schemas.openxmlformats.org/drawingml/2006/picture">
                      <pic:pic xmlns:pic="http://schemas.openxmlformats.org/drawingml/2006/picture">
                        <pic:nvPicPr>
                          <pic:cNvPr id="679" name="ID_8439D3D8FE064410909723DC5A7275A4"/>
                          <pic:cNvPicPr/>
                        </pic:nvPicPr>
                        <pic:blipFill>
                          <a:blip r:embed="rId47"/>
                          <a:stretch>
                            <a:fillRect/>
                          </a:stretch>
                        </pic:blipFill>
                        <pic:spPr>
                          <a:xfrm>
                            <a:off x="0" y="0"/>
                            <a:ext cx="783590" cy="963930"/>
                          </a:xfrm>
                          <a:prstGeom prst="rect">
                            <a:avLst/>
                          </a:prstGeom>
                          <a:noFill/>
                          <a:ln>
                            <a:noFill/>
                          </a:ln>
                        </pic:spPr>
                      </pic:pic>
                    </a:graphicData>
                  </a:graphic>
                </wp:anchor>
              </w:drawing>
            </w:r>
          </w:p>
        </w:tc>
      </w:tr>
      <w:tr w14:paraId="0026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085415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7</w:t>
            </w:r>
          </w:p>
        </w:tc>
        <w:tc>
          <w:tcPr>
            <w:tcW w:w="1293" w:type="dxa"/>
            <w:vAlign w:val="center"/>
          </w:tcPr>
          <w:p w14:paraId="3CAF130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原木分餐桌</w:t>
            </w:r>
          </w:p>
        </w:tc>
        <w:tc>
          <w:tcPr>
            <w:tcW w:w="8697" w:type="dxa"/>
            <w:vAlign w:val="center"/>
          </w:tcPr>
          <w:p w14:paraId="7A4CFA3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1.规格：165*55*50cm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2.材质：采用厚度1.8cm双面无结橡胶木指接板，桌腿厚度4*4cm，橡胶木材质稳定，抗菌、防霉 ，不易变形、含水率和甲醛释放量符合GB/T3324-2017和GB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3.产品：分餐桌底下带万向轮，方便移动。 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5.连接件：分餐桌各层连接采用三层拉轨（配件为轨道），符合</w:t>
            </w:r>
            <w:r>
              <w:rPr>
                <w:rFonts w:hint="eastAsia" w:ascii="宋体" w:hAnsi="宋体" w:cs="宋体"/>
                <w:i w:val="0"/>
                <w:iCs w:val="0"/>
                <w:color w:val="auto"/>
                <w:kern w:val="0"/>
                <w:sz w:val="21"/>
                <w:szCs w:val="21"/>
                <w:u w:val="none"/>
                <w:lang w:val="en-US" w:eastAsia="zh-CN" w:bidi="ar"/>
              </w:rPr>
              <w:t>GB/T 4340.1-2024</w:t>
            </w:r>
            <w:r>
              <w:rPr>
                <w:rFonts w:hint="eastAsia" w:ascii="宋体" w:hAnsi="宋体" w:eastAsia="宋体" w:cs="宋体"/>
                <w:i w:val="0"/>
                <w:iCs w:val="0"/>
                <w:color w:val="auto"/>
                <w:kern w:val="0"/>
                <w:sz w:val="21"/>
                <w:szCs w:val="21"/>
                <w:u w:val="none"/>
                <w:lang w:val="en-US" w:eastAsia="zh-CN" w:bidi="ar"/>
              </w:rPr>
              <w:t>、GB/T 10125-2021标准表面经过处理，耐磨损，耐腐蚀性强；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7CB434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295714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81D23F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63500</wp:posOffset>
                  </wp:positionH>
                  <wp:positionV relativeFrom="paragraph">
                    <wp:posOffset>-239395</wp:posOffset>
                  </wp:positionV>
                  <wp:extent cx="855980" cy="807085"/>
                  <wp:effectExtent l="0" t="0" r="12700" b="635"/>
                  <wp:wrapNone/>
                  <wp:docPr id="681" name="ID_EBF3FA61358742FC83598D04491ADABC"/>
                  <wp:cNvGraphicFramePr/>
                  <a:graphic xmlns:a="http://schemas.openxmlformats.org/drawingml/2006/main">
                    <a:graphicData uri="http://schemas.openxmlformats.org/drawingml/2006/picture">
                      <pic:pic xmlns:pic="http://schemas.openxmlformats.org/drawingml/2006/picture">
                        <pic:nvPicPr>
                          <pic:cNvPr id="681" name="ID_EBF3FA61358742FC83598D04491ADABC"/>
                          <pic:cNvPicPr/>
                        </pic:nvPicPr>
                        <pic:blipFill>
                          <a:blip r:embed="rId33"/>
                          <a:stretch>
                            <a:fillRect/>
                          </a:stretch>
                        </pic:blipFill>
                        <pic:spPr>
                          <a:xfrm>
                            <a:off x="0" y="0"/>
                            <a:ext cx="855980" cy="807085"/>
                          </a:xfrm>
                          <a:prstGeom prst="rect">
                            <a:avLst/>
                          </a:prstGeom>
                          <a:noFill/>
                          <a:ln>
                            <a:noFill/>
                          </a:ln>
                        </pic:spPr>
                      </pic:pic>
                    </a:graphicData>
                  </a:graphic>
                </wp:anchor>
              </w:drawing>
            </w:r>
          </w:p>
        </w:tc>
      </w:tr>
      <w:tr w14:paraId="23DC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6C03DC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8</w:t>
            </w:r>
          </w:p>
        </w:tc>
        <w:tc>
          <w:tcPr>
            <w:tcW w:w="1293" w:type="dxa"/>
            <w:vAlign w:val="center"/>
          </w:tcPr>
          <w:p w14:paraId="6D43A81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原木长方桌(不含椅子)</w:t>
            </w:r>
          </w:p>
        </w:tc>
        <w:tc>
          <w:tcPr>
            <w:tcW w:w="8697" w:type="dxa"/>
            <w:vAlign w:val="center"/>
          </w:tcPr>
          <w:p w14:paraId="67D973A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1.规格:120*60*56cm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2.材质：桌面采用厚度2.2cm双面无结橡胶木指接板，桌腿及边框采用实木橡胶木；橡胶木材质稳定，抗菌、防霉、不易变形、含水率和甲醛释放量符合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4.产品：桌脚厚度5*5cm，边框2.2*7.5cm，产品边角安全圆角处理，能减少磕碰的意外，外观要求、理化性能要求、结构安全、有害物质限量（可迁移元素、甲醛释放量等）、力学性能、警示标识等符合GB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5.连接件：桌脚与桌面之间采用三角铁和防松螺母固定连接，安装简易，表面经防锈处理，耐磨损，抗腐蚀符合国家相关标准要求。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0D84122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4BC8462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16</w:t>
            </w:r>
          </w:p>
        </w:tc>
        <w:tc>
          <w:tcPr>
            <w:tcW w:w="1720" w:type="dxa"/>
          </w:tcPr>
          <w:p w14:paraId="1C96633D">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16510</wp:posOffset>
                  </wp:positionH>
                  <wp:positionV relativeFrom="paragraph">
                    <wp:posOffset>1557020</wp:posOffset>
                  </wp:positionV>
                  <wp:extent cx="917575" cy="536575"/>
                  <wp:effectExtent l="0" t="0" r="12065" b="12065"/>
                  <wp:wrapSquare wrapText="bothSides"/>
                  <wp:docPr id="690" name="ID_A5578BC38D844D708BFB66E909BEE60E"/>
                  <wp:cNvGraphicFramePr/>
                  <a:graphic xmlns:a="http://schemas.openxmlformats.org/drawingml/2006/main">
                    <a:graphicData uri="http://schemas.openxmlformats.org/drawingml/2006/picture">
                      <pic:pic xmlns:pic="http://schemas.openxmlformats.org/drawingml/2006/picture">
                        <pic:nvPicPr>
                          <pic:cNvPr id="690" name="ID_A5578BC38D844D708BFB66E909BEE60E"/>
                          <pic:cNvPicPr/>
                        </pic:nvPicPr>
                        <pic:blipFill>
                          <a:blip r:embed="rId48"/>
                          <a:stretch>
                            <a:fillRect/>
                          </a:stretch>
                        </pic:blipFill>
                        <pic:spPr>
                          <a:xfrm>
                            <a:off x="0" y="0"/>
                            <a:ext cx="917575" cy="536575"/>
                          </a:xfrm>
                          <a:prstGeom prst="rect">
                            <a:avLst/>
                          </a:prstGeom>
                          <a:noFill/>
                          <a:ln>
                            <a:noFill/>
                          </a:ln>
                        </pic:spPr>
                      </pic:pic>
                    </a:graphicData>
                  </a:graphic>
                </wp:anchor>
              </w:drawing>
            </w:r>
          </w:p>
        </w:tc>
      </w:tr>
      <w:tr w14:paraId="651D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54368C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9</w:t>
            </w:r>
          </w:p>
        </w:tc>
        <w:tc>
          <w:tcPr>
            <w:tcW w:w="1293" w:type="dxa"/>
            <w:vAlign w:val="center"/>
          </w:tcPr>
          <w:p w14:paraId="08952B7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原木四方桌(不含椅子)</w:t>
            </w:r>
          </w:p>
        </w:tc>
        <w:tc>
          <w:tcPr>
            <w:tcW w:w="8697" w:type="dxa"/>
            <w:vAlign w:val="center"/>
          </w:tcPr>
          <w:p w14:paraId="0253789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1.规格:60*60*56cm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2.材质：桌面采用厚度2.2cm双面无结橡胶木指接板，桌腿及边框采用实木橡胶木；橡胶木材质稳定，抗菌、防霉、不易变形、含水率和甲醛释放量符合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4.产品：桌脚厚度5*5cm，边框2.2*7.5cm，产品边角安全圆角处理，能减少磕碰的意外，外观要求、理化性能要求、结构安全、有害物质限量（可迁移元素、甲醛释放量等）、力学性能、警示标识等符合GB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5.连接件：桌脚与桌面之间采用三角铁和防松螺母固定连接，安装简易，表面经防锈处理，耐磨损，抗腐蚀符合国家相关标准要求。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080847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32D965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170C1A4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16510</wp:posOffset>
                  </wp:positionH>
                  <wp:positionV relativeFrom="paragraph">
                    <wp:posOffset>363220</wp:posOffset>
                  </wp:positionV>
                  <wp:extent cx="980440" cy="768985"/>
                  <wp:effectExtent l="0" t="0" r="10160" b="8255"/>
                  <wp:wrapNone/>
                  <wp:docPr id="692" name="ID_2D3988C6ECC44F0394FDE4CF1EFFFC2B"/>
                  <wp:cNvGraphicFramePr/>
                  <a:graphic xmlns:a="http://schemas.openxmlformats.org/drawingml/2006/main">
                    <a:graphicData uri="http://schemas.openxmlformats.org/drawingml/2006/picture">
                      <pic:pic xmlns:pic="http://schemas.openxmlformats.org/drawingml/2006/picture">
                        <pic:nvPicPr>
                          <pic:cNvPr id="692" name="ID_2D3988C6ECC44F0394FDE4CF1EFFFC2B"/>
                          <pic:cNvPicPr/>
                        </pic:nvPicPr>
                        <pic:blipFill>
                          <a:blip r:embed="rId49"/>
                          <a:stretch>
                            <a:fillRect/>
                          </a:stretch>
                        </pic:blipFill>
                        <pic:spPr>
                          <a:xfrm>
                            <a:off x="0" y="0"/>
                            <a:ext cx="980440" cy="768985"/>
                          </a:xfrm>
                          <a:prstGeom prst="rect">
                            <a:avLst/>
                          </a:prstGeom>
                          <a:noFill/>
                          <a:ln>
                            <a:noFill/>
                          </a:ln>
                        </pic:spPr>
                      </pic:pic>
                    </a:graphicData>
                  </a:graphic>
                </wp:anchor>
              </w:drawing>
            </w:r>
          </w:p>
        </w:tc>
      </w:tr>
      <w:tr w14:paraId="468D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62B2BE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10</w:t>
            </w:r>
          </w:p>
        </w:tc>
        <w:tc>
          <w:tcPr>
            <w:tcW w:w="1293" w:type="dxa"/>
            <w:vAlign w:val="center"/>
          </w:tcPr>
          <w:p w14:paraId="54A8470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原木椅子</w:t>
            </w:r>
          </w:p>
        </w:tc>
        <w:tc>
          <w:tcPr>
            <w:tcW w:w="8697" w:type="dxa"/>
            <w:vAlign w:val="center"/>
          </w:tcPr>
          <w:p w14:paraId="396066C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1.规格28*29*30cm；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2.材质：椅面采用厚度1.8cm双面无结橡胶木指接板，靠背及椅子腿采用实木橡胶木，橡胶木材质稳定，抗菌、防霉、不易变形、含水率和甲醛释放量符合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靠背尺寸为23.5*1.8*8.5cm拆装式设计，椅子后脚5*2.2cm，前脚4*2.2cm，椅子四周小撑杆2*2cm，其中靠背及后脚均带弧形；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6.其他：椅子设计符合人体工程力学，充分结合人机功能学；设计美观舒适温馨；</w:t>
            </w:r>
          </w:p>
        </w:tc>
        <w:tc>
          <w:tcPr>
            <w:tcW w:w="840" w:type="dxa"/>
            <w:vAlign w:val="center"/>
          </w:tcPr>
          <w:p w14:paraId="7949745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531EA58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120</w:t>
            </w:r>
          </w:p>
        </w:tc>
        <w:tc>
          <w:tcPr>
            <w:tcW w:w="1720" w:type="dxa"/>
            <w:vAlign w:val="center"/>
          </w:tcPr>
          <w:p w14:paraId="114F9FF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55245</wp:posOffset>
                  </wp:positionH>
                  <wp:positionV relativeFrom="paragraph">
                    <wp:posOffset>1032510</wp:posOffset>
                  </wp:positionV>
                  <wp:extent cx="672465" cy="904240"/>
                  <wp:effectExtent l="0" t="0" r="13335" b="10160"/>
                  <wp:wrapNone/>
                  <wp:docPr id="694" name="ID_70E17617DF7743DE86A32F73D8C440DD"/>
                  <wp:cNvGraphicFramePr/>
                  <a:graphic xmlns:a="http://schemas.openxmlformats.org/drawingml/2006/main">
                    <a:graphicData uri="http://schemas.openxmlformats.org/drawingml/2006/picture">
                      <pic:pic xmlns:pic="http://schemas.openxmlformats.org/drawingml/2006/picture">
                        <pic:nvPicPr>
                          <pic:cNvPr id="694" name="ID_70E17617DF7743DE86A32F73D8C440DD"/>
                          <pic:cNvPicPr/>
                        </pic:nvPicPr>
                        <pic:blipFill>
                          <a:blip r:embed="rId50"/>
                          <a:stretch>
                            <a:fillRect/>
                          </a:stretch>
                        </pic:blipFill>
                        <pic:spPr>
                          <a:xfrm>
                            <a:off x="0" y="0"/>
                            <a:ext cx="672465" cy="904240"/>
                          </a:xfrm>
                          <a:prstGeom prst="rect">
                            <a:avLst/>
                          </a:prstGeom>
                          <a:noFill/>
                          <a:ln>
                            <a:noFill/>
                          </a:ln>
                        </pic:spPr>
                      </pic:pic>
                    </a:graphicData>
                  </a:graphic>
                </wp:anchor>
              </w:drawing>
            </w:r>
          </w:p>
        </w:tc>
      </w:tr>
      <w:tr w14:paraId="444A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24403E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11</w:t>
            </w:r>
          </w:p>
        </w:tc>
        <w:tc>
          <w:tcPr>
            <w:tcW w:w="1293" w:type="dxa"/>
            <w:vAlign w:val="center"/>
          </w:tcPr>
          <w:p w14:paraId="7E8FA5D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三层扇形转角柜45°</w:t>
            </w:r>
          </w:p>
        </w:tc>
        <w:tc>
          <w:tcPr>
            <w:tcW w:w="8697" w:type="dxa"/>
            <w:vAlign w:val="center"/>
          </w:tcPr>
          <w:p w14:paraId="799A153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1.规格:53*30*70cm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05C906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FCE20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7B1A957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55245</wp:posOffset>
                  </wp:positionH>
                  <wp:positionV relativeFrom="paragraph">
                    <wp:posOffset>490220</wp:posOffset>
                  </wp:positionV>
                  <wp:extent cx="850265" cy="814705"/>
                  <wp:effectExtent l="0" t="0" r="3175" b="8255"/>
                  <wp:wrapNone/>
                  <wp:docPr id="696" name="ID_16F9F26E666347E1A9F43C2CC825CFFE"/>
                  <wp:cNvGraphicFramePr/>
                  <a:graphic xmlns:a="http://schemas.openxmlformats.org/drawingml/2006/main">
                    <a:graphicData uri="http://schemas.openxmlformats.org/drawingml/2006/picture">
                      <pic:pic xmlns:pic="http://schemas.openxmlformats.org/drawingml/2006/picture">
                        <pic:nvPicPr>
                          <pic:cNvPr id="696" name="ID_16F9F26E666347E1A9F43C2CC825CFFE"/>
                          <pic:cNvPicPr/>
                        </pic:nvPicPr>
                        <pic:blipFill>
                          <a:blip r:embed="rId51"/>
                          <a:stretch>
                            <a:fillRect/>
                          </a:stretch>
                        </pic:blipFill>
                        <pic:spPr>
                          <a:xfrm>
                            <a:off x="0" y="0"/>
                            <a:ext cx="850265" cy="814705"/>
                          </a:xfrm>
                          <a:prstGeom prst="rect">
                            <a:avLst/>
                          </a:prstGeom>
                          <a:noFill/>
                          <a:ln>
                            <a:noFill/>
                          </a:ln>
                        </pic:spPr>
                      </pic:pic>
                    </a:graphicData>
                  </a:graphic>
                </wp:anchor>
              </w:drawing>
            </w:r>
          </w:p>
        </w:tc>
      </w:tr>
      <w:tr w14:paraId="11B4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BD0D9B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6552863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阅读柜</w:t>
            </w:r>
          </w:p>
        </w:tc>
        <w:tc>
          <w:tcPr>
            <w:tcW w:w="8697" w:type="dxa"/>
            <w:vAlign w:val="center"/>
          </w:tcPr>
          <w:p w14:paraId="55B583C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1.规格：90*30*48cm；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3.产品：坐面规格86*29.5*30cm为软包海绵与麻布相结合，柔软舒适，带2个抽屉规格42*28*18cm。产品外观要求、理化性能要求、结构安全、有害物质限量（可迁移元素、甲醛释放量等）、力学性能、警示标识等符合GB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7432598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0E3B6C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39BAF4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15875</wp:posOffset>
                  </wp:positionH>
                  <wp:positionV relativeFrom="paragraph">
                    <wp:posOffset>85725</wp:posOffset>
                  </wp:positionV>
                  <wp:extent cx="989330" cy="600075"/>
                  <wp:effectExtent l="0" t="0" r="1270" b="9525"/>
                  <wp:wrapNone/>
                  <wp:docPr id="698" name="ID_43F4E5DE5CE1431D91E405B43FD54C06"/>
                  <wp:cNvGraphicFramePr/>
                  <a:graphic xmlns:a="http://schemas.openxmlformats.org/drawingml/2006/main">
                    <a:graphicData uri="http://schemas.openxmlformats.org/drawingml/2006/picture">
                      <pic:pic xmlns:pic="http://schemas.openxmlformats.org/drawingml/2006/picture">
                        <pic:nvPicPr>
                          <pic:cNvPr id="698" name="ID_43F4E5DE5CE1431D91E405B43FD54C06"/>
                          <pic:cNvPicPr/>
                        </pic:nvPicPr>
                        <pic:blipFill>
                          <a:blip r:embed="rId52"/>
                          <a:stretch>
                            <a:fillRect/>
                          </a:stretch>
                        </pic:blipFill>
                        <pic:spPr>
                          <a:xfrm>
                            <a:off x="0" y="0"/>
                            <a:ext cx="989330" cy="600075"/>
                          </a:xfrm>
                          <a:prstGeom prst="rect">
                            <a:avLst/>
                          </a:prstGeom>
                          <a:noFill/>
                          <a:ln>
                            <a:noFill/>
                          </a:ln>
                        </pic:spPr>
                      </pic:pic>
                    </a:graphicData>
                  </a:graphic>
                </wp:anchor>
              </w:drawing>
            </w:r>
          </w:p>
        </w:tc>
      </w:tr>
      <w:tr w14:paraId="18F3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E390D6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13E2953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造型书架B</w:t>
            </w:r>
          </w:p>
        </w:tc>
        <w:tc>
          <w:tcPr>
            <w:tcW w:w="8697" w:type="dxa"/>
            <w:vAlign w:val="center"/>
          </w:tcPr>
          <w:p w14:paraId="06D0F85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1.规格：90*30*95cm；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书架下层带有两个储物格和一个造型移动小书架（含四个带刹车万向轮），移动小书架尺寸不小于53*26*26cm,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5.连接件：书架面板跟侧板采用二合一连接件连接，其余部分采用木牙螺丝组装；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73BC410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C07FBA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8D81CF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15875</wp:posOffset>
                  </wp:positionH>
                  <wp:positionV relativeFrom="paragraph">
                    <wp:posOffset>435610</wp:posOffset>
                  </wp:positionV>
                  <wp:extent cx="885825" cy="980440"/>
                  <wp:effectExtent l="0" t="0" r="13335" b="10160"/>
                  <wp:wrapNone/>
                  <wp:docPr id="700" name="ID_CE9253CD6D6C476C8974CFF02F743D60"/>
                  <wp:cNvGraphicFramePr/>
                  <a:graphic xmlns:a="http://schemas.openxmlformats.org/drawingml/2006/main">
                    <a:graphicData uri="http://schemas.openxmlformats.org/drawingml/2006/picture">
                      <pic:pic xmlns:pic="http://schemas.openxmlformats.org/drawingml/2006/picture">
                        <pic:nvPicPr>
                          <pic:cNvPr id="700" name="ID_CE9253CD6D6C476C8974CFF02F743D60"/>
                          <pic:cNvPicPr/>
                        </pic:nvPicPr>
                        <pic:blipFill>
                          <a:blip r:embed="rId53"/>
                          <a:stretch>
                            <a:fillRect/>
                          </a:stretch>
                        </pic:blipFill>
                        <pic:spPr>
                          <a:xfrm>
                            <a:off x="0" y="0"/>
                            <a:ext cx="885825" cy="980440"/>
                          </a:xfrm>
                          <a:prstGeom prst="rect">
                            <a:avLst/>
                          </a:prstGeom>
                          <a:noFill/>
                          <a:ln>
                            <a:noFill/>
                          </a:ln>
                        </pic:spPr>
                      </pic:pic>
                    </a:graphicData>
                  </a:graphic>
                </wp:anchor>
              </w:drawing>
            </w:r>
          </w:p>
        </w:tc>
      </w:tr>
      <w:tr w14:paraId="6064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4F4998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1EF59A9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茶几</w:t>
            </w:r>
          </w:p>
        </w:tc>
        <w:tc>
          <w:tcPr>
            <w:tcW w:w="8697" w:type="dxa"/>
            <w:vAlign w:val="center"/>
          </w:tcPr>
          <w:p w14:paraId="4F37806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1.茶几：70*50*48cm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5.产品：产品边角安全圆角处理，能减少磕碰的意外，外观要求、理化性能要求、结构安全、有害物质限量（可迁移元素、甲醛释放量等）、力学性能、警示标识等符合GB 28007-2011《儿童家具通用技术条件》标准要求；；</w:t>
            </w:r>
          </w:p>
        </w:tc>
        <w:tc>
          <w:tcPr>
            <w:tcW w:w="840" w:type="dxa"/>
            <w:vAlign w:val="center"/>
          </w:tcPr>
          <w:p w14:paraId="095D472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6A6EE3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6A89F6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15875</wp:posOffset>
                  </wp:positionH>
                  <wp:positionV relativeFrom="paragraph">
                    <wp:posOffset>760730</wp:posOffset>
                  </wp:positionV>
                  <wp:extent cx="837565" cy="645160"/>
                  <wp:effectExtent l="0" t="0" r="635" b="10160"/>
                  <wp:wrapNone/>
                  <wp:docPr id="702" name="ID_8351B6EDB2BA45D7B18A4130B672E28B"/>
                  <wp:cNvGraphicFramePr/>
                  <a:graphic xmlns:a="http://schemas.openxmlformats.org/drawingml/2006/main">
                    <a:graphicData uri="http://schemas.openxmlformats.org/drawingml/2006/picture">
                      <pic:pic xmlns:pic="http://schemas.openxmlformats.org/drawingml/2006/picture">
                        <pic:nvPicPr>
                          <pic:cNvPr id="702" name="ID_8351B6EDB2BA45D7B18A4130B672E28B"/>
                          <pic:cNvPicPr/>
                        </pic:nvPicPr>
                        <pic:blipFill>
                          <a:blip r:embed="rId39"/>
                          <a:stretch>
                            <a:fillRect/>
                          </a:stretch>
                        </pic:blipFill>
                        <pic:spPr>
                          <a:xfrm>
                            <a:off x="0" y="0"/>
                            <a:ext cx="837565" cy="645160"/>
                          </a:xfrm>
                          <a:prstGeom prst="rect">
                            <a:avLst/>
                          </a:prstGeom>
                          <a:noFill/>
                          <a:ln>
                            <a:noFill/>
                          </a:ln>
                        </pic:spPr>
                      </pic:pic>
                    </a:graphicData>
                  </a:graphic>
                </wp:anchor>
              </w:drawing>
            </w:r>
          </w:p>
        </w:tc>
      </w:tr>
      <w:tr w14:paraId="262B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664" w:type="dxa"/>
            <w:vAlign w:val="center"/>
          </w:tcPr>
          <w:p w14:paraId="34081CE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303F3F3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电脑桌</w:t>
            </w:r>
          </w:p>
        </w:tc>
        <w:tc>
          <w:tcPr>
            <w:tcW w:w="8697" w:type="dxa"/>
            <w:vAlign w:val="center"/>
          </w:tcPr>
          <w:p w14:paraId="0019436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规格：120*55*75cm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材质：实木框架，田园橡木色</w:t>
            </w:r>
          </w:p>
        </w:tc>
        <w:tc>
          <w:tcPr>
            <w:tcW w:w="840" w:type="dxa"/>
            <w:vAlign w:val="center"/>
          </w:tcPr>
          <w:p w14:paraId="584E6AC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C24F8F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42FB5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67310</wp:posOffset>
                  </wp:positionH>
                  <wp:positionV relativeFrom="paragraph">
                    <wp:posOffset>16510</wp:posOffset>
                  </wp:positionV>
                  <wp:extent cx="718820" cy="466725"/>
                  <wp:effectExtent l="0" t="0" r="12700" b="5715"/>
                  <wp:wrapNone/>
                  <wp:docPr id="704" name="ID_A3B63297F6EA415D93E5D0EA43DE3572"/>
                  <wp:cNvGraphicFramePr/>
                  <a:graphic xmlns:a="http://schemas.openxmlformats.org/drawingml/2006/main">
                    <a:graphicData uri="http://schemas.openxmlformats.org/drawingml/2006/picture">
                      <pic:pic xmlns:pic="http://schemas.openxmlformats.org/drawingml/2006/picture">
                        <pic:nvPicPr>
                          <pic:cNvPr id="704" name="ID_A3B63297F6EA415D93E5D0EA43DE3572"/>
                          <pic:cNvPicPr/>
                        </pic:nvPicPr>
                        <pic:blipFill>
                          <a:blip r:embed="rId26"/>
                          <a:stretch>
                            <a:fillRect/>
                          </a:stretch>
                        </pic:blipFill>
                        <pic:spPr>
                          <a:xfrm>
                            <a:off x="0" y="0"/>
                            <a:ext cx="718820" cy="466725"/>
                          </a:xfrm>
                          <a:prstGeom prst="rect">
                            <a:avLst/>
                          </a:prstGeom>
                          <a:noFill/>
                          <a:ln>
                            <a:noFill/>
                          </a:ln>
                        </pic:spPr>
                      </pic:pic>
                    </a:graphicData>
                  </a:graphic>
                </wp:anchor>
              </w:drawing>
            </w:r>
          </w:p>
        </w:tc>
      </w:tr>
      <w:tr w14:paraId="25F2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297CD8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7CD3BFF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六格柜</w:t>
            </w:r>
          </w:p>
        </w:tc>
        <w:tc>
          <w:tcPr>
            <w:tcW w:w="8697" w:type="dxa"/>
            <w:vAlign w:val="center"/>
          </w:tcPr>
          <w:p w14:paraId="1DBEED7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3层六格设计，柜体两侧边板留有开孔，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03D2C0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EAA158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4F621F7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67310</wp:posOffset>
                  </wp:positionH>
                  <wp:positionV relativeFrom="paragraph">
                    <wp:posOffset>644525</wp:posOffset>
                  </wp:positionV>
                  <wp:extent cx="837565" cy="787400"/>
                  <wp:effectExtent l="0" t="0" r="635" b="5080"/>
                  <wp:wrapNone/>
                  <wp:docPr id="706" name="ID_C7193DADA8CC492DA906BC108E360819"/>
                  <wp:cNvGraphicFramePr/>
                  <a:graphic xmlns:a="http://schemas.openxmlformats.org/drawingml/2006/main">
                    <a:graphicData uri="http://schemas.openxmlformats.org/drawingml/2006/picture">
                      <pic:pic xmlns:pic="http://schemas.openxmlformats.org/drawingml/2006/picture">
                        <pic:nvPicPr>
                          <pic:cNvPr id="706" name="ID_C7193DADA8CC492DA906BC108E360819"/>
                          <pic:cNvPicPr/>
                        </pic:nvPicPr>
                        <pic:blipFill>
                          <a:blip r:embed="rId54"/>
                          <a:stretch>
                            <a:fillRect/>
                          </a:stretch>
                        </pic:blipFill>
                        <pic:spPr>
                          <a:xfrm>
                            <a:off x="0" y="0"/>
                            <a:ext cx="837565" cy="787400"/>
                          </a:xfrm>
                          <a:prstGeom prst="rect">
                            <a:avLst/>
                          </a:prstGeom>
                          <a:noFill/>
                          <a:ln>
                            <a:noFill/>
                          </a:ln>
                        </pic:spPr>
                      </pic:pic>
                    </a:graphicData>
                  </a:graphic>
                </wp:anchor>
              </w:drawing>
            </w:r>
          </w:p>
        </w:tc>
      </w:tr>
      <w:tr w14:paraId="2BFF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A01DDE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17</w:t>
            </w:r>
          </w:p>
        </w:tc>
        <w:tc>
          <w:tcPr>
            <w:tcW w:w="1293" w:type="dxa"/>
            <w:vAlign w:val="center"/>
          </w:tcPr>
          <w:p w14:paraId="660A200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森林原木系列-小沙发</w:t>
            </w:r>
          </w:p>
        </w:tc>
        <w:tc>
          <w:tcPr>
            <w:tcW w:w="8697" w:type="dxa"/>
            <w:vAlign w:val="center"/>
          </w:tcPr>
          <w:p w14:paraId="125D7F5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1.规格：47*39*50cm；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2.材质：座面麻布+高密度海绵，底座采用实木，木材质稳定，不易变形、含水率和甲醛释放量符合GB/T3324-2017和GB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78954AF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49D520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4A3498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199390</wp:posOffset>
                  </wp:positionH>
                  <wp:positionV relativeFrom="paragraph">
                    <wp:posOffset>722630</wp:posOffset>
                  </wp:positionV>
                  <wp:extent cx="675005" cy="1004570"/>
                  <wp:effectExtent l="0" t="0" r="10795" b="1270"/>
                  <wp:wrapNone/>
                  <wp:docPr id="708" name="ID_B907E306320C44FF84758C471F4147BB"/>
                  <wp:cNvGraphicFramePr/>
                  <a:graphic xmlns:a="http://schemas.openxmlformats.org/drawingml/2006/main">
                    <a:graphicData uri="http://schemas.openxmlformats.org/drawingml/2006/picture">
                      <pic:pic xmlns:pic="http://schemas.openxmlformats.org/drawingml/2006/picture">
                        <pic:nvPicPr>
                          <pic:cNvPr id="708" name="ID_B907E306320C44FF84758C471F4147BB"/>
                          <pic:cNvPicPr/>
                        </pic:nvPicPr>
                        <pic:blipFill>
                          <a:blip r:embed="rId55"/>
                          <a:stretch>
                            <a:fillRect/>
                          </a:stretch>
                        </pic:blipFill>
                        <pic:spPr>
                          <a:xfrm>
                            <a:off x="0" y="0"/>
                            <a:ext cx="675005" cy="1004570"/>
                          </a:xfrm>
                          <a:prstGeom prst="rect">
                            <a:avLst/>
                          </a:prstGeom>
                          <a:noFill/>
                          <a:ln>
                            <a:noFill/>
                          </a:ln>
                        </pic:spPr>
                      </pic:pic>
                    </a:graphicData>
                  </a:graphic>
                </wp:anchor>
              </w:drawing>
            </w:r>
          </w:p>
        </w:tc>
      </w:tr>
      <w:tr w14:paraId="5AEA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801946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18</w:t>
            </w:r>
          </w:p>
        </w:tc>
        <w:tc>
          <w:tcPr>
            <w:tcW w:w="1293" w:type="dxa"/>
            <w:vAlign w:val="center"/>
          </w:tcPr>
          <w:p w14:paraId="322D2E4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黑板柜</w:t>
            </w:r>
          </w:p>
        </w:tc>
        <w:tc>
          <w:tcPr>
            <w:tcW w:w="8697" w:type="dxa"/>
            <w:vAlign w:val="center"/>
          </w:tcPr>
          <w:p w14:paraId="56CFB22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1.规格:115*35*120cm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黑板柜上下层设计，上层为两种板面设计，一面软木一面绿板，下层为双层柜体设计含三格抽屉，抽屉两侧为镂空空格柜内径不小于22.5*33.5cm；底部四边采用5公分万向轮。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6B77BC0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95D5D8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7707DC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199390</wp:posOffset>
                  </wp:positionH>
                  <wp:positionV relativeFrom="paragraph">
                    <wp:posOffset>703580</wp:posOffset>
                  </wp:positionV>
                  <wp:extent cx="661035" cy="859155"/>
                  <wp:effectExtent l="0" t="0" r="9525" b="9525"/>
                  <wp:wrapNone/>
                  <wp:docPr id="710" name="ID_ADC86491EBDF4826BDEF128E17653B01"/>
                  <wp:cNvGraphicFramePr/>
                  <a:graphic xmlns:a="http://schemas.openxmlformats.org/drawingml/2006/main">
                    <a:graphicData uri="http://schemas.openxmlformats.org/drawingml/2006/picture">
                      <pic:pic xmlns:pic="http://schemas.openxmlformats.org/drawingml/2006/picture">
                        <pic:nvPicPr>
                          <pic:cNvPr id="710" name="ID_ADC86491EBDF4826BDEF128E17653B01"/>
                          <pic:cNvPicPr/>
                        </pic:nvPicPr>
                        <pic:blipFill>
                          <a:blip r:embed="rId42"/>
                          <a:stretch>
                            <a:fillRect/>
                          </a:stretch>
                        </pic:blipFill>
                        <pic:spPr>
                          <a:xfrm>
                            <a:off x="0" y="0"/>
                            <a:ext cx="661035" cy="859155"/>
                          </a:xfrm>
                          <a:prstGeom prst="rect">
                            <a:avLst/>
                          </a:prstGeom>
                          <a:noFill/>
                          <a:ln>
                            <a:noFill/>
                          </a:ln>
                        </pic:spPr>
                      </pic:pic>
                    </a:graphicData>
                  </a:graphic>
                </wp:anchor>
              </w:drawing>
            </w:r>
          </w:p>
        </w:tc>
      </w:tr>
      <w:tr w14:paraId="1CFD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0FF8962E">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建构室</w:t>
            </w:r>
          </w:p>
        </w:tc>
      </w:tr>
      <w:tr w14:paraId="03DA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A3F849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7EB2CA7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收纳柜</w:t>
            </w:r>
          </w:p>
        </w:tc>
        <w:tc>
          <w:tcPr>
            <w:tcW w:w="8697" w:type="dxa"/>
            <w:vAlign w:val="center"/>
          </w:tcPr>
          <w:p w14:paraId="7161D6B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1.规格90*40*60cm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6643370</wp:posOffset>
                  </wp:positionH>
                  <wp:positionV relativeFrom="paragraph">
                    <wp:posOffset>376555</wp:posOffset>
                  </wp:positionV>
                  <wp:extent cx="797560" cy="844550"/>
                  <wp:effectExtent l="0" t="0" r="10160" b="8890"/>
                  <wp:wrapNone/>
                  <wp:docPr id="712" name="ID_A5AFE38027F74A6097607477E80DDC9B"/>
                  <wp:cNvGraphicFramePr/>
                  <a:graphic xmlns:a="http://schemas.openxmlformats.org/drawingml/2006/main">
                    <a:graphicData uri="http://schemas.openxmlformats.org/drawingml/2006/picture">
                      <pic:pic xmlns:pic="http://schemas.openxmlformats.org/drawingml/2006/picture">
                        <pic:nvPicPr>
                          <pic:cNvPr id="712" name="ID_A5AFE38027F74A6097607477E80DDC9B"/>
                          <pic:cNvPicPr/>
                        </pic:nvPicPr>
                        <pic:blipFill>
                          <a:blip r:embed="rId56"/>
                          <a:stretch>
                            <a:fillRect/>
                          </a:stretch>
                        </pic:blipFill>
                        <pic:spPr>
                          <a:xfrm>
                            <a:off x="0" y="0"/>
                            <a:ext cx="797560" cy="844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248B9A2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1FE8A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3CE2E1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p>
        </w:tc>
      </w:tr>
      <w:tr w14:paraId="0A7B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vAlign w:val="center"/>
          </w:tcPr>
          <w:p w14:paraId="6631824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5414C4D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拖车</w:t>
            </w:r>
          </w:p>
        </w:tc>
        <w:tc>
          <w:tcPr>
            <w:tcW w:w="8697" w:type="dxa"/>
            <w:vAlign w:val="center"/>
          </w:tcPr>
          <w:p w14:paraId="17B6D12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1.规格：60*45*32cm；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2.材质：采用桦木多层板，材质稳定，不易变形、含水率和甲醛释放量符合GB/T3324-2017和GB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27B5D09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B2F345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BFE1B3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81280</wp:posOffset>
                  </wp:positionH>
                  <wp:positionV relativeFrom="paragraph">
                    <wp:posOffset>748030</wp:posOffset>
                  </wp:positionV>
                  <wp:extent cx="843915" cy="601980"/>
                  <wp:effectExtent l="0" t="0" r="9525" b="7620"/>
                  <wp:wrapNone/>
                  <wp:docPr id="714" name="ID_F16B3184C08943308F2B5868674A4823"/>
                  <wp:cNvGraphicFramePr/>
                  <a:graphic xmlns:a="http://schemas.openxmlformats.org/drawingml/2006/main">
                    <a:graphicData uri="http://schemas.openxmlformats.org/drawingml/2006/picture">
                      <pic:pic xmlns:pic="http://schemas.openxmlformats.org/drawingml/2006/picture">
                        <pic:nvPicPr>
                          <pic:cNvPr id="714" name="ID_F16B3184C08943308F2B5868674A4823"/>
                          <pic:cNvPicPr/>
                        </pic:nvPicPr>
                        <pic:blipFill>
                          <a:blip r:embed="rId57"/>
                          <a:stretch>
                            <a:fillRect/>
                          </a:stretch>
                        </pic:blipFill>
                        <pic:spPr>
                          <a:xfrm>
                            <a:off x="0" y="0"/>
                            <a:ext cx="843915" cy="601980"/>
                          </a:xfrm>
                          <a:prstGeom prst="rect">
                            <a:avLst/>
                          </a:prstGeom>
                          <a:noFill/>
                          <a:ln>
                            <a:noFill/>
                          </a:ln>
                        </pic:spPr>
                      </pic:pic>
                    </a:graphicData>
                  </a:graphic>
                </wp:anchor>
              </w:drawing>
            </w:r>
          </w:p>
        </w:tc>
      </w:tr>
      <w:tr w14:paraId="7EFD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6B930D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495BFB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八格高柜带背板</w:t>
            </w:r>
          </w:p>
        </w:tc>
        <w:tc>
          <w:tcPr>
            <w:tcW w:w="8697" w:type="dxa"/>
            <w:vAlign w:val="center"/>
          </w:tcPr>
          <w:p w14:paraId="38C0DAC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背板为厚度0.5cm橡胶木多层板，其中柜体为上下三格分布内径27.4*23cm，中间二格分布内径42.3*23cm；3层八格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7E3DA51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B721DB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tcPr>
          <w:p w14:paraId="6E9F395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20955</wp:posOffset>
                  </wp:positionH>
                  <wp:positionV relativeFrom="paragraph">
                    <wp:posOffset>479425</wp:posOffset>
                  </wp:positionV>
                  <wp:extent cx="904240" cy="875030"/>
                  <wp:effectExtent l="0" t="0" r="10160" b="8890"/>
                  <wp:wrapNone/>
                  <wp:docPr id="721" name="ID_652EA20C656F48F5A48BDDE8A911AD58"/>
                  <wp:cNvGraphicFramePr/>
                  <a:graphic xmlns:a="http://schemas.openxmlformats.org/drawingml/2006/main">
                    <a:graphicData uri="http://schemas.openxmlformats.org/drawingml/2006/picture">
                      <pic:pic xmlns:pic="http://schemas.openxmlformats.org/drawingml/2006/picture">
                        <pic:nvPicPr>
                          <pic:cNvPr id="721" name="ID_652EA20C656F48F5A48BDDE8A911AD58"/>
                          <pic:cNvPicPr/>
                        </pic:nvPicPr>
                        <pic:blipFill>
                          <a:blip r:embed="rId58"/>
                          <a:stretch>
                            <a:fillRect/>
                          </a:stretch>
                        </pic:blipFill>
                        <pic:spPr>
                          <a:xfrm>
                            <a:off x="0" y="0"/>
                            <a:ext cx="904240" cy="87503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8859520</wp:posOffset>
                  </wp:positionH>
                  <wp:positionV relativeFrom="paragraph">
                    <wp:posOffset>6639560</wp:posOffset>
                  </wp:positionV>
                  <wp:extent cx="778510" cy="708025"/>
                  <wp:effectExtent l="0" t="0" r="13970" b="8255"/>
                  <wp:wrapNone/>
                  <wp:docPr id="2" name="ID_652EA20C656F48F5A48BDDE8A911AD58"/>
                  <wp:cNvGraphicFramePr/>
                  <a:graphic xmlns:a="http://schemas.openxmlformats.org/drawingml/2006/main">
                    <a:graphicData uri="http://schemas.openxmlformats.org/drawingml/2006/picture">
                      <pic:pic xmlns:pic="http://schemas.openxmlformats.org/drawingml/2006/picture">
                        <pic:nvPicPr>
                          <pic:cNvPr id="2" name="ID_652EA20C656F48F5A48BDDE8A911AD58"/>
                          <pic:cNvPicPr/>
                        </pic:nvPicPr>
                        <pic:blipFill>
                          <a:blip r:embed="rId58"/>
                          <a:stretch>
                            <a:fillRect/>
                          </a:stretch>
                        </pic:blipFill>
                        <pic:spPr>
                          <a:xfrm>
                            <a:off x="0" y="0"/>
                            <a:ext cx="778510" cy="7080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9164320</wp:posOffset>
                  </wp:positionH>
                  <wp:positionV relativeFrom="paragraph">
                    <wp:posOffset>2348230</wp:posOffset>
                  </wp:positionV>
                  <wp:extent cx="778510" cy="708025"/>
                  <wp:effectExtent l="0" t="0" r="13970" b="8255"/>
                  <wp:wrapNone/>
                  <wp:docPr id="720" name="ID_652EA20C656F48F5A48BDDE8A911AD58"/>
                  <wp:cNvGraphicFramePr/>
                  <a:graphic xmlns:a="http://schemas.openxmlformats.org/drawingml/2006/main">
                    <a:graphicData uri="http://schemas.openxmlformats.org/drawingml/2006/picture">
                      <pic:pic xmlns:pic="http://schemas.openxmlformats.org/drawingml/2006/picture">
                        <pic:nvPicPr>
                          <pic:cNvPr id="720" name="ID_652EA20C656F48F5A48BDDE8A911AD58"/>
                          <pic:cNvPicPr/>
                        </pic:nvPicPr>
                        <pic:blipFill>
                          <a:blip r:embed="rId58"/>
                          <a:stretch>
                            <a:fillRect/>
                          </a:stretch>
                        </pic:blipFill>
                        <pic:spPr>
                          <a:xfrm>
                            <a:off x="0" y="0"/>
                            <a:ext cx="778510" cy="7080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9011920</wp:posOffset>
                  </wp:positionH>
                  <wp:positionV relativeFrom="paragraph">
                    <wp:posOffset>2195830</wp:posOffset>
                  </wp:positionV>
                  <wp:extent cx="778510" cy="708025"/>
                  <wp:effectExtent l="0" t="0" r="13970" b="8255"/>
                  <wp:wrapNone/>
                  <wp:docPr id="719" name="ID_652EA20C656F48F5A48BDDE8A911AD58"/>
                  <wp:cNvGraphicFramePr/>
                  <a:graphic xmlns:a="http://schemas.openxmlformats.org/drawingml/2006/main">
                    <a:graphicData uri="http://schemas.openxmlformats.org/drawingml/2006/picture">
                      <pic:pic xmlns:pic="http://schemas.openxmlformats.org/drawingml/2006/picture">
                        <pic:nvPicPr>
                          <pic:cNvPr id="719" name="ID_652EA20C656F48F5A48BDDE8A911AD58"/>
                          <pic:cNvPicPr/>
                        </pic:nvPicPr>
                        <pic:blipFill>
                          <a:blip r:embed="rId58"/>
                          <a:stretch>
                            <a:fillRect/>
                          </a:stretch>
                        </pic:blipFill>
                        <pic:spPr>
                          <a:xfrm>
                            <a:off x="0" y="0"/>
                            <a:ext cx="778510" cy="7080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8859520</wp:posOffset>
                  </wp:positionH>
                  <wp:positionV relativeFrom="paragraph">
                    <wp:posOffset>2043430</wp:posOffset>
                  </wp:positionV>
                  <wp:extent cx="778510" cy="708025"/>
                  <wp:effectExtent l="0" t="0" r="13970" b="8255"/>
                  <wp:wrapNone/>
                  <wp:docPr id="718" name="ID_652EA20C656F48F5A48BDDE8A911AD58"/>
                  <wp:cNvGraphicFramePr/>
                  <a:graphic xmlns:a="http://schemas.openxmlformats.org/drawingml/2006/main">
                    <a:graphicData uri="http://schemas.openxmlformats.org/drawingml/2006/picture">
                      <pic:pic xmlns:pic="http://schemas.openxmlformats.org/drawingml/2006/picture">
                        <pic:nvPicPr>
                          <pic:cNvPr id="718" name="ID_652EA20C656F48F5A48BDDE8A911AD58"/>
                          <pic:cNvPicPr/>
                        </pic:nvPicPr>
                        <pic:blipFill>
                          <a:blip r:embed="rId58"/>
                          <a:stretch>
                            <a:fillRect/>
                          </a:stretch>
                        </pic:blipFill>
                        <pic:spPr>
                          <a:xfrm>
                            <a:off x="0" y="0"/>
                            <a:ext cx="778510" cy="708025"/>
                          </a:xfrm>
                          <a:prstGeom prst="rect">
                            <a:avLst/>
                          </a:prstGeom>
                          <a:noFill/>
                          <a:ln>
                            <a:noFill/>
                          </a:ln>
                        </pic:spPr>
                      </pic:pic>
                    </a:graphicData>
                  </a:graphic>
                </wp:anchor>
              </w:drawing>
            </w:r>
          </w:p>
        </w:tc>
      </w:tr>
      <w:tr w14:paraId="6A67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6" w:hRule="atLeast"/>
        </w:trPr>
        <w:tc>
          <w:tcPr>
            <w:tcW w:w="664" w:type="dxa"/>
            <w:vAlign w:val="center"/>
          </w:tcPr>
          <w:p w14:paraId="5115547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w:t>
            </w:r>
          </w:p>
        </w:tc>
        <w:tc>
          <w:tcPr>
            <w:tcW w:w="1293" w:type="dxa"/>
            <w:vAlign w:val="center"/>
          </w:tcPr>
          <w:p w14:paraId="4AE3FC9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现代简约系列-三层高柜带背板</w:t>
            </w:r>
          </w:p>
        </w:tc>
        <w:tc>
          <w:tcPr>
            <w:tcW w:w="8697" w:type="dxa"/>
            <w:vAlign w:val="center"/>
          </w:tcPr>
          <w:p w14:paraId="508A31B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背板为厚度0.5cm橡胶木多层板，其中柜体为上下三格分布内径27.4*23cm，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6C4AD8B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CCDAB0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4216A3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20320</wp:posOffset>
                  </wp:positionH>
                  <wp:positionV relativeFrom="paragraph">
                    <wp:posOffset>1050290</wp:posOffset>
                  </wp:positionV>
                  <wp:extent cx="918845" cy="915670"/>
                  <wp:effectExtent l="0" t="0" r="10795" b="13970"/>
                  <wp:wrapNone/>
                  <wp:docPr id="723" name="ID_3AC541B3A60F483CBA638E551C5561FD"/>
                  <wp:cNvGraphicFramePr/>
                  <a:graphic xmlns:a="http://schemas.openxmlformats.org/drawingml/2006/main">
                    <a:graphicData uri="http://schemas.openxmlformats.org/drawingml/2006/picture">
                      <pic:pic xmlns:pic="http://schemas.openxmlformats.org/drawingml/2006/picture">
                        <pic:nvPicPr>
                          <pic:cNvPr id="723" name="ID_3AC541B3A60F483CBA638E551C5561FD"/>
                          <pic:cNvPicPr/>
                        </pic:nvPicPr>
                        <pic:blipFill>
                          <a:blip r:embed="rId59"/>
                          <a:stretch>
                            <a:fillRect/>
                          </a:stretch>
                        </pic:blipFill>
                        <pic:spPr>
                          <a:xfrm>
                            <a:off x="0" y="0"/>
                            <a:ext cx="918845" cy="915670"/>
                          </a:xfrm>
                          <a:prstGeom prst="rect">
                            <a:avLst/>
                          </a:prstGeom>
                          <a:noFill/>
                          <a:ln>
                            <a:noFill/>
                          </a:ln>
                        </pic:spPr>
                      </pic:pic>
                    </a:graphicData>
                  </a:graphic>
                </wp:anchor>
              </w:drawing>
            </w:r>
          </w:p>
        </w:tc>
      </w:tr>
      <w:tr w14:paraId="7524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F78CE2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5</w:t>
            </w:r>
          </w:p>
        </w:tc>
        <w:tc>
          <w:tcPr>
            <w:tcW w:w="1293" w:type="dxa"/>
            <w:vAlign w:val="center"/>
          </w:tcPr>
          <w:p w14:paraId="79A2584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白板墙</w:t>
            </w:r>
          </w:p>
        </w:tc>
        <w:tc>
          <w:tcPr>
            <w:tcW w:w="8697" w:type="dxa"/>
            <w:vAlign w:val="center"/>
          </w:tcPr>
          <w:p w14:paraId="592C948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1.规格：137*2*180cm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2.材质：采用桦木多层板，材质稳定，不易变形、含水率和甲醛释放量符合GB/T3324-2017和GB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10CE7BB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032FB0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065898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-1905</wp:posOffset>
                  </wp:positionH>
                  <wp:positionV relativeFrom="paragraph">
                    <wp:posOffset>264160</wp:posOffset>
                  </wp:positionV>
                  <wp:extent cx="941070" cy="891540"/>
                  <wp:effectExtent l="0" t="0" r="3810" b="7620"/>
                  <wp:wrapNone/>
                  <wp:docPr id="725" name="ID_76CF6553FA00482499E11871CCB4BBD5"/>
                  <wp:cNvGraphicFramePr/>
                  <a:graphic xmlns:a="http://schemas.openxmlformats.org/drawingml/2006/main">
                    <a:graphicData uri="http://schemas.openxmlformats.org/drawingml/2006/picture">
                      <pic:pic xmlns:pic="http://schemas.openxmlformats.org/drawingml/2006/picture">
                        <pic:nvPicPr>
                          <pic:cNvPr id="725" name="ID_76CF6553FA00482499E11871CCB4BBD5"/>
                          <pic:cNvPicPr/>
                        </pic:nvPicPr>
                        <pic:blipFill>
                          <a:blip r:embed="rId60"/>
                          <a:stretch>
                            <a:fillRect/>
                          </a:stretch>
                        </pic:blipFill>
                        <pic:spPr>
                          <a:xfrm>
                            <a:off x="0" y="0"/>
                            <a:ext cx="941070" cy="891540"/>
                          </a:xfrm>
                          <a:prstGeom prst="rect">
                            <a:avLst/>
                          </a:prstGeom>
                          <a:noFill/>
                          <a:ln>
                            <a:noFill/>
                          </a:ln>
                        </pic:spPr>
                      </pic:pic>
                    </a:graphicData>
                  </a:graphic>
                </wp:anchor>
              </w:drawing>
            </w:r>
          </w:p>
        </w:tc>
      </w:tr>
      <w:tr w14:paraId="486E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EA9905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6</w:t>
            </w:r>
          </w:p>
        </w:tc>
        <w:tc>
          <w:tcPr>
            <w:tcW w:w="1293" w:type="dxa"/>
            <w:vAlign w:val="center"/>
          </w:tcPr>
          <w:p w14:paraId="31265AA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白板墙1</w:t>
            </w:r>
          </w:p>
        </w:tc>
        <w:tc>
          <w:tcPr>
            <w:tcW w:w="8697" w:type="dxa"/>
            <w:vAlign w:val="center"/>
          </w:tcPr>
          <w:p w14:paraId="09E05AD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1.规格：254*2*180cm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2.材质：采用桦木多层板，材质稳定，不易变形、含水率和甲醛释放量符合GB/T3324-2017和GB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4C592DA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DB281F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D9F03C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17145</wp:posOffset>
                  </wp:positionH>
                  <wp:positionV relativeFrom="paragraph">
                    <wp:posOffset>-100965</wp:posOffset>
                  </wp:positionV>
                  <wp:extent cx="943610" cy="529590"/>
                  <wp:effectExtent l="0" t="0" r="1270" b="3810"/>
                  <wp:wrapNone/>
                  <wp:docPr id="727" name="ID_90C2FE105CE84874B1DE43FF81C90315"/>
                  <wp:cNvGraphicFramePr/>
                  <a:graphic xmlns:a="http://schemas.openxmlformats.org/drawingml/2006/main">
                    <a:graphicData uri="http://schemas.openxmlformats.org/drawingml/2006/picture">
                      <pic:pic xmlns:pic="http://schemas.openxmlformats.org/drawingml/2006/picture">
                        <pic:nvPicPr>
                          <pic:cNvPr id="727" name="ID_90C2FE105CE84874B1DE43FF81C90315"/>
                          <pic:cNvPicPr/>
                        </pic:nvPicPr>
                        <pic:blipFill>
                          <a:blip r:embed="rId61"/>
                          <a:stretch>
                            <a:fillRect/>
                          </a:stretch>
                        </pic:blipFill>
                        <pic:spPr>
                          <a:xfrm>
                            <a:off x="0" y="0"/>
                            <a:ext cx="943610" cy="529590"/>
                          </a:xfrm>
                          <a:prstGeom prst="rect">
                            <a:avLst/>
                          </a:prstGeom>
                          <a:noFill/>
                          <a:ln>
                            <a:noFill/>
                          </a:ln>
                        </pic:spPr>
                      </pic:pic>
                    </a:graphicData>
                  </a:graphic>
                </wp:anchor>
              </w:drawing>
            </w:r>
          </w:p>
        </w:tc>
      </w:tr>
      <w:tr w14:paraId="5B96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4C6FA4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7</w:t>
            </w:r>
          </w:p>
        </w:tc>
        <w:tc>
          <w:tcPr>
            <w:tcW w:w="1293" w:type="dxa"/>
            <w:vAlign w:val="center"/>
          </w:tcPr>
          <w:p w14:paraId="619ED0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屋型柜</w:t>
            </w:r>
          </w:p>
        </w:tc>
        <w:tc>
          <w:tcPr>
            <w:tcW w:w="8697" w:type="dxa"/>
            <w:vAlign w:val="center"/>
          </w:tcPr>
          <w:p w14:paraId="46E119F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1.规格：80*36*180cm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2.材质：采用桦木多层板，材质稳定，不易变形、含水率和甲醛释放量符合GB/T3324-2017和GB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2111C75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382967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F9BC10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159385</wp:posOffset>
                  </wp:positionH>
                  <wp:positionV relativeFrom="paragraph">
                    <wp:posOffset>267970</wp:posOffset>
                  </wp:positionV>
                  <wp:extent cx="669925" cy="1028700"/>
                  <wp:effectExtent l="0" t="0" r="635" b="7620"/>
                  <wp:wrapNone/>
                  <wp:docPr id="729" name="ID_545CEAAC1B4D43529D2CD2E749DA47CA"/>
                  <wp:cNvGraphicFramePr/>
                  <a:graphic xmlns:a="http://schemas.openxmlformats.org/drawingml/2006/main">
                    <a:graphicData uri="http://schemas.openxmlformats.org/drawingml/2006/picture">
                      <pic:pic xmlns:pic="http://schemas.openxmlformats.org/drawingml/2006/picture">
                        <pic:nvPicPr>
                          <pic:cNvPr id="729" name="ID_545CEAAC1B4D43529D2CD2E749DA47CA"/>
                          <pic:cNvPicPr/>
                        </pic:nvPicPr>
                        <pic:blipFill>
                          <a:blip r:embed="rId62"/>
                          <a:stretch>
                            <a:fillRect/>
                          </a:stretch>
                        </pic:blipFill>
                        <pic:spPr>
                          <a:xfrm>
                            <a:off x="0" y="0"/>
                            <a:ext cx="669925" cy="1028700"/>
                          </a:xfrm>
                          <a:prstGeom prst="rect">
                            <a:avLst/>
                          </a:prstGeom>
                          <a:noFill/>
                          <a:ln>
                            <a:noFill/>
                          </a:ln>
                        </pic:spPr>
                      </pic:pic>
                    </a:graphicData>
                  </a:graphic>
                </wp:anchor>
              </w:drawing>
            </w:r>
          </w:p>
        </w:tc>
      </w:tr>
      <w:tr w14:paraId="5663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4F983B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8</w:t>
            </w:r>
          </w:p>
        </w:tc>
        <w:tc>
          <w:tcPr>
            <w:tcW w:w="1293" w:type="dxa"/>
            <w:vAlign w:val="center"/>
          </w:tcPr>
          <w:p w14:paraId="0F81E5A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建构墙</w:t>
            </w:r>
          </w:p>
        </w:tc>
        <w:tc>
          <w:tcPr>
            <w:tcW w:w="8697" w:type="dxa"/>
            <w:vAlign w:val="center"/>
          </w:tcPr>
          <w:p w14:paraId="2297668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规格：长518*15*170cm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底板（桦木夹板）30片底板48*48*1.5cm，3片38*48厘米，10片48*13.5厘米，1片38*13.5厘米、收纳盒（桦木夹板）10个收纳盒48*12.5*12.5cm，1个38厘米，音乐之旅，材质：榉木，环保水性漆；尺寸：轨道28cm*3.7cm*2.7cm，插柱5.7*2.2cm，琴键（7.3-10.8)*2.6cm；配置：原木色轨道16个，尺寸为28cm*3.7cm*2.6cm,平帽木柱绿色，蓝色，红色，黄色各4个，共16个，竖琴片红色，橙色，黄色，绿色，天蓝色，蓝色，紫色，粉色各2个，共16个，横琴片8个，榉木敲棒1个，滚珠4颗。玩法：使用原木色轨道和平帽插珠以及竖琴片组合在孔板上搭建的音乐路径， 然后将珠子从轨道高处释放， 期间珠子会撞击竖琴片发出不同的声响， 最后落入收纳盒；教育要点：音乐之旅是—款适合4岁以上的孩子学习认知音乐的建构玩具，其目的旨于通过操作滚珠轨道游戏来对基础音乐的学习和听觉感知能力的发展；手掌游戏，材质：桦木、榉木；尺寸：手掌20.6*17.7*1.2cm，小圆片直径4.8*1.2cm；配置：左手右手模块各一块，算数小圆片35颗；玩法：幼儿学习数学的练习板；幼儿先认识自己左右手形状；以及手的组合部分。然后再操作中学习1-10手势的表达以及量的加减和比大小通过手指表达出来的数字，在下面找到相对应的算数小圆片；教育要点：手掌游戏这款游戏材料是幼儿学习数学的“练习板”，幼儿先认识自己的左右手形状，以及手的组成部分，然后在操作中学习1-10手势的表达以及量的加减和比大小；手掌游戏，材质：桦木、榉木；尺寸：手掌20.6*17.7*1.2cm，小圆片直径4.8*1.2cm；配置：左手右手模块各一块，算数小圆片35颗；玩法：幼儿学习数学的练习板；幼儿先认识自己左右手形状；以及手的组合部分。然后再操作中学习1-10手势的表达以及量的加减和比大小通过手指表达出来的数字，在下面找到相对应的算数小圆片；教育要点：手掌游戏这款游戏材料是幼儿学习数学的“练习板”，幼儿先认识自己的左右手形状，以及手的组成部分，然后在操作中学习1-10手势的表达以及量的加减和比大小；四色游戏，材质：桦木、榉木；尺寸滑轨每块7.5*7.5*2.4cm，棋子4.7*1.2cm；配置：题卡1套，一字槽滑轨8块，单圆角滑轨2块，十字滑轨4块，圆片红色、黄色、绿色、蓝色各3片，共12片，插珠红色、橙色、黄色、绿色、蓝色各2颗，共10颗；玩法：通过在滑轨上的移动，使用12颗棋子，拼搭成提示卡上的不同图案；教育要点：四色游戏使用四种颜色的棋子，根据任务卡在滑轨里滑动，两边各有一个圆片暂存区域，让孩子利用有限的空间位置进行游戏操作，提升空间认知位置和逻辑思维能力；幸运转盘，材质：桦木、榉木；尺寸：大圆盘15*1.2cm，小圆片4.7*1.2cm；配置：游戏转盘圆片18片，游戏转盘2个，指针2个；玩法：使用先将幸运转盘配件固定在孔板上面，转动方向轮，停止后按方向轮从1-4的顺序，相应的找到按顺序构成的颜色图案配件；教育要点：用于数学活动认知数学的游戏，在游戏中，可以促进幼儿颜色识别能力的发展，数学识别能力的发展，观察力、逻辑思维能力的发展等；磁力板（三角形），材质：榉木、铁皮；尺寸：磁力板48*48*1.2cm，积木块1.5cm；配置：磁性游戏板1块，三角磁性积木红色、黄色、绿色、蓝色各24颗，木螺丝4颗；玩法：通使用木螺丝将磁力板固定在孔板上，再用各种磁力积木拼接出各种图案；教育要点:磁力板通过黑白两种颜色的画板为基板，再配各种磁力积木，拼接出各种图案。通过游戏，可以促进幼儿图形图像的认知发展,颜色识别能力的发展,手部小肌肉动作的发展；卡通拼图，材质：桦木、榉木；尺寸：滑轨每块7.5*7.5*2.4cm，拼图7.5*7.5*1.2cm；配置：拼图游戏板1块，提示卡1张，一字滑轨9块，十字滑轨11块，红色、橙色插珠各7颗，黄色、绿色、蓝色、紫色插珠各4颗，白色插珠1颗；玩法：提供动物原图，让小朋友在分开的九块图案里找出相应的图案，并将它重新拼成完整的图案；教育要点：卡通拼图是幼儿通过拼图的游戏形式来了解平面组合的概念，懂得图案的顺序和逻辑的意义，培养孩子观察力、专注力和耐心；四子棋，材质：桦木、榉木；尺寸：滑轨7.5*7.5*2.4cm，棋子4.7*1.2cm；配置：一字滑轨36块，圆片红色、绿色各24颗，插珠红色、橙色、黄色、绿色、蓝色、紫色各3颗；玩法：传统经典双人游戏，每人一次放置一个颜色棋子，看谁最先将将四颗棋子连成一条线，线条可以是直线、横线、斜线。教育要点：四子棋是一种两人对弈的棋类游戏，可以提高孩子的注意力，提升空间认知能力和逻辑思维能力；圆柱游戏，材质：榉木；尺寸：每根长度4.8CM，直径1.4，每根4.8*1.4CM圆柱红色、橙色、黄色、绿色、蓝色、紫色、黑色、白色各25颗，共200颗圆柱；玩法：使用不同颜色的圆柱可以根据提卡或者自己的想法在孔板上创作圆柱作品，对于那些小小班或小班力气较小的小朋友，提供拼插操作，搭建不同的图案造型；教育要点：圆柱游戏是一款专为孩子设计的极简风格玩具，培养孩子对于色彩的规律运用，图形结构的对称，以及幼儿手臂精细肌肉的灵敏性成长；绳索探险，材质：桦木、榉木；配置：绳索探险面板1块，尺寸48cm*48cm，游戏绳一条，滑槽插珠2颗，木螺丝4颗，吸棒1根，钢珠6颗；玩法：使用木螺丝将游戏板固定在孔板上，然后把绳索配件固定在游戏版上面并且放入钢珠，准备好游戏前的工作，双手抓住圆球拉拽控制沿着路径游戏；教育要点：绳索探险一款手眼协调平衡游戏，通过手握圆球拉动绳子将钢珠从起点移动到终点。在游戏过程中，可以促进幼儿手眼协调能力的发展；井字棋，材质：桦木、榉木；尺寸：棋盘22.4*22.4*1.1cm，棋子7.5*7.5cm；配置：井字棋面板1块，O形模块5个，X形模块5个；玩法：将井字棋底板安装在孔板上，棋子分类，做好游戏前的准备，这个游戏是一人一回合制下棋，哪一方先将三个棋子连成一线则胜出，横竖斜都可以；教育要点：井字棋是一款古老而简单的游戏，对孩子既开动脑筋又培养竞赛意识；题卡收纳盒，榉木，尺寸24*8.5*11，放置题卡等功能（赠送），活动方案   活动方案， 操作说明（赠送）</w:t>
            </w:r>
          </w:p>
        </w:tc>
        <w:tc>
          <w:tcPr>
            <w:tcW w:w="840" w:type="dxa"/>
            <w:vAlign w:val="center"/>
          </w:tcPr>
          <w:p w14:paraId="0DCF212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AC4F3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E215DF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17145</wp:posOffset>
                  </wp:positionH>
                  <wp:positionV relativeFrom="paragraph">
                    <wp:posOffset>161290</wp:posOffset>
                  </wp:positionV>
                  <wp:extent cx="1007110" cy="520700"/>
                  <wp:effectExtent l="0" t="0" r="13970" b="12700"/>
                  <wp:wrapNone/>
                  <wp:docPr id="731" name="ID_C24AC49438DA44508501D8A1D1F6EF14"/>
                  <wp:cNvGraphicFramePr/>
                  <a:graphic xmlns:a="http://schemas.openxmlformats.org/drawingml/2006/main">
                    <a:graphicData uri="http://schemas.openxmlformats.org/drawingml/2006/picture">
                      <pic:pic xmlns:pic="http://schemas.openxmlformats.org/drawingml/2006/picture">
                        <pic:nvPicPr>
                          <pic:cNvPr id="731" name="ID_C24AC49438DA44508501D8A1D1F6EF14"/>
                          <pic:cNvPicPr/>
                        </pic:nvPicPr>
                        <pic:blipFill>
                          <a:blip r:embed="rId63"/>
                          <a:stretch>
                            <a:fillRect/>
                          </a:stretch>
                        </pic:blipFill>
                        <pic:spPr>
                          <a:xfrm>
                            <a:off x="0" y="0"/>
                            <a:ext cx="1007110" cy="520700"/>
                          </a:xfrm>
                          <a:prstGeom prst="rect">
                            <a:avLst/>
                          </a:prstGeom>
                          <a:noFill/>
                          <a:ln>
                            <a:noFill/>
                          </a:ln>
                        </pic:spPr>
                      </pic:pic>
                    </a:graphicData>
                  </a:graphic>
                </wp:anchor>
              </w:drawing>
            </w:r>
          </w:p>
        </w:tc>
      </w:tr>
      <w:tr w14:paraId="352B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655C44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9</w:t>
            </w:r>
          </w:p>
        </w:tc>
        <w:tc>
          <w:tcPr>
            <w:tcW w:w="1293" w:type="dxa"/>
            <w:vAlign w:val="center"/>
          </w:tcPr>
          <w:p w14:paraId="393CF1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i w:val="0"/>
                <w:iCs w:val="0"/>
                <w:color w:val="auto"/>
                <w:kern w:val="0"/>
                <w:sz w:val="21"/>
                <w:szCs w:val="21"/>
                <w:u w:val="none"/>
                <w:lang w:val="en-US" w:eastAsia="zh-CN" w:bidi="ar"/>
              </w:rPr>
              <w:t>积木</w:t>
            </w:r>
            <w:r>
              <w:rPr>
                <w:rFonts w:hint="eastAsia" w:ascii="宋体" w:hAnsi="宋体" w:eastAsia="宋体" w:cs="宋体"/>
                <w:i w:val="0"/>
                <w:iCs w:val="0"/>
                <w:color w:val="auto"/>
                <w:kern w:val="0"/>
                <w:sz w:val="21"/>
                <w:szCs w:val="21"/>
                <w:u w:val="none"/>
                <w:lang w:val="en-US" w:eastAsia="zh-CN" w:bidi="ar"/>
              </w:rPr>
              <w:t>墙</w:t>
            </w:r>
          </w:p>
        </w:tc>
        <w:tc>
          <w:tcPr>
            <w:tcW w:w="8697" w:type="dxa"/>
            <w:vAlign w:val="center"/>
          </w:tcPr>
          <w:p w14:paraId="3EF07A3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规格：长554*17*180cm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底板材质：包含塑料底板，塑料积木，材质 ：ABS 环保塑料，100%安全无毒，颜色艳丽，耐光照不褪色，抗压耐磨，光滑不伤手 。木质收纳盒，主体材质桦木多层板，正面带有机玻璃，产品外表面和内表面以及儿童手指可触及处无毛刺及尖锐的棱角，保护幼儿安全。</w:t>
            </w:r>
          </w:p>
        </w:tc>
        <w:tc>
          <w:tcPr>
            <w:tcW w:w="840" w:type="dxa"/>
            <w:vAlign w:val="center"/>
          </w:tcPr>
          <w:p w14:paraId="3901F3D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029877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0D6CDD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15240</wp:posOffset>
                  </wp:positionH>
                  <wp:positionV relativeFrom="paragraph">
                    <wp:posOffset>13970</wp:posOffset>
                  </wp:positionV>
                  <wp:extent cx="939800" cy="389890"/>
                  <wp:effectExtent l="0" t="0" r="5080" b="6350"/>
                  <wp:wrapNone/>
                  <wp:docPr id="733" name="ID_2F7F4414547548A8AF59E78CB6EAEA27"/>
                  <wp:cNvGraphicFramePr/>
                  <a:graphic xmlns:a="http://schemas.openxmlformats.org/drawingml/2006/main">
                    <a:graphicData uri="http://schemas.openxmlformats.org/drawingml/2006/picture">
                      <pic:pic xmlns:pic="http://schemas.openxmlformats.org/drawingml/2006/picture">
                        <pic:nvPicPr>
                          <pic:cNvPr id="733" name="ID_2F7F4414547548A8AF59E78CB6EAEA27"/>
                          <pic:cNvPicPr/>
                        </pic:nvPicPr>
                        <pic:blipFill>
                          <a:blip r:embed="rId64"/>
                          <a:stretch>
                            <a:fillRect/>
                          </a:stretch>
                        </pic:blipFill>
                        <pic:spPr>
                          <a:xfrm>
                            <a:off x="0" y="0"/>
                            <a:ext cx="939800" cy="389890"/>
                          </a:xfrm>
                          <a:prstGeom prst="rect">
                            <a:avLst/>
                          </a:prstGeom>
                          <a:noFill/>
                          <a:ln>
                            <a:noFill/>
                          </a:ln>
                        </pic:spPr>
                      </pic:pic>
                    </a:graphicData>
                  </a:graphic>
                </wp:anchor>
              </w:drawing>
            </w:r>
          </w:p>
        </w:tc>
      </w:tr>
      <w:tr w14:paraId="2F0D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664" w:type="dxa"/>
            <w:vAlign w:val="center"/>
          </w:tcPr>
          <w:p w14:paraId="7272007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10</w:t>
            </w:r>
          </w:p>
        </w:tc>
        <w:tc>
          <w:tcPr>
            <w:tcW w:w="1293" w:type="dxa"/>
            <w:vAlign w:val="center"/>
          </w:tcPr>
          <w:p w14:paraId="7E12CF2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fldChar w:fldCharType="begin"/>
            </w:r>
            <w:r>
              <w:rPr>
                <w:rFonts w:hint="eastAsia" w:ascii="宋体" w:hAnsi="宋体" w:eastAsia="宋体" w:cs="宋体"/>
                <w:i w:val="0"/>
                <w:iCs w:val="0"/>
                <w:color w:val="auto"/>
                <w:kern w:val="0"/>
                <w:sz w:val="21"/>
                <w:szCs w:val="21"/>
                <w:u w:val="none"/>
                <w:lang w:val="en-US" w:eastAsia="zh-CN" w:bidi="ar"/>
              </w:rPr>
              <w:instrText xml:space="preserve"> HYPERLINK "" \l "砖筑大师红砖系列!A1" </w:instrText>
            </w:r>
            <w:r>
              <w:rPr>
                <w:rFonts w:hint="eastAsia" w:ascii="宋体" w:hAnsi="宋体" w:eastAsia="宋体" w:cs="宋体"/>
                <w:i w:val="0"/>
                <w:iCs w:val="0"/>
                <w:color w:val="auto"/>
                <w:kern w:val="0"/>
                <w:sz w:val="21"/>
                <w:szCs w:val="21"/>
                <w:u w:val="none"/>
                <w:lang w:val="en-US" w:eastAsia="zh-CN" w:bidi="ar"/>
              </w:rPr>
              <w:fldChar w:fldCharType="separate"/>
            </w:r>
            <w:r>
              <w:rPr>
                <w:rStyle w:val="26"/>
                <w:rFonts w:hint="eastAsia" w:ascii="宋体" w:hAnsi="宋体" w:eastAsia="宋体" w:cs="宋体"/>
                <w:i w:val="0"/>
                <w:iCs w:val="0"/>
                <w:color w:val="auto"/>
                <w:sz w:val="21"/>
                <w:szCs w:val="21"/>
                <w:u w:val="none"/>
              </w:rPr>
              <w:t>红砖系列</w:t>
            </w:r>
            <w:r>
              <w:rPr>
                <w:rFonts w:hint="eastAsia" w:ascii="宋体" w:hAnsi="宋体" w:eastAsia="宋体" w:cs="宋体"/>
                <w:i w:val="0"/>
                <w:iCs w:val="0"/>
                <w:color w:val="auto"/>
                <w:kern w:val="0"/>
                <w:sz w:val="21"/>
                <w:szCs w:val="21"/>
                <w:u w:val="none"/>
                <w:lang w:val="en-US" w:eastAsia="zh-CN" w:bidi="ar"/>
              </w:rPr>
              <w:fldChar w:fldCharType="end"/>
            </w:r>
          </w:p>
        </w:tc>
        <w:tc>
          <w:tcPr>
            <w:tcW w:w="8697" w:type="dxa"/>
            <w:vAlign w:val="center"/>
          </w:tcPr>
          <w:p w14:paraId="3E38511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①标准版件数: 1505件</w:t>
            </w:r>
          </w:p>
        </w:tc>
        <w:tc>
          <w:tcPr>
            <w:tcW w:w="840" w:type="dxa"/>
            <w:vAlign w:val="center"/>
          </w:tcPr>
          <w:p w14:paraId="74A2859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7563A9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5A41B1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39370</wp:posOffset>
                  </wp:positionH>
                  <wp:positionV relativeFrom="paragraph">
                    <wp:posOffset>30480</wp:posOffset>
                  </wp:positionV>
                  <wp:extent cx="665480" cy="332105"/>
                  <wp:effectExtent l="0" t="0" r="5080" b="3175"/>
                  <wp:wrapNone/>
                  <wp:docPr id="735" name="ID_934725A299EB4E6586E9D85770C170EA"/>
                  <wp:cNvGraphicFramePr/>
                  <a:graphic xmlns:a="http://schemas.openxmlformats.org/drawingml/2006/main">
                    <a:graphicData uri="http://schemas.openxmlformats.org/drawingml/2006/picture">
                      <pic:pic xmlns:pic="http://schemas.openxmlformats.org/drawingml/2006/picture">
                        <pic:nvPicPr>
                          <pic:cNvPr id="735" name="ID_934725A299EB4E6586E9D85770C170EA"/>
                          <pic:cNvPicPr/>
                        </pic:nvPicPr>
                        <pic:blipFill>
                          <a:blip r:embed="rId65"/>
                          <a:stretch>
                            <a:fillRect/>
                          </a:stretch>
                        </pic:blipFill>
                        <pic:spPr>
                          <a:xfrm>
                            <a:off x="0" y="0"/>
                            <a:ext cx="665480" cy="332105"/>
                          </a:xfrm>
                          <a:prstGeom prst="rect">
                            <a:avLst/>
                          </a:prstGeom>
                          <a:noFill/>
                          <a:ln>
                            <a:noFill/>
                          </a:ln>
                        </pic:spPr>
                      </pic:pic>
                    </a:graphicData>
                  </a:graphic>
                </wp:anchor>
              </w:drawing>
            </w:r>
          </w:p>
        </w:tc>
      </w:tr>
      <w:tr w14:paraId="741C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64" w:type="dxa"/>
            <w:vAlign w:val="center"/>
          </w:tcPr>
          <w:p w14:paraId="13EBEEA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11</w:t>
            </w:r>
          </w:p>
        </w:tc>
        <w:tc>
          <w:tcPr>
            <w:tcW w:w="1293" w:type="dxa"/>
            <w:vAlign w:val="center"/>
          </w:tcPr>
          <w:p w14:paraId="7AF568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积木</w:t>
            </w:r>
          </w:p>
        </w:tc>
        <w:tc>
          <w:tcPr>
            <w:tcW w:w="8697" w:type="dxa"/>
            <w:vAlign w:val="center"/>
          </w:tcPr>
          <w:p w14:paraId="30BB962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569片高阶版</w:t>
            </w:r>
          </w:p>
        </w:tc>
        <w:tc>
          <w:tcPr>
            <w:tcW w:w="840" w:type="dxa"/>
            <w:vAlign w:val="center"/>
          </w:tcPr>
          <w:p w14:paraId="1F8952F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428A3A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A0A89A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39370</wp:posOffset>
                  </wp:positionH>
                  <wp:positionV relativeFrom="paragraph">
                    <wp:posOffset>38735</wp:posOffset>
                  </wp:positionV>
                  <wp:extent cx="719455" cy="333375"/>
                  <wp:effectExtent l="0" t="0" r="12065" b="1905"/>
                  <wp:wrapNone/>
                  <wp:docPr id="737" name="ID_EBED886A9701426EBF0D0A0946B75428"/>
                  <wp:cNvGraphicFramePr/>
                  <a:graphic xmlns:a="http://schemas.openxmlformats.org/drawingml/2006/main">
                    <a:graphicData uri="http://schemas.openxmlformats.org/drawingml/2006/picture">
                      <pic:pic xmlns:pic="http://schemas.openxmlformats.org/drawingml/2006/picture">
                        <pic:nvPicPr>
                          <pic:cNvPr id="737" name="ID_EBED886A9701426EBF0D0A0946B75428"/>
                          <pic:cNvPicPr/>
                        </pic:nvPicPr>
                        <pic:blipFill>
                          <a:blip r:embed="rId66"/>
                          <a:stretch>
                            <a:fillRect/>
                          </a:stretch>
                        </pic:blipFill>
                        <pic:spPr>
                          <a:xfrm>
                            <a:off x="0" y="0"/>
                            <a:ext cx="719455" cy="333375"/>
                          </a:xfrm>
                          <a:prstGeom prst="rect">
                            <a:avLst/>
                          </a:prstGeom>
                          <a:noFill/>
                          <a:ln>
                            <a:noFill/>
                          </a:ln>
                        </pic:spPr>
                      </pic:pic>
                    </a:graphicData>
                  </a:graphic>
                </wp:anchor>
              </w:drawing>
            </w:r>
          </w:p>
        </w:tc>
      </w:tr>
      <w:tr w14:paraId="1147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4A93A389">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阅读室</w:t>
            </w:r>
          </w:p>
        </w:tc>
      </w:tr>
      <w:tr w14:paraId="7398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C41344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5C6FA69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沙发组合</w:t>
            </w:r>
          </w:p>
        </w:tc>
        <w:tc>
          <w:tcPr>
            <w:tcW w:w="8697" w:type="dxa"/>
            <w:vAlign w:val="center"/>
          </w:tcPr>
          <w:p w14:paraId="591AC8F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1.规格：单人：60*44*52cm/2张，双人：106*44*52cm/1张，茶几：70*50*48cm/1套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2.材质：茶几：采用橡胶木，沙发：坐面麻布+高密度海绵，沙发脚采用橡木结实牢固，底部带有防滑垫。材质稳定，不易变形、含水率和甲醛释放量符合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3.麻布：材质耐磨损，不起球，吸汗透气，其断裂强力、撕破强力、起球、色牢度、甲醛含量（游离甲醛）、纤维含量等符合GB/T 19817-2005《纺织品装饰用织物》标准要求；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4.海绵：海绵的25%压陷硬度、75%压缩永久变形、回弹率、拉伸强度、伸长率、撕裂强度、干热老化后拉伸强度、干热老化后拉伸强度变化率、湿热老化后拉伸强度、湿热老化后拉伸强度变化率符合</w:t>
            </w:r>
            <w:r>
              <w:rPr>
                <w:rFonts w:hint="eastAsia" w:ascii="宋体" w:hAnsi="宋体" w:eastAsia="宋体" w:cs="宋体"/>
                <w:i w:val="0"/>
                <w:iCs w:val="0"/>
                <w:color w:val="auto"/>
                <w:kern w:val="0"/>
                <w:sz w:val="21"/>
                <w:szCs w:val="21"/>
                <w:u w:val="none"/>
                <w:lang w:val="en-US" w:eastAsia="zh-CN" w:bidi="ar"/>
              </w:rPr>
              <w:t>GB/T 10802-2023</w:t>
            </w:r>
            <w:r>
              <w:rPr>
                <w:rFonts w:hint="eastAsia" w:ascii="宋体" w:hAnsi="宋体" w:eastAsia="宋体" w:cs="宋体"/>
                <w:i w:val="0"/>
                <w:iCs w:val="0"/>
                <w:color w:val="auto"/>
                <w:kern w:val="0"/>
                <w:sz w:val="21"/>
                <w:szCs w:val="21"/>
                <w:u w:val="none"/>
                <w:lang w:val="en-US" w:eastAsia="zh-CN" w:bidi="ar"/>
              </w:rPr>
              <w:t>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7.产品：产品边角安全圆角处理，能减少磕碰的意外，外观要求、理化性能要求、结构安全、有害物质限量（可迁移元素、甲醛释放量等）、力学性能、警示标识等符合GB 28007-2011《儿童家具通用技术条件》标准要求；；</w:t>
            </w:r>
          </w:p>
        </w:tc>
        <w:tc>
          <w:tcPr>
            <w:tcW w:w="840" w:type="dxa"/>
            <w:vAlign w:val="center"/>
          </w:tcPr>
          <w:p w14:paraId="2F8E6C9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BF9B39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3D7A97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-60325</wp:posOffset>
                  </wp:positionH>
                  <wp:positionV relativeFrom="paragraph">
                    <wp:posOffset>-170815</wp:posOffset>
                  </wp:positionV>
                  <wp:extent cx="1015365" cy="587375"/>
                  <wp:effectExtent l="0" t="0" r="5715" b="6985"/>
                  <wp:wrapNone/>
                  <wp:docPr id="739" name="ID_DCBAFC8C6D8246FCB510342E19126180"/>
                  <wp:cNvGraphicFramePr/>
                  <a:graphic xmlns:a="http://schemas.openxmlformats.org/drawingml/2006/main">
                    <a:graphicData uri="http://schemas.openxmlformats.org/drawingml/2006/picture">
                      <pic:pic xmlns:pic="http://schemas.openxmlformats.org/drawingml/2006/picture">
                        <pic:nvPicPr>
                          <pic:cNvPr id="739" name="ID_DCBAFC8C6D8246FCB510342E19126180"/>
                          <pic:cNvPicPr/>
                        </pic:nvPicPr>
                        <pic:blipFill>
                          <a:blip r:embed="rId67"/>
                          <a:stretch>
                            <a:fillRect/>
                          </a:stretch>
                        </pic:blipFill>
                        <pic:spPr>
                          <a:xfrm>
                            <a:off x="0" y="0"/>
                            <a:ext cx="1015365" cy="587375"/>
                          </a:xfrm>
                          <a:prstGeom prst="rect">
                            <a:avLst/>
                          </a:prstGeom>
                          <a:noFill/>
                          <a:ln>
                            <a:noFill/>
                          </a:ln>
                        </pic:spPr>
                      </pic:pic>
                    </a:graphicData>
                  </a:graphic>
                </wp:anchor>
              </w:drawing>
            </w:r>
          </w:p>
        </w:tc>
      </w:tr>
      <w:tr w14:paraId="1CCE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8F54E1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4744043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三层收纳柜</w:t>
            </w:r>
          </w:p>
        </w:tc>
        <w:tc>
          <w:tcPr>
            <w:tcW w:w="8697" w:type="dxa"/>
            <w:vAlign w:val="center"/>
          </w:tcPr>
          <w:p w14:paraId="5528E21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其中内径高15.9cm，宽86.4cm厚度1.8cm；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27EFEFD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0D08D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4F15C83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-40005</wp:posOffset>
                  </wp:positionH>
                  <wp:positionV relativeFrom="paragraph">
                    <wp:posOffset>50800</wp:posOffset>
                  </wp:positionV>
                  <wp:extent cx="995045" cy="919480"/>
                  <wp:effectExtent l="0" t="0" r="10795" b="10160"/>
                  <wp:wrapNone/>
                  <wp:docPr id="741" name="ID_B4FABC0F1B304AAA93A35F69E1165B75"/>
                  <wp:cNvGraphicFramePr/>
                  <a:graphic xmlns:a="http://schemas.openxmlformats.org/drawingml/2006/main">
                    <a:graphicData uri="http://schemas.openxmlformats.org/drawingml/2006/picture">
                      <pic:pic xmlns:pic="http://schemas.openxmlformats.org/drawingml/2006/picture">
                        <pic:nvPicPr>
                          <pic:cNvPr id="741" name="ID_B4FABC0F1B304AAA93A35F69E1165B75"/>
                          <pic:cNvPicPr/>
                        </pic:nvPicPr>
                        <pic:blipFill>
                          <a:blip r:embed="rId68"/>
                          <a:stretch>
                            <a:fillRect/>
                          </a:stretch>
                        </pic:blipFill>
                        <pic:spPr>
                          <a:xfrm>
                            <a:off x="0" y="0"/>
                            <a:ext cx="995045" cy="919480"/>
                          </a:xfrm>
                          <a:prstGeom prst="rect">
                            <a:avLst/>
                          </a:prstGeom>
                          <a:noFill/>
                          <a:ln>
                            <a:noFill/>
                          </a:ln>
                        </pic:spPr>
                      </pic:pic>
                    </a:graphicData>
                  </a:graphic>
                </wp:anchor>
              </w:drawing>
            </w:r>
          </w:p>
        </w:tc>
      </w:tr>
      <w:tr w14:paraId="6114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0" w:hRule="atLeast"/>
        </w:trPr>
        <w:tc>
          <w:tcPr>
            <w:tcW w:w="664" w:type="dxa"/>
            <w:vAlign w:val="center"/>
          </w:tcPr>
          <w:p w14:paraId="62CAF9E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2D5C269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阅读桌</w:t>
            </w:r>
          </w:p>
        </w:tc>
        <w:tc>
          <w:tcPr>
            <w:tcW w:w="8697" w:type="dxa"/>
            <w:vAlign w:val="center"/>
          </w:tcPr>
          <w:p w14:paraId="1E817DF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1.规格：110*80*70cm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2.材质：桌面采用厚度1.8cm双面无结橡胶木指接板；橡胶木材质稳定，不易变形、含水率和甲醛释放量符合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09CCF13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083900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77227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-42545</wp:posOffset>
                  </wp:positionH>
                  <wp:positionV relativeFrom="paragraph">
                    <wp:posOffset>304800</wp:posOffset>
                  </wp:positionV>
                  <wp:extent cx="964565" cy="782955"/>
                  <wp:effectExtent l="0" t="0" r="10795" b="9525"/>
                  <wp:wrapNone/>
                  <wp:docPr id="743" name="ID_C2A7CAE8B73A466E8D1FA4A17E065ED1"/>
                  <wp:cNvGraphicFramePr/>
                  <a:graphic xmlns:a="http://schemas.openxmlformats.org/drawingml/2006/main">
                    <a:graphicData uri="http://schemas.openxmlformats.org/drawingml/2006/picture">
                      <pic:pic xmlns:pic="http://schemas.openxmlformats.org/drawingml/2006/picture">
                        <pic:nvPicPr>
                          <pic:cNvPr id="743" name="ID_C2A7CAE8B73A466E8D1FA4A17E065ED1"/>
                          <pic:cNvPicPr/>
                        </pic:nvPicPr>
                        <pic:blipFill>
                          <a:blip r:embed="rId69"/>
                          <a:stretch>
                            <a:fillRect/>
                          </a:stretch>
                        </pic:blipFill>
                        <pic:spPr>
                          <a:xfrm>
                            <a:off x="0" y="0"/>
                            <a:ext cx="964565" cy="782955"/>
                          </a:xfrm>
                          <a:prstGeom prst="rect">
                            <a:avLst/>
                          </a:prstGeom>
                          <a:noFill/>
                          <a:ln>
                            <a:noFill/>
                          </a:ln>
                        </pic:spPr>
                      </pic:pic>
                    </a:graphicData>
                  </a:graphic>
                </wp:anchor>
              </w:drawing>
            </w:r>
          </w:p>
        </w:tc>
      </w:tr>
      <w:tr w14:paraId="12D4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6DAB17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w:t>
            </w:r>
          </w:p>
        </w:tc>
        <w:tc>
          <w:tcPr>
            <w:tcW w:w="1293" w:type="dxa"/>
            <w:vAlign w:val="center"/>
          </w:tcPr>
          <w:p w14:paraId="1F49CC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阅读凳</w:t>
            </w:r>
          </w:p>
        </w:tc>
        <w:tc>
          <w:tcPr>
            <w:tcW w:w="8697" w:type="dxa"/>
            <w:vAlign w:val="center"/>
          </w:tcPr>
          <w:p w14:paraId="23B7693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1.规格：30*30*30cm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5.产品：产品边角安全圆角处理，能减少磕碰的意外，外观要求、理化性能要求、结构安全、有害物质限量（可迁移元素、甲醛释放量等）、力学性能、警示标识等符合GB 28007-2011《儿童家具通用技术条件》标准要求；</w:t>
            </w:r>
          </w:p>
        </w:tc>
        <w:tc>
          <w:tcPr>
            <w:tcW w:w="840" w:type="dxa"/>
            <w:vAlign w:val="center"/>
          </w:tcPr>
          <w:p w14:paraId="056D42E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48B72FE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151BA5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-7620</wp:posOffset>
                  </wp:positionH>
                  <wp:positionV relativeFrom="paragraph">
                    <wp:posOffset>311785</wp:posOffset>
                  </wp:positionV>
                  <wp:extent cx="929640" cy="781685"/>
                  <wp:effectExtent l="0" t="0" r="0" b="10795"/>
                  <wp:wrapNone/>
                  <wp:docPr id="745" name="ID_00ABB2356DDC414D9FE7DC88AA56BEB9"/>
                  <wp:cNvGraphicFramePr/>
                  <a:graphic xmlns:a="http://schemas.openxmlformats.org/drawingml/2006/main">
                    <a:graphicData uri="http://schemas.openxmlformats.org/drawingml/2006/picture">
                      <pic:pic xmlns:pic="http://schemas.openxmlformats.org/drawingml/2006/picture">
                        <pic:nvPicPr>
                          <pic:cNvPr id="745" name="ID_00ABB2356DDC414D9FE7DC88AA56BEB9"/>
                          <pic:cNvPicPr/>
                        </pic:nvPicPr>
                        <pic:blipFill>
                          <a:blip r:embed="rId70"/>
                          <a:stretch>
                            <a:fillRect/>
                          </a:stretch>
                        </pic:blipFill>
                        <pic:spPr>
                          <a:xfrm>
                            <a:off x="0" y="0"/>
                            <a:ext cx="929640" cy="781685"/>
                          </a:xfrm>
                          <a:prstGeom prst="rect">
                            <a:avLst/>
                          </a:prstGeom>
                          <a:noFill/>
                          <a:ln>
                            <a:noFill/>
                          </a:ln>
                        </pic:spPr>
                      </pic:pic>
                    </a:graphicData>
                  </a:graphic>
                </wp:anchor>
              </w:drawing>
            </w:r>
          </w:p>
        </w:tc>
      </w:tr>
      <w:tr w14:paraId="0121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86ADEB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5</w:t>
            </w:r>
          </w:p>
        </w:tc>
        <w:tc>
          <w:tcPr>
            <w:tcW w:w="1293" w:type="dxa"/>
            <w:vAlign w:val="center"/>
          </w:tcPr>
          <w:p w14:paraId="6FF0DBF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双层柜</w:t>
            </w:r>
          </w:p>
        </w:tc>
        <w:tc>
          <w:tcPr>
            <w:tcW w:w="8697" w:type="dxa"/>
            <w:vAlign w:val="center"/>
          </w:tcPr>
          <w:p w14:paraId="26F0F2C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1.规格:148*20*60cm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柜体两侧边板留有开孔，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6883821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3AE00E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D2EE28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-27940</wp:posOffset>
                  </wp:positionH>
                  <wp:positionV relativeFrom="paragraph">
                    <wp:posOffset>-242570</wp:posOffset>
                  </wp:positionV>
                  <wp:extent cx="855345" cy="919480"/>
                  <wp:effectExtent l="0" t="0" r="13335" b="10160"/>
                  <wp:wrapNone/>
                  <wp:docPr id="747" name="ID_C033604B103245DE8A11980432D86FBF"/>
                  <wp:cNvGraphicFramePr/>
                  <a:graphic xmlns:a="http://schemas.openxmlformats.org/drawingml/2006/main">
                    <a:graphicData uri="http://schemas.openxmlformats.org/drawingml/2006/picture">
                      <pic:pic xmlns:pic="http://schemas.openxmlformats.org/drawingml/2006/picture">
                        <pic:nvPicPr>
                          <pic:cNvPr id="747" name="ID_C033604B103245DE8A11980432D86FBF"/>
                          <pic:cNvPicPr/>
                        </pic:nvPicPr>
                        <pic:blipFill>
                          <a:blip r:embed="rId71"/>
                          <a:stretch>
                            <a:fillRect/>
                          </a:stretch>
                        </pic:blipFill>
                        <pic:spPr>
                          <a:xfrm>
                            <a:off x="0" y="0"/>
                            <a:ext cx="855345" cy="919480"/>
                          </a:xfrm>
                          <a:prstGeom prst="rect">
                            <a:avLst/>
                          </a:prstGeom>
                          <a:noFill/>
                          <a:ln>
                            <a:noFill/>
                          </a:ln>
                        </pic:spPr>
                      </pic:pic>
                    </a:graphicData>
                  </a:graphic>
                </wp:anchor>
              </w:drawing>
            </w:r>
          </w:p>
        </w:tc>
      </w:tr>
      <w:tr w14:paraId="20AB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2EA1A3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6</w:t>
            </w:r>
          </w:p>
        </w:tc>
        <w:tc>
          <w:tcPr>
            <w:tcW w:w="1293" w:type="dxa"/>
            <w:vAlign w:val="center"/>
          </w:tcPr>
          <w:p w14:paraId="48F66D4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汽车组合</w:t>
            </w:r>
          </w:p>
        </w:tc>
        <w:tc>
          <w:tcPr>
            <w:tcW w:w="8697" w:type="dxa"/>
            <w:vAlign w:val="center"/>
          </w:tcPr>
          <w:p w14:paraId="0110ECB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1.规格4件套其中：a:60*33*80cm；b:90*30*80cm；c:80*30*80cm；d:40*30*80cm；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2.材质：采用厚度1.8cm桦木多层板，桦木多层板材质稳定，抗菌、防霉，不易变形、含水率和甲醛释放量符合GB/T3324-2017和GB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6595110</wp:posOffset>
                  </wp:positionH>
                  <wp:positionV relativeFrom="paragraph">
                    <wp:posOffset>300990</wp:posOffset>
                  </wp:positionV>
                  <wp:extent cx="1061085" cy="645160"/>
                  <wp:effectExtent l="0" t="0" r="5715" b="10160"/>
                  <wp:wrapNone/>
                  <wp:docPr id="749" name="ID_95E5CAFFFABD4AB1A9C1073FCA34E3BE"/>
                  <wp:cNvGraphicFramePr/>
                  <a:graphic xmlns:a="http://schemas.openxmlformats.org/drawingml/2006/main">
                    <a:graphicData uri="http://schemas.openxmlformats.org/drawingml/2006/picture">
                      <pic:pic xmlns:pic="http://schemas.openxmlformats.org/drawingml/2006/picture">
                        <pic:nvPicPr>
                          <pic:cNvPr id="749" name="ID_95E5CAFFFABD4AB1A9C1073FCA34E3BE"/>
                          <pic:cNvPicPr/>
                        </pic:nvPicPr>
                        <pic:blipFill>
                          <a:blip r:embed="rId72"/>
                          <a:stretch>
                            <a:fillRect/>
                          </a:stretch>
                        </pic:blipFill>
                        <pic:spPr>
                          <a:xfrm>
                            <a:off x="0" y="0"/>
                            <a:ext cx="1061085" cy="645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39655C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39860B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806232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339C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CB9FFA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7</w:t>
            </w:r>
          </w:p>
        </w:tc>
        <w:tc>
          <w:tcPr>
            <w:tcW w:w="1293" w:type="dxa"/>
            <w:vAlign w:val="center"/>
          </w:tcPr>
          <w:p w14:paraId="418207B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阅读柜</w:t>
            </w:r>
          </w:p>
        </w:tc>
        <w:tc>
          <w:tcPr>
            <w:tcW w:w="8697" w:type="dxa"/>
            <w:vAlign w:val="center"/>
          </w:tcPr>
          <w:p w14:paraId="3AB6ED0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1.规格：90*30*48cm；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3.产品：坐面规格86*29.5*30cm为软包海绵与麻布相结合，柔软舒适，带2个抽屉规格42*28*18cm。产品外观要求、理化性能要求、结构安全、有害物质限量（可迁移元素、甲醛释放量等）、力学性能、警示标识等符合GB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4884149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D157CA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F81651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-11430</wp:posOffset>
                  </wp:positionH>
                  <wp:positionV relativeFrom="paragraph">
                    <wp:posOffset>527050</wp:posOffset>
                  </wp:positionV>
                  <wp:extent cx="1036320" cy="685800"/>
                  <wp:effectExtent l="0" t="0" r="0" b="0"/>
                  <wp:wrapNone/>
                  <wp:docPr id="751" name="ID_70E77D0EF0EC4477A3E515D6261FFF43"/>
                  <wp:cNvGraphicFramePr/>
                  <a:graphic xmlns:a="http://schemas.openxmlformats.org/drawingml/2006/main">
                    <a:graphicData uri="http://schemas.openxmlformats.org/drawingml/2006/picture">
                      <pic:pic xmlns:pic="http://schemas.openxmlformats.org/drawingml/2006/picture">
                        <pic:nvPicPr>
                          <pic:cNvPr id="751" name="ID_70E77D0EF0EC4477A3E515D6261FFF43"/>
                          <pic:cNvPicPr/>
                        </pic:nvPicPr>
                        <pic:blipFill>
                          <a:blip r:embed="rId73"/>
                          <a:stretch>
                            <a:fillRect/>
                          </a:stretch>
                        </pic:blipFill>
                        <pic:spPr>
                          <a:xfrm>
                            <a:off x="0" y="0"/>
                            <a:ext cx="1036320" cy="685800"/>
                          </a:xfrm>
                          <a:prstGeom prst="rect">
                            <a:avLst/>
                          </a:prstGeom>
                          <a:noFill/>
                          <a:ln>
                            <a:noFill/>
                          </a:ln>
                        </pic:spPr>
                      </pic:pic>
                    </a:graphicData>
                  </a:graphic>
                </wp:anchor>
              </w:drawing>
            </w:r>
          </w:p>
        </w:tc>
      </w:tr>
      <w:tr w14:paraId="331D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1EA7FB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8</w:t>
            </w:r>
          </w:p>
        </w:tc>
        <w:tc>
          <w:tcPr>
            <w:tcW w:w="1293" w:type="dxa"/>
            <w:vAlign w:val="center"/>
          </w:tcPr>
          <w:p w14:paraId="786E36F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造型书架B</w:t>
            </w:r>
          </w:p>
        </w:tc>
        <w:tc>
          <w:tcPr>
            <w:tcW w:w="8697" w:type="dxa"/>
            <w:vAlign w:val="center"/>
          </w:tcPr>
          <w:p w14:paraId="0F0CE5C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1.规格：90*30*95cm；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书架下层带有两个储物格和一个造型移动小书架（含四个带刹车万向轮），移动小书架尺寸不小于53*26*26cm,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5.连接件：书架面板跟侧板采用二合一连接件连接，其余部分采用木牙螺丝组装；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382F65D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DC96E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6ED1BE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-11430</wp:posOffset>
                  </wp:positionH>
                  <wp:positionV relativeFrom="paragraph">
                    <wp:posOffset>287655</wp:posOffset>
                  </wp:positionV>
                  <wp:extent cx="909320" cy="792480"/>
                  <wp:effectExtent l="0" t="0" r="5080" b="0"/>
                  <wp:wrapNone/>
                  <wp:docPr id="753" name="ID_26C9EE56D5A744D799087F4BC66E4D90"/>
                  <wp:cNvGraphicFramePr/>
                  <a:graphic xmlns:a="http://schemas.openxmlformats.org/drawingml/2006/main">
                    <a:graphicData uri="http://schemas.openxmlformats.org/drawingml/2006/picture">
                      <pic:pic xmlns:pic="http://schemas.openxmlformats.org/drawingml/2006/picture">
                        <pic:nvPicPr>
                          <pic:cNvPr id="753" name="ID_26C9EE56D5A744D799087F4BC66E4D90"/>
                          <pic:cNvPicPr/>
                        </pic:nvPicPr>
                        <pic:blipFill>
                          <a:blip r:embed="rId74"/>
                          <a:stretch>
                            <a:fillRect/>
                          </a:stretch>
                        </pic:blipFill>
                        <pic:spPr>
                          <a:xfrm>
                            <a:off x="0" y="0"/>
                            <a:ext cx="909320" cy="792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8853170</wp:posOffset>
                  </wp:positionH>
                  <wp:positionV relativeFrom="paragraph">
                    <wp:posOffset>4709795</wp:posOffset>
                  </wp:positionV>
                  <wp:extent cx="909320" cy="792480"/>
                  <wp:effectExtent l="0" t="0" r="5080" b="0"/>
                  <wp:wrapNone/>
                  <wp:docPr id="755" name="ID_26C9EE56D5A744D799087F4BC66E4D90"/>
                  <wp:cNvGraphicFramePr/>
                  <a:graphic xmlns:a="http://schemas.openxmlformats.org/drawingml/2006/main">
                    <a:graphicData uri="http://schemas.openxmlformats.org/drawingml/2006/picture">
                      <pic:pic xmlns:pic="http://schemas.openxmlformats.org/drawingml/2006/picture">
                        <pic:nvPicPr>
                          <pic:cNvPr id="755" name="ID_26C9EE56D5A744D799087F4BC66E4D90"/>
                          <pic:cNvPicPr/>
                        </pic:nvPicPr>
                        <pic:blipFill>
                          <a:blip r:embed="rId74"/>
                          <a:stretch>
                            <a:fillRect/>
                          </a:stretch>
                        </pic:blipFill>
                        <pic:spPr>
                          <a:xfrm>
                            <a:off x="0" y="0"/>
                            <a:ext cx="909320" cy="792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8700770</wp:posOffset>
                  </wp:positionH>
                  <wp:positionV relativeFrom="paragraph">
                    <wp:posOffset>4557395</wp:posOffset>
                  </wp:positionV>
                  <wp:extent cx="909320" cy="792480"/>
                  <wp:effectExtent l="0" t="0" r="5080" b="0"/>
                  <wp:wrapNone/>
                  <wp:docPr id="754" name="ID_26C9EE56D5A744D799087F4BC66E4D90"/>
                  <wp:cNvGraphicFramePr/>
                  <a:graphic xmlns:a="http://schemas.openxmlformats.org/drawingml/2006/main">
                    <a:graphicData uri="http://schemas.openxmlformats.org/drawingml/2006/picture">
                      <pic:pic xmlns:pic="http://schemas.openxmlformats.org/drawingml/2006/picture">
                        <pic:nvPicPr>
                          <pic:cNvPr id="754" name="ID_26C9EE56D5A744D799087F4BC66E4D90"/>
                          <pic:cNvPicPr/>
                        </pic:nvPicPr>
                        <pic:blipFill>
                          <a:blip r:embed="rId74"/>
                          <a:stretch>
                            <a:fillRect/>
                          </a:stretch>
                        </pic:blipFill>
                        <pic:spPr>
                          <a:xfrm>
                            <a:off x="0" y="0"/>
                            <a:ext cx="909320" cy="792480"/>
                          </a:xfrm>
                          <a:prstGeom prst="rect">
                            <a:avLst/>
                          </a:prstGeom>
                          <a:noFill/>
                          <a:ln>
                            <a:noFill/>
                          </a:ln>
                        </pic:spPr>
                      </pic:pic>
                    </a:graphicData>
                  </a:graphic>
                </wp:anchor>
              </w:drawing>
            </w:r>
          </w:p>
        </w:tc>
      </w:tr>
      <w:tr w14:paraId="65D9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4" w:type="dxa"/>
            <w:vAlign w:val="center"/>
          </w:tcPr>
          <w:p w14:paraId="5209258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9</w:t>
            </w:r>
          </w:p>
        </w:tc>
        <w:tc>
          <w:tcPr>
            <w:tcW w:w="1293" w:type="dxa"/>
            <w:vAlign w:val="center"/>
          </w:tcPr>
          <w:p w14:paraId="12E793F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小圆凳</w:t>
            </w:r>
          </w:p>
        </w:tc>
        <w:tc>
          <w:tcPr>
            <w:tcW w:w="8697" w:type="dxa"/>
            <w:vAlign w:val="center"/>
          </w:tcPr>
          <w:p w14:paraId="6DF3B89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单个规格为40*35*30cm，采用优质透气舒适棉麻，亲肤透气，内充优选高回弹海绵，久坐不变形，内含实木框架，压力平衡不测歪，承重性强。</w:t>
            </w:r>
          </w:p>
        </w:tc>
        <w:tc>
          <w:tcPr>
            <w:tcW w:w="840" w:type="dxa"/>
            <w:vAlign w:val="center"/>
          </w:tcPr>
          <w:p w14:paraId="5D34A69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147086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642690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128905</wp:posOffset>
                  </wp:positionH>
                  <wp:positionV relativeFrom="paragraph">
                    <wp:posOffset>71755</wp:posOffset>
                  </wp:positionV>
                  <wp:extent cx="526415" cy="414655"/>
                  <wp:effectExtent l="0" t="0" r="6985" b="12065"/>
                  <wp:wrapNone/>
                  <wp:docPr id="758" name="ID_B38F792C2D094536A8157E1ED9C4DA69"/>
                  <wp:cNvGraphicFramePr/>
                  <a:graphic xmlns:a="http://schemas.openxmlformats.org/drawingml/2006/main">
                    <a:graphicData uri="http://schemas.openxmlformats.org/drawingml/2006/picture">
                      <pic:pic xmlns:pic="http://schemas.openxmlformats.org/drawingml/2006/picture">
                        <pic:nvPicPr>
                          <pic:cNvPr id="758" name="ID_B38F792C2D094536A8157E1ED9C4DA69"/>
                          <pic:cNvPicPr/>
                        </pic:nvPicPr>
                        <pic:blipFill>
                          <a:blip r:embed="rId75"/>
                          <a:stretch>
                            <a:fillRect/>
                          </a:stretch>
                        </pic:blipFill>
                        <pic:spPr>
                          <a:xfrm>
                            <a:off x="0" y="0"/>
                            <a:ext cx="526415" cy="414655"/>
                          </a:xfrm>
                          <a:prstGeom prst="rect">
                            <a:avLst/>
                          </a:prstGeom>
                          <a:noFill/>
                          <a:ln>
                            <a:noFill/>
                          </a:ln>
                        </pic:spPr>
                      </pic:pic>
                    </a:graphicData>
                  </a:graphic>
                </wp:anchor>
              </w:drawing>
            </w:r>
          </w:p>
        </w:tc>
      </w:tr>
      <w:tr w14:paraId="4E41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64" w:type="dxa"/>
            <w:vAlign w:val="center"/>
          </w:tcPr>
          <w:p w14:paraId="000D2C3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10</w:t>
            </w:r>
          </w:p>
        </w:tc>
        <w:tc>
          <w:tcPr>
            <w:tcW w:w="1293" w:type="dxa"/>
            <w:vAlign w:val="center"/>
          </w:tcPr>
          <w:p w14:paraId="362C596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绿色蘑菇</w:t>
            </w:r>
          </w:p>
        </w:tc>
        <w:tc>
          <w:tcPr>
            <w:tcW w:w="8697" w:type="dxa"/>
            <w:vAlign w:val="center"/>
          </w:tcPr>
          <w:p w14:paraId="766D93B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规格50*50*26cm，采用优质皮革，内充优选高回弹海绵，久坐不变形，内含实木框架，压力平衡不测歪，承重性强。</w:t>
            </w:r>
          </w:p>
        </w:tc>
        <w:tc>
          <w:tcPr>
            <w:tcW w:w="840" w:type="dxa"/>
            <w:vAlign w:val="center"/>
          </w:tcPr>
          <w:p w14:paraId="70D2FD5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7F277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55DFC2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187960</wp:posOffset>
                  </wp:positionH>
                  <wp:positionV relativeFrom="paragraph">
                    <wp:posOffset>73025</wp:posOffset>
                  </wp:positionV>
                  <wp:extent cx="467360" cy="395605"/>
                  <wp:effectExtent l="0" t="0" r="5080" b="635"/>
                  <wp:wrapNone/>
                  <wp:docPr id="760" name="ID_82B4813614BA407AA0C7FED5394629C6"/>
                  <wp:cNvGraphicFramePr/>
                  <a:graphic xmlns:a="http://schemas.openxmlformats.org/drawingml/2006/main">
                    <a:graphicData uri="http://schemas.openxmlformats.org/drawingml/2006/picture">
                      <pic:pic xmlns:pic="http://schemas.openxmlformats.org/drawingml/2006/picture">
                        <pic:nvPicPr>
                          <pic:cNvPr id="760" name="ID_82B4813614BA407AA0C7FED5394629C6"/>
                          <pic:cNvPicPr/>
                        </pic:nvPicPr>
                        <pic:blipFill>
                          <a:blip r:embed="rId76"/>
                          <a:stretch>
                            <a:fillRect/>
                          </a:stretch>
                        </pic:blipFill>
                        <pic:spPr>
                          <a:xfrm>
                            <a:off x="0" y="0"/>
                            <a:ext cx="467360" cy="395605"/>
                          </a:xfrm>
                          <a:prstGeom prst="rect">
                            <a:avLst/>
                          </a:prstGeom>
                          <a:noFill/>
                          <a:ln>
                            <a:noFill/>
                          </a:ln>
                        </pic:spPr>
                      </pic:pic>
                    </a:graphicData>
                  </a:graphic>
                </wp:anchor>
              </w:drawing>
            </w:r>
          </w:p>
        </w:tc>
      </w:tr>
      <w:tr w14:paraId="4FFF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664" w:type="dxa"/>
            <w:vAlign w:val="center"/>
          </w:tcPr>
          <w:p w14:paraId="1B62A99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11</w:t>
            </w:r>
          </w:p>
        </w:tc>
        <w:tc>
          <w:tcPr>
            <w:tcW w:w="1293" w:type="dxa"/>
            <w:vAlign w:val="center"/>
          </w:tcPr>
          <w:p w14:paraId="40A4F6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圆形橙子</w:t>
            </w:r>
          </w:p>
        </w:tc>
        <w:tc>
          <w:tcPr>
            <w:tcW w:w="8697" w:type="dxa"/>
            <w:vAlign w:val="center"/>
          </w:tcPr>
          <w:p w14:paraId="0B17178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规格26*26cm，采用优质皮革，内充优选高回弹海绵，久坐不变形，内含实木框架，压力平衡不测歪，承重性强。</w:t>
            </w:r>
          </w:p>
        </w:tc>
        <w:tc>
          <w:tcPr>
            <w:tcW w:w="840" w:type="dxa"/>
            <w:vAlign w:val="center"/>
          </w:tcPr>
          <w:p w14:paraId="76B8F66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E47F9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F41C6A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187960</wp:posOffset>
                  </wp:positionH>
                  <wp:positionV relativeFrom="paragraph">
                    <wp:posOffset>74295</wp:posOffset>
                  </wp:positionV>
                  <wp:extent cx="386080" cy="348615"/>
                  <wp:effectExtent l="0" t="0" r="10160" b="1905"/>
                  <wp:wrapNone/>
                  <wp:docPr id="762" name="ID_3E96FC05AAFD45ACAC63422039492980"/>
                  <wp:cNvGraphicFramePr/>
                  <a:graphic xmlns:a="http://schemas.openxmlformats.org/drawingml/2006/main">
                    <a:graphicData uri="http://schemas.openxmlformats.org/drawingml/2006/picture">
                      <pic:pic xmlns:pic="http://schemas.openxmlformats.org/drawingml/2006/picture">
                        <pic:nvPicPr>
                          <pic:cNvPr id="762" name="ID_3E96FC05AAFD45ACAC63422039492980"/>
                          <pic:cNvPicPr/>
                        </pic:nvPicPr>
                        <pic:blipFill>
                          <a:blip r:embed="rId77"/>
                          <a:stretch>
                            <a:fillRect/>
                          </a:stretch>
                        </pic:blipFill>
                        <pic:spPr>
                          <a:xfrm>
                            <a:off x="0" y="0"/>
                            <a:ext cx="386080" cy="348615"/>
                          </a:xfrm>
                          <a:prstGeom prst="rect">
                            <a:avLst/>
                          </a:prstGeom>
                          <a:noFill/>
                          <a:ln>
                            <a:noFill/>
                          </a:ln>
                        </pic:spPr>
                      </pic:pic>
                    </a:graphicData>
                  </a:graphic>
                </wp:anchor>
              </w:drawing>
            </w:r>
          </w:p>
        </w:tc>
      </w:tr>
      <w:tr w14:paraId="5AE3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9B7507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20A5B6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阅读组合柜</w:t>
            </w:r>
          </w:p>
        </w:tc>
        <w:tc>
          <w:tcPr>
            <w:tcW w:w="8697" w:type="dxa"/>
            <w:vAlign w:val="center"/>
          </w:tcPr>
          <w:p w14:paraId="4B21C7A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1.规格：180*30*180cm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2.主体材质：采用桦木多层板，厚度1.8cm，桦木多层板材质稳定，抗菌、防霉，不易变形、含水率和甲醛释放量符合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50462B1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BFECBB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E8F312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37465</wp:posOffset>
                  </wp:positionH>
                  <wp:positionV relativeFrom="paragraph">
                    <wp:posOffset>462280</wp:posOffset>
                  </wp:positionV>
                  <wp:extent cx="820420" cy="955040"/>
                  <wp:effectExtent l="0" t="0" r="2540" b="5080"/>
                  <wp:wrapNone/>
                  <wp:docPr id="764" name="ID_B09E95E7BC274E9A800945AE6026212B"/>
                  <wp:cNvGraphicFramePr/>
                  <a:graphic xmlns:a="http://schemas.openxmlformats.org/drawingml/2006/main">
                    <a:graphicData uri="http://schemas.openxmlformats.org/drawingml/2006/picture">
                      <pic:pic xmlns:pic="http://schemas.openxmlformats.org/drawingml/2006/picture">
                        <pic:nvPicPr>
                          <pic:cNvPr id="764" name="ID_B09E95E7BC274E9A800945AE6026212B"/>
                          <pic:cNvPicPr/>
                        </pic:nvPicPr>
                        <pic:blipFill>
                          <a:blip r:embed="rId78"/>
                          <a:stretch>
                            <a:fillRect/>
                          </a:stretch>
                        </pic:blipFill>
                        <pic:spPr>
                          <a:xfrm>
                            <a:off x="0" y="0"/>
                            <a:ext cx="820420" cy="955040"/>
                          </a:xfrm>
                          <a:prstGeom prst="rect">
                            <a:avLst/>
                          </a:prstGeom>
                          <a:noFill/>
                          <a:ln>
                            <a:noFill/>
                          </a:ln>
                        </pic:spPr>
                      </pic:pic>
                    </a:graphicData>
                  </a:graphic>
                </wp:anchor>
              </w:drawing>
            </w:r>
          </w:p>
        </w:tc>
      </w:tr>
      <w:tr w14:paraId="5198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664" w:type="dxa"/>
            <w:vAlign w:val="center"/>
          </w:tcPr>
          <w:p w14:paraId="5EF3B80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42465E9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双窗帐篷（含垫子）</w:t>
            </w:r>
          </w:p>
        </w:tc>
        <w:tc>
          <w:tcPr>
            <w:tcW w:w="8697" w:type="dxa"/>
            <w:vAlign w:val="center"/>
          </w:tcPr>
          <w:p w14:paraId="32D0CEA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规格：120*120*165cm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材质：棉布、新西兰</w:t>
            </w:r>
          </w:p>
        </w:tc>
        <w:tc>
          <w:tcPr>
            <w:tcW w:w="840" w:type="dxa"/>
            <w:vAlign w:val="center"/>
          </w:tcPr>
          <w:p w14:paraId="44FAD9B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D2B468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957DC0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230505</wp:posOffset>
                  </wp:positionH>
                  <wp:positionV relativeFrom="paragraph">
                    <wp:posOffset>20320</wp:posOffset>
                  </wp:positionV>
                  <wp:extent cx="343535" cy="408940"/>
                  <wp:effectExtent l="0" t="0" r="6985" b="2540"/>
                  <wp:wrapNone/>
                  <wp:docPr id="766" name="ID_FC53ECE0B09245179FC0F161C789CDBF"/>
                  <wp:cNvGraphicFramePr/>
                  <a:graphic xmlns:a="http://schemas.openxmlformats.org/drawingml/2006/main">
                    <a:graphicData uri="http://schemas.openxmlformats.org/drawingml/2006/picture">
                      <pic:pic xmlns:pic="http://schemas.openxmlformats.org/drawingml/2006/picture">
                        <pic:nvPicPr>
                          <pic:cNvPr id="766" name="ID_FC53ECE0B09245179FC0F161C789CDBF"/>
                          <pic:cNvPicPr/>
                        </pic:nvPicPr>
                        <pic:blipFill>
                          <a:blip r:embed="rId79"/>
                          <a:stretch>
                            <a:fillRect/>
                          </a:stretch>
                        </pic:blipFill>
                        <pic:spPr>
                          <a:xfrm>
                            <a:off x="0" y="0"/>
                            <a:ext cx="343535" cy="408940"/>
                          </a:xfrm>
                          <a:prstGeom prst="rect">
                            <a:avLst/>
                          </a:prstGeom>
                          <a:noFill/>
                          <a:ln>
                            <a:noFill/>
                          </a:ln>
                        </pic:spPr>
                      </pic:pic>
                    </a:graphicData>
                  </a:graphic>
                </wp:anchor>
              </w:drawing>
            </w:r>
          </w:p>
        </w:tc>
      </w:tr>
      <w:tr w14:paraId="7427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9A5039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111C41F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造型桌</w:t>
            </w:r>
          </w:p>
        </w:tc>
        <w:tc>
          <w:tcPr>
            <w:tcW w:w="8697" w:type="dxa"/>
            <w:vAlign w:val="center"/>
          </w:tcPr>
          <w:p w14:paraId="1DB5241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1.规格：直径150*180cm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2.主体材质：采用桦木多层板，厚度1.8cm，桦木多层板材质稳定，抗菌、防霉，不易变形、含水率和甲醛释放量符合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117B5D8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13BE20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27DFD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8890</wp:posOffset>
                  </wp:positionH>
                  <wp:positionV relativeFrom="paragraph">
                    <wp:posOffset>135255</wp:posOffset>
                  </wp:positionV>
                  <wp:extent cx="803910" cy="961390"/>
                  <wp:effectExtent l="0" t="0" r="3810" b="13970"/>
                  <wp:wrapNone/>
                  <wp:docPr id="768" name="ID_E7A52AE7489A4E409A07885DFCD74F90"/>
                  <wp:cNvGraphicFramePr/>
                  <a:graphic xmlns:a="http://schemas.openxmlformats.org/drawingml/2006/main">
                    <a:graphicData uri="http://schemas.openxmlformats.org/drawingml/2006/picture">
                      <pic:pic xmlns:pic="http://schemas.openxmlformats.org/drawingml/2006/picture">
                        <pic:nvPicPr>
                          <pic:cNvPr id="768" name="ID_E7A52AE7489A4E409A07885DFCD74F90"/>
                          <pic:cNvPicPr/>
                        </pic:nvPicPr>
                        <pic:blipFill>
                          <a:blip r:embed="rId80"/>
                          <a:stretch>
                            <a:fillRect/>
                          </a:stretch>
                        </pic:blipFill>
                        <pic:spPr>
                          <a:xfrm>
                            <a:off x="0" y="0"/>
                            <a:ext cx="803910" cy="961390"/>
                          </a:xfrm>
                          <a:prstGeom prst="rect">
                            <a:avLst/>
                          </a:prstGeom>
                          <a:noFill/>
                          <a:ln>
                            <a:noFill/>
                          </a:ln>
                        </pic:spPr>
                      </pic:pic>
                    </a:graphicData>
                  </a:graphic>
                </wp:anchor>
              </w:drawing>
            </w:r>
          </w:p>
        </w:tc>
      </w:tr>
      <w:tr w14:paraId="3C88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5ACD1D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5FD5FDC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洞洞板</w:t>
            </w:r>
          </w:p>
        </w:tc>
        <w:tc>
          <w:tcPr>
            <w:tcW w:w="8697" w:type="dxa"/>
            <w:vAlign w:val="center"/>
          </w:tcPr>
          <w:p w14:paraId="325A697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1.规格：长90*100cm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2.主体材质：采用桦木多层板，厚度1.2cm，桦木多层板材质稳定，抗菌、防霉，不易变形、含水率和甲醛释放量符合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74EE479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CE877D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926C19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53340</wp:posOffset>
                  </wp:positionH>
                  <wp:positionV relativeFrom="paragraph">
                    <wp:posOffset>758825</wp:posOffset>
                  </wp:positionV>
                  <wp:extent cx="811530" cy="726440"/>
                  <wp:effectExtent l="0" t="0" r="11430" b="5080"/>
                  <wp:wrapNone/>
                  <wp:docPr id="770" name="ID_EB04CDFECBF8422BBA9AAD0E2C9EC922"/>
                  <wp:cNvGraphicFramePr/>
                  <a:graphic xmlns:a="http://schemas.openxmlformats.org/drawingml/2006/main">
                    <a:graphicData uri="http://schemas.openxmlformats.org/drawingml/2006/picture">
                      <pic:pic xmlns:pic="http://schemas.openxmlformats.org/drawingml/2006/picture">
                        <pic:nvPicPr>
                          <pic:cNvPr id="770" name="ID_EB04CDFECBF8422BBA9AAD0E2C9EC922"/>
                          <pic:cNvPicPr/>
                        </pic:nvPicPr>
                        <pic:blipFill>
                          <a:blip r:embed="rId81"/>
                          <a:stretch>
                            <a:fillRect/>
                          </a:stretch>
                        </pic:blipFill>
                        <pic:spPr>
                          <a:xfrm>
                            <a:off x="0" y="0"/>
                            <a:ext cx="811530" cy="726440"/>
                          </a:xfrm>
                          <a:prstGeom prst="rect">
                            <a:avLst/>
                          </a:prstGeom>
                          <a:noFill/>
                          <a:ln>
                            <a:noFill/>
                          </a:ln>
                        </pic:spPr>
                      </pic:pic>
                    </a:graphicData>
                  </a:graphic>
                </wp:anchor>
              </w:drawing>
            </w:r>
          </w:p>
        </w:tc>
      </w:tr>
      <w:tr w14:paraId="2124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448B34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3E64FAE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地台</w:t>
            </w:r>
          </w:p>
        </w:tc>
        <w:tc>
          <w:tcPr>
            <w:tcW w:w="8697" w:type="dxa"/>
            <w:vAlign w:val="center"/>
          </w:tcPr>
          <w:p w14:paraId="72DC02A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1.长3115mm宽2330mm高175mm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2.主体材质：采用桦木多层板，厚度1.8cm，桦木多层板材质稳定，抗菌、防霉，不易变形、含水率和甲醛释放量符合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5E804BC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0CE013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9C05A3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53340</wp:posOffset>
                  </wp:positionH>
                  <wp:positionV relativeFrom="paragraph">
                    <wp:posOffset>191770</wp:posOffset>
                  </wp:positionV>
                  <wp:extent cx="680085" cy="527050"/>
                  <wp:effectExtent l="0" t="0" r="5715" b="6350"/>
                  <wp:wrapNone/>
                  <wp:docPr id="772" name="ID_43011BA0CB37449BB56F368C26C840F4"/>
                  <wp:cNvGraphicFramePr/>
                  <a:graphic xmlns:a="http://schemas.openxmlformats.org/drawingml/2006/main">
                    <a:graphicData uri="http://schemas.openxmlformats.org/drawingml/2006/picture">
                      <pic:pic xmlns:pic="http://schemas.openxmlformats.org/drawingml/2006/picture">
                        <pic:nvPicPr>
                          <pic:cNvPr id="772" name="ID_43011BA0CB37449BB56F368C26C840F4"/>
                          <pic:cNvPicPr/>
                        </pic:nvPicPr>
                        <pic:blipFill>
                          <a:blip r:embed="rId82"/>
                          <a:stretch>
                            <a:fillRect/>
                          </a:stretch>
                        </pic:blipFill>
                        <pic:spPr>
                          <a:xfrm>
                            <a:off x="0" y="0"/>
                            <a:ext cx="680085" cy="527050"/>
                          </a:xfrm>
                          <a:prstGeom prst="rect">
                            <a:avLst/>
                          </a:prstGeom>
                          <a:noFill/>
                          <a:ln>
                            <a:noFill/>
                          </a:ln>
                        </pic:spPr>
                      </pic:pic>
                    </a:graphicData>
                  </a:graphic>
                </wp:anchor>
              </w:drawing>
            </w:r>
          </w:p>
        </w:tc>
      </w:tr>
      <w:tr w14:paraId="3BD1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ED2798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17</w:t>
            </w:r>
          </w:p>
        </w:tc>
        <w:tc>
          <w:tcPr>
            <w:tcW w:w="1293" w:type="dxa"/>
            <w:vAlign w:val="center"/>
          </w:tcPr>
          <w:p w14:paraId="6541C48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阅读定制桌</w:t>
            </w:r>
          </w:p>
        </w:tc>
        <w:tc>
          <w:tcPr>
            <w:tcW w:w="8697" w:type="dxa"/>
            <w:vAlign w:val="center"/>
          </w:tcPr>
          <w:p w14:paraId="54D2999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1.规格：136*55*54cm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2.主体材质：采用桦木多层板，厚度1.8cm，桦木多层板材质稳定，抗菌、防霉，不易变形、含水率和甲醛释放量符合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646CDCE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0DD9AC5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F0B1CF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188595</wp:posOffset>
                  </wp:positionH>
                  <wp:positionV relativeFrom="paragraph">
                    <wp:posOffset>75565</wp:posOffset>
                  </wp:positionV>
                  <wp:extent cx="697865" cy="500380"/>
                  <wp:effectExtent l="0" t="0" r="3175" b="2540"/>
                  <wp:wrapNone/>
                  <wp:docPr id="774" name="ID_EE4F233250A543FBA4F9710D44371F68"/>
                  <wp:cNvGraphicFramePr/>
                  <a:graphic xmlns:a="http://schemas.openxmlformats.org/drawingml/2006/main">
                    <a:graphicData uri="http://schemas.openxmlformats.org/drawingml/2006/picture">
                      <pic:pic xmlns:pic="http://schemas.openxmlformats.org/drawingml/2006/picture">
                        <pic:nvPicPr>
                          <pic:cNvPr id="774" name="ID_EE4F233250A543FBA4F9710D44371F68"/>
                          <pic:cNvPicPr/>
                        </pic:nvPicPr>
                        <pic:blipFill>
                          <a:blip r:embed="rId83"/>
                          <a:stretch>
                            <a:fillRect/>
                          </a:stretch>
                        </pic:blipFill>
                        <pic:spPr>
                          <a:xfrm>
                            <a:off x="0" y="0"/>
                            <a:ext cx="697865" cy="500380"/>
                          </a:xfrm>
                          <a:prstGeom prst="rect">
                            <a:avLst/>
                          </a:prstGeom>
                          <a:noFill/>
                          <a:ln>
                            <a:noFill/>
                          </a:ln>
                        </pic:spPr>
                      </pic:pic>
                    </a:graphicData>
                  </a:graphic>
                </wp:anchor>
              </w:drawing>
            </w:r>
          </w:p>
        </w:tc>
      </w:tr>
      <w:tr w14:paraId="5E66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4" w:hRule="atLeast"/>
        </w:trPr>
        <w:tc>
          <w:tcPr>
            <w:tcW w:w="664" w:type="dxa"/>
            <w:vAlign w:val="center"/>
          </w:tcPr>
          <w:p w14:paraId="0F87127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18</w:t>
            </w:r>
          </w:p>
        </w:tc>
        <w:tc>
          <w:tcPr>
            <w:tcW w:w="1293" w:type="dxa"/>
            <w:vAlign w:val="center"/>
          </w:tcPr>
          <w:p w14:paraId="7CA062A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阅读凳</w:t>
            </w:r>
          </w:p>
        </w:tc>
        <w:tc>
          <w:tcPr>
            <w:tcW w:w="8697" w:type="dxa"/>
            <w:vAlign w:val="center"/>
          </w:tcPr>
          <w:p w14:paraId="247298F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1.规格：30*30*30cm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5.产品：产品边角安全圆角处理，能减少磕碰的意外，外观要求、理化性能要求、结构安全、有害物质限量（可迁移元素、甲醛释放量等）、力学性能、警示标识等符合GB 28007-2011《儿童家具通用技术条件》标准要求；</w:t>
            </w:r>
          </w:p>
        </w:tc>
        <w:tc>
          <w:tcPr>
            <w:tcW w:w="840" w:type="dxa"/>
            <w:vAlign w:val="center"/>
          </w:tcPr>
          <w:p w14:paraId="340F273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38CDEC8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63284C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88265</wp:posOffset>
                  </wp:positionH>
                  <wp:positionV relativeFrom="paragraph">
                    <wp:posOffset>451485</wp:posOffset>
                  </wp:positionV>
                  <wp:extent cx="638810" cy="621030"/>
                  <wp:effectExtent l="0" t="0" r="1270" b="3810"/>
                  <wp:wrapNone/>
                  <wp:docPr id="776" name="ID_2E1E00B05FCF4936A1AFFAF1AD3184B4"/>
                  <wp:cNvGraphicFramePr/>
                  <a:graphic xmlns:a="http://schemas.openxmlformats.org/drawingml/2006/main">
                    <a:graphicData uri="http://schemas.openxmlformats.org/drawingml/2006/picture">
                      <pic:pic xmlns:pic="http://schemas.openxmlformats.org/drawingml/2006/picture">
                        <pic:nvPicPr>
                          <pic:cNvPr id="776" name="ID_2E1E00B05FCF4936A1AFFAF1AD3184B4"/>
                          <pic:cNvPicPr/>
                        </pic:nvPicPr>
                        <pic:blipFill>
                          <a:blip r:embed="rId84"/>
                          <a:stretch>
                            <a:fillRect/>
                          </a:stretch>
                        </pic:blipFill>
                        <pic:spPr>
                          <a:xfrm>
                            <a:off x="0" y="0"/>
                            <a:ext cx="638810" cy="621030"/>
                          </a:xfrm>
                          <a:prstGeom prst="rect">
                            <a:avLst/>
                          </a:prstGeom>
                          <a:noFill/>
                          <a:ln>
                            <a:noFill/>
                          </a:ln>
                        </pic:spPr>
                      </pic:pic>
                    </a:graphicData>
                  </a:graphic>
                </wp:anchor>
              </w:drawing>
            </w:r>
          </w:p>
        </w:tc>
      </w:tr>
      <w:tr w14:paraId="2E2F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1BE0AD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19</w:t>
            </w:r>
          </w:p>
        </w:tc>
        <w:tc>
          <w:tcPr>
            <w:tcW w:w="1293" w:type="dxa"/>
            <w:vAlign w:val="center"/>
          </w:tcPr>
          <w:p w14:paraId="299A44E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走梯</w:t>
            </w:r>
          </w:p>
        </w:tc>
        <w:tc>
          <w:tcPr>
            <w:tcW w:w="8697" w:type="dxa"/>
            <w:vAlign w:val="center"/>
          </w:tcPr>
          <w:p w14:paraId="5C105D2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1.规格：44*55*72cm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5DEC696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7FD3C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B2CA5F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88265</wp:posOffset>
                  </wp:positionH>
                  <wp:positionV relativeFrom="paragraph">
                    <wp:posOffset>485140</wp:posOffset>
                  </wp:positionV>
                  <wp:extent cx="598805" cy="963295"/>
                  <wp:effectExtent l="0" t="0" r="10795" b="12065"/>
                  <wp:wrapNone/>
                  <wp:docPr id="778" name="ID_FA9AC01C58364F219461D214751FC37D"/>
                  <wp:cNvGraphicFramePr/>
                  <a:graphic xmlns:a="http://schemas.openxmlformats.org/drawingml/2006/main">
                    <a:graphicData uri="http://schemas.openxmlformats.org/drawingml/2006/picture">
                      <pic:pic xmlns:pic="http://schemas.openxmlformats.org/drawingml/2006/picture">
                        <pic:nvPicPr>
                          <pic:cNvPr id="778" name="ID_FA9AC01C58364F219461D214751FC37D"/>
                          <pic:cNvPicPr/>
                        </pic:nvPicPr>
                        <pic:blipFill>
                          <a:blip r:embed="rId85"/>
                          <a:stretch>
                            <a:fillRect/>
                          </a:stretch>
                        </pic:blipFill>
                        <pic:spPr>
                          <a:xfrm>
                            <a:off x="0" y="0"/>
                            <a:ext cx="598805" cy="963295"/>
                          </a:xfrm>
                          <a:prstGeom prst="rect">
                            <a:avLst/>
                          </a:prstGeom>
                          <a:noFill/>
                          <a:ln>
                            <a:noFill/>
                          </a:ln>
                        </pic:spPr>
                      </pic:pic>
                    </a:graphicData>
                  </a:graphic>
                </wp:anchor>
              </w:drawing>
            </w:r>
          </w:p>
        </w:tc>
      </w:tr>
      <w:tr w14:paraId="7976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59016FC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美术+木工室</w:t>
            </w:r>
          </w:p>
        </w:tc>
      </w:tr>
      <w:tr w14:paraId="23DC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A02906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5F643B9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绘画装饰桌</w:t>
            </w:r>
          </w:p>
        </w:tc>
        <w:tc>
          <w:tcPr>
            <w:tcW w:w="8697" w:type="dxa"/>
            <w:vAlign w:val="center"/>
          </w:tcPr>
          <w:p w14:paraId="507660C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1.规格：φ150*54cm；4张/套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2.材质：桌面采用厚度1.8cm实木橡胶木饰面橡木纹，橡胶木材质稳定，不易变形、含水率和甲醛释放量符合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19BD6FF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1BC620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6EA80A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60325</wp:posOffset>
                  </wp:positionH>
                  <wp:positionV relativeFrom="paragraph">
                    <wp:posOffset>665480</wp:posOffset>
                  </wp:positionV>
                  <wp:extent cx="786765" cy="898525"/>
                  <wp:effectExtent l="0" t="0" r="5715" b="635"/>
                  <wp:wrapNone/>
                  <wp:docPr id="780" name="ID_EDEDF221AC3D4931814A27134C627975"/>
                  <wp:cNvGraphicFramePr/>
                  <a:graphic xmlns:a="http://schemas.openxmlformats.org/drawingml/2006/main">
                    <a:graphicData uri="http://schemas.openxmlformats.org/drawingml/2006/picture">
                      <pic:pic xmlns:pic="http://schemas.openxmlformats.org/drawingml/2006/picture">
                        <pic:nvPicPr>
                          <pic:cNvPr id="780" name="ID_EDEDF221AC3D4931814A27134C627975"/>
                          <pic:cNvPicPr/>
                        </pic:nvPicPr>
                        <pic:blipFill>
                          <a:blip r:embed="rId86"/>
                          <a:stretch>
                            <a:fillRect/>
                          </a:stretch>
                        </pic:blipFill>
                        <pic:spPr>
                          <a:xfrm>
                            <a:off x="0" y="0"/>
                            <a:ext cx="786765" cy="898525"/>
                          </a:xfrm>
                          <a:prstGeom prst="rect">
                            <a:avLst/>
                          </a:prstGeom>
                          <a:noFill/>
                          <a:ln>
                            <a:noFill/>
                          </a:ln>
                        </pic:spPr>
                      </pic:pic>
                    </a:graphicData>
                  </a:graphic>
                </wp:anchor>
              </w:drawing>
            </w:r>
          </w:p>
        </w:tc>
      </w:tr>
      <w:tr w14:paraId="2C71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664" w:type="dxa"/>
            <w:vAlign w:val="center"/>
          </w:tcPr>
          <w:p w14:paraId="30672BC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29E6FB5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树枝</w:t>
            </w:r>
          </w:p>
        </w:tc>
        <w:tc>
          <w:tcPr>
            <w:tcW w:w="8697" w:type="dxa"/>
            <w:vAlign w:val="center"/>
          </w:tcPr>
          <w:p w14:paraId="14D3467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材质：香樟木</w:t>
            </w:r>
          </w:p>
        </w:tc>
        <w:tc>
          <w:tcPr>
            <w:tcW w:w="840" w:type="dxa"/>
            <w:vAlign w:val="center"/>
          </w:tcPr>
          <w:p w14:paraId="3335697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颗</w:t>
            </w:r>
          </w:p>
        </w:tc>
        <w:tc>
          <w:tcPr>
            <w:tcW w:w="893" w:type="dxa"/>
            <w:vAlign w:val="center"/>
          </w:tcPr>
          <w:p w14:paraId="6D6DE97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269BC7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88265</wp:posOffset>
                  </wp:positionH>
                  <wp:positionV relativeFrom="paragraph">
                    <wp:posOffset>-1270</wp:posOffset>
                  </wp:positionV>
                  <wp:extent cx="428625" cy="373380"/>
                  <wp:effectExtent l="0" t="0" r="13335" b="7620"/>
                  <wp:wrapNone/>
                  <wp:docPr id="782" name="ID_F1AE3566D4D14B618D9AA0B940019A08"/>
                  <wp:cNvGraphicFramePr/>
                  <a:graphic xmlns:a="http://schemas.openxmlformats.org/drawingml/2006/main">
                    <a:graphicData uri="http://schemas.openxmlformats.org/drawingml/2006/picture">
                      <pic:pic xmlns:pic="http://schemas.openxmlformats.org/drawingml/2006/picture">
                        <pic:nvPicPr>
                          <pic:cNvPr id="782" name="ID_F1AE3566D4D14B618D9AA0B940019A08"/>
                          <pic:cNvPicPr/>
                        </pic:nvPicPr>
                        <pic:blipFill>
                          <a:blip r:embed="rId87"/>
                          <a:stretch>
                            <a:fillRect/>
                          </a:stretch>
                        </pic:blipFill>
                        <pic:spPr>
                          <a:xfrm>
                            <a:off x="0" y="0"/>
                            <a:ext cx="428625" cy="373380"/>
                          </a:xfrm>
                          <a:prstGeom prst="rect">
                            <a:avLst/>
                          </a:prstGeom>
                          <a:noFill/>
                          <a:ln>
                            <a:noFill/>
                          </a:ln>
                        </pic:spPr>
                      </pic:pic>
                    </a:graphicData>
                  </a:graphic>
                </wp:anchor>
              </w:drawing>
            </w:r>
          </w:p>
        </w:tc>
      </w:tr>
      <w:tr w14:paraId="05E8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31DA99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7B418A2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原木椅子</w:t>
            </w:r>
          </w:p>
        </w:tc>
        <w:tc>
          <w:tcPr>
            <w:tcW w:w="8697" w:type="dxa"/>
            <w:vAlign w:val="center"/>
          </w:tcPr>
          <w:p w14:paraId="49176B6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1.规格28*29*28cm；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2.材质：椅面采用厚度1.8cm双面无结橡胶木指接板，靠背及椅子腿采用实木橡胶木，橡胶木材质稳定，抗菌、防霉、不易变形、含水率和甲醛释放量符合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6711315</wp:posOffset>
                  </wp:positionH>
                  <wp:positionV relativeFrom="paragraph">
                    <wp:posOffset>360045</wp:posOffset>
                  </wp:positionV>
                  <wp:extent cx="692785" cy="757555"/>
                  <wp:effectExtent l="0" t="0" r="8255" b="4445"/>
                  <wp:wrapNone/>
                  <wp:docPr id="784" name="ID_8B183F17C964447F879DE5CAC2E96E32"/>
                  <wp:cNvGraphicFramePr/>
                  <a:graphic xmlns:a="http://schemas.openxmlformats.org/drawingml/2006/main">
                    <a:graphicData uri="http://schemas.openxmlformats.org/drawingml/2006/picture">
                      <pic:pic xmlns:pic="http://schemas.openxmlformats.org/drawingml/2006/picture">
                        <pic:nvPicPr>
                          <pic:cNvPr id="784" name="ID_8B183F17C964447F879DE5CAC2E96E32"/>
                          <pic:cNvPicPr/>
                        </pic:nvPicPr>
                        <pic:blipFill>
                          <a:blip r:embed="rId88"/>
                          <a:stretch>
                            <a:fillRect/>
                          </a:stretch>
                        </pic:blipFill>
                        <pic:spPr>
                          <a:xfrm>
                            <a:off x="0" y="0"/>
                            <a:ext cx="692785" cy="7575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靠背尺寸为23.5*1.8*8.5cm拆装式设计，椅子后脚5*2.2cm，前脚4*2.2cm，椅子四周小撑杆2*2cm，其中靠背及后脚均带弧形；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6.其他：椅子设计符合人体工程力学，充分结合人机功能学；设计美观舒适温馨；</w:t>
            </w:r>
          </w:p>
        </w:tc>
        <w:tc>
          <w:tcPr>
            <w:tcW w:w="840" w:type="dxa"/>
            <w:vAlign w:val="center"/>
          </w:tcPr>
          <w:p w14:paraId="3600F4D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6EE9A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32</w:t>
            </w:r>
          </w:p>
        </w:tc>
        <w:tc>
          <w:tcPr>
            <w:tcW w:w="1720" w:type="dxa"/>
            <w:vAlign w:val="center"/>
          </w:tcPr>
          <w:p w14:paraId="1A04404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p>
        </w:tc>
      </w:tr>
      <w:tr w14:paraId="20F9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BD5CDB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w:t>
            </w:r>
          </w:p>
        </w:tc>
        <w:tc>
          <w:tcPr>
            <w:tcW w:w="1293" w:type="dxa"/>
            <w:vAlign w:val="center"/>
          </w:tcPr>
          <w:p w14:paraId="54503B0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移助工具桌</w:t>
            </w:r>
          </w:p>
        </w:tc>
        <w:tc>
          <w:tcPr>
            <w:tcW w:w="8697" w:type="dxa"/>
            <w:vAlign w:val="center"/>
          </w:tcPr>
          <w:p w14:paraId="24CBB26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1.规格：150*60*60cm；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柜门采用铰链连接，表面经过处理，耐磨损，耐腐蚀性强符合国家相关标准要求；底部四边采用5公分万向轮。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7BA5A9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EF46B6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E86063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-8890</wp:posOffset>
                  </wp:positionH>
                  <wp:positionV relativeFrom="paragraph">
                    <wp:posOffset>441325</wp:posOffset>
                  </wp:positionV>
                  <wp:extent cx="979805" cy="717550"/>
                  <wp:effectExtent l="0" t="0" r="10795" b="13970"/>
                  <wp:wrapNone/>
                  <wp:docPr id="786" name="ID_D6F28F51BAC5484D870007CEA0BE0FDC"/>
                  <wp:cNvGraphicFramePr/>
                  <a:graphic xmlns:a="http://schemas.openxmlformats.org/drawingml/2006/main">
                    <a:graphicData uri="http://schemas.openxmlformats.org/drawingml/2006/picture">
                      <pic:pic xmlns:pic="http://schemas.openxmlformats.org/drawingml/2006/picture">
                        <pic:nvPicPr>
                          <pic:cNvPr id="786" name="ID_D6F28F51BAC5484D870007CEA0BE0FDC"/>
                          <pic:cNvPicPr/>
                        </pic:nvPicPr>
                        <pic:blipFill>
                          <a:blip r:embed="rId89"/>
                          <a:stretch>
                            <a:fillRect/>
                          </a:stretch>
                        </pic:blipFill>
                        <pic:spPr>
                          <a:xfrm>
                            <a:off x="0" y="0"/>
                            <a:ext cx="979805" cy="717550"/>
                          </a:xfrm>
                          <a:prstGeom prst="rect">
                            <a:avLst/>
                          </a:prstGeom>
                          <a:noFill/>
                          <a:ln>
                            <a:noFill/>
                          </a:ln>
                        </pic:spPr>
                      </pic:pic>
                    </a:graphicData>
                  </a:graphic>
                </wp:anchor>
              </w:drawing>
            </w:r>
          </w:p>
        </w:tc>
      </w:tr>
      <w:tr w14:paraId="19BB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3" w:hRule="atLeast"/>
        </w:trPr>
        <w:tc>
          <w:tcPr>
            <w:tcW w:w="664" w:type="dxa"/>
            <w:vAlign w:val="center"/>
          </w:tcPr>
          <w:p w14:paraId="082550C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5</w:t>
            </w:r>
          </w:p>
        </w:tc>
        <w:tc>
          <w:tcPr>
            <w:tcW w:w="1293" w:type="dxa"/>
            <w:vAlign w:val="center"/>
          </w:tcPr>
          <w:p w14:paraId="3811A96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木工桌（不含抽屉、工具）</w:t>
            </w:r>
          </w:p>
        </w:tc>
        <w:tc>
          <w:tcPr>
            <w:tcW w:w="8697" w:type="dxa"/>
            <w:vAlign w:val="center"/>
          </w:tcPr>
          <w:p w14:paraId="2F6A809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1.规格：120*60*55cm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2.材质：桌面采用厚度1.8cm双面无结橡胶木指接板，桌腿及边框采用实木橡胶木；橡胶木材质稳定，抗菌、防霉、不易变形、含水率和甲醛释放量符合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w:t>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6614160</wp:posOffset>
                  </wp:positionH>
                  <wp:positionV relativeFrom="paragraph">
                    <wp:posOffset>305435</wp:posOffset>
                  </wp:positionV>
                  <wp:extent cx="1006475" cy="954405"/>
                  <wp:effectExtent l="0" t="0" r="14605" b="5715"/>
                  <wp:wrapNone/>
                  <wp:docPr id="788" name="ID_72D70FCE368E4C5DB8F40BF2BDD1F061"/>
                  <wp:cNvGraphicFramePr/>
                  <a:graphic xmlns:a="http://schemas.openxmlformats.org/drawingml/2006/main">
                    <a:graphicData uri="http://schemas.openxmlformats.org/drawingml/2006/picture">
                      <pic:pic xmlns:pic="http://schemas.openxmlformats.org/drawingml/2006/picture">
                        <pic:nvPicPr>
                          <pic:cNvPr id="788" name="ID_72D70FCE368E4C5DB8F40BF2BDD1F061"/>
                          <pic:cNvPicPr/>
                        </pic:nvPicPr>
                        <pic:blipFill>
                          <a:blip r:embed="rId90"/>
                          <a:stretch>
                            <a:fillRect/>
                          </a:stretch>
                        </pic:blipFill>
                        <pic:spPr>
                          <a:xfrm>
                            <a:off x="0" y="0"/>
                            <a:ext cx="1006475" cy="95440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67FA32B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DD0F0A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91FAE8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p>
        </w:tc>
      </w:tr>
      <w:tr w14:paraId="6E9C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BB1C9F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6</w:t>
            </w:r>
          </w:p>
        </w:tc>
        <w:tc>
          <w:tcPr>
            <w:tcW w:w="1293" w:type="dxa"/>
            <w:vAlign w:val="center"/>
          </w:tcPr>
          <w:p w14:paraId="1E4F7D0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美术桌（不含桌面置物架 椅子）</w:t>
            </w:r>
          </w:p>
        </w:tc>
        <w:tc>
          <w:tcPr>
            <w:tcW w:w="8697" w:type="dxa"/>
            <w:vAlign w:val="center"/>
          </w:tcPr>
          <w:p w14:paraId="2D69F48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1.规格：240*65*54cm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458F2E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53B090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5EEB2B9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-10160</wp:posOffset>
                  </wp:positionH>
                  <wp:positionV relativeFrom="paragraph">
                    <wp:posOffset>27305</wp:posOffset>
                  </wp:positionV>
                  <wp:extent cx="956945" cy="695960"/>
                  <wp:effectExtent l="0" t="0" r="3175" b="5080"/>
                  <wp:wrapNone/>
                  <wp:docPr id="790" name="ID_55E09AA315414987BE2C996769D14DAD"/>
                  <wp:cNvGraphicFramePr/>
                  <a:graphic xmlns:a="http://schemas.openxmlformats.org/drawingml/2006/main">
                    <a:graphicData uri="http://schemas.openxmlformats.org/drawingml/2006/picture">
                      <pic:pic xmlns:pic="http://schemas.openxmlformats.org/drawingml/2006/picture">
                        <pic:nvPicPr>
                          <pic:cNvPr id="790" name="ID_55E09AA315414987BE2C996769D14DAD"/>
                          <pic:cNvPicPr/>
                        </pic:nvPicPr>
                        <pic:blipFill>
                          <a:blip r:embed="rId91"/>
                          <a:srcRect r="19327"/>
                          <a:stretch>
                            <a:fillRect/>
                          </a:stretch>
                        </pic:blipFill>
                        <pic:spPr>
                          <a:xfrm>
                            <a:off x="0" y="0"/>
                            <a:ext cx="956945" cy="695960"/>
                          </a:xfrm>
                          <a:prstGeom prst="rect">
                            <a:avLst/>
                          </a:prstGeom>
                          <a:noFill/>
                          <a:ln>
                            <a:noFill/>
                          </a:ln>
                        </pic:spPr>
                      </pic:pic>
                    </a:graphicData>
                  </a:graphic>
                </wp:anchor>
              </w:drawing>
            </w:r>
          </w:p>
        </w:tc>
      </w:tr>
      <w:tr w14:paraId="64C8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A8C93B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7</w:t>
            </w:r>
          </w:p>
        </w:tc>
        <w:tc>
          <w:tcPr>
            <w:tcW w:w="1293" w:type="dxa"/>
            <w:vAlign w:val="center"/>
          </w:tcPr>
          <w:p w14:paraId="7285CFF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推车</w:t>
            </w:r>
          </w:p>
        </w:tc>
        <w:tc>
          <w:tcPr>
            <w:tcW w:w="8697" w:type="dxa"/>
            <w:vAlign w:val="center"/>
          </w:tcPr>
          <w:p w14:paraId="35F571F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1.规格：80*35*70cm；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3.产品：采用框架式结构，中间三层间隔分布，其中每层间隔为30cm高；底部四边采用5公分万向轮。 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33227FA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25F42C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FFA6A1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27940</wp:posOffset>
                  </wp:positionH>
                  <wp:positionV relativeFrom="paragraph">
                    <wp:posOffset>-48895</wp:posOffset>
                  </wp:positionV>
                  <wp:extent cx="986790" cy="701040"/>
                  <wp:effectExtent l="0" t="0" r="3810" b="0"/>
                  <wp:wrapNone/>
                  <wp:docPr id="792" name="ID_1828FD4CD1634B4784318E66CE3BE8DB"/>
                  <wp:cNvGraphicFramePr/>
                  <a:graphic xmlns:a="http://schemas.openxmlformats.org/drawingml/2006/main">
                    <a:graphicData uri="http://schemas.openxmlformats.org/drawingml/2006/picture">
                      <pic:pic xmlns:pic="http://schemas.openxmlformats.org/drawingml/2006/picture">
                        <pic:nvPicPr>
                          <pic:cNvPr id="792" name="ID_1828FD4CD1634B4784318E66CE3BE8DB"/>
                          <pic:cNvPicPr/>
                        </pic:nvPicPr>
                        <pic:blipFill>
                          <a:blip r:embed="rId92"/>
                          <a:stretch>
                            <a:fillRect/>
                          </a:stretch>
                        </pic:blipFill>
                        <pic:spPr>
                          <a:xfrm>
                            <a:off x="0" y="0"/>
                            <a:ext cx="986790" cy="701040"/>
                          </a:xfrm>
                          <a:prstGeom prst="rect">
                            <a:avLst/>
                          </a:prstGeom>
                          <a:noFill/>
                          <a:ln>
                            <a:noFill/>
                          </a:ln>
                        </pic:spPr>
                      </pic:pic>
                    </a:graphicData>
                  </a:graphic>
                </wp:anchor>
              </w:drawing>
            </w:r>
          </w:p>
        </w:tc>
      </w:tr>
      <w:tr w14:paraId="21C4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33C17D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8</w:t>
            </w:r>
          </w:p>
        </w:tc>
        <w:tc>
          <w:tcPr>
            <w:tcW w:w="1293" w:type="dxa"/>
            <w:vAlign w:val="center"/>
          </w:tcPr>
          <w:p w14:paraId="72CE4E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原木美术收纳柜</w:t>
            </w:r>
          </w:p>
        </w:tc>
        <w:tc>
          <w:tcPr>
            <w:tcW w:w="8697" w:type="dxa"/>
            <w:vAlign w:val="center"/>
          </w:tcPr>
          <w:p w14:paraId="5B19382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1.规格:90*40*80cm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镂空的设计让幼儿从两面都可以及时拿到物品，不同层次的空间设计，便于放置多样物品；底部四边采用5公分万向轮。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1E69AFE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92EE77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04287D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27940</wp:posOffset>
                  </wp:positionH>
                  <wp:positionV relativeFrom="paragraph">
                    <wp:posOffset>218440</wp:posOffset>
                  </wp:positionV>
                  <wp:extent cx="879475" cy="833120"/>
                  <wp:effectExtent l="0" t="0" r="4445" b="5080"/>
                  <wp:wrapNone/>
                  <wp:docPr id="794" name="ID_8DFBD4DBED99417BB34F1218ADEFCB38"/>
                  <wp:cNvGraphicFramePr/>
                  <a:graphic xmlns:a="http://schemas.openxmlformats.org/drawingml/2006/main">
                    <a:graphicData uri="http://schemas.openxmlformats.org/drawingml/2006/picture">
                      <pic:pic xmlns:pic="http://schemas.openxmlformats.org/drawingml/2006/picture">
                        <pic:nvPicPr>
                          <pic:cNvPr id="794" name="ID_8DFBD4DBED99417BB34F1218ADEFCB38"/>
                          <pic:cNvPicPr/>
                        </pic:nvPicPr>
                        <pic:blipFill>
                          <a:blip r:embed="rId93"/>
                          <a:stretch>
                            <a:fillRect/>
                          </a:stretch>
                        </pic:blipFill>
                        <pic:spPr>
                          <a:xfrm>
                            <a:off x="0" y="0"/>
                            <a:ext cx="879475" cy="833120"/>
                          </a:xfrm>
                          <a:prstGeom prst="rect">
                            <a:avLst/>
                          </a:prstGeom>
                          <a:noFill/>
                          <a:ln>
                            <a:noFill/>
                          </a:ln>
                        </pic:spPr>
                      </pic:pic>
                    </a:graphicData>
                  </a:graphic>
                </wp:anchor>
              </w:drawing>
            </w:r>
          </w:p>
        </w:tc>
      </w:tr>
      <w:tr w14:paraId="507C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F05324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9</w:t>
            </w:r>
          </w:p>
        </w:tc>
        <w:tc>
          <w:tcPr>
            <w:tcW w:w="1293" w:type="dxa"/>
            <w:vAlign w:val="center"/>
          </w:tcPr>
          <w:p w14:paraId="726278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美术教室·美术展示柜</w:t>
            </w:r>
          </w:p>
        </w:tc>
        <w:tc>
          <w:tcPr>
            <w:tcW w:w="8697" w:type="dxa"/>
            <w:vAlign w:val="center"/>
          </w:tcPr>
          <w:p w14:paraId="2639EBC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1.单个1、规格：90*35*200cm；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74D266C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CD8EB7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6A1A75F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3175</wp:posOffset>
                  </wp:positionH>
                  <wp:positionV relativeFrom="paragraph">
                    <wp:posOffset>737235</wp:posOffset>
                  </wp:positionV>
                  <wp:extent cx="875030" cy="707390"/>
                  <wp:effectExtent l="0" t="0" r="8890" b="8890"/>
                  <wp:wrapNone/>
                  <wp:docPr id="796" name="ID_ED36F4BE793B450284FA5C2B0D939635"/>
                  <wp:cNvGraphicFramePr/>
                  <a:graphic xmlns:a="http://schemas.openxmlformats.org/drawingml/2006/main">
                    <a:graphicData uri="http://schemas.openxmlformats.org/drawingml/2006/picture">
                      <pic:pic xmlns:pic="http://schemas.openxmlformats.org/drawingml/2006/picture">
                        <pic:nvPicPr>
                          <pic:cNvPr id="796" name="ID_ED36F4BE793B450284FA5C2B0D939635"/>
                          <pic:cNvPicPr/>
                        </pic:nvPicPr>
                        <pic:blipFill>
                          <a:blip r:embed="rId94"/>
                          <a:stretch>
                            <a:fillRect/>
                          </a:stretch>
                        </pic:blipFill>
                        <pic:spPr>
                          <a:xfrm>
                            <a:off x="0" y="0"/>
                            <a:ext cx="875030" cy="707390"/>
                          </a:xfrm>
                          <a:prstGeom prst="rect">
                            <a:avLst/>
                          </a:prstGeom>
                          <a:noFill/>
                          <a:ln>
                            <a:noFill/>
                          </a:ln>
                        </pic:spPr>
                      </pic:pic>
                    </a:graphicData>
                  </a:graphic>
                </wp:anchor>
              </w:drawing>
            </w:r>
          </w:p>
        </w:tc>
      </w:tr>
      <w:tr w14:paraId="77C9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00AD41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10</w:t>
            </w:r>
          </w:p>
        </w:tc>
        <w:tc>
          <w:tcPr>
            <w:tcW w:w="1293" w:type="dxa"/>
            <w:vAlign w:val="center"/>
          </w:tcPr>
          <w:p w14:paraId="47B0BBA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三层高柜</w:t>
            </w:r>
          </w:p>
        </w:tc>
        <w:tc>
          <w:tcPr>
            <w:tcW w:w="8697" w:type="dxa"/>
            <w:vAlign w:val="center"/>
          </w:tcPr>
          <w:p w14:paraId="30B5471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1.规格：90*30*80cm；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2.材质：采用厚度1.8cm双面无结橡胶木指接板，橡胶木材质稳定，抗菌、防霉、不易变形、</w:t>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6650990</wp:posOffset>
                  </wp:positionH>
                  <wp:positionV relativeFrom="paragraph">
                    <wp:posOffset>429260</wp:posOffset>
                  </wp:positionV>
                  <wp:extent cx="975360" cy="989330"/>
                  <wp:effectExtent l="0" t="0" r="0" b="1270"/>
                  <wp:wrapNone/>
                  <wp:docPr id="798" name="ID_0C32D3E8016C452FBB81CE5717F722F0"/>
                  <wp:cNvGraphicFramePr/>
                  <a:graphic xmlns:a="http://schemas.openxmlformats.org/drawingml/2006/main">
                    <a:graphicData uri="http://schemas.openxmlformats.org/drawingml/2006/picture">
                      <pic:pic xmlns:pic="http://schemas.openxmlformats.org/drawingml/2006/picture">
                        <pic:nvPicPr>
                          <pic:cNvPr id="798" name="ID_0C32D3E8016C452FBB81CE5717F722F0"/>
                          <pic:cNvPicPr/>
                        </pic:nvPicPr>
                        <pic:blipFill>
                          <a:blip r:embed="rId95"/>
                          <a:stretch>
                            <a:fillRect/>
                          </a:stretch>
                        </pic:blipFill>
                        <pic:spPr>
                          <a:xfrm>
                            <a:off x="0" y="0"/>
                            <a:ext cx="975360" cy="98933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5.连接件：柜体面板跟侧板采用二合一连接件连接，其余部分采用木牙螺丝组装；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7.其他：保留原木色设计，让小朋友更加接近大自然，简约设计实用性强，视觉感更温馨；</w:t>
            </w:r>
          </w:p>
        </w:tc>
        <w:tc>
          <w:tcPr>
            <w:tcW w:w="840" w:type="dxa"/>
            <w:vAlign w:val="center"/>
          </w:tcPr>
          <w:p w14:paraId="3D41F11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CB117E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05A529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044E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3EDAA9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11</w:t>
            </w:r>
          </w:p>
        </w:tc>
        <w:tc>
          <w:tcPr>
            <w:tcW w:w="1293" w:type="dxa"/>
            <w:vAlign w:val="center"/>
          </w:tcPr>
          <w:p w14:paraId="550CBFA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美术桌</w:t>
            </w:r>
          </w:p>
        </w:tc>
        <w:tc>
          <w:tcPr>
            <w:tcW w:w="8697" w:type="dxa"/>
            <w:vAlign w:val="center"/>
          </w:tcPr>
          <w:p w14:paraId="27A2685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1.规格：120*100*55cm；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2.材质：采用厚度1.8cm双面无结橡胶木指接板，橡胶木材质稳定，不易变形、含水率和甲醛释放量符合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6EFD9C7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40B6F8F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C0C2F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27940</wp:posOffset>
                  </wp:positionH>
                  <wp:positionV relativeFrom="paragraph">
                    <wp:posOffset>504825</wp:posOffset>
                  </wp:positionV>
                  <wp:extent cx="702945" cy="502920"/>
                  <wp:effectExtent l="0" t="0" r="13335" b="0"/>
                  <wp:wrapNone/>
                  <wp:docPr id="800" name="ID_A7F7DA48E6584F6191E5FF60262DA2D0"/>
                  <wp:cNvGraphicFramePr/>
                  <a:graphic xmlns:a="http://schemas.openxmlformats.org/drawingml/2006/main">
                    <a:graphicData uri="http://schemas.openxmlformats.org/drawingml/2006/picture">
                      <pic:pic xmlns:pic="http://schemas.openxmlformats.org/drawingml/2006/picture">
                        <pic:nvPicPr>
                          <pic:cNvPr id="800" name="ID_A7F7DA48E6584F6191E5FF60262DA2D0"/>
                          <pic:cNvPicPr/>
                        </pic:nvPicPr>
                        <pic:blipFill>
                          <a:blip r:embed="rId96"/>
                          <a:stretch>
                            <a:fillRect/>
                          </a:stretch>
                        </pic:blipFill>
                        <pic:spPr>
                          <a:xfrm>
                            <a:off x="0" y="0"/>
                            <a:ext cx="702945" cy="502920"/>
                          </a:xfrm>
                          <a:prstGeom prst="rect">
                            <a:avLst/>
                          </a:prstGeom>
                          <a:noFill/>
                          <a:ln>
                            <a:noFill/>
                          </a:ln>
                        </pic:spPr>
                      </pic:pic>
                    </a:graphicData>
                  </a:graphic>
                </wp:anchor>
              </w:drawing>
            </w:r>
          </w:p>
        </w:tc>
      </w:tr>
      <w:tr w14:paraId="5BDE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5C8632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324D7A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美术桌(含置物架不含椅子)</w:t>
            </w:r>
          </w:p>
        </w:tc>
        <w:tc>
          <w:tcPr>
            <w:tcW w:w="8697" w:type="dxa"/>
            <w:vAlign w:val="center"/>
          </w:tcPr>
          <w:p w14:paraId="18C4D9F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1.规格：120*100*55cm；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2.材质：采用厚度1.8cm双面无结橡胶木指接板，桌面上置物架规格为100*20*60cm，桌脚6*6cm，橡胶木材质稳定，不易变形、含水率和甲醛释放量符合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1E188A1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3DDDF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E3455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27940</wp:posOffset>
                  </wp:positionH>
                  <wp:positionV relativeFrom="paragraph">
                    <wp:posOffset>237490</wp:posOffset>
                  </wp:positionV>
                  <wp:extent cx="713105" cy="562610"/>
                  <wp:effectExtent l="0" t="0" r="3175" b="1270"/>
                  <wp:wrapNone/>
                  <wp:docPr id="802" name="ID_084CF6BD6C874FC5A8BDD9CED706E311"/>
                  <wp:cNvGraphicFramePr/>
                  <a:graphic xmlns:a="http://schemas.openxmlformats.org/drawingml/2006/main">
                    <a:graphicData uri="http://schemas.openxmlformats.org/drawingml/2006/picture">
                      <pic:pic xmlns:pic="http://schemas.openxmlformats.org/drawingml/2006/picture">
                        <pic:nvPicPr>
                          <pic:cNvPr id="802" name="ID_084CF6BD6C874FC5A8BDD9CED706E311"/>
                          <pic:cNvPicPr/>
                        </pic:nvPicPr>
                        <pic:blipFill>
                          <a:blip r:embed="rId97"/>
                          <a:stretch>
                            <a:fillRect/>
                          </a:stretch>
                        </pic:blipFill>
                        <pic:spPr>
                          <a:xfrm>
                            <a:off x="0" y="0"/>
                            <a:ext cx="713105" cy="562610"/>
                          </a:xfrm>
                          <a:prstGeom prst="rect">
                            <a:avLst/>
                          </a:prstGeom>
                          <a:noFill/>
                          <a:ln>
                            <a:noFill/>
                          </a:ln>
                        </pic:spPr>
                      </pic:pic>
                    </a:graphicData>
                  </a:graphic>
                </wp:anchor>
              </w:drawing>
            </w:r>
          </w:p>
        </w:tc>
      </w:tr>
      <w:tr w14:paraId="6691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2E7CEF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0A44E88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洞洞板组合柜</w:t>
            </w:r>
          </w:p>
        </w:tc>
        <w:tc>
          <w:tcPr>
            <w:tcW w:w="8697" w:type="dxa"/>
            <w:vAlign w:val="center"/>
          </w:tcPr>
          <w:p w14:paraId="6F004FA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1.规格：244*45*180cm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2.主体材质：采用桦木多层板，厚度1.8cm，洞洞板采用1.2cm，桦木多层板材质稳定，抗菌、防霉，不易变形、含水率和甲醛释放量符合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1B497AD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951BFA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D9F648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-11430</wp:posOffset>
                  </wp:positionH>
                  <wp:positionV relativeFrom="paragraph">
                    <wp:posOffset>564515</wp:posOffset>
                  </wp:positionV>
                  <wp:extent cx="854710" cy="793750"/>
                  <wp:effectExtent l="0" t="0" r="13970" b="13970"/>
                  <wp:wrapNone/>
                  <wp:docPr id="804" name="ID_705B8CCDC45C4161942D48FA8F83C4C1"/>
                  <wp:cNvGraphicFramePr/>
                  <a:graphic xmlns:a="http://schemas.openxmlformats.org/drawingml/2006/main">
                    <a:graphicData uri="http://schemas.openxmlformats.org/drawingml/2006/picture">
                      <pic:pic xmlns:pic="http://schemas.openxmlformats.org/drawingml/2006/picture">
                        <pic:nvPicPr>
                          <pic:cNvPr id="804" name="ID_705B8CCDC45C4161942D48FA8F83C4C1"/>
                          <pic:cNvPicPr/>
                        </pic:nvPicPr>
                        <pic:blipFill>
                          <a:blip r:embed="rId98"/>
                          <a:stretch>
                            <a:fillRect/>
                          </a:stretch>
                        </pic:blipFill>
                        <pic:spPr>
                          <a:xfrm>
                            <a:off x="0" y="0"/>
                            <a:ext cx="854710" cy="793750"/>
                          </a:xfrm>
                          <a:prstGeom prst="rect">
                            <a:avLst/>
                          </a:prstGeom>
                          <a:noFill/>
                          <a:ln>
                            <a:noFill/>
                          </a:ln>
                        </pic:spPr>
                      </pic:pic>
                    </a:graphicData>
                  </a:graphic>
                </wp:anchor>
              </w:drawing>
            </w:r>
          </w:p>
        </w:tc>
      </w:tr>
      <w:tr w14:paraId="1067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5FC4E0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01DB920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毛巾条</w:t>
            </w:r>
          </w:p>
        </w:tc>
        <w:tc>
          <w:tcPr>
            <w:tcW w:w="8697" w:type="dxa"/>
            <w:vAlign w:val="center"/>
          </w:tcPr>
          <w:p w14:paraId="70296AD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1.规格：长1m；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2.本产品为实木家具，木材采用橡胶木，厚度1.8cm，木质纹理细腻、牢固，甲醛释放量≤1.5mg/L，符合GB 18584-2001《室内装饰装修材料木家具中有害物质限量》甲醛释放量；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0024E31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根</w:t>
            </w:r>
          </w:p>
        </w:tc>
        <w:tc>
          <w:tcPr>
            <w:tcW w:w="893" w:type="dxa"/>
            <w:vAlign w:val="center"/>
          </w:tcPr>
          <w:p w14:paraId="3EEE1A9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1F2C94C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-11430</wp:posOffset>
                  </wp:positionH>
                  <wp:positionV relativeFrom="paragraph">
                    <wp:posOffset>413385</wp:posOffset>
                  </wp:positionV>
                  <wp:extent cx="888365" cy="702310"/>
                  <wp:effectExtent l="0" t="0" r="10795" b="13970"/>
                  <wp:wrapNone/>
                  <wp:docPr id="806" name="ID_3D579D0681AE47A7BF381DBF8CDB8A09"/>
                  <wp:cNvGraphicFramePr/>
                  <a:graphic xmlns:a="http://schemas.openxmlformats.org/drawingml/2006/main">
                    <a:graphicData uri="http://schemas.openxmlformats.org/drawingml/2006/picture">
                      <pic:pic xmlns:pic="http://schemas.openxmlformats.org/drawingml/2006/picture">
                        <pic:nvPicPr>
                          <pic:cNvPr id="806" name="ID_3D579D0681AE47A7BF381DBF8CDB8A09"/>
                          <pic:cNvPicPr/>
                        </pic:nvPicPr>
                        <pic:blipFill>
                          <a:blip r:embed="rId99"/>
                          <a:stretch>
                            <a:fillRect/>
                          </a:stretch>
                        </pic:blipFill>
                        <pic:spPr>
                          <a:xfrm>
                            <a:off x="0" y="0"/>
                            <a:ext cx="888365" cy="702310"/>
                          </a:xfrm>
                          <a:prstGeom prst="rect">
                            <a:avLst/>
                          </a:prstGeom>
                          <a:noFill/>
                          <a:ln>
                            <a:noFill/>
                          </a:ln>
                        </pic:spPr>
                      </pic:pic>
                    </a:graphicData>
                  </a:graphic>
                </wp:anchor>
              </w:drawing>
            </w:r>
          </w:p>
        </w:tc>
      </w:tr>
      <w:tr w14:paraId="06C0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B7869B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2E3D87A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洞洞板1</w:t>
            </w:r>
          </w:p>
        </w:tc>
        <w:tc>
          <w:tcPr>
            <w:tcW w:w="8697" w:type="dxa"/>
            <w:vAlign w:val="center"/>
          </w:tcPr>
          <w:p w14:paraId="3A2E01A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1.规格：240*60cm（含15根插棍）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2.材质：采用厚度1.2cm桦木多层板，桦木多层板木材质稳定，不易变形、含水率和甲醛释放量符合GB/T3324-2017和GB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6.其他：保留原木色设计，让小朋友更加接近大自然，简约设计实用性强，视觉感更温馨；</w:t>
            </w:r>
          </w:p>
        </w:tc>
        <w:tc>
          <w:tcPr>
            <w:tcW w:w="840" w:type="dxa"/>
            <w:vAlign w:val="center"/>
          </w:tcPr>
          <w:p w14:paraId="21ED167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AA0EF7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B8DE79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-11430</wp:posOffset>
                  </wp:positionH>
                  <wp:positionV relativeFrom="paragraph">
                    <wp:posOffset>306070</wp:posOffset>
                  </wp:positionV>
                  <wp:extent cx="988060" cy="386080"/>
                  <wp:effectExtent l="0" t="0" r="2540" b="10160"/>
                  <wp:wrapNone/>
                  <wp:docPr id="808" name="ID_066F2F3DB07044FF90E4F8DA0F1E4FB7"/>
                  <wp:cNvGraphicFramePr/>
                  <a:graphic xmlns:a="http://schemas.openxmlformats.org/drawingml/2006/main">
                    <a:graphicData uri="http://schemas.openxmlformats.org/drawingml/2006/picture">
                      <pic:pic xmlns:pic="http://schemas.openxmlformats.org/drawingml/2006/picture">
                        <pic:nvPicPr>
                          <pic:cNvPr id="808" name="ID_066F2F3DB07044FF90E4F8DA0F1E4FB7"/>
                          <pic:cNvPicPr/>
                        </pic:nvPicPr>
                        <pic:blipFill>
                          <a:blip r:embed="rId100"/>
                          <a:stretch>
                            <a:fillRect/>
                          </a:stretch>
                        </pic:blipFill>
                        <pic:spPr>
                          <a:xfrm>
                            <a:off x="0" y="0"/>
                            <a:ext cx="988060" cy="386080"/>
                          </a:xfrm>
                          <a:prstGeom prst="rect">
                            <a:avLst/>
                          </a:prstGeom>
                          <a:noFill/>
                          <a:ln>
                            <a:noFill/>
                          </a:ln>
                        </pic:spPr>
                      </pic:pic>
                    </a:graphicData>
                  </a:graphic>
                </wp:anchor>
              </w:drawing>
            </w:r>
          </w:p>
        </w:tc>
      </w:tr>
      <w:tr w14:paraId="11C1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930902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4D68F6D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洞洞板2</w:t>
            </w:r>
          </w:p>
        </w:tc>
        <w:tc>
          <w:tcPr>
            <w:tcW w:w="8697" w:type="dxa"/>
            <w:vAlign w:val="center"/>
          </w:tcPr>
          <w:p w14:paraId="01E6EF1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1.规格：550*320cm（含80根插棍）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2.材质：采用厚度1.2cm桦木多层板，桦木多层板木材质稳定，不易变形、含水率和甲醛释放量符合GB/T3324-2017和GB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6.其他：保留原木色设计，让小朋友更加接近大自然，简约设计实用性强，视觉感更温馨；</w:t>
            </w:r>
          </w:p>
        </w:tc>
        <w:tc>
          <w:tcPr>
            <w:tcW w:w="840" w:type="dxa"/>
            <w:vAlign w:val="center"/>
          </w:tcPr>
          <w:p w14:paraId="20F3B56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CED2C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5245CB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-11430</wp:posOffset>
                  </wp:positionH>
                  <wp:positionV relativeFrom="paragraph">
                    <wp:posOffset>502920</wp:posOffset>
                  </wp:positionV>
                  <wp:extent cx="948055" cy="534035"/>
                  <wp:effectExtent l="0" t="0" r="12065" b="14605"/>
                  <wp:wrapNone/>
                  <wp:docPr id="810" name="ID_F4B7EEDB14A647309AEA849F1BB91388"/>
                  <wp:cNvGraphicFramePr/>
                  <a:graphic xmlns:a="http://schemas.openxmlformats.org/drawingml/2006/main">
                    <a:graphicData uri="http://schemas.openxmlformats.org/drawingml/2006/picture">
                      <pic:pic xmlns:pic="http://schemas.openxmlformats.org/drawingml/2006/picture">
                        <pic:nvPicPr>
                          <pic:cNvPr id="810" name="ID_F4B7EEDB14A647309AEA849F1BB91388"/>
                          <pic:cNvPicPr/>
                        </pic:nvPicPr>
                        <pic:blipFill>
                          <a:blip r:embed="rId101"/>
                          <a:stretch>
                            <a:fillRect/>
                          </a:stretch>
                        </pic:blipFill>
                        <pic:spPr>
                          <a:xfrm>
                            <a:off x="0" y="0"/>
                            <a:ext cx="948055" cy="534035"/>
                          </a:xfrm>
                          <a:prstGeom prst="rect">
                            <a:avLst/>
                          </a:prstGeom>
                          <a:noFill/>
                          <a:ln>
                            <a:noFill/>
                          </a:ln>
                        </pic:spPr>
                      </pic:pic>
                    </a:graphicData>
                  </a:graphic>
                </wp:anchor>
              </w:drawing>
            </w:r>
          </w:p>
        </w:tc>
      </w:tr>
      <w:tr w14:paraId="75E9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66248896">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阅读角</w:t>
            </w:r>
          </w:p>
        </w:tc>
      </w:tr>
      <w:tr w14:paraId="76A0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9B3F82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w:t>
            </w:r>
          </w:p>
        </w:tc>
        <w:tc>
          <w:tcPr>
            <w:tcW w:w="1293" w:type="dxa"/>
            <w:vAlign w:val="center"/>
          </w:tcPr>
          <w:p w14:paraId="740052F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原木椅子</w:t>
            </w:r>
          </w:p>
        </w:tc>
        <w:tc>
          <w:tcPr>
            <w:tcW w:w="8697" w:type="dxa"/>
            <w:vAlign w:val="center"/>
          </w:tcPr>
          <w:p w14:paraId="7E3FEE9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1.规格28*29*28cm；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2.材质：椅面采用厚度1.8cm双面无结橡胶木指接板，靠背及椅子腿采用实木橡胶木，橡胶木材质稳定，抗菌、防霉、不易变形、含水率和甲醛释放量符合</w:t>
            </w:r>
            <w:r>
              <w:rPr>
                <w:rFonts w:hint="eastAsia" w:ascii="宋体" w:hAnsi="宋体" w:cs="宋体"/>
                <w:i w:val="0"/>
                <w:iCs w:val="0"/>
                <w:color w:val="auto"/>
                <w:kern w:val="0"/>
                <w:sz w:val="21"/>
                <w:szCs w:val="21"/>
                <w:u w:val="none"/>
                <w:lang w:val="en-US" w:eastAsia="zh-CN" w:bidi="ar"/>
              </w:rPr>
              <w:t>GB/T 3324-2024</w:t>
            </w:r>
            <w:r>
              <w:rPr>
                <w:rFonts w:hint="eastAsia" w:ascii="宋体" w:hAnsi="宋体" w:eastAsia="宋体" w:cs="宋体"/>
                <w:i w:val="0"/>
                <w:iCs w:val="0"/>
                <w:color w:val="auto"/>
                <w:kern w:val="0"/>
                <w:sz w:val="21"/>
                <w:szCs w:val="21"/>
                <w:u w:val="none"/>
                <w:lang w:val="en-US" w:eastAsia="zh-CN" w:bidi="ar"/>
              </w:rPr>
              <w:t>和GB 18584-2001</w:t>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6611620</wp:posOffset>
                  </wp:positionH>
                  <wp:positionV relativeFrom="paragraph">
                    <wp:posOffset>550545</wp:posOffset>
                  </wp:positionV>
                  <wp:extent cx="884555" cy="1075055"/>
                  <wp:effectExtent l="0" t="0" r="14605" b="6985"/>
                  <wp:wrapNone/>
                  <wp:docPr id="812" name="ID_272E6AED411448C49035D8DF7E73AC90"/>
                  <wp:cNvGraphicFramePr/>
                  <a:graphic xmlns:a="http://schemas.openxmlformats.org/drawingml/2006/main">
                    <a:graphicData uri="http://schemas.openxmlformats.org/drawingml/2006/picture">
                      <pic:pic xmlns:pic="http://schemas.openxmlformats.org/drawingml/2006/picture">
                        <pic:nvPicPr>
                          <pic:cNvPr id="812" name="ID_272E6AED411448C49035D8DF7E73AC90"/>
                          <pic:cNvPicPr/>
                        </pic:nvPicPr>
                        <pic:blipFill>
                          <a:blip r:embed="rId102"/>
                          <a:stretch>
                            <a:fillRect/>
                          </a:stretch>
                        </pic:blipFill>
                        <pic:spPr>
                          <a:xfrm>
                            <a:off x="0" y="0"/>
                            <a:ext cx="884555" cy="10750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4.螺丝：采用优质环保五金，稳固不松动，五金表面经防锈处理，耐磨损，抗腐蚀符合国家相关标准要求；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靠背尺寸为23.5*1.8*8.5cm拆装式设计，椅子后脚5*2.2cm，前脚4*2.2cm，椅子四周小撑杆2*2cm，其中靠背及后脚均带弧形；产品边角安全圆角处理，能减少磕碰的意外，外观要求、理化性能要求、结构安全、有害物质限量（可迁移元素、甲醛释放量等）、力学性能、警示标识等符合GB 28007-2011《儿童家具通用技术条件》标准要求；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6.其他：椅子设计符合人体工程力学，充分结合人机功能学；设计美观舒适温馨；</w:t>
            </w:r>
          </w:p>
        </w:tc>
        <w:tc>
          <w:tcPr>
            <w:tcW w:w="840" w:type="dxa"/>
            <w:vAlign w:val="center"/>
          </w:tcPr>
          <w:p w14:paraId="43D54BD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7DDBEAC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1FC070E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p>
        </w:tc>
      </w:tr>
      <w:tr w14:paraId="6227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6DF62E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0105ABC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异形桌</w:t>
            </w:r>
          </w:p>
        </w:tc>
        <w:tc>
          <w:tcPr>
            <w:tcW w:w="8697" w:type="dxa"/>
            <w:vAlign w:val="center"/>
          </w:tcPr>
          <w:p w14:paraId="527281F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1.规格：88*80*54cm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2.桌面采用2.4cm密度板白色烤漆，木质纹理细腻、牢固，甲醛释放量≤1.5mg/L，符合GB 18584-2001《室内装饰装修材料木家具中有害物质限量》甲醛释放量；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4.连接件：桌脚与桌面之间采用三角铁和防松螺母固定连接，安装简易，表面经防锈处理，耐磨损，抗腐蚀符合国家相关标准要求。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142C8DE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71FF3E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0061E1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-11430</wp:posOffset>
                  </wp:positionH>
                  <wp:positionV relativeFrom="paragraph">
                    <wp:posOffset>303530</wp:posOffset>
                  </wp:positionV>
                  <wp:extent cx="967105" cy="837565"/>
                  <wp:effectExtent l="0" t="0" r="8255" b="635"/>
                  <wp:wrapNone/>
                  <wp:docPr id="814" name="ID_D02E6D19265043A38336F6F783EA379D"/>
                  <wp:cNvGraphicFramePr/>
                  <a:graphic xmlns:a="http://schemas.openxmlformats.org/drawingml/2006/main">
                    <a:graphicData uri="http://schemas.openxmlformats.org/drawingml/2006/picture">
                      <pic:pic xmlns:pic="http://schemas.openxmlformats.org/drawingml/2006/picture">
                        <pic:nvPicPr>
                          <pic:cNvPr id="814" name="ID_D02E6D19265043A38336F6F783EA379D"/>
                          <pic:cNvPicPr/>
                        </pic:nvPicPr>
                        <pic:blipFill>
                          <a:blip r:embed="rId103"/>
                          <a:stretch>
                            <a:fillRect/>
                          </a:stretch>
                        </pic:blipFill>
                        <pic:spPr>
                          <a:xfrm>
                            <a:off x="0" y="0"/>
                            <a:ext cx="967105" cy="837565"/>
                          </a:xfrm>
                          <a:prstGeom prst="rect">
                            <a:avLst/>
                          </a:prstGeom>
                          <a:noFill/>
                          <a:ln>
                            <a:noFill/>
                          </a:ln>
                        </pic:spPr>
                      </pic:pic>
                    </a:graphicData>
                  </a:graphic>
                </wp:anchor>
              </w:drawing>
            </w:r>
          </w:p>
        </w:tc>
      </w:tr>
      <w:tr w14:paraId="496F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C21CF5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76B399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软包</w:t>
            </w:r>
          </w:p>
        </w:tc>
        <w:tc>
          <w:tcPr>
            <w:tcW w:w="8697" w:type="dxa"/>
            <w:vAlign w:val="center"/>
          </w:tcPr>
          <w:p w14:paraId="3A6207A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1.中间的直径90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76D6AB9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2533F0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A73963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97790</wp:posOffset>
                  </wp:positionH>
                  <wp:positionV relativeFrom="paragraph">
                    <wp:posOffset>128270</wp:posOffset>
                  </wp:positionV>
                  <wp:extent cx="574040" cy="457200"/>
                  <wp:effectExtent l="0" t="0" r="5080" b="0"/>
                  <wp:wrapNone/>
                  <wp:docPr id="816" name="ID_9FA41E6B703147CA8C9E8A922F30267A"/>
                  <wp:cNvGraphicFramePr/>
                  <a:graphic xmlns:a="http://schemas.openxmlformats.org/drawingml/2006/main">
                    <a:graphicData uri="http://schemas.openxmlformats.org/drawingml/2006/picture">
                      <pic:pic xmlns:pic="http://schemas.openxmlformats.org/drawingml/2006/picture">
                        <pic:nvPicPr>
                          <pic:cNvPr id="816" name="ID_9FA41E6B703147CA8C9E8A922F30267A"/>
                          <pic:cNvPicPr/>
                        </pic:nvPicPr>
                        <pic:blipFill>
                          <a:blip r:embed="rId104"/>
                          <a:stretch>
                            <a:fillRect/>
                          </a:stretch>
                        </pic:blipFill>
                        <pic:spPr>
                          <a:xfrm>
                            <a:off x="0" y="0"/>
                            <a:ext cx="574040" cy="457200"/>
                          </a:xfrm>
                          <a:prstGeom prst="rect">
                            <a:avLst/>
                          </a:prstGeom>
                          <a:noFill/>
                          <a:ln>
                            <a:noFill/>
                          </a:ln>
                        </pic:spPr>
                      </pic:pic>
                    </a:graphicData>
                  </a:graphic>
                </wp:anchor>
              </w:drawing>
            </w:r>
          </w:p>
        </w:tc>
      </w:tr>
      <w:tr w14:paraId="4221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1DE1D2C4">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资源教室</w:t>
            </w:r>
          </w:p>
        </w:tc>
      </w:tr>
      <w:tr w14:paraId="5E0E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0202B0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w:t>
            </w:r>
          </w:p>
        </w:tc>
        <w:tc>
          <w:tcPr>
            <w:tcW w:w="1293" w:type="dxa"/>
            <w:vAlign w:val="center"/>
          </w:tcPr>
          <w:p w14:paraId="5137C64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迷彩钻洞</w:t>
            </w:r>
          </w:p>
        </w:tc>
        <w:tc>
          <w:tcPr>
            <w:tcW w:w="8697" w:type="dxa"/>
            <w:vAlign w:val="center"/>
          </w:tcPr>
          <w:p w14:paraId="2C0DC74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1.规格：180*80*50cm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6720840</wp:posOffset>
                  </wp:positionH>
                  <wp:positionV relativeFrom="paragraph">
                    <wp:posOffset>26670</wp:posOffset>
                  </wp:positionV>
                  <wp:extent cx="692785" cy="462915"/>
                  <wp:effectExtent l="0" t="0" r="8255" b="9525"/>
                  <wp:wrapNone/>
                  <wp:docPr id="818" name="ID_F1DC3DFE19DD425C99073000264D8181"/>
                  <wp:cNvGraphicFramePr/>
                  <a:graphic xmlns:a="http://schemas.openxmlformats.org/drawingml/2006/main">
                    <a:graphicData uri="http://schemas.openxmlformats.org/drawingml/2006/picture">
                      <pic:pic xmlns:pic="http://schemas.openxmlformats.org/drawingml/2006/picture">
                        <pic:nvPicPr>
                          <pic:cNvPr id="818" name="ID_F1DC3DFE19DD425C99073000264D8181"/>
                          <pic:cNvPicPr/>
                        </pic:nvPicPr>
                        <pic:blipFill>
                          <a:blip r:embed="rId105"/>
                          <a:stretch>
                            <a:fillRect/>
                          </a:stretch>
                        </pic:blipFill>
                        <pic:spPr>
                          <a:xfrm>
                            <a:off x="0" y="0"/>
                            <a:ext cx="692785" cy="46291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2.材质：材质皮革+珍珠棉，内里包含木架子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662E58E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AE5823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30F5D8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p>
        </w:tc>
      </w:tr>
      <w:tr w14:paraId="1528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036607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w:t>
            </w:r>
          </w:p>
        </w:tc>
        <w:tc>
          <w:tcPr>
            <w:tcW w:w="1293" w:type="dxa"/>
            <w:vAlign w:val="center"/>
          </w:tcPr>
          <w:p w14:paraId="0FE01E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方形地垫</w:t>
            </w:r>
          </w:p>
        </w:tc>
        <w:tc>
          <w:tcPr>
            <w:tcW w:w="8697" w:type="dxa"/>
            <w:vAlign w:val="center"/>
          </w:tcPr>
          <w:p w14:paraId="25D5F23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1.规格：120*90cm；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1D212B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片</w:t>
            </w:r>
          </w:p>
        </w:tc>
        <w:tc>
          <w:tcPr>
            <w:tcW w:w="893" w:type="dxa"/>
            <w:vAlign w:val="center"/>
          </w:tcPr>
          <w:p w14:paraId="2E3AEAC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4BD6A69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27305</wp:posOffset>
                  </wp:positionH>
                  <wp:positionV relativeFrom="paragraph">
                    <wp:posOffset>86360</wp:posOffset>
                  </wp:positionV>
                  <wp:extent cx="941705" cy="492125"/>
                  <wp:effectExtent l="0" t="0" r="3175" b="10795"/>
                  <wp:wrapNone/>
                  <wp:docPr id="820" name="ID_E303E319D6864941B15D05C7292CADAC"/>
                  <wp:cNvGraphicFramePr/>
                  <a:graphic xmlns:a="http://schemas.openxmlformats.org/drawingml/2006/main">
                    <a:graphicData uri="http://schemas.openxmlformats.org/drawingml/2006/picture">
                      <pic:pic xmlns:pic="http://schemas.openxmlformats.org/drawingml/2006/picture">
                        <pic:nvPicPr>
                          <pic:cNvPr id="820" name="ID_E303E319D6864941B15D05C7292CADAC"/>
                          <pic:cNvPicPr/>
                        </pic:nvPicPr>
                        <pic:blipFill>
                          <a:blip r:embed="rId106"/>
                          <a:stretch>
                            <a:fillRect/>
                          </a:stretch>
                        </pic:blipFill>
                        <pic:spPr>
                          <a:xfrm>
                            <a:off x="0" y="0"/>
                            <a:ext cx="941705" cy="492125"/>
                          </a:xfrm>
                          <a:prstGeom prst="rect">
                            <a:avLst/>
                          </a:prstGeom>
                          <a:noFill/>
                          <a:ln>
                            <a:noFill/>
                          </a:ln>
                        </pic:spPr>
                      </pic:pic>
                    </a:graphicData>
                  </a:graphic>
                </wp:anchor>
              </w:drawing>
            </w:r>
          </w:p>
        </w:tc>
      </w:tr>
      <w:tr w14:paraId="23C9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B0E1436">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p w14:paraId="6C75726C">
            <w:pPr>
              <w:jc w:val="center"/>
              <w:rPr>
                <w:rFonts w:hint="eastAsia" w:ascii="宋体" w:hAnsi="宋体" w:eastAsia="宋体" w:cs="宋体"/>
                <w:b/>
                <w:color w:val="auto"/>
                <w:kern w:val="2"/>
                <w:sz w:val="21"/>
                <w:szCs w:val="21"/>
                <w:vertAlign w:val="baseline"/>
                <w:lang w:val="en-US" w:eastAsia="zh-CN" w:bidi="ar-SA"/>
              </w:rPr>
            </w:pPr>
          </w:p>
        </w:tc>
        <w:tc>
          <w:tcPr>
            <w:tcW w:w="1293" w:type="dxa"/>
            <w:vAlign w:val="center"/>
          </w:tcPr>
          <w:p w14:paraId="4AD8136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体能扩展</w:t>
            </w:r>
          </w:p>
        </w:tc>
        <w:tc>
          <w:tcPr>
            <w:tcW w:w="8697" w:type="dxa"/>
            <w:vAlign w:val="center"/>
          </w:tcPr>
          <w:p w14:paraId="1347DBE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1.规格：224*240*45cm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2.材质：木头采用厚度1.8cm桦木多层板，桦木多层板材质稳定，抗菌、防霉，不易变形、含水率和甲醛释放量符合GB/T3324-2017和GB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3.产品：方块面采用皮革+珍珠棉，产品外观要求、结构安全、有害物质限量（可迁移元素、甲醛释放量等）等符合国家相关标准要求；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5.螺丝：采用优质环保五金，稳固不松动，五金表面经防锈处理，耐磨损，抗腐蚀符合CB/T3098.13-1996标准要求；</w:t>
            </w:r>
          </w:p>
        </w:tc>
        <w:tc>
          <w:tcPr>
            <w:tcW w:w="840" w:type="dxa"/>
            <w:vAlign w:val="center"/>
          </w:tcPr>
          <w:p w14:paraId="6FB7B46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BD261C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F5E522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48895</wp:posOffset>
                  </wp:positionH>
                  <wp:positionV relativeFrom="paragraph">
                    <wp:posOffset>18415</wp:posOffset>
                  </wp:positionV>
                  <wp:extent cx="953135" cy="339725"/>
                  <wp:effectExtent l="0" t="0" r="6985" b="10795"/>
                  <wp:wrapNone/>
                  <wp:docPr id="822" name="ID_3B5FE9D16FF34A45A10236A3A32E5D7E"/>
                  <wp:cNvGraphicFramePr/>
                  <a:graphic xmlns:a="http://schemas.openxmlformats.org/drawingml/2006/main">
                    <a:graphicData uri="http://schemas.openxmlformats.org/drawingml/2006/picture">
                      <pic:pic xmlns:pic="http://schemas.openxmlformats.org/drawingml/2006/picture">
                        <pic:nvPicPr>
                          <pic:cNvPr id="822" name="ID_3B5FE9D16FF34A45A10236A3A32E5D7E"/>
                          <pic:cNvPicPr/>
                        </pic:nvPicPr>
                        <pic:blipFill>
                          <a:blip r:embed="rId107"/>
                          <a:stretch>
                            <a:fillRect/>
                          </a:stretch>
                        </pic:blipFill>
                        <pic:spPr>
                          <a:xfrm>
                            <a:off x="0" y="0"/>
                            <a:ext cx="953135" cy="339725"/>
                          </a:xfrm>
                          <a:prstGeom prst="rect">
                            <a:avLst/>
                          </a:prstGeom>
                          <a:noFill/>
                          <a:ln>
                            <a:noFill/>
                          </a:ln>
                        </pic:spPr>
                      </pic:pic>
                    </a:graphicData>
                  </a:graphic>
                </wp:anchor>
              </w:drawing>
            </w:r>
          </w:p>
        </w:tc>
      </w:tr>
      <w:tr w14:paraId="0A09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65764D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4</w:t>
            </w:r>
          </w:p>
        </w:tc>
        <w:tc>
          <w:tcPr>
            <w:tcW w:w="1293" w:type="dxa"/>
            <w:vAlign w:val="center"/>
          </w:tcPr>
          <w:p w14:paraId="6403146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软包L</w:t>
            </w:r>
          </w:p>
        </w:tc>
        <w:tc>
          <w:tcPr>
            <w:tcW w:w="8697" w:type="dxa"/>
            <w:vAlign w:val="center"/>
          </w:tcPr>
          <w:p w14:paraId="690C5D7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1.规格：120*60*60cm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4458984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33A89B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3EEC0C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27305</wp:posOffset>
                  </wp:positionH>
                  <wp:positionV relativeFrom="paragraph">
                    <wp:posOffset>119380</wp:posOffset>
                  </wp:positionV>
                  <wp:extent cx="614045" cy="553085"/>
                  <wp:effectExtent l="0" t="0" r="10795" b="10795"/>
                  <wp:wrapNone/>
                  <wp:docPr id="824" name="ID_FB22AA63B69A4318940D18B4D75B3175"/>
                  <wp:cNvGraphicFramePr/>
                  <a:graphic xmlns:a="http://schemas.openxmlformats.org/drawingml/2006/main">
                    <a:graphicData uri="http://schemas.openxmlformats.org/drawingml/2006/picture">
                      <pic:pic xmlns:pic="http://schemas.openxmlformats.org/drawingml/2006/picture">
                        <pic:nvPicPr>
                          <pic:cNvPr id="824" name="ID_FB22AA63B69A4318940D18B4D75B3175"/>
                          <pic:cNvPicPr/>
                        </pic:nvPicPr>
                        <pic:blipFill>
                          <a:blip r:embed="rId108"/>
                          <a:stretch>
                            <a:fillRect/>
                          </a:stretch>
                        </pic:blipFill>
                        <pic:spPr>
                          <a:xfrm>
                            <a:off x="0" y="0"/>
                            <a:ext cx="614045" cy="553085"/>
                          </a:xfrm>
                          <a:prstGeom prst="rect">
                            <a:avLst/>
                          </a:prstGeom>
                          <a:noFill/>
                          <a:ln>
                            <a:noFill/>
                          </a:ln>
                        </pic:spPr>
                      </pic:pic>
                    </a:graphicData>
                  </a:graphic>
                </wp:anchor>
              </w:drawing>
            </w:r>
          </w:p>
        </w:tc>
      </w:tr>
      <w:tr w14:paraId="05A6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664" w:type="dxa"/>
            <w:vAlign w:val="center"/>
          </w:tcPr>
          <w:p w14:paraId="52A3DC5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5</w:t>
            </w:r>
          </w:p>
        </w:tc>
        <w:tc>
          <w:tcPr>
            <w:tcW w:w="1293" w:type="dxa"/>
            <w:vAlign w:val="center"/>
          </w:tcPr>
          <w:p w14:paraId="3B36369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软包跳格子</w:t>
            </w:r>
          </w:p>
        </w:tc>
        <w:tc>
          <w:tcPr>
            <w:tcW w:w="8697" w:type="dxa"/>
            <w:vAlign w:val="center"/>
          </w:tcPr>
          <w:p w14:paraId="0DB30B6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1.规格：175*50*5cm；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2.垫子采用皮革+珍珠棉。</w:t>
            </w:r>
          </w:p>
        </w:tc>
        <w:tc>
          <w:tcPr>
            <w:tcW w:w="840" w:type="dxa"/>
            <w:vAlign w:val="center"/>
          </w:tcPr>
          <w:p w14:paraId="25B5CC5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A56A08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920EE8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81280</wp:posOffset>
                  </wp:positionH>
                  <wp:positionV relativeFrom="paragraph">
                    <wp:posOffset>82550</wp:posOffset>
                  </wp:positionV>
                  <wp:extent cx="566420" cy="278765"/>
                  <wp:effectExtent l="0" t="0" r="12700" b="10795"/>
                  <wp:wrapNone/>
                  <wp:docPr id="826" name="ID_1723547635494F5DA90ABB57B17DB44F"/>
                  <wp:cNvGraphicFramePr/>
                  <a:graphic xmlns:a="http://schemas.openxmlformats.org/drawingml/2006/main">
                    <a:graphicData uri="http://schemas.openxmlformats.org/drawingml/2006/picture">
                      <pic:pic xmlns:pic="http://schemas.openxmlformats.org/drawingml/2006/picture">
                        <pic:nvPicPr>
                          <pic:cNvPr id="826" name="ID_1723547635494F5DA90ABB57B17DB44F"/>
                          <pic:cNvPicPr/>
                        </pic:nvPicPr>
                        <pic:blipFill>
                          <a:blip r:embed="rId109"/>
                          <a:stretch>
                            <a:fillRect/>
                          </a:stretch>
                        </pic:blipFill>
                        <pic:spPr>
                          <a:xfrm>
                            <a:off x="0" y="0"/>
                            <a:ext cx="566420" cy="278765"/>
                          </a:xfrm>
                          <a:prstGeom prst="rect">
                            <a:avLst/>
                          </a:prstGeom>
                          <a:noFill/>
                          <a:ln>
                            <a:noFill/>
                          </a:ln>
                        </pic:spPr>
                      </pic:pic>
                    </a:graphicData>
                  </a:graphic>
                </wp:anchor>
              </w:drawing>
            </w:r>
          </w:p>
        </w:tc>
      </w:tr>
      <w:tr w14:paraId="1DA5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42EC92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6</w:t>
            </w:r>
          </w:p>
        </w:tc>
        <w:tc>
          <w:tcPr>
            <w:tcW w:w="1293" w:type="dxa"/>
            <w:vAlign w:val="center"/>
          </w:tcPr>
          <w:p w14:paraId="3909A09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lang w:val="en-US" w:eastAsia="zh-CN" w:bidi="ar"/>
              </w:rPr>
              <w:t>软包E</w:t>
            </w:r>
          </w:p>
        </w:tc>
        <w:tc>
          <w:tcPr>
            <w:tcW w:w="8697" w:type="dxa"/>
            <w:vAlign w:val="center"/>
          </w:tcPr>
          <w:p w14:paraId="7923640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1.规格：230*60*50cm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34C916A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114F62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B99938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27305</wp:posOffset>
                  </wp:positionH>
                  <wp:positionV relativeFrom="paragraph">
                    <wp:posOffset>262890</wp:posOffset>
                  </wp:positionV>
                  <wp:extent cx="603250" cy="349250"/>
                  <wp:effectExtent l="0" t="0" r="6350" b="1270"/>
                  <wp:wrapNone/>
                  <wp:docPr id="828" name="ID_490A1BC96C704ED19370F647CD8B1981"/>
                  <wp:cNvGraphicFramePr/>
                  <a:graphic xmlns:a="http://schemas.openxmlformats.org/drawingml/2006/main">
                    <a:graphicData uri="http://schemas.openxmlformats.org/drawingml/2006/picture">
                      <pic:pic xmlns:pic="http://schemas.openxmlformats.org/drawingml/2006/picture">
                        <pic:nvPicPr>
                          <pic:cNvPr id="828" name="ID_490A1BC96C704ED19370F647CD8B1981"/>
                          <pic:cNvPicPr/>
                        </pic:nvPicPr>
                        <pic:blipFill>
                          <a:blip r:embed="rId110"/>
                          <a:stretch>
                            <a:fillRect/>
                          </a:stretch>
                        </pic:blipFill>
                        <pic:spPr>
                          <a:xfrm>
                            <a:off x="0" y="0"/>
                            <a:ext cx="603250" cy="349250"/>
                          </a:xfrm>
                          <a:prstGeom prst="rect">
                            <a:avLst/>
                          </a:prstGeom>
                          <a:noFill/>
                          <a:ln>
                            <a:noFill/>
                          </a:ln>
                        </pic:spPr>
                      </pic:pic>
                    </a:graphicData>
                  </a:graphic>
                </wp:anchor>
              </w:drawing>
            </w:r>
          </w:p>
        </w:tc>
      </w:tr>
      <w:tr w14:paraId="2E3E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9DD792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7</w:t>
            </w:r>
          </w:p>
        </w:tc>
        <w:tc>
          <w:tcPr>
            <w:tcW w:w="1293" w:type="dxa"/>
            <w:vAlign w:val="center"/>
          </w:tcPr>
          <w:p w14:paraId="010C434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软包P</w:t>
            </w:r>
          </w:p>
        </w:tc>
        <w:tc>
          <w:tcPr>
            <w:tcW w:w="8697" w:type="dxa"/>
            <w:vAlign w:val="center"/>
          </w:tcPr>
          <w:p w14:paraId="5097B90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1.规格：45*35*10cm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2.材质：材质皮革+海绵，内里包含木架子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6720840</wp:posOffset>
                  </wp:positionH>
                  <wp:positionV relativeFrom="paragraph">
                    <wp:posOffset>83185</wp:posOffset>
                  </wp:positionV>
                  <wp:extent cx="749935" cy="753110"/>
                  <wp:effectExtent l="0" t="0" r="12065" b="8890"/>
                  <wp:wrapNone/>
                  <wp:docPr id="830" name="ID_22C232319A894EACAF2EF05FFDB52E95"/>
                  <wp:cNvGraphicFramePr/>
                  <a:graphic xmlns:a="http://schemas.openxmlformats.org/drawingml/2006/main">
                    <a:graphicData uri="http://schemas.openxmlformats.org/drawingml/2006/picture">
                      <pic:pic xmlns:pic="http://schemas.openxmlformats.org/drawingml/2006/picture">
                        <pic:nvPicPr>
                          <pic:cNvPr id="830" name="ID_22C232319A894EACAF2EF05FFDB52E95"/>
                          <pic:cNvPicPr/>
                        </pic:nvPicPr>
                        <pic:blipFill>
                          <a:blip r:embed="rId111"/>
                          <a:stretch>
                            <a:fillRect/>
                          </a:stretch>
                        </pic:blipFill>
                        <pic:spPr>
                          <a:xfrm>
                            <a:off x="0" y="0"/>
                            <a:ext cx="749935" cy="7531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海绵：海绵的25%压陷硬度、75%压缩永久变形、回弹率、拉伸强度、伸长率、撕裂强度、干热老化后拉伸强度、干热老化后拉伸强度变化率、湿热老化后拉伸强度、湿热老化后拉伸强度变化率符合</w:t>
            </w:r>
            <w:r>
              <w:rPr>
                <w:rFonts w:hint="eastAsia" w:ascii="宋体" w:hAnsi="宋体" w:eastAsia="宋体" w:cs="宋体"/>
                <w:i w:val="0"/>
                <w:iCs w:val="0"/>
                <w:color w:val="auto"/>
                <w:kern w:val="0"/>
                <w:sz w:val="21"/>
                <w:szCs w:val="21"/>
                <w:u w:val="none"/>
                <w:lang w:val="en-US" w:eastAsia="zh-CN" w:bidi="ar"/>
              </w:rPr>
              <w:t>GB/T 10802-2023</w:t>
            </w:r>
            <w:r>
              <w:rPr>
                <w:rFonts w:hint="eastAsia" w:ascii="宋体" w:hAnsi="宋体" w:eastAsia="宋体" w:cs="宋体"/>
                <w:i w:val="0"/>
                <w:iCs w:val="0"/>
                <w:color w:val="auto"/>
                <w:kern w:val="0"/>
                <w:sz w:val="21"/>
                <w:szCs w:val="21"/>
                <w:u w:val="none"/>
                <w:lang w:val="en-US" w:eastAsia="zh-CN" w:bidi="ar"/>
              </w:rPr>
              <w:t>要求</w:t>
            </w:r>
          </w:p>
        </w:tc>
        <w:tc>
          <w:tcPr>
            <w:tcW w:w="840" w:type="dxa"/>
            <w:vAlign w:val="center"/>
          </w:tcPr>
          <w:p w14:paraId="529AA1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996049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6665745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p>
        </w:tc>
      </w:tr>
      <w:tr w14:paraId="5A35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DB48BF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8</w:t>
            </w:r>
          </w:p>
        </w:tc>
        <w:tc>
          <w:tcPr>
            <w:tcW w:w="1293" w:type="dxa"/>
            <w:vAlign w:val="center"/>
          </w:tcPr>
          <w:p w14:paraId="2ED150D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软包I</w:t>
            </w:r>
          </w:p>
        </w:tc>
        <w:tc>
          <w:tcPr>
            <w:tcW w:w="8697" w:type="dxa"/>
            <w:vAlign w:val="center"/>
          </w:tcPr>
          <w:p w14:paraId="239330E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1.规格：30*30*5/10/15cm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6B12A8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E963BE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8F0382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27305</wp:posOffset>
                  </wp:positionH>
                  <wp:positionV relativeFrom="paragraph">
                    <wp:posOffset>114300</wp:posOffset>
                  </wp:positionV>
                  <wp:extent cx="614680" cy="463550"/>
                  <wp:effectExtent l="0" t="0" r="10160" b="8890"/>
                  <wp:wrapNone/>
                  <wp:docPr id="832" name="ID_632210C2C09943F684E127E14FB706D9"/>
                  <wp:cNvGraphicFramePr/>
                  <a:graphic xmlns:a="http://schemas.openxmlformats.org/drawingml/2006/main">
                    <a:graphicData uri="http://schemas.openxmlformats.org/drawingml/2006/picture">
                      <pic:pic xmlns:pic="http://schemas.openxmlformats.org/drawingml/2006/picture">
                        <pic:nvPicPr>
                          <pic:cNvPr id="832" name="ID_632210C2C09943F684E127E14FB706D9"/>
                          <pic:cNvPicPr/>
                        </pic:nvPicPr>
                        <pic:blipFill>
                          <a:blip r:embed="rId112"/>
                          <a:stretch>
                            <a:fillRect/>
                          </a:stretch>
                        </pic:blipFill>
                        <pic:spPr>
                          <a:xfrm>
                            <a:off x="0" y="0"/>
                            <a:ext cx="614680" cy="463550"/>
                          </a:xfrm>
                          <a:prstGeom prst="rect">
                            <a:avLst/>
                          </a:prstGeom>
                          <a:noFill/>
                          <a:ln>
                            <a:noFill/>
                          </a:ln>
                        </pic:spPr>
                      </pic:pic>
                    </a:graphicData>
                  </a:graphic>
                </wp:anchor>
              </w:drawing>
            </w:r>
          </w:p>
        </w:tc>
      </w:tr>
      <w:tr w14:paraId="1D82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55B2F0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9</w:t>
            </w:r>
          </w:p>
        </w:tc>
        <w:tc>
          <w:tcPr>
            <w:tcW w:w="1293" w:type="dxa"/>
            <w:vAlign w:val="center"/>
          </w:tcPr>
          <w:p w14:paraId="2E67F52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感统软包组合</w:t>
            </w:r>
          </w:p>
        </w:tc>
        <w:tc>
          <w:tcPr>
            <w:tcW w:w="8697" w:type="dxa"/>
            <w:vAlign w:val="center"/>
          </w:tcPr>
          <w:p w14:paraId="646963E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1.规格：240*50*115cm（不含转角尺寸）</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2.材质：材质皮革+珍珠棉，内里包含木架子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木架：材质稳定，不易变形、甲醛释放量符合GB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皮革：皮革中不含可分解芳香胺，且游离甲醛含量符合国家标准规范的要求。</w:t>
            </w:r>
          </w:p>
        </w:tc>
        <w:tc>
          <w:tcPr>
            <w:tcW w:w="840" w:type="dxa"/>
            <w:vAlign w:val="center"/>
          </w:tcPr>
          <w:p w14:paraId="2EEA8BC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76C632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7597C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-1270</wp:posOffset>
                  </wp:positionH>
                  <wp:positionV relativeFrom="paragraph">
                    <wp:posOffset>94615</wp:posOffset>
                  </wp:positionV>
                  <wp:extent cx="970280" cy="497205"/>
                  <wp:effectExtent l="0" t="0" r="5080" b="5715"/>
                  <wp:wrapNone/>
                  <wp:docPr id="834" name="ID_7273DDA0F1DD4869A6288159DA6F35B4"/>
                  <wp:cNvGraphicFramePr/>
                  <a:graphic xmlns:a="http://schemas.openxmlformats.org/drawingml/2006/main">
                    <a:graphicData uri="http://schemas.openxmlformats.org/drawingml/2006/picture">
                      <pic:pic xmlns:pic="http://schemas.openxmlformats.org/drawingml/2006/picture">
                        <pic:nvPicPr>
                          <pic:cNvPr id="834" name="ID_7273DDA0F1DD4869A6288159DA6F35B4"/>
                          <pic:cNvPicPr/>
                        </pic:nvPicPr>
                        <pic:blipFill>
                          <a:blip r:embed="rId113"/>
                          <a:stretch>
                            <a:fillRect/>
                          </a:stretch>
                        </pic:blipFill>
                        <pic:spPr>
                          <a:xfrm>
                            <a:off x="0" y="0"/>
                            <a:ext cx="970280" cy="497205"/>
                          </a:xfrm>
                          <a:prstGeom prst="rect">
                            <a:avLst/>
                          </a:prstGeom>
                          <a:noFill/>
                          <a:ln>
                            <a:noFill/>
                          </a:ln>
                        </pic:spPr>
                      </pic:pic>
                    </a:graphicData>
                  </a:graphic>
                </wp:anchor>
              </w:drawing>
            </w:r>
          </w:p>
        </w:tc>
      </w:tr>
      <w:tr w14:paraId="6A96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8EBB4F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10</w:t>
            </w:r>
          </w:p>
        </w:tc>
        <w:tc>
          <w:tcPr>
            <w:tcW w:w="1293" w:type="dxa"/>
            <w:vAlign w:val="center"/>
          </w:tcPr>
          <w:p w14:paraId="4B59F56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体能方块组合A</w:t>
            </w:r>
          </w:p>
        </w:tc>
        <w:tc>
          <w:tcPr>
            <w:tcW w:w="8697" w:type="dxa"/>
            <w:vAlign w:val="center"/>
          </w:tcPr>
          <w:p w14:paraId="46EC96E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1.产品尺寸:60*60*60cm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2.材质：主体采用桦木多层板，厚度1.5cm,木质稳定，抗菌、防霉，不易变形、含水率和甲醛释放量符合GB/T3324-2017和GB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58E378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8505A9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DA78A8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-1270</wp:posOffset>
                  </wp:positionH>
                  <wp:positionV relativeFrom="paragraph">
                    <wp:posOffset>464185</wp:posOffset>
                  </wp:positionV>
                  <wp:extent cx="959485" cy="822325"/>
                  <wp:effectExtent l="0" t="0" r="635" b="635"/>
                  <wp:wrapNone/>
                  <wp:docPr id="836" name="ID_AECCD05937F449B3998EC85A5997BDD6"/>
                  <wp:cNvGraphicFramePr/>
                  <a:graphic xmlns:a="http://schemas.openxmlformats.org/drawingml/2006/main">
                    <a:graphicData uri="http://schemas.openxmlformats.org/drawingml/2006/picture">
                      <pic:pic xmlns:pic="http://schemas.openxmlformats.org/drawingml/2006/picture">
                        <pic:nvPicPr>
                          <pic:cNvPr id="836" name="ID_AECCD05937F449B3998EC85A5997BDD6"/>
                          <pic:cNvPicPr/>
                        </pic:nvPicPr>
                        <pic:blipFill>
                          <a:blip r:embed="rId114"/>
                          <a:stretch>
                            <a:fillRect/>
                          </a:stretch>
                        </pic:blipFill>
                        <pic:spPr>
                          <a:xfrm>
                            <a:off x="0" y="0"/>
                            <a:ext cx="959485" cy="822325"/>
                          </a:xfrm>
                          <a:prstGeom prst="rect">
                            <a:avLst/>
                          </a:prstGeom>
                          <a:noFill/>
                          <a:ln>
                            <a:noFill/>
                          </a:ln>
                        </pic:spPr>
                      </pic:pic>
                    </a:graphicData>
                  </a:graphic>
                </wp:anchor>
              </w:drawing>
            </w:r>
          </w:p>
        </w:tc>
      </w:tr>
      <w:tr w14:paraId="59DE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493A1A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11</w:t>
            </w:r>
          </w:p>
        </w:tc>
        <w:tc>
          <w:tcPr>
            <w:tcW w:w="1293" w:type="dxa"/>
            <w:vAlign w:val="center"/>
          </w:tcPr>
          <w:p w14:paraId="5F41F13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体能方块组合B</w:t>
            </w:r>
          </w:p>
        </w:tc>
        <w:tc>
          <w:tcPr>
            <w:tcW w:w="8697" w:type="dxa"/>
            <w:vAlign w:val="center"/>
          </w:tcPr>
          <w:p w14:paraId="6A5746C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1.产品尺寸:70*70*70cm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2.材质：主体采用桦木多层板，厚度1.5cm,木质稳定，抗菌、防霉，不易变形、含水率和甲醛释放量符合GB/T3324-2017和GB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2144897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B213D2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0E8E12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5715</wp:posOffset>
                  </wp:positionH>
                  <wp:positionV relativeFrom="paragraph">
                    <wp:posOffset>335280</wp:posOffset>
                  </wp:positionV>
                  <wp:extent cx="958850" cy="882650"/>
                  <wp:effectExtent l="0" t="0" r="1270" b="1270"/>
                  <wp:wrapNone/>
                  <wp:docPr id="838" name="ID_47F6BBED26BC4F8B9FBE8BBE2B552BA4"/>
                  <wp:cNvGraphicFramePr/>
                  <a:graphic xmlns:a="http://schemas.openxmlformats.org/drawingml/2006/main">
                    <a:graphicData uri="http://schemas.openxmlformats.org/drawingml/2006/picture">
                      <pic:pic xmlns:pic="http://schemas.openxmlformats.org/drawingml/2006/picture">
                        <pic:nvPicPr>
                          <pic:cNvPr id="838" name="ID_47F6BBED26BC4F8B9FBE8BBE2B552BA4"/>
                          <pic:cNvPicPr/>
                        </pic:nvPicPr>
                        <pic:blipFill>
                          <a:blip r:embed="rId115"/>
                          <a:stretch>
                            <a:fillRect/>
                          </a:stretch>
                        </pic:blipFill>
                        <pic:spPr>
                          <a:xfrm>
                            <a:off x="0" y="0"/>
                            <a:ext cx="958850" cy="882650"/>
                          </a:xfrm>
                          <a:prstGeom prst="rect">
                            <a:avLst/>
                          </a:prstGeom>
                          <a:noFill/>
                          <a:ln>
                            <a:noFill/>
                          </a:ln>
                        </pic:spPr>
                      </pic:pic>
                    </a:graphicData>
                  </a:graphic>
                </wp:anchor>
              </w:drawing>
            </w:r>
          </w:p>
        </w:tc>
      </w:tr>
      <w:tr w14:paraId="7A2D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D40890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77B5BAB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体能方块组合C</w:t>
            </w:r>
          </w:p>
        </w:tc>
        <w:tc>
          <w:tcPr>
            <w:tcW w:w="8697" w:type="dxa"/>
            <w:vAlign w:val="center"/>
          </w:tcPr>
          <w:p w14:paraId="5B79C31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1.产品尺寸:80*80*80cm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2.材质：主体采用桦木多层板，厚度1.5cm,木质稳定，抗菌、防霉，不易变形、含水率和甲醛释放量符合GB/T3324-2017和GB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7A0416E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FA075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BA1EF0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5715</wp:posOffset>
                  </wp:positionH>
                  <wp:positionV relativeFrom="paragraph">
                    <wp:posOffset>182880</wp:posOffset>
                  </wp:positionV>
                  <wp:extent cx="986790" cy="975360"/>
                  <wp:effectExtent l="0" t="0" r="3810" b="0"/>
                  <wp:wrapNone/>
                  <wp:docPr id="840" name="ID_C0BA196D378F479EA2DD5EDA9C540046"/>
                  <wp:cNvGraphicFramePr/>
                  <a:graphic xmlns:a="http://schemas.openxmlformats.org/drawingml/2006/main">
                    <a:graphicData uri="http://schemas.openxmlformats.org/drawingml/2006/picture">
                      <pic:pic xmlns:pic="http://schemas.openxmlformats.org/drawingml/2006/picture">
                        <pic:nvPicPr>
                          <pic:cNvPr id="840" name="ID_C0BA196D378F479EA2DD5EDA9C540046"/>
                          <pic:cNvPicPr/>
                        </pic:nvPicPr>
                        <pic:blipFill>
                          <a:blip r:embed="rId116"/>
                          <a:stretch>
                            <a:fillRect/>
                          </a:stretch>
                        </pic:blipFill>
                        <pic:spPr>
                          <a:xfrm>
                            <a:off x="0" y="0"/>
                            <a:ext cx="986790" cy="975360"/>
                          </a:xfrm>
                          <a:prstGeom prst="rect">
                            <a:avLst/>
                          </a:prstGeom>
                          <a:noFill/>
                          <a:ln>
                            <a:noFill/>
                          </a:ln>
                        </pic:spPr>
                      </pic:pic>
                    </a:graphicData>
                  </a:graphic>
                </wp:anchor>
              </w:drawing>
            </w:r>
          </w:p>
        </w:tc>
      </w:tr>
      <w:tr w14:paraId="452D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B699B5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0A12B3B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三角攀爬</w:t>
            </w:r>
          </w:p>
        </w:tc>
        <w:tc>
          <w:tcPr>
            <w:tcW w:w="8697" w:type="dxa"/>
            <w:vAlign w:val="center"/>
          </w:tcPr>
          <w:p w14:paraId="205FB4E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1.产品尺寸:83*91*80cm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2.材质：主体采用桦木多层板，厚度2.5cm,木质稳定，抗菌、防霉，不易变形、含水率和甲醛释放量符合GB/T3324-2017和GB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5.网绳：采用优质Ø14mm航海船用缆绳，强度大，抗磨损，耐腐蚀，安全性能好，绳网扣采用扣件，结实耐用，不易腐蚀损坏；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6.螺丝：采用优质环保五金，稳固不松动，五金表面经防锈处理，耐磨损，抗腐蚀符合国家相关标准要求；</w:t>
            </w:r>
          </w:p>
        </w:tc>
        <w:tc>
          <w:tcPr>
            <w:tcW w:w="840" w:type="dxa"/>
            <w:vAlign w:val="center"/>
          </w:tcPr>
          <w:p w14:paraId="0AC78AC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76F7F3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D2DDCA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16510</wp:posOffset>
                  </wp:positionH>
                  <wp:positionV relativeFrom="paragraph">
                    <wp:posOffset>140970</wp:posOffset>
                  </wp:positionV>
                  <wp:extent cx="983615" cy="970280"/>
                  <wp:effectExtent l="0" t="0" r="6985" b="5080"/>
                  <wp:wrapNone/>
                  <wp:docPr id="842" name="ID_6755A7F911F9471B9287F923D41E90DE"/>
                  <wp:cNvGraphicFramePr/>
                  <a:graphic xmlns:a="http://schemas.openxmlformats.org/drawingml/2006/main">
                    <a:graphicData uri="http://schemas.openxmlformats.org/drawingml/2006/picture">
                      <pic:pic xmlns:pic="http://schemas.openxmlformats.org/drawingml/2006/picture">
                        <pic:nvPicPr>
                          <pic:cNvPr id="842" name="ID_6755A7F911F9471B9287F923D41E90DE"/>
                          <pic:cNvPicPr/>
                        </pic:nvPicPr>
                        <pic:blipFill>
                          <a:blip r:embed="rId117"/>
                          <a:stretch>
                            <a:fillRect/>
                          </a:stretch>
                        </pic:blipFill>
                        <pic:spPr>
                          <a:xfrm>
                            <a:off x="0" y="0"/>
                            <a:ext cx="983615" cy="970280"/>
                          </a:xfrm>
                          <a:prstGeom prst="rect">
                            <a:avLst/>
                          </a:prstGeom>
                          <a:noFill/>
                          <a:ln>
                            <a:noFill/>
                          </a:ln>
                        </pic:spPr>
                      </pic:pic>
                    </a:graphicData>
                  </a:graphic>
                </wp:anchor>
              </w:drawing>
            </w:r>
          </w:p>
        </w:tc>
      </w:tr>
      <w:tr w14:paraId="2B3A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ACBB47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6228B3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体能组合梯子B</w:t>
            </w:r>
          </w:p>
        </w:tc>
        <w:tc>
          <w:tcPr>
            <w:tcW w:w="8697" w:type="dxa"/>
            <w:vAlign w:val="center"/>
          </w:tcPr>
          <w:p w14:paraId="4B21959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1.产品尺寸:140*33*7cm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2.材质：主体采用桦木多层板，厚度2.5cm,木质稳定，抗菌、防霉，不易变形、含水率和甲醛释放量符合GB/T3324-2017和GB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1CA5584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8FD899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25236E1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66040</wp:posOffset>
                  </wp:positionH>
                  <wp:positionV relativeFrom="paragraph">
                    <wp:posOffset>26035</wp:posOffset>
                  </wp:positionV>
                  <wp:extent cx="946150" cy="789940"/>
                  <wp:effectExtent l="0" t="0" r="13970" b="2540"/>
                  <wp:wrapNone/>
                  <wp:docPr id="844" name="ID_1C47DB268CB1467DAD6307B95B3A5821"/>
                  <wp:cNvGraphicFramePr/>
                  <a:graphic xmlns:a="http://schemas.openxmlformats.org/drawingml/2006/main">
                    <a:graphicData uri="http://schemas.openxmlformats.org/drawingml/2006/picture">
                      <pic:pic xmlns:pic="http://schemas.openxmlformats.org/drawingml/2006/picture">
                        <pic:nvPicPr>
                          <pic:cNvPr id="844" name="ID_1C47DB268CB1467DAD6307B95B3A5821"/>
                          <pic:cNvPicPr/>
                        </pic:nvPicPr>
                        <pic:blipFill>
                          <a:blip r:embed="rId118"/>
                          <a:stretch>
                            <a:fillRect/>
                          </a:stretch>
                        </pic:blipFill>
                        <pic:spPr>
                          <a:xfrm>
                            <a:off x="0" y="0"/>
                            <a:ext cx="946150" cy="789940"/>
                          </a:xfrm>
                          <a:prstGeom prst="rect">
                            <a:avLst/>
                          </a:prstGeom>
                          <a:noFill/>
                          <a:ln>
                            <a:noFill/>
                          </a:ln>
                        </pic:spPr>
                      </pic:pic>
                    </a:graphicData>
                  </a:graphic>
                </wp:anchor>
              </w:drawing>
            </w:r>
          </w:p>
        </w:tc>
      </w:tr>
      <w:tr w14:paraId="4C29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744183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2E574F5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体能组合梯子D</w:t>
            </w:r>
          </w:p>
        </w:tc>
        <w:tc>
          <w:tcPr>
            <w:tcW w:w="8697" w:type="dxa"/>
            <w:vAlign w:val="center"/>
          </w:tcPr>
          <w:p w14:paraId="70B5812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1.规格：140*33*7.5cm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2.材质：主体采用桦木多层板，厚度2.5cm,木质稳定，抗菌、防霉，不易变形、含水率和甲醛释放量符合GB/T3324-2017和GB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32CCE80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C02C77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094D673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-29845</wp:posOffset>
                  </wp:positionH>
                  <wp:positionV relativeFrom="paragraph">
                    <wp:posOffset>-67310</wp:posOffset>
                  </wp:positionV>
                  <wp:extent cx="1031875" cy="437515"/>
                  <wp:effectExtent l="0" t="0" r="4445" b="4445"/>
                  <wp:wrapNone/>
                  <wp:docPr id="846" name="ID_CCB8AF4253E04B6B861C0DD07F30E52D"/>
                  <wp:cNvGraphicFramePr/>
                  <a:graphic xmlns:a="http://schemas.openxmlformats.org/drawingml/2006/main">
                    <a:graphicData uri="http://schemas.openxmlformats.org/drawingml/2006/picture">
                      <pic:pic xmlns:pic="http://schemas.openxmlformats.org/drawingml/2006/picture">
                        <pic:nvPicPr>
                          <pic:cNvPr id="846" name="ID_CCB8AF4253E04B6B861C0DD07F30E52D"/>
                          <pic:cNvPicPr/>
                        </pic:nvPicPr>
                        <pic:blipFill>
                          <a:blip r:embed="rId119"/>
                          <a:stretch>
                            <a:fillRect/>
                          </a:stretch>
                        </pic:blipFill>
                        <pic:spPr>
                          <a:xfrm>
                            <a:off x="0" y="0"/>
                            <a:ext cx="1031875" cy="437515"/>
                          </a:xfrm>
                          <a:prstGeom prst="rect">
                            <a:avLst/>
                          </a:prstGeom>
                          <a:noFill/>
                          <a:ln>
                            <a:noFill/>
                          </a:ln>
                        </pic:spPr>
                      </pic:pic>
                    </a:graphicData>
                  </a:graphic>
                </wp:anchor>
              </w:drawing>
            </w:r>
          </w:p>
        </w:tc>
      </w:tr>
      <w:tr w14:paraId="31F1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7F1CF7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5E5F64C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体能组合梯子E</w:t>
            </w:r>
          </w:p>
        </w:tc>
        <w:tc>
          <w:tcPr>
            <w:tcW w:w="8697" w:type="dxa"/>
            <w:vAlign w:val="center"/>
          </w:tcPr>
          <w:p w14:paraId="08E90B4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 140*22*7cm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2.材质：主体采用桦木多层板，厚度2.5cm,木质稳定，抗菌、防霉，不易变形、含水率和甲醛释放量符合GB/T3324-2017和GB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7630529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8304E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2A35C6B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-29845</wp:posOffset>
                  </wp:positionH>
                  <wp:positionV relativeFrom="paragraph">
                    <wp:posOffset>794385</wp:posOffset>
                  </wp:positionV>
                  <wp:extent cx="948690" cy="445770"/>
                  <wp:effectExtent l="0" t="0" r="11430" b="11430"/>
                  <wp:wrapNone/>
                  <wp:docPr id="848" name="ID_A047D4FE9DB24EDFA6F08E9DAB96A1C6"/>
                  <wp:cNvGraphicFramePr/>
                  <a:graphic xmlns:a="http://schemas.openxmlformats.org/drawingml/2006/main">
                    <a:graphicData uri="http://schemas.openxmlformats.org/drawingml/2006/picture">
                      <pic:pic xmlns:pic="http://schemas.openxmlformats.org/drawingml/2006/picture">
                        <pic:nvPicPr>
                          <pic:cNvPr id="848" name="ID_A047D4FE9DB24EDFA6F08E9DAB96A1C6"/>
                          <pic:cNvPicPr/>
                        </pic:nvPicPr>
                        <pic:blipFill>
                          <a:blip r:embed="rId120"/>
                          <a:stretch>
                            <a:fillRect/>
                          </a:stretch>
                        </pic:blipFill>
                        <pic:spPr>
                          <a:xfrm>
                            <a:off x="0" y="0"/>
                            <a:ext cx="948690" cy="445770"/>
                          </a:xfrm>
                          <a:prstGeom prst="rect">
                            <a:avLst/>
                          </a:prstGeom>
                          <a:noFill/>
                          <a:ln>
                            <a:noFill/>
                          </a:ln>
                        </pic:spPr>
                      </pic:pic>
                    </a:graphicData>
                  </a:graphic>
                </wp:anchor>
              </w:drawing>
            </w:r>
          </w:p>
        </w:tc>
      </w:tr>
      <w:tr w14:paraId="0DE9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2DE9F9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17</w:t>
            </w:r>
          </w:p>
        </w:tc>
        <w:tc>
          <w:tcPr>
            <w:tcW w:w="1293" w:type="dxa"/>
            <w:vAlign w:val="center"/>
          </w:tcPr>
          <w:p w14:paraId="01E516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体能弯形大号</w:t>
            </w:r>
          </w:p>
        </w:tc>
        <w:tc>
          <w:tcPr>
            <w:tcW w:w="8697" w:type="dxa"/>
            <w:vAlign w:val="center"/>
          </w:tcPr>
          <w:p w14:paraId="6852F5D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1.产品尺寸120*72*48cm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2.材质：主体采用桦木多层板，厚度2.5cm,木质稳定，抗菌、防霉，不易变形、含水率和甲醛释放量符合GB/T3324-2017和GB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6EA8886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716CEC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8D7CD7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61595</wp:posOffset>
                  </wp:positionH>
                  <wp:positionV relativeFrom="paragraph">
                    <wp:posOffset>396875</wp:posOffset>
                  </wp:positionV>
                  <wp:extent cx="634365" cy="401955"/>
                  <wp:effectExtent l="0" t="0" r="5715" b="9525"/>
                  <wp:wrapNone/>
                  <wp:docPr id="850" name="ID_AA0408780BC54309AA1A4DBFFCE71DF3"/>
                  <wp:cNvGraphicFramePr/>
                  <a:graphic xmlns:a="http://schemas.openxmlformats.org/drawingml/2006/main">
                    <a:graphicData uri="http://schemas.openxmlformats.org/drawingml/2006/picture">
                      <pic:pic xmlns:pic="http://schemas.openxmlformats.org/drawingml/2006/picture">
                        <pic:nvPicPr>
                          <pic:cNvPr id="850" name="ID_AA0408780BC54309AA1A4DBFFCE71DF3"/>
                          <pic:cNvPicPr/>
                        </pic:nvPicPr>
                        <pic:blipFill>
                          <a:blip r:embed="rId121"/>
                          <a:stretch>
                            <a:fillRect/>
                          </a:stretch>
                        </pic:blipFill>
                        <pic:spPr>
                          <a:xfrm>
                            <a:off x="0" y="0"/>
                            <a:ext cx="634365" cy="401955"/>
                          </a:xfrm>
                          <a:prstGeom prst="rect">
                            <a:avLst/>
                          </a:prstGeom>
                          <a:noFill/>
                          <a:ln>
                            <a:noFill/>
                          </a:ln>
                        </pic:spPr>
                      </pic:pic>
                    </a:graphicData>
                  </a:graphic>
                </wp:anchor>
              </w:drawing>
            </w:r>
          </w:p>
        </w:tc>
      </w:tr>
      <w:tr w14:paraId="430E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D39D9E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18</w:t>
            </w:r>
          </w:p>
        </w:tc>
        <w:tc>
          <w:tcPr>
            <w:tcW w:w="1293" w:type="dxa"/>
            <w:vAlign w:val="center"/>
          </w:tcPr>
          <w:p w14:paraId="628FA71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人字梯</w:t>
            </w:r>
          </w:p>
        </w:tc>
        <w:tc>
          <w:tcPr>
            <w:tcW w:w="8697" w:type="dxa"/>
            <w:vAlign w:val="center"/>
          </w:tcPr>
          <w:p w14:paraId="3497A25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1.产品尺寸:135*83*131cm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2.材质：主体采用桦木多层板，厚度2.5cm,木质稳定，抗菌、防霉，不易变形、含水率和甲醛释放量符合GB/T3324-2017和GB 18584-2001的要求。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3.产品：产品外观要求、结构安全、有害物质限量（可迁移元素）等符合国家相关标准要求；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5.螺丝：采用优质环保五金，稳固不松动，五金表面经防锈处理，耐磨损，抗腐蚀符合国家相关标准要求；</w:t>
            </w:r>
          </w:p>
        </w:tc>
        <w:tc>
          <w:tcPr>
            <w:tcW w:w="840" w:type="dxa"/>
            <w:vAlign w:val="center"/>
          </w:tcPr>
          <w:p w14:paraId="72F41DF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D6AB35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36A8EA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93980</wp:posOffset>
                  </wp:positionH>
                  <wp:positionV relativeFrom="paragraph">
                    <wp:posOffset>70485</wp:posOffset>
                  </wp:positionV>
                  <wp:extent cx="824865" cy="655955"/>
                  <wp:effectExtent l="0" t="0" r="13335" b="14605"/>
                  <wp:wrapNone/>
                  <wp:docPr id="852" name="ID_BCE14C49B5CF4BA496DD9030BB9FC1FD"/>
                  <wp:cNvGraphicFramePr/>
                  <a:graphic xmlns:a="http://schemas.openxmlformats.org/drawingml/2006/main">
                    <a:graphicData uri="http://schemas.openxmlformats.org/drawingml/2006/picture">
                      <pic:pic xmlns:pic="http://schemas.openxmlformats.org/drawingml/2006/picture">
                        <pic:nvPicPr>
                          <pic:cNvPr id="852" name="ID_BCE14C49B5CF4BA496DD9030BB9FC1FD"/>
                          <pic:cNvPicPr/>
                        </pic:nvPicPr>
                        <pic:blipFill>
                          <a:blip r:embed="rId122"/>
                          <a:stretch>
                            <a:fillRect/>
                          </a:stretch>
                        </pic:blipFill>
                        <pic:spPr>
                          <a:xfrm>
                            <a:off x="0" y="0"/>
                            <a:ext cx="824865" cy="655955"/>
                          </a:xfrm>
                          <a:prstGeom prst="rect">
                            <a:avLst/>
                          </a:prstGeom>
                          <a:noFill/>
                          <a:ln>
                            <a:noFill/>
                          </a:ln>
                        </pic:spPr>
                      </pic:pic>
                    </a:graphicData>
                  </a:graphic>
                </wp:anchor>
              </w:drawing>
            </w:r>
          </w:p>
        </w:tc>
      </w:tr>
      <w:tr w14:paraId="1487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753053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19</w:t>
            </w:r>
          </w:p>
        </w:tc>
        <w:tc>
          <w:tcPr>
            <w:tcW w:w="1293" w:type="dxa"/>
            <w:vAlign w:val="center"/>
          </w:tcPr>
          <w:p w14:paraId="3EE0EFF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自由组合基础套装C</w:t>
            </w:r>
          </w:p>
        </w:tc>
        <w:tc>
          <w:tcPr>
            <w:tcW w:w="8697" w:type="dxa"/>
            <w:vAlign w:val="center"/>
          </w:tcPr>
          <w:p w14:paraId="0021C44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规格：900*570*180cm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1.铁件：铁件厚度为2mm镀锌钢管，主体采用4*4cm扇形管，辅助管2*2cm方管、2*4cm方管，经酸洗处理，表面光滑，抗紫外光能力强，色彩鲜艳，不易脱落，耐腐蚀；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2.绳网：全部采用航海船用缆绳，中芯为镀铬钢丝外套胶管，外层再覆以变色锦纶编织绳，强度大，抗磨损，耐腐蚀，安全性能好。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3.平台采用PE板材质：高密度聚乙烯，厚度1.5cm，产品无臭，无毒，手感似蜡，吸水性小，电绝缘性能优良。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4.木头材质:采用塑木，厚度2.5cm；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5.五金螺丝：采用不锈钢304#子母螺丝，燕尾自攻螺丝采用410#，牢固，不易松动脱落及变形和损坏</w:t>
            </w:r>
          </w:p>
        </w:tc>
        <w:tc>
          <w:tcPr>
            <w:tcW w:w="840" w:type="dxa"/>
            <w:vAlign w:val="center"/>
          </w:tcPr>
          <w:p w14:paraId="005EE87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09A29C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D693A8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-14605</wp:posOffset>
                  </wp:positionH>
                  <wp:positionV relativeFrom="paragraph">
                    <wp:posOffset>-243205</wp:posOffset>
                  </wp:positionV>
                  <wp:extent cx="889635" cy="695325"/>
                  <wp:effectExtent l="0" t="0" r="9525" b="5715"/>
                  <wp:wrapNone/>
                  <wp:docPr id="854" name="ID_E36E17FF1AD2424E8B2B5C19D95ACA93"/>
                  <wp:cNvGraphicFramePr/>
                  <a:graphic xmlns:a="http://schemas.openxmlformats.org/drawingml/2006/main">
                    <a:graphicData uri="http://schemas.openxmlformats.org/drawingml/2006/picture">
                      <pic:pic xmlns:pic="http://schemas.openxmlformats.org/drawingml/2006/picture">
                        <pic:nvPicPr>
                          <pic:cNvPr id="854" name="ID_E36E17FF1AD2424E8B2B5C19D95ACA93"/>
                          <pic:cNvPicPr/>
                        </pic:nvPicPr>
                        <pic:blipFill>
                          <a:blip r:embed="rId123"/>
                          <a:stretch>
                            <a:fillRect/>
                          </a:stretch>
                        </pic:blipFill>
                        <pic:spPr>
                          <a:xfrm>
                            <a:off x="0" y="0"/>
                            <a:ext cx="889635" cy="695325"/>
                          </a:xfrm>
                          <a:prstGeom prst="rect">
                            <a:avLst/>
                          </a:prstGeom>
                          <a:noFill/>
                          <a:ln>
                            <a:noFill/>
                          </a:ln>
                        </pic:spPr>
                      </pic:pic>
                    </a:graphicData>
                  </a:graphic>
                </wp:anchor>
              </w:drawing>
            </w:r>
          </w:p>
        </w:tc>
      </w:tr>
      <w:tr w14:paraId="1938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DA829CD">
            <w:pPr>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20</w:t>
            </w:r>
          </w:p>
          <w:p w14:paraId="4B8025D8">
            <w:pPr>
              <w:jc w:val="center"/>
              <w:rPr>
                <w:rFonts w:hint="eastAsia" w:ascii="宋体" w:hAnsi="宋体" w:eastAsia="宋体" w:cs="宋体"/>
                <w:b/>
                <w:color w:val="auto"/>
                <w:kern w:val="2"/>
                <w:sz w:val="21"/>
                <w:szCs w:val="21"/>
                <w:vertAlign w:val="baseline"/>
                <w:lang w:val="en-US" w:eastAsia="zh-CN" w:bidi="ar-SA"/>
              </w:rPr>
            </w:pPr>
          </w:p>
        </w:tc>
        <w:tc>
          <w:tcPr>
            <w:tcW w:w="1293" w:type="dxa"/>
            <w:vAlign w:val="center"/>
          </w:tcPr>
          <w:p w14:paraId="1FDB344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体能训练</w:t>
            </w:r>
          </w:p>
        </w:tc>
        <w:tc>
          <w:tcPr>
            <w:tcW w:w="8697" w:type="dxa"/>
            <w:vAlign w:val="center"/>
          </w:tcPr>
          <w:p w14:paraId="13F4E59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1.规格：660*110*250cm（含地垫）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2.铁件：铁件厚度为2mm镀锌钢管，经酸洗处理，表面光滑，抗紫外光能力强，色彩鲜艳，不易脱落，耐腐蚀；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3.绳网：全部采用航海船用缆绳，中芯为镀铬钢丝外套胶管，外层再覆以变色锦纶编织绳，强度大，抗磨损，耐腐蚀，安全性能好。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4.地垫材质：珍珠棉，厚度10公分 长度6.6米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5.五金螺丝：采用不锈钢304#子母螺丝，燕尾自攻螺丝采用410#，牢固，不易松动脱落及变形和损坏</w:t>
            </w:r>
          </w:p>
        </w:tc>
        <w:tc>
          <w:tcPr>
            <w:tcW w:w="840" w:type="dxa"/>
            <w:vAlign w:val="center"/>
          </w:tcPr>
          <w:p w14:paraId="1AD028D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D09F5B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360152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-14605</wp:posOffset>
                  </wp:positionH>
                  <wp:positionV relativeFrom="paragraph">
                    <wp:posOffset>211455</wp:posOffset>
                  </wp:positionV>
                  <wp:extent cx="887730" cy="613410"/>
                  <wp:effectExtent l="0" t="0" r="11430" b="11430"/>
                  <wp:wrapNone/>
                  <wp:docPr id="856" name="ID_88E4DC8851FD4FD293FD6FA37D32942B"/>
                  <wp:cNvGraphicFramePr/>
                  <a:graphic xmlns:a="http://schemas.openxmlformats.org/drawingml/2006/main">
                    <a:graphicData uri="http://schemas.openxmlformats.org/drawingml/2006/picture">
                      <pic:pic xmlns:pic="http://schemas.openxmlformats.org/drawingml/2006/picture">
                        <pic:nvPicPr>
                          <pic:cNvPr id="856" name="ID_88E4DC8851FD4FD293FD6FA37D32942B"/>
                          <pic:cNvPicPr/>
                        </pic:nvPicPr>
                        <pic:blipFill>
                          <a:blip r:embed="rId124"/>
                          <a:stretch>
                            <a:fillRect/>
                          </a:stretch>
                        </pic:blipFill>
                        <pic:spPr>
                          <a:xfrm>
                            <a:off x="0" y="0"/>
                            <a:ext cx="887730" cy="613410"/>
                          </a:xfrm>
                          <a:prstGeom prst="rect">
                            <a:avLst/>
                          </a:prstGeom>
                          <a:noFill/>
                          <a:ln>
                            <a:noFill/>
                          </a:ln>
                        </pic:spPr>
                      </pic:pic>
                    </a:graphicData>
                  </a:graphic>
                </wp:anchor>
              </w:drawing>
            </w:r>
          </w:p>
        </w:tc>
      </w:tr>
      <w:tr w14:paraId="62E3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9ED6BF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21</w:t>
            </w:r>
          </w:p>
        </w:tc>
        <w:tc>
          <w:tcPr>
            <w:tcW w:w="1293" w:type="dxa"/>
            <w:vAlign w:val="center"/>
          </w:tcPr>
          <w:p w14:paraId="7A5A22E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体能训练1</w:t>
            </w:r>
          </w:p>
        </w:tc>
        <w:tc>
          <w:tcPr>
            <w:tcW w:w="8697" w:type="dxa"/>
            <w:vAlign w:val="center"/>
          </w:tcPr>
          <w:p w14:paraId="23DCE6D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1.规格：500*110*250cm（含地垫）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2.铁件：铁件厚度为2mm镀锌钢管，经酸洗处理，表面光滑，抗紫外光能力强，色彩鲜艳，不易脱落，耐腐蚀；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3.地垫材质：珍珠棉，厚度10公分 长度5米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p>
        </w:tc>
        <w:tc>
          <w:tcPr>
            <w:tcW w:w="840" w:type="dxa"/>
            <w:vAlign w:val="center"/>
          </w:tcPr>
          <w:p w14:paraId="0D59AAB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4D10B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F47480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24765</wp:posOffset>
                  </wp:positionH>
                  <wp:positionV relativeFrom="paragraph">
                    <wp:posOffset>287655</wp:posOffset>
                  </wp:positionV>
                  <wp:extent cx="837565" cy="519430"/>
                  <wp:effectExtent l="0" t="0" r="635" b="13970"/>
                  <wp:wrapNone/>
                  <wp:docPr id="858" name="ID_7E04CD5E54124B879900F54E0AF4F6EB"/>
                  <wp:cNvGraphicFramePr/>
                  <a:graphic xmlns:a="http://schemas.openxmlformats.org/drawingml/2006/main">
                    <a:graphicData uri="http://schemas.openxmlformats.org/drawingml/2006/picture">
                      <pic:pic xmlns:pic="http://schemas.openxmlformats.org/drawingml/2006/picture">
                        <pic:nvPicPr>
                          <pic:cNvPr id="858" name="ID_7E04CD5E54124B879900F54E0AF4F6EB"/>
                          <pic:cNvPicPr/>
                        </pic:nvPicPr>
                        <pic:blipFill>
                          <a:blip r:embed="rId125"/>
                          <a:stretch>
                            <a:fillRect/>
                          </a:stretch>
                        </pic:blipFill>
                        <pic:spPr>
                          <a:xfrm>
                            <a:off x="0" y="0"/>
                            <a:ext cx="837565" cy="519430"/>
                          </a:xfrm>
                          <a:prstGeom prst="rect">
                            <a:avLst/>
                          </a:prstGeom>
                          <a:noFill/>
                          <a:ln>
                            <a:noFill/>
                          </a:ln>
                        </pic:spPr>
                      </pic:pic>
                    </a:graphicData>
                  </a:graphic>
                </wp:anchor>
              </w:drawing>
            </w:r>
          </w:p>
        </w:tc>
      </w:tr>
      <w:tr w14:paraId="6501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03B3D97E">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户外区域</w:t>
            </w:r>
          </w:p>
        </w:tc>
      </w:tr>
      <w:tr w14:paraId="52E6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560ABF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5B1FEFA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户外体能拓展组合玩具</w:t>
            </w:r>
          </w:p>
        </w:tc>
        <w:tc>
          <w:tcPr>
            <w:tcW w:w="8697" w:type="dxa"/>
            <w:vAlign w:val="center"/>
          </w:tcPr>
          <w:p w14:paraId="57B93D4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1.总尺寸1500*950*480cm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2.木头材质塑木，面板采用厚度：2.5cm，采用一体压制而成，超强耐用，防腐、防水、抗菌、阻燃、绝缘。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平台：平台四周带镀锌管铁架，表面光滑，抗紫外光能力强，不易脱落，耐腐蚀，铁架规格不小于4*8cm，连接处采用三角铁片，铁片带螺丝卡扣，中间横梁采用规格不小于3*5cm镀锌方管，平台板采用实芯塑木规格宽度15cm，厚度2.5cm以公母槽连接方式来拼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4.镀锌钢管立柱：采用Φ114mm，厚度为2mm，经酸洗处理，后经特殊工艺除锈，表面再喷涂户外环保聚酯粉末，二层静电喷塑成形，高温固化，表面光滑，抗紫外光能力强，色彩鲜艳，不易脱落，耐腐蚀；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铁件：铁件厚度为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6.透明及彩色造型部分采用耐力板，厚度不小于8mm,耐撞击、坚韧安全、可塑性强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7.PE板材质：高密度聚乙烯，厚度1.6cm，产品无臭，无毒，手感似蜡，吸水性小，电绝缘性能优良。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塑料部件：采用有色聚乙烯粉末制成，加工热度为200度，所加工产品只发生物理变化，不发生化学变化，色彩艳丽，不易退色、抗紫外光（UV）能力、抗静电能力强，不变形、成品内外平整，安全环保，无毒、无味，对皮肤无刺激无过敏反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9.绳网：全部采用航海船用缆绳，中芯为镀铬钢丝外套胶管，外层再覆以变色锦纶编织绳，强度大，抗磨损，耐腐蚀，安全性能好。攀爬网绳采用Ø14mm缆绳，保证强度所需。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10.五金螺丝：采用不锈钢304#子母螺丝，燕尾自攻螺丝采用410#，牢固，不易松动脱落及变形和损坏</w:t>
            </w:r>
          </w:p>
        </w:tc>
        <w:tc>
          <w:tcPr>
            <w:tcW w:w="840" w:type="dxa"/>
            <w:vAlign w:val="center"/>
          </w:tcPr>
          <w:p w14:paraId="736674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85076A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6AB821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-5715</wp:posOffset>
                  </wp:positionH>
                  <wp:positionV relativeFrom="paragraph">
                    <wp:posOffset>-104775</wp:posOffset>
                  </wp:positionV>
                  <wp:extent cx="882650" cy="618490"/>
                  <wp:effectExtent l="0" t="0" r="1270" b="6350"/>
                  <wp:wrapNone/>
                  <wp:docPr id="860" name="ID_94EA7FB9D761406B97C6931E6641006B"/>
                  <wp:cNvGraphicFramePr/>
                  <a:graphic xmlns:a="http://schemas.openxmlformats.org/drawingml/2006/main">
                    <a:graphicData uri="http://schemas.openxmlformats.org/drawingml/2006/picture">
                      <pic:pic xmlns:pic="http://schemas.openxmlformats.org/drawingml/2006/picture">
                        <pic:nvPicPr>
                          <pic:cNvPr id="860" name="ID_94EA7FB9D761406B97C6931E6641006B"/>
                          <pic:cNvPicPr/>
                        </pic:nvPicPr>
                        <pic:blipFill>
                          <a:blip r:embed="rId126"/>
                          <a:stretch>
                            <a:fillRect/>
                          </a:stretch>
                        </pic:blipFill>
                        <pic:spPr>
                          <a:xfrm>
                            <a:off x="0" y="0"/>
                            <a:ext cx="882650" cy="618490"/>
                          </a:xfrm>
                          <a:prstGeom prst="rect">
                            <a:avLst/>
                          </a:prstGeom>
                          <a:noFill/>
                          <a:ln>
                            <a:noFill/>
                          </a:ln>
                        </pic:spPr>
                      </pic:pic>
                    </a:graphicData>
                  </a:graphic>
                </wp:anchor>
              </w:drawing>
            </w:r>
          </w:p>
        </w:tc>
      </w:tr>
      <w:tr w14:paraId="66F8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33641E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45A09D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托班玩具</w:t>
            </w:r>
          </w:p>
        </w:tc>
        <w:tc>
          <w:tcPr>
            <w:tcW w:w="8697" w:type="dxa"/>
            <w:vAlign w:val="center"/>
          </w:tcPr>
          <w:p w14:paraId="658F97E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规格650*400*90cm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1.铁件：铁件厚度为2mm镀锌钢管，主体采用4*4cm扇形管，辅助管2*2cm方管、2*4cm方管，经酸洗处理，表面光滑，抗紫外光能力强，色彩鲜艳，不易脱落，耐腐蚀；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2.绳网：全部采用航海船用缆绳，中芯为镀铬钢丝外套胶管，外层再覆以变色锦纶编织绳，强度大，抗磨损，耐腐蚀，安全性能好。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3.平台采用PE板材质：高密度聚乙烯，厚度1.5cm，产品无臭，无毒，手感似蜡，吸水性小，电绝缘性能优良。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4.木头材质:采用塑木，厚度2.5cm；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5.五金螺丝：采用不锈钢304#子母螺丝，燕尾自攻螺丝采用410#，牢固，不易松动脱落及变形和损坏</w:t>
            </w:r>
          </w:p>
        </w:tc>
        <w:tc>
          <w:tcPr>
            <w:tcW w:w="840" w:type="dxa"/>
            <w:vAlign w:val="center"/>
          </w:tcPr>
          <w:p w14:paraId="31857CD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9546B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F5693D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-17145</wp:posOffset>
                  </wp:positionH>
                  <wp:positionV relativeFrom="paragraph">
                    <wp:posOffset>-379730</wp:posOffset>
                  </wp:positionV>
                  <wp:extent cx="962025" cy="482600"/>
                  <wp:effectExtent l="0" t="0" r="13335" b="5080"/>
                  <wp:wrapNone/>
                  <wp:docPr id="862" name="ID_48E95C73ACC846669D0993B05A17FFDD"/>
                  <wp:cNvGraphicFramePr/>
                  <a:graphic xmlns:a="http://schemas.openxmlformats.org/drawingml/2006/main">
                    <a:graphicData uri="http://schemas.openxmlformats.org/drawingml/2006/picture">
                      <pic:pic xmlns:pic="http://schemas.openxmlformats.org/drawingml/2006/picture">
                        <pic:nvPicPr>
                          <pic:cNvPr id="862" name="ID_48E95C73ACC846669D0993B05A17FFDD"/>
                          <pic:cNvPicPr/>
                        </pic:nvPicPr>
                        <pic:blipFill>
                          <a:blip r:embed="rId127"/>
                          <a:stretch>
                            <a:fillRect/>
                          </a:stretch>
                        </pic:blipFill>
                        <pic:spPr>
                          <a:xfrm>
                            <a:off x="0" y="0"/>
                            <a:ext cx="962025" cy="482600"/>
                          </a:xfrm>
                          <a:prstGeom prst="rect">
                            <a:avLst/>
                          </a:prstGeom>
                          <a:noFill/>
                          <a:ln>
                            <a:noFill/>
                          </a:ln>
                        </pic:spPr>
                      </pic:pic>
                    </a:graphicData>
                  </a:graphic>
                </wp:anchor>
              </w:drawing>
            </w:r>
          </w:p>
        </w:tc>
      </w:tr>
      <w:tr w14:paraId="5E91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8CCAD7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1A58B13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光影树屋</w:t>
            </w:r>
          </w:p>
        </w:tc>
        <w:tc>
          <w:tcPr>
            <w:tcW w:w="8697" w:type="dxa"/>
            <w:vAlign w:val="center"/>
          </w:tcPr>
          <w:p w14:paraId="755A522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规格：600*290*440cm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1.木头材质塑木，采用一体压制而成，超强耐用，防腐、防水、抗菌、阻燃、绝缘。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2.平台：平台四周带镀锌管铁架，表面光滑，抗紫外光能力强，不易脱落，耐腐蚀，铁架规格不小于4*8cm，平台板采用实芯塑木规格宽度15cm，厚度2.5cm以公母槽连接方式来拼装；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3.透明及彩色造型部分采用耐力板，厚度不小于4mm,耐撞击、坚韧安全、可塑性强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塑料部件：采用有色聚乙烯粉末制成，加工热度为200度，所加工产品只发生物理变化，不发生化学变化，色彩艳丽，不易退色、抗紫外光（UV）能力、抗静电能力强，不变形、成品内外平整，安全环保，无毒、无味，对皮肤无刺激无过敏反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5.绳网：全部采用航海船用缆绳，中芯为镀铬钢丝外套胶管，外层再覆以变色锦纶编织绳，强度大，抗磨损，耐腐蚀，安全性能好。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6.五金螺丝：采用不锈钢304#子母螺丝，燕尾自攻螺丝采用410#，牢固，不易松动脱落及变形和损坏</w:t>
            </w:r>
          </w:p>
        </w:tc>
        <w:tc>
          <w:tcPr>
            <w:tcW w:w="840" w:type="dxa"/>
            <w:vAlign w:val="center"/>
          </w:tcPr>
          <w:p w14:paraId="2E2BF53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F1F8A7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94823B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-17145</wp:posOffset>
                  </wp:positionH>
                  <wp:positionV relativeFrom="paragraph">
                    <wp:posOffset>573405</wp:posOffset>
                  </wp:positionV>
                  <wp:extent cx="853440" cy="868045"/>
                  <wp:effectExtent l="0" t="0" r="0" b="635"/>
                  <wp:wrapNone/>
                  <wp:docPr id="865" name="ID_51172B60279D497BAAAD28EB4D17CA86"/>
                  <wp:cNvGraphicFramePr/>
                  <a:graphic xmlns:a="http://schemas.openxmlformats.org/drawingml/2006/main">
                    <a:graphicData uri="http://schemas.openxmlformats.org/drawingml/2006/picture">
                      <pic:pic xmlns:pic="http://schemas.openxmlformats.org/drawingml/2006/picture">
                        <pic:nvPicPr>
                          <pic:cNvPr id="865" name="ID_51172B60279D497BAAAD28EB4D17CA86"/>
                          <pic:cNvPicPr/>
                        </pic:nvPicPr>
                        <pic:blipFill>
                          <a:blip r:embed="rId128"/>
                          <a:stretch>
                            <a:fillRect/>
                          </a:stretch>
                        </pic:blipFill>
                        <pic:spPr>
                          <a:xfrm>
                            <a:off x="0" y="0"/>
                            <a:ext cx="853440" cy="868045"/>
                          </a:xfrm>
                          <a:prstGeom prst="rect">
                            <a:avLst/>
                          </a:prstGeom>
                          <a:noFill/>
                          <a:ln>
                            <a:noFill/>
                          </a:ln>
                        </pic:spPr>
                      </pic:pic>
                    </a:graphicData>
                  </a:graphic>
                </wp:anchor>
              </w:drawing>
            </w:r>
          </w:p>
        </w:tc>
      </w:tr>
      <w:tr w14:paraId="5EC0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D5719F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w:t>
            </w:r>
          </w:p>
        </w:tc>
        <w:tc>
          <w:tcPr>
            <w:tcW w:w="1293" w:type="dxa"/>
            <w:vAlign w:val="center"/>
          </w:tcPr>
          <w:p w14:paraId="73D7E19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光影树屋1</w:t>
            </w:r>
          </w:p>
        </w:tc>
        <w:tc>
          <w:tcPr>
            <w:tcW w:w="8697" w:type="dxa"/>
            <w:vAlign w:val="center"/>
          </w:tcPr>
          <w:p w14:paraId="0F8C8E0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规格620*430*380cm，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1.木头材质塑木，采用一体压制而成，超强耐用，防腐、防水、抗菌、阻燃、绝缘。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2.平台：平台四周带镀锌管铁架，表面光滑，抗紫外光能力强，不易脱落，耐腐蚀，铁架规格不小于4*8cm，平台板采用实芯塑木规格宽度15cm，厚度2.5cm以公母槽连接方式来拼装；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3.透明及彩色造型部分采用耐力板，厚度不小于4mm,耐撞击、坚韧安全、可塑性强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塑料部件：采用有色聚乙烯粉末制成，加工热度为200度，所加工产品只发生物理变化，不发生化学变化，色彩艳丽，不易退色、抗紫外光（UV）能力、抗静电能力强，不变形、成品内外平整，安全环保，无毒、无味，对皮肤无刺激无过敏反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5.五金螺丝：采用不锈钢304#子母螺丝，燕尾自攻螺丝采用410#，牢固，不易松动脱落及变形和损坏</w:t>
            </w:r>
          </w:p>
        </w:tc>
        <w:tc>
          <w:tcPr>
            <w:tcW w:w="840" w:type="dxa"/>
            <w:vAlign w:val="center"/>
          </w:tcPr>
          <w:p w14:paraId="71AA46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744B0E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EA5253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-17145</wp:posOffset>
                  </wp:positionH>
                  <wp:positionV relativeFrom="paragraph">
                    <wp:posOffset>273685</wp:posOffset>
                  </wp:positionV>
                  <wp:extent cx="857885" cy="593090"/>
                  <wp:effectExtent l="0" t="0" r="10795" b="1270"/>
                  <wp:wrapNone/>
                  <wp:docPr id="867" name="ID_B2432A0DD5A9435DA5B8EAE36061229D"/>
                  <wp:cNvGraphicFramePr/>
                  <a:graphic xmlns:a="http://schemas.openxmlformats.org/drawingml/2006/main">
                    <a:graphicData uri="http://schemas.openxmlformats.org/drawingml/2006/picture">
                      <pic:pic xmlns:pic="http://schemas.openxmlformats.org/drawingml/2006/picture">
                        <pic:nvPicPr>
                          <pic:cNvPr id="867" name="ID_B2432A0DD5A9435DA5B8EAE36061229D"/>
                          <pic:cNvPicPr/>
                        </pic:nvPicPr>
                        <pic:blipFill>
                          <a:blip r:embed="rId129"/>
                          <a:stretch>
                            <a:fillRect/>
                          </a:stretch>
                        </pic:blipFill>
                        <pic:spPr>
                          <a:xfrm>
                            <a:off x="0" y="0"/>
                            <a:ext cx="857885" cy="593090"/>
                          </a:xfrm>
                          <a:prstGeom prst="rect">
                            <a:avLst/>
                          </a:prstGeom>
                          <a:noFill/>
                          <a:ln>
                            <a:noFill/>
                          </a:ln>
                        </pic:spPr>
                      </pic:pic>
                    </a:graphicData>
                  </a:graphic>
                </wp:anchor>
              </w:drawing>
            </w:r>
          </w:p>
        </w:tc>
      </w:tr>
      <w:tr w14:paraId="267B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683700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5</w:t>
            </w:r>
          </w:p>
        </w:tc>
        <w:tc>
          <w:tcPr>
            <w:tcW w:w="1293" w:type="dxa"/>
            <w:vAlign w:val="center"/>
          </w:tcPr>
          <w:p w14:paraId="2278601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木质拓展1</w:t>
            </w:r>
          </w:p>
        </w:tc>
        <w:tc>
          <w:tcPr>
            <w:tcW w:w="8697" w:type="dxa"/>
            <w:vAlign w:val="center"/>
          </w:tcPr>
          <w:p w14:paraId="1BAD745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规格600*230*195cm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1.主体材质芬兰木，立柱直径9.5cm，表面处理：进行压、刨、铣、冲等处理后，表面进行防腐、防蛀处理，后采用原子灰进行三次刮灰抹平，并打磨光滑，表面喷涂三次聚氨脂清漆；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w:t>
            </w:r>
          </w:p>
        </w:tc>
        <w:tc>
          <w:tcPr>
            <w:tcW w:w="840" w:type="dxa"/>
            <w:vAlign w:val="center"/>
          </w:tcPr>
          <w:p w14:paraId="316C6E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C772D9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7DD725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106680</wp:posOffset>
                  </wp:positionH>
                  <wp:positionV relativeFrom="paragraph">
                    <wp:posOffset>57150</wp:posOffset>
                  </wp:positionV>
                  <wp:extent cx="728980" cy="542925"/>
                  <wp:effectExtent l="0" t="0" r="2540" b="5715"/>
                  <wp:wrapNone/>
                  <wp:docPr id="869" name="ID_799CE51AD416416580B0CEEC25B2F012"/>
                  <wp:cNvGraphicFramePr/>
                  <a:graphic xmlns:a="http://schemas.openxmlformats.org/drawingml/2006/main">
                    <a:graphicData uri="http://schemas.openxmlformats.org/drawingml/2006/picture">
                      <pic:pic xmlns:pic="http://schemas.openxmlformats.org/drawingml/2006/picture">
                        <pic:nvPicPr>
                          <pic:cNvPr id="869" name="ID_799CE51AD416416580B0CEEC25B2F012"/>
                          <pic:cNvPicPr/>
                        </pic:nvPicPr>
                        <pic:blipFill>
                          <a:blip r:embed="rId130"/>
                          <a:stretch>
                            <a:fillRect/>
                          </a:stretch>
                        </pic:blipFill>
                        <pic:spPr>
                          <a:xfrm>
                            <a:off x="0" y="0"/>
                            <a:ext cx="728980" cy="542925"/>
                          </a:xfrm>
                          <a:prstGeom prst="rect">
                            <a:avLst/>
                          </a:prstGeom>
                          <a:noFill/>
                          <a:ln>
                            <a:noFill/>
                          </a:ln>
                        </pic:spPr>
                      </pic:pic>
                    </a:graphicData>
                  </a:graphic>
                </wp:anchor>
              </w:drawing>
            </w:r>
          </w:p>
        </w:tc>
      </w:tr>
      <w:tr w14:paraId="5326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BF111C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6</w:t>
            </w:r>
          </w:p>
        </w:tc>
        <w:tc>
          <w:tcPr>
            <w:tcW w:w="1293" w:type="dxa"/>
            <w:vAlign w:val="center"/>
          </w:tcPr>
          <w:p w14:paraId="519024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木质拓展2</w:t>
            </w:r>
          </w:p>
        </w:tc>
        <w:tc>
          <w:tcPr>
            <w:tcW w:w="8697" w:type="dxa"/>
            <w:vAlign w:val="center"/>
          </w:tcPr>
          <w:p w14:paraId="7B3F98E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规格：475*275*110cm，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1.主体材质芬兰木，立柱直径9.5cm，表面处理：进行压、刨、铣、冲等处理后，表面进行防腐、防蛀处理，后采用原子灰进行三次刮灰抹平，并打磨光滑，表面喷涂三次聚氨脂清漆；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w:t>
            </w:r>
          </w:p>
        </w:tc>
        <w:tc>
          <w:tcPr>
            <w:tcW w:w="840" w:type="dxa"/>
            <w:vAlign w:val="center"/>
          </w:tcPr>
          <w:p w14:paraId="255531E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2000F9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EE1CD8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-17145</wp:posOffset>
                  </wp:positionH>
                  <wp:positionV relativeFrom="paragraph">
                    <wp:posOffset>264160</wp:posOffset>
                  </wp:positionV>
                  <wp:extent cx="989330" cy="643890"/>
                  <wp:effectExtent l="0" t="0" r="1270" b="11430"/>
                  <wp:wrapNone/>
                  <wp:docPr id="871" name="ID_B5269E92DAA14DFB9100A2285508A8EB"/>
                  <wp:cNvGraphicFramePr/>
                  <a:graphic xmlns:a="http://schemas.openxmlformats.org/drawingml/2006/main">
                    <a:graphicData uri="http://schemas.openxmlformats.org/drawingml/2006/picture">
                      <pic:pic xmlns:pic="http://schemas.openxmlformats.org/drawingml/2006/picture">
                        <pic:nvPicPr>
                          <pic:cNvPr id="871" name="ID_B5269E92DAA14DFB9100A2285508A8EB"/>
                          <pic:cNvPicPr/>
                        </pic:nvPicPr>
                        <pic:blipFill>
                          <a:blip r:embed="rId131"/>
                          <a:stretch>
                            <a:fillRect/>
                          </a:stretch>
                        </pic:blipFill>
                        <pic:spPr>
                          <a:xfrm>
                            <a:off x="0" y="0"/>
                            <a:ext cx="989330" cy="643890"/>
                          </a:xfrm>
                          <a:prstGeom prst="rect">
                            <a:avLst/>
                          </a:prstGeom>
                          <a:noFill/>
                          <a:ln>
                            <a:noFill/>
                          </a:ln>
                        </pic:spPr>
                      </pic:pic>
                    </a:graphicData>
                  </a:graphic>
                </wp:anchor>
              </w:drawing>
            </w:r>
          </w:p>
        </w:tc>
      </w:tr>
      <w:tr w14:paraId="09B3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4F701D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7</w:t>
            </w:r>
          </w:p>
        </w:tc>
        <w:tc>
          <w:tcPr>
            <w:tcW w:w="1293" w:type="dxa"/>
            <w:vAlign w:val="center"/>
          </w:tcPr>
          <w:p w14:paraId="5C841EA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木质钻桶</w:t>
            </w:r>
          </w:p>
        </w:tc>
        <w:tc>
          <w:tcPr>
            <w:tcW w:w="8697" w:type="dxa"/>
            <w:vAlign w:val="center"/>
          </w:tcPr>
          <w:p w14:paraId="57037BB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规格：145*80cm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1.木头材质芬兰木，主圈芬兰木厚度2.8cm，底部脚采用9.5*9.5cm，表面处理：进行压、刨、铣、冲等处理后，表面进行防腐、防蛀处理，后采用原子灰进行三次刮灰抹平，并打磨光滑，表面喷涂三次聚氨脂清漆，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2.铁件：铁件圆圈采用直径32mm圆管，厚度不少于2mm镀锌钢管，经酸洗处理，后经特殊工艺除锈，抛砂，表面光滑，抗紫外光能力强，色彩鲜艳，不易脱落，耐腐蚀；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27B254E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4921EA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7C77B8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-10795</wp:posOffset>
                  </wp:positionH>
                  <wp:positionV relativeFrom="paragraph">
                    <wp:posOffset>-281940</wp:posOffset>
                  </wp:positionV>
                  <wp:extent cx="979805" cy="764540"/>
                  <wp:effectExtent l="0" t="0" r="10795" b="12700"/>
                  <wp:wrapNone/>
                  <wp:docPr id="873" name="ID_1437E88360E446E9BE2FB409B492FD6A"/>
                  <wp:cNvGraphicFramePr/>
                  <a:graphic xmlns:a="http://schemas.openxmlformats.org/drawingml/2006/main">
                    <a:graphicData uri="http://schemas.openxmlformats.org/drawingml/2006/picture">
                      <pic:pic xmlns:pic="http://schemas.openxmlformats.org/drawingml/2006/picture">
                        <pic:nvPicPr>
                          <pic:cNvPr id="873" name="ID_1437E88360E446E9BE2FB409B492FD6A"/>
                          <pic:cNvPicPr/>
                        </pic:nvPicPr>
                        <pic:blipFill>
                          <a:blip r:embed="rId132"/>
                          <a:stretch>
                            <a:fillRect/>
                          </a:stretch>
                        </pic:blipFill>
                        <pic:spPr>
                          <a:xfrm>
                            <a:off x="0" y="0"/>
                            <a:ext cx="979805" cy="764540"/>
                          </a:xfrm>
                          <a:prstGeom prst="rect">
                            <a:avLst/>
                          </a:prstGeom>
                          <a:noFill/>
                          <a:ln>
                            <a:noFill/>
                          </a:ln>
                        </pic:spPr>
                      </pic:pic>
                    </a:graphicData>
                  </a:graphic>
                </wp:anchor>
              </w:drawing>
            </w:r>
          </w:p>
        </w:tc>
      </w:tr>
      <w:tr w14:paraId="6D83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419A2A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8</w:t>
            </w:r>
          </w:p>
        </w:tc>
        <w:tc>
          <w:tcPr>
            <w:tcW w:w="1293" w:type="dxa"/>
            <w:vAlign w:val="center"/>
          </w:tcPr>
          <w:p w14:paraId="453D914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木头爬梯</w:t>
            </w:r>
          </w:p>
        </w:tc>
        <w:tc>
          <w:tcPr>
            <w:tcW w:w="8697" w:type="dxa"/>
            <w:vAlign w:val="center"/>
          </w:tcPr>
          <w:p w14:paraId="060C85A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规格：110*75*86cm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w:t>
            </w:r>
          </w:p>
        </w:tc>
        <w:tc>
          <w:tcPr>
            <w:tcW w:w="840" w:type="dxa"/>
            <w:vAlign w:val="center"/>
          </w:tcPr>
          <w:p w14:paraId="289B87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03183EE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CB581A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-17145</wp:posOffset>
                  </wp:positionH>
                  <wp:positionV relativeFrom="paragraph">
                    <wp:posOffset>27940</wp:posOffset>
                  </wp:positionV>
                  <wp:extent cx="988060" cy="675005"/>
                  <wp:effectExtent l="0" t="0" r="2540" b="10795"/>
                  <wp:wrapNone/>
                  <wp:docPr id="875" name="ID_F96442122E6743699803789D6ECC3B92"/>
                  <wp:cNvGraphicFramePr/>
                  <a:graphic xmlns:a="http://schemas.openxmlformats.org/drawingml/2006/main">
                    <a:graphicData uri="http://schemas.openxmlformats.org/drawingml/2006/picture">
                      <pic:pic xmlns:pic="http://schemas.openxmlformats.org/drawingml/2006/picture">
                        <pic:nvPicPr>
                          <pic:cNvPr id="875" name="ID_F96442122E6743699803789D6ECC3B92"/>
                          <pic:cNvPicPr/>
                        </pic:nvPicPr>
                        <pic:blipFill>
                          <a:blip r:embed="rId133"/>
                          <a:stretch>
                            <a:fillRect/>
                          </a:stretch>
                        </pic:blipFill>
                        <pic:spPr>
                          <a:xfrm>
                            <a:off x="0" y="0"/>
                            <a:ext cx="988060" cy="675005"/>
                          </a:xfrm>
                          <a:prstGeom prst="rect">
                            <a:avLst/>
                          </a:prstGeom>
                          <a:noFill/>
                          <a:ln>
                            <a:noFill/>
                          </a:ln>
                        </pic:spPr>
                      </pic:pic>
                    </a:graphicData>
                  </a:graphic>
                </wp:anchor>
              </w:drawing>
            </w:r>
          </w:p>
        </w:tc>
      </w:tr>
      <w:tr w14:paraId="2214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trPr>
        <w:tc>
          <w:tcPr>
            <w:tcW w:w="664" w:type="dxa"/>
            <w:vAlign w:val="center"/>
          </w:tcPr>
          <w:p w14:paraId="3EEDD73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9</w:t>
            </w:r>
          </w:p>
        </w:tc>
        <w:tc>
          <w:tcPr>
            <w:tcW w:w="1293" w:type="dxa"/>
            <w:vAlign w:val="center"/>
          </w:tcPr>
          <w:p w14:paraId="545EE1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过板</w:t>
            </w:r>
          </w:p>
        </w:tc>
        <w:tc>
          <w:tcPr>
            <w:tcW w:w="8697" w:type="dxa"/>
            <w:vAlign w:val="center"/>
          </w:tcPr>
          <w:p w14:paraId="5AFC58F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规格200*85cm，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w:t>
            </w:r>
          </w:p>
        </w:tc>
        <w:tc>
          <w:tcPr>
            <w:tcW w:w="840" w:type="dxa"/>
            <w:vAlign w:val="center"/>
          </w:tcPr>
          <w:p w14:paraId="553885C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B7BFE2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8CE05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-17145</wp:posOffset>
                  </wp:positionH>
                  <wp:positionV relativeFrom="paragraph">
                    <wp:posOffset>110490</wp:posOffset>
                  </wp:positionV>
                  <wp:extent cx="986155" cy="619125"/>
                  <wp:effectExtent l="0" t="0" r="4445" b="5715"/>
                  <wp:wrapNone/>
                  <wp:docPr id="877" name="ID_75FBF9287337471685AB2DA69167702B"/>
                  <wp:cNvGraphicFramePr/>
                  <a:graphic xmlns:a="http://schemas.openxmlformats.org/drawingml/2006/main">
                    <a:graphicData uri="http://schemas.openxmlformats.org/drawingml/2006/picture">
                      <pic:pic xmlns:pic="http://schemas.openxmlformats.org/drawingml/2006/picture">
                        <pic:nvPicPr>
                          <pic:cNvPr id="877" name="ID_75FBF9287337471685AB2DA69167702B"/>
                          <pic:cNvPicPr/>
                        </pic:nvPicPr>
                        <pic:blipFill>
                          <a:blip r:embed="rId134"/>
                          <a:stretch>
                            <a:fillRect/>
                          </a:stretch>
                        </pic:blipFill>
                        <pic:spPr>
                          <a:xfrm>
                            <a:off x="0" y="0"/>
                            <a:ext cx="986155" cy="619125"/>
                          </a:xfrm>
                          <a:prstGeom prst="rect">
                            <a:avLst/>
                          </a:prstGeom>
                          <a:noFill/>
                          <a:ln>
                            <a:noFill/>
                          </a:ln>
                        </pic:spPr>
                      </pic:pic>
                    </a:graphicData>
                  </a:graphic>
                </wp:anchor>
              </w:drawing>
            </w:r>
          </w:p>
        </w:tc>
      </w:tr>
      <w:tr w14:paraId="49FD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5909D1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10</w:t>
            </w:r>
          </w:p>
        </w:tc>
        <w:tc>
          <w:tcPr>
            <w:tcW w:w="1293" w:type="dxa"/>
            <w:vAlign w:val="center"/>
          </w:tcPr>
          <w:p w14:paraId="0C5CC38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木条组</w:t>
            </w:r>
          </w:p>
        </w:tc>
        <w:tc>
          <w:tcPr>
            <w:tcW w:w="8697" w:type="dxa"/>
            <w:vAlign w:val="center"/>
          </w:tcPr>
          <w:p w14:paraId="300B0E1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1.规格220*130cm，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2.主体材质芬兰木，直径不小于9.5cm,表面处理：进行压、刨、铣、冲等处理后，表面进行防腐、防蛀处理，后采用原子灰进行三次刮灰抹平，并打磨光滑，表面喷涂三次聚氨脂清漆，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w:t>
            </w:r>
          </w:p>
        </w:tc>
        <w:tc>
          <w:tcPr>
            <w:tcW w:w="840" w:type="dxa"/>
            <w:vAlign w:val="center"/>
          </w:tcPr>
          <w:p w14:paraId="5DF6B42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DDCB57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C6D630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-17145</wp:posOffset>
                  </wp:positionH>
                  <wp:positionV relativeFrom="paragraph">
                    <wp:posOffset>78105</wp:posOffset>
                  </wp:positionV>
                  <wp:extent cx="899160" cy="709930"/>
                  <wp:effectExtent l="0" t="0" r="0" b="6350"/>
                  <wp:wrapNone/>
                  <wp:docPr id="879" name="ID_072ADC0989984C9EBFFC5B726070CA76"/>
                  <wp:cNvGraphicFramePr/>
                  <a:graphic xmlns:a="http://schemas.openxmlformats.org/drawingml/2006/main">
                    <a:graphicData uri="http://schemas.openxmlformats.org/drawingml/2006/picture">
                      <pic:pic xmlns:pic="http://schemas.openxmlformats.org/drawingml/2006/picture">
                        <pic:nvPicPr>
                          <pic:cNvPr id="879" name="ID_072ADC0989984C9EBFFC5B726070CA76"/>
                          <pic:cNvPicPr/>
                        </pic:nvPicPr>
                        <pic:blipFill>
                          <a:blip r:embed="rId135"/>
                          <a:stretch>
                            <a:fillRect/>
                          </a:stretch>
                        </pic:blipFill>
                        <pic:spPr>
                          <a:xfrm>
                            <a:off x="0" y="0"/>
                            <a:ext cx="899160" cy="709930"/>
                          </a:xfrm>
                          <a:prstGeom prst="rect">
                            <a:avLst/>
                          </a:prstGeom>
                          <a:noFill/>
                          <a:ln>
                            <a:noFill/>
                          </a:ln>
                        </pic:spPr>
                      </pic:pic>
                    </a:graphicData>
                  </a:graphic>
                </wp:anchor>
              </w:drawing>
            </w:r>
          </w:p>
        </w:tc>
      </w:tr>
      <w:tr w14:paraId="18B8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E2C62C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11</w:t>
            </w:r>
          </w:p>
        </w:tc>
        <w:tc>
          <w:tcPr>
            <w:tcW w:w="1293" w:type="dxa"/>
            <w:vAlign w:val="center"/>
          </w:tcPr>
          <w:p w14:paraId="3E2AC1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稻草座椅</w:t>
            </w:r>
          </w:p>
        </w:tc>
        <w:tc>
          <w:tcPr>
            <w:tcW w:w="8697" w:type="dxa"/>
            <w:vAlign w:val="center"/>
          </w:tcPr>
          <w:p w14:paraId="6D67A00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规格:110*130*54cm(不含伞高度)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1.主体材质塑木，桌面110*50cm，椅面宽度20cm，采用一体压制而成，超强耐用，防腐、防水、抗菌、阻燃、绝缘。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3.仿真稻草伞：伞面直径1.8米，高度2米，伞杆直径3.2cm，八股伞架，结实耐用，防风稳固，加粗伞骨双重保护，隔热面料。草伞为仿真茅草塑料材质。</w:t>
            </w:r>
          </w:p>
        </w:tc>
        <w:tc>
          <w:tcPr>
            <w:tcW w:w="840" w:type="dxa"/>
            <w:vAlign w:val="center"/>
          </w:tcPr>
          <w:p w14:paraId="0A9A98D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DC440B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7B380CC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5715</wp:posOffset>
                  </wp:positionH>
                  <wp:positionV relativeFrom="paragraph">
                    <wp:posOffset>112395</wp:posOffset>
                  </wp:positionV>
                  <wp:extent cx="854710" cy="822960"/>
                  <wp:effectExtent l="0" t="0" r="13970" b="0"/>
                  <wp:wrapNone/>
                  <wp:docPr id="881" name="ID_C3D8B4065E1149DCA4A0825B17127EDE"/>
                  <wp:cNvGraphicFramePr/>
                  <a:graphic xmlns:a="http://schemas.openxmlformats.org/drawingml/2006/main">
                    <a:graphicData uri="http://schemas.openxmlformats.org/drawingml/2006/picture">
                      <pic:pic xmlns:pic="http://schemas.openxmlformats.org/drawingml/2006/picture">
                        <pic:nvPicPr>
                          <pic:cNvPr id="881" name="ID_C3D8B4065E1149DCA4A0825B17127EDE"/>
                          <pic:cNvPicPr/>
                        </pic:nvPicPr>
                        <pic:blipFill>
                          <a:blip r:embed="rId136"/>
                          <a:stretch>
                            <a:fillRect/>
                          </a:stretch>
                        </pic:blipFill>
                        <pic:spPr>
                          <a:xfrm>
                            <a:off x="0" y="0"/>
                            <a:ext cx="854710" cy="822960"/>
                          </a:xfrm>
                          <a:prstGeom prst="rect">
                            <a:avLst/>
                          </a:prstGeom>
                          <a:noFill/>
                          <a:ln>
                            <a:noFill/>
                          </a:ln>
                        </pic:spPr>
                      </pic:pic>
                    </a:graphicData>
                  </a:graphic>
                </wp:anchor>
              </w:drawing>
            </w:r>
          </w:p>
        </w:tc>
      </w:tr>
      <w:tr w14:paraId="796A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F6CD22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1DB0B11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玩水墙</w:t>
            </w:r>
          </w:p>
        </w:tc>
        <w:tc>
          <w:tcPr>
            <w:tcW w:w="8697" w:type="dxa"/>
            <w:vAlign w:val="center"/>
          </w:tcPr>
          <w:p w14:paraId="5D88D70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规格：150*80*110cm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1.主体材质芬兰木，木板：9.7*2cm，支架：9.5*2.8cm，表面处理：进行压、刨、铣、冲等处理后，表面进行防腐、防蛀处理，后采用原子灰进行三次刮灰抹平，并打磨光滑，表面喷涂三次聚氨脂清漆。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2.水管架由水管，底板和侧板支撑组成，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3.双色PE板采用：1.9cm。耐力板采用8mm。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4.其中水管部件采用采用优质PVC-U塑料，材质有极强抗压性及优质稳定性，可长期户外使用。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5.底板规格140*10*110cm，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6.侧板支撑规格80*10*50cm，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8.产品外表和内表以及儿童手指可触及处无毛刺及尖锐的棱角，油漆采用户外哑光漆 。</w:t>
            </w:r>
          </w:p>
        </w:tc>
        <w:tc>
          <w:tcPr>
            <w:tcW w:w="840" w:type="dxa"/>
            <w:vAlign w:val="center"/>
          </w:tcPr>
          <w:p w14:paraId="2ECDAED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BE75A5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3F886B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-63500</wp:posOffset>
                  </wp:positionH>
                  <wp:positionV relativeFrom="paragraph">
                    <wp:posOffset>373380</wp:posOffset>
                  </wp:positionV>
                  <wp:extent cx="1092200" cy="897890"/>
                  <wp:effectExtent l="0" t="0" r="5080" b="1270"/>
                  <wp:wrapNone/>
                  <wp:docPr id="883" name="ID_030D4F7DFEAD485C9CEFC793A70DF8FE"/>
                  <wp:cNvGraphicFramePr/>
                  <a:graphic xmlns:a="http://schemas.openxmlformats.org/drawingml/2006/main">
                    <a:graphicData uri="http://schemas.openxmlformats.org/drawingml/2006/picture">
                      <pic:pic xmlns:pic="http://schemas.openxmlformats.org/drawingml/2006/picture">
                        <pic:nvPicPr>
                          <pic:cNvPr id="883" name="ID_030D4F7DFEAD485C9CEFC793A70DF8FE"/>
                          <pic:cNvPicPr/>
                        </pic:nvPicPr>
                        <pic:blipFill>
                          <a:blip r:embed="rId137"/>
                          <a:stretch>
                            <a:fillRect/>
                          </a:stretch>
                        </pic:blipFill>
                        <pic:spPr>
                          <a:xfrm>
                            <a:off x="0" y="0"/>
                            <a:ext cx="1092200" cy="897890"/>
                          </a:xfrm>
                          <a:prstGeom prst="rect">
                            <a:avLst/>
                          </a:prstGeom>
                          <a:noFill/>
                          <a:ln>
                            <a:noFill/>
                          </a:ln>
                        </pic:spPr>
                      </pic:pic>
                    </a:graphicData>
                  </a:graphic>
                </wp:anchor>
              </w:drawing>
            </w:r>
          </w:p>
        </w:tc>
      </w:tr>
      <w:tr w14:paraId="5FC8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6D690C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3BECDE7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沙水玩具</w:t>
            </w:r>
          </w:p>
        </w:tc>
        <w:tc>
          <w:tcPr>
            <w:tcW w:w="8697" w:type="dxa"/>
            <w:vAlign w:val="center"/>
          </w:tcPr>
          <w:p w14:paraId="3D27A99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435*80*170cm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1.主体材质芬兰木，边框：4.5*4.5cm，支架：9.5*2.8cm，表面处理：进行压、刨、铣、冲等处理后，表面进行防腐、防蛀处理，后采用原子灰进行三次刮灰抹平，并打磨光滑，表面喷涂三次聚氨脂清漆。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2.耐力板采用8mm。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3.其中水管部件采用采用优质PVC-U塑料，材质有极强抗压性及优质稳定性，可长期户外使用。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 。</w:t>
            </w:r>
          </w:p>
        </w:tc>
        <w:tc>
          <w:tcPr>
            <w:tcW w:w="840" w:type="dxa"/>
            <w:vAlign w:val="center"/>
          </w:tcPr>
          <w:p w14:paraId="30BF54F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8EFCBE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9E7E54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36830</wp:posOffset>
                  </wp:positionH>
                  <wp:positionV relativeFrom="paragraph">
                    <wp:posOffset>226695</wp:posOffset>
                  </wp:positionV>
                  <wp:extent cx="984885" cy="781685"/>
                  <wp:effectExtent l="0" t="0" r="5715" b="10795"/>
                  <wp:wrapNone/>
                  <wp:docPr id="885" name="ID_C2C8DFDCB11441629B2DB0AD462573D6"/>
                  <wp:cNvGraphicFramePr/>
                  <a:graphic xmlns:a="http://schemas.openxmlformats.org/drawingml/2006/main">
                    <a:graphicData uri="http://schemas.openxmlformats.org/drawingml/2006/picture">
                      <pic:pic xmlns:pic="http://schemas.openxmlformats.org/drawingml/2006/picture">
                        <pic:nvPicPr>
                          <pic:cNvPr id="885" name="ID_C2C8DFDCB11441629B2DB0AD462573D6"/>
                          <pic:cNvPicPr/>
                        </pic:nvPicPr>
                        <pic:blipFill>
                          <a:blip r:embed="rId138"/>
                          <a:stretch>
                            <a:fillRect/>
                          </a:stretch>
                        </pic:blipFill>
                        <pic:spPr>
                          <a:xfrm>
                            <a:off x="0" y="0"/>
                            <a:ext cx="984885" cy="781685"/>
                          </a:xfrm>
                          <a:prstGeom prst="rect">
                            <a:avLst/>
                          </a:prstGeom>
                          <a:noFill/>
                          <a:ln>
                            <a:noFill/>
                          </a:ln>
                        </pic:spPr>
                      </pic:pic>
                    </a:graphicData>
                  </a:graphic>
                </wp:anchor>
              </w:drawing>
            </w:r>
          </w:p>
        </w:tc>
      </w:tr>
      <w:tr w14:paraId="7E50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BD1525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660FA41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厨房（不含灶台）</w:t>
            </w:r>
          </w:p>
        </w:tc>
        <w:tc>
          <w:tcPr>
            <w:tcW w:w="8697" w:type="dxa"/>
            <w:vAlign w:val="center"/>
          </w:tcPr>
          <w:p w14:paraId="11910F9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规格750*210*270cm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1.主体材质芬兰木，主立柱：φ直径15cm，表面处理：进行压、刨、铣、冲等处理后，表面进行防腐、防蛀处理，后采用原子灰进行三次刮灰抹平，并打磨光滑，表面喷涂三次聚氨脂清漆。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2.茅草顶：采用高分子树脂仿真茅草用高分子塑料成分经模具压制成型，克服了天然茅草的易腐烂、易褪色。</w:t>
            </w:r>
          </w:p>
        </w:tc>
        <w:tc>
          <w:tcPr>
            <w:tcW w:w="840" w:type="dxa"/>
            <w:vAlign w:val="center"/>
          </w:tcPr>
          <w:p w14:paraId="395A142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53E91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C6E84E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-19685</wp:posOffset>
                  </wp:positionH>
                  <wp:positionV relativeFrom="paragraph">
                    <wp:posOffset>419735</wp:posOffset>
                  </wp:positionV>
                  <wp:extent cx="952500" cy="414655"/>
                  <wp:effectExtent l="0" t="0" r="7620" b="12065"/>
                  <wp:wrapNone/>
                  <wp:docPr id="887" name="ID_EAC87F99EC0149D3A03FF1CF96A7A08D"/>
                  <wp:cNvGraphicFramePr/>
                  <a:graphic xmlns:a="http://schemas.openxmlformats.org/drawingml/2006/main">
                    <a:graphicData uri="http://schemas.openxmlformats.org/drawingml/2006/picture">
                      <pic:pic xmlns:pic="http://schemas.openxmlformats.org/drawingml/2006/picture">
                        <pic:nvPicPr>
                          <pic:cNvPr id="887" name="ID_EAC87F99EC0149D3A03FF1CF96A7A08D"/>
                          <pic:cNvPicPr/>
                        </pic:nvPicPr>
                        <pic:blipFill>
                          <a:blip r:embed="rId139"/>
                          <a:stretch>
                            <a:fillRect/>
                          </a:stretch>
                        </pic:blipFill>
                        <pic:spPr>
                          <a:xfrm>
                            <a:off x="0" y="0"/>
                            <a:ext cx="952500" cy="414655"/>
                          </a:xfrm>
                          <a:prstGeom prst="rect">
                            <a:avLst/>
                          </a:prstGeom>
                          <a:noFill/>
                          <a:ln>
                            <a:noFill/>
                          </a:ln>
                        </pic:spPr>
                      </pic:pic>
                    </a:graphicData>
                  </a:graphic>
                </wp:anchor>
              </w:drawing>
            </w:r>
          </w:p>
        </w:tc>
      </w:tr>
      <w:tr w14:paraId="57AF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1B8483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230F1E4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黑板</w:t>
            </w:r>
          </w:p>
        </w:tc>
        <w:tc>
          <w:tcPr>
            <w:tcW w:w="8697" w:type="dxa"/>
            <w:vAlign w:val="center"/>
          </w:tcPr>
          <w:p w14:paraId="2F53238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1.规格：黑板尺寸120*50*110cm，正面采用抗倍特可用于涂鸦；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2.木头框架主体材质芬兰木，立柱采用：7*7cm，表面处理：进行压、刨、铣、冲等处理后，表面进行防腐、防蛀处理，后采用原子灰进行三次刮灰抹平，并打磨光滑，表面喷涂三次聚氨脂清漆。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5677351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9A6FD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0AA45B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-19685</wp:posOffset>
                  </wp:positionH>
                  <wp:positionV relativeFrom="paragraph">
                    <wp:posOffset>221615</wp:posOffset>
                  </wp:positionV>
                  <wp:extent cx="932180" cy="782955"/>
                  <wp:effectExtent l="0" t="0" r="12700" b="9525"/>
                  <wp:wrapNone/>
                  <wp:docPr id="889" name="ID_8408E9816BC647F2866CAAF088212998"/>
                  <wp:cNvGraphicFramePr/>
                  <a:graphic xmlns:a="http://schemas.openxmlformats.org/drawingml/2006/main">
                    <a:graphicData uri="http://schemas.openxmlformats.org/drawingml/2006/picture">
                      <pic:pic xmlns:pic="http://schemas.openxmlformats.org/drawingml/2006/picture">
                        <pic:nvPicPr>
                          <pic:cNvPr id="889" name="ID_8408E9816BC647F2866CAAF088212998"/>
                          <pic:cNvPicPr/>
                        </pic:nvPicPr>
                        <pic:blipFill>
                          <a:blip r:embed="rId140"/>
                          <a:stretch>
                            <a:fillRect/>
                          </a:stretch>
                        </pic:blipFill>
                        <pic:spPr>
                          <a:xfrm>
                            <a:off x="0" y="0"/>
                            <a:ext cx="932180" cy="782955"/>
                          </a:xfrm>
                          <a:prstGeom prst="rect">
                            <a:avLst/>
                          </a:prstGeom>
                          <a:noFill/>
                          <a:ln>
                            <a:noFill/>
                          </a:ln>
                        </pic:spPr>
                      </pic:pic>
                    </a:graphicData>
                  </a:graphic>
                </wp:anchor>
              </w:drawing>
            </w:r>
          </w:p>
        </w:tc>
      </w:tr>
      <w:tr w14:paraId="0546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93CBEE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14ACF5C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白板</w:t>
            </w:r>
          </w:p>
        </w:tc>
        <w:tc>
          <w:tcPr>
            <w:tcW w:w="8697" w:type="dxa"/>
            <w:vAlign w:val="center"/>
          </w:tcPr>
          <w:p w14:paraId="04A46D0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1.规格：透明板尺寸120*50*110cm；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2.木头框架主体材质芬兰木，立柱采用：7*7cm，表面处理：进行压、刨、铣、冲等处理后，表面进行防腐、防蛀处理，后采用原子灰进行三次刮灰抹平，并打磨光滑，表面喷涂三次聚氨脂清漆。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3.透明板采用耐力板：4mm，特性:耐撞击、坚韧安全；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 。</w:t>
            </w:r>
          </w:p>
        </w:tc>
        <w:tc>
          <w:tcPr>
            <w:tcW w:w="840" w:type="dxa"/>
            <w:vAlign w:val="center"/>
          </w:tcPr>
          <w:p w14:paraId="539C7F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E7168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762ECA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-19685</wp:posOffset>
                  </wp:positionH>
                  <wp:positionV relativeFrom="paragraph">
                    <wp:posOffset>123825</wp:posOffset>
                  </wp:positionV>
                  <wp:extent cx="960755" cy="772160"/>
                  <wp:effectExtent l="0" t="0" r="14605" b="5080"/>
                  <wp:wrapNone/>
                  <wp:docPr id="891" name="ID_FDEAEBD689584812AC79C017C0EDA5E3"/>
                  <wp:cNvGraphicFramePr/>
                  <a:graphic xmlns:a="http://schemas.openxmlformats.org/drawingml/2006/main">
                    <a:graphicData uri="http://schemas.openxmlformats.org/drawingml/2006/picture">
                      <pic:pic xmlns:pic="http://schemas.openxmlformats.org/drawingml/2006/picture">
                        <pic:nvPicPr>
                          <pic:cNvPr id="891" name="ID_FDEAEBD689584812AC79C017C0EDA5E3"/>
                          <pic:cNvPicPr/>
                        </pic:nvPicPr>
                        <pic:blipFill>
                          <a:blip r:embed="rId141"/>
                          <a:stretch>
                            <a:fillRect/>
                          </a:stretch>
                        </pic:blipFill>
                        <pic:spPr>
                          <a:xfrm>
                            <a:off x="0" y="0"/>
                            <a:ext cx="960755" cy="772160"/>
                          </a:xfrm>
                          <a:prstGeom prst="rect">
                            <a:avLst/>
                          </a:prstGeom>
                          <a:noFill/>
                          <a:ln>
                            <a:noFill/>
                          </a:ln>
                        </pic:spPr>
                      </pic:pic>
                    </a:graphicData>
                  </a:graphic>
                </wp:anchor>
              </w:drawing>
            </w:r>
          </w:p>
        </w:tc>
      </w:tr>
      <w:tr w14:paraId="1457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664" w:type="dxa"/>
            <w:vAlign w:val="center"/>
          </w:tcPr>
          <w:p w14:paraId="6D0F737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17</w:t>
            </w:r>
          </w:p>
        </w:tc>
        <w:tc>
          <w:tcPr>
            <w:tcW w:w="1293" w:type="dxa"/>
            <w:vAlign w:val="center"/>
          </w:tcPr>
          <w:p w14:paraId="17652F4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光影三角屋</w:t>
            </w:r>
          </w:p>
        </w:tc>
        <w:tc>
          <w:tcPr>
            <w:tcW w:w="8697" w:type="dxa"/>
            <w:vAlign w:val="center"/>
          </w:tcPr>
          <w:p w14:paraId="398C739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 180*200*180cm；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木头主体材质芬兰木，平台板厚度2.8cm；表面处理：进行压、刨、铣、冲等处理后，表面进行防腐、防蛀处理，后采用原子灰进行三次刮灰抹平，并打磨光滑，表面喷涂三次聚氨脂清漆，产品外表和内表以及儿童手指可触及处无毛刺及尖锐的棱角，油漆采用户外哑光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2.铁件：主立柱5*5cm，主料4*8cm，辅料3*5cm，厚度为2毫米镀锌钢管，经酸洗处理，表面光滑，抗紫外光能力强，色彩鲜艳，不易脱落，耐腐蚀；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3.透明部分采用4mm厚耐力板，特性:耐撞击、坚韧安全；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p>
        </w:tc>
        <w:tc>
          <w:tcPr>
            <w:tcW w:w="840" w:type="dxa"/>
            <w:vAlign w:val="center"/>
          </w:tcPr>
          <w:p w14:paraId="2B803C3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组</w:t>
            </w:r>
          </w:p>
        </w:tc>
        <w:tc>
          <w:tcPr>
            <w:tcW w:w="893" w:type="dxa"/>
            <w:vAlign w:val="center"/>
          </w:tcPr>
          <w:p w14:paraId="6F9C0AA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2DF0AD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45085</wp:posOffset>
                  </wp:positionH>
                  <wp:positionV relativeFrom="paragraph">
                    <wp:posOffset>45720</wp:posOffset>
                  </wp:positionV>
                  <wp:extent cx="887730" cy="820420"/>
                  <wp:effectExtent l="0" t="0" r="11430" b="2540"/>
                  <wp:wrapNone/>
                  <wp:docPr id="893" name="ID_6F821E788D4F470BAB6C0CA66D9BDFD8"/>
                  <wp:cNvGraphicFramePr/>
                  <a:graphic xmlns:a="http://schemas.openxmlformats.org/drawingml/2006/main">
                    <a:graphicData uri="http://schemas.openxmlformats.org/drawingml/2006/picture">
                      <pic:pic xmlns:pic="http://schemas.openxmlformats.org/drawingml/2006/picture">
                        <pic:nvPicPr>
                          <pic:cNvPr id="893" name="ID_6F821E788D4F470BAB6C0CA66D9BDFD8"/>
                          <pic:cNvPicPr/>
                        </pic:nvPicPr>
                        <pic:blipFill>
                          <a:blip r:embed="rId142"/>
                          <a:stretch>
                            <a:fillRect/>
                          </a:stretch>
                        </pic:blipFill>
                        <pic:spPr>
                          <a:xfrm>
                            <a:off x="0" y="0"/>
                            <a:ext cx="887730" cy="820420"/>
                          </a:xfrm>
                          <a:prstGeom prst="rect">
                            <a:avLst/>
                          </a:prstGeom>
                          <a:noFill/>
                          <a:ln>
                            <a:noFill/>
                          </a:ln>
                        </pic:spPr>
                      </pic:pic>
                    </a:graphicData>
                  </a:graphic>
                </wp:anchor>
              </w:drawing>
            </w:r>
          </w:p>
        </w:tc>
      </w:tr>
      <w:tr w14:paraId="6273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trPr>
        <w:tc>
          <w:tcPr>
            <w:tcW w:w="664" w:type="dxa"/>
            <w:vAlign w:val="center"/>
          </w:tcPr>
          <w:p w14:paraId="326B247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18</w:t>
            </w:r>
          </w:p>
        </w:tc>
        <w:tc>
          <w:tcPr>
            <w:tcW w:w="1293" w:type="dxa"/>
            <w:vAlign w:val="center"/>
          </w:tcPr>
          <w:p w14:paraId="37E20C6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移动涂鸦白板</w:t>
            </w:r>
          </w:p>
        </w:tc>
        <w:tc>
          <w:tcPr>
            <w:tcW w:w="8697" w:type="dxa"/>
            <w:vAlign w:val="center"/>
          </w:tcPr>
          <w:p w14:paraId="3BE063E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1.规格:100*25*135cm，白板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2.主体材质芬兰木，立柱采用：2.8cm，涂鸦板：2.8cm，表面处理：进行压、刨、铣、冲等处理后，表面进行防腐、防蛀处理，后采用原子灰进行三次刮灰抹平，并打磨光滑，表面喷涂三次聚氨脂清漆。。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3.彩色造型部分采用耐力板：4mm，又称PC板，是以高性能的工程塑料聚碳酸酯或聚碳-酸脂加工而成。涂鸦耐力板采用：0.8cm。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 。</w:t>
            </w:r>
          </w:p>
        </w:tc>
        <w:tc>
          <w:tcPr>
            <w:tcW w:w="840" w:type="dxa"/>
            <w:vAlign w:val="center"/>
          </w:tcPr>
          <w:p w14:paraId="18D355B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8B38F0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34627D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76200</wp:posOffset>
                  </wp:positionH>
                  <wp:positionV relativeFrom="paragraph">
                    <wp:posOffset>30480</wp:posOffset>
                  </wp:positionV>
                  <wp:extent cx="864235" cy="891540"/>
                  <wp:effectExtent l="0" t="0" r="4445" b="7620"/>
                  <wp:wrapNone/>
                  <wp:docPr id="895" name="ID_B0B72FA0AF4A48589ECFD7E2870ADF3A"/>
                  <wp:cNvGraphicFramePr/>
                  <a:graphic xmlns:a="http://schemas.openxmlformats.org/drawingml/2006/main">
                    <a:graphicData uri="http://schemas.openxmlformats.org/drawingml/2006/picture">
                      <pic:pic xmlns:pic="http://schemas.openxmlformats.org/drawingml/2006/picture">
                        <pic:nvPicPr>
                          <pic:cNvPr id="895" name="ID_B0B72FA0AF4A48589ECFD7E2870ADF3A"/>
                          <pic:cNvPicPr/>
                        </pic:nvPicPr>
                        <pic:blipFill>
                          <a:blip r:embed="rId143"/>
                          <a:stretch>
                            <a:fillRect/>
                          </a:stretch>
                        </pic:blipFill>
                        <pic:spPr>
                          <a:xfrm>
                            <a:off x="0" y="0"/>
                            <a:ext cx="864235" cy="891540"/>
                          </a:xfrm>
                          <a:prstGeom prst="rect">
                            <a:avLst/>
                          </a:prstGeom>
                          <a:noFill/>
                          <a:ln>
                            <a:noFill/>
                          </a:ln>
                        </pic:spPr>
                      </pic:pic>
                    </a:graphicData>
                  </a:graphic>
                </wp:anchor>
              </w:drawing>
            </w:r>
          </w:p>
        </w:tc>
      </w:tr>
      <w:tr w14:paraId="6686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trPr>
        <w:tc>
          <w:tcPr>
            <w:tcW w:w="664" w:type="dxa"/>
            <w:vAlign w:val="center"/>
          </w:tcPr>
          <w:p w14:paraId="1C893F7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19</w:t>
            </w:r>
          </w:p>
        </w:tc>
        <w:tc>
          <w:tcPr>
            <w:tcW w:w="1293" w:type="dxa"/>
            <w:vAlign w:val="center"/>
          </w:tcPr>
          <w:p w14:paraId="253B77F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户外沙漏A</w:t>
            </w:r>
          </w:p>
        </w:tc>
        <w:tc>
          <w:tcPr>
            <w:tcW w:w="8697" w:type="dxa"/>
            <w:vAlign w:val="center"/>
          </w:tcPr>
          <w:p w14:paraId="7E5D0C8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规格30*30*60cm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1.主体材质芬兰木，主立柱：3*3cm，板材厚度2cm，表面处理：进行压、刨、铣、冲等处理后，表面进行防腐、防蛀处理，后采用原子灰进行三次刮灰抹平，并打磨光滑，表面喷涂三次聚氨脂清漆。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3.产品外表和内表以及儿童手指可触及处无毛刺及尖锐的棱角，油漆采用户外环保漆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4.PE板材质：高密度聚乙烯，厚度1.5cm，耐力板厚度8mm，产品无臭，无毒。</w:t>
            </w:r>
          </w:p>
        </w:tc>
        <w:tc>
          <w:tcPr>
            <w:tcW w:w="840" w:type="dxa"/>
            <w:vAlign w:val="center"/>
          </w:tcPr>
          <w:p w14:paraId="29E0633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56059A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1B4AAC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-11430</wp:posOffset>
                  </wp:positionH>
                  <wp:positionV relativeFrom="paragraph">
                    <wp:posOffset>161925</wp:posOffset>
                  </wp:positionV>
                  <wp:extent cx="944880" cy="1027430"/>
                  <wp:effectExtent l="0" t="0" r="0" b="8890"/>
                  <wp:wrapNone/>
                  <wp:docPr id="897" name="ID_59D8AD3368884D2EA67ABF21DD0F1C6E"/>
                  <wp:cNvGraphicFramePr/>
                  <a:graphic xmlns:a="http://schemas.openxmlformats.org/drawingml/2006/main">
                    <a:graphicData uri="http://schemas.openxmlformats.org/drawingml/2006/picture">
                      <pic:pic xmlns:pic="http://schemas.openxmlformats.org/drawingml/2006/picture">
                        <pic:nvPicPr>
                          <pic:cNvPr id="897" name="ID_59D8AD3368884D2EA67ABF21DD0F1C6E"/>
                          <pic:cNvPicPr/>
                        </pic:nvPicPr>
                        <pic:blipFill>
                          <a:blip r:embed="rId144"/>
                          <a:stretch>
                            <a:fillRect/>
                          </a:stretch>
                        </pic:blipFill>
                        <pic:spPr>
                          <a:xfrm>
                            <a:off x="0" y="0"/>
                            <a:ext cx="944880" cy="1027430"/>
                          </a:xfrm>
                          <a:prstGeom prst="rect">
                            <a:avLst/>
                          </a:prstGeom>
                          <a:noFill/>
                          <a:ln>
                            <a:noFill/>
                          </a:ln>
                        </pic:spPr>
                      </pic:pic>
                    </a:graphicData>
                  </a:graphic>
                </wp:anchor>
              </w:drawing>
            </w:r>
          </w:p>
        </w:tc>
      </w:tr>
      <w:tr w14:paraId="7250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8" w:hRule="atLeast"/>
        </w:trPr>
        <w:tc>
          <w:tcPr>
            <w:tcW w:w="664" w:type="dxa"/>
            <w:vAlign w:val="center"/>
          </w:tcPr>
          <w:p w14:paraId="3A90BE9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20</w:t>
            </w:r>
          </w:p>
        </w:tc>
        <w:tc>
          <w:tcPr>
            <w:tcW w:w="1293" w:type="dxa"/>
            <w:vAlign w:val="center"/>
          </w:tcPr>
          <w:p w14:paraId="3E793C9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户外沙漏C</w:t>
            </w:r>
          </w:p>
        </w:tc>
        <w:tc>
          <w:tcPr>
            <w:tcW w:w="8697" w:type="dxa"/>
            <w:vAlign w:val="center"/>
          </w:tcPr>
          <w:p w14:paraId="5ED9C0C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规格30*30*60cm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1.主体材质芬兰木，主立柱：3*3cm，表面处理：进行压、刨、铣、冲等处理后，表面进行防腐、防蛀处理，后采用原子灰进行三次刮灰抹平，并打磨光滑，表面喷涂三次聚氨脂清漆。，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3.产品外表和内表以及儿童手指可触及处无毛刺及尖锐的棱角，油漆采用户外环保漆 。</w:t>
            </w:r>
          </w:p>
        </w:tc>
        <w:tc>
          <w:tcPr>
            <w:tcW w:w="840" w:type="dxa"/>
            <w:vAlign w:val="center"/>
          </w:tcPr>
          <w:p w14:paraId="0B7FEAC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C7A18B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1820D9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71120</wp:posOffset>
                  </wp:positionH>
                  <wp:positionV relativeFrom="paragraph">
                    <wp:posOffset>122555</wp:posOffset>
                  </wp:positionV>
                  <wp:extent cx="833120" cy="925195"/>
                  <wp:effectExtent l="0" t="0" r="5080" b="4445"/>
                  <wp:wrapNone/>
                  <wp:docPr id="899" name="ID_DF41E2F045714AF2B6A6BE376E6EC2E5"/>
                  <wp:cNvGraphicFramePr/>
                  <a:graphic xmlns:a="http://schemas.openxmlformats.org/drawingml/2006/main">
                    <a:graphicData uri="http://schemas.openxmlformats.org/drawingml/2006/picture">
                      <pic:pic xmlns:pic="http://schemas.openxmlformats.org/drawingml/2006/picture">
                        <pic:nvPicPr>
                          <pic:cNvPr id="899" name="ID_DF41E2F045714AF2B6A6BE376E6EC2E5"/>
                          <pic:cNvPicPr/>
                        </pic:nvPicPr>
                        <pic:blipFill>
                          <a:blip r:embed="rId145"/>
                          <a:stretch>
                            <a:fillRect/>
                          </a:stretch>
                        </pic:blipFill>
                        <pic:spPr>
                          <a:xfrm>
                            <a:off x="0" y="0"/>
                            <a:ext cx="833120" cy="925195"/>
                          </a:xfrm>
                          <a:prstGeom prst="rect">
                            <a:avLst/>
                          </a:prstGeom>
                          <a:noFill/>
                          <a:ln>
                            <a:noFill/>
                          </a:ln>
                        </pic:spPr>
                      </pic:pic>
                    </a:graphicData>
                  </a:graphic>
                </wp:anchor>
              </w:drawing>
            </w:r>
          </w:p>
        </w:tc>
      </w:tr>
      <w:tr w14:paraId="0A8D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8E4F6A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21</w:t>
            </w:r>
          </w:p>
        </w:tc>
        <w:tc>
          <w:tcPr>
            <w:tcW w:w="1293" w:type="dxa"/>
            <w:vAlign w:val="center"/>
          </w:tcPr>
          <w:p w14:paraId="6BFF1E7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户外沙漏E</w:t>
            </w:r>
          </w:p>
        </w:tc>
        <w:tc>
          <w:tcPr>
            <w:tcW w:w="8697" w:type="dxa"/>
            <w:vAlign w:val="center"/>
          </w:tcPr>
          <w:p w14:paraId="1023227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规格：60*30*85cm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1.主体材质芬兰木，主立柱：3*3cm，表面处理：进行压、刨、铣、冲等处理后，表面进行防腐、防蛀处理，后采用原子灰进行三次刮灰抹平，并打磨光滑，表面喷涂三次聚氨脂清漆。，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2.摩天轮玩沙由沙漏，2个支撑面，水车，滑道，2个挡板，支撑底板组成，沙漏规格：27*12*17cm，支撑面规格：20*2*70cm，水车规格：20*10*20cm，滑道规格：35*10*4cm，侧面支撑规格：22*2*10cm，挡板规格：60*30*2cm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4.产品外表和内表以及儿童手指可触及处无毛刺及尖锐的棱角，油漆采用户外环保漆 。</w:t>
            </w:r>
          </w:p>
        </w:tc>
        <w:tc>
          <w:tcPr>
            <w:tcW w:w="840" w:type="dxa"/>
            <w:vAlign w:val="center"/>
          </w:tcPr>
          <w:p w14:paraId="15D057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7B38C4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EE432D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71120</wp:posOffset>
                  </wp:positionH>
                  <wp:positionV relativeFrom="paragraph">
                    <wp:posOffset>452120</wp:posOffset>
                  </wp:positionV>
                  <wp:extent cx="882650" cy="943610"/>
                  <wp:effectExtent l="0" t="0" r="1270" b="1270"/>
                  <wp:wrapNone/>
                  <wp:docPr id="901" name="ID_7D6C46F58A9B4B728B0E6D40ED77638E"/>
                  <wp:cNvGraphicFramePr/>
                  <a:graphic xmlns:a="http://schemas.openxmlformats.org/drawingml/2006/main">
                    <a:graphicData uri="http://schemas.openxmlformats.org/drawingml/2006/picture">
                      <pic:pic xmlns:pic="http://schemas.openxmlformats.org/drawingml/2006/picture">
                        <pic:nvPicPr>
                          <pic:cNvPr id="901" name="ID_7D6C46F58A9B4B728B0E6D40ED77638E"/>
                          <pic:cNvPicPr/>
                        </pic:nvPicPr>
                        <pic:blipFill>
                          <a:blip r:embed="rId146"/>
                          <a:stretch>
                            <a:fillRect/>
                          </a:stretch>
                        </pic:blipFill>
                        <pic:spPr>
                          <a:xfrm>
                            <a:off x="0" y="0"/>
                            <a:ext cx="882650" cy="943610"/>
                          </a:xfrm>
                          <a:prstGeom prst="rect">
                            <a:avLst/>
                          </a:prstGeom>
                          <a:noFill/>
                          <a:ln>
                            <a:noFill/>
                          </a:ln>
                        </pic:spPr>
                      </pic:pic>
                    </a:graphicData>
                  </a:graphic>
                </wp:anchor>
              </w:drawing>
            </w:r>
          </w:p>
        </w:tc>
      </w:tr>
      <w:tr w14:paraId="5A7D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33E64C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22</w:t>
            </w:r>
          </w:p>
        </w:tc>
        <w:tc>
          <w:tcPr>
            <w:tcW w:w="1293" w:type="dxa"/>
            <w:vAlign w:val="center"/>
          </w:tcPr>
          <w:p w14:paraId="2666552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多位天平</w:t>
            </w:r>
          </w:p>
        </w:tc>
        <w:tc>
          <w:tcPr>
            <w:tcW w:w="8697" w:type="dxa"/>
            <w:vAlign w:val="center"/>
          </w:tcPr>
          <w:p w14:paraId="319E1E6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规格100*45*70cm；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1.主体材质芬兰木，板材厚度不小于2cm,表面处理：进行压、刨、铣、冲等处理后，表面进行防腐、防蛀处理，后采用原子灰进行三次刮灰抹平，并打磨光滑，表面喷涂三次聚氨脂清漆；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 。</w:t>
            </w:r>
          </w:p>
        </w:tc>
        <w:tc>
          <w:tcPr>
            <w:tcW w:w="840" w:type="dxa"/>
            <w:vAlign w:val="center"/>
          </w:tcPr>
          <w:p w14:paraId="0B0CB91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9BEDD5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D030A4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82550</wp:posOffset>
                  </wp:positionH>
                  <wp:positionV relativeFrom="paragraph">
                    <wp:posOffset>71120</wp:posOffset>
                  </wp:positionV>
                  <wp:extent cx="845820" cy="667385"/>
                  <wp:effectExtent l="0" t="0" r="7620" b="3175"/>
                  <wp:wrapNone/>
                  <wp:docPr id="903" name="ID_B6F4C66D4AD142858B4C6EB8FB4145A5"/>
                  <wp:cNvGraphicFramePr/>
                  <a:graphic xmlns:a="http://schemas.openxmlformats.org/drawingml/2006/main">
                    <a:graphicData uri="http://schemas.openxmlformats.org/drawingml/2006/picture">
                      <pic:pic xmlns:pic="http://schemas.openxmlformats.org/drawingml/2006/picture">
                        <pic:nvPicPr>
                          <pic:cNvPr id="903" name="ID_B6F4C66D4AD142858B4C6EB8FB4145A5"/>
                          <pic:cNvPicPr/>
                        </pic:nvPicPr>
                        <pic:blipFill>
                          <a:blip r:embed="rId147"/>
                          <a:stretch>
                            <a:fillRect/>
                          </a:stretch>
                        </pic:blipFill>
                        <pic:spPr>
                          <a:xfrm>
                            <a:off x="0" y="0"/>
                            <a:ext cx="845820" cy="667385"/>
                          </a:xfrm>
                          <a:prstGeom prst="rect">
                            <a:avLst/>
                          </a:prstGeom>
                          <a:noFill/>
                          <a:ln>
                            <a:noFill/>
                          </a:ln>
                        </pic:spPr>
                      </pic:pic>
                    </a:graphicData>
                  </a:graphic>
                </wp:anchor>
              </w:drawing>
            </w:r>
          </w:p>
        </w:tc>
      </w:tr>
      <w:tr w14:paraId="24C1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trPr>
        <w:tc>
          <w:tcPr>
            <w:tcW w:w="664" w:type="dxa"/>
            <w:vAlign w:val="center"/>
          </w:tcPr>
          <w:p w14:paraId="4FEE2B3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23</w:t>
            </w:r>
          </w:p>
        </w:tc>
        <w:tc>
          <w:tcPr>
            <w:tcW w:w="1293" w:type="dxa"/>
            <w:vAlign w:val="center"/>
          </w:tcPr>
          <w:p w14:paraId="67564E1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筛沙网</w:t>
            </w:r>
          </w:p>
        </w:tc>
        <w:tc>
          <w:tcPr>
            <w:tcW w:w="8697" w:type="dxa"/>
            <w:vAlign w:val="center"/>
          </w:tcPr>
          <w:p w14:paraId="6D93330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规格：60*50*80cm；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1.立板：4.5*4.5cm，方框4.5*2cm，主体材质芬兰木，表面处理：进行压、刨、铣、冲等处理后，表面进行防腐、防蛀处理，后采用原子灰进行三次刮灰抹平，并打磨光滑，表面喷涂三次聚氨脂清漆。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2.筛沙网规格为35*35cm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6B0F626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E2EDDA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5A09A1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53975</wp:posOffset>
                  </wp:positionH>
                  <wp:positionV relativeFrom="paragraph">
                    <wp:posOffset>-508000</wp:posOffset>
                  </wp:positionV>
                  <wp:extent cx="913765" cy="947420"/>
                  <wp:effectExtent l="0" t="0" r="635" b="12700"/>
                  <wp:wrapNone/>
                  <wp:docPr id="905" name="ID_4D53D5C046F549648FFD402DDD76A2CA"/>
                  <wp:cNvGraphicFramePr/>
                  <a:graphic xmlns:a="http://schemas.openxmlformats.org/drawingml/2006/main">
                    <a:graphicData uri="http://schemas.openxmlformats.org/drawingml/2006/picture">
                      <pic:pic xmlns:pic="http://schemas.openxmlformats.org/drawingml/2006/picture">
                        <pic:nvPicPr>
                          <pic:cNvPr id="905" name="ID_4D53D5C046F549648FFD402DDD76A2CA"/>
                          <pic:cNvPicPr/>
                        </pic:nvPicPr>
                        <pic:blipFill>
                          <a:blip r:embed="rId148"/>
                          <a:stretch>
                            <a:fillRect/>
                          </a:stretch>
                        </pic:blipFill>
                        <pic:spPr>
                          <a:xfrm>
                            <a:off x="0" y="0"/>
                            <a:ext cx="913765" cy="947420"/>
                          </a:xfrm>
                          <a:prstGeom prst="rect">
                            <a:avLst/>
                          </a:prstGeom>
                          <a:noFill/>
                          <a:ln>
                            <a:noFill/>
                          </a:ln>
                        </pic:spPr>
                      </pic:pic>
                    </a:graphicData>
                  </a:graphic>
                </wp:anchor>
              </w:drawing>
            </w:r>
          </w:p>
        </w:tc>
      </w:tr>
      <w:tr w14:paraId="36A2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29B322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24</w:t>
            </w:r>
          </w:p>
        </w:tc>
        <w:tc>
          <w:tcPr>
            <w:tcW w:w="1293" w:type="dxa"/>
            <w:vAlign w:val="center"/>
          </w:tcPr>
          <w:p w14:paraId="2626A34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户外多功能玩具桌</w:t>
            </w:r>
          </w:p>
        </w:tc>
        <w:tc>
          <w:tcPr>
            <w:tcW w:w="8697" w:type="dxa"/>
            <w:vAlign w:val="center"/>
          </w:tcPr>
          <w:p w14:paraId="6D0A479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规格100*100*54cm；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1.木头主体材质芬兰木，厚度2.8cm，中间玩沙盆采用304不锈钢。表面处理：进行压、刨、铣、冲等处理后，表面进行防腐、防蛀处理，后采用原子灰进行三次刮灰抹平，并打磨光滑，表面喷涂三次聚氨脂清漆。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 。</w:t>
            </w:r>
          </w:p>
        </w:tc>
        <w:tc>
          <w:tcPr>
            <w:tcW w:w="840" w:type="dxa"/>
            <w:vAlign w:val="center"/>
          </w:tcPr>
          <w:p w14:paraId="06B1B6C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935169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443BCA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82550</wp:posOffset>
                  </wp:positionH>
                  <wp:positionV relativeFrom="paragraph">
                    <wp:posOffset>57150</wp:posOffset>
                  </wp:positionV>
                  <wp:extent cx="645795" cy="653415"/>
                  <wp:effectExtent l="0" t="0" r="9525" b="1905"/>
                  <wp:wrapNone/>
                  <wp:docPr id="907" name="ID_4AEDD0952E6F4D929D5A706B61F3A885"/>
                  <wp:cNvGraphicFramePr/>
                  <a:graphic xmlns:a="http://schemas.openxmlformats.org/drawingml/2006/main">
                    <a:graphicData uri="http://schemas.openxmlformats.org/drawingml/2006/picture">
                      <pic:pic xmlns:pic="http://schemas.openxmlformats.org/drawingml/2006/picture">
                        <pic:nvPicPr>
                          <pic:cNvPr id="907" name="ID_4AEDD0952E6F4D929D5A706B61F3A885"/>
                          <pic:cNvPicPr/>
                        </pic:nvPicPr>
                        <pic:blipFill>
                          <a:blip r:embed="rId149"/>
                          <a:stretch>
                            <a:fillRect/>
                          </a:stretch>
                        </pic:blipFill>
                        <pic:spPr>
                          <a:xfrm>
                            <a:off x="0" y="0"/>
                            <a:ext cx="645795" cy="653415"/>
                          </a:xfrm>
                          <a:prstGeom prst="rect">
                            <a:avLst/>
                          </a:prstGeom>
                          <a:noFill/>
                          <a:ln>
                            <a:noFill/>
                          </a:ln>
                        </pic:spPr>
                      </pic:pic>
                    </a:graphicData>
                  </a:graphic>
                </wp:anchor>
              </w:drawing>
            </w:r>
          </w:p>
        </w:tc>
      </w:tr>
      <w:tr w14:paraId="0A6E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7" w:hRule="atLeast"/>
        </w:trPr>
        <w:tc>
          <w:tcPr>
            <w:tcW w:w="664" w:type="dxa"/>
            <w:vAlign w:val="center"/>
          </w:tcPr>
          <w:p w14:paraId="16BE74B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25</w:t>
            </w:r>
          </w:p>
        </w:tc>
        <w:tc>
          <w:tcPr>
            <w:tcW w:w="1293" w:type="dxa"/>
            <w:vAlign w:val="center"/>
          </w:tcPr>
          <w:p w14:paraId="4321962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圆形木屋</w:t>
            </w:r>
          </w:p>
        </w:tc>
        <w:tc>
          <w:tcPr>
            <w:tcW w:w="8697" w:type="dxa"/>
            <w:vAlign w:val="center"/>
          </w:tcPr>
          <w:p w14:paraId="6C14F74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1.规格：350*200*240cm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2.材质采用塑木，防滑、耐磨损，抗老化性能强。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四周带铁架，铁架四周尺寸为4*8cm，中间横梁为3*5cm，连接处采用三角铁片，铁片带螺丝卡扣，材质镀锌管经酸洗处理，后经特殊工艺除锈，抛砂，表面再喷涂户外环保聚酯粉末，二层静电喷塑成形，高温固化，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塑料部件：采用有色聚乙烯粉末制成，加工热度为200度，所加工产品只发生物理变化，不发生化学变化，色彩艳丽，不易退色、抗紫外光（UV）能力、抗静电能力强，不变形、成品内外平整，安全环保，无毒、无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5.五金螺丝：采用不锈钢304#子母螺丝，燕尾自攻螺丝采用410#，牢固，不易松动脱落及变形和损坏</w:t>
            </w:r>
          </w:p>
        </w:tc>
        <w:tc>
          <w:tcPr>
            <w:tcW w:w="840" w:type="dxa"/>
            <w:vAlign w:val="center"/>
          </w:tcPr>
          <w:p w14:paraId="7D29D58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34D9C4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ADDB2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lang w:val="en-US" w:eastAsia="zh-CN" w:bidi="ar"/>
              </w:rPr>
              <w:drawing>
                <wp:anchor distT="0" distB="0" distL="114300" distR="114300" simplePos="0" relativeHeight="251810816" behindDoc="0" locked="0" layoutInCell="1" allowOverlap="1">
                  <wp:simplePos x="0" y="0"/>
                  <wp:positionH relativeFrom="column">
                    <wp:posOffset>-3810</wp:posOffset>
                  </wp:positionH>
                  <wp:positionV relativeFrom="paragraph">
                    <wp:posOffset>489585</wp:posOffset>
                  </wp:positionV>
                  <wp:extent cx="651510" cy="857885"/>
                  <wp:effectExtent l="0" t="0" r="3810" b="10795"/>
                  <wp:wrapNone/>
                  <wp:docPr id="909" name="ID_81B28BD153724D0CBF2864EAB29E25BA"/>
                  <wp:cNvGraphicFramePr/>
                  <a:graphic xmlns:a="http://schemas.openxmlformats.org/drawingml/2006/main">
                    <a:graphicData uri="http://schemas.openxmlformats.org/drawingml/2006/picture">
                      <pic:pic xmlns:pic="http://schemas.openxmlformats.org/drawingml/2006/picture">
                        <pic:nvPicPr>
                          <pic:cNvPr id="909" name="ID_81B28BD153724D0CBF2864EAB29E25BA"/>
                          <pic:cNvPicPr/>
                        </pic:nvPicPr>
                        <pic:blipFill>
                          <a:blip r:embed="rId150"/>
                          <a:stretch>
                            <a:fillRect/>
                          </a:stretch>
                        </pic:blipFill>
                        <pic:spPr>
                          <a:xfrm>
                            <a:off x="0" y="0"/>
                            <a:ext cx="651510" cy="857885"/>
                          </a:xfrm>
                          <a:prstGeom prst="rect">
                            <a:avLst/>
                          </a:prstGeom>
                          <a:noFill/>
                          <a:ln>
                            <a:noFill/>
                          </a:ln>
                        </pic:spPr>
                      </pic:pic>
                    </a:graphicData>
                  </a:graphic>
                </wp:anchor>
              </w:drawing>
            </w:r>
          </w:p>
        </w:tc>
      </w:tr>
      <w:tr w14:paraId="6CA7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55DA94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26</w:t>
            </w:r>
          </w:p>
        </w:tc>
        <w:tc>
          <w:tcPr>
            <w:tcW w:w="1293" w:type="dxa"/>
            <w:vAlign w:val="center"/>
          </w:tcPr>
          <w:p w14:paraId="338D782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传声筒</w:t>
            </w:r>
          </w:p>
        </w:tc>
        <w:tc>
          <w:tcPr>
            <w:tcW w:w="8697" w:type="dxa"/>
            <w:vAlign w:val="center"/>
          </w:tcPr>
          <w:p w14:paraId="0E8EF92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规格：2米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传声筒：镀锌管：材质：壁厚0.15cm。表面处理：CO2 气体保护焊、经喷丸技术处理、然后经过抛光处理、室外聚酯系树脂粉体涂装高温电磁烤漆、高温固化、表面光滑、抗紫外线、抗腐蚀、色彩鲜艳、不易脱落。</w:t>
            </w:r>
          </w:p>
        </w:tc>
        <w:tc>
          <w:tcPr>
            <w:tcW w:w="840" w:type="dxa"/>
            <w:vAlign w:val="center"/>
          </w:tcPr>
          <w:p w14:paraId="28A337E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根</w:t>
            </w:r>
          </w:p>
        </w:tc>
        <w:tc>
          <w:tcPr>
            <w:tcW w:w="893" w:type="dxa"/>
            <w:vAlign w:val="center"/>
          </w:tcPr>
          <w:p w14:paraId="4940A85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4EED48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lang w:val="en-US" w:eastAsia="zh-CN" w:bidi="ar"/>
              </w:rPr>
              <w:drawing>
                <wp:anchor distT="0" distB="0" distL="114300" distR="114300" simplePos="0" relativeHeight="251811840" behindDoc="0" locked="0" layoutInCell="1" allowOverlap="1">
                  <wp:simplePos x="0" y="0"/>
                  <wp:positionH relativeFrom="column">
                    <wp:posOffset>66040</wp:posOffset>
                  </wp:positionH>
                  <wp:positionV relativeFrom="paragraph">
                    <wp:posOffset>59055</wp:posOffset>
                  </wp:positionV>
                  <wp:extent cx="887730" cy="544830"/>
                  <wp:effectExtent l="0" t="0" r="11430" b="3810"/>
                  <wp:wrapNone/>
                  <wp:docPr id="911" name="ID_8C186D6EE61D43139E1D746EFBC95E92"/>
                  <wp:cNvGraphicFramePr/>
                  <a:graphic xmlns:a="http://schemas.openxmlformats.org/drawingml/2006/main">
                    <a:graphicData uri="http://schemas.openxmlformats.org/drawingml/2006/picture">
                      <pic:pic xmlns:pic="http://schemas.openxmlformats.org/drawingml/2006/picture">
                        <pic:nvPicPr>
                          <pic:cNvPr id="911" name="ID_8C186D6EE61D43139E1D746EFBC95E92"/>
                          <pic:cNvPicPr/>
                        </pic:nvPicPr>
                        <pic:blipFill>
                          <a:blip r:embed="rId151"/>
                          <a:stretch>
                            <a:fillRect/>
                          </a:stretch>
                        </pic:blipFill>
                        <pic:spPr>
                          <a:xfrm>
                            <a:off x="0" y="0"/>
                            <a:ext cx="887730" cy="544830"/>
                          </a:xfrm>
                          <a:prstGeom prst="rect">
                            <a:avLst/>
                          </a:prstGeom>
                          <a:noFill/>
                          <a:ln>
                            <a:noFill/>
                          </a:ln>
                        </pic:spPr>
                      </pic:pic>
                    </a:graphicData>
                  </a:graphic>
                </wp:anchor>
              </w:drawing>
            </w:r>
          </w:p>
        </w:tc>
      </w:tr>
      <w:tr w14:paraId="15D7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64" w:type="dxa"/>
            <w:vAlign w:val="center"/>
          </w:tcPr>
          <w:p w14:paraId="16BFD94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27</w:t>
            </w:r>
          </w:p>
        </w:tc>
        <w:tc>
          <w:tcPr>
            <w:tcW w:w="1293" w:type="dxa"/>
            <w:vAlign w:val="center"/>
          </w:tcPr>
          <w:p w14:paraId="461933F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攀爬绳</w:t>
            </w:r>
          </w:p>
        </w:tc>
        <w:tc>
          <w:tcPr>
            <w:tcW w:w="8697" w:type="dxa"/>
            <w:vAlign w:val="center"/>
          </w:tcPr>
          <w:p w14:paraId="058B1F6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规格：长1.8米</w:t>
            </w:r>
          </w:p>
        </w:tc>
        <w:tc>
          <w:tcPr>
            <w:tcW w:w="840" w:type="dxa"/>
            <w:vAlign w:val="center"/>
          </w:tcPr>
          <w:p w14:paraId="071CFE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根</w:t>
            </w:r>
          </w:p>
        </w:tc>
        <w:tc>
          <w:tcPr>
            <w:tcW w:w="893" w:type="dxa"/>
            <w:vAlign w:val="center"/>
          </w:tcPr>
          <w:p w14:paraId="171B86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748540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66040</wp:posOffset>
                  </wp:positionH>
                  <wp:positionV relativeFrom="paragraph">
                    <wp:posOffset>7620</wp:posOffset>
                  </wp:positionV>
                  <wp:extent cx="866775" cy="443865"/>
                  <wp:effectExtent l="0" t="0" r="1905" b="13335"/>
                  <wp:wrapNone/>
                  <wp:docPr id="913" name="ID_7BD93E84462E48F3856174C5117531B6"/>
                  <wp:cNvGraphicFramePr/>
                  <a:graphic xmlns:a="http://schemas.openxmlformats.org/drawingml/2006/main">
                    <a:graphicData uri="http://schemas.openxmlformats.org/drawingml/2006/picture">
                      <pic:pic xmlns:pic="http://schemas.openxmlformats.org/drawingml/2006/picture">
                        <pic:nvPicPr>
                          <pic:cNvPr id="913" name="ID_7BD93E84462E48F3856174C5117531B6"/>
                          <pic:cNvPicPr/>
                        </pic:nvPicPr>
                        <pic:blipFill>
                          <a:blip r:embed="rId152"/>
                          <a:stretch>
                            <a:fillRect/>
                          </a:stretch>
                        </pic:blipFill>
                        <pic:spPr>
                          <a:xfrm>
                            <a:off x="0" y="0"/>
                            <a:ext cx="866775" cy="443865"/>
                          </a:xfrm>
                          <a:prstGeom prst="rect">
                            <a:avLst/>
                          </a:prstGeom>
                          <a:noFill/>
                          <a:ln>
                            <a:noFill/>
                          </a:ln>
                        </pic:spPr>
                      </pic:pic>
                    </a:graphicData>
                  </a:graphic>
                </wp:anchor>
              </w:drawing>
            </w:r>
          </w:p>
        </w:tc>
      </w:tr>
      <w:tr w14:paraId="4E21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4478B1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28</w:t>
            </w:r>
          </w:p>
        </w:tc>
        <w:tc>
          <w:tcPr>
            <w:tcW w:w="1293" w:type="dxa"/>
            <w:vAlign w:val="center"/>
          </w:tcPr>
          <w:p w14:paraId="58A9BB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圆柱爬杆</w:t>
            </w:r>
          </w:p>
        </w:tc>
        <w:tc>
          <w:tcPr>
            <w:tcW w:w="8697" w:type="dxa"/>
            <w:vAlign w:val="center"/>
          </w:tcPr>
          <w:p w14:paraId="1A65215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1.规格：长度70cm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2.主体材质芬兰木，直径不小于9.5cm,表面处理：进行压、刨、铣、冲等处理后，表面进行防腐、防蛀处理，后采用原子灰进行三次刮灰抹平，并打磨光滑，表面喷涂三次聚氨脂清漆，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 。</w:t>
            </w:r>
          </w:p>
        </w:tc>
        <w:tc>
          <w:tcPr>
            <w:tcW w:w="840" w:type="dxa"/>
            <w:vAlign w:val="center"/>
          </w:tcPr>
          <w:p w14:paraId="1B48616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根</w:t>
            </w:r>
          </w:p>
        </w:tc>
        <w:tc>
          <w:tcPr>
            <w:tcW w:w="893" w:type="dxa"/>
            <w:vAlign w:val="center"/>
          </w:tcPr>
          <w:p w14:paraId="3106F61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720" w:type="dxa"/>
            <w:vAlign w:val="center"/>
          </w:tcPr>
          <w:p w14:paraId="307996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50165</wp:posOffset>
                  </wp:positionH>
                  <wp:positionV relativeFrom="paragraph">
                    <wp:posOffset>142240</wp:posOffset>
                  </wp:positionV>
                  <wp:extent cx="892810" cy="616585"/>
                  <wp:effectExtent l="0" t="0" r="6350" b="8255"/>
                  <wp:wrapNone/>
                  <wp:docPr id="915" name="ID_E027738F3DD347AB92FFE39F9ADA37D5"/>
                  <wp:cNvGraphicFramePr/>
                  <a:graphic xmlns:a="http://schemas.openxmlformats.org/drawingml/2006/main">
                    <a:graphicData uri="http://schemas.openxmlformats.org/drawingml/2006/picture">
                      <pic:pic xmlns:pic="http://schemas.openxmlformats.org/drawingml/2006/picture">
                        <pic:nvPicPr>
                          <pic:cNvPr id="915" name="ID_E027738F3DD347AB92FFE39F9ADA37D5"/>
                          <pic:cNvPicPr/>
                        </pic:nvPicPr>
                        <pic:blipFill>
                          <a:blip r:embed="rId153"/>
                          <a:stretch>
                            <a:fillRect/>
                          </a:stretch>
                        </pic:blipFill>
                        <pic:spPr>
                          <a:xfrm>
                            <a:off x="0" y="0"/>
                            <a:ext cx="892810" cy="616585"/>
                          </a:xfrm>
                          <a:prstGeom prst="rect">
                            <a:avLst/>
                          </a:prstGeom>
                          <a:noFill/>
                          <a:ln>
                            <a:noFill/>
                          </a:ln>
                        </pic:spPr>
                      </pic:pic>
                    </a:graphicData>
                  </a:graphic>
                </wp:anchor>
              </w:drawing>
            </w:r>
          </w:p>
        </w:tc>
      </w:tr>
      <w:tr w14:paraId="6113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A2BE59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29</w:t>
            </w:r>
          </w:p>
        </w:tc>
        <w:tc>
          <w:tcPr>
            <w:tcW w:w="1293" w:type="dxa"/>
            <w:vAlign w:val="center"/>
          </w:tcPr>
          <w:p w14:paraId="07746C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木屋滑索</w:t>
            </w:r>
          </w:p>
        </w:tc>
        <w:tc>
          <w:tcPr>
            <w:tcW w:w="8697" w:type="dxa"/>
            <w:vAlign w:val="center"/>
          </w:tcPr>
          <w:p w14:paraId="0D979FA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1.规格1200*200*350cm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铁件：铁件厚度为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3.平台材质采用塑木，厚度不少于2.5cm。防滑、耐磨损，抗老化性能强。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平台四周带铁架，铁架四周尺寸为4*8cm，中间横梁为3*5cm，连接处采用三角铁片，铁片带螺丝卡扣，材质镀锌管经酸洗处理，后经特殊工艺除锈，抛砂，表面再喷涂户外环保聚酯粉末，二层静电喷塑成形，高温固化，表面光滑，抗紫外光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5.透明及彩色造型部分采用耐力板，厚度不小于4mm,耐撞击、坚韧安全、可塑性强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6.滑索绳：绳子直径1.6cm，采用钢丝绳是将力学性能和几何尺寸符合要求的钢丝按照一定的规则捻制在一起的螺旋状钢丝束，钢丝绳由钢丝、绳芯及润滑脂组成。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7.五金螺丝：采用不锈钢304#子母螺丝，燕尾自攻螺丝采用410#，牢固，不易松动脱落及变形和损坏</w:t>
            </w:r>
          </w:p>
        </w:tc>
        <w:tc>
          <w:tcPr>
            <w:tcW w:w="840" w:type="dxa"/>
            <w:vAlign w:val="center"/>
          </w:tcPr>
          <w:p w14:paraId="42A224D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D981E2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997606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66040</wp:posOffset>
                  </wp:positionH>
                  <wp:positionV relativeFrom="paragraph">
                    <wp:posOffset>222885</wp:posOffset>
                  </wp:positionV>
                  <wp:extent cx="816610" cy="671830"/>
                  <wp:effectExtent l="0" t="0" r="6350" b="13970"/>
                  <wp:wrapNone/>
                  <wp:docPr id="917" name="ID_3A23E7A824C246EEA5961D44C0CD0AF9"/>
                  <wp:cNvGraphicFramePr/>
                  <a:graphic xmlns:a="http://schemas.openxmlformats.org/drawingml/2006/main">
                    <a:graphicData uri="http://schemas.openxmlformats.org/drawingml/2006/picture">
                      <pic:pic xmlns:pic="http://schemas.openxmlformats.org/drawingml/2006/picture">
                        <pic:nvPicPr>
                          <pic:cNvPr id="917" name="ID_3A23E7A824C246EEA5961D44C0CD0AF9"/>
                          <pic:cNvPicPr/>
                        </pic:nvPicPr>
                        <pic:blipFill>
                          <a:blip r:embed="rId154"/>
                          <a:stretch>
                            <a:fillRect/>
                          </a:stretch>
                        </pic:blipFill>
                        <pic:spPr>
                          <a:xfrm>
                            <a:off x="0" y="0"/>
                            <a:ext cx="816610" cy="671830"/>
                          </a:xfrm>
                          <a:prstGeom prst="rect">
                            <a:avLst/>
                          </a:prstGeom>
                          <a:noFill/>
                          <a:ln>
                            <a:noFill/>
                          </a:ln>
                        </pic:spPr>
                      </pic:pic>
                    </a:graphicData>
                  </a:graphic>
                </wp:anchor>
              </w:drawing>
            </w:r>
          </w:p>
        </w:tc>
      </w:tr>
      <w:tr w14:paraId="0FC0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97F61BF">
            <w:pPr>
              <w:jc w:val="center"/>
              <w:rPr>
                <w:rFonts w:hint="eastAsia" w:ascii="宋体" w:hAnsi="宋体" w:cs="宋体"/>
                <w:color w:val="auto"/>
                <w:sz w:val="21"/>
                <w:szCs w:val="21"/>
                <w:lang w:val="en-US" w:eastAsia="zh-CN"/>
              </w:rPr>
            </w:pPr>
          </w:p>
          <w:p w14:paraId="4D10818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30</w:t>
            </w:r>
          </w:p>
        </w:tc>
        <w:tc>
          <w:tcPr>
            <w:tcW w:w="1293" w:type="dxa"/>
            <w:vAlign w:val="center"/>
          </w:tcPr>
          <w:p w14:paraId="7F2DA95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储物屋</w:t>
            </w:r>
          </w:p>
        </w:tc>
        <w:tc>
          <w:tcPr>
            <w:tcW w:w="8697" w:type="dxa"/>
            <w:vAlign w:val="center"/>
          </w:tcPr>
          <w:p w14:paraId="2E60E53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规格800*200*270cm，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1.材质：镀锌钢管+铝塑板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2.铝塑板：厚度不小于4mm，双面木纹，压条采用铝合金。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3.铁件立柱：5*5cm，厚度为1.2mm，辅助材料：2*4cm、3*5cm、2*2cm，厚度1.2mm，镀锌钢管，表面光滑，抗紫外光线能力强，色彩鲜艳，不易脱落，耐腐蚀；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4.顶部采用双层防水沥青瓦片。两边侧板采用耐力板，厚度不小于8mm,耐撞击、坚韧安全、可塑性强、门采用铝合金百合门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6.五金螺丝：采用不锈钢304#子母螺丝，燕尾自攻螺丝采用410#，牢固，不易松动脱落及变形和损坏</w:t>
            </w:r>
          </w:p>
        </w:tc>
        <w:tc>
          <w:tcPr>
            <w:tcW w:w="840" w:type="dxa"/>
            <w:vAlign w:val="center"/>
          </w:tcPr>
          <w:p w14:paraId="5AF4646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28B470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56F5B33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-3810</wp:posOffset>
                  </wp:positionH>
                  <wp:positionV relativeFrom="paragraph">
                    <wp:posOffset>150495</wp:posOffset>
                  </wp:positionV>
                  <wp:extent cx="980440" cy="397510"/>
                  <wp:effectExtent l="0" t="0" r="10160" b="13970"/>
                  <wp:wrapNone/>
                  <wp:docPr id="919" name="ID_F9AF7E44D91C497DB0730FD946944778"/>
                  <wp:cNvGraphicFramePr/>
                  <a:graphic xmlns:a="http://schemas.openxmlformats.org/drawingml/2006/main">
                    <a:graphicData uri="http://schemas.openxmlformats.org/drawingml/2006/picture">
                      <pic:pic xmlns:pic="http://schemas.openxmlformats.org/drawingml/2006/picture">
                        <pic:nvPicPr>
                          <pic:cNvPr id="919" name="ID_F9AF7E44D91C497DB0730FD946944778"/>
                          <pic:cNvPicPr/>
                        </pic:nvPicPr>
                        <pic:blipFill>
                          <a:blip r:embed="rId155"/>
                          <a:stretch>
                            <a:fillRect/>
                          </a:stretch>
                        </pic:blipFill>
                        <pic:spPr>
                          <a:xfrm>
                            <a:off x="0" y="0"/>
                            <a:ext cx="980440" cy="397510"/>
                          </a:xfrm>
                          <a:prstGeom prst="rect">
                            <a:avLst/>
                          </a:prstGeom>
                          <a:noFill/>
                          <a:ln>
                            <a:noFill/>
                          </a:ln>
                        </pic:spPr>
                      </pic:pic>
                    </a:graphicData>
                  </a:graphic>
                </wp:anchor>
              </w:drawing>
            </w:r>
          </w:p>
        </w:tc>
      </w:tr>
      <w:tr w14:paraId="5DF1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664" w:type="dxa"/>
            <w:vAlign w:val="center"/>
          </w:tcPr>
          <w:p w14:paraId="14D0A1B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31</w:t>
            </w:r>
          </w:p>
        </w:tc>
        <w:tc>
          <w:tcPr>
            <w:tcW w:w="1293" w:type="dxa"/>
            <w:vAlign w:val="center"/>
          </w:tcPr>
          <w:p w14:paraId="5DA8683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涂鸦廊道</w:t>
            </w:r>
          </w:p>
        </w:tc>
        <w:tc>
          <w:tcPr>
            <w:tcW w:w="8697" w:type="dxa"/>
            <w:vAlign w:val="center"/>
          </w:tcPr>
          <w:p w14:paraId="31C0AB5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1.规格:380*140*200cm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立柱采用：7*7cm，辅料采用：2cm，顶部采用耐力板4mm，两边涂鸦板采用：0.8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3.透明板采用耐力板：又称PC板，是以高性能的工程塑料聚碳酸酯或聚碳-酸脂加工而成。黑板采用抗倍特板。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 。</w:t>
            </w:r>
          </w:p>
        </w:tc>
        <w:tc>
          <w:tcPr>
            <w:tcW w:w="840" w:type="dxa"/>
            <w:vAlign w:val="center"/>
          </w:tcPr>
          <w:p w14:paraId="47CA739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ABD7AA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233AE0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-36830</wp:posOffset>
                  </wp:positionH>
                  <wp:positionV relativeFrom="paragraph">
                    <wp:posOffset>705485</wp:posOffset>
                  </wp:positionV>
                  <wp:extent cx="890270" cy="697865"/>
                  <wp:effectExtent l="0" t="0" r="8890" b="3175"/>
                  <wp:wrapNone/>
                  <wp:docPr id="921" name="ID_9A54FF4DD965458399FADB046D6447F6"/>
                  <wp:cNvGraphicFramePr/>
                  <a:graphic xmlns:a="http://schemas.openxmlformats.org/drawingml/2006/main">
                    <a:graphicData uri="http://schemas.openxmlformats.org/drawingml/2006/picture">
                      <pic:pic xmlns:pic="http://schemas.openxmlformats.org/drawingml/2006/picture">
                        <pic:nvPicPr>
                          <pic:cNvPr id="921" name="ID_9A54FF4DD965458399FADB046D6447F6"/>
                          <pic:cNvPicPr/>
                        </pic:nvPicPr>
                        <pic:blipFill>
                          <a:blip r:embed="rId156"/>
                          <a:stretch>
                            <a:fillRect/>
                          </a:stretch>
                        </pic:blipFill>
                        <pic:spPr>
                          <a:xfrm>
                            <a:off x="0" y="0"/>
                            <a:ext cx="890270" cy="697865"/>
                          </a:xfrm>
                          <a:prstGeom prst="rect">
                            <a:avLst/>
                          </a:prstGeom>
                          <a:noFill/>
                          <a:ln>
                            <a:noFill/>
                          </a:ln>
                        </pic:spPr>
                      </pic:pic>
                    </a:graphicData>
                  </a:graphic>
                </wp:anchor>
              </w:drawing>
            </w:r>
          </w:p>
        </w:tc>
      </w:tr>
      <w:tr w14:paraId="1AF4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13A8DF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32</w:t>
            </w:r>
          </w:p>
        </w:tc>
        <w:tc>
          <w:tcPr>
            <w:tcW w:w="1293" w:type="dxa"/>
            <w:vAlign w:val="center"/>
          </w:tcPr>
          <w:p w14:paraId="381EA25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黑板画桌</w:t>
            </w:r>
          </w:p>
        </w:tc>
        <w:tc>
          <w:tcPr>
            <w:tcW w:w="8697" w:type="dxa"/>
            <w:vAlign w:val="center"/>
          </w:tcPr>
          <w:p w14:paraId="6DE97F4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规格：120*120*54cm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1.正面采用厚度不少于0.8cm的抗倍特板，可涂鸦，；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2.画桌木头框架主体材质芬兰木，主立柱：7*7cm，主木板4.5*9.5cm，表面处理：进行压、刨、铣、冲等处理后，表面进行防腐、防蛀处理，后采用原子灰进行三次刮灰抹平，并打磨光滑，表面喷涂三次聚氨脂清漆。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62E59FC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EB097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A0FFA0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-21590</wp:posOffset>
                  </wp:positionH>
                  <wp:positionV relativeFrom="paragraph">
                    <wp:posOffset>147320</wp:posOffset>
                  </wp:positionV>
                  <wp:extent cx="991235" cy="557530"/>
                  <wp:effectExtent l="0" t="0" r="14605" b="6350"/>
                  <wp:wrapNone/>
                  <wp:docPr id="923" name="ID_6D176EF2F8B54D6EB81CC1AD54E2BE4D"/>
                  <wp:cNvGraphicFramePr/>
                  <a:graphic xmlns:a="http://schemas.openxmlformats.org/drawingml/2006/main">
                    <a:graphicData uri="http://schemas.openxmlformats.org/drawingml/2006/picture">
                      <pic:pic xmlns:pic="http://schemas.openxmlformats.org/drawingml/2006/picture">
                        <pic:nvPicPr>
                          <pic:cNvPr id="923" name="ID_6D176EF2F8B54D6EB81CC1AD54E2BE4D"/>
                          <pic:cNvPicPr/>
                        </pic:nvPicPr>
                        <pic:blipFill>
                          <a:blip r:embed="rId157"/>
                          <a:stretch>
                            <a:fillRect/>
                          </a:stretch>
                        </pic:blipFill>
                        <pic:spPr>
                          <a:xfrm>
                            <a:off x="0" y="0"/>
                            <a:ext cx="991235" cy="557530"/>
                          </a:xfrm>
                          <a:prstGeom prst="rect">
                            <a:avLst/>
                          </a:prstGeom>
                          <a:noFill/>
                          <a:ln>
                            <a:noFill/>
                          </a:ln>
                        </pic:spPr>
                      </pic:pic>
                    </a:graphicData>
                  </a:graphic>
                </wp:anchor>
              </w:drawing>
            </w:r>
          </w:p>
        </w:tc>
      </w:tr>
      <w:tr w14:paraId="0A44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664" w:type="dxa"/>
            <w:vAlign w:val="center"/>
          </w:tcPr>
          <w:p w14:paraId="04B8720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33</w:t>
            </w:r>
          </w:p>
        </w:tc>
        <w:tc>
          <w:tcPr>
            <w:tcW w:w="1293" w:type="dxa"/>
            <w:vAlign w:val="center"/>
          </w:tcPr>
          <w:p w14:paraId="75796A5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透明画板桌</w:t>
            </w:r>
          </w:p>
        </w:tc>
        <w:tc>
          <w:tcPr>
            <w:tcW w:w="8697" w:type="dxa"/>
            <w:vAlign w:val="center"/>
          </w:tcPr>
          <w:p w14:paraId="44DA7F2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规格：120*120*54cm；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1.桌脚采用7*7cm，桌架采用：4.5*9.5cm，正面采用厚度不少于0.8cm的耐力板，可涂鸦；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2.画桌木头框架主体材质芬兰木；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5B5D57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59CD62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6CFE61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-42545</wp:posOffset>
                  </wp:positionH>
                  <wp:positionV relativeFrom="paragraph">
                    <wp:posOffset>216535</wp:posOffset>
                  </wp:positionV>
                  <wp:extent cx="984250" cy="617220"/>
                  <wp:effectExtent l="0" t="0" r="6350" b="7620"/>
                  <wp:wrapNone/>
                  <wp:docPr id="925" name="ID_5E55D5FB122B4EB6BB6B78CD98D0C434"/>
                  <wp:cNvGraphicFramePr/>
                  <a:graphic xmlns:a="http://schemas.openxmlformats.org/drawingml/2006/main">
                    <a:graphicData uri="http://schemas.openxmlformats.org/drawingml/2006/picture">
                      <pic:pic xmlns:pic="http://schemas.openxmlformats.org/drawingml/2006/picture">
                        <pic:nvPicPr>
                          <pic:cNvPr id="925" name="ID_5E55D5FB122B4EB6BB6B78CD98D0C434"/>
                          <pic:cNvPicPr/>
                        </pic:nvPicPr>
                        <pic:blipFill>
                          <a:blip r:embed="rId158"/>
                          <a:stretch>
                            <a:fillRect/>
                          </a:stretch>
                        </pic:blipFill>
                        <pic:spPr>
                          <a:xfrm>
                            <a:off x="0" y="0"/>
                            <a:ext cx="984250" cy="617220"/>
                          </a:xfrm>
                          <a:prstGeom prst="rect">
                            <a:avLst/>
                          </a:prstGeom>
                          <a:noFill/>
                          <a:ln>
                            <a:noFill/>
                          </a:ln>
                        </pic:spPr>
                      </pic:pic>
                    </a:graphicData>
                  </a:graphic>
                </wp:anchor>
              </w:drawing>
            </w:r>
          </w:p>
        </w:tc>
      </w:tr>
      <w:tr w14:paraId="1164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284292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34</w:t>
            </w:r>
          </w:p>
        </w:tc>
        <w:tc>
          <w:tcPr>
            <w:tcW w:w="1293" w:type="dxa"/>
            <w:vAlign w:val="center"/>
          </w:tcPr>
          <w:p w14:paraId="73DAA2B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研究小屋</w:t>
            </w:r>
          </w:p>
        </w:tc>
        <w:tc>
          <w:tcPr>
            <w:tcW w:w="8697" w:type="dxa"/>
            <w:vAlign w:val="center"/>
          </w:tcPr>
          <w:p w14:paraId="7D147F1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1.规格500*250*240cm（不含内部桌椅）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2.主体材质芬兰木，造型采用PE板雕刻工艺，表面处理：进行压、刨、铣、冲等处理后，表面进行防腐、防蛀处理，后采用原子灰进行三次刮灰抹平，并打磨光滑，表面喷涂三次聚氨脂清漆。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3.透明部分采用耐力板：厚度不小于4毫米，耐撞击、坚韧安全、可塑性强。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 。</w:t>
            </w:r>
          </w:p>
        </w:tc>
        <w:tc>
          <w:tcPr>
            <w:tcW w:w="840" w:type="dxa"/>
            <w:vAlign w:val="center"/>
          </w:tcPr>
          <w:p w14:paraId="64CDDA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9789DD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9D51FE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-45085</wp:posOffset>
                  </wp:positionH>
                  <wp:positionV relativeFrom="paragraph">
                    <wp:posOffset>158750</wp:posOffset>
                  </wp:positionV>
                  <wp:extent cx="967740" cy="650875"/>
                  <wp:effectExtent l="0" t="0" r="7620" b="4445"/>
                  <wp:wrapNone/>
                  <wp:docPr id="927" name="ID_28F166C336E442B6B4C92C2BC0B86F35"/>
                  <wp:cNvGraphicFramePr/>
                  <a:graphic xmlns:a="http://schemas.openxmlformats.org/drawingml/2006/main">
                    <a:graphicData uri="http://schemas.openxmlformats.org/drawingml/2006/picture">
                      <pic:pic xmlns:pic="http://schemas.openxmlformats.org/drawingml/2006/picture">
                        <pic:nvPicPr>
                          <pic:cNvPr id="927" name="ID_28F166C336E442B6B4C92C2BC0B86F35"/>
                          <pic:cNvPicPr/>
                        </pic:nvPicPr>
                        <pic:blipFill>
                          <a:blip r:embed="rId159"/>
                          <a:stretch>
                            <a:fillRect/>
                          </a:stretch>
                        </pic:blipFill>
                        <pic:spPr>
                          <a:xfrm>
                            <a:off x="0" y="0"/>
                            <a:ext cx="967740" cy="650875"/>
                          </a:xfrm>
                          <a:prstGeom prst="rect">
                            <a:avLst/>
                          </a:prstGeom>
                          <a:noFill/>
                          <a:ln>
                            <a:noFill/>
                          </a:ln>
                        </pic:spPr>
                      </pic:pic>
                    </a:graphicData>
                  </a:graphic>
                </wp:anchor>
              </w:drawing>
            </w:r>
          </w:p>
        </w:tc>
      </w:tr>
      <w:tr w14:paraId="1B8A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B6D75F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35</w:t>
            </w:r>
          </w:p>
        </w:tc>
        <w:tc>
          <w:tcPr>
            <w:tcW w:w="1293" w:type="dxa"/>
            <w:vAlign w:val="center"/>
          </w:tcPr>
          <w:p w14:paraId="7A5E2BA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休闲桌（椅）——圆桌组合</w:t>
            </w:r>
          </w:p>
        </w:tc>
        <w:tc>
          <w:tcPr>
            <w:tcW w:w="8697" w:type="dxa"/>
            <w:vAlign w:val="center"/>
          </w:tcPr>
          <w:p w14:paraId="7599602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规格：桌子100*54cm1张，椅子29*27cm4张；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1.主体材质：芬兰木，立柱：4.5*4.5cm，主板厚度：2.8cm，表面处理：进行压、刨、铣、冲等处理后，表面进行防腐、防蛀处理，后采用原子灰进行三次刮灰抹平，并打磨光滑，表面喷涂三次聚氨脂清漆。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 。</w:t>
            </w:r>
          </w:p>
        </w:tc>
        <w:tc>
          <w:tcPr>
            <w:tcW w:w="840" w:type="dxa"/>
            <w:vAlign w:val="center"/>
          </w:tcPr>
          <w:p w14:paraId="0A9C10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9D46D4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00E7F0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40640</wp:posOffset>
                  </wp:positionH>
                  <wp:positionV relativeFrom="paragraph">
                    <wp:posOffset>160020</wp:posOffset>
                  </wp:positionV>
                  <wp:extent cx="897255" cy="889000"/>
                  <wp:effectExtent l="0" t="0" r="1905" b="10160"/>
                  <wp:wrapNone/>
                  <wp:docPr id="929" name="ID_EA47C843304F4CB8874D764FF8564DFD"/>
                  <wp:cNvGraphicFramePr/>
                  <a:graphic xmlns:a="http://schemas.openxmlformats.org/drawingml/2006/main">
                    <a:graphicData uri="http://schemas.openxmlformats.org/drawingml/2006/picture">
                      <pic:pic xmlns:pic="http://schemas.openxmlformats.org/drawingml/2006/picture">
                        <pic:nvPicPr>
                          <pic:cNvPr id="929" name="ID_EA47C843304F4CB8874D764FF8564DFD"/>
                          <pic:cNvPicPr/>
                        </pic:nvPicPr>
                        <pic:blipFill>
                          <a:blip r:embed="rId160"/>
                          <a:stretch>
                            <a:fillRect/>
                          </a:stretch>
                        </pic:blipFill>
                        <pic:spPr>
                          <a:xfrm>
                            <a:off x="0" y="0"/>
                            <a:ext cx="897255" cy="889000"/>
                          </a:xfrm>
                          <a:prstGeom prst="rect">
                            <a:avLst/>
                          </a:prstGeom>
                          <a:noFill/>
                          <a:ln>
                            <a:noFill/>
                          </a:ln>
                        </pic:spPr>
                      </pic:pic>
                    </a:graphicData>
                  </a:graphic>
                </wp:anchor>
              </w:drawing>
            </w:r>
          </w:p>
        </w:tc>
      </w:tr>
      <w:tr w14:paraId="5B19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3DDFD0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36</w:t>
            </w:r>
          </w:p>
        </w:tc>
        <w:tc>
          <w:tcPr>
            <w:tcW w:w="1293" w:type="dxa"/>
            <w:vAlign w:val="center"/>
          </w:tcPr>
          <w:p w14:paraId="22F02BF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操作台</w:t>
            </w:r>
          </w:p>
        </w:tc>
        <w:tc>
          <w:tcPr>
            <w:tcW w:w="8697" w:type="dxa"/>
            <w:vAlign w:val="center"/>
          </w:tcPr>
          <w:p w14:paraId="593BDC8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规格120*60*54cm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1.主体材质：芬兰木，立柱：4.5*4.5cm，主板厚度：2.8cm，表面处理：进行压、刨、铣、冲等处理后，表面进行防腐、防蛀处理，后采用原子灰进行三次刮灰抹平，并打磨光滑，表面喷涂三次聚氨脂清漆；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3.产品外表和内表以及儿童手指可触及处无毛刺及尖锐的棱角，油漆采用户外哑光漆 。</w:t>
            </w:r>
          </w:p>
        </w:tc>
        <w:tc>
          <w:tcPr>
            <w:tcW w:w="840" w:type="dxa"/>
            <w:vAlign w:val="center"/>
          </w:tcPr>
          <w:p w14:paraId="142470A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1BB471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4CE5473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10795</wp:posOffset>
                  </wp:positionH>
                  <wp:positionV relativeFrom="paragraph">
                    <wp:posOffset>139065</wp:posOffset>
                  </wp:positionV>
                  <wp:extent cx="948055" cy="540385"/>
                  <wp:effectExtent l="0" t="0" r="12065" b="8255"/>
                  <wp:wrapNone/>
                  <wp:docPr id="931" name="ID_8D1150743C224CFEB15ED2B8F489D126"/>
                  <wp:cNvGraphicFramePr/>
                  <a:graphic xmlns:a="http://schemas.openxmlformats.org/drawingml/2006/main">
                    <a:graphicData uri="http://schemas.openxmlformats.org/drawingml/2006/picture">
                      <pic:pic xmlns:pic="http://schemas.openxmlformats.org/drawingml/2006/picture">
                        <pic:nvPicPr>
                          <pic:cNvPr id="931" name="ID_8D1150743C224CFEB15ED2B8F489D126"/>
                          <pic:cNvPicPr/>
                        </pic:nvPicPr>
                        <pic:blipFill>
                          <a:blip r:embed="rId161"/>
                          <a:stretch>
                            <a:fillRect/>
                          </a:stretch>
                        </pic:blipFill>
                        <pic:spPr>
                          <a:xfrm>
                            <a:off x="0" y="0"/>
                            <a:ext cx="948055" cy="540385"/>
                          </a:xfrm>
                          <a:prstGeom prst="rect">
                            <a:avLst/>
                          </a:prstGeom>
                          <a:noFill/>
                          <a:ln>
                            <a:noFill/>
                          </a:ln>
                        </pic:spPr>
                      </pic:pic>
                    </a:graphicData>
                  </a:graphic>
                </wp:anchor>
              </w:drawing>
            </w:r>
          </w:p>
        </w:tc>
      </w:tr>
      <w:tr w14:paraId="487F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C84EB8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37</w:t>
            </w:r>
          </w:p>
        </w:tc>
        <w:tc>
          <w:tcPr>
            <w:tcW w:w="1293" w:type="dxa"/>
            <w:vAlign w:val="center"/>
          </w:tcPr>
          <w:p w14:paraId="795C648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涂鸦桌</w:t>
            </w:r>
          </w:p>
        </w:tc>
        <w:tc>
          <w:tcPr>
            <w:tcW w:w="8697" w:type="dxa"/>
            <w:vAlign w:val="center"/>
          </w:tcPr>
          <w:p w14:paraId="1E71F75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1.规格75*60*54cm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2.主体材质：芬兰木+铁件，主立柱：9.5cm，表面处理：进行压、刨、铣、冲等处理后，表面进行防腐、防蛀处理，后采用原子灰进行三次刮灰抹平，并打磨光滑，表面喷涂三次聚氨脂清漆；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3.涂鸦板：采用厚度不少于0.4cm的抗倍特板，可用于涂鸦；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w:t>
            </w:r>
          </w:p>
        </w:tc>
        <w:tc>
          <w:tcPr>
            <w:tcW w:w="840" w:type="dxa"/>
            <w:vAlign w:val="center"/>
          </w:tcPr>
          <w:p w14:paraId="73FD499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8BD0B9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4FB40BB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92075</wp:posOffset>
                  </wp:positionH>
                  <wp:positionV relativeFrom="paragraph">
                    <wp:posOffset>354330</wp:posOffset>
                  </wp:positionV>
                  <wp:extent cx="864235" cy="808990"/>
                  <wp:effectExtent l="0" t="0" r="4445" b="13970"/>
                  <wp:wrapNone/>
                  <wp:docPr id="933" name="ID_E6E1384D91164785997D8B001DC5078C"/>
                  <wp:cNvGraphicFramePr/>
                  <a:graphic xmlns:a="http://schemas.openxmlformats.org/drawingml/2006/main">
                    <a:graphicData uri="http://schemas.openxmlformats.org/drawingml/2006/picture">
                      <pic:pic xmlns:pic="http://schemas.openxmlformats.org/drawingml/2006/picture">
                        <pic:nvPicPr>
                          <pic:cNvPr id="933" name="ID_E6E1384D91164785997D8B001DC5078C"/>
                          <pic:cNvPicPr/>
                        </pic:nvPicPr>
                        <pic:blipFill>
                          <a:blip r:embed="rId162"/>
                          <a:stretch>
                            <a:fillRect/>
                          </a:stretch>
                        </pic:blipFill>
                        <pic:spPr>
                          <a:xfrm>
                            <a:off x="0" y="0"/>
                            <a:ext cx="864235" cy="808990"/>
                          </a:xfrm>
                          <a:prstGeom prst="rect">
                            <a:avLst/>
                          </a:prstGeom>
                          <a:noFill/>
                          <a:ln>
                            <a:noFill/>
                          </a:ln>
                        </pic:spPr>
                      </pic:pic>
                    </a:graphicData>
                  </a:graphic>
                </wp:anchor>
              </w:drawing>
            </w:r>
          </w:p>
        </w:tc>
      </w:tr>
      <w:tr w14:paraId="1E44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3C4881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38</w:t>
            </w:r>
          </w:p>
        </w:tc>
        <w:tc>
          <w:tcPr>
            <w:tcW w:w="1293" w:type="dxa"/>
            <w:vAlign w:val="center"/>
          </w:tcPr>
          <w:p w14:paraId="4502FC5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储物柜</w:t>
            </w:r>
          </w:p>
        </w:tc>
        <w:tc>
          <w:tcPr>
            <w:tcW w:w="8697" w:type="dxa"/>
            <w:vAlign w:val="center"/>
          </w:tcPr>
          <w:p w14:paraId="3156BEE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规格：240*80*150cm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1.材质：镀锌钢管+铝塑板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2.铝塑板：厚度不小于4mm，双面木纹，压条采用铝合金。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3.铁件立柱：5*5cm，厚度为1.2mm，辅助材料：2*4cm、3*5cm、2*2cm，厚度1.2mm，镀锌钢管，表面光滑，抗紫外光线能力强，色彩鲜艳，不易脱落，耐腐蚀；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4.顶部采用双层防水沥青瓦片。门采用铝合金百合门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6.五金螺丝：采用不锈钢304#子母螺丝，燕尾自攻螺丝采用410#，牢固，不易松动脱落及变形和损坏</w:t>
            </w:r>
          </w:p>
        </w:tc>
        <w:tc>
          <w:tcPr>
            <w:tcW w:w="840" w:type="dxa"/>
            <w:vAlign w:val="center"/>
          </w:tcPr>
          <w:p w14:paraId="4C89A3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5FD085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08E97E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71120</wp:posOffset>
                  </wp:positionH>
                  <wp:positionV relativeFrom="paragraph">
                    <wp:posOffset>-132715</wp:posOffset>
                  </wp:positionV>
                  <wp:extent cx="881380" cy="564515"/>
                  <wp:effectExtent l="0" t="0" r="2540" b="14605"/>
                  <wp:wrapNone/>
                  <wp:docPr id="935" name="ID_CAF367D00B90401DA380D3B0957A7F00"/>
                  <wp:cNvGraphicFramePr/>
                  <a:graphic xmlns:a="http://schemas.openxmlformats.org/drawingml/2006/main">
                    <a:graphicData uri="http://schemas.openxmlformats.org/drawingml/2006/picture">
                      <pic:pic xmlns:pic="http://schemas.openxmlformats.org/drawingml/2006/picture">
                        <pic:nvPicPr>
                          <pic:cNvPr id="935" name="ID_CAF367D00B90401DA380D3B0957A7F00"/>
                          <pic:cNvPicPr/>
                        </pic:nvPicPr>
                        <pic:blipFill>
                          <a:blip r:embed="rId163"/>
                          <a:stretch>
                            <a:fillRect/>
                          </a:stretch>
                        </pic:blipFill>
                        <pic:spPr>
                          <a:xfrm>
                            <a:off x="0" y="0"/>
                            <a:ext cx="881380" cy="564515"/>
                          </a:xfrm>
                          <a:prstGeom prst="rect">
                            <a:avLst/>
                          </a:prstGeom>
                          <a:noFill/>
                          <a:ln>
                            <a:noFill/>
                          </a:ln>
                        </pic:spPr>
                      </pic:pic>
                    </a:graphicData>
                  </a:graphic>
                </wp:anchor>
              </w:drawing>
            </w:r>
          </w:p>
        </w:tc>
      </w:tr>
      <w:tr w14:paraId="541F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9CEF33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39</w:t>
            </w:r>
          </w:p>
        </w:tc>
        <w:tc>
          <w:tcPr>
            <w:tcW w:w="1293" w:type="dxa"/>
            <w:vAlign w:val="center"/>
          </w:tcPr>
          <w:p w14:paraId="342E2BF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门头组合</w:t>
            </w:r>
          </w:p>
        </w:tc>
        <w:tc>
          <w:tcPr>
            <w:tcW w:w="8697" w:type="dxa"/>
            <w:vAlign w:val="center"/>
          </w:tcPr>
          <w:p w14:paraId="1F8C300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1.规格240*80*300cm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立柱采用φ12cm，辅料采用φ9.5cm，门牌采用芬兰木厚度2cm，造型采用PE板雕刻工艺，栏杆板采用厚度2cm，栏杆立柱采用φ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072EF4A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5601FC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290B8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71120</wp:posOffset>
                  </wp:positionH>
                  <wp:positionV relativeFrom="paragraph">
                    <wp:posOffset>253365</wp:posOffset>
                  </wp:positionV>
                  <wp:extent cx="866140" cy="870585"/>
                  <wp:effectExtent l="0" t="0" r="2540" b="13335"/>
                  <wp:wrapNone/>
                  <wp:docPr id="937" name="ID_050B971278A34E71840601D634B0966D"/>
                  <wp:cNvGraphicFramePr/>
                  <a:graphic xmlns:a="http://schemas.openxmlformats.org/drawingml/2006/main">
                    <a:graphicData uri="http://schemas.openxmlformats.org/drawingml/2006/picture">
                      <pic:pic xmlns:pic="http://schemas.openxmlformats.org/drawingml/2006/picture">
                        <pic:nvPicPr>
                          <pic:cNvPr id="937" name="ID_050B971278A34E71840601D634B0966D"/>
                          <pic:cNvPicPr/>
                        </pic:nvPicPr>
                        <pic:blipFill>
                          <a:blip r:embed="rId164"/>
                          <a:stretch>
                            <a:fillRect/>
                          </a:stretch>
                        </pic:blipFill>
                        <pic:spPr>
                          <a:xfrm>
                            <a:off x="0" y="0"/>
                            <a:ext cx="866140" cy="870585"/>
                          </a:xfrm>
                          <a:prstGeom prst="rect">
                            <a:avLst/>
                          </a:prstGeom>
                          <a:noFill/>
                          <a:ln>
                            <a:noFill/>
                          </a:ln>
                        </pic:spPr>
                      </pic:pic>
                    </a:graphicData>
                  </a:graphic>
                </wp:anchor>
              </w:drawing>
            </w:r>
          </w:p>
        </w:tc>
      </w:tr>
      <w:tr w14:paraId="1AA1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2B2A4F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40</w:t>
            </w:r>
          </w:p>
        </w:tc>
        <w:tc>
          <w:tcPr>
            <w:tcW w:w="1293" w:type="dxa"/>
            <w:vAlign w:val="center"/>
          </w:tcPr>
          <w:p w14:paraId="315614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收纳廊架</w:t>
            </w:r>
          </w:p>
        </w:tc>
        <w:tc>
          <w:tcPr>
            <w:tcW w:w="8697" w:type="dxa"/>
            <w:vAlign w:val="center"/>
          </w:tcPr>
          <w:p w14:paraId="39F6284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1.规格:320*70*220cm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立柱采用直径9.5cm，横板板料采用厚度2.8cm，洞洞板采用海洋板雕刻工艺，网采用海缆绳，造型采用PE板雕刻工艺，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2525E32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85C639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E9DB8C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71120</wp:posOffset>
                  </wp:positionH>
                  <wp:positionV relativeFrom="paragraph">
                    <wp:posOffset>-89535</wp:posOffset>
                  </wp:positionV>
                  <wp:extent cx="815975" cy="810260"/>
                  <wp:effectExtent l="0" t="0" r="6985" b="12700"/>
                  <wp:wrapNone/>
                  <wp:docPr id="939" name="ID_FC339D96B4124BF8B877B4EB5350A17D"/>
                  <wp:cNvGraphicFramePr/>
                  <a:graphic xmlns:a="http://schemas.openxmlformats.org/drawingml/2006/main">
                    <a:graphicData uri="http://schemas.openxmlformats.org/drawingml/2006/picture">
                      <pic:pic xmlns:pic="http://schemas.openxmlformats.org/drawingml/2006/picture">
                        <pic:nvPicPr>
                          <pic:cNvPr id="939" name="ID_FC339D96B4124BF8B877B4EB5350A17D"/>
                          <pic:cNvPicPr/>
                        </pic:nvPicPr>
                        <pic:blipFill>
                          <a:blip r:embed="rId165"/>
                          <a:stretch>
                            <a:fillRect/>
                          </a:stretch>
                        </pic:blipFill>
                        <pic:spPr>
                          <a:xfrm>
                            <a:off x="0" y="0"/>
                            <a:ext cx="815975" cy="810260"/>
                          </a:xfrm>
                          <a:prstGeom prst="rect">
                            <a:avLst/>
                          </a:prstGeom>
                          <a:noFill/>
                          <a:ln>
                            <a:noFill/>
                          </a:ln>
                        </pic:spPr>
                      </pic:pic>
                    </a:graphicData>
                  </a:graphic>
                </wp:anchor>
              </w:drawing>
            </w:r>
          </w:p>
        </w:tc>
      </w:tr>
      <w:tr w14:paraId="7476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A64480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41</w:t>
            </w:r>
          </w:p>
        </w:tc>
        <w:tc>
          <w:tcPr>
            <w:tcW w:w="1293" w:type="dxa"/>
            <w:vAlign w:val="center"/>
          </w:tcPr>
          <w:p w14:paraId="5DDCD5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花箱</w:t>
            </w:r>
          </w:p>
        </w:tc>
        <w:tc>
          <w:tcPr>
            <w:tcW w:w="8697" w:type="dxa"/>
            <w:vAlign w:val="center"/>
          </w:tcPr>
          <w:p w14:paraId="05BC04D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1.规格：100*32*180cm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2.主体材质芬兰木，立柱采用4.5*4.5cm，主木板采用厚度2.8cm，表面处理：进行压、刨、铣、冲等处理后，表面进行防腐、防蛀处理，后采用原子灰进行三次刮灰抹平，并打磨光滑，表面喷涂三次聚氨脂清漆。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w:t>
            </w:r>
          </w:p>
        </w:tc>
        <w:tc>
          <w:tcPr>
            <w:tcW w:w="840" w:type="dxa"/>
            <w:vAlign w:val="center"/>
          </w:tcPr>
          <w:p w14:paraId="2B80FEA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D2692B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1B9A56B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71120</wp:posOffset>
                  </wp:positionH>
                  <wp:positionV relativeFrom="paragraph">
                    <wp:posOffset>-20955</wp:posOffset>
                  </wp:positionV>
                  <wp:extent cx="875665" cy="989330"/>
                  <wp:effectExtent l="0" t="0" r="8255" b="1270"/>
                  <wp:wrapNone/>
                  <wp:docPr id="941" name="ID_FEB9DB1CB2E94FF3A70DF462192A1A26"/>
                  <wp:cNvGraphicFramePr/>
                  <a:graphic xmlns:a="http://schemas.openxmlformats.org/drawingml/2006/main">
                    <a:graphicData uri="http://schemas.openxmlformats.org/drawingml/2006/picture">
                      <pic:pic xmlns:pic="http://schemas.openxmlformats.org/drawingml/2006/picture">
                        <pic:nvPicPr>
                          <pic:cNvPr id="941" name="ID_FEB9DB1CB2E94FF3A70DF462192A1A26"/>
                          <pic:cNvPicPr/>
                        </pic:nvPicPr>
                        <pic:blipFill>
                          <a:blip r:embed="rId166"/>
                          <a:stretch>
                            <a:fillRect/>
                          </a:stretch>
                        </pic:blipFill>
                        <pic:spPr>
                          <a:xfrm>
                            <a:off x="0" y="0"/>
                            <a:ext cx="875665" cy="989330"/>
                          </a:xfrm>
                          <a:prstGeom prst="rect">
                            <a:avLst/>
                          </a:prstGeom>
                          <a:noFill/>
                          <a:ln>
                            <a:noFill/>
                          </a:ln>
                        </pic:spPr>
                      </pic:pic>
                    </a:graphicData>
                  </a:graphic>
                </wp:anchor>
              </w:drawing>
            </w:r>
          </w:p>
        </w:tc>
      </w:tr>
      <w:tr w14:paraId="7715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CEB6F5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42</w:t>
            </w:r>
          </w:p>
        </w:tc>
        <w:tc>
          <w:tcPr>
            <w:tcW w:w="1293" w:type="dxa"/>
            <w:vAlign w:val="center"/>
          </w:tcPr>
          <w:p w14:paraId="3B25980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松鼠之家</w:t>
            </w:r>
          </w:p>
        </w:tc>
        <w:tc>
          <w:tcPr>
            <w:tcW w:w="8697" w:type="dxa"/>
            <w:vAlign w:val="center"/>
          </w:tcPr>
          <w:p w14:paraId="6CCB61D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1.规格530*210*150cm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2.不锈钢钻笼直径30cm,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3.松鼠笼材质：底板采用厚度：2.5cm，采用一体压制而成，超强耐用，防腐、防水、抗菌、阻燃、绝缘。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铁件：铁件厚度为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5.五金螺丝：采用不锈钢304#子母螺丝，燕尾自攻螺丝采用410#，牢固，不易松动脱落及变形和损坏</w:t>
            </w:r>
          </w:p>
        </w:tc>
        <w:tc>
          <w:tcPr>
            <w:tcW w:w="840" w:type="dxa"/>
            <w:vAlign w:val="center"/>
          </w:tcPr>
          <w:p w14:paraId="3ED27C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853AF3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4C236E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-26035</wp:posOffset>
                  </wp:positionH>
                  <wp:positionV relativeFrom="paragraph">
                    <wp:posOffset>285750</wp:posOffset>
                  </wp:positionV>
                  <wp:extent cx="933450" cy="1036320"/>
                  <wp:effectExtent l="0" t="0" r="11430" b="0"/>
                  <wp:wrapNone/>
                  <wp:docPr id="943" name="ID_80BCD9C125334CFA8DDB2734EC960C9A"/>
                  <wp:cNvGraphicFramePr/>
                  <a:graphic xmlns:a="http://schemas.openxmlformats.org/drawingml/2006/main">
                    <a:graphicData uri="http://schemas.openxmlformats.org/drawingml/2006/picture">
                      <pic:pic xmlns:pic="http://schemas.openxmlformats.org/drawingml/2006/picture">
                        <pic:nvPicPr>
                          <pic:cNvPr id="943" name="ID_80BCD9C125334CFA8DDB2734EC960C9A"/>
                          <pic:cNvPicPr/>
                        </pic:nvPicPr>
                        <pic:blipFill>
                          <a:blip r:embed="rId167"/>
                          <a:stretch>
                            <a:fillRect/>
                          </a:stretch>
                        </pic:blipFill>
                        <pic:spPr>
                          <a:xfrm>
                            <a:off x="0" y="0"/>
                            <a:ext cx="933450" cy="1036320"/>
                          </a:xfrm>
                          <a:prstGeom prst="rect">
                            <a:avLst/>
                          </a:prstGeom>
                          <a:noFill/>
                          <a:ln>
                            <a:noFill/>
                          </a:ln>
                        </pic:spPr>
                      </pic:pic>
                    </a:graphicData>
                  </a:graphic>
                </wp:anchor>
              </w:drawing>
            </w:r>
          </w:p>
        </w:tc>
      </w:tr>
      <w:tr w14:paraId="54EF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3C50B1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43</w:t>
            </w:r>
          </w:p>
        </w:tc>
        <w:tc>
          <w:tcPr>
            <w:tcW w:w="1293" w:type="dxa"/>
            <w:vAlign w:val="center"/>
          </w:tcPr>
          <w:p w14:paraId="35C10DC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 涂鸦板 </w:t>
            </w:r>
          </w:p>
        </w:tc>
        <w:tc>
          <w:tcPr>
            <w:tcW w:w="8697" w:type="dxa"/>
            <w:vAlign w:val="center"/>
          </w:tcPr>
          <w:p w14:paraId="58C45DF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规格820*190cm，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木板主体材质芬兰木，造型采用PE板雕刻工艺，表面处理：进行压、刨、铣、冲等处理后，表面进行防腐、防蛀处理，后采用原子灰进行三次刮灰抹平，并打磨光滑，表面喷涂三次聚氨脂清漆，产品外表和内表以及儿童手指可触及处无毛刺及尖锐的棱角，油漆采用户外哑光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2.PE板材质：高密度聚乙烯，厚度1.6cm，产品无臭，无毒，手感似蜡，吸水性小，电绝缘性能优良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3.涂鸦板：采用厚度不少于0.4cm的抗倍特板，可用于涂鸦；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4.洞洞板：采用海洋板  厚度不小于1.8cm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5.五金螺丝：采用不锈钢304#子母螺丝，燕尾自攻螺丝采用410#，牢固，不易松动脱落及变形和损坏。</w:t>
            </w:r>
          </w:p>
        </w:tc>
        <w:tc>
          <w:tcPr>
            <w:tcW w:w="840" w:type="dxa"/>
            <w:vAlign w:val="center"/>
          </w:tcPr>
          <w:p w14:paraId="287F0ED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462A73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F9A553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45720</wp:posOffset>
                  </wp:positionH>
                  <wp:positionV relativeFrom="paragraph">
                    <wp:posOffset>92075</wp:posOffset>
                  </wp:positionV>
                  <wp:extent cx="901065" cy="485775"/>
                  <wp:effectExtent l="0" t="0" r="13335" b="1905"/>
                  <wp:wrapNone/>
                  <wp:docPr id="945" name="ID_EEC68CDE4D0D43C1A0BDB4452C85D382"/>
                  <wp:cNvGraphicFramePr/>
                  <a:graphic xmlns:a="http://schemas.openxmlformats.org/drawingml/2006/main">
                    <a:graphicData uri="http://schemas.openxmlformats.org/drawingml/2006/picture">
                      <pic:pic xmlns:pic="http://schemas.openxmlformats.org/drawingml/2006/picture">
                        <pic:nvPicPr>
                          <pic:cNvPr id="945" name="ID_EEC68CDE4D0D43C1A0BDB4452C85D382"/>
                          <pic:cNvPicPr/>
                        </pic:nvPicPr>
                        <pic:blipFill>
                          <a:blip r:embed="rId168"/>
                          <a:stretch>
                            <a:fillRect/>
                          </a:stretch>
                        </pic:blipFill>
                        <pic:spPr>
                          <a:xfrm>
                            <a:off x="0" y="0"/>
                            <a:ext cx="901065" cy="485775"/>
                          </a:xfrm>
                          <a:prstGeom prst="rect">
                            <a:avLst/>
                          </a:prstGeom>
                          <a:noFill/>
                          <a:ln>
                            <a:noFill/>
                          </a:ln>
                        </pic:spPr>
                      </pic:pic>
                    </a:graphicData>
                  </a:graphic>
                </wp:anchor>
              </w:drawing>
            </w:r>
          </w:p>
        </w:tc>
      </w:tr>
      <w:tr w14:paraId="6B4D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852ACA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44</w:t>
            </w:r>
          </w:p>
        </w:tc>
        <w:tc>
          <w:tcPr>
            <w:tcW w:w="1293" w:type="dxa"/>
            <w:vAlign w:val="center"/>
          </w:tcPr>
          <w:p w14:paraId="353E5A2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 种植围栏 </w:t>
            </w:r>
          </w:p>
        </w:tc>
        <w:tc>
          <w:tcPr>
            <w:tcW w:w="8697" w:type="dxa"/>
            <w:vAlign w:val="center"/>
          </w:tcPr>
          <w:p w14:paraId="351164C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1.规格：1500*1350*100cm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2.主体材质芬兰木：栏杆采用2.8宽，辅料采用：2cm，表面处理：进行压、刨、铣、冲等处理后，表面进行防腐、防蛀处理，后采用原子灰进行三次刮灰抹平，并打磨光滑，表面喷涂三次聚氨脂清漆。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4.产品外表和内表以及儿童手指可触及处无毛刺及尖锐的棱角，油漆采用户外哑光漆 。</w:t>
            </w:r>
          </w:p>
        </w:tc>
        <w:tc>
          <w:tcPr>
            <w:tcW w:w="840" w:type="dxa"/>
            <w:vAlign w:val="center"/>
          </w:tcPr>
          <w:p w14:paraId="13FCB2F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35D7EF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EC4D3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26670</wp:posOffset>
                  </wp:positionH>
                  <wp:positionV relativeFrom="paragraph">
                    <wp:posOffset>258445</wp:posOffset>
                  </wp:positionV>
                  <wp:extent cx="904240" cy="447675"/>
                  <wp:effectExtent l="0" t="0" r="10160" b="9525"/>
                  <wp:wrapNone/>
                  <wp:docPr id="947" name="ID_449F197EBED54E92A29D16EAA8CD32B8"/>
                  <wp:cNvGraphicFramePr/>
                  <a:graphic xmlns:a="http://schemas.openxmlformats.org/drawingml/2006/main">
                    <a:graphicData uri="http://schemas.openxmlformats.org/drawingml/2006/picture">
                      <pic:pic xmlns:pic="http://schemas.openxmlformats.org/drawingml/2006/picture">
                        <pic:nvPicPr>
                          <pic:cNvPr id="947" name="ID_449F197EBED54E92A29D16EAA8CD32B8"/>
                          <pic:cNvPicPr/>
                        </pic:nvPicPr>
                        <pic:blipFill>
                          <a:blip r:embed="rId169"/>
                          <a:stretch>
                            <a:fillRect/>
                          </a:stretch>
                        </pic:blipFill>
                        <pic:spPr>
                          <a:xfrm>
                            <a:off x="0" y="0"/>
                            <a:ext cx="904240" cy="447675"/>
                          </a:xfrm>
                          <a:prstGeom prst="rect">
                            <a:avLst/>
                          </a:prstGeom>
                          <a:noFill/>
                          <a:ln>
                            <a:noFill/>
                          </a:ln>
                        </pic:spPr>
                      </pic:pic>
                    </a:graphicData>
                  </a:graphic>
                </wp:anchor>
              </w:drawing>
            </w:r>
          </w:p>
        </w:tc>
      </w:tr>
      <w:tr w14:paraId="3381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C18D0F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45</w:t>
            </w:r>
          </w:p>
        </w:tc>
        <w:tc>
          <w:tcPr>
            <w:tcW w:w="1293" w:type="dxa"/>
            <w:vAlign w:val="center"/>
          </w:tcPr>
          <w:p w14:paraId="64A2247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 攀爬点 </w:t>
            </w:r>
          </w:p>
        </w:tc>
        <w:tc>
          <w:tcPr>
            <w:tcW w:w="8697" w:type="dxa"/>
            <w:vAlign w:val="center"/>
          </w:tcPr>
          <w:p w14:paraId="7A67CD0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1.规格500*210cm，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2.主体材质芬兰木，表面处理：进行压、刨、铣、冲等处理后，表面进行防腐、防蛀处理，后采用原子灰进行三次刮灰抹平，并打磨光滑，表面喷涂三次聚氨脂清漆；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3.攀爬点采用环保工程塑料，滚塑工艺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4.五金螺丝：采用不锈钢304#子母螺丝，燕尾自攻螺丝采用410#，牢固，不易松动脱落及变形和损坏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5.产品外表和内表以及儿童手指可触及处无毛刺及尖锐的棱角，油漆采用户外哑光漆。</w:t>
            </w:r>
          </w:p>
        </w:tc>
        <w:tc>
          <w:tcPr>
            <w:tcW w:w="840" w:type="dxa"/>
            <w:vAlign w:val="center"/>
          </w:tcPr>
          <w:p w14:paraId="5211C53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D5D967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CE66C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43180</wp:posOffset>
                  </wp:positionH>
                  <wp:positionV relativeFrom="paragraph">
                    <wp:posOffset>193040</wp:posOffset>
                  </wp:positionV>
                  <wp:extent cx="762000" cy="873760"/>
                  <wp:effectExtent l="0" t="0" r="0" b="10160"/>
                  <wp:wrapNone/>
                  <wp:docPr id="949" name="ID_CABBE14E00854DF28643D4FDA288E1F3"/>
                  <wp:cNvGraphicFramePr/>
                  <a:graphic xmlns:a="http://schemas.openxmlformats.org/drawingml/2006/main">
                    <a:graphicData uri="http://schemas.openxmlformats.org/drawingml/2006/picture">
                      <pic:pic xmlns:pic="http://schemas.openxmlformats.org/drawingml/2006/picture">
                        <pic:nvPicPr>
                          <pic:cNvPr id="949" name="ID_CABBE14E00854DF28643D4FDA288E1F3"/>
                          <pic:cNvPicPr/>
                        </pic:nvPicPr>
                        <pic:blipFill>
                          <a:blip r:embed="rId170"/>
                          <a:stretch>
                            <a:fillRect/>
                          </a:stretch>
                        </pic:blipFill>
                        <pic:spPr>
                          <a:xfrm>
                            <a:off x="0" y="0"/>
                            <a:ext cx="762000" cy="873760"/>
                          </a:xfrm>
                          <a:prstGeom prst="rect">
                            <a:avLst/>
                          </a:prstGeom>
                          <a:noFill/>
                          <a:ln>
                            <a:noFill/>
                          </a:ln>
                        </pic:spPr>
                      </pic:pic>
                    </a:graphicData>
                  </a:graphic>
                </wp:anchor>
              </w:drawing>
            </w:r>
          </w:p>
        </w:tc>
      </w:tr>
      <w:tr w14:paraId="42F9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trPr>
        <w:tc>
          <w:tcPr>
            <w:tcW w:w="664" w:type="dxa"/>
            <w:vAlign w:val="center"/>
          </w:tcPr>
          <w:p w14:paraId="7203204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46</w:t>
            </w:r>
          </w:p>
        </w:tc>
        <w:tc>
          <w:tcPr>
            <w:tcW w:w="1293" w:type="dxa"/>
            <w:vAlign w:val="center"/>
          </w:tcPr>
          <w:p w14:paraId="485907D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 爬网 </w:t>
            </w:r>
          </w:p>
        </w:tc>
        <w:tc>
          <w:tcPr>
            <w:tcW w:w="8697" w:type="dxa"/>
            <w:vAlign w:val="center"/>
          </w:tcPr>
          <w:p w14:paraId="27507B6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规格280*120cm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铁件：铁件厚度为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2.绳网：全部采用航海船用缆绳，直径不小于16mm，中芯为镀铬钢丝外套胶管，外层再覆以变色锦纶编织绳，强度大，抗磨损，耐腐蚀，安全性能好。</w:t>
            </w:r>
          </w:p>
        </w:tc>
        <w:tc>
          <w:tcPr>
            <w:tcW w:w="840" w:type="dxa"/>
            <w:vAlign w:val="center"/>
          </w:tcPr>
          <w:p w14:paraId="22E4C4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E7E3D6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5EF43C0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43180</wp:posOffset>
                  </wp:positionH>
                  <wp:positionV relativeFrom="paragraph">
                    <wp:posOffset>-65405</wp:posOffset>
                  </wp:positionV>
                  <wp:extent cx="708025" cy="554990"/>
                  <wp:effectExtent l="0" t="0" r="8255" b="8890"/>
                  <wp:wrapNone/>
                  <wp:docPr id="951" name="ID_94F1929D040D48FD97755BB8F901F76E"/>
                  <wp:cNvGraphicFramePr/>
                  <a:graphic xmlns:a="http://schemas.openxmlformats.org/drawingml/2006/main">
                    <a:graphicData uri="http://schemas.openxmlformats.org/drawingml/2006/picture">
                      <pic:pic xmlns:pic="http://schemas.openxmlformats.org/drawingml/2006/picture">
                        <pic:nvPicPr>
                          <pic:cNvPr id="951" name="ID_94F1929D040D48FD97755BB8F901F76E"/>
                          <pic:cNvPicPr/>
                        </pic:nvPicPr>
                        <pic:blipFill>
                          <a:blip r:embed="rId171"/>
                          <a:stretch>
                            <a:fillRect/>
                          </a:stretch>
                        </pic:blipFill>
                        <pic:spPr>
                          <a:xfrm>
                            <a:off x="0" y="0"/>
                            <a:ext cx="708025" cy="554990"/>
                          </a:xfrm>
                          <a:prstGeom prst="rect">
                            <a:avLst/>
                          </a:prstGeom>
                          <a:noFill/>
                          <a:ln>
                            <a:noFill/>
                          </a:ln>
                        </pic:spPr>
                      </pic:pic>
                    </a:graphicData>
                  </a:graphic>
                </wp:anchor>
              </w:drawing>
            </w:r>
          </w:p>
        </w:tc>
      </w:tr>
      <w:tr w14:paraId="7F96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DB7667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47</w:t>
            </w:r>
          </w:p>
        </w:tc>
        <w:tc>
          <w:tcPr>
            <w:tcW w:w="1293" w:type="dxa"/>
            <w:vAlign w:val="center"/>
          </w:tcPr>
          <w:p w14:paraId="30063E5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 不锈钢钻洞 </w:t>
            </w:r>
          </w:p>
        </w:tc>
        <w:tc>
          <w:tcPr>
            <w:tcW w:w="8697" w:type="dxa"/>
            <w:vAlign w:val="center"/>
          </w:tcPr>
          <w:p w14:paraId="7015B46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360*79cm，材质为304不锈钢耐磨损，表面经过处理，耐腐蚀性强，厚度3mm，直径800MM，氩弧焊透度均匀，表面光滑，整齐，整体安全可靠。双面拉丝工艺。凡是有接口和焊缝处全部采用氩弧焊焊接，焊缝经二次打磨处理，无毛刺无尖角。</w:t>
            </w:r>
          </w:p>
        </w:tc>
        <w:tc>
          <w:tcPr>
            <w:tcW w:w="840" w:type="dxa"/>
            <w:vAlign w:val="center"/>
          </w:tcPr>
          <w:p w14:paraId="16C6A57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98591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74F9D2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153035</wp:posOffset>
                  </wp:positionH>
                  <wp:positionV relativeFrom="paragraph">
                    <wp:posOffset>18415</wp:posOffset>
                  </wp:positionV>
                  <wp:extent cx="829945" cy="480060"/>
                  <wp:effectExtent l="0" t="0" r="8255" b="7620"/>
                  <wp:wrapNone/>
                  <wp:docPr id="953" name="ID_82B3D8ABB4C24F8AB0C67C4AC4E123B8"/>
                  <wp:cNvGraphicFramePr/>
                  <a:graphic xmlns:a="http://schemas.openxmlformats.org/drawingml/2006/main">
                    <a:graphicData uri="http://schemas.openxmlformats.org/drawingml/2006/picture">
                      <pic:pic xmlns:pic="http://schemas.openxmlformats.org/drawingml/2006/picture">
                        <pic:nvPicPr>
                          <pic:cNvPr id="953" name="ID_82B3D8ABB4C24F8AB0C67C4AC4E123B8"/>
                          <pic:cNvPicPr/>
                        </pic:nvPicPr>
                        <pic:blipFill>
                          <a:blip r:embed="rId172"/>
                          <a:stretch>
                            <a:fillRect/>
                          </a:stretch>
                        </pic:blipFill>
                        <pic:spPr>
                          <a:xfrm>
                            <a:off x="0" y="0"/>
                            <a:ext cx="829945" cy="480060"/>
                          </a:xfrm>
                          <a:prstGeom prst="rect">
                            <a:avLst/>
                          </a:prstGeom>
                          <a:noFill/>
                          <a:ln>
                            <a:noFill/>
                          </a:ln>
                        </pic:spPr>
                      </pic:pic>
                    </a:graphicData>
                  </a:graphic>
                </wp:anchor>
              </w:drawing>
            </w:r>
          </w:p>
        </w:tc>
      </w:tr>
      <w:tr w14:paraId="78DF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09C04C83">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桌面玩具</w:t>
            </w:r>
          </w:p>
        </w:tc>
      </w:tr>
      <w:tr w14:paraId="7DC1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64" w:type="dxa"/>
            <w:vAlign w:val="center"/>
          </w:tcPr>
          <w:p w14:paraId="71BAF34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7A59396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4D磁力片</w:t>
            </w:r>
          </w:p>
        </w:tc>
        <w:tc>
          <w:tcPr>
            <w:tcW w:w="8697" w:type="dxa"/>
            <w:vAlign w:val="center"/>
          </w:tcPr>
          <w:p w14:paraId="2C8C6E1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件数：100pcs/套 优质环保abs塑料，优质磁铁</w:t>
            </w:r>
          </w:p>
        </w:tc>
        <w:tc>
          <w:tcPr>
            <w:tcW w:w="840" w:type="dxa"/>
            <w:vAlign w:val="center"/>
          </w:tcPr>
          <w:p w14:paraId="213DD22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D13CC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20BEB8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19050</wp:posOffset>
                  </wp:positionH>
                  <wp:positionV relativeFrom="paragraph">
                    <wp:posOffset>-21590</wp:posOffset>
                  </wp:positionV>
                  <wp:extent cx="980440" cy="378460"/>
                  <wp:effectExtent l="0" t="0" r="10160" b="2540"/>
                  <wp:wrapNone/>
                  <wp:docPr id="955" name="ID_E28173EC35704765B85577A25CC7FCE5"/>
                  <wp:cNvGraphicFramePr/>
                  <a:graphic xmlns:a="http://schemas.openxmlformats.org/drawingml/2006/main">
                    <a:graphicData uri="http://schemas.openxmlformats.org/drawingml/2006/picture">
                      <pic:pic xmlns:pic="http://schemas.openxmlformats.org/drawingml/2006/picture">
                        <pic:nvPicPr>
                          <pic:cNvPr id="955" name="ID_E28173EC35704765B85577A25CC7FCE5"/>
                          <pic:cNvPicPr/>
                        </pic:nvPicPr>
                        <pic:blipFill>
                          <a:blip r:embed="rId173"/>
                          <a:stretch>
                            <a:fillRect/>
                          </a:stretch>
                        </pic:blipFill>
                        <pic:spPr>
                          <a:xfrm>
                            <a:off x="0" y="0"/>
                            <a:ext cx="980440" cy="378460"/>
                          </a:xfrm>
                          <a:prstGeom prst="rect">
                            <a:avLst/>
                          </a:prstGeom>
                          <a:noFill/>
                          <a:ln>
                            <a:noFill/>
                          </a:ln>
                        </pic:spPr>
                      </pic:pic>
                    </a:graphicData>
                  </a:graphic>
                </wp:anchor>
              </w:drawing>
            </w:r>
          </w:p>
        </w:tc>
      </w:tr>
      <w:tr w14:paraId="7516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64" w:type="dxa"/>
            <w:vAlign w:val="center"/>
          </w:tcPr>
          <w:p w14:paraId="209F779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6AC617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磁性eva积木</w:t>
            </w:r>
          </w:p>
        </w:tc>
        <w:tc>
          <w:tcPr>
            <w:tcW w:w="8697" w:type="dxa"/>
            <w:vAlign w:val="center"/>
          </w:tcPr>
          <w:p w14:paraId="555F4EE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件数：122pcs/套 优质环保eva材质，优质abs塑料，优质磁铁</w:t>
            </w:r>
          </w:p>
        </w:tc>
        <w:tc>
          <w:tcPr>
            <w:tcW w:w="840" w:type="dxa"/>
            <w:vAlign w:val="center"/>
          </w:tcPr>
          <w:p w14:paraId="16E73FB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74AA0C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9FCDF7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19050</wp:posOffset>
                  </wp:positionH>
                  <wp:positionV relativeFrom="paragraph">
                    <wp:posOffset>82550</wp:posOffset>
                  </wp:positionV>
                  <wp:extent cx="958850" cy="388620"/>
                  <wp:effectExtent l="0" t="0" r="1270" b="7620"/>
                  <wp:wrapNone/>
                  <wp:docPr id="957" name="ID_D1B97802FFF9475B8113C7CEB531E809"/>
                  <wp:cNvGraphicFramePr/>
                  <a:graphic xmlns:a="http://schemas.openxmlformats.org/drawingml/2006/main">
                    <a:graphicData uri="http://schemas.openxmlformats.org/drawingml/2006/picture">
                      <pic:pic xmlns:pic="http://schemas.openxmlformats.org/drawingml/2006/picture">
                        <pic:nvPicPr>
                          <pic:cNvPr id="957" name="ID_D1B97802FFF9475B8113C7CEB531E809"/>
                          <pic:cNvPicPr/>
                        </pic:nvPicPr>
                        <pic:blipFill>
                          <a:blip r:embed="rId174"/>
                          <a:stretch>
                            <a:fillRect/>
                          </a:stretch>
                        </pic:blipFill>
                        <pic:spPr>
                          <a:xfrm>
                            <a:off x="0" y="0"/>
                            <a:ext cx="958850" cy="388620"/>
                          </a:xfrm>
                          <a:prstGeom prst="rect">
                            <a:avLst/>
                          </a:prstGeom>
                          <a:noFill/>
                          <a:ln>
                            <a:noFill/>
                          </a:ln>
                        </pic:spPr>
                      </pic:pic>
                    </a:graphicData>
                  </a:graphic>
                </wp:anchor>
              </w:drawing>
            </w:r>
          </w:p>
        </w:tc>
      </w:tr>
      <w:tr w14:paraId="4155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64" w:type="dxa"/>
            <w:vAlign w:val="center"/>
          </w:tcPr>
          <w:p w14:paraId="554F496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68060E7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蜜蜂套柱三合一</w:t>
            </w:r>
          </w:p>
        </w:tc>
        <w:tc>
          <w:tcPr>
            <w:tcW w:w="8697" w:type="dxa"/>
            <w:vAlign w:val="center"/>
          </w:tcPr>
          <w:p w14:paraId="44E5E9D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尺寸：30*15cm，</w:t>
            </w:r>
          </w:p>
        </w:tc>
        <w:tc>
          <w:tcPr>
            <w:tcW w:w="840" w:type="dxa"/>
            <w:vAlign w:val="center"/>
          </w:tcPr>
          <w:p w14:paraId="2D71CE9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A1F1A1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5CC852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-29845</wp:posOffset>
                  </wp:positionH>
                  <wp:positionV relativeFrom="paragraph">
                    <wp:posOffset>34290</wp:posOffset>
                  </wp:positionV>
                  <wp:extent cx="1017270" cy="481965"/>
                  <wp:effectExtent l="0" t="0" r="3810" b="5715"/>
                  <wp:wrapNone/>
                  <wp:docPr id="959" name="ID_08AEFC0930C2460DA0E580EEE250673F"/>
                  <wp:cNvGraphicFramePr/>
                  <a:graphic xmlns:a="http://schemas.openxmlformats.org/drawingml/2006/main">
                    <a:graphicData uri="http://schemas.openxmlformats.org/drawingml/2006/picture">
                      <pic:pic xmlns:pic="http://schemas.openxmlformats.org/drawingml/2006/picture">
                        <pic:nvPicPr>
                          <pic:cNvPr id="959" name="ID_08AEFC0930C2460DA0E580EEE250673F"/>
                          <pic:cNvPicPr/>
                        </pic:nvPicPr>
                        <pic:blipFill>
                          <a:blip r:embed="rId175"/>
                          <a:stretch>
                            <a:fillRect/>
                          </a:stretch>
                        </pic:blipFill>
                        <pic:spPr>
                          <a:xfrm>
                            <a:off x="0" y="0"/>
                            <a:ext cx="1017270" cy="481965"/>
                          </a:xfrm>
                          <a:prstGeom prst="rect">
                            <a:avLst/>
                          </a:prstGeom>
                          <a:noFill/>
                          <a:ln>
                            <a:noFill/>
                          </a:ln>
                        </pic:spPr>
                      </pic:pic>
                    </a:graphicData>
                  </a:graphic>
                </wp:anchor>
              </w:drawing>
            </w:r>
          </w:p>
        </w:tc>
      </w:tr>
      <w:tr w14:paraId="511F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64" w:type="dxa"/>
            <w:vAlign w:val="center"/>
          </w:tcPr>
          <w:p w14:paraId="0687664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w:t>
            </w:r>
          </w:p>
        </w:tc>
        <w:tc>
          <w:tcPr>
            <w:tcW w:w="1293" w:type="dxa"/>
            <w:vAlign w:val="center"/>
          </w:tcPr>
          <w:p w14:paraId="45E30B5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马卡龙5套柱</w:t>
            </w:r>
          </w:p>
        </w:tc>
        <w:tc>
          <w:tcPr>
            <w:tcW w:w="8697" w:type="dxa"/>
            <w:vAlign w:val="center"/>
          </w:tcPr>
          <w:p w14:paraId="1746809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包装规格：30.5*7*5.8cm，实木</w:t>
            </w:r>
          </w:p>
        </w:tc>
        <w:tc>
          <w:tcPr>
            <w:tcW w:w="840" w:type="dxa"/>
            <w:vAlign w:val="center"/>
          </w:tcPr>
          <w:p w14:paraId="53CF2B1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FD3986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44F9E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31750</wp:posOffset>
                  </wp:positionH>
                  <wp:positionV relativeFrom="paragraph">
                    <wp:posOffset>50800</wp:posOffset>
                  </wp:positionV>
                  <wp:extent cx="953770" cy="415290"/>
                  <wp:effectExtent l="0" t="0" r="6350" b="11430"/>
                  <wp:wrapNone/>
                  <wp:docPr id="961" name="ID_14EA6BCC80B5444AB9B5574D768CFC13"/>
                  <wp:cNvGraphicFramePr/>
                  <a:graphic xmlns:a="http://schemas.openxmlformats.org/drawingml/2006/main">
                    <a:graphicData uri="http://schemas.openxmlformats.org/drawingml/2006/picture">
                      <pic:pic xmlns:pic="http://schemas.openxmlformats.org/drawingml/2006/picture">
                        <pic:nvPicPr>
                          <pic:cNvPr id="961" name="ID_14EA6BCC80B5444AB9B5574D768CFC13"/>
                          <pic:cNvPicPr/>
                        </pic:nvPicPr>
                        <pic:blipFill>
                          <a:blip r:embed="rId176"/>
                          <a:stretch>
                            <a:fillRect/>
                          </a:stretch>
                        </pic:blipFill>
                        <pic:spPr>
                          <a:xfrm>
                            <a:off x="0" y="0"/>
                            <a:ext cx="953770" cy="415290"/>
                          </a:xfrm>
                          <a:prstGeom prst="rect">
                            <a:avLst/>
                          </a:prstGeom>
                          <a:noFill/>
                          <a:ln>
                            <a:noFill/>
                          </a:ln>
                        </pic:spPr>
                      </pic:pic>
                    </a:graphicData>
                  </a:graphic>
                </wp:anchor>
              </w:drawing>
            </w:r>
          </w:p>
        </w:tc>
      </w:tr>
      <w:tr w14:paraId="0A59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4" w:type="dxa"/>
            <w:vAlign w:val="center"/>
          </w:tcPr>
          <w:p w14:paraId="7E1B1B6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5</w:t>
            </w:r>
          </w:p>
        </w:tc>
        <w:tc>
          <w:tcPr>
            <w:tcW w:w="1293" w:type="dxa"/>
            <w:vAlign w:val="center"/>
          </w:tcPr>
          <w:p w14:paraId="6B1A02B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百变正方体积木</w:t>
            </w:r>
          </w:p>
        </w:tc>
        <w:tc>
          <w:tcPr>
            <w:tcW w:w="8697" w:type="dxa"/>
            <w:vAlign w:val="center"/>
          </w:tcPr>
          <w:p w14:paraId="7C05229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尺寸:27*33*6cm，材质:榉木</w:t>
            </w:r>
          </w:p>
        </w:tc>
        <w:tc>
          <w:tcPr>
            <w:tcW w:w="840" w:type="dxa"/>
            <w:vAlign w:val="center"/>
          </w:tcPr>
          <w:p w14:paraId="214F1A0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6B256F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950C68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100330</wp:posOffset>
                  </wp:positionH>
                  <wp:positionV relativeFrom="paragraph">
                    <wp:posOffset>17780</wp:posOffset>
                  </wp:positionV>
                  <wp:extent cx="851535" cy="478790"/>
                  <wp:effectExtent l="0" t="0" r="1905" b="8890"/>
                  <wp:wrapNone/>
                  <wp:docPr id="963" name="ID_7707158D16EF40FFAB920DBEFE67684D"/>
                  <wp:cNvGraphicFramePr/>
                  <a:graphic xmlns:a="http://schemas.openxmlformats.org/drawingml/2006/main">
                    <a:graphicData uri="http://schemas.openxmlformats.org/drawingml/2006/picture">
                      <pic:pic xmlns:pic="http://schemas.openxmlformats.org/drawingml/2006/picture">
                        <pic:nvPicPr>
                          <pic:cNvPr id="963" name="ID_7707158D16EF40FFAB920DBEFE67684D"/>
                          <pic:cNvPicPr/>
                        </pic:nvPicPr>
                        <pic:blipFill>
                          <a:blip r:embed="rId177"/>
                          <a:stretch>
                            <a:fillRect/>
                          </a:stretch>
                        </pic:blipFill>
                        <pic:spPr>
                          <a:xfrm>
                            <a:off x="0" y="0"/>
                            <a:ext cx="851535" cy="478790"/>
                          </a:xfrm>
                          <a:prstGeom prst="rect">
                            <a:avLst/>
                          </a:prstGeom>
                          <a:noFill/>
                          <a:ln>
                            <a:noFill/>
                          </a:ln>
                        </pic:spPr>
                      </pic:pic>
                    </a:graphicData>
                  </a:graphic>
                </wp:anchor>
              </w:drawing>
            </w:r>
          </w:p>
        </w:tc>
      </w:tr>
      <w:tr w14:paraId="41F8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A3D3FC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6</w:t>
            </w:r>
          </w:p>
        </w:tc>
        <w:tc>
          <w:tcPr>
            <w:tcW w:w="1293" w:type="dxa"/>
            <w:vAlign w:val="center"/>
          </w:tcPr>
          <w:p w14:paraId="5C802C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数字基础套装</w:t>
            </w:r>
          </w:p>
        </w:tc>
        <w:tc>
          <w:tcPr>
            <w:tcW w:w="8697" w:type="dxa"/>
            <w:vAlign w:val="center"/>
          </w:tcPr>
          <w:p w14:paraId="5D22124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1.尺寸：46.5*30*9.7cm；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2.材质：榉木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1）积木数字1：尺寸为62.5*25*15mm；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2）积木数字4：尺寸为62.5*25*60mm；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3）积木数字7：尺寸为62.5*25*105mm；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4）积木数字10：尺寸为62.5*25*150mm；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4、特点、功能：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1）全实木积木，保持实木原色，无毒无味无棱角，美观安全；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2）利用建构垒高将数学加减通过积木叠加，将数字认知通过积木表达让幼儿更直观理解数字游戏，玩中学、学中玩。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3）低结构、易操作游戏材料，帮助孩子在动手游戏中数感建立，量感的建立，形感的建立，空间感的建立，通过游戏感受数、量、几何、空间的认知；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4）通过空间、数、量、形多方面引起幼儿对数学的启蒙和认知，通过数量的叠加、平衡、结构，达到不同的三维空间效果，让幼儿更好的探索数学的奥秘；</w:t>
            </w:r>
          </w:p>
        </w:tc>
        <w:tc>
          <w:tcPr>
            <w:tcW w:w="840" w:type="dxa"/>
            <w:vAlign w:val="center"/>
          </w:tcPr>
          <w:p w14:paraId="0598191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8973BF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B0D41C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100330</wp:posOffset>
                  </wp:positionH>
                  <wp:positionV relativeFrom="paragraph">
                    <wp:posOffset>-205740</wp:posOffset>
                  </wp:positionV>
                  <wp:extent cx="876300" cy="920115"/>
                  <wp:effectExtent l="0" t="0" r="7620" b="9525"/>
                  <wp:wrapNone/>
                  <wp:docPr id="965" name="ID_0531011ADAA64519AAEFBE43647D5E8B"/>
                  <wp:cNvGraphicFramePr/>
                  <a:graphic xmlns:a="http://schemas.openxmlformats.org/drawingml/2006/main">
                    <a:graphicData uri="http://schemas.openxmlformats.org/drawingml/2006/picture">
                      <pic:pic xmlns:pic="http://schemas.openxmlformats.org/drawingml/2006/picture">
                        <pic:nvPicPr>
                          <pic:cNvPr id="965" name="ID_0531011ADAA64519AAEFBE43647D5E8B"/>
                          <pic:cNvPicPr/>
                        </pic:nvPicPr>
                        <pic:blipFill>
                          <a:blip r:embed="rId178"/>
                          <a:stretch>
                            <a:fillRect/>
                          </a:stretch>
                        </pic:blipFill>
                        <pic:spPr>
                          <a:xfrm>
                            <a:off x="0" y="0"/>
                            <a:ext cx="876300" cy="920115"/>
                          </a:xfrm>
                          <a:prstGeom prst="rect">
                            <a:avLst/>
                          </a:prstGeom>
                          <a:noFill/>
                          <a:ln>
                            <a:noFill/>
                          </a:ln>
                        </pic:spPr>
                      </pic:pic>
                    </a:graphicData>
                  </a:graphic>
                </wp:anchor>
              </w:drawing>
            </w:r>
          </w:p>
        </w:tc>
      </w:tr>
      <w:tr w14:paraId="1066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2AD920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7</w:t>
            </w:r>
          </w:p>
        </w:tc>
        <w:tc>
          <w:tcPr>
            <w:tcW w:w="1293" w:type="dxa"/>
            <w:vAlign w:val="center"/>
          </w:tcPr>
          <w:p w14:paraId="568ABD9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班级建构区小班</w:t>
            </w:r>
          </w:p>
        </w:tc>
        <w:tc>
          <w:tcPr>
            <w:tcW w:w="8697" w:type="dxa"/>
            <w:vAlign w:val="center"/>
          </w:tcPr>
          <w:p w14:paraId="394B261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配件数量：1000件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装箱数：1箱（内含8盒）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主体材质：ABS、EVA、TPE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1.黄轮：外观为直径50mm，高度22.5mm的近似圆柱体，整体直径尺寸符合幼儿手掌抓握尺寸；圆柱侧面及上下底中心位置存在10个独立固定孔，多方向固定孔，配合不同小配件，满足幼儿多样拼插需求。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蓝轴：外观为直径51.5mm，高度22.5mm的近似圆柱体，整体直径尺寸符合幼儿手掌抓握尺寸；上下面中心设有通孔，可达到一定的转轴作用，通孔周围及侧面各均匀分布4个固定孔，多方向固定孔满足幼儿多样拼插需求；侧面直径小于上下两面直径，呈现一定“腰部收窄”效果，组合相应软性配件更加稳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超级链接球：外观为近似50mm的球形结构，符合幼儿手掌抓握尺寸；球体中心设有一个近似圆形通孔，球体设有与通孔垂直的上、中、下三部分，中部圆环均匀分布8个圆形孔，上下均可旋转，并设有4个圆形孔，实现多样造型拼搭。</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4.D9.55硬管：外观为直径9.6mm的圆柱形，尺寸适合幼儿手握，并可承受一定转动和插拔力度；可触及边缘采用倒角工艺，以减少潜在安全风险；两端有转接头设计，可与黄轮、超级链接球等固定孔匹配连接。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应用场景：班级区域、通道走廊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产品特点：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1.低结构、易塑形、易操作积木游戏材料，以点、线、面、轴为主要配件，材料安全，设计合理，满足幼儿多样拼搭需求。主要颜色有红色、粉红色、黄色、蓝色、绿色和紫色，发展幼儿颜色认知，增强幼儿审美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2.锻炼幼儿手部精细化运动，由简单到复杂、由平面到立体、由静态到动态、由动态到机械构架。符合幼儿动作、认知发展规律，引导幼儿不断探索创新，多元化发展。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3.充分发挥幼儿的主体性，让幼儿主动参与游戏，能快速拼装作品，培养建构积木的创造型思维。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4.小班幼儿的年龄为3-4岁，处于直觉行动思维和具体形象思维的发展阶段，以独自游戏和平行游戏为主，从无意想象逐渐发展为有意想象。小班的游戏目标为：幼儿能认识命名游戏材料，能熟练地摆弄、操作材料，通过运用“点、线、轴”三要素建构日常生活物品，掌握建构简单模块的技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教辅材料：《教师指导手册》、游戏图卡、收纳图卡</w:t>
            </w:r>
          </w:p>
        </w:tc>
        <w:tc>
          <w:tcPr>
            <w:tcW w:w="840" w:type="dxa"/>
            <w:vAlign w:val="center"/>
          </w:tcPr>
          <w:p w14:paraId="215BC5F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E4FBDC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E8558B8">
            <w:pPr>
              <w:keepNext w:val="0"/>
              <w:keepLines w:val="0"/>
              <w:widowControl/>
              <w:suppressLineNumbers w:val="0"/>
              <w:jc w:val="both"/>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39370</wp:posOffset>
                  </wp:positionH>
                  <wp:positionV relativeFrom="paragraph">
                    <wp:posOffset>1215390</wp:posOffset>
                  </wp:positionV>
                  <wp:extent cx="922020" cy="790575"/>
                  <wp:effectExtent l="0" t="0" r="0" b="0"/>
                  <wp:wrapNone/>
                  <wp:docPr id="967" name="ID_E7EFA083584645AE9CCEF1221DFDFCB6"/>
                  <wp:cNvGraphicFramePr/>
                  <a:graphic xmlns:a="http://schemas.openxmlformats.org/drawingml/2006/main">
                    <a:graphicData uri="http://schemas.openxmlformats.org/drawingml/2006/picture">
                      <pic:pic xmlns:pic="http://schemas.openxmlformats.org/drawingml/2006/picture">
                        <pic:nvPicPr>
                          <pic:cNvPr id="967" name="ID_E7EFA083584645AE9CCEF1221DFDFCB6"/>
                          <pic:cNvPicPr/>
                        </pic:nvPicPr>
                        <pic:blipFill>
                          <a:blip r:embed="rId179"/>
                          <a:stretch>
                            <a:fillRect/>
                          </a:stretch>
                        </pic:blipFill>
                        <pic:spPr>
                          <a:xfrm>
                            <a:off x="0" y="0"/>
                            <a:ext cx="922020" cy="790575"/>
                          </a:xfrm>
                          <a:prstGeom prst="rect">
                            <a:avLst/>
                          </a:prstGeom>
                          <a:noFill/>
                          <a:ln>
                            <a:noFill/>
                          </a:ln>
                        </pic:spPr>
                      </pic:pic>
                    </a:graphicData>
                  </a:graphic>
                </wp:anchor>
              </w:drawing>
            </w:r>
          </w:p>
        </w:tc>
      </w:tr>
      <w:tr w14:paraId="4FC4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D0A80D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8</w:t>
            </w:r>
          </w:p>
        </w:tc>
        <w:tc>
          <w:tcPr>
            <w:tcW w:w="1293" w:type="dxa"/>
            <w:vAlign w:val="center"/>
          </w:tcPr>
          <w:p w14:paraId="7D8AF3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聪明蛋</w:t>
            </w:r>
          </w:p>
        </w:tc>
        <w:tc>
          <w:tcPr>
            <w:tcW w:w="8697" w:type="dxa"/>
            <w:vAlign w:val="center"/>
          </w:tcPr>
          <w:p w14:paraId="1AAA048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2.规格：规格（允许尺寸误差±3mm）：配有六边形、菱形、三角形、爱心、正方形、箭孔、八边形、花型、梯形、圆形等，直径45.9，长60mm                                                                                        3.件数：128件/箱</w:t>
            </w:r>
          </w:p>
        </w:tc>
        <w:tc>
          <w:tcPr>
            <w:tcW w:w="840" w:type="dxa"/>
            <w:vAlign w:val="center"/>
          </w:tcPr>
          <w:p w14:paraId="7CA1D8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9B62B2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FF061C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54610</wp:posOffset>
                  </wp:positionH>
                  <wp:positionV relativeFrom="paragraph">
                    <wp:posOffset>29210</wp:posOffset>
                  </wp:positionV>
                  <wp:extent cx="864235" cy="699135"/>
                  <wp:effectExtent l="0" t="0" r="4445" b="1905"/>
                  <wp:wrapNone/>
                  <wp:docPr id="969" name="ID_124672D30BF0405BB87DCFD1777D4FF3"/>
                  <wp:cNvGraphicFramePr/>
                  <a:graphic xmlns:a="http://schemas.openxmlformats.org/drawingml/2006/main">
                    <a:graphicData uri="http://schemas.openxmlformats.org/drawingml/2006/picture">
                      <pic:pic xmlns:pic="http://schemas.openxmlformats.org/drawingml/2006/picture">
                        <pic:nvPicPr>
                          <pic:cNvPr id="969" name="ID_124672D30BF0405BB87DCFD1777D4FF3"/>
                          <pic:cNvPicPr/>
                        </pic:nvPicPr>
                        <pic:blipFill>
                          <a:blip r:embed="rId180"/>
                          <a:stretch>
                            <a:fillRect/>
                          </a:stretch>
                        </pic:blipFill>
                        <pic:spPr>
                          <a:xfrm>
                            <a:off x="0" y="0"/>
                            <a:ext cx="864235" cy="699135"/>
                          </a:xfrm>
                          <a:prstGeom prst="rect">
                            <a:avLst/>
                          </a:prstGeom>
                          <a:noFill/>
                          <a:ln>
                            <a:noFill/>
                          </a:ln>
                        </pic:spPr>
                      </pic:pic>
                    </a:graphicData>
                  </a:graphic>
                </wp:anchor>
              </w:drawing>
            </w:r>
          </w:p>
        </w:tc>
      </w:tr>
      <w:tr w14:paraId="0E06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8413B6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9</w:t>
            </w:r>
          </w:p>
        </w:tc>
        <w:tc>
          <w:tcPr>
            <w:tcW w:w="1293" w:type="dxa"/>
            <w:vAlign w:val="center"/>
          </w:tcPr>
          <w:p w14:paraId="4FB296D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特大雪花</w:t>
            </w:r>
          </w:p>
        </w:tc>
        <w:tc>
          <w:tcPr>
            <w:tcW w:w="8697" w:type="dxa"/>
            <w:vAlign w:val="center"/>
          </w:tcPr>
          <w:p w14:paraId="0CFA8A4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2.产品由红、黄、蓝、绿4种颜色组成                            规格（允许尺寸误差±3mm）：φ80mm                                                                                        3.件数：158件</w:t>
            </w:r>
          </w:p>
        </w:tc>
        <w:tc>
          <w:tcPr>
            <w:tcW w:w="840" w:type="dxa"/>
            <w:vAlign w:val="center"/>
          </w:tcPr>
          <w:p w14:paraId="1AF9285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00F54A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53FA40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80010</wp:posOffset>
                  </wp:positionH>
                  <wp:positionV relativeFrom="paragraph">
                    <wp:posOffset>29210</wp:posOffset>
                  </wp:positionV>
                  <wp:extent cx="821690" cy="583565"/>
                  <wp:effectExtent l="0" t="0" r="1270" b="10795"/>
                  <wp:wrapNone/>
                  <wp:docPr id="971" name="ID_ECE917D481DA4A9480BCD4B9E2AC3FE8"/>
                  <wp:cNvGraphicFramePr/>
                  <a:graphic xmlns:a="http://schemas.openxmlformats.org/drawingml/2006/main">
                    <a:graphicData uri="http://schemas.openxmlformats.org/drawingml/2006/picture">
                      <pic:pic xmlns:pic="http://schemas.openxmlformats.org/drawingml/2006/picture">
                        <pic:nvPicPr>
                          <pic:cNvPr id="971" name="ID_ECE917D481DA4A9480BCD4B9E2AC3FE8"/>
                          <pic:cNvPicPr/>
                        </pic:nvPicPr>
                        <pic:blipFill>
                          <a:blip r:embed="rId181"/>
                          <a:stretch>
                            <a:fillRect/>
                          </a:stretch>
                        </pic:blipFill>
                        <pic:spPr>
                          <a:xfrm>
                            <a:off x="0" y="0"/>
                            <a:ext cx="821690" cy="583565"/>
                          </a:xfrm>
                          <a:prstGeom prst="rect">
                            <a:avLst/>
                          </a:prstGeom>
                          <a:noFill/>
                          <a:ln>
                            <a:noFill/>
                          </a:ln>
                        </pic:spPr>
                      </pic:pic>
                    </a:graphicData>
                  </a:graphic>
                </wp:anchor>
              </w:drawing>
            </w:r>
          </w:p>
        </w:tc>
      </w:tr>
      <w:tr w14:paraId="324B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A05A4C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10</w:t>
            </w:r>
          </w:p>
        </w:tc>
        <w:tc>
          <w:tcPr>
            <w:tcW w:w="1293" w:type="dxa"/>
            <w:vAlign w:val="center"/>
          </w:tcPr>
          <w:p w14:paraId="766819B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大串珠</w:t>
            </w:r>
          </w:p>
        </w:tc>
        <w:tc>
          <w:tcPr>
            <w:tcW w:w="8697" w:type="dxa"/>
            <w:vAlign w:val="center"/>
          </w:tcPr>
          <w:p w14:paraId="20B75B71">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u w:val="none"/>
                <w:lang w:val="en-US" w:eastAsia="zh-CN" w:bidi="ar"/>
              </w:rPr>
              <w:t>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2.产品由红、黄、蓝、绿、橙、紫6种颜色组成                                 </w:t>
            </w:r>
          </w:p>
          <w:p w14:paraId="73784F59">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规格（允许尺寸误差±3mm）： 圆柱：29*28mm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椭圆;39*30mm三角形：3.3*3mm 正方体：29*29mm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六边体：29*29mm 五角星：33*29mm                                              </w:t>
            </w:r>
          </w:p>
          <w:p w14:paraId="0C814F16">
            <w:pPr>
              <w:keepNext w:val="0"/>
              <w:keepLines w:val="0"/>
              <w:widowControl/>
              <w:numPr>
                <w:ilvl w:val="0"/>
                <w:numId w:val="0"/>
              </w:numPr>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3.件数:.300件</w:t>
            </w:r>
          </w:p>
        </w:tc>
        <w:tc>
          <w:tcPr>
            <w:tcW w:w="840" w:type="dxa"/>
            <w:vAlign w:val="center"/>
          </w:tcPr>
          <w:p w14:paraId="64D7542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9EE8AC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8C9018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80010</wp:posOffset>
                  </wp:positionH>
                  <wp:positionV relativeFrom="paragraph">
                    <wp:posOffset>-112395</wp:posOffset>
                  </wp:positionV>
                  <wp:extent cx="788670" cy="480060"/>
                  <wp:effectExtent l="0" t="0" r="3810" b="7620"/>
                  <wp:wrapNone/>
                  <wp:docPr id="973" name="ID_77CEE97A36984E928FCC7ADB422EA480"/>
                  <wp:cNvGraphicFramePr/>
                  <a:graphic xmlns:a="http://schemas.openxmlformats.org/drawingml/2006/main">
                    <a:graphicData uri="http://schemas.openxmlformats.org/drawingml/2006/picture">
                      <pic:pic xmlns:pic="http://schemas.openxmlformats.org/drawingml/2006/picture">
                        <pic:nvPicPr>
                          <pic:cNvPr id="973" name="ID_77CEE97A36984E928FCC7ADB422EA480"/>
                          <pic:cNvPicPr/>
                        </pic:nvPicPr>
                        <pic:blipFill>
                          <a:blip r:embed="rId182"/>
                          <a:stretch>
                            <a:fillRect/>
                          </a:stretch>
                        </pic:blipFill>
                        <pic:spPr>
                          <a:xfrm>
                            <a:off x="0" y="0"/>
                            <a:ext cx="788670" cy="480060"/>
                          </a:xfrm>
                          <a:prstGeom prst="rect">
                            <a:avLst/>
                          </a:prstGeom>
                          <a:noFill/>
                          <a:ln>
                            <a:noFill/>
                          </a:ln>
                        </pic:spPr>
                      </pic:pic>
                    </a:graphicData>
                  </a:graphic>
                </wp:anchor>
              </w:drawing>
            </w:r>
          </w:p>
        </w:tc>
      </w:tr>
      <w:tr w14:paraId="0EBA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298602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11</w:t>
            </w:r>
          </w:p>
        </w:tc>
        <w:tc>
          <w:tcPr>
            <w:tcW w:w="1293" w:type="dxa"/>
            <w:vAlign w:val="center"/>
          </w:tcPr>
          <w:p w14:paraId="1415597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动物大世界</w:t>
            </w:r>
          </w:p>
        </w:tc>
        <w:tc>
          <w:tcPr>
            <w:tcW w:w="8697" w:type="dxa"/>
            <w:vAlign w:val="center"/>
          </w:tcPr>
          <w:p w14:paraId="2597ECC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：ABS环保塑料、100%安全无毒，颜色艳丽，耐光照不褪色，抗压耐磨，光滑不伤手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2.产品由红、兰、黄、绿、白、棕、黑、紫、橙、果绿、浅兰11种颜色组成，规格（允许尺寸误差±3mm）：大颗粒2孔31*24*15mm  大颗粒4孔31*24*31mm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大颗粒6孔47*24*31mm   大颗粒8孔63*24*31mm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梯形：24*47*31mm 31*33*31mm  31*33*31mm 半椭圆：24*63*31mm  24*47*31mm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8孔长方形：63*14*31mm                                                                                      3.件数：288件</w:t>
            </w:r>
          </w:p>
        </w:tc>
        <w:tc>
          <w:tcPr>
            <w:tcW w:w="840" w:type="dxa"/>
            <w:vAlign w:val="center"/>
          </w:tcPr>
          <w:p w14:paraId="5CB330B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CE0CCC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15564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80010</wp:posOffset>
                  </wp:positionH>
                  <wp:positionV relativeFrom="paragraph">
                    <wp:posOffset>21590</wp:posOffset>
                  </wp:positionV>
                  <wp:extent cx="870585" cy="737235"/>
                  <wp:effectExtent l="0" t="0" r="13335" b="9525"/>
                  <wp:wrapNone/>
                  <wp:docPr id="975" name="ID_180479D548D745F2A612CE3A63CCB422"/>
                  <wp:cNvGraphicFramePr/>
                  <a:graphic xmlns:a="http://schemas.openxmlformats.org/drawingml/2006/main">
                    <a:graphicData uri="http://schemas.openxmlformats.org/drawingml/2006/picture">
                      <pic:pic xmlns:pic="http://schemas.openxmlformats.org/drawingml/2006/picture">
                        <pic:nvPicPr>
                          <pic:cNvPr id="975" name="ID_180479D548D745F2A612CE3A63CCB422"/>
                          <pic:cNvPicPr/>
                        </pic:nvPicPr>
                        <pic:blipFill>
                          <a:blip r:embed="rId183"/>
                          <a:stretch>
                            <a:fillRect/>
                          </a:stretch>
                        </pic:blipFill>
                        <pic:spPr>
                          <a:xfrm>
                            <a:off x="0" y="0"/>
                            <a:ext cx="870585" cy="737235"/>
                          </a:xfrm>
                          <a:prstGeom prst="rect">
                            <a:avLst/>
                          </a:prstGeom>
                          <a:noFill/>
                          <a:ln>
                            <a:noFill/>
                          </a:ln>
                        </pic:spPr>
                      </pic:pic>
                    </a:graphicData>
                  </a:graphic>
                </wp:anchor>
              </w:drawing>
            </w:r>
          </w:p>
        </w:tc>
      </w:tr>
      <w:tr w14:paraId="0024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2BBB4C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12</w:t>
            </w:r>
          </w:p>
        </w:tc>
        <w:tc>
          <w:tcPr>
            <w:tcW w:w="1293" w:type="dxa"/>
            <w:vAlign w:val="center"/>
          </w:tcPr>
          <w:p w14:paraId="59DA767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i w:val="0"/>
                <w:iCs w:val="0"/>
                <w:color w:val="auto"/>
                <w:kern w:val="0"/>
                <w:sz w:val="21"/>
                <w:szCs w:val="21"/>
                <w:u w:val="none"/>
                <w:lang w:val="en-US" w:eastAsia="zh-CN" w:bidi="ar"/>
              </w:rPr>
              <w:t>拼装积木</w:t>
            </w:r>
          </w:p>
        </w:tc>
        <w:tc>
          <w:tcPr>
            <w:tcW w:w="8697" w:type="dxa"/>
            <w:vAlign w:val="center"/>
          </w:tcPr>
          <w:p w14:paraId="25A3921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2.规格（允许尺寸误差±3mm）：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4孔：2.4*2.4*2.3cm 8孔：4.7*2.4*2.3cm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12孔：7*2.4*2.3cm                                                                                        3.  件数：511件</w:t>
            </w:r>
          </w:p>
        </w:tc>
        <w:tc>
          <w:tcPr>
            <w:tcW w:w="840" w:type="dxa"/>
            <w:vAlign w:val="center"/>
          </w:tcPr>
          <w:p w14:paraId="766754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A7EBB8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879BA1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21590</wp:posOffset>
                  </wp:positionH>
                  <wp:positionV relativeFrom="paragraph">
                    <wp:posOffset>3810</wp:posOffset>
                  </wp:positionV>
                  <wp:extent cx="889635" cy="503555"/>
                  <wp:effectExtent l="0" t="0" r="9525" b="14605"/>
                  <wp:wrapNone/>
                  <wp:docPr id="977" name="ID_19BB588907154BE1A7572280D8AD126F"/>
                  <wp:cNvGraphicFramePr/>
                  <a:graphic xmlns:a="http://schemas.openxmlformats.org/drawingml/2006/main">
                    <a:graphicData uri="http://schemas.openxmlformats.org/drawingml/2006/picture">
                      <pic:pic xmlns:pic="http://schemas.openxmlformats.org/drawingml/2006/picture">
                        <pic:nvPicPr>
                          <pic:cNvPr id="977" name="ID_19BB588907154BE1A7572280D8AD126F"/>
                          <pic:cNvPicPr/>
                        </pic:nvPicPr>
                        <pic:blipFill>
                          <a:blip r:embed="rId184"/>
                          <a:stretch>
                            <a:fillRect/>
                          </a:stretch>
                        </pic:blipFill>
                        <pic:spPr>
                          <a:xfrm>
                            <a:off x="0" y="0"/>
                            <a:ext cx="889635" cy="503555"/>
                          </a:xfrm>
                          <a:prstGeom prst="rect">
                            <a:avLst/>
                          </a:prstGeom>
                          <a:noFill/>
                          <a:ln>
                            <a:noFill/>
                          </a:ln>
                        </pic:spPr>
                      </pic:pic>
                    </a:graphicData>
                  </a:graphic>
                </wp:anchor>
              </w:drawing>
            </w:r>
          </w:p>
        </w:tc>
      </w:tr>
      <w:tr w14:paraId="4E73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A21787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13</w:t>
            </w:r>
          </w:p>
        </w:tc>
        <w:tc>
          <w:tcPr>
            <w:tcW w:w="1293" w:type="dxa"/>
            <w:vAlign w:val="center"/>
          </w:tcPr>
          <w:p w14:paraId="136B49F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动物花园</w:t>
            </w:r>
          </w:p>
        </w:tc>
        <w:tc>
          <w:tcPr>
            <w:tcW w:w="8697" w:type="dxa"/>
            <w:vAlign w:val="center"/>
          </w:tcPr>
          <w:p w14:paraId="125BAE2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2.规格：产品由12种不同配件，2副底板组成，共有红、兰、黄、绿、白、棕、黑、紫、橙11种颜色，包括4种卡通造型:男孩、女孩、狮子、大象。外形尺寸分别为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⑴狮子:11*4*8cm   ⑵大象：11*3.7*9cm  ⑶底板：25*25cm   ⑷树屋：11.2*4.8*11.7cm                           ⑸树叶：10.2*2cm  ⑹花 4.3*2.5cm     ⑺树枝：19*5cm    ⑻爬梯：14*3.1cm                                                 ⑼颗粒：6.2*3.1*2.5cm  ⑽ 3.1*3.1*2.5cm                                                                                                                                     ⑾3.1*1.6*2.5cm   ⑿ 围栏：9.1*1.1*4.3cm   ⒀男孩：65*40mm ⒁女孩：52*47mm                                                  3. 件数：212件配底板</w:t>
            </w:r>
          </w:p>
        </w:tc>
        <w:tc>
          <w:tcPr>
            <w:tcW w:w="840" w:type="dxa"/>
            <w:vAlign w:val="center"/>
          </w:tcPr>
          <w:p w14:paraId="7CFAE4F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A1A31E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25DA8D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80010</wp:posOffset>
                  </wp:positionH>
                  <wp:positionV relativeFrom="paragraph">
                    <wp:posOffset>184150</wp:posOffset>
                  </wp:positionV>
                  <wp:extent cx="795655" cy="887095"/>
                  <wp:effectExtent l="0" t="0" r="12065" b="12065"/>
                  <wp:wrapNone/>
                  <wp:docPr id="979" name="ID_B3DFFD9FFE9E43679B6AE352C92A7A59"/>
                  <wp:cNvGraphicFramePr/>
                  <a:graphic xmlns:a="http://schemas.openxmlformats.org/drawingml/2006/main">
                    <a:graphicData uri="http://schemas.openxmlformats.org/drawingml/2006/picture">
                      <pic:pic xmlns:pic="http://schemas.openxmlformats.org/drawingml/2006/picture">
                        <pic:nvPicPr>
                          <pic:cNvPr id="979" name="ID_B3DFFD9FFE9E43679B6AE352C92A7A59"/>
                          <pic:cNvPicPr/>
                        </pic:nvPicPr>
                        <pic:blipFill>
                          <a:blip r:embed="rId185"/>
                          <a:stretch>
                            <a:fillRect/>
                          </a:stretch>
                        </pic:blipFill>
                        <pic:spPr>
                          <a:xfrm>
                            <a:off x="0" y="0"/>
                            <a:ext cx="795655" cy="887095"/>
                          </a:xfrm>
                          <a:prstGeom prst="rect">
                            <a:avLst/>
                          </a:prstGeom>
                          <a:noFill/>
                          <a:ln>
                            <a:noFill/>
                          </a:ln>
                        </pic:spPr>
                      </pic:pic>
                    </a:graphicData>
                  </a:graphic>
                </wp:anchor>
              </w:drawing>
            </w:r>
          </w:p>
        </w:tc>
      </w:tr>
      <w:tr w14:paraId="0ED4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664" w:type="dxa"/>
            <w:vAlign w:val="center"/>
          </w:tcPr>
          <w:p w14:paraId="6D4C67E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14</w:t>
            </w:r>
          </w:p>
        </w:tc>
        <w:tc>
          <w:tcPr>
            <w:tcW w:w="1293" w:type="dxa"/>
            <w:vAlign w:val="center"/>
          </w:tcPr>
          <w:p w14:paraId="6E8F185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松木片</w:t>
            </w:r>
          </w:p>
        </w:tc>
        <w:tc>
          <w:tcPr>
            <w:tcW w:w="8697" w:type="dxa"/>
            <w:vAlign w:val="center"/>
          </w:tcPr>
          <w:p w14:paraId="03F1DCF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新西兰松木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2100件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单个规格：12*2.4*0.8cm</w:t>
            </w:r>
          </w:p>
        </w:tc>
        <w:tc>
          <w:tcPr>
            <w:tcW w:w="840" w:type="dxa"/>
            <w:vAlign w:val="center"/>
          </w:tcPr>
          <w:p w14:paraId="52E2BA8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49BA8A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80C890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-10160</wp:posOffset>
                  </wp:positionH>
                  <wp:positionV relativeFrom="paragraph">
                    <wp:posOffset>95250</wp:posOffset>
                  </wp:positionV>
                  <wp:extent cx="720090" cy="357505"/>
                  <wp:effectExtent l="0" t="0" r="11430" b="8255"/>
                  <wp:wrapNone/>
                  <wp:docPr id="981" name="ID_0C015BA874094DCD944E0AB135605AB6"/>
                  <wp:cNvGraphicFramePr/>
                  <a:graphic xmlns:a="http://schemas.openxmlformats.org/drawingml/2006/main">
                    <a:graphicData uri="http://schemas.openxmlformats.org/drawingml/2006/picture">
                      <pic:pic xmlns:pic="http://schemas.openxmlformats.org/drawingml/2006/picture">
                        <pic:nvPicPr>
                          <pic:cNvPr id="981" name="ID_0C015BA874094DCD944E0AB135605AB6"/>
                          <pic:cNvPicPr/>
                        </pic:nvPicPr>
                        <pic:blipFill>
                          <a:blip r:embed="rId186"/>
                          <a:stretch>
                            <a:fillRect/>
                          </a:stretch>
                        </pic:blipFill>
                        <pic:spPr>
                          <a:xfrm>
                            <a:off x="0" y="0"/>
                            <a:ext cx="720090" cy="357505"/>
                          </a:xfrm>
                          <a:prstGeom prst="rect">
                            <a:avLst/>
                          </a:prstGeom>
                          <a:noFill/>
                          <a:ln>
                            <a:noFill/>
                          </a:ln>
                        </pic:spPr>
                      </pic:pic>
                    </a:graphicData>
                  </a:graphic>
                </wp:anchor>
              </w:drawing>
            </w:r>
          </w:p>
        </w:tc>
      </w:tr>
      <w:tr w14:paraId="42B5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5" w:hRule="atLeast"/>
        </w:trPr>
        <w:tc>
          <w:tcPr>
            <w:tcW w:w="664" w:type="dxa"/>
            <w:vAlign w:val="center"/>
          </w:tcPr>
          <w:p w14:paraId="0D8CD57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15</w:t>
            </w:r>
          </w:p>
        </w:tc>
        <w:tc>
          <w:tcPr>
            <w:tcW w:w="1293" w:type="dxa"/>
            <w:vAlign w:val="center"/>
          </w:tcPr>
          <w:p w14:paraId="2FD2BAA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 家庭装</w:t>
            </w:r>
          </w:p>
        </w:tc>
        <w:tc>
          <w:tcPr>
            <w:tcW w:w="8697" w:type="dxa"/>
            <w:vAlign w:val="center"/>
          </w:tcPr>
          <w:p w14:paraId="1514F8B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1）连接器片轴：球体形状为饼圆形，直径为5厘米，无螺丝等任何金属材质，边缘平均分布8个孔，两面轴心各1个孔，共计拥有10个连接孔；套内连接器片轴共2款，其中一款不少于2种色调。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2）滑轮轴：蓝色，球体边缘分布8个孔，轴心处为1个通孔，可与其他配件组合成动态的积木作品；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3）齿轮：共有4种颜色，红色36齿齿轮尺寸129*13.5mm，蓝色24齿齿轮尺寸为89*13.5mm，黄色18齿齿轮尺寸为69*13.5mm，绿色12齿齿轮尺寸为48*20mm；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2.特点、功能：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1）球体形状为圆形，表面光滑，色彩鲜艳，安全无毒无味，不易变形，符合孩子的抓握需求；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2）以点、线、面、轴、齿为基本元素，低结构、易塑性，由简单到复杂、循序渐进，构建生活动中的一切事物，满足幼儿区角游戏需求；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3）由简至繁，由平面到立体，由静态到动态、由动态到机械构架，可任意拆装组合成各种小车、摩天轮、旋转木马、机器人等，千变万化，激发孩子探索创新。</w:t>
            </w:r>
          </w:p>
        </w:tc>
        <w:tc>
          <w:tcPr>
            <w:tcW w:w="840" w:type="dxa"/>
            <w:vAlign w:val="center"/>
          </w:tcPr>
          <w:p w14:paraId="731888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F723A9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6B71BA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80010</wp:posOffset>
                  </wp:positionH>
                  <wp:positionV relativeFrom="paragraph">
                    <wp:posOffset>111760</wp:posOffset>
                  </wp:positionV>
                  <wp:extent cx="676910" cy="692150"/>
                  <wp:effectExtent l="0" t="0" r="8890" b="8890"/>
                  <wp:wrapNone/>
                  <wp:docPr id="983" name="ID_175D39F7DE6A47598B7B04970682ACC2"/>
                  <wp:cNvGraphicFramePr/>
                  <a:graphic xmlns:a="http://schemas.openxmlformats.org/drawingml/2006/main">
                    <a:graphicData uri="http://schemas.openxmlformats.org/drawingml/2006/picture">
                      <pic:pic xmlns:pic="http://schemas.openxmlformats.org/drawingml/2006/picture">
                        <pic:nvPicPr>
                          <pic:cNvPr id="983" name="ID_175D39F7DE6A47598B7B04970682ACC2"/>
                          <pic:cNvPicPr/>
                        </pic:nvPicPr>
                        <pic:blipFill>
                          <a:blip r:embed="rId187"/>
                          <a:stretch>
                            <a:fillRect/>
                          </a:stretch>
                        </pic:blipFill>
                        <pic:spPr>
                          <a:xfrm>
                            <a:off x="0" y="0"/>
                            <a:ext cx="676910" cy="692150"/>
                          </a:xfrm>
                          <a:prstGeom prst="rect">
                            <a:avLst/>
                          </a:prstGeom>
                          <a:noFill/>
                          <a:ln>
                            <a:noFill/>
                          </a:ln>
                        </pic:spPr>
                      </pic:pic>
                    </a:graphicData>
                  </a:graphic>
                </wp:anchor>
              </w:drawing>
            </w:r>
          </w:p>
        </w:tc>
      </w:tr>
      <w:tr w14:paraId="2489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664" w:type="dxa"/>
            <w:vAlign w:val="center"/>
          </w:tcPr>
          <w:p w14:paraId="4C22A99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16</w:t>
            </w:r>
          </w:p>
        </w:tc>
        <w:tc>
          <w:tcPr>
            <w:tcW w:w="1293" w:type="dxa"/>
            <w:vAlign w:val="center"/>
          </w:tcPr>
          <w:p w14:paraId="21B50AF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4D磁力片</w:t>
            </w:r>
          </w:p>
        </w:tc>
        <w:tc>
          <w:tcPr>
            <w:tcW w:w="8697" w:type="dxa"/>
            <w:vAlign w:val="center"/>
          </w:tcPr>
          <w:p w14:paraId="427A106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件数：153pcs/套 优质环保abs塑料，优质磁铁</w:t>
            </w:r>
          </w:p>
        </w:tc>
        <w:tc>
          <w:tcPr>
            <w:tcW w:w="840" w:type="dxa"/>
            <w:vAlign w:val="center"/>
          </w:tcPr>
          <w:p w14:paraId="5588433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BA4FFB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738C67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92710</wp:posOffset>
                  </wp:positionH>
                  <wp:positionV relativeFrom="paragraph">
                    <wp:posOffset>18415</wp:posOffset>
                  </wp:positionV>
                  <wp:extent cx="581660" cy="406400"/>
                  <wp:effectExtent l="0" t="0" r="12700" b="5080"/>
                  <wp:wrapNone/>
                  <wp:docPr id="985" name="ID_2FECED7EA39048BABA0F803258C45C12"/>
                  <wp:cNvGraphicFramePr/>
                  <a:graphic xmlns:a="http://schemas.openxmlformats.org/drawingml/2006/main">
                    <a:graphicData uri="http://schemas.openxmlformats.org/drawingml/2006/picture">
                      <pic:pic xmlns:pic="http://schemas.openxmlformats.org/drawingml/2006/picture">
                        <pic:nvPicPr>
                          <pic:cNvPr id="985" name="ID_2FECED7EA39048BABA0F803258C45C12"/>
                          <pic:cNvPicPr/>
                        </pic:nvPicPr>
                        <pic:blipFill>
                          <a:blip r:embed="rId188"/>
                          <a:stretch>
                            <a:fillRect/>
                          </a:stretch>
                        </pic:blipFill>
                        <pic:spPr>
                          <a:xfrm>
                            <a:off x="0" y="0"/>
                            <a:ext cx="581660" cy="406400"/>
                          </a:xfrm>
                          <a:prstGeom prst="rect">
                            <a:avLst/>
                          </a:prstGeom>
                          <a:noFill/>
                          <a:ln>
                            <a:noFill/>
                          </a:ln>
                        </pic:spPr>
                      </pic:pic>
                    </a:graphicData>
                  </a:graphic>
                </wp:anchor>
              </w:drawing>
            </w:r>
          </w:p>
        </w:tc>
      </w:tr>
      <w:tr w14:paraId="437E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67DCBA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17</w:t>
            </w:r>
          </w:p>
        </w:tc>
        <w:tc>
          <w:tcPr>
            <w:tcW w:w="1293" w:type="dxa"/>
            <w:vAlign w:val="center"/>
          </w:tcPr>
          <w:p w14:paraId="7B2067B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大颗粒</w:t>
            </w:r>
          </w:p>
        </w:tc>
        <w:tc>
          <w:tcPr>
            <w:tcW w:w="8697" w:type="dxa"/>
            <w:vAlign w:val="center"/>
          </w:tcPr>
          <w:p w14:paraId="7A72AA0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2.产品由红、兰、黄、绿、白、棕、黑、紫、橙、果绿、浅兰11种颜色组成，规格（允许尺寸误差±3mm）：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大颗粒2孔31*24*15mm  大颗粒4孔31*24*31mm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大颗粒6孔47*24*31mm   大颗粒8孔63*24*31mm                                                                                         3.件数：316件</w:t>
            </w:r>
          </w:p>
        </w:tc>
        <w:tc>
          <w:tcPr>
            <w:tcW w:w="840" w:type="dxa"/>
            <w:vAlign w:val="center"/>
          </w:tcPr>
          <w:p w14:paraId="7E481F7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7B945C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8160A7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17780</wp:posOffset>
                  </wp:positionH>
                  <wp:positionV relativeFrom="paragraph">
                    <wp:posOffset>85090</wp:posOffset>
                  </wp:positionV>
                  <wp:extent cx="985520" cy="612140"/>
                  <wp:effectExtent l="0" t="0" r="5080" b="12700"/>
                  <wp:wrapNone/>
                  <wp:docPr id="987" name="ID_70249EAF20D942C89DDF23C8AEF9690A"/>
                  <wp:cNvGraphicFramePr/>
                  <a:graphic xmlns:a="http://schemas.openxmlformats.org/drawingml/2006/main">
                    <a:graphicData uri="http://schemas.openxmlformats.org/drawingml/2006/picture">
                      <pic:pic xmlns:pic="http://schemas.openxmlformats.org/drawingml/2006/picture">
                        <pic:nvPicPr>
                          <pic:cNvPr id="987" name="ID_70249EAF20D942C89DDF23C8AEF9690A"/>
                          <pic:cNvPicPr/>
                        </pic:nvPicPr>
                        <pic:blipFill>
                          <a:blip r:embed="rId189"/>
                          <a:stretch>
                            <a:fillRect/>
                          </a:stretch>
                        </pic:blipFill>
                        <pic:spPr>
                          <a:xfrm>
                            <a:off x="0" y="0"/>
                            <a:ext cx="985520" cy="612140"/>
                          </a:xfrm>
                          <a:prstGeom prst="rect">
                            <a:avLst/>
                          </a:prstGeom>
                          <a:noFill/>
                          <a:ln>
                            <a:noFill/>
                          </a:ln>
                        </pic:spPr>
                      </pic:pic>
                    </a:graphicData>
                  </a:graphic>
                </wp:anchor>
              </w:drawing>
            </w:r>
          </w:p>
        </w:tc>
      </w:tr>
      <w:tr w14:paraId="3156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9B1A3A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18</w:t>
            </w:r>
          </w:p>
        </w:tc>
        <w:tc>
          <w:tcPr>
            <w:tcW w:w="1293" w:type="dxa"/>
            <w:vAlign w:val="center"/>
          </w:tcPr>
          <w:p w14:paraId="3B237DD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i w:val="0"/>
                <w:iCs w:val="0"/>
                <w:color w:val="auto"/>
                <w:kern w:val="0"/>
                <w:sz w:val="21"/>
                <w:szCs w:val="21"/>
                <w:u w:val="none"/>
                <w:lang w:val="en-US" w:eastAsia="zh-CN" w:bidi="ar"/>
              </w:rPr>
              <w:t>塑料积木</w:t>
            </w:r>
          </w:p>
        </w:tc>
        <w:tc>
          <w:tcPr>
            <w:tcW w:w="8697" w:type="dxa"/>
            <w:vAlign w:val="center"/>
          </w:tcPr>
          <w:p w14:paraId="599505A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2.产品由红、兰、黄、绿、白、棕、黑、紫、橙、果绿、浅兰11种颜色组成，规格（允许尺寸误差±3mm）：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大颗粒2孔31*24*15mm  大颗粒4孔31*24*31mm   大颗粒6孔47*24*31mm   大颗粒8孔63*24*31mm 半圆形：37*63*31mm 三角体37*63*31mm 拱形63*43*31mm 圆顶：36*48mm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圆形：直径62*34mm 梯形：47*24*31mm                                                                                     3.件数：215件</w:t>
            </w:r>
          </w:p>
        </w:tc>
        <w:tc>
          <w:tcPr>
            <w:tcW w:w="840" w:type="dxa"/>
            <w:vAlign w:val="center"/>
          </w:tcPr>
          <w:p w14:paraId="687C7BF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C80769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294D2E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-3810</wp:posOffset>
                  </wp:positionH>
                  <wp:positionV relativeFrom="paragraph">
                    <wp:posOffset>62865</wp:posOffset>
                  </wp:positionV>
                  <wp:extent cx="975995" cy="745490"/>
                  <wp:effectExtent l="0" t="0" r="14605" b="1270"/>
                  <wp:wrapNone/>
                  <wp:docPr id="989" name="ID_B6996C453EC64D34B291B61A1BE4A8BE"/>
                  <wp:cNvGraphicFramePr/>
                  <a:graphic xmlns:a="http://schemas.openxmlformats.org/drawingml/2006/main">
                    <a:graphicData uri="http://schemas.openxmlformats.org/drawingml/2006/picture">
                      <pic:pic xmlns:pic="http://schemas.openxmlformats.org/drawingml/2006/picture">
                        <pic:nvPicPr>
                          <pic:cNvPr id="989" name="ID_B6996C453EC64D34B291B61A1BE4A8BE"/>
                          <pic:cNvPicPr/>
                        </pic:nvPicPr>
                        <pic:blipFill>
                          <a:blip r:embed="rId190"/>
                          <a:stretch>
                            <a:fillRect/>
                          </a:stretch>
                        </pic:blipFill>
                        <pic:spPr>
                          <a:xfrm>
                            <a:off x="0" y="0"/>
                            <a:ext cx="975995" cy="745490"/>
                          </a:xfrm>
                          <a:prstGeom prst="rect">
                            <a:avLst/>
                          </a:prstGeom>
                          <a:noFill/>
                          <a:ln>
                            <a:noFill/>
                          </a:ln>
                        </pic:spPr>
                      </pic:pic>
                    </a:graphicData>
                  </a:graphic>
                </wp:anchor>
              </w:drawing>
            </w:r>
          </w:p>
        </w:tc>
      </w:tr>
      <w:tr w14:paraId="7624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982E90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19</w:t>
            </w:r>
          </w:p>
        </w:tc>
        <w:tc>
          <w:tcPr>
            <w:tcW w:w="1293" w:type="dxa"/>
            <w:vAlign w:val="center"/>
          </w:tcPr>
          <w:p w14:paraId="40373FC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i w:val="0"/>
                <w:iCs w:val="0"/>
                <w:color w:val="auto"/>
                <w:kern w:val="0"/>
                <w:sz w:val="21"/>
                <w:szCs w:val="21"/>
                <w:u w:val="none"/>
                <w:lang w:val="en-US" w:eastAsia="zh-CN" w:bidi="ar"/>
              </w:rPr>
              <w:t>颗粒积木</w:t>
            </w:r>
          </w:p>
        </w:tc>
        <w:tc>
          <w:tcPr>
            <w:tcW w:w="8697" w:type="dxa"/>
            <w:vAlign w:val="center"/>
          </w:tcPr>
          <w:p w14:paraId="012039C4">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u w:val="none"/>
                <w:lang w:val="en-US" w:eastAsia="zh-CN" w:bidi="ar"/>
              </w:rPr>
              <w:t xml:space="preserve">材质 ：PE软体环保塑料、100%安全无毒，颜色艳丽，耐光照不褪色，抗压耐磨，光滑不伤手                                           </w:t>
            </w:r>
          </w:p>
          <w:p w14:paraId="648D3592">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2.产品由红、黄、蓝、绿、浅蓝、浅绿、橙、紫8种颜色组成 规格（允许尺寸误差±3mm）：2孔：31*24*31mm 4孔：31*24*31mm长方形（8孔）：63*24*31mm长方形（6孔）：47*24*31mm                                       </w:t>
            </w:r>
          </w:p>
          <w:p w14:paraId="161FDAD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3.件数：339件</w:t>
            </w:r>
          </w:p>
        </w:tc>
        <w:tc>
          <w:tcPr>
            <w:tcW w:w="840" w:type="dxa"/>
            <w:vAlign w:val="center"/>
          </w:tcPr>
          <w:p w14:paraId="7CC91C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3F19A7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B1C93C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-3810</wp:posOffset>
                  </wp:positionH>
                  <wp:positionV relativeFrom="paragraph">
                    <wp:posOffset>104140</wp:posOffset>
                  </wp:positionV>
                  <wp:extent cx="972820" cy="661670"/>
                  <wp:effectExtent l="0" t="0" r="2540" b="8890"/>
                  <wp:wrapNone/>
                  <wp:docPr id="991" name="ID_D23A6B301E134A35ABE997CD97F47402"/>
                  <wp:cNvGraphicFramePr/>
                  <a:graphic xmlns:a="http://schemas.openxmlformats.org/drawingml/2006/main">
                    <a:graphicData uri="http://schemas.openxmlformats.org/drawingml/2006/picture">
                      <pic:pic xmlns:pic="http://schemas.openxmlformats.org/drawingml/2006/picture">
                        <pic:nvPicPr>
                          <pic:cNvPr id="991" name="ID_D23A6B301E134A35ABE997CD97F47402"/>
                          <pic:cNvPicPr/>
                        </pic:nvPicPr>
                        <pic:blipFill>
                          <a:blip r:embed="rId191"/>
                          <a:stretch>
                            <a:fillRect/>
                          </a:stretch>
                        </pic:blipFill>
                        <pic:spPr>
                          <a:xfrm>
                            <a:off x="0" y="0"/>
                            <a:ext cx="972820" cy="661670"/>
                          </a:xfrm>
                          <a:prstGeom prst="rect">
                            <a:avLst/>
                          </a:prstGeom>
                          <a:noFill/>
                          <a:ln>
                            <a:noFill/>
                          </a:ln>
                        </pic:spPr>
                      </pic:pic>
                    </a:graphicData>
                  </a:graphic>
                </wp:anchor>
              </w:drawing>
            </w:r>
          </w:p>
        </w:tc>
      </w:tr>
      <w:tr w14:paraId="32AB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BC4336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20</w:t>
            </w:r>
          </w:p>
        </w:tc>
        <w:tc>
          <w:tcPr>
            <w:tcW w:w="1293" w:type="dxa"/>
            <w:vAlign w:val="center"/>
          </w:tcPr>
          <w:p w14:paraId="6DB7952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松木片</w:t>
            </w:r>
          </w:p>
        </w:tc>
        <w:tc>
          <w:tcPr>
            <w:tcW w:w="8697" w:type="dxa"/>
            <w:vAlign w:val="center"/>
          </w:tcPr>
          <w:p w14:paraId="394442E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新西兰松木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2100件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单个规格：12*2.4*0.8cm</w:t>
            </w:r>
          </w:p>
        </w:tc>
        <w:tc>
          <w:tcPr>
            <w:tcW w:w="840" w:type="dxa"/>
            <w:vAlign w:val="center"/>
          </w:tcPr>
          <w:p w14:paraId="11D1AB1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1880C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51CBB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-3810</wp:posOffset>
                  </wp:positionH>
                  <wp:positionV relativeFrom="paragraph">
                    <wp:posOffset>87630</wp:posOffset>
                  </wp:positionV>
                  <wp:extent cx="972185" cy="423545"/>
                  <wp:effectExtent l="0" t="0" r="3175" b="3175"/>
                  <wp:wrapNone/>
                  <wp:docPr id="993" name="ID_9900BD66ED83400BB42F44E58BF9B372"/>
                  <wp:cNvGraphicFramePr/>
                  <a:graphic xmlns:a="http://schemas.openxmlformats.org/drawingml/2006/main">
                    <a:graphicData uri="http://schemas.openxmlformats.org/drawingml/2006/picture">
                      <pic:pic xmlns:pic="http://schemas.openxmlformats.org/drawingml/2006/picture">
                        <pic:nvPicPr>
                          <pic:cNvPr id="993" name="ID_9900BD66ED83400BB42F44E58BF9B372"/>
                          <pic:cNvPicPr/>
                        </pic:nvPicPr>
                        <pic:blipFill>
                          <a:blip r:embed="rId192"/>
                          <a:stretch>
                            <a:fillRect/>
                          </a:stretch>
                        </pic:blipFill>
                        <pic:spPr>
                          <a:xfrm>
                            <a:off x="0" y="0"/>
                            <a:ext cx="972185" cy="423545"/>
                          </a:xfrm>
                          <a:prstGeom prst="rect">
                            <a:avLst/>
                          </a:prstGeom>
                          <a:noFill/>
                          <a:ln>
                            <a:noFill/>
                          </a:ln>
                        </pic:spPr>
                      </pic:pic>
                    </a:graphicData>
                  </a:graphic>
                </wp:anchor>
              </w:drawing>
            </w:r>
          </w:p>
        </w:tc>
      </w:tr>
      <w:tr w14:paraId="1C2B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664" w:type="dxa"/>
            <w:vAlign w:val="center"/>
          </w:tcPr>
          <w:p w14:paraId="722942D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21</w:t>
            </w:r>
          </w:p>
        </w:tc>
        <w:tc>
          <w:tcPr>
            <w:tcW w:w="1293" w:type="dxa"/>
            <w:vAlign w:val="center"/>
          </w:tcPr>
          <w:p w14:paraId="5B4E63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班级建构区中班</w:t>
            </w:r>
          </w:p>
        </w:tc>
        <w:tc>
          <w:tcPr>
            <w:tcW w:w="8697" w:type="dxa"/>
            <w:vAlign w:val="center"/>
          </w:tcPr>
          <w:p w14:paraId="3A78978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配件数量：1000件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装箱数：1箱（内含8盒）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主体材质：ABS、EVA、TPE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1.黄轮：外观为直径50mm，高度22.5mm的近似圆柱体，整体直径尺寸符合幼儿手掌抓握尺寸；圆柱侧面及上下底中心位置存在10个独立固定孔，多方向固定孔，配合不同小配件，满足幼儿多样拼插需求。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蓝轴：外观为直径51.5mm，高度22.5mm的近似圆柱体，整体直径尺寸符合幼儿手掌抓握尺寸；上下面中心设有通孔，可达到一定的转轴作用，通孔周围及侧面各均匀分布4个固定孔，多方向固定孔满足幼儿多样拼插需求；侧面直径小于上下两面直径，呈现一定“腰部收窄”效果，组合相应软性配件更加稳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超级链接球：外观为近似50mm的球形结构，符合幼儿手掌抓握尺寸；球体中心设有一个近似圆形通孔，球体设有与通孔垂直的上、中、下三部分，中部圆环均匀分布8个圆形孔，上下均可旋转，并设有4个圆形孔，实现多样造型拼搭。</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4.D9.55硬管：外观为直径9.6mm的圆柱形，尺寸适合幼儿手握，并可承受一定转动和插拔力度；可触及边缘采用倒角工艺，以减少潜在安全风险；两端有转接头设计，可与黄轮、超级链接球等固定孔匹配连接。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齿轮：配套不同尺寸齿轮，除12齿外，其他的高度均为13.5mm，侧边根据齿轮的大小，均匀分布相对应的齿数，最大最小齿数比为1：3，可通过相同齿轮进行平面和垂直方向的转动传输，也可通过不同齿轮的配合达到平面和垂直方向的转动转速等比例传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应用场景：班级区域、通道走廊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产品特点：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1.低结构、易塑形、易操作积木游戏材料，以点、线、面、轴为主要配件，材料安全，设计合理，满足幼儿多样拼搭需求。主要颜色有红色、粉红色、黄色、蓝色、绿色和紫色，发展幼儿颜色认知，增强幼儿审美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2.锻炼幼儿手部精细化运动，由简单到复杂、由平面到立体、由静态到动态、由动态到机械构架。符合幼儿动作、认知发展规律，引导幼儿不断探索创新，多元化发展。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3.充分发挥幼儿的主体性，让幼儿主动参与游戏，能快速拼装作品培养建构积木的创造型思维。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4.中班幼儿的年龄为4-5岁，正处于发散性思维水平飞速发展的时期，创造性力和想象力开始发展，思维方式以具体形象性为主要特点，中班区角游戏中不断鼓励幼儿自主创造，具有一定的规则意识，通过区角游戏帮助幼儿在有组织的构架中进行延伸，提供大量建立表象的机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教辅材料：《教师指导手册》、游戏图卡、收纳图卡</w:t>
            </w:r>
          </w:p>
        </w:tc>
        <w:tc>
          <w:tcPr>
            <w:tcW w:w="840" w:type="dxa"/>
            <w:vAlign w:val="center"/>
          </w:tcPr>
          <w:p w14:paraId="29C0EB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2C494F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7F766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-20955</wp:posOffset>
                  </wp:positionH>
                  <wp:positionV relativeFrom="paragraph">
                    <wp:posOffset>401955</wp:posOffset>
                  </wp:positionV>
                  <wp:extent cx="993140" cy="944880"/>
                  <wp:effectExtent l="0" t="0" r="0" b="0"/>
                  <wp:wrapNone/>
                  <wp:docPr id="995" name="ID_E97ED4D7E85348139716FDD93D89D5E8"/>
                  <wp:cNvGraphicFramePr/>
                  <a:graphic xmlns:a="http://schemas.openxmlformats.org/drawingml/2006/main">
                    <a:graphicData uri="http://schemas.openxmlformats.org/drawingml/2006/picture">
                      <pic:pic xmlns:pic="http://schemas.openxmlformats.org/drawingml/2006/picture">
                        <pic:nvPicPr>
                          <pic:cNvPr id="995" name="ID_E97ED4D7E85348139716FDD93D89D5E8"/>
                          <pic:cNvPicPr/>
                        </pic:nvPicPr>
                        <pic:blipFill>
                          <a:blip r:embed="rId193"/>
                          <a:stretch>
                            <a:fillRect/>
                          </a:stretch>
                        </pic:blipFill>
                        <pic:spPr>
                          <a:xfrm>
                            <a:off x="0" y="0"/>
                            <a:ext cx="993140" cy="944880"/>
                          </a:xfrm>
                          <a:prstGeom prst="rect">
                            <a:avLst/>
                          </a:prstGeom>
                          <a:noFill/>
                          <a:ln>
                            <a:noFill/>
                          </a:ln>
                        </pic:spPr>
                      </pic:pic>
                    </a:graphicData>
                  </a:graphic>
                </wp:anchor>
              </w:drawing>
            </w:r>
          </w:p>
        </w:tc>
      </w:tr>
      <w:tr w14:paraId="0224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664" w:type="dxa"/>
            <w:vAlign w:val="center"/>
          </w:tcPr>
          <w:p w14:paraId="3871D63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22</w:t>
            </w:r>
          </w:p>
        </w:tc>
        <w:tc>
          <w:tcPr>
            <w:tcW w:w="1293" w:type="dxa"/>
            <w:vAlign w:val="center"/>
          </w:tcPr>
          <w:p w14:paraId="5B4DB1B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花仙子</w:t>
            </w:r>
          </w:p>
        </w:tc>
        <w:tc>
          <w:tcPr>
            <w:tcW w:w="8697" w:type="dxa"/>
            <w:vAlign w:val="center"/>
          </w:tcPr>
          <w:p w14:paraId="168E95B1">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u w:val="none"/>
                <w:lang w:val="en-US" w:eastAsia="zh-CN" w:bidi="ar"/>
              </w:rPr>
              <w:t>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2.产品由红、黄、蓝、绿4种颜色组成                                </w:t>
            </w:r>
          </w:p>
          <w:p w14:paraId="625B1023">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规格（允许尺寸误差±3mm）：长方形：46*35*6mm                                            3.件数:1408件</w:t>
            </w:r>
          </w:p>
        </w:tc>
        <w:tc>
          <w:tcPr>
            <w:tcW w:w="840" w:type="dxa"/>
            <w:vAlign w:val="center"/>
          </w:tcPr>
          <w:p w14:paraId="482CD74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98F6F3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62E5E9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50165</wp:posOffset>
                  </wp:positionH>
                  <wp:positionV relativeFrom="paragraph">
                    <wp:posOffset>40005</wp:posOffset>
                  </wp:positionV>
                  <wp:extent cx="685800" cy="712470"/>
                  <wp:effectExtent l="0" t="0" r="0" b="3810"/>
                  <wp:wrapNone/>
                  <wp:docPr id="997" name="ID_1D18592AA7104128908861215A45E24F"/>
                  <wp:cNvGraphicFramePr/>
                  <a:graphic xmlns:a="http://schemas.openxmlformats.org/drawingml/2006/main">
                    <a:graphicData uri="http://schemas.openxmlformats.org/drawingml/2006/picture">
                      <pic:pic xmlns:pic="http://schemas.openxmlformats.org/drawingml/2006/picture">
                        <pic:nvPicPr>
                          <pic:cNvPr id="997" name="ID_1D18592AA7104128908861215A45E24F"/>
                          <pic:cNvPicPr/>
                        </pic:nvPicPr>
                        <pic:blipFill>
                          <a:blip r:embed="rId194"/>
                          <a:stretch>
                            <a:fillRect/>
                          </a:stretch>
                        </pic:blipFill>
                        <pic:spPr>
                          <a:xfrm>
                            <a:off x="0" y="0"/>
                            <a:ext cx="685800" cy="712470"/>
                          </a:xfrm>
                          <a:prstGeom prst="rect">
                            <a:avLst/>
                          </a:prstGeom>
                          <a:noFill/>
                          <a:ln>
                            <a:noFill/>
                          </a:ln>
                        </pic:spPr>
                      </pic:pic>
                    </a:graphicData>
                  </a:graphic>
                </wp:anchor>
              </w:drawing>
            </w:r>
          </w:p>
        </w:tc>
      </w:tr>
      <w:tr w14:paraId="1A6B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792561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23</w:t>
            </w:r>
          </w:p>
        </w:tc>
        <w:tc>
          <w:tcPr>
            <w:tcW w:w="1293" w:type="dxa"/>
            <w:vAlign w:val="center"/>
          </w:tcPr>
          <w:p w14:paraId="335F73C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多变组合</w:t>
            </w:r>
          </w:p>
        </w:tc>
        <w:tc>
          <w:tcPr>
            <w:tcW w:w="8697" w:type="dxa"/>
            <w:vAlign w:val="center"/>
          </w:tcPr>
          <w:p w14:paraId="2884813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2.产品由红、黄、蓝、绿、黑、白、浅蓝、浅绿、橙、紫、棕11种颜色组成. 规格（允许尺寸误差±3mm）：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大号：H型：79*39*19mm 1字形：79*19*19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A字形：79*39*19mm  59*39*19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圆管方管：直径19 轮子直径：70mm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小号：H型：40*20*10mm 1字形：40*10*10mm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A字形：40*20*10mm  开字形：30*20*10mm 轮子：27*14mm                                            3.件数：418件</w:t>
            </w:r>
          </w:p>
        </w:tc>
        <w:tc>
          <w:tcPr>
            <w:tcW w:w="840" w:type="dxa"/>
            <w:vAlign w:val="center"/>
          </w:tcPr>
          <w:p w14:paraId="7F02705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032FF6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B8FB7E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50165</wp:posOffset>
                  </wp:positionH>
                  <wp:positionV relativeFrom="paragraph">
                    <wp:posOffset>241935</wp:posOffset>
                  </wp:positionV>
                  <wp:extent cx="618490" cy="543560"/>
                  <wp:effectExtent l="0" t="0" r="6350" b="5080"/>
                  <wp:wrapNone/>
                  <wp:docPr id="999" name="ID_3C14A0BB4EF7435E9F6DAD9DDD904BC7"/>
                  <wp:cNvGraphicFramePr/>
                  <a:graphic xmlns:a="http://schemas.openxmlformats.org/drawingml/2006/main">
                    <a:graphicData uri="http://schemas.openxmlformats.org/drawingml/2006/picture">
                      <pic:pic xmlns:pic="http://schemas.openxmlformats.org/drawingml/2006/picture">
                        <pic:nvPicPr>
                          <pic:cNvPr id="999" name="ID_3C14A0BB4EF7435E9F6DAD9DDD904BC7"/>
                          <pic:cNvPicPr/>
                        </pic:nvPicPr>
                        <pic:blipFill>
                          <a:blip r:embed="rId195"/>
                          <a:stretch>
                            <a:fillRect/>
                          </a:stretch>
                        </pic:blipFill>
                        <pic:spPr>
                          <a:xfrm>
                            <a:off x="0" y="0"/>
                            <a:ext cx="618490" cy="543560"/>
                          </a:xfrm>
                          <a:prstGeom prst="rect">
                            <a:avLst/>
                          </a:prstGeom>
                          <a:noFill/>
                          <a:ln>
                            <a:noFill/>
                          </a:ln>
                        </pic:spPr>
                      </pic:pic>
                    </a:graphicData>
                  </a:graphic>
                </wp:anchor>
              </w:drawing>
            </w:r>
          </w:p>
        </w:tc>
      </w:tr>
      <w:tr w14:paraId="4C7B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FB166A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24</w:t>
            </w:r>
          </w:p>
        </w:tc>
        <w:tc>
          <w:tcPr>
            <w:tcW w:w="1293" w:type="dxa"/>
            <w:vAlign w:val="center"/>
          </w:tcPr>
          <w:p w14:paraId="4629C16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神奇淘气堡</w:t>
            </w:r>
          </w:p>
        </w:tc>
        <w:tc>
          <w:tcPr>
            <w:tcW w:w="8697" w:type="dxa"/>
            <w:vAlign w:val="center"/>
          </w:tcPr>
          <w:p w14:paraId="57A2301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2.产品由红、黄、蓝、绿、浅蓝、浅绿、橙、紫8种颜色组成     规格：由5种不同配件组成，共有红、兰、黄、绿4种颜色，外形尺寸分别为（允许尺寸误差±3mm）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66*22mm     ⑵十字：66*66*22mm （另一边圆直径18mm）    ⑶弯管：42*22mm  ⑷三通：66*42*22mm                                                                                                                                                                                                 3.件数：400件</w:t>
            </w:r>
          </w:p>
        </w:tc>
        <w:tc>
          <w:tcPr>
            <w:tcW w:w="840" w:type="dxa"/>
            <w:vAlign w:val="center"/>
          </w:tcPr>
          <w:p w14:paraId="0D34D58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15759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6FC7B03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6350</wp:posOffset>
                  </wp:positionH>
                  <wp:positionV relativeFrom="paragraph">
                    <wp:posOffset>125730</wp:posOffset>
                  </wp:positionV>
                  <wp:extent cx="648970" cy="414020"/>
                  <wp:effectExtent l="0" t="0" r="6350" b="12700"/>
                  <wp:wrapNone/>
                  <wp:docPr id="1001" name="ID_B1435F575A3E4659AF2D2045CDC90507"/>
                  <wp:cNvGraphicFramePr/>
                  <a:graphic xmlns:a="http://schemas.openxmlformats.org/drawingml/2006/main">
                    <a:graphicData uri="http://schemas.openxmlformats.org/drawingml/2006/picture">
                      <pic:pic xmlns:pic="http://schemas.openxmlformats.org/drawingml/2006/picture">
                        <pic:nvPicPr>
                          <pic:cNvPr id="1001" name="ID_B1435F575A3E4659AF2D2045CDC90507"/>
                          <pic:cNvPicPr/>
                        </pic:nvPicPr>
                        <pic:blipFill>
                          <a:blip r:embed="rId196"/>
                          <a:stretch>
                            <a:fillRect/>
                          </a:stretch>
                        </pic:blipFill>
                        <pic:spPr>
                          <a:xfrm>
                            <a:off x="0" y="0"/>
                            <a:ext cx="648970" cy="414020"/>
                          </a:xfrm>
                          <a:prstGeom prst="rect">
                            <a:avLst/>
                          </a:prstGeom>
                          <a:noFill/>
                          <a:ln>
                            <a:noFill/>
                          </a:ln>
                        </pic:spPr>
                      </pic:pic>
                    </a:graphicData>
                  </a:graphic>
                </wp:anchor>
              </w:drawing>
            </w:r>
          </w:p>
        </w:tc>
      </w:tr>
      <w:tr w14:paraId="35B9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E1D045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25</w:t>
            </w:r>
          </w:p>
        </w:tc>
        <w:tc>
          <w:tcPr>
            <w:tcW w:w="1293" w:type="dxa"/>
            <w:vAlign w:val="center"/>
          </w:tcPr>
          <w:p w14:paraId="661BA27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数字基础套装</w:t>
            </w:r>
          </w:p>
        </w:tc>
        <w:tc>
          <w:tcPr>
            <w:tcW w:w="8697" w:type="dxa"/>
            <w:vAlign w:val="center"/>
          </w:tcPr>
          <w:p w14:paraId="18C8808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1.尺寸：46.5*30*9.7cm；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2.材质：榉木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1）积木数字1：尺寸为62.5*25*15mm；</w:t>
            </w:r>
            <w:r>
              <w:rPr>
                <w:rFonts w:hint="eastAsia" w:ascii="宋体" w:hAnsi="宋体" w:eastAsia="宋体" w:cs="宋体"/>
                <w:i w:val="0"/>
                <w:iCs w:val="0"/>
                <w:color w:val="auto"/>
                <w:kern w:val="0"/>
                <w:sz w:val="21"/>
                <w:szCs w:val="21"/>
                <w:u w:val="none"/>
                <w:lang w:val="en-US" w:eastAsia="zh-CN" w:bidi="ar"/>
              </w:rPr>
              <w:br w:type="textWrapping"/>
            </w: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6628765</wp:posOffset>
                  </wp:positionH>
                  <wp:positionV relativeFrom="paragraph">
                    <wp:posOffset>357505</wp:posOffset>
                  </wp:positionV>
                  <wp:extent cx="649605" cy="940435"/>
                  <wp:effectExtent l="0" t="0" r="5715" b="4445"/>
                  <wp:wrapNone/>
                  <wp:docPr id="1003" name="ID_257B6B72F32C48C1B94C63F1B4731951"/>
                  <wp:cNvGraphicFramePr/>
                  <a:graphic xmlns:a="http://schemas.openxmlformats.org/drawingml/2006/main">
                    <a:graphicData uri="http://schemas.openxmlformats.org/drawingml/2006/picture">
                      <pic:pic xmlns:pic="http://schemas.openxmlformats.org/drawingml/2006/picture">
                        <pic:nvPicPr>
                          <pic:cNvPr id="1003" name="ID_257B6B72F32C48C1B94C63F1B4731951"/>
                          <pic:cNvPicPr/>
                        </pic:nvPicPr>
                        <pic:blipFill>
                          <a:blip r:embed="rId197"/>
                          <a:stretch>
                            <a:fillRect/>
                          </a:stretch>
                        </pic:blipFill>
                        <pic:spPr>
                          <a:xfrm>
                            <a:off x="0" y="0"/>
                            <a:ext cx="649605" cy="9404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2）积木数字4：尺寸为62.5*25*60mm；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3）积木数字7：尺寸为62.5*25*105mm；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4）积木数字10：尺寸为62.5*25*150mm；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4、特点、功能：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1）全实木积木，保持实木原色，无毒无味无棱角，美观安全；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2）利用建构垒高将数学加减通过积木叠加，将数字认知通过积木表达让幼儿更直观理解数字游戏，玩中学、学中玩。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3）低结构、易操作游戏材料，帮助孩子在动手游戏中数感建立，量感的建立，形感的建立，空间感的建立，通过游戏感受数、量、几何、空间的认知；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4）通过空间、数、量、形多方面引起幼儿对数学的启蒙和认知，通过数量的叠加、平衡、结构，达到不同的三维空间效果，让幼儿更好的探索数学的奥秘；</w:t>
            </w:r>
          </w:p>
        </w:tc>
        <w:tc>
          <w:tcPr>
            <w:tcW w:w="840" w:type="dxa"/>
            <w:vAlign w:val="center"/>
          </w:tcPr>
          <w:p w14:paraId="559C92C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3C522A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C2B58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7BC4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664" w:type="dxa"/>
            <w:vAlign w:val="center"/>
          </w:tcPr>
          <w:p w14:paraId="51F009B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26</w:t>
            </w:r>
          </w:p>
        </w:tc>
        <w:tc>
          <w:tcPr>
            <w:tcW w:w="1293" w:type="dxa"/>
            <w:vAlign w:val="center"/>
          </w:tcPr>
          <w:p w14:paraId="63A65F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堆叠积木</w:t>
            </w:r>
          </w:p>
        </w:tc>
        <w:tc>
          <w:tcPr>
            <w:tcW w:w="8697" w:type="dxa"/>
            <w:vAlign w:val="center"/>
          </w:tcPr>
          <w:p w14:paraId="5737A2A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包装尺寸：20.5*9.9*4.3cm，椴木夹板、密度板</w:t>
            </w:r>
          </w:p>
        </w:tc>
        <w:tc>
          <w:tcPr>
            <w:tcW w:w="840" w:type="dxa"/>
            <w:vAlign w:val="center"/>
          </w:tcPr>
          <w:p w14:paraId="1EA271F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634D41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CF014D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144780</wp:posOffset>
                  </wp:positionH>
                  <wp:positionV relativeFrom="paragraph">
                    <wp:posOffset>41910</wp:posOffset>
                  </wp:positionV>
                  <wp:extent cx="484505" cy="521335"/>
                  <wp:effectExtent l="0" t="0" r="3175" b="12065"/>
                  <wp:wrapNone/>
                  <wp:docPr id="1005" name="ID_5338CF2D36C442A5895DA3D6F492C41C"/>
                  <wp:cNvGraphicFramePr/>
                  <a:graphic xmlns:a="http://schemas.openxmlformats.org/drawingml/2006/main">
                    <a:graphicData uri="http://schemas.openxmlformats.org/drawingml/2006/picture">
                      <pic:pic xmlns:pic="http://schemas.openxmlformats.org/drawingml/2006/picture">
                        <pic:nvPicPr>
                          <pic:cNvPr id="1005" name="ID_5338CF2D36C442A5895DA3D6F492C41C"/>
                          <pic:cNvPicPr/>
                        </pic:nvPicPr>
                        <pic:blipFill>
                          <a:blip r:embed="rId198"/>
                          <a:stretch>
                            <a:fillRect/>
                          </a:stretch>
                        </pic:blipFill>
                        <pic:spPr>
                          <a:xfrm>
                            <a:off x="0" y="0"/>
                            <a:ext cx="484505" cy="521335"/>
                          </a:xfrm>
                          <a:prstGeom prst="rect">
                            <a:avLst/>
                          </a:prstGeom>
                          <a:noFill/>
                          <a:ln>
                            <a:noFill/>
                          </a:ln>
                        </pic:spPr>
                      </pic:pic>
                    </a:graphicData>
                  </a:graphic>
                </wp:anchor>
              </w:drawing>
            </w:r>
          </w:p>
        </w:tc>
      </w:tr>
      <w:tr w14:paraId="10B6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C47BC8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27</w:t>
            </w:r>
          </w:p>
        </w:tc>
        <w:tc>
          <w:tcPr>
            <w:tcW w:w="1293" w:type="dxa"/>
            <w:vAlign w:val="center"/>
          </w:tcPr>
          <w:p w14:paraId="681F57A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家庭装</w:t>
            </w:r>
          </w:p>
        </w:tc>
        <w:tc>
          <w:tcPr>
            <w:tcW w:w="8697" w:type="dxa"/>
            <w:vAlign w:val="center"/>
          </w:tcPr>
          <w:p w14:paraId="6518B07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1）连接器片轴：球体形状为饼圆形，直径为5厘米，无螺丝等任何金属材质，边缘平均分布8个孔，两面轴心各1个孔，共计拥有10个连接孔；套内连接器片轴共2款，其中一款不少于2种色调。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2）滑轮轴：蓝色，球体边缘分布8个孔，轴心处为1个通孔，可与其他配件组合成动态的积木作品；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3）齿轮：共有4种颜色，红色36齿齿轮尺寸129*13.5mm，蓝色24齿齿轮尺寸为89*13.5mm，黄色18齿齿轮尺寸为69*13.5mm，绿色12齿齿轮尺寸为48*20mm；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2.特点、功能：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1）球体形状为圆形，表面光滑，色彩鲜艳，安全无毒无味，不易变形，符合孩子的抓握需求；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2）以点、线、面、轴、齿为基本元素，低结构、易塑性，由简单到复杂、循序渐进，构建生活动中的一切事物，满足幼儿区角游戏需求；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3）由简至繁，由平面到立体，由静态到动态、由动态到机械构架，可任意拆装组合成各种小车、摩天轮、旋转木马、机器人等，千变万化，激发孩子探索创新。</w:t>
            </w:r>
          </w:p>
        </w:tc>
        <w:tc>
          <w:tcPr>
            <w:tcW w:w="840" w:type="dxa"/>
            <w:vAlign w:val="center"/>
          </w:tcPr>
          <w:p w14:paraId="4D8CEDD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66212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8967DE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5715</wp:posOffset>
                  </wp:positionH>
                  <wp:positionV relativeFrom="paragraph">
                    <wp:posOffset>-300990</wp:posOffset>
                  </wp:positionV>
                  <wp:extent cx="885825" cy="746760"/>
                  <wp:effectExtent l="0" t="0" r="13335" b="0"/>
                  <wp:wrapNone/>
                  <wp:docPr id="1007" name="ID_34632510EE7E45C7A92C5AA363FEC3C3"/>
                  <wp:cNvGraphicFramePr/>
                  <a:graphic xmlns:a="http://schemas.openxmlformats.org/drawingml/2006/main">
                    <a:graphicData uri="http://schemas.openxmlformats.org/drawingml/2006/picture">
                      <pic:pic xmlns:pic="http://schemas.openxmlformats.org/drawingml/2006/picture">
                        <pic:nvPicPr>
                          <pic:cNvPr id="1007" name="ID_34632510EE7E45C7A92C5AA363FEC3C3"/>
                          <pic:cNvPicPr/>
                        </pic:nvPicPr>
                        <pic:blipFill>
                          <a:blip r:embed="rId199"/>
                          <a:stretch>
                            <a:fillRect/>
                          </a:stretch>
                        </pic:blipFill>
                        <pic:spPr>
                          <a:xfrm>
                            <a:off x="0" y="0"/>
                            <a:ext cx="885825" cy="746760"/>
                          </a:xfrm>
                          <a:prstGeom prst="rect">
                            <a:avLst/>
                          </a:prstGeom>
                          <a:noFill/>
                          <a:ln>
                            <a:noFill/>
                          </a:ln>
                        </pic:spPr>
                      </pic:pic>
                    </a:graphicData>
                  </a:graphic>
                </wp:anchor>
              </w:drawing>
            </w:r>
          </w:p>
        </w:tc>
      </w:tr>
      <w:tr w14:paraId="48D8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664" w:type="dxa"/>
            <w:vAlign w:val="center"/>
          </w:tcPr>
          <w:p w14:paraId="0516E91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28</w:t>
            </w:r>
          </w:p>
        </w:tc>
        <w:tc>
          <w:tcPr>
            <w:tcW w:w="1293" w:type="dxa"/>
            <w:vAlign w:val="center"/>
          </w:tcPr>
          <w:p w14:paraId="02778D5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多孔敲智力盒</w:t>
            </w:r>
          </w:p>
        </w:tc>
        <w:tc>
          <w:tcPr>
            <w:tcW w:w="8697" w:type="dxa"/>
            <w:vAlign w:val="center"/>
          </w:tcPr>
          <w:p w14:paraId="7410596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尺寸：15*15*15cm，材质：优质木材</w:t>
            </w:r>
          </w:p>
        </w:tc>
        <w:tc>
          <w:tcPr>
            <w:tcW w:w="840" w:type="dxa"/>
            <w:vAlign w:val="center"/>
          </w:tcPr>
          <w:p w14:paraId="7294F34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22A0BA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8AACB5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64770</wp:posOffset>
                  </wp:positionH>
                  <wp:positionV relativeFrom="paragraph">
                    <wp:posOffset>8255</wp:posOffset>
                  </wp:positionV>
                  <wp:extent cx="481330" cy="464820"/>
                  <wp:effectExtent l="0" t="0" r="6350" b="7620"/>
                  <wp:wrapNone/>
                  <wp:docPr id="1011" name="ID_F7143B5F6337434D874FBB66D60E4876"/>
                  <wp:cNvGraphicFramePr/>
                  <a:graphic xmlns:a="http://schemas.openxmlformats.org/drawingml/2006/main">
                    <a:graphicData uri="http://schemas.openxmlformats.org/drawingml/2006/picture">
                      <pic:pic xmlns:pic="http://schemas.openxmlformats.org/drawingml/2006/picture">
                        <pic:nvPicPr>
                          <pic:cNvPr id="1011" name="ID_F7143B5F6337434D874FBB66D60E4876"/>
                          <pic:cNvPicPr/>
                        </pic:nvPicPr>
                        <pic:blipFill>
                          <a:blip r:embed="rId200"/>
                          <a:stretch>
                            <a:fillRect/>
                          </a:stretch>
                        </pic:blipFill>
                        <pic:spPr>
                          <a:xfrm>
                            <a:off x="0" y="0"/>
                            <a:ext cx="481330" cy="464820"/>
                          </a:xfrm>
                          <a:prstGeom prst="rect">
                            <a:avLst/>
                          </a:prstGeom>
                          <a:noFill/>
                          <a:ln>
                            <a:noFill/>
                          </a:ln>
                        </pic:spPr>
                      </pic:pic>
                    </a:graphicData>
                  </a:graphic>
                </wp:anchor>
              </w:drawing>
            </w:r>
          </w:p>
        </w:tc>
      </w:tr>
      <w:tr w14:paraId="4023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9A1052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29</w:t>
            </w:r>
          </w:p>
        </w:tc>
        <w:tc>
          <w:tcPr>
            <w:tcW w:w="1293" w:type="dxa"/>
            <w:vAlign w:val="center"/>
          </w:tcPr>
          <w:p w14:paraId="5661F5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班级建构区大班</w:t>
            </w:r>
          </w:p>
        </w:tc>
        <w:tc>
          <w:tcPr>
            <w:tcW w:w="8697" w:type="dxa"/>
            <w:vAlign w:val="center"/>
          </w:tcPr>
          <w:p w14:paraId="0F922CD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配件数量：1000件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装箱数：1箱（内含8盒）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主体材质：ABS、EVA、TPE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1.黄轮：外观为直径50mm，高度22.5mm的近似圆柱体，整体直径尺寸符合幼儿手掌抓握尺寸；圆柱侧面及上下底中心位置存在10个独立固定孔，多方向固定孔，配合不同小配件，满足幼儿多样拼插需求。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蓝轴：外观为直径51.5mm，高度22.5mm的近似圆柱体，整体直径尺寸符合幼儿手掌抓握尺寸；上下面中心设有通孔，可达到一定的转轴作用，通孔周围及侧面各均匀分布4个固定孔，多方向固定孔满足幼儿多样拼插需求；侧面直径小于上下两面直径，呈现一定“腰部收窄”效果，组合相应软性配件更加稳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超级链接球：外观为近似50mm的球形结构，符合幼儿手掌抓握尺寸；球体中心设有一个近似圆形通孔，球体设有与通孔垂直的上、中、下三部分，中部圆环均匀分布8个圆形孔，上下均可旋转，并设有4个圆形孔，实现多样造型拼搭。</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4.D9.55硬管：外观为直径9.6mm的圆柱形，尺寸适合幼儿手握，并可承受一定转动和插拔力度；可触及边缘采用倒角工艺，以减少潜在安全风险；两端有转接头设计，可与黄轮、超级链接球等固定孔匹配连接。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齿轮：配套不同尺寸齿轮，除12齿外，其他的高度均为13.5mm，侧边根据齿轮的大小，均匀分布相对应的齿数，最大最小齿数比为1：3，可通过相同齿轮进行平面和垂直方向的转动传输，也可通过不同齿轮的配合达到平面和垂直方向的转动转速等比例传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6.拐角：拐角可进行45°-315°多角度动态调节，其中心有1个孔洞，两侧两个孔洞，使得连接管可以垂直或水平插入，支持立体结构的构建。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应用场景：班级区域、通道走廊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产品特点：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1.低结构、易塑形、易操作积木游戏材料，以点、线、面、轴为主要配件，材料安全，设计合理，满足幼儿多样拼搭需求。主要颜色有红色、粉红色、黄色、蓝色、绿色和紫色，发展幼儿颜色认知，增强幼儿审美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2.锻炼幼儿手部精细化运动，由简单到复杂、由平面到立体、由静态到动态、由动态到机械构架。符合幼儿动作、认知发展规律，引导幼儿不断探索创新，多元化发展。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3.充分发挥幼儿的主体性，让幼儿主动参与游戏，能快速拼装作品培养建构积木的创造型思维。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4.大班幼儿的年龄为5-6岁，以具体形象思维为主，抽象逻辑思维开始萌芽，从联合游戏向合作游戏过渡，创造想象迅速发展。大班的游戏目标设定为：幼儿基于科学概念建构作品，通过用“点、线、面、轴、齿轮”五要素建构大型的、主题性的复杂物品，能分析和说出物品的科学结构，能在团队中和同伴进行合作游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教辅材料：《教师指导手册》、游戏图卡、收纳图卡</w:t>
            </w:r>
          </w:p>
        </w:tc>
        <w:tc>
          <w:tcPr>
            <w:tcW w:w="840" w:type="dxa"/>
            <w:vAlign w:val="center"/>
          </w:tcPr>
          <w:p w14:paraId="63D5C4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BE6CE0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D78836D">
            <w:pPr>
              <w:keepNext w:val="0"/>
              <w:keepLines w:val="0"/>
              <w:widowControl/>
              <w:suppressLineNumbers w:val="0"/>
              <w:jc w:val="both"/>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41275</wp:posOffset>
                  </wp:positionH>
                  <wp:positionV relativeFrom="paragraph">
                    <wp:posOffset>-864870</wp:posOffset>
                  </wp:positionV>
                  <wp:extent cx="1009650" cy="726440"/>
                  <wp:effectExtent l="0" t="0" r="0" b="0"/>
                  <wp:wrapNone/>
                  <wp:docPr id="1013" name="ID_75E5402928B549A38DD6E80D56A3C570"/>
                  <wp:cNvGraphicFramePr/>
                  <a:graphic xmlns:a="http://schemas.openxmlformats.org/drawingml/2006/main">
                    <a:graphicData uri="http://schemas.openxmlformats.org/drawingml/2006/picture">
                      <pic:pic xmlns:pic="http://schemas.openxmlformats.org/drawingml/2006/picture">
                        <pic:nvPicPr>
                          <pic:cNvPr id="1013" name="ID_75E5402928B549A38DD6E80D56A3C570"/>
                          <pic:cNvPicPr/>
                        </pic:nvPicPr>
                        <pic:blipFill>
                          <a:blip r:embed="rId201"/>
                          <a:stretch>
                            <a:fillRect/>
                          </a:stretch>
                        </pic:blipFill>
                        <pic:spPr>
                          <a:xfrm>
                            <a:off x="0" y="0"/>
                            <a:ext cx="1009650" cy="726440"/>
                          </a:xfrm>
                          <a:prstGeom prst="rect">
                            <a:avLst/>
                          </a:prstGeom>
                          <a:noFill/>
                          <a:ln>
                            <a:noFill/>
                          </a:ln>
                        </pic:spPr>
                      </pic:pic>
                    </a:graphicData>
                  </a:graphic>
                </wp:anchor>
              </w:drawing>
            </w:r>
          </w:p>
        </w:tc>
      </w:tr>
      <w:tr w14:paraId="1BF9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05059B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30</w:t>
            </w:r>
          </w:p>
        </w:tc>
        <w:tc>
          <w:tcPr>
            <w:tcW w:w="1293" w:type="dxa"/>
            <w:vAlign w:val="center"/>
          </w:tcPr>
          <w:p w14:paraId="73B65D1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数字基础套装</w:t>
            </w:r>
          </w:p>
        </w:tc>
        <w:tc>
          <w:tcPr>
            <w:tcW w:w="8697" w:type="dxa"/>
            <w:vAlign w:val="center"/>
          </w:tcPr>
          <w:p w14:paraId="6B6F1BD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1.尺寸：46.5*30*9.7cm；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2.材质：榉木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1）积木数字1：尺寸为62.5*25*15mm；</w:t>
            </w:r>
            <w:r>
              <w:rPr>
                <w:rFonts w:hint="eastAsia" w:ascii="宋体" w:hAnsi="宋体" w:eastAsia="宋体" w:cs="宋体"/>
                <w:i w:val="0"/>
                <w:iCs w:val="0"/>
                <w:color w:val="auto"/>
                <w:kern w:val="0"/>
                <w:sz w:val="21"/>
                <w:szCs w:val="21"/>
                <w:u w:val="none"/>
                <w:lang w:val="en-US" w:eastAsia="zh-CN" w:bidi="ar"/>
              </w:rPr>
              <w:br w:type="textWrapping"/>
            </w: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6610985</wp:posOffset>
                  </wp:positionH>
                  <wp:positionV relativeFrom="paragraph">
                    <wp:posOffset>516890</wp:posOffset>
                  </wp:positionV>
                  <wp:extent cx="708660" cy="975995"/>
                  <wp:effectExtent l="0" t="0" r="7620" b="14605"/>
                  <wp:wrapNone/>
                  <wp:docPr id="1016" name="ID_DA683EECDEF14210A688C91F5696B00D"/>
                  <wp:cNvGraphicFramePr/>
                  <a:graphic xmlns:a="http://schemas.openxmlformats.org/drawingml/2006/main">
                    <a:graphicData uri="http://schemas.openxmlformats.org/drawingml/2006/picture">
                      <pic:pic xmlns:pic="http://schemas.openxmlformats.org/drawingml/2006/picture">
                        <pic:nvPicPr>
                          <pic:cNvPr id="1016" name="ID_DA683EECDEF14210A688C91F5696B00D"/>
                          <pic:cNvPicPr/>
                        </pic:nvPicPr>
                        <pic:blipFill>
                          <a:blip r:embed="rId202"/>
                          <a:stretch>
                            <a:fillRect/>
                          </a:stretch>
                        </pic:blipFill>
                        <pic:spPr>
                          <a:xfrm>
                            <a:off x="0" y="0"/>
                            <a:ext cx="708660" cy="9759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2）积木数字4：尺寸为62.5*25*60mm；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3）积木数字7：尺寸为62.5*25*105mm；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4）积木数字10：尺寸为62.5*25*150mm；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4.特点、功能：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1）全实木积木，保持实木原色，无毒无味无棱角，美观安全；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2）利用建构垒高将数学加减通过积木叠加，将数字认知通过积木表达让幼儿更直观理解数字游戏，玩中学、学中玩。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3）低结构、易操作游戏材料，帮助孩子在动手游戏中数感建立，量感的建立，形感的建立，空间感的建立，通过游戏感受数、量、几何、空间的认知；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4）通过空间、数、量、形多方面引起幼儿对数学的启蒙和认知，通过数量的叠加、平衡、结构，达到不同的三维空间效果，让幼儿更好的探索数学的奥秘；</w:t>
            </w:r>
          </w:p>
        </w:tc>
        <w:tc>
          <w:tcPr>
            <w:tcW w:w="840" w:type="dxa"/>
            <w:vAlign w:val="center"/>
          </w:tcPr>
          <w:p w14:paraId="383EA8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4FDCE5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93F63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7667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CB086C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31</w:t>
            </w:r>
          </w:p>
        </w:tc>
        <w:tc>
          <w:tcPr>
            <w:tcW w:w="1293" w:type="dxa"/>
            <w:vAlign w:val="center"/>
          </w:tcPr>
          <w:p w14:paraId="33EDA5B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卡普乐松木片</w:t>
            </w:r>
          </w:p>
        </w:tc>
        <w:tc>
          <w:tcPr>
            <w:tcW w:w="8697" w:type="dxa"/>
            <w:vAlign w:val="center"/>
          </w:tcPr>
          <w:p w14:paraId="5D1BEC7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新西兰松木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2100件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单个规格：12*2.4*0.8cm</w:t>
            </w:r>
          </w:p>
        </w:tc>
        <w:tc>
          <w:tcPr>
            <w:tcW w:w="840" w:type="dxa"/>
            <w:vAlign w:val="center"/>
          </w:tcPr>
          <w:p w14:paraId="790E592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A03AE0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ABF14F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120650</wp:posOffset>
                  </wp:positionH>
                  <wp:positionV relativeFrom="paragraph">
                    <wp:posOffset>98425</wp:posOffset>
                  </wp:positionV>
                  <wp:extent cx="501650" cy="236220"/>
                  <wp:effectExtent l="0" t="0" r="1270" b="7620"/>
                  <wp:wrapNone/>
                  <wp:docPr id="1019" name="ID_499EBAA68C5B46F89B97C8B007A42D4E"/>
                  <wp:cNvGraphicFramePr/>
                  <a:graphic xmlns:a="http://schemas.openxmlformats.org/drawingml/2006/main">
                    <a:graphicData uri="http://schemas.openxmlformats.org/drawingml/2006/picture">
                      <pic:pic xmlns:pic="http://schemas.openxmlformats.org/drawingml/2006/picture">
                        <pic:nvPicPr>
                          <pic:cNvPr id="1019" name="ID_499EBAA68C5B46F89B97C8B007A42D4E"/>
                          <pic:cNvPicPr/>
                        </pic:nvPicPr>
                        <pic:blipFill>
                          <a:blip r:embed="rId203"/>
                          <a:stretch>
                            <a:fillRect/>
                          </a:stretch>
                        </pic:blipFill>
                        <pic:spPr>
                          <a:xfrm>
                            <a:off x="0" y="0"/>
                            <a:ext cx="501650" cy="236220"/>
                          </a:xfrm>
                          <a:prstGeom prst="rect">
                            <a:avLst/>
                          </a:prstGeom>
                          <a:noFill/>
                          <a:ln>
                            <a:noFill/>
                          </a:ln>
                        </pic:spPr>
                      </pic:pic>
                    </a:graphicData>
                  </a:graphic>
                </wp:anchor>
              </w:drawing>
            </w:r>
          </w:p>
        </w:tc>
      </w:tr>
      <w:tr w14:paraId="6E71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664" w:type="dxa"/>
            <w:vAlign w:val="center"/>
          </w:tcPr>
          <w:p w14:paraId="4C63D65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32</w:t>
            </w:r>
          </w:p>
        </w:tc>
        <w:tc>
          <w:tcPr>
            <w:tcW w:w="1293" w:type="dxa"/>
            <w:vAlign w:val="center"/>
          </w:tcPr>
          <w:p w14:paraId="2C67E68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钓鱼套装</w:t>
            </w:r>
          </w:p>
        </w:tc>
        <w:tc>
          <w:tcPr>
            <w:tcW w:w="8697" w:type="dxa"/>
            <w:vAlign w:val="center"/>
          </w:tcPr>
          <w:p w14:paraId="58C8FB6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包装规格：23.3*17.8*4.5cm，优质木材</w:t>
            </w:r>
          </w:p>
        </w:tc>
        <w:tc>
          <w:tcPr>
            <w:tcW w:w="840" w:type="dxa"/>
            <w:vAlign w:val="center"/>
          </w:tcPr>
          <w:p w14:paraId="0CDA46D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677E86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54BF718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120650</wp:posOffset>
                  </wp:positionH>
                  <wp:positionV relativeFrom="paragraph">
                    <wp:posOffset>67945</wp:posOffset>
                  </wp:positionV>
                  <wp:extent cx="494030" cy="337820"/>
                  <wp:effectExtent l="0" t="0" r="8890" b="12700"/>
                  <wp:wrapNone/>
                  <wp:docPr id="1021" name="ID_18C4B79CA14F4BFA9C9FB80B51C9D4EF"/>
                  <wp:cNvGraphicFramePr/>
                  <a:graphic xmlns:a="http://schemas.openxmlformats.org/drawingml/2006/main">
                    <a:graphicData uri="http://schemas.openxmlformats.org/drawingml/2006/picture">
                      <pic:pic xmlns:pic="http://schemas.openxmlformats.org/drawingml/2006/picture">
                        <pic:nvPicPr>
                          <pic:cNvPr id="1021" name="ID_18C4B79CA14F4BFA9C9FB80B51C9D4EF"/>
                          <pic:cNvPicPr/>
                        </pic:nvPicPr>
                        <pic:blipFill>
                          <a:blip r:embed="rId204"/>
                          <a:stretch>
                            <a:fillRect/>
                          </a:stretch>
                        </pic:blipFill>
                        <pic:spPr>
                          <a:xfrm>
                            <a:off x="0" y="0"/>
                            <a:ext cx="494030" cy="337820"/>
                          </a:xfrm>
                          <a:prstGeom prst="rect">
                            <a:avLst/>
                          </a:prstGeom>
                          <a:noFill/>
                          <a:ln>
                            <a:noFill/>
                          </a:ln>
                        </pic:spPr>
                      </pic:pic>
                    </a:graphicData>
                  </a:graphic>
                </wp:anchor>
              </w:drawing>
            </w:r>
          </w:p>
        </w:tc>
      </w:tr>
      <w:tr w14:paraId="5512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64" w:type="dxa"/>
            <w:vAlign w:val="center"/>
          </w:tcPr>
          <w:p w14:paraId="5C653B2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33</w:t>
            </w:r>
          </w:p>
        </w:tc>
        <w:tc>
          <w:tcPr>
            <w:tcW w:w="1293" w:type="dxa"/>
            <w:vAlign w:val="center"/>
          </w:tcPr>
          <w:p w14:paraId="489C9E8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四色走位棋</w:t>
            </w:r>
          </w:p>
        </w:tc>
        <w:tc>
          <w:tcPr>
            <w:tcW w:w="8697" w:type="dxa"/>
            <w:vAlign w:val="center"/>
          </w:tcPr>
          <w:p w14:paraId="780A5D1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包装规格：23*15.5*3.2cm，椴木夹板</w:t>
            </w:r>
          </w:p>
        </w:tc>
        <w:tc>
          <w:tcPr>
            <w:tcW w:w="840" w:type="dxa"/>
            <w:vAlign w:val="center"/>
          </w:tcPr>
          <w:p w14:paraId="4E0BFD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AF0DB0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B36199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91440</wp:posOffset>
                  </wp:positionH>
                  <wp:positionV relativeFrom="paragraph">
                    <wp:posOffset>125730</wp:posOffset>
                  </wp:positionV>
                  <wp:extent cx="523240" cy="413385"/>
                  <wp:effectExtent l="0" t="0" r="10160" b="13335"/>
                  <wp:wrapNone/>
                  <wp:docPr id="1023" name="ID_9C892A7340E54B06852911363B592F48"/>
                  <wp:cNvGraphicFramePr/>
                  <a:graphic xmlns:a="http://schemas.openxmlformats.org/drawingml/2006/main">
                    <a:graphicData uri="http://schemas.openxmlformats.org/drawingml/2006/picture">
                      <pic:pic xmlns:pic="http://schemas.openxmlformats.org/drawingml/2006/picture">
                        <pic:nvPicPr>
                          <pic:cNvPr id="1023" name="ID_9C892A7340E54B06852911363B592F48"/>
                          <pic:cNvPicPr/>
                        </pic:nvPicPr>
                        <pic:blipFill>
                          <a:blip r:embed="rId205"/>
                          <a:stretch>
                            <a:fillRect/>
                          </a:stretch>
                        </pic:blipFill>
                        <pic:spPr>
                          <a:xfrm>
                            <a:off x="0" y="0"/>
                            <a:ext cx="523240" cy="413385"/>
                          </a:xfrm>
                          <a:prstGeom prst="rect">
                            <a:avLst/>
                          </a:prstGeom>
                          <a:noFill/>
                          <a:ln>
                            <a:noFill/>
                          </a:ln>
                        </pic:spPr>
                      </pic:pic>
                    </a:graphicData>
                  </a:graphic>
                </wp:anchor>
              </w:drawing>
            </w:r>
          </w:p>
        </w:tc>
      </w:tr>
      <w:tr w14:paraId="6777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E873A1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34</w:t>
            </w:r>
          </w:p>
        </w:tc>
        <w:tc>
          <w:tcPr>
            <w:tcW w:w="1293" w:type="dxa"/>
            <w:vAlign w:val="center"/>
          </w:tcPr>
          <w:p w14:paraId="1C1503D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百变</w:t>
            </w:r>
          </w:p>
        </w:tc>
        <w:tc>
          <w:tcPr>
            <w:tcW w:w="8697" w:type="dxa"/>
            <w:vAlign w:val="center"/>
          </w:tcPr>
          <w:p w14:paraId="56AF941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2.产品由红、黄、蓝、绿、浅蓝、浅绿、橙、紫8种颜色组成. 规格（允许尺寸误差±3mm）：直径4mm                                                                                        1边厚度8mm  1边厚度25mm                                                              3.件数：300件</w:t>
            </w:r>
          </w:p>
        </w:tc>
        <w:tc>
          <w:tcPr>
            <w:tcW w:w="840" w:type="dxa"/>
            <w:vAlign w:val="center"/>
          </w:tcPr>
          <w:p w14:paraId="3F31F6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F28D2E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13EADE3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91440</wp:posOffset>
                  </wp:positionH>
                  <wp:positionV relativeFrom="paragraph">
                    <wp:posOffset>249555</wp:posOffset>
                  </wp:positionV>
                  <wp:extent cx="525780" cy="473075"/>
                  <wp:effectExtent l="0" t="0" r="7620" b="14605"/>
                  <wp:wrapNone/>
                  <wp:docPr id="1025" name="ID_4874D5B2EA794AB9BD4E93C9192700E6"/>
                  <wp:cNvGraphicFramePr/>
                  <a:graphic xmlns:a="http://schemas.openxmlformats.org/drawingml/2006/main">
                    <a:graphicData uri="http://schemas.openxmlformats.org/drawingml/2006/picture">
                      <pic:pic xmlns:pic="http://schemas.openxmlformats.org/drawingml/2006/picture">
                        <pic:nvPicPr>
                          <pic:cNvPr id="1025" name="ID_4874D5B2EA794AB9BD4E93C9192700E6"/>
                          <pic:cNvPicPr/>
                        </pic:nvPicPr>
                        <pic:blipFill>
                          <a:blip r:embed="rId206"/>
                          <a:stretch>
                            <a:fillRect/>
                          </a:stretch>
                        </pic:blipFill>
                        <pic:spPr>
                          <a:xfrm>
                            <a:off x="0" y="0"/>
                            <a:ext cx="525780" cy="473075"/>
                          </a:xfrm>
                          <a:prstGeom prst="rect">
                            <a:avLst/>
                          </a:prstGeom>
                          <a:noFill/>
                          <a:ln>
                            <a:noFill/>
                          </a:ln>
                        </pic:spPr>
                      </pic:pic>
                    </a:graphicData>
                  </a:graphic>
                </wp:anchor>
              </w:drawing>
            </w:r>
          </w:p>
        </w:tc>
      </w:tr>
      <w:tr w14:paraId="502B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0AD9CE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35</w:t>
            </w:r>
          </w:p>
        </w:tc>
        <w:tc>
          <w:tcPr>
            <w:tcW w:w="1293" w:type="dxa"/>
            <w:vAlign w:val="center"/>
          </w:tcPr>
          <w:p w14:paraId="7361985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子弹头</w:t>
            </w:r>
          </w:p>
        </w:tc>
        <w:tc>
          <w:tcPr>
            <w:tcW w:w="8697" w:type="dxa"/>
            <w:vAlign w:val="center"/>
          </w:tcPr>
          <w:p w14:paraId="53E148D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2.产品由红、黄、蓝、绿、浅蓝、浅绿、橙、紫8种颜色组成                                                     规格（允许尺寸误差±3mm）：1孔：41*14mm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2孔：41*30mm 3孔:41*45mm 4孔：41*60mm                                              3.件数:633件</w:t>
            </w:r>
          </w:p>
        </w:tc>
        <w:tc>
          <w:tcPr>
            <w:tcW w:w="840" w:type="dxa"/>
            <w:vAlign w:val="center"/>
          </w:tcPr>
          <w:p w14:paraId="12B9316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9B234E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F21653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16510</wp:posOffset>
                  </wp:positionH>
                  <wp:positionV relativeFrom="paragraph">
                    <wp:posOffset>235585</wp:posOffset>
                  </wp:positionV>
                  <wp:extent cx="641985" cy="697230"/>
                  <wp:effectExtent l="0" t="0" r="13335" b="3810"/>
                  <wp:wrapNone/>
                  <wp:docPr id="1027" name="ID_4B40138E97CC4D6CAE684269F394ABA4"/>
                  <wp:cNvGraphicFramePr/>
                  <a:graphic xmlns:a="http://schemas.openxmlformats.org/drawingml/2006/main">
                    <a:graphicData uri="http://schemas.openxmlformats.org/drawingml/2006/picture">
                      <pic:pic xmlns:pic="http://schemas.openxmlformats.org/drawingml/2006/picture">
                        <pic:nvPicPr>
                          <pic:cNvPr id="1027" name="ID_4B40138E97CC4D6CAE684269F394ABA4"/>
                          <pic:cNvPicPr/>
                        </pic:nvPicPr>
                        <pic:blipFill>
                          <a:blip r:embed="rId207"/>
                          <a:stretch>
                            <a:fillRect/>
                          </a:stretch>
                        </pic:blipFill>
                        <pic:spPr>
                          <a:xfrm>
                            <a:off x="0" y="0"/>
                            <a:ext cx="641985" cy="697230"/>
                          </a:xfrm>
                          <a:prstGeom prst="rect">
                            <a:avLst/>
                          </a:prstGeom>
                          <a:noFill/>
                          <a:ln>
                            <a:noFill/>
                          </a:ln>
                        </pic:spPr>
                      </pic:pic>
                    </a:graphicData>
                  </a:graphic>
                </wp:anchor>
              </w:drawing>
            </w:r>
          </w:p>
        </w:tc>
      </w:tr>
      <w:tr w14:paraId="640A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783506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36</w:t>
            </w:r>
          </w:p>
        </w:tc>
        <w:tc>
          <w:tcPr>
            <w:tcW w:w="1293" w:type="dxa"/>
            <w:vAlign w:val="center"/>
          </w:tcPr>
          <w:p w14:paraId="68DBE7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小别墅</w:t>
            </w:r>
          </w:p>
        </w:tc>
        <w:tc>
          <w:tcPr>
            <w:tcW w:w="8697" w:type="dxa"/>
            <w:vAlign w:val="center"/>
          </w:tcPr>
          <w:p w14:paraId="679BB531">
            <w:pPr>
              <w:keepNext w:val="0"/>
              <w:keepLines w:val="0"/>
              <w:widowControl/>
              <w:numPr>
                <w:ilvl w:val="0"/>
                <w:numId w:val="5"/>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2.产品由红、黄、蓝、绿4种颜色组成                                 </w:t>
            </w:r>
          </w:p>
          <w:p w14:paraId="24D6B02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规格（允许尺寸误差±3mm）：正方形底：78*78*12mm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房面：65*68mm屋顶：22*70mm 栏杆：37*65mm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树:97*53mm 三角：64*68mm                                                                                        3.件数：280件</w:t>
            </w:r>
          </w:p>
        </w:tc>
        <w:tc>
          <w:tcPr>
            <w:tcW w:w="840" w:type="dxa"/>
            <w:vAlign w:val="center"/>
          </w:tcPr>
          <w:p w14:paraId="1AE2C20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813789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759253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36830</wp:posOffset>
                  </wp:positionH>
                  <wp:positionV relativeFrom="paragraph">
                    <wp:posOffset>354330</wp:posOffset>
                  </wp:positionV>
                  <wp:extent cx="621665" cy="652145"/>
                  <wp:effectExtent l="0" t="0" r="3175" b="3175"/>
                  <wp:wrapNone/>
                  <wp:docPr id="1029" name="ID_5C20917C4112468BB0F0BE4EEFFB4104"/>
                  <wp:cNvGraphicFramePr/>
                  <a:graphic xmlns:a="http://schemas.openxmlformats.org/drawingml/2006/main">
                    <a:graphicData uri="http://schemas.openxmlformats.org/drawingml/2006/picture">
                      <pic:pic xmlns:pic="http://schemas.openxmlformats.org/drawingml/2006/picture">
                        <pic:nvPicPr>
                          <pic:cNvPr id="1029" name="ID_5C20917C4112468BB0F0BE4EEFFB4104"/>
                          <pic:cNvPicPr/>
                        </pic:nvPicPr>
                        <pic:blipFill>
                          <a:blip r:embed="rId208"/>
                          <a:stretch>
                            <a:fillRect/>
                          </a:stretch>
                        </pic:blipFill>
                        <pic:spPr>
                          <a:xfrm>
                            <a:off x="0" y="0"/>
                            <a:ext cx="621665" cy="652145"/>
                          </a:xfrm>
                          <a:prstGeom prst="rect">
                            <a:avLst/>
                          </a:prstGeom>
                          <a:noFill/>
                          <a:ln>
                            <a:noFill/>
                          </a:ln>
                        </pic:spPr>
                      </pic:pic>
                    </a:graphicData>
                  </a:graphic>
                </wp:anchor>
              </w:drawing>
            </w:r>
          </w:p>
        </w:tc>
      </w:tr>
      <w:tr w14:paraId="4136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5A2BA1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37</w:t>
            </w:r>
          </w:p>
        </w:tc>
        <w:tc>
          <w:tcPr>
            <w:tcW w:w="1293" w:type="dxa"/>
            <w:vAlign w:val="center"/>
          </w:tcPr>
          <w:p w14:paraId="3264397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软体动物</w:t>
            </w:r>
          </w:p>
        </w:tc>
        <w:tc>
          <w:tcPr>
            <w:tcW w:w="8697" w:type="dxa"/>
            <w:vAlign w:val="center"/>
          </w:tcPr>
          <w:p w14:paraId="2645238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2.产品由红、黄、蓝、绿、浅蓝、浅绿、橙、紫8种颜色组成        规格（允许尺寸误差±3mm）：太阳：φ5mm 厚17 三孔连接棒：66*17 二孔连接棒：42*17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工字形：66*66*17 圆柱：24*33 球：φ34  鹅：35*42 狮子：57*49 牛：41*40 鸡：31*60 马：45*56  袋鼠：37*54 长颈鹿：36*66 猫：41*45mm                                                                                  3.件数：209件</w:t>
            </w:r>
          </w:p>
        </w:tc>
        <w:tc>
          <w:tcPr>
            <w:tcW w:w="840" w:type="dxa"/>
            <w:vAlign w:val="center"/>
          </w:tcPr>
          <w:p w14:paraId="6FFCC14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2B0653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D39EBC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16510</wp:posOffset>
                  </wp:positionH>
                  <wp:positionV relativeFrom="paragraph">
                    <wp:posOffset>377190</wp:posOffset>
                  </wp:positionV>
                  <wp:extent cx="661035" cy="627380"/>
                  <wp:effectExtent l="0" t="0" r="9525" b="12700"/>
                  <wp:wrapNone/>
                  <wp:docPr id="1031" name="ID_9D5EB211759D4292A52E8D618CFE20C0"/>
                  <wp:cNvGraphicFramePr/>
                  <a:graphic xmlns:a="http://schemas.openxmlformats.org/drawingml/2006/main">
                    <a:graphicData uri="http://schemas.openxmlformats.org/drawingml/2006/picture">
                      <pic:pic xmlns:pic="http://schemas.openxmlformats.org/drawingml/2006/picture">
                        <pic:nvPicPr>
                          <pic:cNvPr id="1031" name="ID_9D5EB211759D4292A52E8D618CFE20C0"/>
                          <pic:cNvPicPr/>
                        </pic:nvPicPr>
                        <pic:blipFill>
                          <a:blip r:embed="rId209"/>
                          <a:stretch>
                            <a:fillRect/>
                          </a:stretch>
                        </pic:blipFill>
                        <pic:spPr>
                          <a:xfrm>
                            <a:off x="0" y="0"/>
                            <a:ext cx="661035" cy="627380"/>
                          </a:xfrm>
                          <a:prstGeom prst="rect">
                            <a:avLst/>
                          </a:prstGeom>
                          <a:noFill/>
                          <a:ln>
                            <a:noFill/>
                          </a:ln>
                        </pic:spPr>
                      </pic:pic>
                    </a:graphicData>
                  </a:graphic>
                </wp:anchor>
              </w:drawing>
            </w:r>
          </w:p>
        </w:tc>
      </w:tr>
      <w:tr w14:paraId="3E70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664" w:type="dxa"/>
            <w:vAlign w:val="center"/>
          </w:tcPr>
          <w:p w14:paraId="7AEDB5D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38</w:t>
            </w:r>
          </w:p>
        </w:tc>
        <w:tc>
          <w:tcPr>
            <w:tcW w:w="1293" w:type="dxa"/>
            <w:vAlign w:val="center"/>
          </w:tcPr>
          <w:p w14:paraId="1D3F533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吸管</w:t>
            </w:r>
          </w:p>
        </w:tc>
        <w:tc>
          <w:tcPr>
            <w:tcW w:w="8697" w:type="dxa"/>
            <w:vAlign w:val="center"/>
          </w:tcPr>
          <w:p w14:paraId="07B2E8D2">
            <w:pPr>
              <w:keepNext w:val="0"/>
              <w:keepLines w:val="0"/>
              <w:widowControl/>
              <w:numPr>
                <w:ilvl w:val="0"/>
                <w:numId w:val="6"/>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2.产品由红、黄、蓝、绿、橙5种颜色组成                        </w:t>
            </w:r>
          </w:p>
          <w:p w14:paraId="02A8E3A2">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规格（允许尺寸误差±3mm）：管子：172mm 直径6mm  十字转接孔：21*21mm                                                                                      3.件数：800件</w:t>
            </w:r>
          </w:p>
        </w:tc>
        <w:tc>
          <w:tcPr>
            <w:tcW w:w="840" w:type="dxa"/>
            <w:vAlign w:val="center"/>
          </w:tcPr>
          <w:p w14:paraId="37B2EFB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DE261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8B1CCD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78740</wp:posOffset>
                  </wp:positionH>
                  <wp:positionV relativeFrom="paragraph">
                    <wp:posOffset>165735</wp:posOffset>
                  </wp:positionV>
                  <wp:extent cx="593725" cy="464185"/>
                  <wp:effectExtent l="0" t="0" r="635" b="8255"/>
                  <wp:wrapNone/>
                  <wp:docPr id="1033" name="ID_BAEAE6C7B86A43078A96EADBD2BD07F3"/>
                  <wp:cNvGraphicFramePr/>
                  <a:graphic xmlns:a="http://schemas.openxmlformats.org/drawingml/2006/main">
                    <a:graphicData uri="http://schemas.openxmlformats.org/drawingml/2006/picture">
                      <pic:pic xmlns:pic="http://schemas.openxmlformats.org/drawingml/2006/picture">
                        <pic:nvPicPr>
                          <pic:cNvPr id="1033" name="ID_BAEAE6C7B86A43078A96EADBD2BD07F3"/>
                          <pic:cNvPicPr/>
                        </pic:nvPicPr>
                        <pic:blipFill>
                          <a:blip r:embed="rId210"/>
                          <a:stretch>
                            <a:fillRect/>
                          </a:stretch>
                        </pic:blipFill>
                        <pic:spPr>
                          <a:xfrm>
                            <a:off x="0" y="0"/>
                            <a:ext cx="593725" cy="464185"/>
                          </a:xfrm>
                          <a:prstGeom prst="rect">
                            <a:avLst/>
                          </a:prstGeom>
                          <a:noFill/>
                          <a:ln>
                            <a:noFill/>
                          </a:ln>
                        </pic:spPr>
                      </pic:pic>
                    </a:graphicData>
                  </a:graphic>
                </wp:anchor>
              </w:drawing>
            </w:r>
          </w:p>
        </w:tc>
      </w:tr>
      <w:tr w14:paraId="2093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CDB52D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39</w:t>
            </w:r>
          </w:p>
        </w:tc>
        <w:tc>
          <w:tcPr>
            <w:tcW w:w="1293" w:type="dxa"/>
            <w:vAlign w:val="center"/>
          </w:tcPr>
          <w:p w14:paraId="3CC7C77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中号好乐</w:t>
            </w:r>
          </w:p>
        </w:tc>
        <w:tc>
          <w:tcPr>
            <w:tcW w:w="8697" w:type="dxa"/>
            <w:vAlign w:val="center"/>
          </w:tcPr>
          <w:p w14:paraId="7BB4DB51">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u w:val="none"/>
                <w:lang w:val="en-US" w:eastAsia="zh-CN" w:bidi="ar"/>
              </w:rPr>
              <w:t>材质 ：PP环保塑料、100%安全无毒，颜色艳丽，耐光照不褪色，抗压耐磨，光滑不伤手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2.产品由红、黄、蓝、绿4种颜色组成                               </w:t>
            </w:r>
          </w:p>
          <w:p w14:paraId="647F4FBF">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规格（允许尺寸误差±3mm）：H型：40*20*10mm 1字形：40*10*10mm A字形：40*20*10mm  开字形：30*20*10mm 轮子：27*14mm                                                                                      3.件数：1058件</w:t>
            </w:r>
          </w:p>
        </w:tc>
        <w:tc>
          <w:tcPr>
            <w:tcW w:w="840" w:type="dxa"/>
            <w:vAlign w:val="center"/>
          </w:tcPr>
          <w:p w14:paraId="4510B55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42DDE6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224EAE3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40640</wp:posOffset>
                  </wp:positionH>
                  <wp:positionV relativeFrom="paragraph">
                    <wp:posOffset>116205</wp:posOffset>
                  </wp:positionV>
                  <wp:extent cx="621665" cy="593090"/>
                  <wp:effectExtent l="0" t="0" r="3175" b="1270"/>
                  <wp:wrapNone/>
                  <wp:docPr id="1035" name="ID_CDF12444084345CB9A8EECBDD0F0217D"/>
                  <wp:cNvGraphicFramePr/>
                  <a:graphic xmlns:a="http://schemas.openxmlformats.org/drawingml/2006/main">
                    <a:graphicData uri="http://schemas.openxmlformats.org/drawingml/2006/picture">
                      <pic:pic xmlns:pic="http://schemas.openxmlformats.org/drawingml/2006/picture">
                        <pic:nvPicPr>
                          <pic:cNvPr id="1035" name="ID_CDF12444084345CB9A8EECBDD0F0217D"/>
                          <pic:cNvPicPr/>
                        </pic:nvPicPr>
                        <pic:blipFill>
                          <a:blip r:embed="rId211"/>
                          <a:stretch>
                            <a:fillRect/>
                          </a:stretch>
                        </pic:blipFill>
                        <pic:spPr>
                          <a:xfrm>
                            <a:off x="0" y="0"/>
                            <a:ext cx="621665" cy="593090"/>
                          </a:xfrm>
                          <a:prstGeom prst="rect">
                            <a:avLst/>
                          </a:prstGeom>
                          <a:noFill/>
                          <a:ln>
                            <a:noFill/>
                          </a:ln>
                        </pic:spPr>
                      </pic:pic>
                    </a:graphicData>
                  </a:graphic>
                </wp:anchor>
              </w:drawing>
            </w:r>
          </w:p>
        </w:tc>
      </w:tr>
      <w:tr w14:paraId="0823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64" w:type="dxa"/>
            <w:vAlign w:val="center"/>
          </w:tcPr>
          <w:p w14:paraId="0C977BD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40</w:t>
            </w:r>
          </w:p>
        </w:tc>
        <w:tc>
          <w:tcPr>
            <w:tcW w:w="1293" w:type="dxa"/>
            <w:vAlign w:val="center"/>
          </w:tcPr>
          <w:p w14:paraId="6409D48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4D磁力片</w:t>
            </w:r>
          </w:p>
        </w:tc>
        <w:tc>
          <w:tcPr>
            <w:tcW w:w="8697" w:type="dxa"/>
            <w:vAlign w:val="center"/>
          </w:tcPr>
          <w:p w14:paraId="53E3140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件数：153pcs/套 优质环保abs塑料，优质磁铁</w:t>
            </w:r>
          </w:p>
        </w:tc>
        <w:tc>
          <w:tcPr>
            <w:tcW w:w="840" w:type="dxa"/>
            <w:vAlign w:val="center"/>
          </w:tcPr>
          <w:p w14:paraId="0BF382E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2D372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961CFC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40640</wp:posOffset>
                  </wp:positionH>
                  <wp:positionV relativeFrom="paragraph">
                    <wp:posOffset>86995</wp:posOffset>
                  </wp:positionV>
                  <wp:extent cx="617855" cy="435610"/>
                  <wp:effectExtent l="0" t="0" r="6985" b="6350"/>
                  <wp:wrapNone/>
                  <wp:docPr id="1037" name="ID_C5B8E4350CCE4AEDBBDA71B9E5A4625D"/>
                  <wp:cNvGraphicFramePr/>
                  <a:graphic xmlns:a="http://schemas.openxmlformats.org/drawingml/2006/main">
                    <a:graphicData uri="http://schemas.openxmlformats.org/drawingml/2006/picture">
                      <pic:pic xmlns:pic="http://schemas.openxmlformats.org/drawingml/2006/picture">
                        <pic:nvPicPr>
                          <pic:cNvPr id="1037" name="ID_C5B8E4350CCE4AEDBBDA71B9E5A4625D"/>
                          <pic:cNvPicPr/>
                        </pic:nvPicPr>
                        <pic:blipFill>
                          <a:blip r:embed="rId212"/>
                          <a:stretch>
                            <a:fillRect/>
                          </a:stretch>
                        </pic:blipFill>
                        <pic:spPr>
                          <a:xfrm>
                            <a:off x="0" y="0"/>
                            <a:ext cx="617855" cy="435610"/>
                          </a:xfrm>
                          <a:prstGeom prst="rect">
                            <a:avLst/>
                          </a:prstGeom>
                          <a:noFill/>
                          <a:ln>
                            <a:noFill/>
                          </a:ln>
                        </pic:spPr>
                      </pic:pic>
                    </a:graphicData>
                  </a:graphic>
                </wp:anchor>
              </w:drawing>
            </w:r>
          </w:p>
        </w:tc>
      </w:tr>
      <w:tr w14:paraId="78CA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46C872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41</w:t>
            </w:r>
          </w:p>
        </w:tc>
        <w:tc>
          <w:tcPr>
            <w:tcW w:w="1293" w:type="dxa"/>
            <w:vAlign w:val="center"/>
          </w:tcPr>
          <w:p w14:paraId="38B36CD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空间积木</w:t>
            </w:r>
          </w:p>
        </w:tc>
        <w:tc>
          <w:tcPr>
            <w:tcW w:w="8697" w:type="dxa"/>
            <w:vAlign w:val="center"/>
          </w:tcPr>
          <w:p w14:paraId="10387A9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件数462件/套，产品材质采用全新ABS塑料，安全 无毒 无气味色彩丰富，光泽度好。包含六类空间建构玩具，具备五大基本元素（点、面、线、轴、齿），靠拼插、堆叠、磁铁、吸盘吸力等构件出不同的空间组合。优秀的发明创新成果，符合学前儿童手部发育趋势，让孩子在玩的过程中，逐步培养动手能力、想象力、创造力。产品外包装为塑料整理箱带透明盖，箱子尺寸为：430×300×310(mm)，箱子两侧有凹陷处，并有磨砂防滑设计，方便小朋友搬抬抓握。产品明细如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拼装玩具：件数：共100件，产品配件共11种，外形尺寸分别为：⑴.32×13×12(mm)；⑵.38×15×7(mm)；⑶.63×15×12(mm)；⑷.98×15×12(mm)；⑸.145×15×12(mm)；⑹.33×33×33(mm)；⑺.43×20(mm)；⑻.80×49×8(mm)；⑼.95×70×8(mm)；⑽.55×55×8(mm)；⑾.95×95×8(mm)。圆球上有棱角，起到防滑防滚的作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磁力玩具：件数：共24件，产品有6种颜色，并由正方体、等边三角体、等腰三角体3种不同几何形状组成，外形尺寸分别为⑴.65×65×6(mm)；⑵.55×55×6(mm)；⑶.120×61×6(mm)。每个几何形的每条边上都带有磁性，可以互吸连接，可拼搭立体造型，也可以拼搭平面造型。材质：PE食品级环保塑料,100%安全无毒，颜色艳丽，耐光照不褪色，抗压耐磨，光滑不伤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3.海底世界：件数：共10件，产品由龟7.9*8.4*2.4cm、螃蟹7.9*7*3.4cm、星星8.1*8.1*2.5cm、鱼8.1*7.1*3.1cm、半圆形3.6*1.8cm,半圆形3.6*1.8cm六种配件组成。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4.扭扭棒：件数：60件，塑料积木采用100%安全无毒ABS，颜色艳丽，耐光照不褪色，抗压耐磨，边角光滑无毛刺不伤手，尺寸为1、65*65*16轮胎带2个连接孔2、48*48*12轮胎带2个连接孔，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5.立体插花玩具：规格：200片，规格：花片直径33mm，厚2.5mm,8片花瓣，中央有一圆孔，孔径为Φ7mm。共有红、草绿、橙、紫、兰、黄、黑、绿、白、浅兰10种颜色。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6.空间立体骨牌：件数：共8件，材质为ABS食品级环保塑料，100%安全无毒，颜色艳丽，耐光照不褪色，抗压耐磨，光滑不伤手。产品有红、兰、黄、绿、橙、紫6种颜色，外形尺寸为：105×34×102(mm)。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7.海洋球套装：件数：共20件，材质为PP材质，ABS+PP吸盘吸盘球，外形尺寸为：46×46×40(mm)。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空间动物探险：件数：共20件，材质为ABS食品级环保塑料，产品由小人，小老虎，长颈鹿,鹗鱼,小车，小方块，小栅栏,小窗户，小滑梯，树叶屋顶以及正方块，长方块配件组成，让小朋友亲自体验丛林冒险的乐趣。</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穿孔玩具：件数：共20件，材质为ABS食品级环保塑料+绳子，由椭圆体、正方体、圆柱体、球体、三棱柱五种形体构成，每个组件中央均有1个直径为9mm的穿透孔。绳子有红、黄、兰、绿4种颜色，串珠有红、兰、黄、绿、紫、橙、草绿7种颜色。外形尺寸分别为⑴.38×41(mm)；⑵.38×38×38(mm)；⑶.38×38(mm)；⑷.38×38(mm)；⑸.42×42×38(mm)。</w:t>
            </w:r>
          </w:p>
        </w:tc>
        <w:tc>
          <w:tcPr>
            <w:tcW w:w="840" w:type="dxa"/>
            <w:vAlign w:val="center"/>
          </w:tcPr>
          <w:p w14:paraId="5C01B83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70F07F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624FD6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85725</wp:posOffset>
                  </wp:positionH>
                  <wp:positionV relativeFrom="paragraph">
                    <wp:posOffset>-92075</wp:posOffset>
                  </wp:positionV>
                  <wp:extent cx="842645" cy="622935"/>
                  <wp:effectExtent l="0" t="0" r="10795" b="1905"/>
                  <wp:wrapNone/>
                  <wp:docPr id="1039" name="ID_08B532D6C22843B59D6090143A91C5A2"/>
                  <wp:cNvGraphicFramePr/>
                  <a:graphic xmlns:a="http://schemas.openxmlformats.org/drawingml/2006/main">
                    <a:graphicData uri="http://schemas.openxmlformats.org/drawingml/2006/picture">
                      <pic:pic xmlns:pic="http://schemas.openxmlformats.org/drawingml/2006/picture">
                        <pic:nvPicPr>
                          <pic:cNvPr id="1039" name="ID_08B532D6C22843B59D6090143A91C5A2"/>
                          <pic:cNvPicPr/>
                        </pic:nvPicPr>
                        <pic:blipFill>
                          <a:blip r:embed="rId213"/>
                          <a:stretch>
                            <a:fillRect/>
                          </a:stretch>
                        </pic:blipFill>
                        <pic:spPr>
                          <a:xfrm>
                            <a:off x="0" y="0"/>
                            <a:ext cx="842645" cy="622935"/>
                          </a:xfrm>
                          <a:prstGeom prst="rect">
                            <a:avLst/>
                          </a:prstGeom>
                          <a:noFill/>
                          <a:ln>
                            <a:noFill/>
                          </a:ln>
                        </pic:spPr>
                      </pic:pic>
                    </a:graphicData>
                  </a:graphic>
                </wp:anchor>
              </w:drawing>
            </w:r>
          </w:p>
        </w:tc>
      </w:tr>
      <w:tr w14:paraId="2E2A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664" w:type="dxa"/>
            <w:vAlign w:val="center"/>
          </w:tcPr>
          <w:p w14:paraId="4A4B86B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42</w:t>
            </w:r>
          </w:p>
        </w:tc>
        <w:tc>
          <w:tcPr>
            <w:tcW w:w="1293" w:type="dxa"/>
            <w:vAlign w:val="center"/>
          </w:tcPr>
          <w:p w14:paraId="6BAC515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立体俄罗斯方块</w:t>
            </w:r>
          </w:p>
        </w:tc>
        <w:tc>
          <w:tcPr>
            <w:tcW w:w="8697" w:type="dxa"/>
            <w:vAlign w:val="center"/>
          </w:tcPr>
          <w:p w14:paraId="48D680A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包装规格：33*46*4cm，木质</w:t>
            </w:r>
          </w:p>
        </w:tc>
        <w:tc>
          <w:tcPr>
            <w:tcW w:w="840" w:type="dxa"/>
            <w:vAlign w:val="center"/>
          </w:tcPr>
          <w:p w14:paraId="7DB43E7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F036FF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70193BC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60325</wp:posOffset>
                  </wp:positionH>
                  <wp:positionV relativeFrom="paragraph">
                    <wp:posOffset>-3175</wp:posOffset>
                  </wp:positionV>
                  <wp:extent cx="440690" cy="440690"/>
                  <wp:effectExtent l="0" t="0" r="1270" b="1270"/>
                  <wp:wrapNone/>
                  <wp:docPr id="1041" name="ID_C3CB8A0A4BF247D89B616095B09A7A0F"/>
                  <wp:cNvGraphicFramePr/>
                  <a:graphic xmlns:a="http://schemas.openxmlformats.org/drawingml/2006/main">
                    <a:graphicData uri="http://schemas.openxmlformats.org/drawingml/2006/picture">
                      <pic:pic xmlns:pic="http://schemas.openxmlformats.org/drawingml/2006/picture">
                        <pic:nvPicPr>
                          <pic:cNvPr id="1041" name="ID_C3CB8A0A4BF247D89B616095B09A7A0F"/>
                          <pic:cNvPicPr/>
                        </pic:nvPicPr>
                        <pic:blipFill>
                          <a:blip r:embed="rId214"/>
                          <a:stretch>
                            <a:fillRect/>
                          </a:stretch>
                        </pic:blipFill>
                        <pic:spPr>
                          <a:xfrm>
                            <a:off x="0" y="0"/>
                            <a:ext cx="440690" cy="440690"/>
                          </a:xfrm>
                          <a:prstGeom prst="rect">
                            <a:avLst/>
                          </a:prstGeom>
                          <a:noFill/>
                          <a:ln>
                            <a:noFill/>
                          </a:ln>
                        </pic:spPr>
                      </pic:pic>
                    </a:graphicData>
                  </a:graphic>
                </wp:anchor>
              </w:drawing>
            </w:r>
          </w:p>
        </w:tc>
      </w:tr>
      <w:tr w14:paraId="229B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664" w:type="dxa"/>
            <w:vAlign w:val="center"/>
          </w:tcPr>
          <w:p w14:paraId="7A35CF0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43</w:t>
            </w:r>
          </w:p>
        </w:tc>
        <w:tc>
          <w:tcPr>
            <w:tcW w:w="1293" w:type="dxa"/>
            <w:vAlign w:val="center"/>
          </w:tcPr>
          <w:p w14:paraId="60FC34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双面多功能棋板</w:t>
            </w:r>
          </w:p>
        </w:tc>
        <w:tc>
          <w:tcPr>
            <w:tcW w:w="8697" w:type="dxa"/>
            <w:vAlign w:val="center"/>
          </w:tcPr>
          <w:p w14:paraId="39F60ED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材质:木质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规格:40x27X3cm</w:t>
            </w:r>
          </w:p>
        </w:tc>
        <w:tc>
          <w:tcPr>
            <w:tcW w:w="840" w:type="dxa"/>
            <w:vAlign w:val="center"/>
          </w:tcPr>
          <w:p w14:paraId="534748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02F756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A1E4C5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78740</wp:posOffset>
                  </wp:positionH>
                  <wp:positionV relativeFrom="paragraph">
                    <wp:posOffset>171450</wp:posOffset>
                  </wp:positionV>
                  <wp:extent cx="541020" cy="399415"/>
                  <wp:effectExtent l="0" t="0" r="7620" b="12065"/>
                  <wp:wrapNone/>
                  <wp:docPr id="1043" name="ID_FBA8FD63533E47E3ADDDC6DAA730E321"/>
                  <wp:cNvGraphicFramePr/>
                  <a:graphic xmlns:a="http://schemas.openxmlformats.org/drawingml/2006/main">
                    <a:graphicData uri="http://schemas.openxmlformats.org/drawingml/2006/picture">
                      <pic:pic xmlns:pic="http://schemas.openxmlformats.org/drawingml/2006/picture">
                        <pic:nvPicPr>
                          <pic:cNvPr id="1043" name="ID_FBA8FD63533E47E3ADDDC6DAA730E321"/>
                          <pic:cNvPicPr/>
                        </pic:nvPicPr>
                        <pic:blipFill>
                          <a:blip r:embed="rId215"/>
                          <a:stretch>
                            <a:fillRect/>
                          </a:stretch>
                        </pic:blipFill>
                        <pic:spPr>
                          <a:xfrm>
                            <a:off x="0" y="0"/>
                            <a:ext cx="541020" cy="399415"/>
                          </a:xfrm>
                          <a:prstGeom prst="rect">
                            <a:avLst/>
                          </a:prstGeom>
                          <a:noFill/>
                          <a:ln>
                            <a:noFill/>
                          </a:ln>
                        </pic:spPr>
                      </pic:pic>
                    </a:graphicData>
                  </a:graphic>
                </wp:anchor>
              </w:drawing>
            </w:r>
          </w:p>
        </w:tc>
      </w:tr>
      <w:tr w14:paraId="69F7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6F87C0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44</w:t>
            </w:r>
          </w:p>
        </w:tc>
        <w:tc>
          <w:tcPr>
            <w:tcW w:w="1293" w:type="dxa"/>
            <w:vAlign w:val="center"/>
          </w:tcPr>
          <w:p w14:paraId="498ACF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 家庭装</w:t>
            </w:r>
          </w:p>
        </w:tc>
        <w:tc>
          <w:tcPr>
            <w:tcW w:w="8697" w:type="dxa"/>
            <w:vAlign w:val="center"/>
          </w:tcPr>
          <w:p w14:paraId="11D2970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1.主要配件：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1）连接器片轴：球体形状为饼圆形，直径为5厘米，无螺丝等任何金属材质，边缘平均分布8个孔，两面轴心各1个孔，共计拥有10个连接孔；套内连接器片轴共2款，其中一款不少于2种色调。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2）滑轮轴：蓝色，球体边缘分布8个孔，轴心处为1个通孔，可与其他配件组合成动态的积木作品；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3）齿轮：共有4种颜色，红色36齿齿轮尺寸129*13.5mm，蓝色24齿齿轮尺寸为89*13.5mm，黄色18齿齿轮尺寸为69*13.5mm，绿色12齿齿轮尺寸为48*20mm；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5、特点、功能：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1）球体形状为圆形，表面光滑，色彩鲜艳，安全无毒无味，不易变形，符合孩子的抓握需求；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2）以点、线、面、轴、齿为基本元素，低结构、易塑性，由简单到复杂、循序渐进，构建生活动中的一切事物，满足幼儿区角游戏需求；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3）由简至繁，由平面到立体，由静态到动态、由动态到机械构架，可任意拆装组合成各种小车、摩天轮、旋转木马、机器人等，千变万化，激发孩子探索创新。</w:t>
            </w:r>
          </w:p>
        </w:tc>
        <w:tc>
          <w:tcPr>
            <w:tcW w:w="840" w:type="dxa"/>
            <w:vAlign w:val="center"/>
          </w:tcPr>
          <w:p w14:paraId="7485669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8061C2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3ED5BA7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27305</wp:posOffset>
                  </wp:positionH>
                  <wp:positionV relativeFrom="paragraph">
                    <wp:posOffset>681990</wp:posOffset>
                  </wp:positionV>
                  <wp:extent cx="790575" cy="708025"/>
                  <wp:effectExtent l="0" t="0" r="1905" b="8255"/>
                  <wp:wrapNone/>
                  <wp:docPr id="1045" name="ID_687813750D6E459AB191886B3A4ED407"/>
                  <wp:cNvGraphicFramePr/>
                  <a:graphic xmlns:a="http://schemas.openxmlformats.org/drawingml/2006/main">
                    <a:graphicData uri="http://schemas.openxmlformats.org/drawingml/2006/picture">
                      <pic:pic xmlns:pic="http://schemas.openxmlformats.org/drawingml/2006/picture">
                        <pic:nvPicPr>
                          <pic:cNvPr id="1045" name="ID_687813750D6E459AB191886B3A4ED407"/>
                          <pic:cNvPicPr/>
                        </pic:nvPicPr>
                        <pic:blipFill>
                          <a:blip r:embed="rId216"/>
                          <a:stretch>
                            <a:fillRect/>
                          </a:stretch>
                        </pic:blipFill>
                        <pic:spPr>
                          <a:xfrm>
                            <a:off x="0" y="0"/>
                            <a:ext cx="790575" cy="708025"/>
                          </a:xfrm>
                          <a:prstGeom prst="rect">
                            <a:avLst/>
                          </a:prstGeom>
                          <a:noFill/>
                          <a:ln>
                            <a:noFill/>
                          </a:ln>
                        </pic:spPr>
                      </pic:pic>
                    </a:graphicData>
                  </a:graphic>
                </wp:anchor>
              </w:drawing>
            </w:r>
          </w:p>
        </w:tc>
      </w:tr>
      <w:tr w14:paraId="708A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9EE15A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45</w:t>
            </w:r>
          </w:p>
        </w:tc>
        <w:tc>
          <w:tcPr>
            <w:tcW w:w="1293" w:type="dxa"/>
            <w:vAlign w:val="center"/>
          </w:tcPr>
          <w:p w14:paraId="03834FA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磁力积木</w:t>
            </w:r>
          </w:p>
        </w:tc>
        <w:tc>
          <w:tcPr>
            <w:tcW w:w="8697" w:type="dxa"/>
            <w:vAlign w:val="center"/>
          </w:tcPr>
          <w:p w14:paraId="1783288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产品尺寸2.5cm*2.5cm*2.5cm,六面都有磁性，互不排斥，能够平整吸在一起，凌空悬挂多个积木。2、16种颜色每种各6个，共96个。内含54张卡片，配软胶卡通贴一包；3、接触级ABS——外壳采用与婴儿喂食类用具相同的材料，表面进行极细纹哑光处理，健康卫生环保.4、适合多年龄段宝宝，多种玩法，提升创造力，玩出一个最强大脑。</w:t>
            </w:r>
          </w:p>
        </w:tc>
        <w:tc>
          <w:tcPr>
            <w:tcW w:w="840" w:type="dxa"/>
            <w:vAlign w:val="center"/>
          </w:tcPr>
          <w:p w14:paraId="5C0198E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B90F77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4D8A723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88265</wp:posOffset>
                  </wp:positionH>
                  <wp:positionV relativeFrom="paragraph">
                    <wp:posOffset>263525</wp:posOffset>
                  </wp:positionV>
                  <wp:extent cx="539750" cy="445135"/>
                  <wp:effectExtent l="0" t="0" r="8890" b="12065"/>
                  <wp:wrapNone/>
                  <wp:docPr id="1047" name="ID_1A7004EA27634499B26A1C2A5FD27E4A"/>
                  <wp:cNvGraphicFramePr/>
                  <a:graphic xmlns:a="http://schemas.openxmlformats.org/drawingml/2006/main">
                    <a:graphicData uri="http://schemas.openxmlformats.org/drawingml/2006/picture">
                      <pic:pic xmlns:pic="http://schemas.openxmlformats.org/drawingml/2006/picture">
                        <pic:nvPicPr>
                          <pic:cNvPr id="1047" name="ID_1A7004EA27634499B26A1C2A5FD27E4A"/>
                          <pic:cNvPicPr/>
                        </pic:nvPicPr>
                        <pic:blipFill>
                          <a:blip r:embed="rId217"/>
                          <a:stretch>
                            <a:fillRect/>
                          </a:stretch>
                        </pic:blipFill>
                        <pic:spPr>
                          <a:xfrm>
                            <a:off x="0" y="0"/>
                            <a:ext cx="539750" cy="445135"/>
                          </a:xfrm>
                          <a:prstGeom prst="rect">
                            <a:avLst/>
                          </a:prstGeom>
                          <a:noFill/>
                          <a:ln>
                            <a:noFill/>
                          </a:ln>
                        </pic:spPr>
                      </pic:pic>
                    </a:graphicData>
                  </a:graphic>
                </wp:anchor>
              </w:drawing>
            </w:r>
          </w:p>
        </w:tc>
      </w:tr>
      <w:tr w14:paraId="4A22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64" w:type="dxa"/>
            <w:vAlign w:val="center"/>
          </w:tcPr>
          <w:p w14:paraId="1BAE8D4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46</w:t>
            </w:r>
          </w:p>
        </w:tc>
        <w:tc>
          <w:tcPr>
            <w:tcW w:w="1293" w:type="dxa"/>
            <w:vAlign w:val="center"/>
          </w:tcPr>
          <w:p w14:paraId="63C80E5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玩具整理框</w:t>
            </w:r>
          </w:p>
        </w:tc>
        <w:tc>
          <w:tcPr>
            <w:tcW w:w="8697" w:type="dxa"/>
            <w:vAlign w:val="center"/>
          </w:tcPr>
          <w:p w14:paraId="033B564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30*21.5*8.5CM</w:t>
            </w:r>
          </w:p>
        </w:tc>
        <w:tc>
          <w:tcPr>
            <w:tcW w:w="840" w:type="dxa"/>
            <w:vAlign w:val="center"/>
          </w:tcPr>
          <w:p w14:paraId="678A89E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FE6161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160</w:t>
            </w:r>
          </w:p>
        </w:tc>
        <w:tc>
          <w:tcPr>
            <w:tcW w:w="1720" w:type="dxa"/>
            <w:vAlign w:val="center"/>
          </w:tcPr>
          <w:p w14:paraId="69E390A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97155</wp:posOffset>
                  </wp:positionH>
                  <wp:positionV relativeFrom="paragraph">
                    <wp:posOffset>36195</wp:posOffset>
                  </wp:positionV>
                  <wp:extent cx="522605" cy="372745"/>
                  <wp:effectExtent l="0" t="0" r="10795" b="8255"/>
                  <wp:wrapNone/>
                  <wp:docPr id="1049" name="ID_6F45C1EBD04446D0805898CE2A637E39"/>
                  <wp:cNvGraphicFramePr/>
                  <a:graphic xmlns:a="http://schemas.openxmlformats.org/drawingml/2006/main">
                    <a:graphicData uri="http://schemas.openxmlformats.org/drawingml/2006/picture">
                      <pic:pic xmlns:pic="http://schemas.openxmlformats.org/drawingml/2006/picture">
                        <pic:nvPicPr>
                          <pic:cNvPr id="1049" name="ID_6F45C1EBD04446D0805898CE2A637E39"/>
                          <pic:cNvPicPr/>
                        </pic:nvPicPr>
                        <pic:blipFill>
                          <a:blip r:embed="rId218"/>
                          <a:stretch>
                            <a:fillRect/>
                          </a:stretch>
                        </pic:blipFill>
                        <pic:spPr>
                          <a:xfrm>
                            <a:off x="0" y="0"/>
                            <a:ext cx="522605" cy="372745"/>
                          </a:xfrm>
                          <a:prstGeom prst="rect">
                            <a:avLst/>
                          </a:prstGeom>
                          <a:noFill/>
                          <a:ln>
                            <a:noFill/>
                          </a:ln>
                        </pic:spPr>
                      </pic:pic>
                    </a:graphicData>
                  </a:graphic>
                </wp:anchor>
              </w:drawing>
            </w:r>
          </w:p>
        </w:tc>
      </w:tr>
      <w:tr w14:paraId="0B3A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664" w:type="dxa"/>
            <w:vAlign w:val="center"/>
          </w:tcPr>
          <w:p w14:paraId="54930FD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47</w:t>
            </w:r>
          </w:p>
        </w:tc>
        <w:tc>
          <w:tcPr>
            <w:tcW w:w="1293" w:type="dxa"/>
            <w:vAlign w:val="center"/>
          </w:tcPr>
          <w:p w14:paraId="689886E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玩具整理框</w:t>
            </w:r>
          </w:p>
        </w:tc>
        <w:tc>
          <w:tcPr>
            <w:tcW w:w="8697" w:type="dxa"/>
            <w:vAlign w:val="center"/>
          </w:tcPr>
          <w:p w14:paraId="18508B8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35*26*8.5CM</w:t>
            </w:r>
          </w:p>
        </w:tc>
        <w:tc>
          <w:tcPr>
            <w:tcW w:w="840" w:type="dxa"/>
            <w:vAlign w:val="center"/>
          </w:tcPr>
          <w:p w14:paraId="4389572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003AF0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160</w:t>
            </w:r>
          </w:p>
        </w:tc>
        <w:tc>
          <w:tcPr>
            <w:tcW w:w="1720" w:type="dxa"/>
            <w:vAlign w:val="center"/>
          </w:tcPr>
          <w:p w14:paraId="1538FF8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102870</wp:posOffset>
                  </wp:positionH>
                  <wp:positionV relativeFrom="paragraph">
                    <wp:posOffset>102870</wp:posOffset>
                  </wp:positionV>
                  <wp:extent cx="502920" cy="419735"/>
                  <wp:effectExtent l="0" t="0" r="0" b="6985"/>
                  <wp:wrapNone/>
                  <wp:docPr id="1051" name="ID_818462BFC2594A62ABB4B4FA0BF10F07"/>
                  <wp:cNvGraphicFramePr/>
                  <a:graphic xmlns:a="http://schemas.openxmlformats.org/drawingml/2006/main">
                    <a:graphicData uri="http://schemas.openxmlformats.org/drawingml/2006/picture">
                      <pic:pic xmlns:pic="http://schemas.openxmlformats.org/drawingml/2006/picture">
                        <pic:nvPicPr>
                          <pic:cNvPr id="1051" name="ID_818462BFC2594A62ABB4B4FA0BF10F07"/>
                          <pic:cNvPicPr/>
                        </pic:nvPicPr>
                        <pic:blipFill>
                          <a:blip r:embed="rId219"/>
                          <a:stretch>
                            <a:fillRect/>
                          </a:stretch>
                        </pic:blipFill>
                        <pic:spPr>
                          <a:xfrm>
                            <a:off x="0" y="0"/>
                            <a:ext cx="502920" cy="419735"/>
                          </a:xfrm>
                          <a:prstGeom prst="rect">
                            <a:avLst/>
                          </a:prstGeom>
                          <a:noFill/>
                          <a:ln>
                            <a:noFill/>
                          </a:ln>
                        </pic:spPr>
                      </pic:pic>
                    </a:graphicData>
                  </a:graphic>
                </wp:anchor>
              </w:drawing>
            </w:r>
          </w:p>
        </w:tc>
      </w:tr>
      <w:tr w14:paraId="3283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64" w:type="dxa"/>
            <w:vAlign w:val="center"/>
          </w:tcPr>
          <w:p w14:paraId="6C4046E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48</w:t>
            </w:r>
          </w:p>
        </w:tc>
        <w:tc>
          <w:tcPr>
            <w:tcW w:w="1293" w:type="dxa"/>
            <w:vAlign w:val="center"/>
          </w:tcPr>
          <w:p w14:paraId="36704A2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玩具整理框</w:t>
            </w:r>
          </w:p>
        </w:tc>
        <w:tc>
          <w:tcPr>
            <w:tcW w:w="8697" w:type="dxa"/>
            <w:vAlign w:val="center"/>
          </w:tcPr>
          <w:p w14:paraId="3D1337A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35.5*26*21CM</w:t>
            </w:r>
          </w:p>
        </w:tc>
        <w:tc>
          <w:tcPr>
            <w:tcW w:w="840" w:type="dxa"/>
            <w:vAlign w:val="center"/>
          </w:tcPr>
          <w:p w14:paraId="28B5399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37BF23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160</w:t>
            </w:r>
          </w:p>
        </w:tc>
        <w:tc>
          <w:tcPr>
            <w:tcW w:w="1720" w:type="dxa"/>
            <w:vAlign w:val="center"/>
          </w:tcPr>
          <w:p w14:paraId="5B4C63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63500</wp:posOffset>
                  </wp:positionH>
                  <wp:positionV relativeFrom="paragraph">
                    <wp:posOffset>57785</wp:posOffset>
                  </wp:positionV>
                  <wp:extent cx="634365" cy="318770"/>
                  <wp:effectExtent l="0" t="0" r="5715" b="1270"/>
                  <wp:wrapNone/>
                  <wp:docPr id="1053" name="ID_8CE06955811C472AA2D7254B265F8690"/>
                  <wp:cNvGraphicFramePr/>
                  <a:graphic xmlns:a="http://schemas.openxmlformats.org/drawingml/2006/main">
                    <a:graphicData uri="http://schemas.openxmlformats.org/drawingml/2006/picture">
                      <pic:pic xmlns:pic="http://schemas.openxmlformats.org/drawingml/2006/picture">
                        <pic:nvPicPr>
                          <pic:cNvPr id="1053" name="ID_8CE06955811C472AA2D7254B265F8690"/>
                          <pic:cNvPicPr/>
                        </pic:nvPicPr>
                        <pic:blipFill>
                          <a:blip r:embed="rId220"/>
                          <a:stretch>
                            <a:fillRect/>
                          </a:stretch>
                        </pic:blipFill>
                        <pic:spPr>
                          <a:xfrm>
                            <a:off x="0" y="0"/>
                            <a:ext cx="634365" cy="318770"/>
                          </a:xfrm>
                          <a:prstGeom prst="rect">
                            <a:avLst/>
                          </a:prstGeom>
                          <a:noFill/>
                          <a:ln>
                            <a:noFill/>
                          </a:ln>
                        </pic:spPr>
                      </pic:pic>
                    </a:graphicData>
                  </a:graphic>
                </wp:anchor>
              </w:drawing>
            </w:r>
          </w:p>
        </w:tc>
      </w:tr>
      <w:tr w14:paraId="7463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107" w:type="dxa"/>
            <w:gridSpan w:val="6"/>
          </w:tcPr>
          <w:p w14:paraId="2A10347D">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体育玩具</w:t>
            </w:r>
          </w:p>
        </w:tc>
      </w:tr>
      <w:tr w14:paraId="6DDF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664" w:type="dxa"/>
            <w:vAlign w:val="center"/>
          </w:tcPr>
          <w:p w14:paraId="3B304E0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w:t>
            </w:r>
          </w:p>
        </w:tc>
        <w:tc>
          <w:tcPr>
            <w:tcW w:w="1293" w:type="dxa"/>
            <w:vAlign w:val="center"/>
          </w:tcPr>
          <w:p w14:paraId="50C1EB4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儿童皮球</w:t>
            </w:r>
          </w:p>
        </w:tc>
        <w:tc>
          <w:tcPr>
            <w:tcW w:w="8697" w:type="dxa"/>
            <w:vAlign w:val="center"/>
          </w:tcPr>
          <w:p w14:paraId="427FC82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规格：18cm，采用优质橡胶材质，耐磨，弹性十足经久耐用。</w:t>
            </w:r>
          </w:p>
        </w:tc>
        <w:tc>
          <w:tcPr>
            <w:tcW w:w="840" w:type="dxa"/>
            <w:vAlign w:val="center"/>
          </w:tcPr>
          <w:p w14:paraId="39C725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C5ACAE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1720" w:type="dxa"/>
            <w:vAlign w:val="center"/>
          </w:tcPr>
          <w:p w14:paraId="0B7617A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101600</wp:posOffset>
                  </wp:positionH>
                  <wp:positionV relativeFrom="paragraph">
                    <wp:posOffset>15240</wp:posOffset>
                  </wp:positionV>
                  <wp:extent cx="508635" cy="499745"/>
                  <wp:effectExtent l="0" t="0" r="9525" b="3175"/>
                  <wp:wrapNone/>
                  <wp:docPr id="1055" name="ID_5BCA1B2BC07148FDB5C0EEC7BAF5EB36"/>
                  <wp:cNvGraphicFramePr/>
                  <a:graphic xmlns:a="http://schemas.openxmlformats.org/drawingml/2006/main">
                    <a:graphicData uri="http://schemas.openxmlformats.org/drawingml/2006/picture">
                      <pic:pic xmlns:pic="http://schemas.openxmlformats.org/drawingml/2006/picture">
                        <pic:nvPicPr>
                          <pic:cNvPr id="1055" name="ID_5BCA1B2BC07148FDB5C0EEC7BAF5EB36"/>
                          <pic:cNvPicPr/>
                        </pic:nvPicPr>
                        <pic:blipFill>
                          <a:blip r:embed="rId221"/>
                          <a:stretch>
                            <a:fillRect/>
                          </a:stretch>
                        </pic:blipFill>
                        <pic:spPr>
                          <a:xfrm>
                            <a:off x="0" y="0"/>
                            <a:ext cx="508635" cy="499745"/>
                          </a:xfrm>
                          <a:prstGeom prst="rect">
                            <a:avLst/>
                          </a:prstGeom>
                          <a:noFill/>
                          <a:ln>
                            <a:noFill/>
                          </a:ln>
                        </pic:spPr>
                      </pic:pic>
                    </a:graphicData>
                  </a:graphic>
                </wp:anchor>
              </w:drawing>
            </w:r>
          </w:p>
        </w:tc>
      </w:tr>
      <w:tr w14:paraId="454A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664" w:type="dxa"/>
            <w:vAlign w:val="center"/>
          </w:tcPr>
          <w:p w14:paraId="44EA869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w:t>
            </w:r>
          </w:p>
        </w:tc>
        <w:tc>
          <w:tcPr>
            <w:tcW w:w="1293" w:type="dxa"/>
            <w:vAlign w:val="center"/>
          </w:tcPr>
          <w:p w14:paraId="476DA92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儿童篮球</w:t>
            </w:r>
          </w:p>
        </w:tc>
        <w:tc>
          <w:tcPr>
            <w:tcW w:w="8697" w:type="dxa"/>
            <w:vAlign w:val="center"/>
          </w:tcPr>
          <w:p w14:paraId="0B3CB5E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规格直径22cm，材质为高发泡高弹力牛筋橡胶，耐打耐磨，手感好，易掌控，室内室外通用。</w:t>
            </w:r>
          </w:p>
        </w:tc>
        <w:tc>
          <w:tcPr>
            <w:tcW w:w="840" w:type="dxa"/>
            <w:vAlign w:val="center"/>
          </w:tcPr>
          <w:p w14:paraId="14A3EA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B1B144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1720" w:type="dxa"/>
            <w:vAlign w:val="center"/>
          </w:tcPr>
          <w:p w14:paraId="1688300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128905</wp:posOffset>
                  </wp:positionH>
                  <wp:positionV relativeFrom="paragraph">
                    <wp:posOffset>97790</wp:posOffset>
                  </wp:positionV>
                  <wp:extent cx="476885" cy="412750"/>
                  <wp:effectExtent l="0" t="0" r="10795" b="13970"/>
                  <wp:wrapNone/>
                  <wp:docPr id="1057" name="ID_2938B55064B14F388D7F8F81B5B4D30E"/>
                  <wp:cNvGraphicFramePr/>
                  <a:graphic xmlns:a="http://schemas.openxmlformats.org/drawingml/2006/main">
                    <a:graphicData uri="http://schemas.openxmlformats.org/drawingml/2006/picture">
                      <pic:pic xmlns:pic="http://schemas.openxmlformats.org/drawingml/2006/picture">
                        <pic:nvPicPr>
                          <pic:cNvPr id="1057" name="ID_2938B55064B14F388D7F8F81B5B4D30E"/>
                          <pic:cNvPicPr/>
                        </pic:nvPicPr>
                        <pic:blipFill>
                          <a:blip r:embed="rId222"/>
                          <a:stretch>
                            <a:fillRect/>
                          </a:stretch>
                        </pic:blipFill>
                        <pic:spPr>
                          <a:xfrm>
                            <a:off x="0" y="0"/>
                            <a:ext cx="476885" cy="412750"/>
                          </a:xfrm>
                          <a:prstGeom prst="rect">
                            <a:avLst/>
                          </a:prstGeom>
                          <a:noFill/>
                          <a:ln>
                            <a:noFill/>
                          </a:ln>
                        </pic:spPr>
                      </pic:pic>
                    </a:graphicData>
                  </a:graphic>
                </wp:anchor>
              </w:drawing>
            </w:r>
          </w:p>
        </w:tc>
      </w:tr>
      <w:tr w14:paraId="4830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664" w:type="dxa"/>
            <w:vAlign w:val="center"/>
          </w:tcPr>
          <w:p w14:paraId="6839861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w:t>
            </w:r>
          </w:p>
        </w:tc>
        <w:tc>
          <w:tcPr>
            <w:tcW w:w="1293" w:type="dxa"/>
            <w:vAlign w:val="center"/>
          </w:tcPr>
          <w:p w14:paraId="6A0DEC6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儿童足球</w:t>
            </w:r>
          </w:p>
        </w:tc>
        <w:tc>
          <w:tcPr>
            <w:tcW w:w="8697" w:type="dxa"/>
            <w:vAlign w:val="center"/>
          </w:tcPr>
          <w:p w14:paraId="542C9CB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规格：18cm，采用耐磨耐脏皮革，内胆采用优质丁基内胆，结实耐踢稳定性好，弹性好。</w:t>
            </w:r>
          </w:p>
        </w:tc>
        <w:tc>
          <w:tcPr>
            <w:tcW w:w="840" w:type="dxa"/>
            <w:vAlign w:val="center"/>
          </w:tcPr>
          <w:p w14:paraId="3D926BC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BD2D72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1720" w:type="dxa"/>
            <w:vAlign w:val="center"/>
          </w:tcPr>
          <w:p w14:paraId="23AA4FD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101600</wp:posOffset>
                  </wp:positionH>
                  <wp:positionV relativeFrom="paragraph">
                    <wp:posOffset>76835</wp:posOffset>
                  </wp:positionV>
                  <wp:extent cx="511175" cy="434975"/>
                  <wp:effectExtent l="0" t="0" r="6985" b="6985"/>
                  <wp:wrapNone/>
                  <wp:docPr id="1059" name="ID_44D14FAFBE614ECC92F446A781C6DFCB"/>
                  <wp:cNvGraphicFramePr/>
                  <a:graphic xmlns:a="http://schemas.openxmlformats.org/drawingml/2006/main">
                    <a:graphicData uri="http://schemas.openxmlformats.org/drawingml/2006/picture">
                      <pic:pic xmlns:pic="http://schemas.openxmlformats.org/drawingml/2006/picture">
                        <pic:nvPicPr>
                          <pic:cNvPr id="1059" name="ID_44D14FAFBE614ECC92F446A781C6DFCB"/>
                          <pic:cNvPicPr/>
                        </pic:nvPicPr>
                        <pic:blipFill>
                          <a:blip r:embed="rId223"/>
                          <a:stretch>
                            <a:fillRect/>
                          </a:stretch>
                        </pic:blipFill>
                        <pic:spPr>
                          <a:xfrm>
                            <a:off x="0" y="0"/>
                            <a:ext cx="511175" cy="434975"/>
                          </a:xfrm>
                          <a:prstGeom prst="rect">
                            <a:avLst/>
                          </a:prstGeom>
                          <a:noFill/>
                          <a:ln>
                            <a:noFill/>
                          </a:ln>
                        </pic:spPr>
                      </pic:pic>
                    </a:graphicData>
                  </a:graphic>
                </wp:anchor>
              </w:drawing>
            </w:r>
          </w:p>
        </w:tc>
      </w:tr>
      <w:tr w14:paraId="7920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664" w:type="dxa"/>
            <w:vAlign w:val="center"/>
          </w:tcPr>
          <w:p w14:paraId="31F6EF85">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4</w:t>
            </w:r>
          </w:p>
        </w:tc>
        <w:tc>
          <w:tcPr>
            <w:tcW w:w="1293" w:type="dxa"/>
            <w:vAlign w:val="center"/>
          </w:tcPr>
          <w:p w14:paraId="477570E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4号足球</w:t>
            </w:r>
          </w:p>
        </w:tc>
        <w:tc>
          <w:tcPr>
            <w:tcW w:w="8697" w:type="dxa"/>
            <w:vAlign w:val="center"/>
          </w:tcPr>
          <w:p w14:paraId="1000060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采用耐磨耐脏皮革，内胆采用优质丁基内胆，结实耐踢稳定性好，弹性好。</w:t>
            </w:r>
          </w:p>
        </w:tc>
        <w:tc>
          <w:tcPr>
            <w:tcW w:w="840" w:type="dxa"/>
            <w:vAlign w:val="center"/>
          </w:tcPr>
          <w:p w14:paraId="13EFA94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E9A029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1720" w:type="dxa"/>
            <w:vAlign w:val="center"/>
          </w:tcPr>
          <w:p w14:paraId="1AE2EE7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101600</wp:posOffset>
                  </wp:positionH>
                  <wp:positionV relativeFrom="paragraph">
                    <wp:posOffset>113665</wp:posOffset>
                  </wp:positionV>
                  <wp:extent cx="556895" cy="556895"/>
                  <wp:effectExtent l="0" t="0" r="6985" b="6985"/>
                  <wp:wrapNone/>
                  <wp:docPr id="1061" name="ID_D551EA918EF64BFC99067C90A32E3AD0"/>
                  <wp:cNvGraphicFramePr/>
                  <a:graphic xmlns:a="http://schemas.openxmlformats.org/drawingml/2006/main">
                    <a:graphicData uri="http://schemas.openxmlformats.org/drawingml/2006/picture">
                      <pic:pic xmlns:pic="http://schemas.openxmlformats.org/drawingml/2006/picture">
                        <pic:nvPicPr>
                          <pic:cNvPr id="1061" name="ID_D551EA918EF64BFC99067C90A32E3AD0"/>
                          <pic:cNvPicPr/>
                        </pic:nvPicPr>
                        <pic:blipFill>
                          <a:blip r:embed="rId224"/>
                          <a:stretch>
                            <a:fillRect/>
                          </a:stretch>
                        </pic:blipFill>
                        <pic:spPr>
                          <a:xfrm>
                            <a:off x="0" y="0"/>
                            <a:ext cx="556895" cy="556895"/>
                          </a:xfrm>
                          <a:prstGeom prst="rect">
                            <a:avLst/>
                          </a:prstGeom>
                          <a:noFill/>
                          <a:ln>
                            <a:noFill/>
                          </a:ln>
                        </pic:spPr>
                      </pic:pic>
                    </a:graphicData>
                  </a:graphic>
                </wp:anchor>
              </w:drawing>
            </w:r>
          </w:p>
        </w:tc>
      </w:tr>
      <w:tr w14:paraId="582E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2EB211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5</w:t>
            </w:r>
          </w:p>
        </w:tc>
        <w:tc>
          <w:tcPr>
            <w:tcW w:w="1293" w:type="dxa"/>
            <w:vAlign w:val="center"/>
          </w:tcPr>
          <w:p w14:paraId="2CEB412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弹弹圈</w:t>
            </w:r>
          </w:p>
        </w:tc>
        <w:tc>
          <w:tcPr>
            <w:tcW w:w="8697" w:type="dxa"/>
            <w:vAlign w:val="center"/>
          </w:tcPr>
          <w:p w14:paraId="50E9BD8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规格:套( 2只拍+ 2只球) 材质:氨纶规格;直径36cm，一款训练孩子抛接力的产品，能提升手眼协调能力，在团队运动游戏中能够让小朋友体验到团队合作的重要性，在体育课程中感受运动的乐趣。包含2只橡筋球和2只大的弹弹圈。橡筋球落地即停，捡拾方便。</w:t>
            </w:r>
          </w:p>
        </w:tc>
        <w:tc>
          <w:tcPr>
            <w:tcW w:w="840" w:type="dxa"/>
            <w:vAlign w:val="center"/>
          </w:tcPr>
          <w:p w14:paraId="31CF785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3EE6D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001D99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66675</wp:posOffset>
                  </wp:positionH>
                  <wp:positionV relativeFrom="paragraph">
                    <wp:posOffset>3175</wp:posOffset>
                  </wp:positionV>
                  <wp:extent cx="558800" cy="504825"/>
                  <wp:effectExtent l="0" t="0" r="5080" b="13335"/>
                  <wp:wrapNone/>
                  <wp:docPr id="1063" name="ID_579C91EA2F0847D4BDA9C05F2A287F70"/>
                  <wp:cNvGraphicFramePr/>
                  <a:graphic xmlns:a="http://schemas.openxmlformats.org/drawingml/2006/main">
                    <a:graphicData uri="http://schemas.openxmlformats.org/drawingml/2006/picture">
                      <pic:pic xmlns:pic="http://schemas.openxmlformats.org/drawingml/2006/picture">
                        <pic:nvPicPr>
                          <pic:cNvPr id="1063" name="ID_579C91EA2F0847D4BDA9C05F2A287F70"/>
                          <pic:cNvPicPr/>
                        </pic:nvPicPr>
                        <pic:blipFill>
                          <a:blip r:embed="rId225"/>
                          <a:stretch>
                            <a:fillRect/>
                          </a:stretch>
                        </pic:blipFill>
                        <pic:spPr>
                          <a:xfrm>
                            <a:off x="0" y="0"/>
                            <a:ext cx="558800" cy="504825"/>
                          </a:xfrm>
                          <a:prstGeom prst="rect">
                            <a:avLst/>
                          </a:prstGeom>
                          <a:noFill/>
                          <a:ln>
                            <a:noFill/>
                          </a:ln>
                        </pic:spPr>
                      </pic:pic>
                    </a:graphicData>
                  </a:graphic>
                </wp:anchor>
              </w:drawing>
            </w:r>
          </w:p>
        </w:tc>
      </w:tr>
      <w:tr w14:paraId="608B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664" w:type="dxa"/>
            <w:vAlign w:val="center"/>
          </w:tcPr>
          <w:p w14:paraId="65E4518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6</w:t>
            </w:r>
          </w:p>
        </w:tc>
        <w:tc>
          <w:tcPr>
            <w:tcW w:w="1293" w:type="dxa"/>
            <w:vAlign w:val="center"/>
          </w:tcPr>
          <w:p w14:paraId="58ECA72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闪光飞镖球</w:t>
            </w:r>
          </w:p>
        </w:tc>
        <w:tc>
          <w:tcPr>
            <w:tcW w:w="8697" w:type="dxa"/>
            <w:vAlign w:val="center"/>
          </w:tcPr>
          <w:p w14:paraId="0B7A1BD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30*9cm</w:t>
            </w:r>
          </w:p>
        </w:tc>
        <w:tc>
          <w:tcPr>
            <w:tcW w:w="840" w:type="dxa"/>
            <w:vAlign w:val="center"/>
          </w:tcPr>
          <w:p w14:paraId="625E351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39D43D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41D1A2B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4416" behindDoc="0" locked="0" layoutInCell="1" allowOverlap="1">
                  <wp:simplePos x="0" y="0"/>
                  <wp:positionH relativeFrom="column">
                    <wp:posOffset>40005</wp:posOffset>
                  </wp:positionH>
                  <wp:positionV relativeFrom="paragraph">
                    <wp:posOffset>81280</wp:posOffset>
                  </wp:positionV>
                  <wp:extent cx="629285" cy="412115"/>
                  <wp:effectExtent l="0" t="0" r="10795" b="14605"/>
                  <wp:wrapNone/>
                  <wp:docPr id="1070" name="ID_E74F5C7038AE4AC5BCE88E3C1A0D2D5B"/>
                  <wp:cNvGraphicFramePr/>
                  <a:graphic xmlns:a="http://schemas.openxmlformats.org/drawingml/2006/main">
                    <a:graphicData uri="http://schemas.openxmlformats.org/drawingml/2006/picture">
                      <pic:pic xmlns:pic="http://schemas.openxmlformats.org/drawingml/2006/picture">
                        <pic:nvPicPr>
                          <pic:cNvPr id="1070" name="ID_E74F5C7038AE4AC5BCE88E3C1A0D2D5B"/>
                          <pic:cNvPicPr/>
                        </pic:nvPicPr>
                        <pic:blipFill>
                          <a:blip r:embed="rId226"/>
                          <a:stretch>
                            <a:fillRect/>
                          </a:stretch>
                        </pic:blipFill>
                        <pic:spPr>
                          <a:xfrm>
                            <a:off x="0" y="0"/>
                            <a:ext cx="629285" cy="41211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8699500</wp:posOffset>
                  </wp:positionH>
                  <wp:positionV relativeFrom="paragraph">
                    <wp:posOffset>781685</wp:posOffset>
                  </wp:positionV>
                  <wp:extent cx="1075690" cy="624205"/>
                  <wp:effectExtent l="0" t="0" r="6350" b="635"/>
                  <wp:wrapNone/>
                  <wp:docPr id="1069" name="ID_E74F5C7038AE4AC5BCE88E3C1A0D2D5B"/>
                  <wp:cNvGraphicFramePr/>
                  <a:graphic xmlns:a="http://schemas.openxmlformats.org/drawingml/2006/main">
                    <a:graphicData uri="http://schemas.openxmlformats.org/drawingml/2006/picture">
                      <pic:pic xmlns:pic="http://schemas.openxmlformats.org/drawingml/2006/picture">
                        <pic:nvPicPr>
                          <pic:cNvPr id="1069" name="ID_E74F5C7038AE4AC5BCE88E3C1A0D2D5B"/>
                          <pic:cNvPicPr/>
                        </pic:nvPicPr>
                        <pic:blipFill>
                          <a:blip r:embed="rId226"/>
                          <a:stretch>
                            <a:fillRect/>
                          </a:stretch>
                        </pic:blipFill>
                        <pic:spPr>
                          <a:xfrm>
                            <a:off x="0" y="0"/>
                            <a:ext cx="1075690" cy="624205"/>
                          </a:xfrm>
                          <a:prstGeom prst="rect">
                            <a:avLst/>
                          </a:prstGeom>
                          <a:noFill/>
                          <a:ln>
                            <a:noFill/>
                          </a:ln>
                        </pic:spPr>
                      </pic:pic>
                    </a:graphicData>
                  </a:graphic>
                </wp:anchor>
              </w:drawing>
            </w:r>
          </w:p>
        </w:tc>
      </w:tr>
      <w:tr w14:paraId="560D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1593AB7">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7</w:t>
            </w:r>
          </w:p>
        </w:tc>
        <w:tc>
          <w:tcPr>
            <w:tcW w:w="1293" w:type="dxa"/>
            <w:vAlign w:val="center"/>
          </w:tcPr>
          <w:p w14:paraId="23E1611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足球门</w:t>
            </w:r>
          </w:p>
        </w:tc>
        <w:tc>
          <w:tcPr>
            <w:tcW w:w="8697" w:type="dxa"/>
            <w:vAlign w:val="center"/>
          </w:tcPr>
          <w:p w14:paraId="4A02B11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规格：120*100*100CM。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1.采用环保PVC塑料管，管子外径48.6mm，厚度约3mm；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2.PP塑料连接件</w:t>
            </w:r>
          </w:p>
        </w:tc>
        <w:tc>
          <w:tcPr>
            <w:tcW w:w="840" w:type="dxa"/>
            <w:vAlign w:val="center"/>
          </w:tcPr>
          <w:p w14:paraId="54DFE9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04CC5A9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382EF7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5440" behindDoc="0" locked="0" layoutInCell="1" allowOverlap="1">
                  <wp:simplePos x="0" y="0"/>
                  <wp:positionH relativeFrom="column">
                    <wp:posOffset>12700</wp:posOffset>
                  </wp:positionH>
                  <wp:positionV relativeFrom="paragraph">
                    <wp:posOffset>40640</wp:posOffset>
                  </wp:positionV>
                  <wp:extent cx="660400" cy="433705"/>
                  <wp:effectExtent l="0" t="0" r="10160" b="8255"/>
                  <wp:wrapNone/>
                  <wp:docPr id="1071" name="ID_BC846780A6A34633B87DAD7AC667F130"/>
                  <wp:cNvGraphicFramePr/>
                  <a:graphic xmlns:a="http://schemas.openxmlformats.org/drawingml/2006/main">
                    <a:graphicData uri="http://schemas.openxmlformats.org/drawingml/2006/picture">
                      <pic:pic xmlns:pic="http://schemas.openxmlformats.org/drawingml/2006/picture">
                        <pic:nvPicPr>
                          <pic:cNvPr id="1071" name="ID_BC846780A6A34633B87DAD7AC667F130"/>
                          <pic:cNvPicPr/>
                        </pic:nvPicPr>
                        <pic:blipFill>
                          <a:blip r:embed="rId227"/>
                          <a:stretch>
                            <a:fillRect/>
                          </a:stretch>
                        </pic:blipFill>
                        <pic:spPr>
                          <a:xfrm>
                            <a:off x="0" y="0"/>
                            <a:ext cx="660400" cy="433705"/>
                          </a:xfrm>
                          <a:prstGeom prst="rect">
                            <a:avLst/>
                          </a:prstGeom>
                          <a:noFill/>
                          <a:ln>
                            <a:noFill/>
                          </a:ln>
                        </pic:spPr>
                      </pic:pic>
                    </a:graphicData>
                  </a:graphic>
                </wp:anchor>
              </w:drawing>
            </w:r>
          </w:p>
        </w:tc>
      </w:tr>
      <w:tr w14:paraId="0FB3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664" w:type="dxa"/>
            <w:vAlign w:val="center"/>
          </w:tcPr>
          <w:p w14:paraId="79CF863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8</w:t>
            </w:r>
          </w:p>
        </w:tc>
        <w:tc>
          <w:tcPr>
            <w:tcW w:w="1293" w:type="dxa"/>
            <w:vAlign w:val="center"/>
          </w:tcPr>
          <w:p w14:paraId="3E330C0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皮球架(可定制)</w:t>
            </w:r>
          </w:p>
        </w:tc>
        <w:tc>
          <w:tcPr>
            <w:tcW w:w="8697" w:type="dxa"/>
            <w:vAlign w:val="center"/>
          </w:tcPr>
          <w:p w14:paraId="2E2754D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规格：95*65*95cm，材质：环保PVC管，ABS连接件，万向轮。</w:t>
            </w:r>
          </w:p>
        </w:tc>
        <w:tc>
          <w:tcPr>
            <w:tcW w:w="840" w:type="dxa"/>
            <w:vAlign w:val="center"/>
          </w:tcPr>
          <w:p w14:paraId="43D3086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B5B7EF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2E6E206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-8890</wp:posOffset>
                  </wp:positionH>
                  <wp:positionV relativeFrom="paragraph">
                    <wp:posOffset>19050</wp:posOffset>
                  </wp:positionV>
                  <wp:extent cx="631190" cy="361315"/>
                  <wp:effectExtent l="0" t="0" r="8890" b="4445"/>
                  <wp:wrapNone/>
                  <wp:docPr id="1073" name="ID_5730F76402594B1F961D6CA03153675B"/>
                  <wp:cNvGraphicFramePr/>
                  <a:graphic xmlns:a="http://schemas.openxmlformats.org/drawingml/2006/main">
                    <a:graphicData uri="http://schemas.openxmlformats.org/drawingml/2006/picture">
                      <pic:pic xmlns:pic="http://schemas.openxmlformats.org/drawingml/2006/picture">
                        <pic:nvPicPr>
                          <pic:cNvPr id="1073" name="ID_5730F76402594B1F961D6CA03153675B"/>
                          <pic:cNvPicPr/>
                        </pic:nvPicPr>
                        <pic:blipFill>
                          <a:blip r:embed="rId228"/>
                          <a:stretch>
                            <a:fillRect/>
                          </a:stretch>
                        </pic:blipFill>
                        <pic:spPr>
                          <a:xfrm>
                            <a:off x="0" y="0"/>
                            <a:ext cx="631190" cy="361315"/>
                          </a:xfrm>
                          <a:prstGeom prst="rect">
                            <a:avLst/>
                          </a:prstGeom>
                          <a:noFill/>
                          <a:ln>
                            <a:noFill/>
                          </a:ln>
                        </pic:spPr>
                      </pic:pic>
                    </a:graphicData>
                  </a:graphic>
                </wp:anchor>
              </w:drawing>
            </w:r>
          </w:p>
        </w:tc>
      </w:tr>
      <w:tr w14:paraId="4495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64" w:type="dxa"/>
            <w:vAlign w:val="center"/>
          </w:tcPr>
          <w:p w14:paraId="2148DB5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9</w:t>
            </w:r>
          </w:p>
        </w:tc>
        <w:tc>
          <w:tcPr>
            <w:tcW w:w="1293" w:type="dxa"/>
            <w:vAlign w:val="center"/>
          </w:tcPr>
          <w:p w14:paraId="48038D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圆形滑板车</w:t>
            </w:r>
          </w:p>
        </w:tc>
        <w:tc>
          <w:tcPr>
            <w:tcW w:w="8697" w:type="dxa"/>
            <w:vAlign w:val="center"/>
          </w:tcPr>
          <w:p w14:paraId="06F64D7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规格：37.5*32.5*9cm单位: 6色/6只/套</w:t>
            </w:r>
          </w:p>
        </w:tc>
        <w:tc>
          <w:tcPr>
            <w:tcW w:w="840" w:type="dxa"/>
            <w:vAlign w:val="center"/>
          </w:tcPr>
          <w:p w14:paraId="1645D06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2CD136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36D956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12700</wp:posOffset>
                  </wp:positionH>
                  <wp:positionV relativeFrom="paragraph">
                    <wp:posOffset>38735</wp:posOffset>
                  </wp:positionV>
                  <wp:extent cx="610870" cy="421005"/>
                  <wp:effectExtent l="0" t="0" r="13970" b="5715"/>
                  <wp:wrapNone/>
                  <wp:docPr id="1075" name="ID_D245B42950F049629799CCAEF20BE053"/>
                  <wp:cNvGraphicFramePr/>
                  <a:graphic xmlns:a="http://schemas.openxmlformats.org/drawingml/2006/main">
                    <a:graphicData uri="http://schemas.openxmlformats.org/drawingml/2006/picture">
                      <pic:pic xmlns:pic="http://schemas.openxmlformats.org/drawingml/2006/picture">
                        <pic:nvPicPr>
                          <pic:cNvPr id="1075" name="ID_D245B42950F049629799CCAEF20BE053"/>
                          <pic:cNvPicPr/>
                        </pic:nvPicPr>
                        <pic:blipFill>
                          <a:blip r:embed="rId229"/>
                          <a:stretch>
                            <a:fillRect/>
                          </a:stretch>
                        </pic:blipFill>
                        <pic:spPr>
                          <a:xfrm>
                            <a:off x="0" y="0"/>
                            <a:ext cx="610870" cy="421005"/>
                          </a:xfrm>
                          <a:prstGeom prst="rect">
                            <a:avLst/>
                          </a:prstGeom>
                          <a:noFill/>
                          <a:ln>
                            <a:noFill/>
                          </a:ln>
                        </pic:spPr>
                      </pic:pic>
                    </a:graphicData>
                  </a:graphic>
                </wp:anchor>
              </w:drawing>
            </w:r>
          </w:p>
        </w:tc>
      </w:tr>
      <w:tr w14:paraId="531E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664" w:type="dxa"/>
            <w:vAlign w:val="center"/>
          </w:tcPr>
          <w:p w14:paraId="2D0D01D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10</w:t>
            </w:r>
          </w:p>
        </w:tc>
        <w:tc>
          <w:tcPr>
            <w:tcW w:w="1293" w:type="dxa"/>
            <w:vAlign w:val="center"/>
          </w:tcPr>
          <w:p w14:paraId="6929822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大背龟</w:t>
            </w:r>
          </w:p>
        </w:tc>
        <w:tc>
          <w:tcPr>
            <w:tcW w:w="8697" w:type="dxa"/>
            <w:vAlign w:val="center"/>
          </w:tcPr>
          <w:p w14:paraId="2A35FD8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规格：长38cm，高22cm ，材质塑料，表面光滑，安全环保，耐侯性好，经久耐用。</w:t>
            </w:r>
          </w:p>
        </w:tc>
        <w:tc>
          <w:tcPr>
            <w:tcW w:w="840" w:type="dxa"/>
            <w:vAlign w:val="center"/>
          </w:tcPr>
          <w:p w14:paraId="33ABF1C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E3D541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1720" w:type="dxa"/>
            <w:vAlign w:val="center"/>
          </w:tcPr>
          <w:p w14:paraId="62C923B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40005</wp:posOffset>
                  </wp:positionH>
                  <wp:positionV relativeFrom="paragraph">
                    <wp:posOffset>123825</wp:posOffset>
                  </wp:positionV>
                  <wp:extent cx="614680" cy="469265"/>
                  <wp:effectExtent l="0" t="0" r="10160" b="3175"/>
                  <wp:wrapNone/>
                  <wp:docPr id="1077" name="ID_2B94D57A024D4CAEA32D6AD5121BD225"/>
                  <wp:cNvGraphicFramePr/>
                  <a:graphic xmlns:a="http://schemas.openxmlformats.org/drawingml/2006/main">
                    <a:graphicData uri="http://schemas.openxmlformats.org/drawingml/2006/picture">
                      <pic:pic xmlns:pic="http://schemas.openxmlformats.org/drawingml/2006/picture">
                        <pic:nvPicPr>
                          <pic:cNvPr id="1077" name="ID_2B94D57A024D4CAEA32D6AD5121BD225"/>
                          <pic:cNvPicPr/>
                        </pic:nvPicPr>
                        <pic:blipFill>
                          <a:blip r:embed="rId230"/>
                          <a:stretch>
                            <a:fillRect/>
                          </a:stretch>
                        </pic:blipFill>
                        <pic:spPr>
                          <a:xfrm>
                            <a:off x="0" y="0"/>
                            <a:ext cx="614680" cy="469265"/>
                          </a:xfrm>
                          <a:prstGeom prst="rect">
                            <a:avLst/>
                          </a:prstGeom>
                          <a:noFill/>
                          <a:ln>
                            <a:noFill/>
                          </a:ln>
                        </pic:spPr>
                      </pic:pic>
                    </a:graphicData>
                  </a:graphic>
                </wp:anchor>
              </w:drawing>
            </w:r>
          </w:p>
        </w:tc>
      </w:tr>
      <w:tr w14:paraId="697A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5BC41B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11</w:t>
            </w:r>
          </w:p>
        </w:tc>
        <w:tc>
          <w:tcPr>
            <w:tcW w:w="1293" w:type="dxa"/>
            <w:vAlign w:val="center"/>
          </w:tcPr>
          <w:p w14:paraId="47968B9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接球器</w:t>
            </w:r>
          </w:p>
        </w:tc>
        <w:tc>
          <w:tcPr>
            <w:tcW w:w="8697" w:type="dxa"/>
            <w:vAlign w:val="center"/>
          </w:tcPr>
          <w:p w14:paraId="578A6CA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单位:6色/6只/套 规格: 19cm，材质塑料(聚氯乙烯)，经典的抛接球游戏，简单易玩，将用绳子连接的空心球从下往上抛出然后用手柄杯子接住。锻炼小朋友的抛接和控制力，并可锻炼手眼协调能力。</w:t>
            </w:r>
          </w:p>
        </w:tc>
        <w:tc>
          <w:tcPr>
            <w:tcW w:w="840" w:type="dxa"/>
            <w:vAlign w:val="center"/>
          </w:tcPr>
          <w:p w14:paraId="5318D0E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0408A6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5CA5EEE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49530</wp:posOffset>
                  </wp:positionH>
                  <wp:positionV relativeFrom="paragraph">
                    <wp:posOffset>130175</wp:posOffset>
                  </wp:positionV>
                  <wp:extent cx="623570" cy="533400"/>
                  <wp:effectExtent l="0" t="0" r="1270" b="0"/>
                  <wp:wrapNone/>
                  <wp:docPr id="1079" name="ID_8333DFB085C24BDBBD300EBF90D773EA"/>
                  <wp:cNvGraphicFramePr/>
                  <a:graphic xmlns:a="http://schemas.openxmlformats.org/drawingml/2006/main">
                    <a:graphicData uri="http://schemas.openxmlformats.org/drawingml/2006/picture">
                      <pic:pic xmlns:pic="http://schemas.openxmlformats.org/drawingml/2006/picture">
                        <pic:nvPicPr>
                          <pic:cNvPr id="1079" name="ID_8333DFB085C24BDBBD300EBF90D773EA"/>
                          <pic:cNvPicPr/>
                        </pic:nvPicPr>
                        <pic:blipFill>
                          <a:blip r:embed="rId231"/>
                          <a:stretch>
                            <a:fillRect/>
                          </a:stretch>
                        </pic:blipFill>
                        <pic:spPr>
                          <a:xfrm>
                            <a:off x="0" y="0"/>
                            <a:ext cx="623570" cy="533400"/>
                          </a:xfrm>
                          <a:prstGeom prst="rect">
                            <a:avLst/>
                          </a:prstGeom>
                          <a:noFill/>
                          <a:ln>
                            <a:noFill/>
                          </a:ln>
                        </pic:spPr>
                      </pic:pic>
                    </a:graphicData>
                  </a:graphic>
                </wp:anchor>
              </w:drawing>
            </w:r>
          </w:p>
        </w:tc>
      </w:tr>
      <w:tr w14:paraId="232C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C27A86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12</w:t>
            </w:r>
          </w:p>
        </w:tc>
        <w:tc>
          <w:tcPr>
            <w:tcW w:w="1293" w:type="dxa"/>
            <w:vAlign w:val="center"/>
          </w:tcPr>
          <w:p w14:paraId="263CD0D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平衡蛋</w:t>
            </w:r>
          </w:p>
        </w:tc>
        <w:tc>
          <w:tcPr>
            <w:tcW w:w="8697" w:type="dxa"/>
            <w:vAlign w:val="center"/>
          </w:tcPr>
          <w:p w14:paraId="0E1CB56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 1套/6个充蛋,6只塑料手柄勺子 材料:橡胶+塑料，一套6只充气蛋，6把塑料手柄，充气蛋是由环保橡胶制成的，球体上印有6种各不相同的表情，该教玩具训练孩子的平衡感及身体协调性。球体磨砂工艺便于抓握和清洁，重量偏轻的球可以单独用来抛接或滚动。室内、室外都适用。请使用针式打气筒打气。</w:t>
            </w:r>
          </w:p>
        </w:tc>
        <w:tc>
          <w:tcPr>
            <w:tcW w:w="840" w:type="dxa"/>
            <w:vAlign w:val="center"/>
          </w:tcPr>
          <w:p w14:paraId="3A5A35F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1F8CA7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929657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31115</wp:posOffset>
                  </wp:positionH>
                  <wp:positionV relativeFrom="paragraph">
                    <wp:posOffset>176530</wp:posOffset>
                  </wp:positionV>
                  <wp:extent cx="594360" cy="549275"/>
                  <wp:effectExtent l="0" t="0" r="0" b="14605"/>
                  <wp:wrapNone/>
                  <wp:docPr id="1081" name="ID_FFF98246B27A46439B9B0E49150F46AC"/>
                  <wp:cNvGraphicFramePr/>
                  <a:graphic xmlns:a="http://schemas.openxmlformats.org/drawingml/2006/main">
                    <a:graphicData uri="http://schemas.openxmlformats.org/drawingml/2006/picture">
                      <pic:pic xmlns:pic="http://schemas.openxmlformats.org/drawingml/2006/picture">
                        <pic:nvPicPr>
                          <pic:cNvPr id="1081" name="ID_FFF98246B27A46439B9B0E49150F46AC"/>
                          <pic:cNvPicPr/>
                        </pic:nvPicPr>
                        <pic:blipFill>
                          <a:blip r:embed="rId232"/>
                          <a:stretch>
                            <a:fillRect/>
                          </a:stretch>
                        </pic:blipFill>
                        <pic:spPr>
                          <a:xfrm>
                            <a:off x="0" y="0"/>
                            <a:ext cx="594360" cy="549275"/>
                          </a:xfrm>
                          <a:prstGeom prst="rect">
                            <a:avLst/>
                          </a:prstGeom>
                          <a:noFill/>
                          <a:ln>
                            <a:noFill/>
                          </a:ln>
                        </pic:spPr>
                      </pic:pic>
                    </a:graphicData>
                  </a:graphic>
                </wp:anchor>
              </w:drawing>
            </w:r>
          </w:p>
        </w:tc>
      </w:tr>
      <w:tr w14:paraId="362D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C001F5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13</w:t>
            </w:r>
          </w:p>
        </w:tc>
        <w:tc>
          <w:tcPr>
            <w:tcW w:w="1293" w:type="dxa"/>
            <w:vAlign w:val="center"/>
          </w:tcPr>
          <w:p w14:paraId="5E7901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平衡桥组合</w:t>
            </w:r>
          </w:p>
        </w:tc>
        <w:tc>
          <w:tcPr>
            <w:tcW w:w="8697" w:type="dxa"/>
            <w:vAlign w:val="center"/>
          </w:tcPr>
          <w:p w14:paraId="05D7E19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单位圆块直径33cm矩形块长6Ccm，材质发泡棉，柔软、安全、耐用、内部为环保泡沫材质，底层为纹理防滑涂层，在木地板或瓷砖上都能牢牢抓紧地面，防滑安全。圆形共计6块6种颜色，长方形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12根6种颜色，高度为5cm，每一块上附加轻易连接的魔术粘。可以排列出多种方式进行平衡感练习，也可以进行各种类型的团队活动。</w:t>
            </w:r>
          </w:p>
        </w:tc>
        <w:tc>
          <w:tcPr>
            <w:tcW w:w="840" w:type="dxa"/>
            <w:vAlign w:val="center"/>
          </w:tcPr>
          <w:p w14:paraId="56CD1E7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9A2B18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316F13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12700</wp:posOffset>
                  </wp:positionH>
                  <wp:positionV relativeFrom="paragraph">
                    <wp:posOffset>139700</wp:posOffset>
                  </wp:positionV>
                  <wp:extent cx="695325" cy="731520"/>
                  <wp:effectExtent l="0" t="0" r="5715" b="0"/>
                  <wp:wrapNone/>
                  <wp:docPr id="1083" name="ID_F2E53D45F2804C4E8247E1498A3042CC"/>
                  <wp:cNvGraphicFramePr/>
                  <a:graphic xmlns:a="http://schemas.openxmlformats.org/drawingml/2006/main">
                    <a:graphicData uri="http://schemas.openxmlformats.org/drawingml/2006/picture">
                      <pic:pic xmlns:pic="http://schemas.openxmlformats.org/drawingml/2006/picture">
                        <pic:nvPicPr>
                          <pic:cNvPr id="1083" name="ID_F2E53D45F2804C4E8247E1498A3042CC"/>
                          <pic:cNvPicPr/>
                        </pic:nvPicPr>
                        <pic:blipFill>
                          <a:blip r:embed="rId233"/>
                          <a:stretch>
                            <a:fillRect/>
                          </a:stretch>
                        </pic:blipFill>
                        <pic:spPr>
                          <a:xfrm>
                            <a:off x="0" y="0"/>
                            <a:ext cx="695325" cy="731520"/>
                          </a:xfrm>
                          <a:prstGeom prst="rect">
                            <a:avLst/>
                          </a:prstGeom>
                          <a:noFill/>
                          <a:ln>
                            <a:noFill/>
                          </a:ln>
                        </pic:spPr>
                      </pic:pic>
                    </a:graphicData>
                  </a:graphic>
                </wp:anchor>
              </w:drawing>
            </w:r>
          </w:p>
        </w:tc>
      </w:tr>
      <w:tr w14:paraId="340B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64" w:type="dxa"/>
            <w:vAlign w:val="center"/>
          </w:tcPr>
          <w:p w14:paraId="64F1554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14</w:t>
            </w:r>
          </w:p>
        </w:tc>
        <w:tc>
          <w:tcPr>
            <w:tcW w:w="1293" w:type="dxa"/>
            <w:vAlign w:val="center"/>
          </w:tcPr>
          <w:p w14:paraId="086D595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小羊陀螺椅</w:t>
            </w:r>
          </w:p>
        </w:tc>
        <w:tc>
          <w:tcPr>
            <w:tcW w:w="8697" w:type="dxa"/>
            <w:vAlign w:val="center"/>
          </w:tcPr>
          <w:p w14:paraId="6DE0B6F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规格：85*83cm，滚塑</w:t>
            </w:r>
          </w:p>
        </w:tc>
        <w:tc>
          <w:tcPr>
            <w:tcW w:w="840" w:type="dxa"/>
            <w:vAlign w:val="center"/>
          </w:tcPr>
          <w:p w14:paraId="120E3D0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278ABC8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38E284A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12700</wp:posOffset>
                  </wp:positionH>
                  <wp:positionV relativeFrom="paragraph">
                    <wp:posOffset>12065</wp:posOffset>
                  </wp:positionV>
                  <wp:extent cx="549910" cy="523875"/>
                  <wp:effectExtent l="0" t="0" r="13970" b="9525"/>
                  <wp:wrapNone/>
                  <wp:docPr id="1085" name="ID_380C83E5443A462B9CC3E906A0511C31"/>
                  <wp:cNvGraphicFramePr/>
                  <a:graphic xmlns:a="http://schemas.openxmlformats.org/drawingml/2006/main">
                    <a:graphicData uri="http://schemas.openxmlformats.org/drawingml/2006/picture">
                      <pic:pic xmlns:pic="http://schemas.openxmlformats.org/drawingml/2006/picture">
                        <pic:nvPicPr>
                          <pic:cNvPr id="1085" name="ID_380C83E5443A462B9CC3E906A0511C31"/>
                          <pic:cNvPicPr/>
                        </pic:nvPicPr>
                        <pic:blipFill>
                          <a:blip r:embed="rId234"/>
                          <a:stretch>
                            <a:fillRect/>
                          </a:stretch>
                        </pic:blipFill>
                        <pic:spPr>
                          <a:xfrm>
                            <a:off x="0" y="0"/>
                            <a:ext cx="549910" cy="523875"/>
                          </a:xfrm>
                          <a:prstGeom prst="rect">
                            <a:avLst/>
                          </a:prstGeom>
                          <a:noFill/>
                          <a:ln>
                            <a:noFill/>
                          </a:ln>
                        </pic:spPr>
                      </pic:pic>
                    </a:graphicData>
                  </a:graphic>
                </wp:anchor>
              </w:drawing>
            </w:r>
          </w:p>
        </w:tc>
      </w:tr>
      <w:tr w14:paraId="319D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4" w:type="dxa"/>
            <w:vAlign w:val="center"/>
          </w:tcPr>
          <w:p w14:paraId="48D5483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15</w:t>
            </w:r>
          </w:p>
        </w:tc>
        <w:tc>
          <w:tcPr>
            <w:tcW w:w="1293" w:type="dxa"/>
            <w:vAlign w:val="center"/>
          </w:tcPr>
          <w:p w14:paraId="41B10B2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迷彩三联体操垫</w:t>
            </w:r>
          </w:p>
        </w:tc>
        <w:tc>
          <w:tcPr>
            <w:tcW w:w="8697" w:type="dxa"/>
            <w:vAlign w:val="center"/>
          </w:tcPr>
          <w:p w14:paraId="4D07D35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规格:210*70*10cm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材质:珍珠棉</w:t>
            </w:r>
          </w:p>
        </w:tc>
        <w:tc>
          <w:tcPr>
            <w:tcW w:w="840" w:type="dxa"/>
            <w:vAlign w:val="center"/>
          </w:tcPr>
          <w:p w14:paraId="644516E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73E682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1720" w:type="dxa"/>
            <w:vAlign w:val="center"/>
          </w:tcPr>
          <w:p w14:paraId="58F9024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5080</wp:posOffset>
                  </wp:positionH>
                  <wp:positionV relativeFrom="paragraph">
                    <wp:posOffset>-42545</wp:posOffset>
                  </wp:positionV>
                  <wp:extent cx="702945" cy="477520"/>
                  <wp:effectExtent l="0" t="0" r="13335" b="10160"/>
                  <wp:wrapNone/>
                  <wp:docPr id="1087" name="图片_24"/>
                  <wp:cNvGraphicFramePr/>
                  <a:graphic xmlns:a="http://schemas.openxmlformats.org/drawingml/2006/main">
                    <a:graphicData uri="http://schemas.openxmlformats.org/drawingml/2006/picture">
                      <pic:pic xmlns:pic="http://schemas.openxmlformats.org/drawingml/2006/picture">
                        <pic:nvPicPr>
                          <pic:cNvPr id="1087" name="图片_24"/>
                          <pic:cNvPicPr/>
                        </pic:nvPicPr>
                        <pic:blipFill>
                          <a:blip r:embed="rId235"/>
                          <a:stretch>
                            <a:fillRect/>
                          </a:stretch>
                        </pic:blipFill>
                        <pic:spPr>
                          <a:xfrm>
                            <a:off x="0" y="0"/>
                            <a:ext cx="702945" cy="477520"/>
                          </a:xfrm>
                          <a:prstGeom prst="rect">
                            <a:avLst/>
                          </a:prstGeom>
                          <a:noFill/>
                          <a:ln>
                            <a:noFill/>
                          </a:ln>
                        </pic:spPr>
                      </pic:pic>
                    </a:graphicData>
                  </a:graphic>
                </wp:anchor>
              </w:drawing>
            </w:r>
          </w:p>
        </w:tc>
      </w:tr>
      <w:tr w14:paraId="2CB4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4" w:type="dxa"/>
            <w:vAlign w:val="center"/>
          </w:tcPr>
          <w:p w14:paraId="408BB52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16</w:t>
            </w:r>
          </w:p>
        </w:tc>
        <w:tc>
          <w:tcPr>
            <w:tcW w:w="1293" w:type="dxa"/>
            <w:vAlign w:val="center"/>
          </w:tcPr>
          <w:p w14:paraId="0BD1627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彩虹伞</w:t>
            </w:r>
          </w:p>
        </w:tc>
        <w:tc>
          <w:tcPr>
            <w:tcW w:w="8697" w:type="dxa"/>
            <w:vAlign w:val="center"/>
          </w:tcPr>
          <w:p w14:paraId="4FC7DC9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规格：5m，材料：190T聚酯纤维+210D牛津布+高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密度腈纶织带</w:t>
            </w:r>
          </w:p>
        </w:tc>
        <w:tc>
          <w:tcPr>
            <w:tcW w:w="840" w:type="dxa"/>
            <w:vAlign w:val="center"/>
          </w:tcPr>
          <w:p w14:paraId="58D5BF2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4434EE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0A00211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5080</wp:posOffset>
                  </wp:positionH>
                  <wp:positionV relativeFrom="paragraph">
                    <wp:posOffset>142875</wp:posOffset>
                  </wp:positionV>
                  <wp:extent cx="709295" cy="389890"/>
                  <wp:effectExtent l="0" t="0" r="6985" b="6350"/>
                  <wp:wrapNone/>
                  <wp:docPr id="1089" name="ID_41B09BAD7C46453AB448F3CDCD64607F"/>
                  <wp:cNvGraphicFramePr/>
                  <a:graphic xmlns:a="http://schemas.openxmlformats.org/drawingml/2006/main">
                    <a:graphicData uri="http://schemas.openxmlformats.org/drawingml/2006/picture">
                      <pic:pic xmlns:pic="http://schemas.openxmlformats.org/drawingml/2006/picture">
                        <pic:nvPicPr>
                          <pic:cNvPr id="1089" name="ID_41B09BAD7C46453AB448F3CDCD64607F"/>
                          <pic:cNvPicPr/>
                        </pic:nvPicPr>
                        <pic:blipFill>
                          <a:blip r:embed="rId236"/>
                          <a:stretch>
                            <a:fillRect/>
                          </a:stretch>
                        </pic:blipFill>
                        <pic:spPr>
                          <a:xfrm>
                            <a:off x="0" y="0"/>
                            <a:ext cx="709295" cy="389890"/>
                          </a:xfrm>
                          <a:prstGeom prst="rect">
                            <a:avLst/>
                          </a:prstGeom>
                          <a:noFill/>
                          <a:ln>
                            <a:noFill/>
                          </a:ln>
                        </pic:spPr>
                      </pic:pic>
                    </a:graphicData>
                  </a:graphic>
                </wp:anchor>
              </w:drawing>
            </w:r>
          </w:p>
        </w:tc>
      </w:tr>
      <w:tr w14:paraId="49F4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664" w:type="dxa"/>
            <w:vAlign w:val="center"/>
          </w:tcPr>
          <w:p w14:paraId="4F95D9B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17</w:t>
            </w:r>
          </w:p>
        </w:tc>
        <w:tc>
          <w:tcPr>
            <w:tcW w:w="1293" w:type="dxa"/>
            <w:vAlign w:val="center"/>
          </w:tcPr>
          <w:p w14:paraId="55A709A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万象组合</w:t>
            </w:r>
          </w:p>
        </w:tc>
        <w:tc>
          <w:tcPr>
            <w:tcW w:w="8697" w:type="dxa"/>
            <w:vAlign w:val="center"/>
          </w:tcPr>
          <w:p w14:paraId="3D89ADF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规格:114件</w:t>
            </w:r>
          </w:p>
        </w:tc>
        <w:tc>
          <w:tcPr>
            <w:tcW w:w="840" w:type="dxa"/>
            <w:vAlign w:val="center"/>
          </w:tcPr>
          <w:p w14:paraId="53FA239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38A119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0AE25C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53975</wp:posOffset>
                  </wp:positionH>
                  <wp:positionV relativeFrom="paragraph">
                    <wp:posOffset>78105</wp:posOffset>
                  </wp:positionV>
                  <wp:extent cx="652780" cy="361950"/>
                  <wp:effectExtent l="0" t="0" r="2540" b="3810"/>
                  <wp:wrapNone/>
                  <wp:docPr id="1091" name="ID_0B396CAAF5854E87AA9D98A13A3D4624"/>
                  <wp:cNvGraphicFramePr/>
                  <a:graphic xmlns:a="http://schemas.openxmlformats.org/drawingml/2006/main">
                    <a:graphicData uri="http://schemas.openxmlformats.org/drawingml/2006/picture">
                      <pic:pic xmlns:pic="http://schemas.openxmlformats.org/drawingml/2006/picture">
                        <pic:nvPicPr>
                          <pic:cNvPr id="1091" name="ID_0B396CAAF5854E87AA9D98A13A3D4624"/>
                          <pic:cNvPicPr/>
                        </pic:nvPicPr>
                        <pic:blipFill>
                          <a:blip r:embed="rId237"/>
                          <a:stretch>
                            <a:fillRect/>
                          </a:stretch>
                        </pic:blipFill>
                        <pic:spPr>
                          <a:xfrm>
                            <a:off x="0" y="0"/>
                            <a:ext cx="652780" cy="361950"/>
                          </a:xfrm>
                          <a:prstGeom prst="rect">
                            <a:avLst/>
                          </a:prstGeom>
                          <a:noFill/>
                          <a:ln>
                            <a:noFill/>
                          </a:ln>
                        </pic:spPr>
                      </pic:pic>
                    </a:graphicData>
                  </a:graphic>
                </wp:anchor>
              </w:drawing>
            </w:r>
          </w:p>
        </w:tc>
      </w:tr>
      <w:tr w14:paraId="5569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664" w:type="dxa"/>
            <w:vAlign w:val="center"/>
          </w:tcPr>
          <w:p w14:paraId="7FF2EFA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18</w:t>
            </w:r>
          </w:p>
        </w:tc>
        <w:tc>
          <w:tcPr>
            <w:tcW w:w="1293" w:type="dxa"/>
            <w:vAlign w:val="center"/>
          </w:tcPr>
          <w:p w14:paraId="27D92E7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平衡车</w:t>
            </w:r>
          </w:p>
        </w:tc>
        <w:tc>
          <w:tcPr>
            <w:tcW w:w="8697" w:type="dxa"/>
            <w:vAlign w:val="center"/>
          </w:tcPr>
          <w:p w14:paraId="34E5CF9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规格：41*37*57cm，塑料+铁</w:t>
            </w:r>
          </w:p>
        </w:tc>
        <w:tc>
          <w:tcPr>
            <w:tcW w:w="840" w:type="dxa"/>
            <w:vAlign w:val="center"/>
          </w:tcPr>
          <w:p w14:paraId="627F3E0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41776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1720" w:type="dxa"/>
            <w:vAlign w:val="center"/>
          </w:tcPr>
          <w:p w14:paraId="120AB22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5080</wp:posOffset>
                  </wp:positionH>
                  <wp:positionV relativeFrom="paragraph">
                    <wp:posOffset>78740</wp:posOffset>
                  </wp:positionV>
                  <wp:extent cx="618490" cy="473710"/>
                  <wp:effectExtent l="0" t="0" r="6350" b="13970"/>
                  <wp:wrapNone/>
                  <wp:docPr id="1093" name="ID_665AC015AE114DEEB289515DD5AC5E1F"/>
                  <wp:cNvGraphicFramePr/>
                  <a:graphic xmlns:a="http://schemas.openxmlformats.org/drawingml/2006/main">
                    <a:graphicData uri="http://schemas.openxmlformats.org/drawingml/2006/picture">
                      <pic:pic xmlns:pic="http://schemas.openxmlformats.org/drawingml/2006/picture">
                        <pic:nvPicPr>
                          <pic:cNvPr id="1093" name="ID_665AC015AE114DEEB289515DD5AC5E1F"/>
                          <pic:cNvPicPr/>
                        </pic:nvPicPr>
                        <pic:blipFill>
                          <a:blip r:embed="rId238"/>
                          <a:stretch>
                            <a:fillRect/>
                          </a:stretch>
                        </pic:blipFill>
                        <pic:spPr>
                          <a:xfrm>
                            <a:off x="0" y="0"/>
                            <a:ext cx="618490" cy="473710"/>
                          </a:xfrm>
                          <a:prstGeom prst="rect">
                            <a:avLst/>
                          </a:prstGeom>
                          <a:noFill/>
                          <a:ln>
                            <a:noFill/>
                          </a:ln>
                        </pic:spPr>
                      </pic:pic>
                    </a:graphicData>
                  </a:graphic>
                </wp:anchor>
              </w:drawing>
            </w:r>
          </w:p>
        </w:tc>
      </w:tr>
      <w:tr w14:paraId="0420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64" w:type="dxa"/>
            <w:vAlign w:val="center"/>
          </w:tcPr>
          <w:p w14:paraId="2FE2AAA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19</w:t>
            </w:r>
          </w:p>
        </w:tc>
        <w:tc>
          <w:tcPr>
            <w:tcW w:w="1293" w:type="dxa"/>
            <w:vAlign w:val="center"/>
          </w:tcPr>
          <w:p w14:paraId="6C092BA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呼啦圈</w:t>
            </w:r>
          </w:p>
        </w:tc>
        <w:tc>
          <w:tcPr>
            <w:tcW w:w="8697" w:type="dxa"/>
            <w:vAlign w:val="center"/>
          </w:tcPr>
          <w:p w14:paraId="1326D59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规格：40公分，材质塑料，表面光滑，安全环保，耐侯性好，经久耐用。</w:t>
            </w:r>
          </w:p>
        </w:tc>
        <w:tc>
          <w:tcPr>
            <w:tcW w:w="840" w:type="dxa"/>
            <w:vAlign w:val="center"/>
          </w:tcPr>
          <w:p w14:paraId="30C73A5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F1AC44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1720" w:type="dxa"/>
            <w:vAlign w:val="center"/>
          </w:tcPr>
          <w:p w14:paraId="7945DDB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12700</wp:posOffset>
                  </wp:positionH>
                  <wp:positionV relativeFrom="paragraph">
                    <wp:posOffset>69850</wp:posOffset>
                  </wp:positionV>
                  <wp:extent cx="605790" cy="465455"/>
                  <wp:effectExtent l="0" t="0" r="3810" b="6985"/>
                  <wp:wrapNone/>
                  <wp:docPr id="1095" name="ID_AB5C580F27C44E47ADB7E8A93BCA91FE"/>
                  <wp:cNvGraphicFramePr/>
                  <a:graphic xmlns:a="http://schemas.openxmlformats.org/drawingml/2006/main">
                    <a:graphicData uri="http://schemas.openxmlformats.org/drawingml/2006/picture">
                      <pic:pic xmlns:pic="http://schemas.openxmlformats.org/drawingml/2006/picture">
                        <pic:nvPicPr>
                          <pic:cNvPr id="1095" name="ID_AB5C580F27C44E47ADB7E8A93BCA91FE"/>
                          <pic:cNvPicPr/>
                        </pic:nvPicPr>
                        <pic:blipFill>
                          <a:blip r:embed="rId239"/>
                          <a:stretch>
                            <a:fillRect/>
                          </a:stretch>
                        </pic:blipFill>
                        <pic:spPr>
                          <a:xfrm>
                            <a:off x="0" y="0"/>
                            <a:ext cx="605790" cy="465455"/>
                          </a:xfrm>
                          <a:prstGeom prst="rect">
                            <a:avLst/>
                          </a:prstGeom>
                          <a:noFill/>
                          <a:ln>
                            <a:noFill/>
                          </a:ln>
                        </pic:spPr>
                      </pic:pic>
                    </a:graphicData>
                  </a:graphic>
                </wp:anchor>
              </w:drawing>
            </w:r>
          </w:p>
        </w:tc>
      </w:tr>
      <w:tr w14:paraId="1F51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64" w:type="dxa"/>
            <w:vAlign w:val="center"/>
          </w:tcPr>
          <w:p w14:paraId="2C07AF9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20</w:t>
            </w:r>
          </w:p>
        </w:tc>
        <w:tc>
          <w:tcPr>
            <w:tcW w:w="1293" w:type="dxa"/>
            <w:vAlign w:val="center"/>
          </w:tcPr>
          <w:p w14:paraId="4BCFE29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呼啦圈</w:t>
            </w:r>
          </w:p>
        </w:tc>
        <w:tc>
          <w:tcPr>
            <w:tcW w:w="8697" w:type="dxa"/>
            <w:vAlign w:val="center"/>
          </w:tcPr>
          <w:p w14:paraId="4C1945A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规格：50公分，材质塑料，表面光滑，安全环保，耐侯性好，经久耐用。</w:t>
            </w:r>
          </w:p>
        </w:tc>
        <w:tc>
          <w:tcPr>
            <w:tcW w:w="840" w:type="dxa"/>
            <w:vAlign w:val="center"/>
          </w:tcPr>
          <w:p w14:paraId="64445C1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890779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1720" w:type="dxa"/>
            <w:vAlign w:val="center"/>
          </w:tcPr>
          <w:p w14:paraId="1EB57FD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5080</wp:posOffset>
                  </wp:positionH>
                  <wp:positionV relativeFrom="paragraph">
                    <wp:posOffset>60325</wp:posOffset>
                  </wp:positionV>
                  <wp:extent cx="648970" cy="502920"/>
                  <wp:effectExtent l="0" t="0" r="6350" b="0"/>
                  <wp:wrapNone/>
                  <wp:docPr id="1097" name="ID_AB5C580F27C44E47ADB7E8A93BCA91FE_SpCnt_1"/>
                  <wp:cNvGraphicFramePr/>
                  <a:graphic xmlns:a="http://schemas.openxmlformats.org/drawingml/2006/main">
                    <a:graphicData uri="http://schemas.openxmlformats.org/drawingml/2006/picture">
                      <pic:pic xmlns:pic="http://schemas.openxmlformats.org/drawingml/2006/picture">
                        <pic:nvPicPr>
                          <pic:cNvPr id="1097" name="ID_AB5C580F27C44E47ADB7E8A93BCA91FE_SpCnt_1"/>
                          <pic:cNvPicPr/>
                        </pic:nvPicPr>
                        <pic:blipFill>
                          <a:blip r:embed="rId240"/>
                          <a:stretch>
                            <a:fillRect/>
                          </a:stretch>
                        </pic:blipFill>
                        <pic:spPr>
                          <a:xfrm>
                            <a:off x="0" y="0"/>
                            <a:ext cx="648970" cy="502920"/>
                          </a:xfrm>
                          <a:prstGeom prst="rect">
                            <a:avLst/>
                          </a:prstGeom>
                          <a:noFill/>
                          <a:ln>
                            <a:noFill/>
                          </a:ln>
                        </pic:spPr>
                      </pic:pic>
                    </a:graphicData>
                  </a:graphic>
                </wp:anchor>
              </w:drawing>
            </w:r>
          </w:p>
        </w:tc>
      </w:tr>
      <w:tr w14:paraId="4982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664" w:type="dxa"/>
            <w:vAlign w:val="center"/>
          </w:tcPr>
          <w:p w14:paraId="24F754C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21</w:t>
            </w:r>
          </w:p>
        </w:tc>
        <w:tc>
          <w:tcPr>
            <w:tcW w:w="1293" w:type="dxa"/>
            <w:vAlign w:val="center"/>
          </w:tcPr>
          <w:p w14:paraId="2D126ED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跳跳袋</w:t>
            </w:r>
          </w:p>
        </w:tc>
        <w:tc>
          <w:tcPr>
            <w:tcW w:w="8697" w:type="dxa"/>
            <w:vAlign w:val="center"/>
          </w:tcPr>
          <w:p w14:paraId="6BC0CC3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规格：直径30cm 高60cm （儿童) 300D加厚牛津布</w:t>
            </w:r>
          </w:p>
        </w:tc>
        <w:tc>
          <w:tcPr>
            <w:tcW w:w="840" w:type="dxa"/>
            <w:vAlign w:val="center"/>
          </w:tcPr>
          <w:p w14:paraId="57838E4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9A0D7F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1720" w:type="dxa"/>
            <w:vAlign w:val="center"/>
          </w:tcPr>
          <w:p w14:paraId="76A665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38100</wp:posOffset>
                  </wp:positionH>
                  <wp:positionV relativeFrom="paragraph">
                    <wp:posOffset>81280</wp:posOffset>
                  </wp:positionV>
                  <wp:extent cx="580390" cy="344805"/>
                  <wp:effectExtent l="0" t="0" r="13970" b="5715"/>
                  <wp:wrapNone/>
                  <wp:docPr id="1099" name="ID_842773004ECE4AA9888EC8AB1C549720"/>
                  <wp:cNvGraphicFramePr/>
                  <a:graphic xmlns:a="http://schemas.openxmlformats.org/drawingml/2006/main">
                    <a:graphicData uri="http://schemas.openxmlformats.org/drawingml/2006/picture">
                      <pic:pic xmlns:pic="http://schemas.openxmlformats.org/drawingml/2006/picture">
                        <pic:nvPicPr>
                          <pic:cNvPr id="1099" name="ID_842773004ECE4AA9888EC8AB1C549720"/>
                          <pic:cNvPicPr/>
                        </pic:nvPicPr>
                        <pic:blipFill>
                          <a:blip r:embed="rId241"/>
                          <a:stretch>
                            <a:fillRect/>
                          </a:stretch>
                        </pic:blipFill>
                        <pic:spPr>
                          <a:xfrm>
                            <a:off x="0" y="0"/>
                            <a:ext cx="580390" cy="344805"/>
                          </a:xfrm>
                          <a:prstGeom prst="rect">
                            <a:avLst/>
                          </a:prstGeom>
                          <a:noFill/>
                          <a:ln>
                            <a:noFill/>
                          </a:ln>
                        </pic:spPr>
                      </pic:pic>
                    </a:graphicData>
                  </a:graphic>
                </wp:anchor>
              </w:drawing>
            </w:r>
          </w:p>
        </w:tc>
      </w:tr>
      <w:tr w14:paraId="496D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64" w:type="dxa"/>
            <w:vAlign w:val="center"/>
          </w:tcPr>
          <w:p w14:paraId="4ACFFA1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22</w:t>
            </w:r>
          </w:p>
        </w:tc>
        <w:tc>
          <w:tcPr>
            <w:tcW w:w="1293" w:type="dxa"/>
            <w:vAlign w:val="center"/>
          </w:tcPr>
          <w:p w14:paraId="6B23DD6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羊角球</w:t>
            </w:r>
          </w:p>
        </w:tc>
        <w:tc>
          <w:tcPr>
            <w:tcW w:w="8697" w:type="dxa"/>
            <w:vAlign w:val="center"/>
          </w:tcPr>
          <w:p w14:paraId="0E2B0EE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直径40，采用环保PVC，圆柱形羊角方便小朋友抓握羊角。</w:t>
            </w:r>
          </w:p>
        </w:tc>
        <w:tc>
          <w:tcPr>
            <w:tcW w:w="840" w:type="dxa"/>
            <w:vAlign w:val="center"/>
          </w:tcPr>
          <w:p w14:paraId="0250B2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930B5D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720" w:type="dxa"/>
            <w:vAlign w:val="center"/>
          </w:tcPr>
          <w:p w14:paraId="4A3AAB8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5080</wp:posOffset>
                  </wp:positionH>
                  <wp:positionV relativeFrom="paragraph">
                    <wp:posOffset>109855</wp:posOffset>
                  </wp:positionV>
                  <wp:extent cx="667385" cy="410845"/>
                  <wp:effectExtent l="0" t="0" r="3175" b="635"/>
                  <wp:wrapNone/>
                  <wp:docPr id="1101" name="ID_23754103E9D548ED997FB14A71A5BBB7"/>
                  <wp:cNvGraphicFramePr/>
                  <a:graphic xmlns:a="http://schemas.openxmlformats.org/drawingml/2006/main">
                    <a:graphicData uri="http://schemas.openxmlformats.org/drawingml/2006/picture">
                      <pic:pic xmlns:pic="http://schemas.openxmlformats.org/drawingml/2006/picture">
                        <pic:nvPicPr>
                          <pic:cNvPr id="1101" name="ID_23754103E9D548ED997FB14A71A5BBB7"/>
                          <pic:cNvPicPr/>
                        </pic:nvPicPr>
                        <pic:blipFill>
                          <a:blip r:embed="rId242"/>
                          <a:stretch>
                            <a:fillRect/>
                          </a:stretch>
                        </pic:blipFill>
                        <pic:spPr>
                          <a:xfrm>
                            <a:off x="0" y="0"/>
                            <a:ext cx="667385" cy="410845"/>
                          </a:xfrm>
                          <a:prstGeom prst="rect">
                            <a:avLst/>
                          </a:prstGeom>
                          <a:noFill/>
                          <a:ln>
                            <a:noFill/>
                          </a:ln>
                        </pic:spPr>
                      </pic:pic>
                    </a:graphicData>
                  </a:graphic>
                </wp:anchor>
              </w:drawing>
            </w:r>
          </w:p>
        </w:tc>
      </w:tr>
      <w:tr w14:paraId="07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4" w:type="dxa"/>
            <w:vAlign w:val="center"/>
          </w:tcPr>
          <w:p w14:paraId="45E663D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23</w:t>
            </w:r>
          </w:p>
        </w:tc>
        <w:tc>
          <w:tcPr>
            <w:tcW w:w="1293" w:type="dxa"/>
            <w:vAlign w:val="center"/>
          </w:tcPr>
          <w:p w14:paraId="2E55700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羊角球</w:t>
            </w:r>
          </w:p>
        </w:tc>
        <w:tc>
          <w:tcPr>
            <w:tcW w:w="8697" w:type="dxa"/>
            <w:vAlign w:val="center"/>
          </w:tcPr>
          <w:p w14:paraId="095ACC0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直径45cm，采用环保PVC，圆柱形羊角方便小朋友抓握羊角。</w:t>
            </w:r>
          </w:p>
        </w:tc>
        <w:tc>
          <w:tcPr>
            <w:tcW w:w="840" w:type="dxa"/>
            <w:vAlign w:val="center"/>
          </w:tcPr>
          <w:p w14:paraId="7083FE2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00DBF5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720" w:type="dxa"/>
            <w:vAlign w:val="center"/>
          </w:tcPr>
          <w:p w14:paraId="082C99D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5080</wp:posOffset>
                  </wp:positionH>
                  <wp:positionV relativeFrom="paragraph">
                    <wp:posOffset>99060</wp:posOffset>
                  </wp:positionV>
                  <wp:extent cx="692785" cy="447675"/>
                  <wp:effectExtent l="0" t="0" r="8255" b="9525"/>
                  <wp:wrapNone/>
                  <wp:docPr id="1103" name="ID_23754103E9D548ED997FB14A71A5BBB7_SpCnt_1"/>
                  <wp:cNvGraphicFramePr/>
                  <a:graphic xmlns:a="http://schemas.openxmlformats.org/drawingml/2006/main">
                    <a:graphicData uri="http://schemas.openxmlformats.org/drawingml/2006/picture">
                      <pic:pic xmlns:pic="http://schemas.openxmlformats.org/drawingml/2006/picture">
                        <pic:nvPicPr>
                          <pic:cNvPr id="1103" name="ID_23754103E9D548ED997FB14A71A5BBB7_SpCnt_1"/>
                          <pic:cNvPicPr/>
                        </pic:nvPicPr>
                        <pic:blipFill>
                          <a:blip r:embed="rId243"/>
                          <a:stretch>
                            <a:fillRect/>
                          </a:stretch>
                        </pic:blipFill>
                        <pic:spPr>
                          <a:xfrm>
                            <a:off x="0" y="0"/>
                            <a:ext cx="692785" cy="447675"/>
                          </a:xfrm>
                          <a:prstGeom prst="rect">
                            <a:avLst/>
                          </a:prstGeom>
                          <a:noFill/>
                          <a:ln>
                            <a:noFill/>
                          </a:ln>
                        </pic:spPr>
                      </pic:pic>
                    </a:graphicData>
                  </a:graphic>
                </wp:anchor>
              </w:drawing>
            </w:r>
          </w:p>
        </w:tc>
      </w:tr>
      <w:tr w14:paraId="223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64" w:type="dxa"/>
            <w:vAlign w:val="center"/>
          </w:tcPr>
          <w:p w14:paraId="3EF118C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24</w:t>
            </w:r>
          </w:p>
        </w:tc>
        <w:tc>
          <w:tcPr>
            <w:tcW w:w="1293" w:type="dxa"/>
            <w:vAlign w:val="center"/>
          </w:tcPr>
          <w:p w14:paraId="6D2EEB8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圆形跳格子</w:t>
            </w:r>
          </w:p>
        </w:tc>
        <w:tc>
          <w:tcPr>
            <w:tcW w:w="8697" w:type="dxa"/>
            <w:vAlign w:val="center"/>
          </w:tcPr>
          <w:p w14:paraId="02F8619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直径38cm，10圈10扣/套</w:t>
            </w:r>
          </w:p>
        </w:tc>
        <w:tc>
          <w:tcPr>
            <w:tcW w:w="840" w:type="dxa"/>
            <w:vAlign w:val="center"/>
          </w:tcPr>
          <w:p w14:paraId="1B5516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91B918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2FA58AD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25400</wp:posOffset>
                  </wp:positionH>
                  <wp:positionV relativeFrom="paragraph">
                    <wp:posOffset>-10795</wp:posOffset>
                  </wp:positionV>
                  <wp:extent cx="628650" cy="412115"/>
                  <wp:effectExtent l="0" t="0" r="11430" b="14605"/>
                  <wp:wrapNone/>
                  <wp:docPr id="1105" name="ID_55FCB5D4CA36482994135B87CE479EE2"/>
                  <wp:cNvGraphicFramePr/>
                  <a:graphic xmlns:a="http://schemas.openxmlformats.org/drawingml/2006/main">
                    <a:graphicData uri="http://schemas.openxmlformats.org/drawingml/2006/picture">
                      <pic:pic xmlns:pic="http://schemas.openxmlformats.org/drawingml/2006/picture">
                        <pic:nvPicPr>
                          <pic:cNvPr id="1105" name="ID_55FCB5D4CA36482994135B87CE479EE2"/>
                          <pic:cNvPicPr/>
                        </pic:nvPicPr>
                        <pic:blipFill>
                          <a:blip r:embed="rId244"/>
                          <a:stretch>
                            <a:fillRect/>
                          </a:stretch>
                        </pic:blipFill>
                        <pic:spPr>
                          <a:xfrm>
                            <a:off x="0" y="0"/>
                            <a:ext cx="628650" cy="412115"/>
                          </a:xfrm>
                          <a:prstGeom prst="rect">
                            <a:avLst/>
                          </a:prstGeom>
                          <a:noFill/>
                          <a:ln>
                            <a:noFill/>
                          </a:ln>
                        </pic:spPr>
                      </pic:pic>
                    </a:graphicData>
                  </a:graphic>
                </wp:anchor>
              </w:drawing>
            </w:r>
          </w:p>
        </w:tc>
      </w:tr>
      <w:tr w14:paraId="7044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A0BE18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25</w:t>
            </w:r>
          </w:p>
        </w:tc>
        <w:tc>
          <w:tcPr>
            <w:tcW w:w="1293" w:type="dxa"/>
            <w:vAlign w:val="center"/>
          </w:tcPr>
          <w:p w14:paraId="5FD491C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粘粘球衣</w:t>
            </w:r>
          </w:p>
        </w:tc>
        <w:tc>
          <w:tcPr>
            <w:tcW w:w="8697" w:type="dxa"/>
            <w:vAlign w:val="center"/>
          </w:tcPr>
          <w:p w14:paraId="1FC4A2F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规格12件套，含24个球，材质210D牛津布+优质魔术贴，双层加厚，精美包边，牢固耐穿，颜色鲜艳，多种颜色可选</w:t>
            </w:r>
          </w:p>
        </w:tc>
        <w:tc>
          <w:tcPr>
            <w:tcW w:w="840" w:type="dxa"/>
            <w:vAlign w:val="center"/>
          </w:tcPr>
          <w:p w14:paraId="336C32B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A9069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47A430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141605</wp:posOffset>
                  </wp:positionH>
                  <wp:positionV relativeFrom="paragraph">
                    <wp:posOffset>22860</wp:posOffset>
                  </wp:positionV>
                  <wp:extent cx="513715" cy="375920"/>
                  <wp:effectExtent l="0" t="0" r="4445" b="5080"/>
                  <wp:wrapNone/>
                  <wp:docPr id="1107" name="ID_118C21285ADE4EC8BBFA83C2F9B7AACF"/>
                  <wp:cNvGraphicFramePr/>
                  <a:graphic xmlns:a="http://schemas.openxmlformats.org/drawingml/2006/main">
                    <a:graphicData uri="http://schemas.openxmlformats.org/drawingml/2006/picture">
                      <pic:pic xmlns:pic="http://schemas.openxmlformats.org/drawingml/2006/picture">
                        <pic:nvPicPr>
                          <pic:cNvPr id="1107" name="ID_118C21285ADE4EC8BBFA83C2F9B7AACF"/>
                          <pic:cNvPicPr/>
                        </pic:nvPicPr>
                        <pic:blipFill>
                          <a:blip r:embed="rId245"/>
                          <a:stretch>
                            <a:fillRect/>
                          </a:stretch>
                        </pic:blipFill>
                        <pic:spPr>
                          <a:xfrm>
                            <a:off x="0" y="0"/>
                            <a:ext cx="513715" cy="375920"/>
                          </a:xfrm>
                          <a:prstGeom prst="rect">
                            <a:avLst/>
                          </a:prstGeom>
                          <a:noFill/>
                          <a:ln>
                            <a:noFill/>
                          </a:ln>
                        </pic:spPr>
                      </pic:pic>
                    </a:graphicData>
                  </a:graphic>
                </wp:anchor>
              </w:drawing>
            </w:r>
          </w:p>
        </w:tc>
      </w:tr>
      <w:tr w14:paraId="6F62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D6D62F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26</w:t>
            </w:r>
          </w:p>
        </w:tc>
        <w:tc>
          <w:tcPr>
            <w:tcW w:w="1293" w:type="dxa"/>
            <w:vAlign w:val="center"/>
          </w:tcPr>
          <w:p w14:paraId="3400D36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智趣翻翻乐组合 </w:t>
            </w:r>
          </w:p>
        </w:tc>
        <w:tc>
          <w:tcPr>
            <w:tcW w:w="8697" w:type="dxa"/>
            <w:vAlign w:val="center"/>
          </w:tcPr>
          <w:p w14:paraId="608E290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智趣翻翻乐组合 ，规格;1300*800*1700mm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采用聚乙烯工程塑料为原料，加入抗紫外线、耐风化稳定剂；采用欧洲6级标准色母，滚塑工艺一次成型。具有抗冲击性、抗UV六级以上、防静电、耐低温、耐磨性、不脆化。耐老化、色泽稳定；2，钢管采用镀锌钢管φ32mm、厚度2.5mm，焊接工艺采用C02气体保护焊。表面采用荷兰阿克苏低金属静电粉末喷涂处理，粉末喷涂材料添加抗紫外线稳定剂，达到五级抗紫外线标准，颜色保持长久鲜艳.,3、坚固件：304不锈钢材质；种类：采用半圆头内六角安全螺丝与T型平头六角螺丝。螺丝要求一般工具无法松动，可预防任意调整功能。 </w:t>
            </w:r>
          </w:p>
        </w:tc>
        <w:tc>
          <w:tcPr>
            <w:tcW w:w="840" w:type="dxa"/>
            <w:vAlign w:val="center"/>
          </w:tcPr>
          <w:p w14:paraId="6A0FB20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5EAEE93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30E0BD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-635</wp:posOffset>
                  </wp:positionH>
                  <wp:positionV relativeFrom="paragraph">
                    <wp:posOffset>408305</wp:posOffset>
                  </wp:positionV>
                  <wp:extent cx="698500" cy="638175"/>
                  <wp:effectExtent l="0" t="0" r="2540" b="1905"/>
                  <wp:wrapNone/>
                  <wp:docPr id="1109" name="ID_68605316EFA744D99DEC46651E56E509"/>
                  <wp:cNvGraphicFramePr/>
                  <a:graphic xmlns:a="http://schemas.openxmlformats.org/drawingml/2006/main">
                    <a:graphicData uri="http://schemas.openxmlformats.org/drawingml/2006/picture">
                      <pic:pic xmlns:pic="http://schemas.openxmlformats.org/drawingml/2006/picture">
                        <pic:nvPicPr>
                          <pic:cNvPr id="1109" name="ID_68605316EFA744D99DEC46651E56E509"/>
                          <pic:cNvPicPr/>
                        </pic:nvPicPr>
                        <pic:blipFill>
                          <a:blip r:embed="rId246"/>
                          <a:stretch>
                            <a:fillRect/>
                          </a:stretch>
                        </pic:blipFill>
                        <pic:spPr>
                          <a:xfrm>
                            <a:off x="0" y="0"/>
                            <a:ext cx="698500" cy="638175"/>
                          </a:xfrm>
                          <a:prstGeom prst="rect">
                            <a:avLst/>
                          </a:prstGeom>
                          <a:noFill/>
                          <a:ln>
                            <a:noFill/>
                          </a:ln>
                        </pic:spPr>
                      </pic:pic>
                    </a:graphicData>
                  </a:graphic>
                </wp:anchor>
              </w:drawing>
            </w:r>
          </w:p>
        </w:tc>
      </w:tr>
      <w:tr w14:paraId="36D6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D1BAADF">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27</w:t>
            </w:r>
          </w:p>
        </w:tc>
        <w:tc>
          <w:tcPr>
            <w:tcW w:w="1293" w:type="dxa"/>
            <w:vAlign w:val="center"/>
          </w:tcPr>
          <w:p w14:paraId="3B041CA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 xml:space="preserve">急速风火轮组合 </w:t>
            </w:r>
          </w:p>
        </w:tc>
        <w:tc>
          <w:tcPr>
            <w:tcW w:w="8697" w:type="dxa"/>
            <w:vAlign w:val="center"/>
          </w:tcPr>
          <w:p w14:paraId="7EFE25B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急速风火轮组合，规格;1300*800*1700mm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采用聚乙烯工程塑料为原料，加入抗紫外线、耐风化稳定剂；采用欧洲6级标准色母，滚塑工艺一次成型。具有抗冲击性、抗UV六级以上、防静电、耐低温、耐磨性、不脆化。耐老化、色泽稳定；2，钢管采用镀锌钢管φ32mm、厚度2.5mm，焊接工艺采用C02气体保护焊。表面采用荷兰阿克苏低金属静电粉末喷涂处理，粉末喷涂材料添加抗紫外线稳定剂，达到五级抗紫外线标准，颜色保持长久鲜艳.,3、坚固件：304不锈钢材质；种类：采用半圆头内六角安全螺丝与T型平头六角螺丝。螺丝要求一般工具无法松动，可预防任意调整功能。 </w:t>
            </w:r>
          </w:p>
        </w:tc>
        <w:tc>
          <w:tcPr>
            <w:tcW w:w="840" w:type="dxa"/>
            <w:vAlign w:val="center"/>
          </w:tcPr>
          <w:p w14:paraId="62B203B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3C28A83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FCE4CD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-24765</wp:posOffset>
                  </wp:positionH>
                  <wp:positionV relativeFrom="paragraph">
                    <wp:posOffset>488950</wp:posOffset>
                  </wp:positionV>
                  <wp:extent cx="722630" cy="719455"/>
                  <wp:effectExtent l="0" t="0" r="8890" b="12065"/>
                  <wp:wrapNone/>
                  <wp:docPr id="1111" name="ID_7DCFBCAD29414C10BE05AA8CAB42B998"/>
                  <wp:cNvGraphicFramePr/>
                  <a:graphic xmlns:a="http://schemas.openxmlformats.org/drawingml/2006/main">
                    <a:graphicData uri="http://schemas.openxmlformats.org/drawingml/2006/picture">
                      <pic:pic xmlns:pic="http://schemas.openxmlformats.org/drawingml/2006/picture">
                        <pic:nvPicPr>
                          <pic:cNvPr id="1111" name="ID_7DCFBCAD29414C10BE05AA8CAB42B998"/>
                          <pic:cNvPicPr/>
                        </pic:nvPicPr>
                        <pic:blipFill>
                          <a:blip r:embed="rId247"/>
                          <a:stretch>
                            <a:fillRect/>
                          </a:stretch>
                        </pic:blipFill>
                        <pic:spPr>
                          <a:xfrm>
                            <a:off x="0" y="0"/>
                            <a:ext cx="722630" cy="719455"/>
                          </a:xfrm>
                          <a:prstGeom prst="rect">
                            <a:avLst/>
                          </a:prstGeom>
                          <a:noFill/>
                          <a:ln>
                            <a:noFill/>
                          </a:ln>
                        </pic:spPr>
                      </pic:pic>
                    </a:graphicData>
                  </a:graphic>
                </wp:anchor>
              </w:drawing>
            </w:r>
          </w:p>
        </w:tc>
      </w:tr>
      <w:tr w14:paraId="6D1E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992131A">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28</w:t>
            </w:r>
          </w:p>
        </w:tc>
        <w:tc>
          <w:tcPr>
            <w:tcW w:w="1293" w:type="dxa"/>
            <w:vAlign w:val="center"/>
          </w:tcPr>
          <w:p w14:paraId="141D46D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投掷架A</w:t>
            </w:r>
          </w:p>
        </w:tc>
        <w:tc>
          <w:tcPr>
            <w:tcW w:w="8697" w:type="dxa"/>
            <w:vAlign w:val="center"/>
          </w:tcPr>
          <w:p w14:paraId="3E8F281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投掷架A，规格;1300*800*1700mm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采用聚乙烯工程塑料为原料，加入抗紫外线、耐风化稳定剂；采用欧洲6级标准色母，滚塑工艺一次成型。具有抗冲击性、抗UV六级以上、防静电、耐低温、耐磨性、不脆化。耐老化、色泽稳定；2，钢管采用镀锌钢管φ32mm、厚度2.5mm，焊接工艺采用C02气体保护焊。表面金属静电粉末喷涂处理，粉末喷涂材料添加抗紫外线稳定剂，颜色保持长久鲜艳.,3、坚固件：304不锈钢材质；种类：采用半圆头内六角安全螺丝与T型平头六角螺丝。螺丝要求一般工具无法松动，可预防任意调整功能。 </w:t>
            </w:r>
          </w:p>
        </w:tc>
        <w:tc>
          <w:tcPr>
            <w:tcW w:w="840" w:type="dxa"/>
            <w:vAlign w:val="center"/>
          </w:tcPr>
          <w:p w14:paraId="55E1FEE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43B5494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D0A706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-10795</wp:posOffset>
                  </wp:positionH>
                  <wp:positionV relativeFrom="paragraph">
                    <wp:posOffset>409575</wp:posOffset>
                  </wp:positionV>
                  <wp:extent cx="668020" cy="732155"/>
                  <wp:effectExtent l="0" t="0" r="2540" b="14605"/>
                  <wp:wrapNone/>
                  <wp:docPr id="1113" name="ID_E26F1775B08447058438ACB29375ECD8"/>
                  <wp:cNvGraphicFramePr/>
                  <a:graphic xmlns:a="http://schemas.openxmlformats.org/drawingml/2006/main">
                    <a:graphicData uri="http://schemas.openxmlformats.org/drawingml/2006/picture">
                      <pic:pic xmlns:pic="http://schemas.openxmlformats.org/drawingml/2006/picture">
                        <pic:nvPicPr>
                          <pic:cNvPr id="1113" name="ID_E26F1775B08447058438ACB29375ECD8"/>
                          <pic:cNvPicPr/>
                        </pic:nvPicPr>
                        <pic:blipFill>
                          <a:blip r:embed="rId248"/>
                          <a:stretch>
                            <a:fillRect/>
                          </a:stretch>
                        </pic:blipFill>
                        <pic:spPr>
                          <a:xfrm>
                            <a:off x="0" y="0"/>
                            <a:ext cx="668020" cy="732155"/>
                          </a:xfrm>
                          <a:prstGeom prst="rect">
                            <a:avLst/>
                          </a:prstGeom>
                          <a:noFill/>
                          <a:ln>
                            <a:noFill/>
                          </a:ln>
                        </pic:spPr>
                      </pic:pic>
                    </a:graphicData>
                  </a:graphic>
                </wp:anchor>
              </w:drawing>
            </w:r>
          </w:p>
        </w:tc>
      </w:tr>
      <w:tr w14:paraId="64DE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F21C6E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29</w:t>
            </w:r>
          </w:p>
        </w:tc>
        <w:tc>
          <w:tcPr>
            <w:tcW w:w="1293" w:type="dxa"/>
            <w:vAlign w:val="center"/>
          </w:tcPr>
          <w:p w14:paraId="0A4A43B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新型出租车</w:t>
            </w:r>
          </w:p>
        </w:tc>
        <w:tc>
          <w:tcPr>
            <w:tcW w:w="8697" w:type="dxa"/>
            <w:vAlign w:val="center"/>
          </w:tcPr>
          <w:p w14:paraId="23F286EB">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尺寸：115x57x60cm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料：原材料是镀锌钢管，主架钢管规格直径38MM,厚度不少于1.8mm,塑粉：环保塑粉。塑粉采用静电喷涂，经高温烘烤，整车具有良好的耐酸性能、力学性能、耐热性能，无毒等优点。座垫、脚踏用塑料注塑而成，轮子：内部用尼绒塑料，外部用TP注塑工艺而成，使车子更加有弹性和耐磨性。</w:t>
            </w:r>
          </w:p>
        </w:tc>
        <w:tc>
          <w:tcPr>
            <w:tcW w:w="840" w:type="dxa"/>
            <w:vAlign w:val="center"/>
          </w:tcPr>
          <w:p w14:paraId="7CA2890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辆</w:t>
            </w:r>
          </w:p>
        </w:tc>
        <w:tc>
          <w:tcPr>
            <w:tcW w:w="893" w:type="dxa"/>
            <w:vAlign w:val="center"/>
          </w:tcPr>
          <w:p w14:paraId="66D975B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6D6A818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55880</wp:posOffset>
                  </wp:positionH>
                  <wp:positionV relativeFrom="paragraph">
                    <wp:posOffset>182245</wp:posOffset>
                  </wp:positionV>
                  <wp:extent cx="641985" cy="511810"/>
                  <wp:effectExtent l="0" t="0" r="13335" b="6350"/>
                  <wp:wrapNone/>
                  <wp:docPr id="1115" name="ID_5DF58DDFB79C453F9C1A0457D2FFBAB4"/>
                  <wp:cNvGraphicFramePr/>
                  <a:graphic xmlns:a="http://schemas.openxmlformats.org/drawingml/2006/main">
                    <a:graphicData uri="http://schemas.openxmlformats.org/drawingml/2006/picture">
                      <pic:pic xmlns:pic="http://schemas.openxmlformats.org/drawingml/2006/picture">
                        <pic:nvPicPr>
                          <pic:cNvPr id="1115" name="ID_5DF58DDFB79C453F9C1A0457D2FFBAB4"/>
                          <pic:cNvPicPr/>
                        </pic:nvPicPr>
                        <pic:blipFill>
                          <a:blip r:embed="rId249"/>
                          <a:stretch>
                            <a:fillRect/>
                          </a:stretch>
                        </pic:blipFill>
                        <pic:spPr>
                          <a:xfrm>
                            <a:off x="0" y="0"/>
                            <a:ext cx="641985" cy="511810"/>
                          </a:xfrm>
                          <a:prstGeom prst="rect">
                            <a:avLst/>
                          </a:prstGeom>
                          <a:noFill/>
                          <a:ln>
                            <a:noFill/>
                          </a:ln>
                        </pic:spPr>
                      </pic:pic>
                    </a:graphicData>
                  </a:graphic>
                </wp:anchor>
              </w:drawing>
            </w:r>
          </w:p>
        </w:tc>
      </w:tr>
      <w:tr w14:paraId="2E2C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DDFBDD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30</w:t>
            </w:r>
          </w:p>
        </w:tc>
        <w:tc>
          <w:tcPr>
            <w:tcW w:w="1293" w:type="dxa"/>
            <w:vAlign w:val="center"/>
          </w:tcPr>
          <w:p w14:paraId="1C21829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小号三轮脚踏车</w:t>
            </w:r>
          </w:p>
        </w:tc>
        <w:tc>
          <w:tcPr>
            <w:tcW w:w="8697" w:type="dxa"/>
            <w:vAlign w:val="center"/>
          </w:tcPr>
          <w:p w14:paraId="4A2155B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尺寸：68x45x53cm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料：原材料是镀锌钢管，主架钢管规格直径38MM,厚度不少于1.8mm,塑粉：环保塑粉。塑粉采用静电喷涂，经高温烘烤，整车具有良好的耐酸性能、力学性能、耐热性能，无毒等优点。座垫、脚踏用塑料注塑而成，轮子：内部用尼绒塑料，外部用TP注塑工艺而成，使车子更加有弹性和耐磨性。</w:t>
            </w:r>
          </w:p>
        </w:tc>
        <w:tc>
          <w:tcPr>
            <w:tcW w:w="840" w:type="dxa"/>
            <w:vAlign w:val="center"/>
          </w:tcPr>
          <w:p w14:paraId="2AB8B3D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辆</w:t>
            </w:r>
          </w:p>
        </w:tc>
        <w:tc>
          <w:tcPr>
            <w:tcW w:w="893" w:type="dxa"/>
            <w:vAlign w:val="center"/>
          </w:tcPr>
          <w:p w14:paraId="6AFFBD6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387CA95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26035</wp:posOffset>
                  </wp:positionH>
                  <wp:positionV relativeFrom="paragraph">
                    <wp:posOffset>273050</wp:posOffset>
                  </wp:positionV>
                  <wp:extent cx="662305" cy="557530"/>
                  <wp:effectExtent l="0" t="0" r="8255" b="6350"/>
                  <wp:wrapNone/>
                  <wp:docPr id="1117" name="ID_6B2FC606BBD84954839BE2D4BDC70D64"/>
                  <wp:cNvGraphicFramePr/>
                  <a:graphic xmlns:a="http://schemas.openxmlformats.org/drawingml/2006/main">
                    <a:graphicData uri="http://schemas.openxmlformats.org/drawingml/2006/picture">
                      <pic:pic xmlns:pic="http://schemas.openxmlformats.org/drawingml/2006/picture">
                        <pic:nvPicPr>
                          <pic:cNvPr id="1117" name="ID_6B2FC606BBD84954839BE2D4BDC70D64"/>
                          <pic:cNvPicPr/>
                        </pic:nvPicPr>
                        <pic:blipFill>
                          <a:blip r:embed="rId250"/>
                          <a:stretch>
                            <a:fillRect/>
                          </a:stretch>
                        </pic:blipFill>
                        <pic:spPr>
                          <a:xfrm>
                            <a:off x="0" y="0"/>
                            <a:ext cx="662305" cy="557530"/>
                          </a:xfrm>
                          <a:prstGeom prst="rect">
                            <a:avLst/>
                          </a:prstGeom>
                          <a:noFill/>
                          <a:ln>
                            <a:noFill/>
                          </a:ln>
                        </pic:spPr>
                      </pic:pic>
                    </a:graphicData>
                  </a:graphic>
                </wp:anchor>
              </w:drawing>
            </w:r>
          </w:p>
        </w:tc>
      </w:tr>
      <w:tr w14:paraId="742E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664" w:type="dxa"/>
            <w:vAlign w:val="center"/>
          </w:tcPr>
          <w:p w14:paraId="0E72AD9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31</w:t>
            </w:r>
          </w:p>
        </w:tc>
        <w:tc>
          <w:tcPr>
            <w:tcW w:w="1293" w:type="dxa"/>
            <w:vAlign w:val="center"/>
          </w:tcPr>
          <w:p w14:paraId="5DE426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橙色两轮脚踏车</w:t>
            </w:r>
          </w:p>
        </w:tc>
        <w:tc>
          <w:tcPr>
            <w:tcW w:w="8697" w:type="dxa"/>
            <w:vAlign w:val="center"/>
          </w:tcPr>
          <w:p w14:paraId="6264F62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尺寸：81x58x60cm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料：原材料是镀锌钢管，主架钢管规格直径38MM,厚度不少于1.8mm,塑粉：环保塑粉。塑粉采用静电喷涂，经高温烘烤，整车具有良好的耐酸性能、力学性能、耐热性能，无毒等优点。座垫、脚踏用塑料注塑而成，轮子：内部用尼绒塑料，外部用TP注塑工艺而成，使车子更加有弹性和耐磨性。</w:t>
            </w:r>
          </w:p>
        </w:tc>
        <w:tc>
          <w:tcPr>
            <w:tcW w:w="840" w:type="dxa"/>
            <w:vAlign w:val="center"/>
          </w:tcPr>
          <w:p w14:paraId="77E627A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辆</w:t>
            </w:r>
          </w:p>
        </w:tc>
        <w:tc>
          <w:tcPr>
            <w:tcW w:w="893" w:type="dxa"/>
            <w:vAlign w:val="center"/>
          </w:tcPr>
          <w:p w14:paraId="7790E4F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68E69BF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-8890</wp:posOffset>
                  </wp:positionH>
                  <wp:positionV relativeFrom="paragraph">
                    <wp:posOffset>204470</wp:posOffset>
                  </wp:positionV>
                  <wp:extent cx="699770" cy="617220"/>
                  <wp:effectExtent l="0" t="0" r="1270" b="7620"/>
                  <wp:wrapNone/>
                  <wp:docPr id="1119" name="ID_868E13FE660C41D28AC0D22D1B74C58E"/>
                  <wp:cNvGraphicFramePr/>
                  <a:graphic xmlns:a="http://schemas.openxmlformats.org/drawingml/2006/main">
                    <a:graphicData uri="http://schemas.openxmlformats.org/drawingml/2006/picture">
                      <pic:pic xmlns:pic="http://schemas.openxmlformats.org/drawingml/2006/picture">
                        <pic:nvPicPr>
                          <pic:cNvPr id="1119" name="ID_868E13FE660C41D28AC0D22D1B74C58E"/>
                          <pic:cNvPicPr/>
                        </pic:nvPicPr>
                        <pic:blipFill>
                          <a:blip r:embed="rId251"/>
                          <a:stretch>
                            <a:fillRect/>
                          </a:stretch>
                        </pic:blipFill>
                        <pic:spPr>
                          <a:xfrm>
                            <a:off x="0" y="0"/>
                            <a:ext cx="699770" cy="617220"/>
                          </a:xfrm>
                          <a:prstGeom prst="rect">
                            <a:avLst/>
                          </a:prstGeom>
                          <a:noFill/>
                          <a:ln>
                            <a:noFill/>
                          </a:ln>
                        </pic:spPr>
                      </pic:pic>
                    </a:graphicData>
                  </a:graphic>
                </wp:anchor>
              </w:drawing>
            </w:r>
          </w:p>
        </w:tc>
      </w:tr>
      <w:tr w14:paraId="3E07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4920C4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32</w:t>
            </w:r>
          </w:p>
        </w:tc>
        <w:tc>
          <w:tcPr>
            <w:tcW w:w="1293" w:type="dxa"/>
            <w:vAlign w:val="center"/>
          </w:tcPr>
          <w:p w14:paraId="1EC8AA6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橙色皮卡车</w:t>
            </w:r>
          </w:p>
        </w:tc>
        <w:tc>
          <w:tcPr>
            <w:tcW w:w="8697" w:type="dxa"/>
            <w:vAlign w:val="center"/>
          </w:tcPr>
          <w:p w14:paraId="4FBBAE5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尺寸：101x59x61cm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料：原材料是镀锌钢管，主架钢管规格直径38MM,厚度不少于1.8mm,塑粉：环保塑粉。塑粉采用静电喷涂，经高温烘烤，整车具有良好的耐酸性能、力学性能、耐热性能，无毒等优点。座垫、脚踏用塑料注塑而成，轮子：内部用尼绒塑料，外部用TP注塑工艺而成，使车子更加有弹性和耐磨性。</w:t>
            </w:r>
          </w:p>
        </w:tc>
        <w:tc>
          <w:tcPr>
            <w:tcW w:w="840" w:type="dxa"/>
            <w:vAlign w:val="center"/>
          </w:tcPr>
          <w:p w14:paraId="6BE3319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辆</w:t>
            </w:r>
          </w:p>
        </w:tc>
        <w:tc>
          <w:tcPr>
            <w:tcW w:w="893" w:type="dxa"/>
            <w:vAlign w:val="center"/>
          </w:tcPr>
          <w:p w14:paraId="670BFBA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4AA4F3D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7620</wp:posOffset>
                  </wp:positionH>
                  <wp:positionV relativeFrom="paragraph">
                    <wp:posOffset>133350</wp:posOffset>
                  </wp:positionV>
                  <wp:extent cx="683260" cy="529590"/>
                  <wp:effectExtent l="0" t="0" r="2540" b="3810"/>
                  <wp:wrapNone/>
                  <wp:docPr id="1121" name="ID_22DADB908E5E46E2A436687F46F3AF0D"/>
                  <wp:cNvGraphicFramePr/>
                  <a:graphic xmlns:a="http://schemas.openxmlformats.org/drawingml/2006/main">
                    <a:graphicData uri="http://schemas.openxmlformats.org/drawingml/2006/picture">
                      <pic:pic xmlns:pic="http://schemas.openxmlformats.org/drawingml/2006/picture">
                        <pic:nvPicPr>
                          <pic:cNvPr id="1121" name="ID_22DADB908E5E46E2A436687F46F3AF0D"/>
                          <pic:cNvPicPr/>
                        </pic:nvPicPr>
                        <pic:blipFill>
                          <a:blip r:embed="rId252"/>
                          <a:stretch>
                            <a:fillRect/>
                          </a:stretch>
                        </pic:blipFill>
                        <pic:spPr>
                          <a:xfrm>
                            <a:off x="0" y="0"/>
                            <a:ext cx="683260" cy="529590"/>
                          </a:xfrm>
                          <a:prstGeom prst="rect">
                            <a:avLst/>
                          </a:prstGeom>
                          <a:noFill/>
                          <a:ln>
                            <a:noFill/>
                          </a:ln>
                        </pic:spPr>
                      </pic:pic>
                    </a:graphicData>
                  </a:graphic>
                </wp:anchor>
              </w:drawing>
            </w:r>
          </w:p>
        </w:tc>
      </w:tr>
      <w:tr w14:paraId="20D1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664" w:type="dxa"/>
            <w:vAlign w:val="center"/>
          </w:tcPr>
          <w:p w14:paraId="5FF638EE">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33</w:t>
            </w:r>
          </w:p>
        </w:tc>
        <w:tc>
          <w:tcPr>
            <w:tcW w:w="1293" w:type="dxa"/>
            <w:vAlign w:val="center"/>
          </w:tcPr>
          <w:p w14:paraId="03C82F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滚塑摩托车</w:t>
            </w:r>
          </w:p>
        </w:tc>
        <w:tc>
          <w:tcPr>
            <w:tcW w:w="8697" w:type="dxa"/>
            <w:vAlign w:val="center"/>
          </w:tcPr>
          <w:p w14:paraId="5CE0356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规格：58*30*40cm</w:t>
            </w:r>
          </w:p>
        </w:tc>
        <w:tc>
          <w:tcPr>
            <w:tcW w:w="840" w:type="dxa"/>
            <w:vAlign w:val="center"/>
          </w:tcPr>
          <w:p w14:paraId="08A5A50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辆</w:t>
            </w:r>
          </w:p>
        </w:tc>
        <w:tc>
          <w:tcPr>
            <w:tcW w:w="893" w:type="dxa"/>
            <w:vAlign w:val="center"/>
          </w:tcPr>
          <w:p w14:paraId="7B55148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381EADC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7620</wp:posOffset>
                  </wp:positionH>
                  <wp:positionV relativeFrom="paragraph">
                    <wp:posOffset>73025</wp:posOffset>
                  </wp:positionV>
                  <wp:extent cx="676910" cy="466725"/>
                  <wp:effectExtent l="0" t="0" r="8890" b="5715"/>
                  <wp:wrapNone/>
                  <wp:docPr id="1123" name="ID_8FB2457D78C84A3D886D18FF554B719B"/>
                  <wp:cNvGraphicFramePr/>
                  <a:graphic xmlns:a="http://schemas.openxmlformats.org/drawingml/2006/main">
                    <a:graphicData uri="http://schemas.openxmlformats.org/drawingml/2006/picture">
                      <pic:pic xmlns:pic="http://schemas.openxmlformats.org/drawingml/2006/picture">
                        <pic:nvPicPr>
                          <pic:cNvPr id="1123" name="ID_8FB2457D78C84A3D886D18FF554B719B"/>
                          <pic:cNvPicPr/>
                        </pic:nvPicPr>
                        <pic:blipFill>
                          <a:blip r:embed="rId253"/>
                          <a:stretch>
                            <a:fillRect/>
                          </a:stretch>
                        </pic:blipFill>
                        <pic:spPr>
                          <a:xfrm>
                            <a:off x="0" y="0"/>
                            <a:ext cx="676910" cy="466725"/>
                          </a:xfrm>
                          <a:prstGeom prst="rect">
                            <a:avLst/>
                          </a:prstGeom>
                          <a:noFill/>
                          <a:ln>
                            <a:noFill/>
                          </a:ln>
                        </pic:spPr>
                      </pic:pic>
                    </a:graphicData>
                  </a:graphic>
                </wp:anchor>
              </w:drawing>
            </w:r>
          </w:p>
        </w:tc>
      </w:tr>
      <w:tr w14:paraId="2574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64" w:type="dxa"/>
            <w:vAlign w:val="center"/>
          </w:tcPr>
          <w:p w14:paraId="064414AB">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34</w:t>
            </w:r>
          </w:p>
        </w:tc>
        <w:tc>
          <w:tcPr>
            <w:tcW w:w="1293" w:type="dxa"/>
            <w:vAlign w:val="center"/>
          </w:tcPr>
          <w:p w14:paraId="432C1DD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滚塑小猪佩奇</w:t>
            </w:r>
          </w:p>
        </w:tc>
        <w:tc>
          <w:tcPr>
            <w:tcW w:w="8697" w:type="dxa"/>
            <w:vAlign w:val="center"/>
          </w:tcPr>
          <w:p w14:paraId="7270BF1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规格：105*25*53cm</w:t>
            </w:r>
          </w:p>
        </w:tc>
        <w:tc>
          <w:tcPr>
            <w:tcW w:w="840" w:type="dxa"/>
            <w:vAlign w:val="center"/>
          </w:tcPr>
          <w:p w14:paraId="7458AEE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辆</w:t>
            </w:r>
          </w:p>
        </w:tc>
        <w:tc>
          <w:tcPr>
            <w:tcW w:w="893" w:type="dxa"/>
            <w:vAlign w:val="center"/>
          </w:tcPr>
          <w:p w14:paraId="58934AF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745A026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6985</wp:posOffset>
                  </wp:positionH>
                  <wp:positionV relativeFrom="paragraph">
                    <wp:posOffset>33020</wp:posOffset>
                  </wp:positionV>
                  <wp:extent cx="677545" cy="344805"/>
                  <wp:effectExtent l="0" t="0" r="8255" b="5715"/>
                  <wp:wrapNone/>
                  <wp:docPr id="1125" name="ID_141290732C7746B0919347F10F42F5A0"/>
                  <wp:cNvGraphicFramePr/>
                  <a:graphic xmlns:a="http://schemas.openxmlformats.org/drawingml/2006/main">
                    <a:graphicData uri="http://schemas.openxmlformats.org/drawingml/2006/picture">
                      <pic:pic xmlns:pic="http://schemas.openxmlformats.org/drawingml/2006/picture">
                        <pic:nvPicPr>
                          <pic:cNvPr id="1125" name="ID_141290732C7746B0919347F10F42F5A0"/>
                          <pic:cNvPicPr/>
                        </pic:nvPicPr>
                        <pic:blipFill>
                          <a:blip r:embed="rId254"/>
                          <a:stretch>
                            <a:fillRect/>
                          </a:stretch>
                        </pic:blipFill>
                        <pic:spPr>
                          <a:xfrm>
                            <a:off x="0" y="0"/>
                            <a:ext cx="677545" cy="344805"/>
                          </a:xfrm>
                          <a:prstGeom prst="rect">
                            <a:avLst/>
                          </a:prstGeom>
                          <a:noFill/>
                          <a:ln>
                            <a:noFill/>
                          </a:ln>
                        </pic:spPr>
                      </pic:pic>
                    </a:graphicData>
                  </a:graphic>
                </wp:anchor>
              </w:drawing>
            </w:r>
          </w:p>
        </w:tc>
      </w:tr>
      <w:tr w14:paraId="5EFC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64" w:type="dxa"/>
            <w:vAlign w:val="center"/>
          </w:tcPr>
          <w:p w14:paraId="0C6A9A7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35</w:t>
            </w:r>
          </w:p>
        </w:tc>
        <w:tc>
          <w:tcPr>
            <w:tcW w:w="1293" w:type="dxa"/>
            <w:vAlign w:val="center"/>
          </w:tcPr>
          <w:p w14:paraId="30BED5B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大号铲子</w:t>
            </w:r>
          </w:p>
        </w:tc>
        <w:tc>
          <w:tcPr>
            <w:tcW w:w="8697" w:type="dxa"/>
            <w:vAlign w:val="center"/>
          </w:tcPr>
          <w:p w14:paraId="48893F2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49.7*11*3cm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w:t>
            </w:r>
          </w:p>
        </w:tc>
        <w:tc>
          <w:tcPr>
            <w:tcW w:w="840" w:type="dxa"/>
            <w:vAlign w:val="center"/>
          </w:tcPr>
          <w:p w14:paraId="753A5F6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F51DBC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3A8338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12065</wp:posOffset>
                  </wp:positionH>
                  <wp:positionV relativeFrom="paragraph">
                    <wp:posOffset>80645</wp:posOffset>
                  </wp:positionV>
                  <wp:extent cx="673735" cy="403225"/>
                  <wp:effectExtent l="0" t="0" r="12065" b="8255"/>
                  <wp:wrapNone/>
                  <wp:docPr id="1127" name="ID_EB0C4358A0A841749C9F442D5A647DA3"/>
                  <wp:cNvGraphicFramePr/>
                  <a:graphic xmlns:a="http://schemas.openxmlformats.org/drawingml/2006/main">
                    <a:graphicData uri="http://schemas.openxmlformats.org/drawingml/2006/picture">
                      <pic:pic xmlns:pic="http://schemas.openxmlformats.org/drawingml/2006/picture">
                        <pic:nvPicPr>
                          <pic:cNvPr id="1127" name="ID_EB0C4358A0A841749C9F442D5A647DA3"/>
                          <pic:cNvPicPr/>
                        </pic:nvPicPr>
                        <pic:blipFill>
                          <a:blip r:embed="rId255"/>
                          <a:stretch>
                            <a:fillRect/>
                          </a:stretch>
                        </pic:blipFill>
                        <pic:spPr>
                          <a:xfrm>
                            <a:off x="0" y="0"/>
                            <a:ext cx="673735" cy="403225"/>
                          </a:xfrm>
                          <a:prstGeom prst="rect">
                            <a:avLst/>
                          </a:prstGeom>
                          <a:noFill/>
                          <a:ln>
                            <a:noFill/>
                          </a:ln>
                        </pic:spPr>
                      </pic:pic>
                    </a:graphicData>
                  </a:graphic>
                </wp:anchor>
              </w:drawing>
            </w:r>
          </w:p>
        </w:tc>
      </w:tr>
      <w:tr w14:paraId="389B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64" w:type="dxa"/>
            <w:vAlign w:val="center"/>
          </w:tcPr>
          <w:p w14:paraId="435EA86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36</w:t>
            </w:r>
          </w:p>
        </w:tc>
        <w:tc>
          <w:tcPr>
            <w:tcW w:w="1293" w:type="dxa"/>
            <w:vAlign w:val="center"/>
          </w:tcPr>
          <w:p w14:paraId="1E4DDF5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中号铲子</w:t>
            </w:r>
          </w:p>
        </w:tc>
        <w:tc>
          <w:tcPr>
            <w:tcW w:w="8697" w:type="dxa"/>
            <w:vAlign w:val="center"/>
          </w:tcPr>
          <w:p w14:paraId="751F441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31.8*9*3cm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w:t>
            </w:r>
          </w:p>
        </w:tc>
        <w:tc>
          <w:tcPr>
            <w:tcW w:w="840" w:type="dxa"/>
            <w:vAlign w:val="center"/>
          </w:tcPr>
          <w:p w14:paraId="42580B8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703F2A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4406BB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12065</wp:posOffset>
                  </wp:positionH>
                  <wp:positionV relativeFrom="paragraph">
                    <wp:posOffset>-74930</wp:posOffset>
                  </wp:positionV>
                  <wp:extent cx="675640" cy="411480"/>
                  <wp:effectExtent l="0" t="0" r="10160" b="0"/>
                  <wp:wrapNone/>
                  <wp:docPr id="1129" name="ID_E1F010946B374330B5BA8852CCA45596"/>
                  <wp:cNvGraphicFramePr/>
                  <a:graphic xmlns:a="http://schemas.openxmlformats.org/drawingml/2006/main">
                    <a:graphicData uri="http://schemas.openxmlformats.org/drawingml/2006/picture">
                      <pic:pic xmlns:pic="http://schemas.openxmlformats.org/drawingml/2006/picture">
                        <pic:nvPicPr>
                          <pic:cNvPr id="1129" name="ID_E1F010946B374330B5BA8852CCA45596"/>
                          <pic:cNvPicPr/>
                        </pic:nvPicPr>
                        <pic:blipFill>
                          <a:blip r:embed="rId256"/>
                          <a:stretch>
                            <a:fillRect/>
                          </a:stretch>
                        </pic:blipFill>
                        <pic:spPr>
                          <a:xfrm>
                            <a:off x="0" y="0"/>
                            <a:ext cx="675640" cy="411480"/>
                          </a:xfrm>
                          <a:prstGeom prst="rect">
                            <a:avLst/>
                          </a:prstGeom>
                          <a:noFill/>
                          <a:ln>
                            <a:noFill/>
                          </a:ln>
                        </pic:spPr>
                      </pic:pic>
                    </a:graphicData>
                  </a:graphic>
                </wp:anchor>
              </w:drawing>
            </w:r>
          </w:p>
        </w:tc>
      </w:tr>
      <w:tr w14:paraId="119D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664" w:type="dxa"/>
            <w:vAlign w:val="center"/>
          </w:tcPr>
          <w:p w14:paraId="2C0FB57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37</w:t>
            </w:r>
          </w:p>
        </w:tc>
        <w:tc>
          <w:tcPr>
            <w:tcW w:w="1293" w:type="dxa"/>
            <w:vAlign w:val="center"/>
          </w:tcPr>
          <w:p w14:paraId="50411E5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沙模</w:t>
            </w:r>
          </w:p>
        </w:tc>
        <w:tc>
          <w:tcPr>
            <w:tcW w:w="8697" w:type="dxa"/>
            <w:vAlign w:val="center"/>
          </w:tcPr>
          <w:p w14:paraId="5016C1A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12件套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w:t>
            </w:r>
          </w:p>
        </w:tc>
        <w:tc>
          <w:tcPr>
            <w:tcW w:w="840" w:type="dxa"/>
            <w:vAlign w:val="center"/>
          </w:tcPr>
          <w:p w14:paraId="50B87F8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48C5F0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C76DF3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27305</wp:posOffset>
                  </wp:positionH>
                  <wp:positionV relativeFrom="paragraph">
                    <wp:posOffset>52070</wp:posOffset>
                  </wp:positionV>
                  <wp:extent cx="664210" cy="454025"/>
                  <wp:effectExtent l="0" t="0" r="6350" b="3175"/>
                  <wp:wrapNone/>
                  <wp:docPr id="1131" name="ID_34DF5BEF65EA4D1C8D2D6280849FBE58"/>
                  <wp:cNvGraphicFramePr/>
                  <a:graphic xmlns:a="http://schemas.openxmlformats.org/drawingml/2006/main">
                    <a:graphicData uri="http://schemas.openxmlformats.org/drawingml/2006/picture">
                      <pic:pic xmlns:pic="http://schemas.openxmlformats.org/drawingml/2006/picture">
                        <pic:nvPicPr>
                          <pic:cNvPr id="1131" name="ID_34DF5BEF65EA4D1C8D2D6280849FBE58"/>
                          <pic:cNvPicPr/>
                        </pic:nvPicPr>
                        <pic:blipFill>
                          <a:blip r:embed="rId257"/>
                          <a:stretch>
                            <a:fillRect/>
                          </a:stretch>
                        </pic:blipFill>
                        <pic:spPr>
                          <a:xfrm>
                            <a:off x="0" y="0"/>
                            <a:ext cx="664210" cy="454025"/>
                          </a:xfrm>
                          <a:prstGeom prst="rect">
                            <a:avLst/>
                          </a:prstGeom>
                          <a:noFill/>
                          <a:ln>
                            <a:noFill/>
                          </a:ln>
                        </pic:spPr>
                      </pic:pic>
                    </a:graphicData>
                  </a:graphic>
                </wp:anchor>
              </w:drawing>
            </w:r>
          </w:p>
        </w:tc>
      </w:tr>
      <w:tr w14:paraId="386A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64" w:type="dxa"/>
            <w:vAlign w:val="center"/>
          </w:tcPr>
          <w:p w14:paraId="7FFE932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38</w:t>
            </w:r>
          </w:p>
        </w:tc>
        <w:tc>
          <w:tcPr>
            <w:tcW w:w="1293" w:type="dxa"/>
            <w:vAlign w:val="center"/>
          </w:tcPr>
          <w:p w14:paraId="40239E6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冰淇淋套装</w:t>
            </w:r>
          </w:p>
        </w:tc>
        <w:tc>
          <w:tcPr>
            <w:tcW w:w="8697" w:type="dxa"/>
            <w:vAlign w:val="center"/>
          </w:tcPr>
          <w:p w14:paraId="24CF594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7件套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w:t>
            </w:r>
          </w:p>
        </w:tc>
        <w:tc>
          <w:tcPr>
            <w:tcW w:w="840" w:type="dxa"/>
            <w:vAlign w:val="center"/>
          </w:tcPr>
          <w:p w14:paraId="547266C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5DB6C06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CA6A53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-6350</wp:posOffset>
                  </wp:positionH>
                  <wp:positionV relativeFrom="paragraph">
                    <wp:posOffset>-48895</wp:posOffset>
                  </wp:positionV>
                  <wp:extent cx="697865" cy="395605"/>
                  <wp:effectExtent l="0" t="0" r="3175" b="635"/>
                  <wp:wrapNone/>
                  <wp:docPr id="1133" name="ID_0BB259E49B4B403B966785E35585E0AA"/>
                  <wp:cNvGraphicFramePr/>
                  <a:graphic xmlns:a="http://schemas.openxmlformats.org/drawingml/2006/main">
                    <a:graphicData uri="http://schemas.openxmlformats.org/drawingml/2006/picture">
                      <pic:pic xmlns:pic="http://schemas.openxmlformats.org/drawingml/2006/picture">
                        <pic:nvPicPr>
                          <pic:cNvPr id="1133" name="ID_0BB259E49B4B403B966785E35585E0AA"/>
                          <pic:cNvPicPr/>
                        </pic:nvPicPr>
                        <pic:blipFill>
                          <a:blip r:embed="rId258"/>
                          <a:stretch>
                            <a:fillRect/>
                          </a:stretch>
                        </pic:blipFill>
                        <pic:spPr>
                          <a:xfrm>
                            <a:off x="0" y="0"/>
                            <a:ext cx="697865" cy="395605"/>
                          </a:xfrm>
                          <a:prstGeom prst="rect">
                            <a:avLst/>
                          </a:prstGeom>
                          <a:noFill/>
                          <a:ln>
                            <a:noFill/>
                          </a:ln>
                        </pic:spPr>
                      </pic:pic>
                    </a:graphicData>
                  </a:graphic>
                </wp:anchor>
              </w:drawing>
            </w:r>
          </w:p>
        </w:tc>
      </w:tr>
      <w:tr w14:paraId="78EC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664" w:type="dxa"/>
            <w:vAlign w:val="center"/>
          </w:tcPr>
          <w:p w14:paraId="315A863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39</w:t>
            </w:r>
          </w:p>
        </w:tc>
        <w:tc>
          <w:tcPr>
            <w:tcW w:w="1293" w:type="dxa"/>
            <w:vAlign w:val="center"/>
          </w:tcPr>
          <w:p w14:paraId="2B92DCE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恐龙沙模</w:t>
            </w:r>
          </w:p>
        </w:tc>
        <w:tc>
          <w:tcPr>
            <w:tcW w:w="8697" w:type="dxa"/>
            <w:vAlign w:val="center"/>
          </w:tcPr>
          <w:p w14:paraId="65AE518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4件套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w:t>
            </w:r>
          </w:p>
        </w:tc>
        <w:tc>
          <w:tcPr>
            <w:tcW w:w="840" w:type="dxa"/>
            <w:vAlign w:val="center"/>
          </w:tcPr>
          <w:p w14:paraId="6681852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3F48D46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FAD42E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-5715</wp:posOffset>
                  </wp:positionH>
                  <wp:positionV relativeFrom="paragraph">
                    <wp:posOffset>73660</wp:posOffset>
                  </wp:positionV>
                  <wp:extent cx="697230" cy="427355"/>
                  <wp:effectExtent l="0" t="0" r="3810" b="14605"/>
                  <wp:wrapNone/>
                  <wp:docPr id="1135" name="ID_AB81585CBBAF4449BDAE85086D70C644"/>
                  <wp:cNvGraphicFramePr/>
                  <a:graphic xmlns:a="http://schemas.openxmlformats.org/drawingml/2006/main">
                    <a:graphicData uri="http://schemas.openxmlformats.org/drawingml/2006/picture">
                      <pic:pic xmlns:pic="http://schemas.openxmlformats.org/drawingml/2006/picture">
                        <pic:nvPicPr>
                          <pic:cNvPr id="1135" name="ID_AB81585CBBAF4449BDAE85086D70C644"/>
                          <pic:cNvPicPr/>
                        </pic:nvPicPr>
                        <pic:blipFill>
                          <a:blip r:embed="rId259"/>
                          <a:stretch>
                            <a:fillRect/>
                          </a:stretch>
                        </pic:blipFill>
                        <pic:spPr>
                          <a:xfrm>
                            <a:off x="0" y="0"/>
                            <a:ext cx="697230" cy="427355"/>
                          </a:xfrm>
                          <a:prstGeom prst="rect">
                            <a:avLst/>
                          </a:prstGeom>
                          <a:noFill/>
                          <a:ln>
                            <a:noFill/>
                          </a:ln>
                        </pic:spPr>
                      </pic:pic>
                    </a:graphicData>
                  </a:graphic>
                </wp:anchor>
              </w:drawing>
            </w:r>
          </w:p>
        </w:tc>
      </w:tr>
      <w:tr w14:paraId="5771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64" w:type="dxa"/>
            <w:vAlign w:val="center"/>
          </w:tcPr>
          <w:p w14:paraId="2336E24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40</w:t>
            </w:r>
          </w:p>
        </w:tc>
        <w:tc>
          <w:tcPr>
            <w:tcW w:w="1293" w:type="dxa"/>
            <w:vAlign w:val="center"/>
          </w:tcPr>
          <w:p w14:paraId="2810B90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玩水玩沙服</w:t>
            </w:r>
          </w:p>
        </w:tc>
        <w:tc>
          <w:tcPr>
            <w:tcW w:w="8697" w:type="dxa"/>
            <w:vAlign w:val="center"/>
          </w:tcPr>
          <w:p w14:paraId="05DE3615">
            <w:pPr>
              <w:jc w:val="left"/>
              <w:rPr>
                <w:rFonts w:hint="eastAsia" w:ascii="宋体" w:hAnsi="宋体" w:eastAsia="宋体" w:cs="宋体"/>
                <w:b/>
                <w:color w:val="auto"/>
                <w:kern w:val="2"/>
                <w:sz w:val="21"/>
                <w:szCs w:val="21"/>
                <w:vertAlign w:val="baseline"/>
                <w:lang w:val="en-US" w:eastAsia="zh-CN" w:bidi="ar-SA"/>
              </w:rPr>
            </w:pPr>
          </w:p>
        </w:tc>
        <w:tc>
          <w:tcPr>
            <w:tcW w:w="840" w:type="dxa"/>
            <w:vAlign w:val="center"/>
          </w:tcPr>
          <w:p w14:paraId="701D717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710654D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1720" w:type="dxa"/>
            <w:vAlign w:val="center"/>
          </w:tcPr>
          <w:p w14:paraId="5C52D3F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22860</wp:posOffset>
                  </wp:positionH>
                  <wp:positionV relativeFrom="paragraph">
                    <wp:posOffset>95250</wp:posOffset>
                  </wp:positionV>
                  <wp:extent cx="661670" cy="386715"/>
                  <wp:effectExtent l="0" t="0" r="8890" b="9525"/>
                  <wp:wrapNone/>
                  <wp:docPr id="1137" name="图片_1"/>
                  <wp:cNvGraphicFramePr/>
                  <a:graphic xmlns:a="http://schemas.openxmlformats.org/drawingml/2006/main">
                    <a:graphicData uri="http://schemas.openxmlformats.org/drawingml/2006/picture">
                      <pic:pic xmlns:pic="http://schemas.openxmlformats.org/drawingml/2006/picture">
                        <pic:nvPicPr>
                          <pic:cNvPr id="1137" name="图片_1"/>
                          <pic:cNvPicPr/>
                        </pic:nvPicPr>
                        <pic:blipFill>
                          <a:blip r:embed="rId260"/>
                          <a:stretch>
                            <a:fillRect/>
                          </a:stretch>
                        </pic:blipFill>
                        <pic:spPr>
                          <a:xfrm>
                            <a:off x="0" y="0"/>
                            <a:ext cx="661670" cy="386715"/>
                          </a:xfrm>
                          <a:prstGeom prst="rect">
                            <a:avLst/>
                          </a:prstGeom>
                          <a:noFill/>
                          <a:ln>
                            <a:noFill/>
                          </a:ln>
                        </pic:spPr>
                      </pic:pic>
                    </a:graphicData>
                  </a:graphic>
                </wp:anchor>
              </w:drawing>
            </w:r>
          </w:p>
        </w:tc>
      </w:tr>
      <w:tr w14:paraId="7D93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61DC8B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color w:val="auto"/>
                <w:sz w:val="21"/>
                <w:szCs w:val="21"/>
                <w:lang w:val="en-US" w:eastAsia="zh-CN"/>
              </w:rPr>
              <w:t>41</w:t>
            </w:r>
          </w:p>
        </w:tc>
        <w:tc>
          <w:tcPr>
            <w:tcW w:w="1293" w:type="dxa"/>
            <w:vAlign w:val="center"/>
          </w:tcPr>
          <w:p w14:paraId="3FE90ED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大型磁力思维积木（旗舰版）</w:t>
            </w:r>
          </w:p>
        </w:tc>
        <w:tc>
          <w:tcPr>
            <w:tcW w:w="8697" w:type="dxa"/>
            <w:vAlign w:val="center"/>
          </w:tcPr>
          <w:p w14:paraId="6CF0BE4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配件数量：907件（其中主件644件，操作卡片263）</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装箱数：36箱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主体材质：EPP、ABS、EVA</w:t>
            </w:r>
            <w:r>
              <w:rPr>
                <w:rFonts w:hint="eastAsia" w:ascii="宋体" w:hAnsi="宋体" w:eastAsia="宋体" w:cs="宋体"/>
                <w:i w:val="0"/>
                <w:iCs w:val="0"/>
                <w:color w:val="auto"/>
                <w:kern w:val="0"/>
                <w:sz w:val="21"/>
                <w:szCs w:val="21"/>
                <w:u w:val="none"/>
                <w:lang w:val="en-US" w:eastAsia="zh-CN" w:bidi="ar"/>
              </w:rPr>
              <w:br w:type="textWrapping"/>
            </w:r>
            <w:r>
              <w:rPr>
                <w:rFonts w:hint="eastAsia" w:ascii="微软雅黑" w:hAnsi="微软雅黑" w:eastAsia="微软雅黑" w:cs="微软雅黑"/>
                <w:i w:val="0"/>
                <w:iCs w:val="0"/>
                <w:color w:val="auto"/>
                <w:kern w:val="0"/>
                <w:sz w:val="21"/>
                <w:szCs w:val="21"/>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6652260</wp:posOffset>
                  </wp:positionH>
                  <wp:positionV relativeFrom="paragraph">
                    <wp:posOffset>657225</wp:posOffset>
                  </wp:positionV>
                  <wp:extent cx="959485" cy="742315"/>
                  <wp:effectExtent l="0" t="0" r="635" b="4445"/>
                  <wp:wrapNone/>
                  <wp:docPr id="1139" name="图片_5"/>
                  <wp:cNvGraphicFramePr/>
                  <a:graphic xmlns:a="http://schemas.openxmlformats.org/drawingml/2006/main">
                    <a:graphicData uri="http://schemas.openxmlformats.org/drawingml/2006/picture">
                      <pic:pic xmlns:pic="http://schemas.openxmlformats.org/drawingml/2006/picture">
                        <pic:nvPicPr>
                          <pic:cNvPr id="1139" name="图片_5"/>
                          <pic:cNvPicPr/>
                        </pic:nvPicPr>
                        <pic:blipFill>
                          <a:blip r:embed="rId261"/>
                          <a:stretch>
                            <a:fillRect/>
                          </a:stretch>
                        </pic:blipFill>
                        <pic:spPr>
                          <a:xfrm>
                            <a:off x="0" y="0"/>
                            <a:ext cx="959485" cy="74231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主要配件：大型磁力积木、辅助游戏材料、移动组合材料、游戏卡片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应用场景：幼儿园户外自主游戏区、建构区、主题游戏区；室内公共区域、主题活动室、音乐厅等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产品特点：1、基于“零起点·</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发展”的理念，益咕·</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世界在开放、融合、多样、</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效的室内外多场景环创与游戏空间的</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案下，辅以轻便、 灵活、动态的</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型磁</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思维积</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，通过“</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套材料、千种游戏、万种玩法”，让</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童浸润在美育、情境、游戏三者整合的动态“</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世界”</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，进</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持续地探索、合作与创造，</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持每位</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童的完整发展，以及对环境与</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身从混沌状态到美好状态的转变，</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发出独特的</w:t>
            </w:r>
            <w:r>
              <w:rPr>
                <w:rStyle w:val="80"/>
                <w:rFonts w:hint="eastAsia" w:ascii="宋体" w:hAnsi="宋体" w:eastAsia="宋体" w:cs="宋体"/>
                <w:color w:val="auto"/>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情怀与审美素养。2、材料本身采用食品级EPP和高性能ABS材料打造，环保绿色无毒，材质轻便，孩子可自主收纳，耐脏易洗，一冲即净。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教辅材料：《益咕|大世界—教师指导手册》、《建构游戏图卡》、《规则游戏图卡》、《运动游戏图卡》</w:t>
            </w:r>
          </w:p>
        </w:tc>
        <w:tc>
          <w:tcPr>
            <w:tcW w:w="840" w:type="dxa"/>
            <w:vAlign w:val="center"/>
          </w:tcPr>
          <w:p w14:paraId="26F4855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0A44F7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95D584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2328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2CCE124">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42</w:t>
            </w:r>
          </w:p>
        </w:tc>
        <w:tc>
          <w:tcPr>
            <w:tcW w:w="1293" w:type="dxa"/>
            <w:vAlign w:val="center"/>
          </w:tcPr>
          <w:p w14:paraId="7DD836C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866件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户外碳化大积木</w:t>
            </w:r>
          </w:p>
        </w:tc>
        <w:tc>
          <w:tcPr>
            <w:tcW w:w="8697" w:type="dxa"/>
            <w:vAlign w:val="center"/>
          </w:tcPr>
          <w:p w14:paraId="5F283DE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866碳化积木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最长尺寸120*10*2.5； 共（23）个形状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参数表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积木种类 尺寸（CM） 材质 质量标准 "866片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碳化+水性清漆；面漆/底漆采用绿色环保水性漆，经全自动油漆喷涂/滚涂生产线。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材质：松木。边缘抛圆处理，外表面和内表面以及儿童可触及的隐蔽处，均没有锐利的棱角、毛刺等露出的锐利尖锐。木材含水率和甲醛释放量符合GB6675-2014、GB/T22048-2015、GB 18581-2020 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配置表"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网络版866碳化积木      </w:t>
            </w:r>
          </w:p>
          <w:p w14:paraId="20782F9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积木种类 长CM 宽CM  高CM 材质 质量标准 866</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2.正方形 10 10 5 新西兰松 碳化+ 水性清漆 260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3.正方形 10 10 2.5 新西兰松 碳化+ 水性清漆 260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4.长方形 20 10 5 新西兰松 碳化+ 水性清漆 45</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5.长方形 20 10 2.5 新西兰松 碳化+ 水性清漆 120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长方形 10 5 5 新西兰松 碳化+ 水性清漆 30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6.长方形 40 10 2.5 新西兰松 碳化+ 水性清漆 12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7.长方形 60 10 2.5 新西兰松 碳化+ 水性清漆 12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8.长方形（开槽） 60 10 2.5 新西兰松 碳化+ 水性清漆 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9.长方形（开槽） 80 10 2.5 新西兰松 碳化+ 水性清漆 10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长方形（开槽） 120 10 2.5 新西兰松 碳化+水性清漆 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10.三角形 39 20 2.5 新西兰松 碳化+ 水性清漆 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11.直角三角形 40 20 2.5 新西兰松 碳化+水性清漆 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12.圆柱积木 10 10 20 新西兰松 碳化+ 水性清漆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13.圆柱积木 10 10 40 新西兰松 碳化+ 水性清漆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14.圆柱积木 5 5 10 新西兰松 碳化+ 水性清漆 72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15.圆柱积木 5 5 20 新西兰松 碳化+ 水性清漆 15</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16.圆柱积木 5 5 40 新西兰松 碳化+ 水性清漆 10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17.半圆环积木 30 15 2.5 新西兰松 碳化+ 水性清漆 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18.半圆积木 20 10 2.5 新西兰松 碳化+ 水性清漆 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19.四分之一圆环积木 42 15 2.5 新西兰松 碳化+ 水性清漆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20.扇形积木 20 20 2.5 新西兰松 碳化+ 水性清漆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21.Y型 60 30 2.5 新西兰松 碳化+ 水性清漆 1</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22.三叉路 42 30 2.5 新西兰松 碳化+ 水性清漆 1</w:t>
            </w:r>
          </w:p>
        </w:tc>
        <w:tc>
          <w:tcPr>
            <w:tcW w:w="840" w:type="dxa"/>
            <w:vAlign w:val="center"/>
          </w:tcPr>
          <w:p w14:paraId="3EAE05E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14997F7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9DEA7B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29210</wp:posOffset>
                  </wp:positionH>
                  <wp:positionV relativeFrom="paragraph">
                    <wp:posOffset>1089025</wp:posOffset>
                  </wp:positionV>
                  <wp:extent cx="666750" cy="527685"/>
                  <wp:effectExtent l="0" t="0" r="3810" b="5715"/>
                  <wp:wrapNone/>
                  <wp:docPr id="1141" name="图片_2"/>
                  <wp:cNvGraphicFramePr/>
                  <a:graphic xmlns:a="http://schemas.openxmlformats.org/drawingml/2006/main">
                    <a:graphicData uri="http://schemas.openxmlformats.org/drawingml/2006/picture">
                      <pic:pic xmlns:pic="http://schemas.openxmlformats.org/drawingml/2006/picture">
                        <pic:nvPicPr>
                          <pic:cNvPr id="1141" name="图片_2"/>
                          <pic:cNvPicPr/>
                        </pic:nvPicPr>
                        <pic:blipFill>
                          <a:blip r:embed="rId262"/>
                          <a:stretch>
                            <a:fillRect/>
                          </a:stretch>
                        </pic:blipFill>
                        <pic:spPr>
                          <a:xfrm>
                            <a:off x="0" y="0"/>
                            <a:ext cx="666750" cy="527685"/>
                          </a:xfrm>
                          <a:prstGeom prst="rect">
                            <a:avLst/>
                          </a:prstGeom>
                          <a:noFill/>
                          <a:ln>
                            <a:noFill/>
                          </a:ln>
                        </pic:spPr>
                      </pic:pic>
                    </a:graphicData>
                  </a:graphic>
                </wp:anchor>
              </w:drawing>
            </w:r>
          </w:p>
        </w:tc>
      </w:tr>
      <w:tr w14:paraId="4235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F478021">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43</w:t>
            </w:r>
          </w:p>
        </w:tc>
        <w:tc>
          <w:tcPr>
            <w:tcW w:w="1293" w:type="dxa"/>
            <w:vAlign w:val="center"/>
          </w:tcPr>
          <w:p w14:paraId="226C5E4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趣搭积木游戏套装</w:t>
            </w:r>
          </w:p>
        </w:tc>
        <w:tc>
          <w:tcPr>
            <w:tcW w:w="8697" w:type="dxa"/>
            <w:vAlign w:val="center"/>
          </w:tcPr>
          <w:p w14:paraId="61215CC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1.主体材质：微晶木、ABS、PP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2.配件数量：865件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3.教辅数量：9册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游戏材料：方砖积木（1x1方砖、1x2方砖）、板状积木（1x1单元板、1x2单元板、1x3单元板、1x4单元板）、块状积木（1/2单元块、1x1单元块、1x2单元块、1x3单元块、1x4单元块、2x1单元块、2x2单元块）、三角积木（1x1三角块、2x2三角块、1x2三角块）、异形积木（2x2L型、2x3L型、2x3凸型/1x3拱形）、圆弧积木（1x1扇形、1x2半圆形、连接管）、圆管积木（D38组合管280 咖啡（C版）、D38组合管400 咖啡（C版）、D38组合管520 咖啡（C版）、中号端盖　咖啡（新）、中号连接器包胶球　咖啡/白边（新））、传动积木（自主游戏车后轮（中号）、中号滑轮　咖啡（新））、场景积木（方形印刷牌、圆形印刷牌、八边形印刷牌、游戏绳、蓝色布 小、蓝色布 大、红色布 小、红色布 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介绍：《趣搭积木游戏套装》是由连接灵活、类型多样的主体材料及场景性、游戏化的辅助材料构成，集动手操作、想象创造、社会交往和逻辑思维于一体，适合在幼儿园室内外使用的中大型游戏材料。游戏体验多元化，幼儿在建构游戏中自主生成角色、体育、益智、艺术和语言等游戏类型，使幼儿获得全面发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6.价值特点：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采用微晶木材质，环保无毒安全、硬度范围广、有优良的着色性、触感柔软、耐候性、抗疲劳性、耐温性、防腐、防潮、防虫等，绿色环保，使用周期长。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低结构、多连接、多类型的材料，具有多样性探索的特点，可任意操作与组合；给幼儿提供更具开放性和想象力的空间。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提供场景性、游戏化的辅料，满足幼儿在建构的基础上自主生成角色、体育、表演等游戏类型，开展多元化的“建构+”游戏活动。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《教师指导手册》帮助教师更好地解读游戏材料，掌握趣搭积木游戏活动的组织和实施流程，解决“指导难”的问题。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《场景图卡》的配置帮助激发幼儿的兴趣和丰富对主题的认识，在游戏前后用于班级环创的打造，大大降低了教师游戏准备的时间和难度。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《游戏图卡》帮助幼儿突破搭建难点，打破“搭建难、不会搭”的现象，增强幼儿搭建的兴趣和信心。</w:t>
            </w:r>
          </w:p>
        </w:tc>
        <w:tc>
          <w:tcPr>
            <w:tcW w:w="840" w:type="dxa"/>
            <w:vAlign w:val="center"/>
          </w:tcPr>
          <w:p w14:paraId="08769DC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893" w:type="dxa"/>
            <w:vAlign w:val="center"/>
          </w:tcPr>
          <w:p w14:paraId="6AECDD5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F21A65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6985</wp:posOffset>
                  </wp:positionH>
                  <wp:positionV relativeFrom="paragraph">
                    <wp:posOffset>74295</wp:posOffset>
                  </wp:positionV>
                  <wp:extent cx="734695" cy="739775"/>
                  <wp:effectExtent l="0" t="0" r="12065" b="0"/>
                  <wp:wrapNone/>
                  <wp:docPr id="1143" name="图片_3"/>
                  <wp:cNvGraphicFramePr/>
                  <a:graphic xmlns:a="http://schemas.openxmlformats.org/drawingml/2006/main">
                    <a:graphicData uri="http://schemas.openxmlformats.org/drawingml/2006/picture">
                      <pic:pic xmlns:pic="http://schemas.openxmlformats.org/drawingml/2006/picture">
                        <pic:nvPicPr>
                          <pic:cNvPr id="1143" name="图片_3"/>
                          <pic:cNvPicPr/>
                        </pic:nvPicPr>
                        <pic:blipFill>
                          <a:blip r:embed="rId263"/>
                          <a:stretch>
                            <a:fillRect/>
                          </a:stretch>
                        </pic:blipFill>
                        <pic:spPr>
                          <a:xfrm>
                            <a:off x="0" y="0"/>
                            <a:ext cx="734695" cy="739775"/>
                          </a:xfrm>
                          <a:prstGeom prst="rect">
                            <a:avLst/>
                          </a:prstGeom>
                          <a:noFill/>
                          <a:ln>
                            <a:noFill/>
                          </a:ln>
                        </pic:spPr>
                      </pic:pic>
                    </a:graphicData>
                  </a:graphic>
                </wp:anchor>
              </w:drawing>
            </w:r>
          </w:p>
        </w:tc>
      </w:tr>
      <w:tr w14:paraId="2D3A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5BD62EDC">
            <w:pPr>
              <w:keepNext w:val="0"/>
              <w:keepLines w:val="0"/>
              <w:pageBreakBefore w:val="0"/>
              <w:widowControl w:val="0"/>
              <w:tabs>
                <w:tab w:val="left" w:pos="8280"/>
              </w:tabs>
              <w:kinsoku/>
              <w:wordWrap/>
              <w:overflowPunct/>
              <w:topLinePunct w:val="0"/>
              <w:autoSpaceDE w:val="0"/>
              <w:autoSpaceDN w:val="0"/>
              <w:bidi w:val="0"/>
              <w:adjustRightInd w:val="0"/>
              <w:snapToGrid/>
              <w:spacing w:line="360" w:lineRule="auto"/>
              <w:ind w:right="25"/>
              <w:textAlignment w:val="auto"/>
              <w:rPr>
                <w:rFonts w:hint="eastAsia" w:ascii="宋体" w:hAnsi="宋体" w:eastAsia="宋体" w:cs="宋体"/>
                <w:b/>
                <w:color w:val="auto"/>
                <w:kern w:val="2"/>
                <w:sz w:val="21"/>
                <w:szCs w:val="21"/>
                <w:vertAlign w:val="baseline"/>
                <w:lang w:val="en-US" w:eastAsia="zh-CN" w:bidi="ar-SA"/>
              </w:rPr>
            </w:pPr>
            <w:r>
              <w:rPr>
                <w:rFonts w:hint="eastAsia" w:ascii="宋体" w:hAnsi="Courier New" w:eastAsia="宋体" w:cs="Times New Roman"/>
                <w:b/>
                <w:bCs/>
                <w:color w:val="auto"/>
                <w:kern w:val="2"/>
                <w:sz w:val="21"/>
                <w:szCs w:val="21"/>
                <w:lang w:val="en-US" w:eastAsia="zh-CN" w:bidi="ar-SA"/>
              </w:rPr>
              <w:t>▲</w:t>
            </w:r>
            <w:r>
              <w:rPr>
                <w:rFonts w:hint="eastAsia" w:ascii="宋体" w:hAnsi="Courier New" w:cs="Times New Roman"/>
                <w:b/>
                <w:bCs/>
                <w:color w:val="auto"/>
                <w:kern w:val="2"/>
                <w:sz w:val="21"/>
                <w:szCs w:val="21"/>
                <w:lang w:val="en-US" w:eastAsia="zh-CN" w:bidi="ar-SA"/>
              </w:rPr>
              <w:t>以上</w:t>
            </w:r>
            <w:r>
              <w:rPr>
                <w:rFonts w:hint="eastAsia" w:ascii="宋体" w:hAnsi="Courier New" w:eastAsia="宋体" w:cs="Times New Roman"/>
                <w:b/>
                <w:bCs/>
                <w:color w:val="auto"/>
                <w:kern w:val="2"/>
                <w:sz w:val="21"/>
                <w:szCs w:val="21"/>
                <w:lang w:val="en-US" w:eastAsia="zh-CN" w:bidi="ar-SA"/>
              </w:rPr>
              <w:t>投标产品符合《强制性产品认证目录描述与界定表（2023年修订）》的，投标人投标时需提供强制性产品认证。</w:t>
            </w:r>
          </w:p>
        </w:tc>
      </w:tr>
      <w:tr w14:paraId="14C2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5398426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color w:val="auto"/>
                <w:sz w:val="21"/>
                <w:szCs w:val="21"/>
                <w:lang w:val="en-US" w:eastAsia="zh-CN"/>
              </w:rPr>
            </w:pPr>
            <w:r>
              <w:rPr>
                <w:rFonts w:hint="eastAsia"/>
                <w:b/>
                <w:bCs/>
                <w:color w:val="auto"/>
                <w:sz w:val="21"/>
                <w:szCs w:val="21"/>
                <w:lang w:val="en-US" w:eastAsia="zh-CN"/>
              </w:rPr>
              <w:t>办公家具</w:t>
            </w:r>
          </w:p>
        </w:tc>
      </w:tr>
      <w:tr w14:paraId="2257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7A9ED7F9">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一层保安室</w:t>
            </w:r>
          </w:p>
        </w:tc>
      </w:tr>
      <w:tr w14:paraId="5182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8C0F0A0">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0C6A34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床</w:t>
            </w:r>
          </w:p>
        </w:tc>
        <w:tc>
          <w:tcPr>
            <w:tcW w:w="8697" w:type="dxa"/>
            <w:vAlign w:val="center"/>
          </w:tcPr>
          <w:p w14:paraId="2D5EA1B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规格：2125W*1210D*992H                                    </w:t>
            </w:r>
          </w:p>
          <w:p w14:paraId="1875595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6.纯实木框架</w:t>
            </w:r>
          </w:p>
        </w:tc>
        <w:tc>
          <w:tcPr>
            <w:tcW w:w="840" w:type="dxa"/>
            <w:vAlign w:val="center"/>
          </w:tcPr>
          <w:p w14:paraId="48DC286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56D6186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D875BC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109855</wp:posOffset>
                  </wp:positionH>
                  <wp:positionV relativeFrom="paragraph">
                    <wp:posOffset>31750</wp:posOffset>
                  </wp:positionV>
                  <wp:extent cx="684530" cy="450215"/>
                  <wp:effectExtent l="0" t="0" r="1270" b="6985"/>
                  <wp:wrapNone/>
                  <wp:docPr id="1145" name="图片_22"/>
                  <wp:cNvGraphicFramePr/>
                  <a:graphic xmlns:a="http://schemas.openxmlformats.org/drawingml/2006/main">
                    <a:graphicData uri="http://schemas.openxmlformats.org/drawingml/2006/picture">
                      <pic:pic xmlns:pic="http://schemas.openxmlformats.org/drawingml/2006/picture">
                        <pic:nvPicPr>
                          <pic:cNvPr id="1145" name="图片_22"/>
                          <pic:cNvPicPr/>
                        </pic:nvPicPr>
                        <pic:blipFill>
                          <a:blip r:embed="rId264"/>
                          <a:stretch>
                            <a:fillRect/>
                          </a:stretch>
                        </pic:blipFill>
                        <pic:spPr>
                          <a:xfrm>
                            <a:off x="0" y="0"/>
                            <a:ext cx="684530" cy="450215"/>
                          </a:xfrm>
                          <a:prstGeom prst="rect">
                            <a:avLst/>
                          </a:prstGeom>
                          <a:noFill/>
                          <a:ln>
                            <a:noFill/>
                          </a:ln>
                        </pic:spPr>
                      </pic:pic>
                    </a:graphicData>
                  </a:graphic>
                </wp:anchor>
              </w:drawing>
            </w:r>
          </w:p>
        </w:tc>
      </w:tr>
      <w:tr w14:paraId="33EB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B93E638">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52A5D0E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办公桌</w:t>
            </w:r>
          </w:p>
        </w:tc>
        <w:tc>
          <w:tcPr>
            <w:tcW w:w="8697" w:type="dxa"/>
            <w:vAlign w:val="center"/>
          </w:tcPr>
          <w:p w14:paraId="7CB549D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规格：1200W*600D*750H                                     </w:t>
            </w:r>
          </w:p>
          <w:p w14:paraId="237F9C0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6.纯实木框架</w:t>
            </w:r>
          </w:p>
        </w:tc>
        <w:tc>
          <w:tcPr>
            <w:tcW w:w="840" w:type="dxa"/>
            <w:vAlign w:val="center"/>
          </w:tcPr>
          <w:p w14:paraId="3D7869D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4AAAD5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E4AE93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36830</wp:posOffset>
                  </wp:positionH>
                  <wp:positionV relativeFrom="paragraph">
                    <wp:posOffset>273050</wp:posOffset>
                  </wp:positionV>
                  <wp:extent cx="659130" cy="514350"/>
                  <wp:effectExtent l="0" t="0" r="11430" b="3810"/>
                  <wp:wrapNone/>
                  <wp:docPr id="1147" name="图片_21"/>
                  <wp:cNvGraphicFramePr/>
                  <a:graphic xmlns:a="http://schemas.openxmlformats.org/drawingml/2006/main">
                    <a:graphicData uri="http://schemas.openxmlformats.org/drawingml/2006/picture">
                      <pic:pic xmlns:pic="http://schemas.openxmlformats.org/drawingml/2006/picture">
                        <pic:nvPicPr>
                          <pic:cNvPr id="1147" name="图片_21"/>
                          <pic:cNvPicPr/>
                        </pic:nvPicPr>
                        <pic:blipFill>
                          <a:blip r:embed="rId265"/>
                          <a:stretch>
                            <a:fillRect/>
                          </a:stretch>
                        </pic:blipFill>
                        <pic:spPr>
                          <a:xfrm>
                            <a:off x="0" y="0"/>
                            <a:ext cx="659130" cy="514350"/>
                          </a:xfrm>
                          <a:prstGeom prst="rect">
                            <a:avLst/>
                          </a:prstGeom>
                          <a:noFill/>
                          <a:ln>
                            <a:noFill/>
                          </a:ln>
                        </pic:spPr>
                      </pic:pic>
                    </a:graphicData>
                  </a:graphic>
                </wp:anchor>
              </w:drawing>
            </w:r>
          </w:p>
        </w:tc>
      </w:tr>
      <w:tr w14:paraId="49D8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761904C">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05ED285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办公椅</w:t>
            </w:r>
          </w:p>
        </w:tc>
        <w:tc>
          <w:tcPr>
            <w:tcW w:w="8697" w:type="dxa"/>
            <w:vAlign w:val="center"/>
          </w:tcPr>
          <w:p w14:paraId="20FE17E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规格：常规                                                 </w:t>
            </w:r>
          </w:p>
          <w:p w14:paraId="5DEC286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1.高弹力耐磨网布；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2.黑色尼龙加玻纤背架；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3.黑色尼龙玻纤独立扶手；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4.座包采用定型绵；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5.配中班蝴蝶底盘带原位锁定功能；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6.尼龙五星脚；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7.黑色耐磨尼龙轮；</w:t>
            </w:r>
          </w:p>
        </w:tc>
        <w:tc>
          <w:tcPr>
            <w:tcW w:w="840" w:type="dxa"/>
            <w:vAlign w:val="center"/>
          </w:tcPr>
          <w:p w14:paraId="248DAB9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把</w:t>
            </w:r>
          </w:p>
        </w:tc>
        <w:tc>
          <w:tcPr>
            <w:tcW w:w="893" w:type="dxa"/>
            <w:vAlign w:val="center"/>
          </w:tcPr>
          <w:p w14:paraId="4AED9DB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30FCE5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36830</wp:posOffset>
                  </wp:positionH>
                  <wp:positionV relativeFrom="paragraph">
                    <wp:posOffset>337820</wp:posOffset>
                  </wp:positionV>
                  <wp:extent cx="652145" cy="794385"/>
                  <wp:effectExtent l="0" t="0" r="3175" b="13335"/>
                  <wp:wrapNone/>
                  <wp:docPr id="1149" name="图片_20"/>
                  <wp:cNvGraphicFramePr/>
                  <a:graphic xmlns:a="http://schemas.openxmlformats.org/drawingml/2006/main">
                    <a:graphicData uri="http://schemas.openxmlformats.org/drawingml/2006/picture">
                      <pic:pic xmlns:pic="http://schemas.openxmlformats.org/drawingml/2006/picture">
                        <pic:nvPicPr>
                          <pic:cNvPr id="1149" name="图片_20"/>
                          <pic:cNvPicPr/>
                        </pic:nvPicPr>
                        <pic:blipFill>
                          <a:blip r:embed="rId266"/>
                          <a:stretch>
                            <a:fillRect/>
                          </a:stretch>
                        </pic:blipFill>
                        <pic:spPr>
                          <a:xfrm>
                            <a:off x="0" y="0"/>
                            <a:ext cx="652145" cy="794385"/>
                          </a:xfrm>
                          <a:prstGeom prst="rect">
                            <a:avLst/>
                          </a:prstGeom>
                          <a:noFill/>
                          <a:ln>
                            <a:noFill/>
                          </a:ln>
                        </pic:spPr>
                      </pic:pic>
                    </a:graphicData>
                  </a:graphic>
                </wp:anchor>
              </w:drawing>
            </w:r>
          </w:p>
        </w:tc>
      </w:tr>
      <w:tr w14:paraId="7328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67E8EC83">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rPr>
              <w:t>一层保健室</w:t>
            </w:r>
          </w:p>
        </w:tc>
      </w:tr>
      <w:tr w14:paraId="409A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trPr>
        <w:tc>
          <w:tcPr>
            <w:tcW w:w="664" w:type="dxa"/>
            <w:vAlign w:val="center"/>
          </w:tcPr>
          <w:p w14:paraId="3A357373">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6ACA76D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诊断床</w:t>
            </w:r>
          </w:p>
        </w:tc>
        <w:tc>
          <w:tcPr>
            <w:tcW w:w="8697" w:type="dxa"/>
            <w:vAlign w:val="center"/>
          </w:tcPr>
          <w:p w14:paraId="7C5E40A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规格：2000*600*660                                        </w:t>
            </w:r>
          </w:p>
          <w:p w14:paraId="4DD2C33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1.面:采用环保西皮（仿皮），符合环保要求，经液态浸色及防潮、防污等工艺处理,皮面更加柔软舒适,光泽持久性。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2.海绵：采用阻燃海绵（高回弹软质聚氨酯泡沫塑料）。无污染、无刺激性气味，软硬适中，回弹性能好，不变形。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3.脚架：采用优质钢管，涂层应无漏喷、锈蚀和脱色、掉色现象；涂层应光滑均匀，色泽一致，应无流挂、疙瘩、皱皮、飞漆等缺陷。</w:t>
            </w:r>
          </w:p>
        </w:tc>
        <w:tc>
          <w:tcPr>
            <w:tcW w:w="840" w:type="dxa"/>
            <w:vAlign w:val="center"/>
          </w:tcPr>
          <w:p w14:paraId="0DD7E89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387EE67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F3184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16510</wp:posOffset>
                  </wp:positionH>
                  <wp:positionV relativeFrom="paragraph">
                    <wp:posOffset>356870</wp:posOffset>
                  </wp:positionV>
                  <wp:extent cx="666115" cy="628650"/>
                  <wp:effectExtent l="0" t="0" r="4445" b="11430"/>
                  <wp:wrapNone/>
                  <wp:docPr id="1151" name="ID_F1F67191299C47A8A06A71CACBC9BB32"/>
                  <wp:cNvGraphicFramePr/>
                  <a:graphic xmlns:a="http://schemas.openxmlformats.org/drawingml/2006/main">
                    <a:graphicData uri="http://schemas.openxmlformats.org/drawingml/2006/picture">
                      <pic:pic xmlns:pic="http://schemas.openxmlformats.org/drawingml/2006/picture">
                        <pic:nvPicPr>
                          <pic:cNvPr id="1151" name="ID_F1F67191299C47A8A06A71CACBC9BB32"/>
                          <pic:cNvPicPr/>
                        </pic:nvPicPr>
                        <pic:blipFill>
                          <a:blip r:embed="rId267"/>
                          <a:stretch>
                            <a:fillRect/>
                          </a:stretch>
                        </pic:blipFill>
                        <pic:spPr>
                          <a:xfrm>
                            <a:off x="0" y="0"/>
                            <a:ext cx="666115" cy="628650"/>
                          </a:xfrm>
                          <a:prstGeom prst="rect">
                            <a:avLst/>
                          </a:prstGeom>
                          <a:noFill/>
                          <a:ln>
                            <a:noFill/>
                          </a:ln>
                        </pic:spPr>
                      </pic:pic>
                    </a:graphicData>
                  </a:graphic>
                </wp:anchor>
              </w:drawing>
            </w:r>
          </w:p>
        </w:tc>
      </w:tr>
      <w:tr w14:paraId="7554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9542ABD">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5D059E0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文件柜</w:t>
            </w:r>
          </w:p>
        </w:tc>
        <w:tc>
          <w:tcPr>
            <w:tcW w:w="8697" w:type="dxa"/>
            <w:vAlign w:val="center"/>
          </w:tcPr>
          <w:p w14:paraId="3A64D39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规格：1200W*400D*2000H                                     </w:t>
            </w:r>
          </w:p>
          <w:p w14:paraId="6FEBC358">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6.结构：采用无拉手设计，简洁干净，美观又大气，右侧为移门，采用防火板做饰面；内部配置了挂衣杆，左中侧为玻璃掩门，更显尊贵之色，左上下侧为掩门，内安装有按反弹器，中隔板与竖板，采用隐形连接件组装，产品美观整洁。</w:t>
            </w:r>
          </w:p>
        </w:tc>
        <w:tc>
          <w:tcPr>
            <w:tcW w:w="840" w:type="dxa"/>
            <w:vAlign w:val="center"/>
          </w:tcPr>
          <w:p w14:paraId="7201CB9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组</w:t>
            </w:r>
          </w:p>
        </w:tc>
        <w:tc>
          <w:tcPr>
            <w:tcW w:w="893" w:type="dxa"/>
            <w:vAlign w:val="center"/>
          </w:tcPr>
          <w:p w14:paraId="5BFD670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3F98E07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155575</wp:posOffset>
                  </wp:positionH>
                  <wp:positionV relativeFrom="paragraph">
                    <wp:posOffset>-259715</wp:posOffset>
                  </wp:positionV>
                  <wp:extent cx="661035" cy="1085215"/>
                  <wp:effectExtent l="0" t="0" r="9525" b="12065"/>
                  <wp:wrapNone/>
                  <wp:docPr id="1153" name="图片_25"/>
                  <wp:cNvGraphicFramePr/>
                  <a:graphic xmlns:a="http://schemas.openxmlformats.org/drawingml/2006/main">
                    <a:graphicData uri="http://schemas.openxmlformats.org/drawingml/2006/picture">
                      <pic:pic xmlns:pic="http://schemas.openxmlformats.org/drawingml/2006/picture">
                        <pic:nvPicPr>
                          <pic:cNvPr id="1153" name="图片_25"/>
                          <pic:cNvPicPr/>
                        </pic:nvPicPr>
                        <pic:blipFill>
                          <a:blip r:embed="rId268"/>
                          <a:stretch>
                            <a:fillRect/>
                          </a:stretch>
                        </pic:blipFill>
                        <pic:spPr>
                          <a:xfrm>
                            <a:off x="0" y="0"/>
                            <a:ext cx="661035" cy="1085215"/>
                          </a:xfrm>
                          <a:prstGeom prst="rect">
                            <a:avLst/>
                          </a:prstGeom>
                          <a:noFill/>
                          <a:ln>
                            <a:noFill/>
                          </a:ln>
                        </pic:spPr>
                      </pic:pic>
                    </a:graphicData>
                  </a:graphic>
                </wp:anchor>
              </w:drawing>
            </w:r>
          </w:p>
        </w:tc>
      </w:tr>
      <w:tr w14:paraId="2DA7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51323DFC">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rPr>
              <w:t>一层晨检室</w:t>
            </w:r>
          </w:p>
        </w:tc>
      </w:tr>
      <w:tr w14:paraId="7350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F307619">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1</w:t>
            </w:r>
          </w:p>
        </w:tc>
        <w:tc>
          <w:tcPr>
            <w:tcW w:w="1293" w:type="dxa"/>
            <w:vAlign w:val="center"/>
          </w:tcPr>
          <w:p w14:paraId="7879985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双人办公桌</w:t>
            </w:r>
          </w:p>
        </w:tc>
        <w:tc>
          <w:tcPr>
            <w:tcW w:w="8697" w:type="dxa"/>
            <w:vAlign w:val="center"/>
          </w:tcPr>
          <w:p w14:paraId="2E754AF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规格：1600W*2400D*750H                                    </w:t>
            </w:r>
          </w:p>
          <w:p w14:paraId="4E7C362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6.钢架桌脚：采用优质钢管</w:t>
            </w:r>
          </w:p>
        </w:tc>
        <w:tc>
          <w:tcPr>
            <w:tcW w:w="840" w:type="dxa"/>
            <w:vAlign w:val="center"/>
          </w:tcPr>
          <w:p w14:paraId="67330E3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组</w:t>
            </w:r>
          </w:p>
        </w:tc>
        <w:tc>
          <w:tcPr>
            <w:tcW w:w="893" w:type="dxa"/>
            <w:vAlign w:val="center"/>
          </w:tcPr>
          <w:p w14:paraId="3A9D829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A4D444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-4445</wp:posOffset>
                  </wp:positionH>
                  <wp:positionV relativeFrom="paragraph">
                    <wp:posOffset>513715</wp:posOffset>
                  </wp:positionV>
                  <wp:extent cx="676275" cy="594360"/>
                  <wp:effectExtent l="0" t="0" r="9525" b="0"/>
                  <wp:wrapNone/>
                  <wp:docPr id="1155" name="图片_58"/>
                  <wp:cNvGraphicFramePr/>
                  <a:graphic xmlns:a="http://schemas.openxmlformats.org/drawingml/2006/main">
                    <a:graphicData uri="http://schemas.openxmlformats.org/drawingml/2006/picture">
                      <pic:pic xmlns:pic="http://schemas.openxmlformats.org/drawingml/2006/picture">
                        <pic:nvPicPr>
                          <pic:cNvPr id="1155" name="图片_58"/>
                          <pic:cNvPicPr/>
                        </pic:nvPicPr>
                        <pic:blipFill>
                          <a:blip r:embed="rId269"/>
                          <a:stretch>
                            <a:fillRect/>
                          </a:stretch>
                        </pic:blipFill>
                        <pic:spPr>
                          <a:xfrm>
                            <a:off x="0" y="0"/>
                            <a:ext cx="676275" cy="594360"/>
                          </a:xfrm>
                          <a:prstGeom prst="rect">
                            <a:avLst/>
                          </a:prstGeom>
                          <a:noFill/>
                          <a:ln>
                            <a:noFill/>
                          </a:ln>
                        </pic:spPr>
                      </pic:pic>
                    </a:graphicData>
                  </a:graphic>
                </wp:anchor>
              </w:drawing>
            </w:r>
          </w:p>
        </w:tc>
      </w:tr>
      <w:tr w14:paraId="2BAA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89EB072">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2</w:t>
            </w:r>
          </w:p>
        </w:tc>
        <w:tc>
          <w:tcPr>
            <w:tcW w:w="1293" w:type="dxa"/>
            <w:vAlign w:val="center"/>
          </w:tcPr>
          <w:p w14:paraId="47DC4D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教师午休椅</w:t>
            </w:r>
          </w:p>
        </w:tc>
        <w:tc>
          <w:tcPr>
            <w:tcW w:w="8697" w:type="dxa"/>
            <w:vAlign w:val="center"/>
          </w:tcPr>
          <w:p w14:paraId="085FB6C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1.规格：620*660*1170-1270mm，座高420-520mm，靠背可倾斜范围90-150°，整体展开尺寸为168cm。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2.坐垫：采用7cm高回弹定型棉坐垫，软硬适中回弹力强，长时间久坐不易变形，坐感舒适；坐垫底部有一个塑料拉手，掰动塑料拉手通过气杆的作用可调节靠背的倾斜角度。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靠背：面料：采用高韧高弹透气面料，质感柔和，光泽度好，透气性强，富有韧性。背框：采用仿人体脊椎设计，符合人体自然形态，整体呈S型设计符合人体工程学原理，采用pp+玻纤材质制作而成，背部有9根超大龙股腰托，超宽支撑面覆盖腰部，并设有腰托调节器，给腰背舒适支撑，分散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4.底座机构：采用多功能钢制加厚底盘，更加稳固。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5.扶手：采用pp+玻纤材质制作而成，左右扶手宽625mm。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6.脚踏：置于座面底部，隐藏式伸缩脚踏，260mm拉伸长度，钢管支撑，承重稳固，推拉方便快捷。脚踏伸出时可以有力的支撑小腿，脚踏收起时不影响日常活动。踏板尺寸为长335mm宽190mm（±5mm）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7.椅脚：采用美观的四星形脚，前腿长370mm，后腿长450mm，前腿宽545mm，后腿宽555mm。后腿加长，重心更加稳固，不易往后翻。材质采用pp+玻纤材质一体成型制作而成。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8.椅轮：采用卡簧式PU脚轮，防震耐摩擦，适用于各种地面条件；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9.气压棒：采用特制定向三级气杆，稳定性强，伸缩不漏气；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10.头枕：495mm宽大头枕设计，完美曲线贴合颈椎，随心躺靠，头部得到空间解放，亲肤网面包裹，头枕外框材质采用pp+玻纤材质制作。</w:t>
            </w:r>
          </w:p>
        </w:tc>
        <w:tc>
          <w:tcPr>
            <w:tcW w:w="840" w:type="dxa"/>
            <w:vAlign w:val="center"/>
          </w:tcPr>
          <w:p w14:paraId="72AFC01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5DA29F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2BD8726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12700</wp:posOffset>
                  </wp:positionH>
                  <wp:positionV relativeFrom="paragraph">
                    <wp:posOffset>1814830</wp:posOffset>
                  </wp:positionV>
                  <wp:extent cx="659130" cy="818515"/>
                  <wp:effectExtent l="0" t="0" r="11430" b="4445"/>
                  <wp:wrapNone/>
                  <wp:docPr id="1157" name="图片_4"/>
                  <wp:cNvGraphicFramePr/>
                  <a:graphic xmlns:a="http://schemas.openxmlformats.org/drawingml/2006/main">
                    <a:graphicData uri="http://schemas.openxmlformats.org/drawingml/2006/picture">
                      <pic:pic xmlns:pic="http://schemas.openxmlformats.org/drawingml/2006/picture">
                        <pic:nvPicPr>
                          <pic:cNvPr id="1157" name="图片_4"/>
                          <pic:cNvPicPr/>
                        </pic:nvPicPr>
                        <pic:blipFill>
                          <a:blip r:embed="rId270"/>
                          <a:stretch>
                            <a:fillRect/>
                          </a:stretch>
                        </pic:blipFill>
                        <pic:spPr>
                          <a:xfrm>
                            <a:off x="0" y="0"/>
                            <a:ext cx="659130" cy="818515"/>
                          </a:xfrm>
                          <a:prstGeom prst="rect">
                            <a:avLst/>
                          </a:prstGeom>
                          <a:noFill/>
                          <a:ln>
                            <a:noFill/>
                          </a:ln>
                        </pic:spPr>
                      </pic:pic>
                    </a:graphicData>
                  </a:graphic>
                </wp:anchor>
              </w:drawing>
            </w:r>
          </w:p>
        </w:tc>
      </w:tr>
      <w:tr w14:paraId="56C8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63AE406">
            <w:pPr>
              <w:jc w:val="center"/>
              <w:rPr>
                <w:rFonts w:hint="eastAsia" w:ascii="宋体" w:hAnsi="宋体" w:eastAsia="宋体" w:cs="宋体"/>
                <w:b/>
                <w:color w:val="auto"/>
                <w:kern w:val="2"/>
                <w:sz w:val="21"/>
                <w:szCs w:val="21"/>
                <w:vertAlign w:val="baseline"/>
                <w:lang w:val="en-US" w:eastAsia="zh-CN" w:bidi="ar-SA"/>
              </w:rPr>
            </w:pPr>
            <w:r>
              <w:rPr>
                <w:rFonts w:hint="eastAsia" w:ascii="宋体" w:hAnsi="宋体" w:cs="宋体"/>
                <w:color w:val="auto"/>
                <w:sz w:val="21"/>
                <w:szCs w:val="21"/>
                <w:lang w:val="en-US" w:eastAsia="zh-CN"/>
              </w:rPr>
              <w:t>3</w:t>
            </w:r>
          </w:p>
        </w:tc>
        <w:tc>
          <w:tcPr>
            <w:tcW w:w="1293" w:type="dxa"/>
            <w:vAlign w:val="center"/>
          </w:tcPr>
          <w:p w14:paraId="78FFD66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文件柜</w:t>
            </w:r>
          </w:p>
        </w:tc>
        <w:tc>
          <w:tcPr>
            <w:tcW w:w="8697" w:type="dxa"/>
            <w:vAlign w:val="center"/>
          </w:tcPr>
          <w:p w14:paraId="3B097E3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规格：1200W*400D*2000H                                     </w:t>
            </w:r>
          </w:p>
          <w:p w14:paraId="7727934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6779260</wp:posOffset>
                  </wp:positionH>
                  <wp:positionV relativeFrom="paragraph">
                    <wp:posOffset>92710</wp:posOffset>
                  </wp:positionV>
                  <wp:extent cx="695960" cy="1037590"/>
                  <wp:effectExtent l="0" t="0" r="5080" b="13970"/>
                  <wp:wrapNone/>
                  <wp:docPr id="1159" name="图片_24"/>
                  <wp:cNvGraphicFramePr/>
                  <a:graphic xmlns:a="http://schemas.openxmlformats.org/drawingml/2006/main">
                    <a:graphicData uri="http://schemas.openxmlformats.org/drawingml/2006/picture">
                      <pic:pic xmlns:pic="http://schemas.openxmlformats.org/drawingml/2006/picture">
                        <pic:nvPicPr>
                          <pic:cNvPr id="1159" name="图片_24"/>
                          <pic:cNvPicPr/>
                        </pic:nvPicPr>
                        <pic:blipFill>
                          <a:blip r:embed="rId271"/>
                          <a:stretch>
                            <a:fillRect/>
                          </a:stretch>
                        </pic:blipFill>
                        <pic:spPr>
                          <a:xfrm>
                            <a:off x="0" y="0"/>
                            <a:ext cx="695960" cy="10375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6.结构：采用无拉手设计，简洁干净，美观又大气，右侧为移门，采用防火板做饰面；内部配置了挂衣杆，左中侧为玻璃掩门，更显尊贵之色，左上下侧为掩门，内安装有按反弹器，中隔板与竖板，采用隐形连接件组装，产品美观整洁。</w:t>
            </w:r>
          </w:p>
        </w:tc>
        <w:tc>
          <w:tcPr>
            <w:tcW w:w="840" w:type="dxa"/>
            <w:vAlign w:val="center"/>
          </w:tcPr>
          <w:p w14:paraId="31E52A4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组</w:t>
            </w:r>
          </w:p>
        </w:tc>
        <w:tc>
          <w:tcPr>
            <w:tcW w:w="893" w:type="dxa"/>
            <w:vAlign w:val="center"/>
          </w:tcPr>
          <w:p w14:paraId="7D55744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3B2E12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6CB6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1DAB768B">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rPr>
              <w:t>二层园长办公室</w:t>
            </w:r>
          </w:p>
        </w:tc>
      </w:tr>
      <w:tr w14:paraId="6A97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D13D8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293" w:type="dxa"/>
            <w:vAlign w:val="center"/>
          </w:tcPr>
          <w:p w14:paraId="246DEAC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班台</w:t>
            </w:r>
          </w:p>
        </w:tc>
        <w:tc>
          <w:tcPr>
            <w:tcW w:w="8697" w:type="dxa"/>
            <w:vAlign w:val="center"/>
          </w:tcPr>
          <w:p w14:paraId="3F3798D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规格：2000W*1900D*750H                                    </w:t>
            </w:r>
          </w:p>
          <w:p w14:paraId="08EBD225">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6597015</wp:posOffset>
                  </wp:positionH>
                  <wp:positionV relativeFrom="paragraph">
                    <wp:posOffset>242570</wp:posOffset>
                  </wp:positionV>
                  <wp:extent cx="908050" cy="539750"/>
                  <wp:effectExtent l="0" t="0" r="6350" b="8890"/>
                  <wp:wrapNone/>
                  <wp:docPr id="1161" name="图片_3"/>
                  <wp:cNvGraphicFramePr/>
                  <a:graphic xmlns:a="http://schemas.openxmlformats.org/drawingml/2006/main">
                    <a:graphicData uri="http://schemas.openxmlformats.org/drawingml/2006/picture">
                      <pic:pic xmlns:pic="http://schemas.openxmlformats.org/drawingml/2006/picture">
                        <pic:nvPicPr>
                          <pic:cNvPr id="1161" name="图片_3"/>
                          <pic:cNvPicPr/>
                        </pic:nvPicPr>
                        <pic:blipFill>
                          <a:blip r:embed="rId272"/>
                          <a:stretch>
                            <a:fillRect/>
                          </a:stretch>
                        </pic:blipFill>
                        <pic:spPr>
                          <a:xfrm>
                            <a:off x="0" y="0"/>
                            <a:ext cx="908050"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6.结构：附柜采用45度拼接结构，拉米诺连接方式，配置2个抽屉，2个掩门，预留主机位，线路收纳等存储空间，标配铝合金拉丝线盖，内部预留3个86插座安装孔位；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7.钢架桌脚：采用优质钢管。</w:t>
            </w:r>
          </w:p>
        </w:tc>
        <w:tc>
          <w:tcPr>
            <w:tcW w:w="840" w:type="dxa"/>
            <w:vAlign w:val="center"/>
          </w:tcPr>
          <w:p w14:paraId="28DF972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0832A3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4CF1935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6508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4" w:hRule="atLeast"/>
        </w:trPr>
        <w:tc>
          <w:tcPr>
            <w:tcW w:w="664" w:type="dxa"/>
            <w:vAlign w:val="center"/>
          </w:tcPr>
          <w:p w14:paraId="31BEE35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293" w:type="dxa"/>
            <w:vAlign w:val="center"/>
          </w:tcPr>
          <w:p w14:paraId="2B5237D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文件柜</w:t>
            </w:r>
          </w:p>
        </w:tc>
        <w:tc>
          <w:tcPr>
            <w:tcW w:w="8697" w:type="dxa"/>
            <w:vAlign w:val="center"/>
          </w:tcPr>
          <w:p w14:paraId="422605E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规格：2430W*400D*1830H                                     </w:t>
            </w:r>
          </w:p>
          <w:p w14:paraId="56BCCF0C">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6.结构：采用无拉手设计，简洁干净，美观又大气，右侧为移门，采用防火板做饰面；内部配置了挂衣杆，左中侧为玻璃掩门，更显尊贵之色，左上下侧为掩门，内安装有按反弹器，中隔板与竖板，采用隐形连接件组装，产品美观整洁。</w:t>
            </w:r>
          </w:p>
        </w:tc>
        <w:tc>
          <w:tcPr>
            <w:tcW w:w="840" w:type="dxa"/>
            <w:vAlign w:val="center"/>
          </w:tcPr>
          <w:p w14:paraId="5D6A07F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FD7677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DCCD76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-33020</wp:posOffset>
                  </wp:positionH>
                  <wp:positionV relativeFrom="paragraph">
                    <wp:posOffset>234315</wp:posOffset>
                  </wp:positionV>
                  <wp:extent cx="1012825" cy="919480"/>
                  <wp:effectExtent l="0" t="0" r="8255" b="10160"/>
                  <wp:wrapNone/>
                  <wp:docPr id="1163" name="图片_4"/>
                  <wp:cNvGraphicFramePr/>
                  <a:graphic xmlns:a="http://schemas.openxmlformats.org/drawingml/2006/main">
                    <a:graphicData uri="http://schemas.openxmlformats.org/drawingml/2006/picture">
                      <pic:pic xmlns:pic="http://schemas.openxmlformats.org/drawingml/2006/picture">
                        <pic:nvPicPr>
                          <pic:cNvPr id="1163" name="图片_4"/>
                          <pic:cNvPicPr/>
                        </pic:nvPicPr>
                        <pic:blipFill>
                          <a:blip r:embed="rId273"/>
                          <a:stretch>
                            <a:fillRect/>
                          </a:stretch>
                        </pic:blipFill>
                        <pic:spPr>
                          <a:xfrm>
                            <a:off x="0" y="0"/>
                            <a:ext cx="1012825" cy="919480"/>
                          </a:xfrm>
                          <a:prstGeom prst="rect">
                            <a:avLst/>
                          </a:prstGeom>
                          <a:noFill/>
                          <a:ln>
                            <a:noFill/>
                          </a:ln>
                        </pic:spPr>
                      </pic:pic>
                    </a:graphicData>
                  </a:graphic>
                </wp:anchor>
              </w:drawing>
            </w:r>
          </w:p>
        </w:tc>
      </w:tr>
      <w:tr w14:paraId="2D76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0449E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293" w:type="dxa"/>
            <w:vAlign w:val="center"/>
          </w:tcPr>
          <w:p w14:paraId="20FF7EA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教师午休椅</w:t>
            </w:r>
          </w:p>
        </w:tc>
        <w:tc>
          <w:tcPr>
            <w:tcW w:w="8697" w:type="dxa"/>
            <w:vAlign w:val="center"/>
          </w:tcPr>
          <w:p w14:paraId="0D95EFF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1.规格：620*660*1170-1270mm，座高420-520mm，靠背可倾斜范围90-150°，整体展开尺寸为168cm。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2.坐垫：采用7cm高回弹定型棉坐垫，软硬适中回弹力强，长时间久坐不易变形，坐感舒适；坐垫底部有一个塑料拉手，掰动塑料拉手通过气杆的作用可调节靠背的倾斜角度。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靠背：面料：采用高韧高弹透气面料，质感柔和，光泽度好，透气性强，富有韧性。背框：采用仿人体脊椎设计，符合人体自然形态，整体呈S型设计符合人体工程学原理，采用pp+玻纤材质制作而成，背部有9根超大龙股腰托，超宽支撑面覆盖腰部，并设有腰托调节器，给腰背舒适支撑，分散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4.底座机构：采用多功能钢制加厚底盘，更加稳固。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5.扶手：采用pp+玻纤材质制作而成，左右扶手宽625mm。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6.脚踏：置于座面底部，隐藏式伸缩脚踏，260mm拉伸长度，钢管支撑，承重稳固，推拉方便快捷。脚踏伸出时可以有力的支撑小腿，脚踏收起时不影响日常活动。踏板尺寸为长335mm宽190mm（±5mm）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7.椅脚：采用美观的四星形脚，前腿长370mm，后腿长450mm，前腿宽545mm，后腿宽555mm。后腿加长，重心更加稳固，不易往后翻。材质采用pp+玻纤材质一体成型制作而成。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8.椅轮：采用卡簧式PU脚轮，防震耐摩擦，适用于各种地面条件；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9.气压棒：采用特制定向三级气杆，稳定性强，伸缩不漏气；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10.头枕：495mm宽大头枕设计，完美曲线贴合颈椎，随心躺靠，头部得到空间解放，亲肤网面包裹，头枕外框材质采用pp+玻纤材质制作。</w:t>
            </w:r>
          </w:p>
        </w:tc>
        <w:tc>
          <w:tcPr>
            <w:tcW w:w="840" w:type="dxa"/>
            <w:vAlign w:val="center"/>
          </w:tcPr>
          <w:p w14:paraId="4139D0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3B8103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1C7D42B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15240</wp:posOffset>
                  </wp:positionH>
                  <wp:positionV relativeFrom="paragraph">
                    <wp:posOffset>-143510</wp:posOffset>
                  </wp:positionV>
                  <wp:extent cx="924560" cy="1007110"/>
                  <wp:effectExtent l="0" t="0" r="5080" b="13970"/>
                  <wp:wrapNone/>
                  <wp:docPr id="1165" name="图片_4_SpCnt_1"/>
                  <wp:cNvGraphicFramePr/>
                  <a:graphic xmlns:a="http://schemas.openxmlformats.org/drawingml/2006/main">
                    <a:graphicData uri="http://schemas.openxmlformats.org/drawingml/2006/picture">
                      <pic:pic xmlns:pic="http://schemas.openxmlformats.org/drawingml/2006/picture">
                        <pic:nvPicPr>
                          <pic:cNvPr id="1165" name="图片_4_SpCnt_1"/>
                          <pic:cNvPicPr/>
                        </pic:nvPicPr>
                        <pic:blipFill>
                          <a:blip r:embed="rId274"/>
                          <a:stretch>
                            <a:fillRect/>
                          </a:stretch>
                        </pic:blipFill>
                        <pic:spPr>
                          <a:xfrm>
                            <a:off x="0" y="0"/>
                            <a:ext cx="924560" cy="1007110"/>
                          </a:xfrm>
                          <a:prstGeom prst="rect">
                            <a:avLst/>
                          </a:prstGeom>
                          <a:noFill/>
                          <a:ln>
                            <a:noFill/>
                          </a:ln>
                        </pic:spPr>
                      </pic:pic>
                    </a:graphicData>
                  </a:graphic>
                </wp:anchor>
              </w:drawing>
            </w:r>
          </w:p>
        </w:tc>
      </w:tr>
      <w:tr w14:paraId="4D14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5DD154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293" w:type="dxa"/>
            <w:vAlign w:val="center"/>
          </w:tcPr>
          <w:p w14:paraId="75AEDE4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班前椅</w:t>
            </w:r>
          </w:p>
        </w:tc>
        <w:tc>
          <w:tcPr>
            <w:tcW w:w="8697" w:type="dxa"/>
            <w:vAlign w:val="center"/>
          </w:tcPr>
          <w:p w14:paraId="49E381B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规格：常规                                                </w:t>
            </w:r>
          </w:p>
          <w:p w14:paraId="3624237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1.韩国进口特网靠背；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2.座框尼龙加纤背框；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3.PP固定扶手016；</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4.3M防水科技皮饰面；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5.2.0MM厚25管电镀脚。</w:t>
            </w:r>
          </w:p>
        </w:tc>
        <w:tc>
          <w:tcPr>
            <w:tcW w:w="840" w:type="dxa"/>
            <w:vAlign w:val="center"/>
          </w:tcPr>
          <w:p w14:paraId="0A7AA76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把</w:t>
            </w:r>
          </w:p>
        </w:tc>
        <w:tc>
          <w:tcPr>
            <w:tcW w:w="893" w:type="dxa"/>
            <w:vAlign w:val="center"/>
          </w:tcPr>
          <w:p w14:paraId="0049C7C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5B4AF9A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15240</wp:posOffset>
                  </wp:positionH>
                  <wp:positionV relativeFrom="paragraph">
                    <wp:posOffset>171450</wp:posOffset>
                  </wp:positionV>
                  <wp:extent cx="702310" cy="821055"/>
                  <wp:effectExtent l="0" t="0" r="13970" b="1905"/>
                  <wp:wrapNone/>
                  <wp:docPr id="1167" name="图片_5"/>
                  <wp:cNvGraphicFramePr/>
                  <a:graphic xmlns:a="http://schemas.openxmlformats.org/drawingml/2006/main">
                    <a:graphicData uri="http://schemas.openxmlformats.org/drawingml/2006/picture">
                      <pic:pic xmlns:pic="http://schemas.openxmlformats.org/drawingml/2006/picture">
                        <pic:nvPicPr>
                          <pic:cNvPr id="1167" name="图片_5"/>
                          <pic:cNvPicPr/>
                        </pic:nvPicPr>
                        <pic:blipFill>
                          <a:blip r:embed="rId275"/>
                          <a:stretch>
                            <a:fillRect/>
                          </a:stretch>
                        </pic:blipFill>
                        <pic:spPr>
                          <a:xfrm>
                            <a:off x="0" y="0"/>
                            <a:ext cx="702310" cy="821055"/>
                          </a:xfrm>
                          <a:prstGeom prst="rect">
                            <a:avLst/>
                          </a:prstGeom>
                          <a:noFill/>
                          <a:ln>
                            <a:noFill/>
                          </a:ln>
                        </pic:spPr>
                      </pic:pic>
                    </a:graphicData>
                  </a:graphic>
                </wp:anchor>
              </w:drawing>
            </w:r>
          </w:p>
        </w:tc>
      </w:tr>
      <w:tr w14:paraId="180A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F49CF8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293" w:type="dxa"/>
            <w:vAlign w:val="center"/>
          </w:tcPr>
          <w:p w14:paraId="54C48AD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单人位沙发</w:t>
            </w:r>
          </w:p>
        </w:tc>
        <w:tc>
          <w:tcPr>
            <w:tcW w:w="8697" w:type="dxa"/>
            <w:vAlign w:val="center"/>
          </w:tcPr>
          <w:p w14:paraId="7C88FC7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规格：1100*870*800                                        </w:t>
            </w:r>
          </w:p>
          <w:p w14:paraId="3432DB4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1.面料:选用高级超纤皮,经液态浸色及防潮、防污等工艺处理、皮面更加柔软舒适、光泽持久性好，纹理细腻，富有弹性。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2.实木板框架:优质进口含水率低9%以下的硬木木方及5mm的多层夹板,经防虫、防腐等化学处理。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3.海绵:采用杜邦公司的PU成型发泡高密度海绵高回弹海绵,表面有一层保护面,可防氧化,防碎,经过HD测试永不变形。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4.工艺：采用人体工学设计，坐感舒适。</w:t>
            </w:r>
          </w:p>
        </w:tc>
        <w:tc>
          <w:tcPr>
            <w:tcW w:w="840" w:type="dxa"/>
            <w:vAlign w:val="center"/>
          </w:tcPr>
          <w:p w14:paraId="539E2E2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74E34FE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9BD44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115570</wp:posOffset>
                  </wp:positionH>
                  <wp:positionV relativeFrom="paragraph">
                    <wp:posOffset>111760</wp:posOffset>
                  </wp:positionV>
                  <wp:extent cx="601980" cy="680085"/>
                  <wp:effectExtent l="0" t="0" r="7620" b="5715"/>
                  <wp:wrapNone/>
                  <wp:docPr id="1169" name="图片_3_SpCnt_1"/>
                  <wp:cNvGraphicFramePr/>
                  <a:graphic xmlns:a="http://schemas.openxmlformats.org/drawingml/2006/main">
                    <a:graphicData uri="http://schemas.openxmlformats.org/drawingml/2006/picture">
                      <pic:pic xmlns:pic="http://schemas.openxmlformats.org/drawingml/2006/picture">
                        <pic:nvPicPr>
                          <pic:cNvPr id="1169" name="图片_3_SpCnt_1"/>
                          <pic:cNvPicPr/>
                        </pic:nvPicPr>
                        <pic:blipFill>
                          <a:blip r:embed="rId276"/>
                          <a:stretch>
                            <a:fillRect/>
                          </a:stretch>
                        </pic:blipFill>
                        <pic:spPr>
                          <a:xfrm>
                            <a:off x="0" y="0"/>
                            <a:ext cx="601980" cy="680085"/>
                          </a:xfrm>
                          <a:prstGeom prst="rect">
                            <a:avLst/>
                          </a:prstGeom>
                          <a:noFill/>
                          <a:ln>
                            <a:noFill/>
                          </a:ln>
                        </pic:spPr>
                      </pic:pic>
                    </a:graphicData>
                  </a:graphic>
                </wp:anchor>
              </w:drawing>
            </w:r>
          </w:p>
        </w:tc>
      </w:tr>
      <w:tr w14:paraId="5BFF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BA481F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1293" w:type="dxa"/>
            <w:vAlign w:val="center"/>
          </w:tcPr>
          <w:p w14:paraId="58678A7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三人位沙发</w:t>
            </w:r>
          </w:p>
        </w:tc>
        <w:tc>
          <w:tcPr>
            <w:tcW w:w="8697" w:type="dxa"/>
            <w:vAlign w:val="center"/>
          </w:tcPr>
          <w:p w14:paraId="23E388C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规格：2100*870*800                                        </w:t>
            </w:r>
          </w:p>
          <w:p w14:paraId="618E065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1.面料:选用高级超纤皮,经液态浸色及防潮、防污等工艺处理、皮面更加柔软舒适、光泽持久性好，纹理细腻，富有弹性。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2.实木板框架:优质进口含水率低9%以下的硬木木方及5mm的多层夹板,经防虫、防腐等化学处理。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3.海绵:采用杜邦公司的PU成型发泡高密度海绵高回弹海绵,表面有一层保护面,可防氧化,防碎,经过HD测试永不变形。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4.工艺：采用人体工学设计，坐感舒适。</w:t>
            </w:r>
          </w:p>
        </w:tc>
        <w:tc>
          <w:tcPr>
            <w:tcW w:w="840" w:type="dxa"/>
            <w:vAlign w:val="center"/>
          </w:tcPr>
          <w:p w14:paraId="143C3A3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09496D0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350F9D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24130</wp:posOffset>
                  </wp:positionH>
                  <wp:positionV relativeFrom="paragraph">
                    <wp:posOffset>330200</wp:posOffset>
                  </wp:positionV>
                  <wp:extent cx="872490" cy="531495"/>
                  <wp:effectExtent l="0" t="0" r="11430" b="1905"/>
                  <wp:wrapNone/>
                  <wp:docPr id="1171" name="图片_4_SpCnt_2"/>
                  <wp:cNvGraphicFramePr/>
                  <a:graphic xmlns:a="http://schemas.openxmlformats.org/drawingml/2006/main">
                    <a:graphicData uri="http://schemas.openxmlformats.org/drawingml/2006/picture">
                      <pic:pic xmlns:pic="http://schemas.openxmlformats.org/drawingml/2006/picture">
                        <pic:nvPicPr>
                          <pic:cNvPr id="1171" name="图片_4_SpCnt_2"/>
                          <pic:cNvPicPr/>
                        </pic:nvPicPr>
                        <pic:blipFill>
                          <a:blip r:embed="rId277"/>
                          <a:stretch>
                            <a:fillRect/>
                          </a:stretch>
                        </pic:blipFill>
                        <pic:spPr>
                          <a:xfrm>
                            <a:off x="0" y="0"/>
                            <a:ext cx="872490" cy="531495"/>
                          </a:xfrm>
                          <a:prstGeom prst="rect">
                            <a:avLst/>
                          </a:prstGeom>
                          <a:noFill/>
                          <a:ln>
                            <a:noFill/>
                          </a:ln>
                        </pic:spPr>
                      </pic:pic>
                    </a:graphicData>
                  </a:graphic>
                </wp:anchor>
              </w:drawing>
            </w:r>
          </w:p>
        </w:tc>
      </w:tr>
      <w:tr w14:paraId="5166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4BD9BA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7</w:t>
            </w:r>
          </w:p>
        </w:tc>
        <w:tc>
          <w:tcPr>
            <w:tcW w:w="1293" w:type="dxa"/>
            <w:vAlign w:val="center"/>
          </w:tcPr>
          <w:p w14:paraId="7037CDC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茶几</w:t>
            </w:r>
          </w:p>
        </w:tc>
        <w:tc>
          <w:tcPr>
            <w:tcW w:w="8697" w:type="dxa"/>
            <w:vAlign w:val="center"/>
          </w:tcPr>
          <w:p w14:paraId="3E879CA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规格：1200*600*400                                        </w:t>
            </w:r>
          </w:p>
          <w:p w14:paraId="2F5DDB9A">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6.结构：采用45度拼接结构，拉米诺连接方式，外观精致，工艺高端。</w:t>
            </w:r>
          </w:p>
        </w:tc>
        <w:tc>
          <w:tcPr>
            <w:tcW w:w="840" w:type="dxa"/>
            <w:vAlign w:val="center"/>
          </w:tcPr>
          <w:p w14:paraId="776FBA2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98C1B2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083EE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39840" behindDoc="0" locked="0" layoutInCell="1" allowOverlap="1">
                  <wp:simplePos x="0" y="0"/>
                  <wp:positionH relativeFrom="column">
                    <wp:posOffset>94615</wp:posOffset>
                  </wp:positionH>
                  <wp:positionV relativeFrom="paragraph">
                    <wp:posOffset>261620</wp:posOffset>
                  </wp:positionV>
                  <wp:extent cx="628650" cy="403225"/>
                  <wp:effectExtent l="0" t="0" r="11430" b="8255"/>
                  <wp:wrapNone/>
                  <wp:docPr id="1173" name="图片_2"/>
                  <wp:cNvGraphicFramePr/>
                  <a:graphic xmlns:a="http://schemas.openxmlformats.org/drawingml/2006/main">
                    <a:graphicData uri="http://schemas.openxmlformats.org/drawingml/2006/picture">
                      <pic:pic xmlns:pic="http://schemas.openxmlformats.org/drawingml/2006/picture">
                        <pic:nvPicPr>
                          <pic:cNvPr id="1173" name="图片_2"/>
                          <pic:cNvPicPr/>
                        </pic:nvPicPr>
                        <pic:blipFill>
                          <a:blip r:embed="rId278"/>
                          <a:stretch>
                            <a:fillRect/>
                          </a:stretch>
                        </pic:blipFill>
                        <pic:spPr>
                          <a:xfrm>
                            <a:off x="0" y="0"/>
                            <a:ext cx="628650" cy="403225"/>
                          </a:xfrm>
                          <a:prstGeom prst="rect">
                            <a:avLst/>
                          </a:prstGeom>
                          <a:noFill/>
                          <a:ln>
                            <a:noFill/>
                          </a:ln>
                        </pic:spPr>
                      </pic:pic>
                    </a:graphicData>
                  </a:graphic>
                </wp:anchor>
              </w:drawing>
            </w:r>
          </w:p>
        </w:tc>
      </w:tr>
      <w:tr w14:paraId="5808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5DF5C0BF">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b/>
                <w:bCs/>
                <w:color w:val="auto"/>
                <w:sz w:val="21"/>
                <w:szCs w:val="21"/>
                <w:lang w:val="en-US" w:eastAsia="zh-CN"/>
              </w:rPr>
              <w:t>二层副园长公室</w:t>
            </w:r>
          </w:p>
        </w:tc>
      </w:tr>
      <w:tr w14:paraId="7E6E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trPr>
        <w:tc>
          <w:tcPr>
            <w:tcW w:w="664" w:type="dxa"/>
            <w:vAlign w:val="center"/>
          </w:tcPr>
          <w:p w14:paraId="56E9D8C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293" w:type="dxa"/>
            <w:vAlign w:val="center"/>
          </w:tcPr>
          <w:p w14:paraId="5B0F5FB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班台</w:t>
            </w:r>
          </w:p>
        </w:tc>
        <w:tc>
          <w:tcPr>
            <w:tcW w:w="8697" w:type="dxa"/>
            <w:vAlign w:val="center"/>
          </w:tcPr>
          <w:p w14:paraId="5BA5B5F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规格：1800W*1600D*750H                                     </w:t>
            </w:r>
          </w:p>
          <w:p w14:paraId="5BAF88FE">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4.胶水：采用优质热熔胶品牌，符合谎环保要求；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                                                                                                                                                               6.结构：附柜采用45度拼接结构，拉米诺连接方式，配置2个抽屉，2个掩门，预留主机位，线路收纳等存储空间，标配铝合金拉丝线盖，内部预留3个86插座安装孔位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7.钢架桌脚：采用优质钢管。</w:t>
            </w:r>
          </w:p>
        </w:tc>
        <w:tc>
          <w:tcPr>
            <w:tcW w:w="840" w:type="dxa"/>
            <w:vAlign w:val="center"/>
          </w:tcPr>
          <w:p w14:paraId="7827BC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7B2B9A0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12BE03A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16510</wp:posOffset>
                  </wp:positionH>
                  <wp:positionV relativeFrom="paragraph">
                    <wp:posOffset>622300</wp:posOffset>
                  </wp:positionV>
                  <wp:extent cx="706755" cy="560705"/>
                  <wp:effectExtent l="0" t="0" r="9525" b="3175"/>
                  <wp:wrapNone/>
                  <wp:docPr id="1175" name="图片_6"/>
                  <wp:cNvGraphicFramePr/>
                  <a:graphic xmlns:a="http://schemas.openxmlformats.org/drawingml/2006/main">
                    <a:graphicData uri="http://schemas.openxmlformats.org/drawingml/2006/picture">
                      <pic:pic xmlns:pic="http://schemas.openxmlformats.org/drawingml/2006/picture">
                        <pic:nvPicPr>
                          <pic:cNvPr id="1175" name="图片_6"/>
                          <pic:cNvPicPr/>
                        </pic:nvPicPr>
                        <pic:blipFill>
                          <a:blip r:embed="rId279"/>
                          <a:stretch>
                            <a:fillRect/>
                          </a:stretch>
                        </pic:blipFill>
                        <pic:spPr>
                          <a:xfrm>
                            <a:off x="0" y="0"/>
                            <a:ext cx="706755" cy="560705"/>
                          </a:xfrm>
                          <a:prstGeom prst="rect">
                            <a:avLst/>
                          </a:prstGeom>
                          <a:noFill/>
                          <a:ln>
                            <a:noFill/>
                          </a:ln>
                        </pic:spPr>
                      </pic:pic>
                    </a:graphicData>
                  </a:graphic>
                </wp:anchor>
              </w:drawing>
            </w:r>
          </w:p>
        </w:tc>
      </w:tr>
      <w:tr w14:paraId="0605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34EF2E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293" w:type="dxa"/>
            <w:vAlign w:val="center"/>
          </w:tcPr>
          <w:p w14:paraId="7B640BF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文件柜</w:t>
            </w:r>
          </w:p>
        </w:tc>
        <w:tc>
          <w:tcPr>
            <w:tcW w:w="8697" w:type="dxa"/>
            <w:vAlign w:val="center"/>
          </w:tcPr>
          <w:p w14:paraId="6981D9F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规格：2030W*400D*1830H                                     </w:t>
            </w:r>
          </w:p>
          <w:p w14:paraId="11A41BA9">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1888" behindDoc="0" locked="0" layoutInCell="1" allowOverlap="1">
                  <wp:simplePos x="0" y="0"/>
                  <wp:positionH relativeFrom="column">
                    <wp:posOffset>6717665</wp:posOffset>
                  </wp:positionH>
                  <wp:positionV relativeFrom="paragraph">
                    <wp:posOffset>274320</wp:posOffset>
                  </wp:positionV>
                  <wp:extent cx="648970" cy="820420"/>
                  <wp:effectExtent l="0" t="0" r="6350" b="2540"/>
                  <wp:wrapNone/>
                  <wp:docPr id="1177" name="图片_1"/>
                  <wp:cNvGraphicFramePr/>
                  <a:graphic xmlns:a="http://schemas.openxmlformats.org/drawingml/2006/main">
                    <a:graphicData uri="http://schemas.openxmlformats.org/drawingml/2006/picture">
                      <pic:pic xmlns:pic="http://schemas.openxmlformats.org/drawingml/2006/picture">
                        <pic:nvPicPr>
                          <pic:cNvPr id="1177" name="图片_1"/>
                          <pic:cNvPicPr/>
                        </pic:nvPicPr>
                        <pic:blipFill>
                          <a:blip r:embed="rId280"/>
                          <a:stretch>
                            <a:fillRect/>
                          </a:stretch>
                        </pic:blipFill>
                        <pic:spPr>
                          <a:xfrm>
                            <a:off x="0" y="0"/>
                            <a:ext cx="648970" cy="8204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6.结构：采用无拉手设计，简洁干净，美观又大气，右侧为移门，采用防火板做饰面；内部配置了挂衣杆，左中侧为玻璃掩门，更显尊贵之色，左上下侧为掩门，内安装有按反弹器，中隔板与竖板，采用隐形连接件组装，产品美观整洁。</w:t>
            </w:r>
          </w:p>
        </w:tc>
        <w:tc>
          <w:tcPr>
            <w:tcW w:w="840" w:type="dxa"/>
            <w:vAlign w:val="center"/>
          </w:tcPr>
          <w:p w14:paraId="563787A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组</w:t>
            </w:r>
          </w:p>
        </w:tc>
        <w:tc>
          <w:tcPr>
            <w:tcW w:w="893" w:type="dxa"/>
            <w:vAlign w:val="center"/>
          </w:tcPr>
          <w:p w14:paraId="3DA5879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3DF7745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73E6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02A1AA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293" w:type="dxa"/>
            <w:vAlign w:val="center"/>
          </w:tcPr>
          <w:p w14:paraId="1081F05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教师午休椅</w:t>
            </w:r>
          </w:p>
        </w:tc>
        <w:tc>
          <w:tcPr>
            <w:tcW w:w="8697" w:type="dxa"/>
            <w:vAlign w:val="center"/>
          </w:tcPr>
          <w:p w14:paraId="30D7AF7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1.规格：620*660*1170-1270mm，座高420-520mm，靠背可倾斜范围90-150°，整体展开尺寸为168cm。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2.坐垫：采用7cm高回弹定型棉坐垫，软硬适中回弹力强，长时间久坐不易变形，坐感舒适；坐垫底部有一个塑料拉手，掰动塑料拉手通过气杆的作用可调节靠背的倾斜角度。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靠背：面料：采用高韧高弹透气面料，质感柔和，光泽度好，透气性强，富有韧性。背框：采用仿人体脊椎设计，符合人体自然形态，整体呈S型设计符合人体工程学原理，采用pp+玻纤材质制作而成，背部有9根超大龙股腰托，超宽支撑面覆盖腰部，并设有腰托调节器，给腰背舒适支撑，分散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4.底座机构：采用多功能钢制加厚底盘，更加稳固。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5.扶手：采用pp+玻纤材质制作而成，左右扶手宽625mm。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6.脚踏：置于座面底部，隐藏式伸缩脚踏，260mm拉伸长度，钢管支撑，承重稳固，推拉方便快捷。脚踏伸出时可以有力的支撑小腿，脚踏收起时不影响日常活动。踏板尺寸为长335mm宽190mm（±5mm）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7.椅脚：采用美观的四星形脚，前腿长370mm，后腿长450mm，前腿宽545mm，后腿宽555mm。后腿加长，重心更加稳固，不易往后翻。材质采用pp+玻纤材质一体成型制作而成。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8.椅轮：采用卡簧式PU脚轮，防震耐摩擦，适用于各种地面条件；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9.气压棒：采用特制定向三级气杆，稳定性强，伸缩不漏气；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10.头枕：495mm宽大头枕设计，完美曲线贴合颈椎，随心躺靠，头部得到空间解放，亲肤网面包裹，头枕外框材质采用pp+玻纤材质制作。</w:t>
            </w:r>
          </w:p>
        </w:tc>
        <w:tc>
          <w:tcPr>
            <w:tcW w:w="840" w:type="dxa"/>
            <w:vAlign w:val="center"/>
          </w:tcPr>
          <w:p w14:paraId="3273655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0A5646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73A7D1D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-7620</wp:posOffset>
                  </wp:positionH>
                  <wp:positionV relativeFrom="paragraph">
                    <wp:posOffset>1470660</wp:posOffset>
                  </wp:positionV>
                  <wp:extent cx="690245" cy="692150"/>
                  <wp:effectExtent l="0" t="0" r="10795" b="8890"/>
                  <wp:wrapNone/>
                  <wp:docPr id="1179" name="图片_4"/>
                  <wp:cNvGraphicFramePr/>
                  <a:graphic xmlns:a="http://schemas.openxmlformats.org/drawingml/2006/main">
                    <a:graphicData uri="http://schemas.openxmlformats.org/drawingml/2006/picture">
                      <pic:pic xmlns:pic="http://schemas.openxmlformats.org/drawingml/2006/picture">
                        <pic:nvPicPr>
                          <pic:cNvPr id="1179" name="图片_4"/>
                          <pic:cNvPicPr/>
                        </pic:nvPicPr>
                        <pic:blipFill>
                          <a:blip r:embed="rId281"/>
                          <a:stretch>
                            <a:fillRect/>
                          </a:stretch>
                        </pic:blipFill>
                        <pic:spPr>
                          <a:xfrm>
                            <a:off x="0" y="0"/>
                            <a:ext cx="690245" cy="692150"/>
                          </a:xfrm>
                          <a:prstGeom prst="rect">
                            <a:avLst/>
                          </a:prstGeom>
                          <a:noFill/>
                          <a:ln>
                            <a:noFill/>
                          </a:ln>
                        </pic:spPr>
                      </pic:pic>
                    </a:graphicData>
                  </a:graphic>
                </wp:anchor>
              </w:drawing>
            </w:r>
          </w:p>
        </w:tc>
      </w:tr>
      <w:tr w14:paraId="6B30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115B13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293" w:type="dxa"/>
            <w:vAlign w:val="center"/>
          </w:tcPr>
          <w:p w14:paraId="0210569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沙发</w:t>
            </w:r>
          </w:p>
        </w:tc>
        <w:tc>
          <w:tcPr>
            <w:tcW w:w="8697" w:type="dxa"/>
            <w:vAlign w:val="center"/>
          </w:tcPr>
          <w:p w14:paraId="7B1F56C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规格：1800W*770D*880H                                     </w:t>
            </w:r>
          </w:p>
          <w:p w14:paraId="0F16EC1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1.面料:选用高级超纤皮,经液态浸色及防潮、防污等工艺处理、皮面更加柔软舒适、光泽持</w:t>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6717665</wp:posOffset>
                  </wp:positionH>
                  <wp:positionV relativeFrom="paragraph">
                    <wp:posOffset>282575</wp:posOffset>
                  </wp:positionV>
                  <wp:extent cx="890905" cy="650240"/>
                  <wp:effectExtent l="0" t="0" r="8255" b="5080"/>
                  <wp:wrapNone/>
                  <wp:docPr id="1181" name="图片_24"/>
                  <wp:cNvGraphicFramePr/>
                  <a:graphic xmlns:a="http://schemas.openxmlformats.org/drawingml/2006/main">
                    <a:graphicData uri="http://schemas.openxmlformats.org/drawingml/2006/picture">
                      <pic:pic xmlns:pic="http://schemas.openxmlformats.org/drawingml/2006/picture">
                        <pic:nvPicPr>
                          <pic:cNvPr id="1181" name="图片_24"/>
                          <pic:cNvPicPr/>
                        </pic:nvPicPr>
                        <pic:blipFill>
                          <a:blip r:embed="rId282"/>
                          <a:stretch>
                            <a:fillRect/>
                          </a:stretch>
                        </pic:blipFill>
                        <pic:spPr>
                          <a:xfrm>
                            <a:off x="0" y="0"/>
                            <a:ext cx="890905" cy="6502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久性好，纹理细腻，富有弹性。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2.实木板框架:优质进口含水率低9%以下的硬木木方及5mm的多层夹板,经防虫、防腐等化学处理。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3.海绵:采用杜邦公司的PU成型发泡高密度海绵高回弹海绵,表面有一层保护面,可防氧化,防碎,经过HD测试永不变形。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4.工艺：采用人体工学设计，坐感舒适。</w:t>
            </w:r>
          </w:p>
        </w:tc>
        <w:tc>
          <w:tcPr>
            <w:tcW w:w="840" w:type="dxa"/>
            <w:vAlign w:val="center"/>
          </w:tcPr>
          <w:p w14:paraId="759EBDC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E4BF9F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06F93B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4505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B68E5C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293" w:type="dxa"/>
            <w:vAlign w:val="center"/>
          </w:tcPr>
          <w:p w14:paraId="63AEB8B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茶几</w:t>
            </w:r>
          </w:p>
        </w:tc>
        <w:tc>
          <w:tcPr>
            <w:tcW w:w="8697" w:type="dxa"/>
            <w:vAlign w:val="center"/>
          </w:tcPr>
          <w:p w14:paraId="2F761A6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规格：1200*600*400                                        </w:t>
            </w:r>
          </w:p>
          <w:p w14:paraId="7CF729B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6.结构：黑色五金钢脚，稳固时尚。</w:t>
            </w:r>
          </w:p>
        </w:tc>
        <w:tc>
          <w:tcPr>
            <w:tcW w:w="840" w:type="dxa"/>
            <w:vAlign w:val="center"/>
          </w:tcPr>
          <w:p w14:paraId="3D532A0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53C9B5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A15B8B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-15240</wp:posOffset>
                  </wp:positionH>
                  <wp:positionV relativeFrom="paragraph">
                    <wp:posOffset>150495</wp:posOffset>
                  </wp:positionV>
                  <wp:extent cx="697865" cy="551180"/>
                  <wp:effectExtent l="0" t="0" r="3175" b="12700"/>
                  <wp:wrapNone/>
                  <wp:docPr id="1183" name="图片_26"/>
                  <wp:cNvGraphicFramePr/>
                  <a:graphic xmlns:a="http://schemas.openxmlformats.org/drawingml/2006/main">
                    <a:graphicData uri="http://schemas.openxmlformats.org/drawingml/2006/picture">
                      <pic:pic xmlns:pic="http://schemas.openxmlformats.org/drawingml/2006/picture">
                        <pic:nvPicPr>
                          <pic:cNvPr id="1183" name="图片_26"/>
                          <pic:cNvPicPr/>
                        </pic:nvPicPr>
                        <pic:blipFill>
                          <a:blip r:embed="rId283"/>
                          <a:stretch>
                            <a:fillRect/>
                          </a:stretch>
                        </pic:blipFill>
                        <pic:spPr>
                          <a:xfrm>
                            <a:off x="0" y="0"/>
                            <a:ext cx="697865" cy="551180"/>
                          </a:xfrm>
                          <a:prstGeom prst="rect">
                            <a:avLst/>
                          </a:prstGeom>
                          <a:noFill/>
                          <a:ln>
                            <a:noFill/>
                          </a:ln>
                        </pic:spPr>
                      </pic:pic>
                    </a:graphicData>
                  </a:graphic>
                </wp:anchor>
              </w:drawing>
            </w:r>
          </w:p>
        </w:tc>
      </w:tr>
      <w:tr w14:paraId="081D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711EEA31">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color w:val="auto"/>
                <w:sz w:val="21"/>
                <w:szCs w:val="21"/>
                <w:lang w:val="en-US" w:eastAsia="zh-CN"/>
              </w:rPr>
              <w:t>二层财务办公室</w:t>
            </w:r>
          </w:p>
        </w:tc>
      </w:tr>
      <w:tr w14:paraId="205B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878D11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293" w:type="dxa"/>
            <w:vAlign w:val="center"/>
          </w:tcPr>
          <w:p w14:paraId="1F66849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双人办公桌</w:t>
            </w:r>
          </w:p>
        </w:tc>
        <w:tc>
          <w:tcPr>
            <w:tcW w:w="8697" w:type="dxa"/>
            <w:vAlign w:val="center"/>
          </w:tcPr>
          <w:p w14:paraId="070630B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规格：1600W*2400D*750H                                     </w:t>
            </w:r>
          </w:p>
          <w:p w14:paraId="2B46C886">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6770370</wp:posOffset>
                  </wp:positionH>
                  <wp:positionV relativeFrom="paragraph">
                    <wp:posOffset>140970</wp:posOffset>
                  </wp:positionV>
                  <wp:extent cx="651510" cy="673100"/>
                  <wp:effectExtent l="0" t="0" r="3810" b="12700"/>
                  <wp:wrapNone/>
                  <wp:docPr id="1185" name="图片_58"/>
                  <wp:cNvGraphicFramePr/>
                  <a:graphic xmlns:a="http://schemas.openxmlformats.org/drawingml/2006/main">
                    <a:graphicData uri="http://schemas.openxmlformats.org/drawingml/2006/picture">
                      <pic:pic xmlns:pic="http://schemas.openxmlformats.org/drawingml/2006/picture">
                        <pic:nvPicPr>
                          <pic:cNvPr id="1185" name="图片_58"/>
                          <pic:cNvPicPr/>
                        </pic:nvPicPr>
                        <pic:blipFill>
                          <a:blip r:embed="rId284"/>
                          <a:stretch>
                            <a:fillRect/>
                          </a:stretch>
                        </pic:blipFill>
                        <pic:spPr>
                          <a:xfrm>
                            <a:off x="0" y="0"/>
                            <a:ext cx="651510" cy="673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6.钢架桌脚：采用优质钢管</w:t>
            </w:r>
          </w:p>
        </w:tc>
        <w:tc>
          <w:tcPr>
            <w:tcW w:w="840" w:type="dxa"/>
            <w:vAlign w:val="center"/>
          </w:tcPr>
          <w:p w14:paraId="1091D3B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组</w:t>
            </w:r>
          </w:p>
        </w:tc>
        <w:tc>
          <w:tcPr>
            <w:tcW w:w="893" w:type="dxa"/>
            <w:vAlign w:val="center"/>
          </w:tcPr>
          <w:p w14:paraId="0BC724C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685F78F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79E4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7" w:hRule="atLeast"/>
        </w:trPr>
        <w:tc>
          <w:tcPr>
            <w:tcW w:w="664" w:type="dxa"/>
            <w:vAlign w:val="center"/>
          </w:tcPr>
          <w:p w14:paraId="16CAB3B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293" w:type="dxa"/>
            <w:vAlign w:val="center"/>
          </w:tcPr>
          <w:p w14:paraId="4B8F12A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教师午休椅</w:t>
            </w:r>
          </w:p>
        </w:tc>
        <w:tc>
          <w:tcPr>
            <w:tcW w:w="8697" w:type="dxa"/>
            <w:vAlign w:val="center"/>
          </w:tcPr>
          <w:p w14:paraId="04C6DFED">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1.规格：620*660*1170-1270mm，座高420-520mm，靠背可倾斜范围90-150°，整体展开尺寸为168cm。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2.坐垫：采用7cm高回弹定型棉坐垫，软硬适中回弹力强，长时间久坐不易变形，坐感舒适；坐垫底部有一个塑料拉手，掰动塑料拉手通过气杆的作用可调节靠背的倾斜角度。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靠背：面料：采用高韧高弹透气面料，质感柔和，光泽度好，透气性强，富有韧性。背框：采用仿人体脊椎设计，符合人体自然形态，整体呈S型设计符合人体工程学原理，采用pp+玻纤材质制作而成，背部有9根超大龙股腰托，超宽支撑面覆盖腰部，并设有腰托调节器，给腰背舒适支撑，分散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4.底座机构：采用多功能钢制加厚底盘，更加稳固。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5.扶手：采用pp+玻纤材质制作而成，左右扶手宽625mm。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6.脚踏：置于座面底部，隐藏式伸缩脚踏，260mm拉伸长度，钢管支撑，承重稳固，推拉方便快捷。脚踏伸出时可以有力的支撑小腿，脚踏收起时不影响日常活动。踏板尺寸为长335mm宽190mm（±5mm）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7.椅脚：采用美观的四星形脚，前腿长370mm，后腿长450mm，前腿宽545mm，后腿宽555mm。后腿加长，重心更加稳固，不易往后翻。材质采用pp+玻纤材质一体成型制作而成。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8.椅轮：采用卡簧式PU脚轮，防震耐摩擦，适用于各种地面条件；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9.气压棒：采用特制定向三级气杆，稳定性强，伸缩不漏气；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10.头枕：495mm宽大头枕设计，完美曲线贴合颈椎，随心躺靠，头部得到空间解放，亲肤网面包裹，头枕外框材质采用pp+玻纤材质制作。</w:t>
            </w:r>
          </w:p>
        </w:tc>
        <w:tc>
          <w:tcPr>
            <w:tcW w:w="840" w:type="dxa"/>
            <w:vAlign w:val="center"/>
          </w:tcPr>
          <w:p w14:paraId="0223CFE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189B183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20" w:type="dxa"/>
            <w:vAlign w:val="center"/>
          </w:tcPr>
          <w:p w14:paraId="0713362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13970</wp:posOffset>
                  </wp:positionH>
                  <wp:positionV relativeFrom="paragraph">
                    <wp:posOffset>-302895</wp:posOffset>
                  </wp:positionV>
                  <wp:extent cx="848360" cy="898525"/>
                  <wp:effectExtent l="0" t="0" r="5080" b="635"/>
                  <wp:wrapNone/>
                  <wp:docPr id="1188" name="图片_4"/>
                  <wp:cNvGraphicFramePr/>
                  <a:graphic xmlns:a="http://schemas.openxmlformats.org/drawingml/2006/main">
                    <a:graphicData uri="http://schemas.openxmlformats.org/drawingml/2006/picture">
                      <pic:pic xmlns:pic="http://schemas.openxmlformats.org/drawingml/2006/picture">
                        <pic:nvPicPr>
                          <pic:cNvPr id="1188" name="图片_4"/>
                          <pic:cNvPicPr/>
                        </pic:nvPicPr>
                        <pic:blipFill>
                          <a:blip r:embed="rId285"/>
                          <a:stretch>
                            <a:fillRect/>
                          </a:stretch>
                        </pic:blipFill>
                        <pic:spPr>
                          <a:xfrm>
                            <a:off x="0" y="0"/>
                            <a:ext cx="848360" cy="898525"/>
                          </a:xfrm>
                          <a:prstGeom prst="rect">
                            <a:avLst/>
                          </a:prstGeom>
                          <a:noFill/>
                          <a:ln>
                            <a:noFill/>
                          </a:ln>
                        </pic:spPr>
                      </pic:pic>
                    </a:graphicData>
                  </a:graphic>
                </wp:anchor>
              </w:drawing>
            </w:r>
          </w:p>
        </w:tc>
      </w:tr>
      <w:tr w14:paraId="7E86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CCF1C4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293" w:type="dxa"/>
            <w:vAlign w:val="center"/>
          </w:tcPr>
          <w:p w14:paraId="5625C90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文件柜</w:t>
            </w:r>
          </w:p>
        </w:tc>
        <w:tc>
          <w:tcPr>
            <w:tcW w:w="8697" w:type="dxa"/>
            <w:vAlign w:val="center"/>
          </w:tcPr>
          <w:p w14:paraId="5FCC8A7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规格：800W*400D*2000H                                     </w:t>
            </w:r>
          </w:p>
          <w:p w14:paraId="55FE9B0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5.五金配件：采用优质五金连接件；25厘层板，木框玻璃门，带7字锁、1302拉手。</w:t>
            </w:r>
          </w:p>
        </w:tc>
        <w:tc>
          <w:tcPr>
            <w:tcW w:w="840" w:type="dxa"/>
            <w:vAlign w:val="center"/>
          </w:tcPr>
          <w:p w14:paraId="04F3911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FE2859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20" w:type="dxa"/>
            <w:vAlign w:val="center"/>
          </w:tcPr>
          <w:p w14:paraId="65885E0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-12065</wp:posOffset>
                  </wp:positionH>
                  <wp:positionV relativeFrom="paragraph">
                    <wp:posOffset>318770</wp:posOffset>
                  </wp:positionV>
                  <wp:extent cx="675640" cy="840105"/>
                  <wp:effectExtent l="0" t="0" r="10160" b="13335"/>
                  <wp:wrapNone/>
                  <wp:docPr id="1190" name="图片_15"/>
                  <wp:cNvGraphicFramePr/>
                  <a:graphic xmlns:a="http://schemas.openxmlformats.org/drawingml/2006/main">
                    <a:graphicData uri="http://schemas.openxmlformats.org/drawingml/2006/picture">
                      <pic:pic xmlns:pic="http://schemas.openxmlformats.org/drawingml/2006/picture">
                        <pic:nvPicPr>
                          <pic:cNvPr id="1190" name="图片_15"/>
                          <pic:cNvPicPr/>
                        </pic:nvPicPr>
                        <pic:blipFill>
                          <a:blip r:embed="rId286"/>
                          <a:stretch>
                            <a:fillRect/>
                          </a:stretch>
                        </pic:blipFill>
                        <pic:spPr>
                          <a:xfrm>
                            <a:off x="0" y="0"/>
                            <a:ext cx="675640" cy="840105"/>
                          </a:xfrm>
                          <a:prstGeom prst="rect">
                            <a:avLst/>
                          </a:prstGeom>
                          <a:noFill/>
                          <a:ln>
                            <a:noFill/>
                          </a:ln>
                        </pic:spPr>
                      </pic:pic>
                    </a:graphicData>
                  </a:graphic>
                </wp:anchor>
              </w:drawing>
            </w:r>
          </w:p>
        </w:tc>
      </w:tr>
      <w:tr w14:paraId="520A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D6501C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293" w:type="dxa"/>
            <w:vAlign w:val="center"/>
          </w:tcPr>
          <w:p w14:paraId="1E1BA4C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沙发</w:t>
            </w:r>
          </w:p>
        </w:tc>
        <w:tc>
          <w:tcPr>
            <w:tcW w:w="8697" w:type="dxa"/>
            <w:vAlign w:val="center"/>
          </w:tcPr>
          <w:p w14:paraId="7C02AAC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规格：1800W*770D*880H                                     </w:t>
            </w:r>
          </w:p>
          <w:p w14:paraId="0846B611">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1.面料:选用高级超纤皮,经液态浸色及防潮、防污等工艺处理、皮面更加柔软舒适、光泽持久性好，纹理细腻，富有弹性。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2.实木板框架:优质进口含水率低9%以下的硬木木方及5mm的多层夹板,经防虫、防腐等化学处理。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3.海绵:采用杜邦公司的PU成型发泡高密度海绵高回弹海绵,表面有一层保护面,可防氧化,防碎,经过HD测试永不变形。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4.工艺：采用人体工学设计，坐感舒适。</w:t>
            </w:r>
          </w:p>
        </w:tc>
        <w:tc>
          <w:tcPr>
            <w:tcW w:w="840" w:type="dxa"/>
            <w:vAlign w:val="center"/>
          </w:tcPr>
          <w:p w14:paraId="07652B6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71E9DB3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744BBAE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8032" behindDoc="0" locked="0" layoutInCell="1" allowOverlap="1">
                  <wp:simplePos x="0" y="0"/>
                  <wp:positionH relativeFrom="column">
                    <wp:posOffset>-12065</wp:posOffset>
                  </wp:positionH>
                  <wp:positionV relativeFrom="paragraph">
                    <wp:posOffset>161290</wp:posOffset>
                  </wp:positionV>
                  <wp:extent cx="645160" cy="513715"/>
                  <wp:effectExtent l="0" t="0" r="10160" b="4445"/>
                  <wp:wrapNone/>
                  <wp:docPr id="1192" name="图片_24"/>
                  <wp:cNvGraphicFramePr/>
                  <a:graphic xmlns:a="http://schemas.openxmlformats.org/drawingml/2006/main">
                    <a:graphicData uri="http://schemas.openxmlformats.org/drawingml/2006/picture">
                      <pic:pic xmlns:pic="http://schemas.openxmlformats.org/drawingml/2006/picture">
                        <pic:nvPicPr>
                          <pic:cNvPr id="1192" name="图片_24"/>
                          <pic:cNvPicPr/>
                        </pic:nvPicPr>
                        <pic:blipFill>
                          <a:blip r:embed="rId287"/>
                          <a:stretch>
                            <a:fillRect/>
                          </a:stretch>
                        </pic:blipFill>
                        <pic:spPr>
                          <a:xfrm>
                            <a:off x="0" y="0"/>
                            <a:ext cx="645160" cy="513715"/>
                          </a:xfrm>
                          <a:prstGeom prst="rect">
                            <a:avLst/>
                          </a:prstGeom>
                          <a:noFill/>
                          <a:ln>
                            <a:noFill/>
                          </a:ln>
                        </pic:spPr>
                      </pic:pic>
                    </a:graphicData>
                  </a:graphic>
                </wp:anchor>
              </w:drawing>
            </w:r>
          </w:p>
        </w:tc>
      </w:tr>
      <w:tr w14:paraId="1C52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115D13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293" w:type="dxa"/>
            <w:vAlign w:val="center"/>
          </w:tcPr>
          <w:p w14:paraId="3853B6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茶几</w:t>
            </w:r>
          </w:p>
        </w:tc>
        <w:tc>
          <w:tcPr>
            <w:tcW w:w="8697" w:type="dxa"/>
            <w:vAlign w:val="center"/>
          </w:tcPr>
          <w:p w14:paraId="76C525F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规格：600*600*400                                         </w:t>
            </w:r>
          </w:p>
          <w:p w14:paraId="3297E14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6.结构：黑色五金钢脚，稳固时尚。</w:t>
            </w:r>
          </w:p>
        </w:tc>
        <w:tc>
          <w:tcPr>
            <w:tcW w:w="840" w:type="dxa"/>
            <w:vAlign w:val="center"/>
          </w:tcPr>
          <w:p w14:paraId="78B404D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139D80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29EFB34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49056" behindDoc="0" locked="0" layoutInCell="1" allowOverlap="1">
                  <wp:simplePos x="0" y="0"/>
                  <wp:positionH relativeFrom="column">
                    <wp:posOffset>1905</wp:posOffset>
                  </wp:positionH>
                  <wp:positionV relativeFrom="paragraph">
                    <wp:posOffset>342900</wp:posOffset>
                  </wp:positionV>
                  <wp:extent cx="673100" cy="697865"/>
                  <wp:effectExtent l="0" t="0" r="12700" b="3175"/>
                  <wp:wrapNone/>
                  <wp:docPr id="1194" name="图片_16"/>
                  <wp:cNvGraphicFramePr/>
                  <a:graphic xmlns:a="http://schemas.openxmlformats.org/drawingml/2006/main">
                    <a:graphicData uri="http://schemas.openxmlformats.org/drawingml/2006/picture">
                      <pic:pic xmlns:pic="http://schemas.openxmlformats.org/drawingml/2006/picture">
                        <pic:nvPicPr>
                          <pic:cNvPr id="1194" name="图片_16"/>
                          <pic:cNvPicPr/>
                        </pic:nvPicPr>
                        <pic:blipFill>
                          <a:blip r:embed="rId288"/>
                          <a:stretch>
                            <a:fillRect/>
                          </a:stretch>
                        </pic:blipFill>
                        <pic:spPr>
                          <a:xfrm>
                            <a:off x="0" y="0"/>
                            <a:ext cx="673100" cy="697865"/>
                          </a:xfrm>
                          <a:prstGeom prst="rect">
                            <a:avLst/>
                          </a:prstGeom>
                          <a:noFill/>
                          <a:ln>
                            <a:noFill/>
                          </a:ln>
                        </pic:spPr>
                      </pic:pic>
                    </a:graphicData>
                  </a:graphic>
                </wp:anchor>
              </w:drawing>
            </w:r>
          </w:p>
        </w:tc>
      </w:tr>
      <w:tr w14:paraId="29A9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74657305">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color w:val="auto"/>
                <w:sz w:val="21"/>
                <w:szCs w:val="21"/>
                <w:lang w:val="en-US" w:eastAsia="zh-CN"/>
              </w:rPr>
              <w:t>二层会议室</w:t>
            </w:r>
          </w:p>
        </w:tc>
      </w:tr>
      <w:tr w14:paraId="0F40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FFD21D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293" w:type="dxa"/>
            <w:vAlign w:val="center"/>
          </w:tcPr>
          <w:p w14:paraId="5EDB862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会议桌</w:t>
            </w:r>
          </w:p>
        </w:tc>
        <w:tc>
          <w:tcPr>
            <w:tcW w:w="8697" w:type="dxa"/>
            <w:vAlign w:val="center"/>
          </w:tcPr>
          <w:p w14:paraId="1098C62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规格：3600W*1200D*750H                                     </w:t>
            </w:r>
          </w:p>
          <w:p w14:paraId="1676BF13">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                                                                                                                                                              6.结构：双层板组装而成，台底部倒斜边，台脚配置高度调节功能，支撑柜四角采用封铝合金薄边，产品更具精致美观，标配铝合金拉丝线盖，内部预留3个86插座安装孔位；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7.钢架桌脚：采用优质钢管。</w:t>
            </w:r>
          </w:p>
        </w:tc>
        <w:tc>
          <w:tcPr>
            <w:tcW w:w="840" w:type="dxa"/>
            <w:vAlign w:val="center"/>
          </w:tcPr>
          <w:p w14:paraId="3A9DF31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68CF09F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5BD84C8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0080" behindDoc="0" locked="0" layoutInCell="1" allowOverlap="1">
                  <wp:simplePos x="0" y="0"/>
                  <wp:positionH relativeFrom="column">
                    <wp:posOffset>28575</wp:posOffset>
                  </wp:positionH>
                  <wp:positionV relativeFrom="paragraph">
                    <wp:posOffset>549910</wp:posOffset>
                  </wp:positionV>
                  <wp:extent cx="646430" cy="483870"/>
                  <wp:effectExtent l="0" t="0" r="8890" b="3810"/>
                  <wp:wrapNone/>
                  <wp:docPr id="1196" name="图片_17"/>
                  <wp:cNvGraphicFramePr/>
                  <a:graphic xmlns:a="http://schemas.openxmlformats.org/drawingml/2006/main">
                    <a:graphicData uri="http://schemas.openxmlformats.org/drawingml/2006/picture">
                      <pic:pic xmlns:pic="http://schemas.openxmlformats.org/drawingml/2006/picture">
                        <pic:nvPicPr>
                          <pic:cNvPr id="1196" name="图片_17"/>
                          <pic:cNvPicPr/>
                        </pic:nvPicPr>
                        <pic:blipFill>
                          <a:blip r:embed="rId289"/>
                          <a:stretch>
                            <a:fillRect/>
                          </a:stretch>
                        </pic:blipFill>
                        <pic:spPr>
                          <a:xfrm>
                            <a:off x="0" y="0"/>
                            <a:ext cx="646430" cy="483870"/>
                          </a:xfrm>
                          <a:prstGeom prst="rect">
                            <a:avLst/>
                          </a:prstGeom>
                          <a:noFill/>
                          <a:ln>
                            <a:noFill/>
                          </a:ln>
                        </pic:spPr>
                      </pic:pic>
                    </a:graphicData>
                  </a:graphic>
                </wp:anchor>
              </w:drawing>
            </w:r>
          </w:p>
        </w:tc>
      </w:tr>
      <w:tr w14:paraId="0E02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B8A010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293" w:type="dxa"/>
            <w:vAlign w:val="center"/>
          </w:tcPr>
          <w:p w14:paraId="0AD029B2">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会议椅</w:t>
            </w:r>
          </w:p>
        </w:tc>
        <w:tc>
          <w:tcPr>
            <w:tcW w:w="8697" w:type="dxa"/>
            <w:vAlign w:val="center"/>
          </w:tcPr>
          <w:p w14:paraId="26A44C4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规格：常规                                                 </w:t>
            </w:r>
          </w:p>
          <w:p w14:paraId="58EBB7F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1.黑色尼龙加玻纤背架；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6797040</wp:posOffset>
                  </wp:positionH>
                  <wp:positionV relativeFrom="paragraph">
                    <wp:posOffset>-55245</wp:posOffset>
                  </wp:positionV>
                  <wp:extent cx="605790" cy="817880"/>
                  <wp:effectExtent l="0" t="0" r="3810" b="5080"/>
                  <wp:wrapNone/>
                  <wp:docPr id="1198" name="图片_2"/>
                  <wp:cNvGraphicFramePr/>
                  <a:graphic xmlns:a="http://schemas.openxmlformats.org/drawingml/2006/main">
                    <a:graphicData uri="http://schemas.openxmlformats.org/drawingml/2006/picture">
                      <pic:pic xmlns:pic="http://schemas.openxmlformats.org/drawingml/2006/picture">
                        <pic:nvPicPr>
                          <pic:cNvPr id="1198" name="图片_2"/>
                          <pic:cNvPicPr/>
                        </pic:nvPicPr>
                        <pic:blipFill>
                          <a:blip r:embed="rId290"/>
                          <a:stretch>
                            <a:fillRect/>
                          </a:stretch>
                        </pic:blipFill>
                        <pic:spPr>
                          <a:xfrm>
                            <a:off x="0" y="0"/>
                            <a:ext cx="605790" cy="8178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2.黑色尼龙固定扶手；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3.座包采用定型绵；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4.固定扶手连接椅背和椅座；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5.弓型架采用2.0mm铁管黑色喷涂而成，通过抗氧化功能测试。</w:t>
            </w:r>
          </w:p>
        </w:tc>
        <w:tc>
          <w:tcPr>
            <w:tcW w:w="840" w:type="dxa"/>
            <w:vAlign w:val="center"/>
          </w:tcPr>
          <w:p w14:paraId="1BC6A994">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把</w:t>
            </w:r>
          </w:p>
        </w:tc>
        <w:tc>
          <w:tcPr>
            <w:tcW w:w="893" w:type="dxa"/>
            <w:vAlign w:val="center"/>
          </w:tcPr>
          <w:p w14:paraId="619FD2D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12</w:t>
            </w:r>
          </w:p>
        </w:tc>
        <w:tc>
          <w:tcPr>
            <w:tcW w:w="1720" w:type="dxa"/>
            <w:vAlign w:val="center"/>
          </w:tcPr>
          <w:p w14:paraId="339ACF1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1E1F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522FD0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293" w:type="dxa"/>
            <w:vAlign w:val="center"/>
          </w:tcPr>
          <w:p w14:paraId="62872548">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展示柜</w:t>
            </w:r>
          </w:p>
        </w:tc>
        <w:tc>
          <w:tcPr>
            <w:tcW w:w="8697" w:type="dxa"/>
            <w:vAlign w:val="center"/>
          </w:tcPr>
          <w:p w14:paraId="0427DFE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规格：800*400*2000                                        </w:t>
            </w:r>
          </w:p>
          <w:p w14:paraId="688E497F">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6846570</wp:posOffset>
                  </wp:positionH>
                  <wp:positionV relativeFrom="paragraph">
                    <wp:posOffset>89535</wp:posOffset>
                  </wp:positionV>
                  <wp:extent cx="591185" cy="673735"/>
                  <wp:effectExtent l="0" t="0" r="3175" b="12065"/>
                  <wp:wrapNone/>
                  <wp:docPr id="1200" name="图片_18"/>
                  <wp:cNvGraphicFramePr/>
                  <a:graphic xmlns:a="http://schemas.openxmlformats.org/drawingml/2006/main">
                    <a:graphicData uri="http://schemas.openxmlformats.org/drawingml/2006/picture">
                      <pic:pic xmlns:pic="http://schemas.openxmlformats.org/drawingml/2006/picture">
                        <pic:nvPicPr>
                          <pic:cNvPr id="1200" name="图片_18"/>
                          <pic:cNvPicPr/>
                        </pic:nvPicPr>
                        <pic:blipFill>
                          <a:blip r:embed="rId291"/>
                          <a:stretch>
                            <a:fillRect/>
                          </a:stretch>
                        </pic:blipFill>
                        <pic:spPr>
                          <a:xfrm>
                            <a:off x="0" y="0"/>
                            <a:ext cx="591185" cy="673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p>
        </w:tc>
        <w:tc>
          <w:tcPr>
            <w:tcW w:w="840" w:type="dxa"/>
            <w:vAlign w:val="center"/>
          </w:tcPr>
          <w:p w14:paraId="62D79AC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组</w:t>
            </w:r>
          </w:p>
        </w:tc>
        <w:tc>
          <w:tcPr>
            <w:tcW w:w="893" w:type="dxa"/>
            <w:vAlign w:val="center"/>
          </w:tcPr>
          <w:p w14:paraId="4805B10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20" w:type="dxa"/>
            <w:vAlign w:val="center"/>
          </w:tcPr>
          <w:p w14:paraId="0D6C4A4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2267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90D0B61">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293" w:type="dxa"/>
            <w:vAlign w:val="center"/>
          </w:tcPr>
          <w:p w14:paraId="1D6C405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茶水柜</w:t>
            </w:r>
          </w:p>
        </w:tc>
        <w:tc>
          <w:tcPr>
            <w:tcW w:w="8697" w:type="dxa"/>
            <w:vAlign w:val="center"/>
          </w:tcPr>
          <w:p w14:paraId="7E8EE5E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规格：1200*400*805                                        </w:t>
            </w:r>
          </w:p>
          <w:p w14:paraId="718C846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1.采用优质E0级环保高密度刨花板；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2.饰面纸：采用优质饰面纸；压纹采用优质钢板，浮雕细腻，质感明显。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3.PVC封边：采用优质厚PVC封边带，厚度≥2mm；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4.胶水：采用优质热熔胶品牌，符合环保要求；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5.五金配件：采用优质五金连接件；</w:t>
            </w:r>
          </w:p>
        </w:tc>
        <w:tc>
          <w:tcPr>
            <w:tcW w:w="840" w:type="dxa"/>
            <w:vAlign w:val="center"/>
          </w:tcPr>
          <w:p w14:paraId="025B964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73DE0D6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20" w:type="dxa"/>
            <w:vAlign w:val="center"/>
          </w:tcPr>
          <w:p w14:paraId="0E460C1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88265</wp:posOffset>
                  </wp:positionH>
                  <wp:positionV relativeFrom="paragraph">
                    <wp:posOffset>359410</wp:posOffset>
                  </wp:positionV>
                  <wp:extent cx="577215" cy="629285"/>
                  <wp:effectExtent l="0" t="0" r="1905" b="10795"/>
                  <wp:wrapNone/>
                  <wp:docPr id="1202" name="图片_7"/>
                  <wp:cNvGraphicFramePr/>
                  <a:graphic xmlns:a="http://schemas.openxmlformats.org/drawingml/2006/main">
                    <a:graphicData uri="http://schemas.openxmlformats.org/drawingml/2006/picture">
                      <pic:pic xmlns:pic="http://schemas.openxmlformats.org/drawingml/2006/picture">
                        <pic:nvPicPr>
                          <pic:cNvPr id="1202" name="图片_7"/>
                          <pic:cNvPicPr/>
                        </pic:nvPicPr>
                        <pic:blipFill>
                          <a:blip r:embed="rId292"/>
                          <a:stretch>
                            <a:fillRect/>
                          </a:stretch>
                        </pic:blipFill>
                        <pic:spPr>
                          <a:xfrm>
                            <a:off x="0" y="0"/>
                            <a:ext cx="577215" cy="629285"/>
                          </a:xfrm>
                          <a:prstGeom prst="rect">
                            <a:avLst/>
                          </a:prstGeom>
                          <a:noFill/>
                          <a:ln>
                            <a:noFill/>
                          </a:ln>
                        </pic:spPr>
                      </pic:pic>
                    </a:graphicData>
                  </a:graphic>
                </wp:anchor>
              </w:drawing>
            </w:r>
          </w:p>
        </w:tc>
      </w:tr>
      <w:tr w14:paraId="4440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1B48915C">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color w:val="auto"/>
                <w:sz w:val="21"/>
                <w:szCs w:val="21"/>
              </w:rPr>
              <w:t>二层储物室</w:t>
            </w:r>
          </w:p>
        </w:tc>
      </w:tr>
      <w:tr w14:paraId="358E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214D42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293" w:type="dxa"/>
            <w:vAlign w:val="center"/>
          </w:tcPr>
          <w:p w14:paraId="7556570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资料柜</w:t>
            </w:r>
          </w:p>
        </w:tc>
        <w:tc>
          <w:tcPr>
            <w:tcW w:w="8697" w:type="dxa"/>
            <w:vAlign w:val="center"/>
          </w:tcPr>
          <w:p w14:paraId="3468556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规格：850W*390D*1850H                                     </w:t>
            </w:r>
          </w:p>
          <w:p w14:paraId="29D28874">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1.全钢制，采用上海宝钢0.6mm一级冷轧钢板，表面经过酸洗、磷化处理，表面高温静电喷粉工艺覆盖，五金配件、锁具采用国内一流专业针对钢制家具的配套厂家产品；柜门配锁。</w:t>
            </w:r>
          </w:p>
        </w:tc>
        <w:tc>
          <w:tcPr>
            <w:tcW w:w="840" w:type="dxa"/>
            <w:vAlign w:val="center"/>
          </w:tcPr>
          <w:p w14:paraId="48951CA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893" w:type="dxa"/>
            <w:vAlign w:val="center"/>
          </w:tcPr>
          <w:p w14:paraId="6F969C1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2418370E">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69215</wp:posOffset>
                  </wp:positionH>
                  <wp:positionV relativeFrom="paragraph">
                    <wp:posOffset>33655</wp:posOffset>
                  </wp:positionV>
                  <wp:extent cx="531495" cy="508000"/>
                  <wp:effectExtent l="0" t="0" r="1905" b="10160"/>
                  <wp:wrapNone/>
                  <wp:docPr id="1204" name="图片_19"/>
                  <wp:cNvGraphicFramePr/>
                  <a:graphic xmlns:a="http://schemas.openxmlformats.org/drawingml/2006/main">
                    <a:graphicData uri="http://schemas.openxmlformats.org/drawingml/2006/picture">
                      <pic:pic xmlns:pic="http://schemas.openxmlformats.org/drawingml/2006/picture">
                        <pic:nvPicPr>
                          <pic:cNvPr id="1204" name="图片_19"/>
                          <pic:cNvPicPr/>
                        </pic:nvPicPr>
                        <pic:blipFill>
                          <a:blip r:embed="rId293"/>
                          <a:stretch>
                            <a:fillRect/>
                          </a:stretch>
                        </pic:blipFill>
                        <pic:spPr>
                          <a:xfrm>
                            <a:off x="0" y="0"/>
                            <a:ext cx="531495" cy="508000"/>
                          </a:xfrm>
                          <a:prstGeom prst="rect">
                            <a:avLst/>
                          </a:prstGeom>
                          <a:noFill/>
                          <a:ln>
                            <a:noFill/>
                          </a:ln>
                        </pic:spPr>
                      </pic:pic>
                    </a:graphicData>
                  </a:graphic>
                </wp:anchor>
              </w:drawing>
            </w:r>
          </w:p>
        </w:tc>
      </w:tr>
      <w:tr w14:paraId="00CA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7" w:type="dxa"/>
            <w:gridSpan w:val="6"/>
          </w:tcPr>
          <w:p w14:paraId="43D8866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b/>
                <w:bCs/>
                <w:color w:val="auto"/>
                <w:sz w:val="21"/>
                <w:szCs w:val="21"/>
                <w:lang w:val="en-US" w:eastAsia="zh-CN"/>
              </w:rPr>
              <w:t>三层多功能厅</w:t>
            </w:r>
          </w:p>
        </w:tc>
      </w:tr>
      <w:tr w14:paraId="5D81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B91E0E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293" w:type="dxa"/>
            <w:vAlign w:val="center"/>
          </w:tcPr>
          <w:p w14:paraId="79B98A5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培训椅多功能厅</w:t>
            </w:r>
          </w:p>
        </w:tc>
        <w:tc>
          <w:tcPr>
            <w:tcW w:w="8697" w:type="dxa"/>
            <w:vAlign w:val="center"/>
          </w:tcPr>
          <w:p w14:paraId="35240837">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椅背：加宽背框全新进口PP+30%GF材质，表面绒布质感弹力网，触感舒适+透气双重加成，杜邦丝加强编制，包裹感强，有弹性，网背不易塌陷。双色编制拼接，拒绝单调装饰。背上沿PP弹性专利结构，提供弹性背部支撑。靠背铝合金抛光连接件，提供18°± 2°倾仰支撑需求。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6663690</wp:posOffset>
                  </wp:positionH>
                  <wp:positionV relativeFrom="paragraph">
                    <wp:posOffset>500380</wp:posOffset>
                  </wp:positionV>
                  <wp:extent cx="896620" cy="974725"/>
                  <wp:effectExtent l="0" t="0" r="2540" b="635"/>
                  <wp:wrapNone/>
                  <wp:docPr id="1206" name="图片_3"/>
                  <wp:cNvGraphicFramePr/>
                  <a:graphic xmlns:a="http://schemas.openxmlformats.org/drawingml/2006/main">
                    <a:graphicData uri="http://schemas.openxmlformats.org/drawingml/2006/picture">
                      <pic:pic xmlns:pic="http://schemas.openxmlformats.org/drawingml/2006/picture">
                        <pic:nvPicPr>
                          <pic:cNvPr id="1206" name="图片_3"/>
                          <pic:cNvPicPr/>
                        </pic:nvPicPr>
                        <pic:blipFill>
                          <a:blip r:embed="rId294"/>
                          <a:stretch>
                            <a:fillRect/>
                          </a:stretch>
                        </pic:blipFill>
                        <pic:spPr>
                          <a:xfrm>
                            <a:off x="0" y="0"/>
                            <a:ext cx="896620" cy="9747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2.腰靠：半透明黑色PP超韧腰靠，可上下调节40mm，满足腰部支撑需求。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3.椅座：采用加厚透气定型棉，高弹力坐布包裹，无坐木板，坐感舒适，坐棉由环保PP防尘底壳承托。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4.扶手：PA+25%玻纤扶手面，精抛铝合金支架，可灵活上翻。</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5.椅架：优质管材Φ28mm，厚度1.8mm，结构稳固，表面高温喷涂烤漆处理，漆面牢固，抗氧化、美观。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6.写字板：采用优质ABS工程塑料加厚板面，下层PA底壳稳固支撑，上下双层结构，翻转笔槽满足场景下搭配铝合金喷涂扶手及精抛铝合金</w:t>
            </w:r>
          </w:p>
          <w:p w14:paraId="134E9EF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7.支架，可实现扶手卡位功能，铝合金旋转机构，可折叠收纳写字板。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8.功能：扶手、坐垫上翻，前后推叠摆放，节省空间，倾仰18°± 2°，腰靠升降40mm.</w:t>
            </w:r>
          </w:p>
        </w:tc>
        <w:tc>
          <w:tcPr>
            <w:tcW w:w="840" w:type="dxa"/>
            <w:vAlign w:val="center"/>
          </w:tcPr>
          <w:p w14:paraId="7ABA53B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93D3B9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90</w:t>
            </w:r>
          </w:p>
        </w:tc>
        <w:tc>
          <w:tcPr>
            <w:tcW w:w="1720" w:type="dxa"/>
            <w:vAlign w:val="center"/>
          </w:tcPr>
          <w:p w14:paraId="3BBCB00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p>
        </w:tc>
      </w:tr>
      <w:tr w14:paraId="5FA1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7B4C65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293" w:type="dxa"/>
            <w:vAlign w:val="center"/>
          </w:tcPr>
          <w:p w14:paraId="31B87140">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培训桌多功能厅</w:t>
            </w:r>
          </w:p>
        </w:tc>
        <w:tc>
          <w:tcPr>
            <w:tcW w:w="8697" w:type="dxa"/>
            <w:vAlign w:val="center"/>
          </w:tcPr>
          <w:p w14:paraId="3ED335D0">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1.面板：1400*600*25mm/E0级环保面板材料；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2.挡板：1170*300*18mm/E0级环保面板材料；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3.脚架：Q235碳素钢/φ38*1.5mm；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4.横梁：Q235碳素钢/φ45*1017*1.0mm；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5.书网：Q235碳素钢/φ14*1.0mm/四管；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6.轮子：φ65/M10*20调节螺丝/过BIMFA/单重117克；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7.功能：前后推叠收纳，轻松调整空间布局。</w:t>
            </w:r>
          </w:p>
        </w:tc>
        <w:tc>
          <w:tcPr>
            <w:tcW w:w="840" w:type="dxa"/>
            <w:vAlign w:val="center"/>
          </w:tcPr>
          <w:p w14:paraId="54F105A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288A78D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1720" w:type="dxa"/>
            <w:vAlign w:val="center"/>
          </w:tcPr>
          <w:p w14:paraId="2B5F4A5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40640</wp:posOffset>
                  </wp:positionH>
                  <wp:positionV relativeFrom="paragraph">
                    <wp:posOffset>241300</wp:posOffset>
                  </wp:positionV>
                  <wp:extent cx="927100" cy="740410"/>
                  <wp:effectExtent l="0" t="0" r="2540" b="6350"/>
                  <wp:wrapNone/>
                  <wp:docPr id="1208" name="图片_4"/>
                  <wp:cNvGraphicFramePr/>
                  <a:graphic xmlns:a="http://schemas.openxmlformats.org/drawingml/2006/main">
                    <a:graphicData uri="http://schemas.openxmlformats.org/drawingml/2006/picture">
                      <pic:pic xmlns:pic="http://schemas.openxmlformats.org/drawingml/2006/picture">
                        <pic:nvPicPr>
                          <pic:cNvPr id="1208" name="图片_4"/>
                          <pic:cNvPicPr/>
                        </pic:nvPicPr>
                        <pic:blipFill>
                          <a:blip r:embed="rId295"/>
                          <a:stretch>
                            <a:fillRect/>
                          </a:stretch>
                        </pic:blipFill>
                        <pic:spPr>
                          <a:xfrm>
                            <a:off x="0" y="0"/>
                            <a:ext cx="927100" cy="740410"/>
                          </a:xfrm>
                          <a:prstGeom prst="rect">
                            <a:avLst/>
                          </a:prstGeom>
                          <a:noFill/>
                          <a:ln>
                            <a:noFill/>
                          </a:ln>
                        </pic:spPr>
                      </pic:pic>
                    </a:graphicData>
                  </a:graphic>
                </wp:anchor>
              </w:drawing>
            </w:r>
          </w:p>
        </w:tc>
      </w:tr>
      <w:tr w14:paraId="681D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8D7A5C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293" w:type="dxa"/>
            <w:vAlign w:val="center"/>
          </w:tcPr>
          <w:p w14:paraId="7F5C9E9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教师午休椅</w:t>
            </w:r>
          </w:p>
        </w:tc>
        <w:tc>
          <w:tcPr>
            <w:tcW w:w="8697" w:type="dxa"/>
            <w:vAlign w:val="center"/>
          </w:tcPr>
          <w:p w14:paraId="4524908B">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1.规格：620*660*1170-1270mm，座高420-520mm，靠背可倾斜范围90-150°，整体展开尺寸为168cm。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2.坐垫：采用7cm高回弹定型棉坐垫，软硬适中回弹力强，长时间久坐不易变形，坐感舒适；坐垫底部有一个塑料拉手，掰动塑料拉手通过气杆的作用可调节靠背的倾斜角度。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靠背：面料：采用高韧高弹透气面料，质感柔和，光泽度好，透气性强，富有韧性。背框：采用仿人体脊椎设计，符合人体自然形态，整体呈S型设计符合人体工程学原理，采用pp+玻纤材质制作而成，背部有9根超大龙股腰托，超宽支撑面覆盖腰部，并设有腰托调节器，给腰背舒适支撑，分散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4.底座机构：采用多功能钢制加厚底盘，更加稳固。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5.扶手：采用pp+玻纤材质制作而成，左右扶手宽625mm。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6.脚踏：置于座面底部，隐藏式伸缩脚踏，260mm拉伸长度，钢管支撑，承重稳固，推拉方便快捷。脚踏伸出时可以有力的支撑小腿，脚踏收起时不影响日常活动。踏板尺寸为长335mm宽190mm（±5mm）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7.椅脚：采用美观的四星形脚，前腿长370mm，后腿长450mm，前腿宽545mm，后腿宽555mm。后腿加长，重心更加稳固，不易往后翻。材质采用pp+玻纤材质一体成型制作而成。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8.椅轮：采用卡簧式PU脚轮，防震耐摩擦，适用于各种地面条件；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9.气压棒：采用特制定向三级气杆，稳定性强，伸缩不漏气；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10.头枕：495mm宽大头枕设计，完美曲线贴合颈椎，随心躺靠，头部得到空间解放，亲肤网面包裹，头枕外框材质采用pp+玻纤材质制作。</w:t>
            </w:r>
          </w:p>
        </w:tc>
        <w:tc>
          <w:tcPr>
            <w:tcW w:w="840" w:type="dxa"/>
            <w:vAlign w:val="center"/>
          </w:tcPr>
          <w:p w14:paraId="108C6C0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57615F6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12</w:t>
            </w:r>
          </w:p>
        </w:tc>
        <w:tc>
          <w:tcPr>
            <w:tcW w:w="1720" w:type="dxa"/>
            <w:vAlign w:val="center"/>
          </w:tcPr>
          <w:p w14:paraId="0CAD8CFC">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24130</wp:posOffset>
                  </wp:positionH>
                  <wp:positionV relativeFrom="paragraph">
                    <wp:posOffset>1169035</wp:posOffset>
                  </wp:positionV>
                  <wp:extent cx="913130" cy="1003300"/>
                  <wp:effectExtent l="0" t="0" r="1270" b="2540"/>
                  <wp:wrapNone/>
                  <wp:docPr id="1210" name="图片_4_SpCnt_1"/>
                  <wp:cNvGraphicFramePr/>
                  <a:graphic xmlns:a="http://schemas.openxmlformats.org/drawingml/2006/main">
                    <a:graphicData uri="http://schemas.openxmlformats.org/drawingml/2006/picture">
                      <pic:pic xmlns:pic="http://schemas.openxmlformats.org/drawingml/2006/picture">
                        <pic:nvPicPr>
                          <pic:cNvPr id="1210" name="图片_4_SpCnt_1"/>
                          <pic:cNvPicPr/>
                        </pic:nvPicPr>
                        <pic:blipFill>
                          <a:blip r:embed="rId296"/>
                          <a:stretch>
                            <a:fillRect/>
                          </a:stretch>
                        </pic:blipFill>
                        <pic:spPr>
                          <a:xfrm>
                            <a:off x="0" y="0"/>
                            <a:ext cx="913130" cy="1003300"/>
                          </a:xfrm>
                          <a:prstGeom prst="rect">
                            <a:avLst/>
                          </a:prstGeom>
                          <a:noFill/>
                          <a:ln>
                            <a:noFill/>
                          </a:ln>
                        </pic:spPr>
                      </pic:pic>
                    </a:graphicData>
                  </a:graphic>
                </wp:anchor>
              </w:drawing>
            </w:r>
          </w:p>
        </w:tc>
      </w:tr>
      <w:tr w14:paraId="473F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664" w:type="dxa"/>
            <w:vAlign w:val="center"/>
          </w:tcPr>
          <w:p w14:paraId="36D17849">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293" w:type="dxa"/>
            <w:vAlign w:val="center"/>
          </w:tcPr>
          <w:p w14:paraId="4DE9C453">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餐桌</w:t>
            </w:r>
          </w:p>
        </w:tc>
        <w:tc>
          <w:tcPr>
            <w:tcW w:w="8697" w:type="dxa"/>
            <w:vAlign w:val="center"/>
          </w:tcPr>
          <w:p w14:paraId="0738A1D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规格：1400*800*750                                        </w:t>
            </w:r>
          </w:p>
          <w:p w14:paraId="43EF76F7">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1、台面采用多层实木板贴白蜡木木皮生产；桌脚选用优质白蜡木实木制作，表面经多次打磨环保油漆覆盖</w:t>
            </w:r>
          </w:p>
        </w:tc>
        <w:tc>
          <w:tcPr>
            <w:tcW w:w="840" w:type="dxa"/>
            <w:vAlign w:val="center"/>
          </w:tcPr>
          <w:p w14:paraId="38CE3CFA">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4BFF9297">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1720" w:type="dxa"/>
            <w:vAlign w:val="center"/>
          </w:tcPr>
          <w:p w14:paraId="55A82696">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47625</wp:posOffset>
                  </wp:positionH>
                  <wp:positionV relativeFrom="paragraph">
                    <wp:posOffset>71120</wp:posOffset>
                  </wp:positionV>
                  <wp:extent cx="608330" cy="459740"/>
                  <wp:effectExtent l="0" t="0" r="1270" b="12700"/>
                  <wp:wrapNone/>
                  <wp:docPr id="1212" name="图片_1"/>
                  <wp:cNvGraphicFramePr/>
                  <a:graphic xmlns:a="http://schemas.openxmlformats.org/drawingml/2006/main">
                    <a:graphicData uri="http://schemas.openxmlformats.org/drawingml/2006/picture">
                      <pic:pic xmlns:pic="http://schemas.openxmlformats.org/drawingml/2006/picture">
                        <pic:nvPicPr>
                          <pic:cNvPr id="1212" name="图片_1"/>
                          <pic:cNvPicPr/>
                        </pic:nvPicPr>
                        <pic:blipFill>
                          <a:blip r:embed="rId297"/>
                          <a:stretch>
                            <a:fillRect/>
                          </a:stretch>
                        </pic:blipFill>
                        <pic:spPr>
                          <a:xfrm>
                            <a:off x="0" y="0"/>
                            <a:ext cx="608330" cy="459740"/>
                          </a:xfrm>
                          <a:prstGeom prst="rect">
                            <a:avLst/>
                          </a:prstGeom>
                          <a:noFill/>
                          <a:ln>
                            <a:noFill/>
                          </a:ln>
                        </pic:spPr>
                      </pic:pic>
                    </a:graphicData>
                  </a:graphic>
                </wp:anchor>
              </w:drawing>
            </w:r>
          </w:p>
        </w:tc>
      </w:tr>
      <w:tr w14:paraId="79A6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3485FB0F">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293" w:type="dxa"/>
            <w:vAlign w:val="center"/>
          </w:tcPr>
          <w:p w14:paraId="39F8F52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餐椅</w:t>
            </w:r>
          </w:p>
        </w:tc>
        <w:tc>
          <w:tcPr>
            <w:tcW w:w="8697" w:type="dxa"/>
            <w:vAlign w:val="center"/>
          </w:tcPr>
          <w:p w14:paraId="09E13FC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规格：常规                                                 </w:t>
            </w:r>
          </w:p>
          <w:p w14:paraId="7F061932">
            <w:pPr>
              <w:keepNext w:val="0"/>
              <w:keepLines w:val="0"/>
              <w:widowControl/>
              <w:suppressLineNumbers w:val="0"/>
              <w:jc w:val="left"/>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1、主体框架选用纯美国白蜡木实木制作，采用出榫开槽实结构，粘合全部进口AB铁胶，表面经多次打磨环保油漆覆盖；软包35以上高密度海绵外扪耐磨西皮或布艺。</w:t>
            </w:r>
          </w:p>
        </w:tc>
        <w:tc>
          <w:tcPr>
            <w:tcW w:w="840" w:type="dxa"/>
            <w:vAlign w:val="center"/>
          </w:tcPr>
          <w:p w14:paraId="3A48716B">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张</w:t>
            </w:r>
          </w:p>
        </w:tc>
        <w:tc>
          <w:tcPr>
            <w:tcW w:w="893" w:type="dxa"/>
            <w:vAlign w:val="center"/>
          </w:tcPr>
          <w:p w14:paraId="7D7F43FD">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lang w:val="en-US" w:eastAsia="zh-CN" w:bidi="ar"/>
              </w:rPr>
              <w:t>24</w:t>
            </w:r>
          </w:p>
        </w:tc>
        <w:tc>
          <w:tcPr>
            <w:tcW w:w="1720" w:type="dxa"/>
            <w:vAlign w:val="center"/>
          </w:tcPr>
          <w:p w14:paraId="3081CCE5">
            <w:pPr>
              <w:keepNext w:val="0"/>
              <w:keepLines w:val="0"/>
              <w:widowControl/>
              <w:suppressLineNumbers w:val="0"/>
              <w:jc w:val="center"/>
              <w:textAlignment w:val="center"/>
              <w:rPr>
                <w:rFonts w:hint="eastAsia" w:ascii="宋体" w:hAnsi="宋体" w:eastAsia="宋体" w:cs="宋体"/>
                <w:b/>
                <w:color w:val="auto"/>
                <w:kern w:val="2"/>
                <w:sz w:val="21"/>
                <w:szCs w:val="21"/>
                <w:vertAlign w:val="baseli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214630</wp:posOffset>
                  </wp:positionH>
                  <wp:positionV relativeFrom="paragraph">
                    <wp:posOffset>-62230</wp:posOffset>
                  </wp:positionV>
                  <wp:extent cx="441325" cy="495300"/>
                  <wp:effectExtent l="0" t="0" r="635" b="7620"/>
                  <wp:wrapNone/>
                  <wp:docPr id="1214" name="图片_2"/>
                  <wp:cNvGraphicFramePr/>
                  <a:graphic xmlns:a="http://schemas.openxmlformats.org/drawingml/2006/main">
                    <a:graphicData uri="http://schemas.openxmlformats.org/drawingml/2006/picture">
                      <pic:pic xmlns:pic="http://schemas.openxmlformats.org/drawingml/2006/picture">
                        <pic:nvPicPr>
                          <pic:cNvPr id="1214" name="图片_2"/>
                          <pic:cNvPicPr/>
                        </pic:nvPicPr>
                        <pic:blipFill>
                          <a:blip r:embed="rId298"/>
                          <a:stretch>
                            <a:fillRect/>
                          </a:stretch>
                        </pic:blipFill>
                        <pic:spPr>
                          <a:xfrm>
                            <a:off x="0" y="0"/>
                            <a:ext cx="441325" cy="495300"/>
                          </a:xfrm>
                          <a:prstGeom prst="rect">
                            <a:avLst/>
                          </a:prstGeom>
                          <a:noFill/>
                          <a:ln>
                            <a:noFill/>
                          </a:ln>
                        </pic:spPr>
                      </pic:pic>
                    </a:graphicData>
                  </a:graphic>
                </wp:anchor>
              </w:drawing>
            </w:r>
          </w:p>
        </w:tc>
      </w:tr>
    </w:tbl>
    <w:p w14:paraId="0B13759B">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4402EA7F">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3F22099D">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72024EC7">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39DB715C">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461A8295">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23AF807D">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50E90613">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7AFDED4A">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05F53321">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pPr>
    </w:p>
    <w:p w14:paraId="59574ABE">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
          <w:bCs/>
          <w:color w:val="auto"/>
          <w:szCs w:val="21"/>
          <w:lang w:val="en-US" w:eastAsia="zh-CN"/>
        </w:rPr>
        <w:sectPr>
          <w:pgSz w:w="16838" w:h="11906" w:orient="landscape"/>
          <w:pgMar w:top="1134" w:right="1440" w:bottom="1134" w:left="1440" w:header="851" w:footer="992" w:gutter="0"/>
          <w:cols w:space="720" w:num="1"/>
          <w:docGrid w:type="lines" w:linePitch="312" w:charSpace="0"/>
        </w:sectPr>
      </w:pPr>
    </w:p>
    <w:p w14:paraId="7054D6CF">
      <w:pPr>
        <w:keepNext w:val="0"/>
        <w:keepLines w:val="0"/>
        <w:pageBreakBefore w:val="0"/>
        <w:widowControl w:val="0"/>
        <w:kinsoku/>
        <w:wordWrap/>
        <w:overflowPunct/>
        <w:topLinePunct w:val="0"/>
        <w:autoSpaceDE/>
        <w:autoSpaceDN/>
        <w:bidi w:val="0"/>
        <w:snapToGrid/>
        <w:spacing w:line="360" w:lineRule="auto"/>
        <w:textAlignment w:val="auto"/>
        <w:rPr>
          <w:rFonts w:ascii="宋体" w:hAnsi="宋体" w:cs="宋体"/>
          <w:b/>
          <w:bCs/>
          <w:color w:val="auto"/>
          <w:szCs w:val="21"/>
        </w:rPr>
      </w:pPr>
      <w:r>
        <w:rPr>
          <w:rFonts w:hint="eastAsia" w:ascii="宋体" w:hAnsi="宋体" w:cs="宋体"/>
          <w:b/>
          <w:bCs/>
          <w:color w:val="auto"/>
          <w:szCs w:val="21"/>
          <w:lang w:val="en-US" w:eastAsia="zh-CN"/>
        </w:rPr>
        <w:t>五</w:t>
      </w:r>
      <w:r>
        <w:rPr>
          <w:rFonts w:hint="eastAsia" w:ascii="宋体" w:hAnsi="宋体" w:cs="宋体"/>
          <w:b/>
          <w:bCs/>
          <w:color w:val="auto"/>
          <w:szCs w:val="21"/>
        </w:rPr>
        <w:t>、商务需求</w:t>
      </w:r>
    </w:p>
    <w:p w14:paraId="50FC3C5E">
      <w:pPr>
        <w:keepNext w:val="0"/>
        <w:keepLines w:val="0"/>
        <w:pageBreakBefore w:val="0"/>
        <w:widowControl w:val="0"/>
        <w:tabs>
          <w:tab w:val="left" w:pos="1740"/>
        </w:tabs>
        <w:kinsoku/>
        <w:wordWrap/>
        <w:overflowPunct/>
        <w:topLinePunct w:val="0"/>
        <w:autoSpaceDE/>
        <w:autoSpaceDN/>
        <w:bidi w:val="0"/>
        <w:adjustRightInd w:val="0"/>
        <w:snapToGrid/>
        <w:spacing w:line="360" w:lineRule="auto"/>
        <w:ind w:firstLine="413" w:firstLineChars="196"/>
        <w:textAlignment w:val="auto"/>
        <w:rPr>
          <w:rFonts w:ascii="宋体"/>
          <w:b/>
          <w:color w:val="auto"/>
          <w:szCs w:val="21"/>
        </w:rPr>
      </w:pPr>
      <w:r>
        <w:rPr>
          <w:rFonts w:ascii="宋体"/>
          <w:b/>
          <w:color w:val="auto"/>
          <w:szCs w:val="21"/>
        </w:rPr>
        <w:t>1.</w:t>
      </w:r>
      <w:r>
        <w:rPr>
          <w:rFonts w:hint="eastAsia" w:ascii="宋体"/>
          <w:b/>
          <w:color w:val="auto"/>
          <w:szCs w:val="21"/>
        </w:rPr>
        <w:t>质保期</w:t>
      </w:r>
    </w:p>
    <w:p w14:paraId="1F07D60B">
      <w:pPr>
        <w:keepNext w:val="0"/>
        <w:keepLines w:val="0"/>
        <w:pageBreakBefore w:val="0"/>
        <w:kinsoku/>
        <w:wordWrap/>
        <w:topLinePunct w:val="0"/>
        <w:bidi w:val="0"/>
        <w:snapToGrid/>
        <w:spacing w:line="360" w:lineRule="auto"/>
        <w:ind w:firstLine="420" w:firstLineChars="200"/>
        <w:rPr>
          <w:rFonts w:hint="eastAsia" w:ascii="宋体" w:hAnsi="宋体" w:cs="宋体"/>
          <w:color w:val="auto"/>
          <w:kern w:val="0"/>
          <w:sz w:val="22"/>
          <w:szCs w:val="22"/>
        </w:rPr>
      </w:pPr>
      <w:r>
        <w:rPr>
          <w:rFonts w:hint="eastAsia"/>
          <w:color w:val="auto"/>
        </w:rPr>
        <w:t>▲</w:t>
      </w:r>
      <w:r>
        <w:rPr>
          <w:rFonts w:hint="eastAsia" w:ascii="宋体" w:hAnsi="宋体" w:cs="宋体"/>
          <w:color w:val="auto"/>
          <w:kern w:val="0"/>
          <w:sz w:val="22"/>
          <w:szCs w:val="22"/>
        </w:rPr>
        <w:t>1.</w:t>
      </w:r>
      <w:r>
        <w:rPr>
          <w:rFonts w:hint="eastAsia" w:ascii="宋体" w:hAnsi="宋体" w:cs="宋体"/>
          <w:color w:val="auto"/>
          <w:kern w:val="0"/>
          <w:sz w:val="22"/>
          <w:szCs w:val="22"/>
        </w:rPr>
        <w:t>1</w:t>
      </w:r>
      <w:r>
        <w:rPr>
          <w:rFonts w:hint="eastAsia" w:ascii="宋体" w:hAnsi="宋体" w:cs="宋体"/>
          <w:color w:val="auto"/>
          <w:kern w:val="0"/>
          <w:sz w:val="21"/>
          <w:szCs w:val="21"/>
          <w:u w:val="single"/>
        </w:rPr>
        <w:t>质保期不少于2年，质量保证期的起算日应为采购人签发最终验收合格证书之日</w:t>
      </w:r>
      <w:r>
        <w:rPr>
          <w:rFonts w:hint="eastAsia" w:ascii="宋体" w:hAnsi="宋体" w:cs="宋体"/>
          <w:color w:val="auto"/>
          <w:kern w:val="0"/>
          <w:sz w:val="21"/>
          <w:szCs w:val="21"/>
        </w:rPr>
        <w:t>。</w:t>
      </w:r>
    </w:p>
    <w:p w14:paraId="440799AB">
      <w:pPr>
        <w:keepNext w:val="0"/>
        <w:keepLines w:val="0"/>
        <w:pageBreakBefore w:val="0"/>
        <w:kinsoku/>
        <w:wordWrap/>
        <w:topLinePunct w:val="0"/>
        <w:bidi w:val="0"/>
        <w:snapToGrid/>
        <w:spacing w:line="360" w:lineRule="auto"/>
        <w:ind w:firstLine="440" w:firstLineChars="200"/>
        <w:rPr>
          <w:rFonts w:hint="eastAsia" w:ascii="宋体" w:hAnsi="宋体" w:cs="宋体"/>
          <w:color w:val="auto"/>
          <w:kern w:val="0"/>
          <w:sz w:val="22"/>
          <w:szCs w:val="22"/>
        </w:rPr>
      </w:pPr>
      <w:r>
        <w:rPr>
          <w:rFonts w:hint="eastAsia" w:ascii="宋体" w:hAnsi="宋体" w:cs="宋体"/>
          <w:color w:val="auto"/>
          <w:kern w:val="0"/>
          <w:sz w:val="22"/>
          <w:szCs w:val="22"/>
        </w:rPr>
        <w:t>1.2根据当地有关部门的检验结果，或者在货物的质量保证期内，发现其数量、质量或规格与合同不符，或证实货物是有缺陷的，包括潜在的缺陷或使用不符合要求的材料等，采购人应尽快以书面通知形式向中标人提出索赔。</w:t>
      </w:r>
    </w:p>
    <w:p w14:paraId="65FE3C0E">
      <w:pPr>
        <w:keepNext w:val="0"/>
        <w:keepLines w:val="0"/>
        <w:pageBreakBefore w:val="0"/>
        <w:kinsoku/>
        <w:wordWrap/>
        <w:topLinePunct w:val="0"/>
        <w:bidi w:val="0"/>
        <w:snapToGrid/>
        <w:spacing w:line="360" w:lineRule="auto"/>
        <w:ind w:firstLine="440" w:firstLineChars="200"/>
        <w:rPr>
          <w:rFonts w:hint="eastAsia" w:ascii="宋体" w:hAnsi="宋体" w:cs="宋体"/>
          <w:color w:val="auto"/>
          <w:kern w:val="0"/>
          <w:sz w:val="22"/>
          <w:szCs w:val="22"/>
        </w:rPr>
      </w:pPr>
      <w:r>
        <w:rPr>
          <w:rFonts w:hint="eastAsia" w:ascii="宋体" w:hAnsi="宋体" w:cs="宋体"/>
          <w:color w:val="auto"/>
          <w:kern w:val="0"/>
          <w:sz w:val="22"/>
          <w:szCs w:val="22"/>
        </w:rPr>
        <w:t>1.3在质量保证期内，中标人负有不可免责的保修义务。中标人应在规定的维修响应时间内，派遣专业维修人员抵达项目现场并根据采购人的要求在合理时间内维修或更换有缺陷的货物或部件。</w:t>
      </w:r>
    </w:p>
    <w:p w14:paraId="42972A89">
      <w:pPr>
        <w:keepNext w:val="0"/>
        <w:keepLines w:val="0"/>
        <w:pageBreakBefore w:val="0"/>
        <w:kinsoku/>
        <w:wordWrap/>
        <w:topLinePunct w:val="0"/>
        <w:bidi w:val="0"/>
        <w:snapToGrid/>
        <w:spacing w:line="360" w:lineRule="auto"/>
        <w:ind w:firstLine="440" w:firstLineChars="200"/>
        <w:rPr>
          <w:rFonts w:hint="eastAsia" w:ascii="宋体" w:hAnsi="宋体" w:cs="宋体"/>
          <w:color w:val="auto"/>
          <w:kern w:val="0"/>
          <w:sz w:val="22"/>
          <w:szCs w:val="22"/>
        </w:rPr>
      </w:pPr>
      <w:r>
        <w:rPr>
          <w:rFonts w:hint="eastAsia" w:ascii="宋体" w:hAnsi="宋体" w:cs="宋体"/>
          <w:color w:val="auto"/>
          <w:kern w:val="0"/>
          <w:sz w:val="22"/>
          <w:szCs w:val="22"/>
        </w:rPr>
        <w:t>1.4如果中标人在收到采购人通知后的三天内没有采取行动进行维修或未能在合理时间内解决故障或损坏，采购人可采取必要的补救措施，但其风险和费用应由中标人承担，且中标人还应承担由于维修延误所造成采购人的损失。</w:t>
      </w:r>
    </w:p>
    <w:p w14:paraId="2F7606F6">
      <w:pPr>
        <w:keepNext w:val="0"/>
        <w:keepLines w:val="0"/>
        <w:pageBreakBefore w:val="0"/>
        <w:kinsoku/>
        <w:wordWrap/>
        <w:topLinePunct w:val="0"/>
        <w:bidi w:val="0"/>
        <w:snapToGrid/>
        <w:spacing w:line="360" w:lineRule="auto"/>
        <w:ind w:firstLine="440" w:firstLineChars="200"/>
        <w:rPr>
          <w:rFonts w:hint="eastAsia" w:ascii="宋体" w:hAnsi="宋体" w:cs="宋体"/>
          <w:color w:val="auto"/>
          <w:kern w:val="0"/>
          <w:sz w:val="22"/>
          <w:szCs w:val="22"/>
        </w:rPr>
      </w:pPr>
      <w:r>
        <w:rPr>
          <w:rFonts w:hint="eastAsia" w:ascii="宋体" w:hAnsi="宋体" w:cs="宋体"/>
          <w:color w:val="auto"/>
          <w:kern w:val="0"/>
          <w:sz w:val="22"/>
          <w:szCs w:val="22"/>
        </w:rPr>
        <w:t>1.5如在质量保证期届满之时设备无质量问题，则采购人应在七天之内向中标人签发质量保证期期满合格证书。</w:t>
      </w:r>
    </w:p>
    <w:p w14:paraId="62F394CC">
      <w:pPr>
        <w:keepNext w:val="0"/>
        <w:keepLines w:val="0"/>
        <w:pageBreakBefore w:val="0"/>
        <w:kinsoku/>
        <w:wordWrap/>
        <w:topLinePunct w:val="0"/>
        <w:bidi w:val="0"/>
        <w:snapToGrid/>
        <w:spacing w:line="360" w:lineRule="auto"/>
        <w:ind w:firstLine="420" w:firstLineChars="200"/>
        <w:rPr>
          <w:rFonts w:hint="eastAsia" w:ascii="宋体" w:hAnsi="宋体" w:cs="宋体"/>
          <w:color w:val="auto"/>
          <w:kern w:val="0"/>
          <w:sz w:val="22"/>
          <w:szCs w:val="22"/>
        </w:rPr>
      </w:pPr>
      <w:r>
        <w:rPr>
          <w:rFonts w:hint="eastAsia"/>
          <w:color w:val="auto"/>
          <w:kern w:val="0"/>
        </w:rPr>
        <w:t>1.6质量保证期届满后，如果采购人提出要求，中标人应按其投标文件与采购人签订维护保修合同，在保修期内承担定期维护和质量保修责任。</w:t>
      </w:r>
    </w:p>
    <w:p w14:paraId="67BB5BF7">
      <w:pPr>
        <w:keepNext w:val="0"/>
        <w:keepLines w:val="0"/>
        <w:pageBreakBefore w:val="0"/>
        <w:tabs>
          <w:tab w:val="left" w:pos="1740"/>
        </w:tabs>
        <w:kinsoku/>
        <w:wordWrap/>
        <w:topLinePunct w:val="0"/>
        <w:bidi w:val="0"/>
        <w:adjustRightInd w:val="0"/>
        <w:snapToGrid/>
        <w:spacing w:line="360" w:lineRule="auto"/>
        <w:ind w:firstLine="413" w:firstLineChars="196"/>
        <w:rPr>
          <w:rFonts w:hint="eastAsia" w:ascii="宋体"/>
          <w:b/>
          <w:color w:val="auto"/>
          <w:szCs w:val="21"/>
        </w:rPr>
      </w:pPr>
      <w:r>
        <w:rPr>
          <w:rFonts w:hint="eastAsia" w:ascii="宋体"/>
          <w:b/>
          <w:color w:val="auto"/>
          <w:szCs w:val="21"/>
        </w:rPr>
        <w:t>2．售后服务要求</w:t>
      </w:r>
    </w:p>
    <w:p w14:paraId="578EFDD2">
      <w:pPr>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rPr>
        <w:t>2.1按国家有关规定实行产品“三包”；在质保期内中标人应免费提供维修、保养及更换易损件的服务，在质量保证期内提供的服务应满足下列要求：</w:t>
      </w:r>
    </w:p>
    <w:p w14:paraId="5262AE59">
      <w:pPr>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rPr>
        <w:t>①建立24小时报修电话；</w:t>
      </w:r>
    </w:p>
    <w:p w14:paraId="3EBD809E">
      <w:pPr>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rPr>
        <w:t xml:space="preserve">②接到报修电话后，在12小时内作出响应；在24小时内提出方案；在48小时内派遣有经验的维修工程师到现场提供免费维修服务（通过远程诊断系统可以解决的故障除外），并尽快修复故障；       </w:t>
      </w:r>
    </w:p>
    <w:p w14:paraId="422C73C8">
      <w:pPr>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rPr>
        <w:t>③免费提供不少于2次的回访维护（其中第一次应在交付使用后六个月进行；第二次在质量保证期期满时进行）。</w:t>
      </w:r>
    </w:p>
    <w:p w14:paraId="2956E554">
      <w:pPr>
        <w:keepNext w:val="0"/>
        <w:keepLines w:val="0"/>
        <w:pageBreakBefore w:val="0"/>
        <w:kinsoku/>
        <w:wordWrap/>
        <w:topLinePunct w:val="0"/>
        <w:bidi w:val="0"/>
        <w:snapToGrid/>
        <w:spacing w:line="360" w:lineRule="auto"/>
        <w:ind w:firstLine="440" w:firstLineChars="200"/>
        <w:rPr>
          <w:rFonts w:hint="eastAsia" w:ascii="宋体" w:hAnsi="宋体" w:cs="宋体"/>
          <w:color w:val="auto"/>
          <w:kern w:val="0"/>
          <w:sz w:val="22"/>
          <w:szCs w:val="22"/>
        </w:rPr>
      </w:pPr>
      <w:r>
        <w:rPr>
          <w:rFonts w:hint="eastAsia" w:ascii="宋体" w:hAnsi="宋体" w:cs="宋体"/>
          <w:color w:val="auto"/>
          <w:kern w:val="0"/>
          <w:sz w:val="22"/>
          <w:szCs w:val="22"/>
        </w:rPr>
        <w:t>2.2免费送货上门、免费安装；</w:t>
      </w:r>
    </w:p>
    <w:p w14:paraId="5E474B37">
      <w:pPr>
        <w:keepNext w:val="0"/>
        <w:keepLines w:val="0"/>
        <w:pageBreakBefore w:val="0"/>
        <w:kinsoku/>
        <w:wordWrap/>
        <w:topLinePunct w:val="0"/>
        <w:bidi w:val="0"/>
        <w:snapToGrid/>
        <w:spacing w:line="360" w:lineRule="auto"/>
        <w:ind w:firstLine="440" w:firstLineChars="200"/>
        <w:rPr>
          <w:rFonts w:hint="eastAsia" w:ascii="宋体" w:hAnsi="宋体" w:cs="宋体"/>
          <w:color w:val="auto"/>
          <w:kern w:val="0"/>
          <w:sz w:val="22"/>
          <w:szCs w:val="22"/>
        </w:rPr>
      </w:pPr>
      <w:r>
        <w:rPr>
          <w:rFonts w:hint="eastAsia" w:ascii="宋体" w:hAnsi="宋体" w:cs="宋体"/>
          <w:color w:val="auto"/>
          <w:kern w:val="0"/>
          <w:sz w:val="22"/>
          <w:szCs w:val="22"/>
        </w:rPr>
        <w:t>2.3定期回访及维护。</w:t>
      </w:r>
    </w:p>
    <w:p w14:paraId="37CE15DF">
      <w:pPr>
        <w:keepNext w:val="0"/>
        <w:keepLines w:val="0"/>
        <w:pageBreakBefore w:val="0"/>
        <w:kinsoku/>
        <w:wordWrap/>
        <w:topLinePunct w:val="0"/>
        <w:bidi w:val="0"/>
        <w:snapToGrid/>
        <w:spacing w:line="360" w:lineRule="auto"/>
        <w:ind w:firstLine="420" w:firstLineChars="200"/>
        <w:rPr>
          <w:rFonts w:hint="eastAsia" w:ascii="宋体" w:hAnsi="宋体" w:cs="宋体"/>
          <w:color w:val="auto"/>
          <w:kern w:val="0"/>
          <w:sz w:val="22"/>
          <w:szCs w:val="22"/>
        </w:rPr>
      </w:pPr>
      <w:r>
        <w:rPr>
          <w:rFonts w:hint="eastAsia"/>
          <w:color w:val="auto"/>
          <w:kern w:val="0"/>
        </w:rPr>
        <w:t>2.4超过质量保证期的货物，中标供应商提供终生维修、保养服务，维修时只收部件成本费。</w:t>
      </w:r>
    </w:p>
    <w:p w14:paraId="0319091C">
      <w:pPr>
        <w:keepNext w:val="0"/>
        <w:keepLines w:val="0"/>
        <w:pageBreakBefore w:val="0"/>
        <w:widowControl/>
        <w:tabs>
          <w:tab w:val="left" w:pos="785"/>
        </w:tabs>
        <w:kinsoku/>
        <w:wordWrap/>
        <w:topLinePunct w:val="0"/>
        <w:autoSpaceDE w:val="0"/>
        <w:autoSpaceDN w:val="0"/>
        <w:bidi w:val="0"/>
        <w:adjustRightInd w:val="0"/>
        <w:snapToGrid/>
        <w:spacing w:line="360" w:lineRule="auto"/>
        <w:ind w:firstLine="422" w:firstLineChars="200"/>
        <w:textAlignment w:val="bottom"/>
        <w:rPr>
          <w:rFonts w:ascii="宋体"/>
          <w:b/>
          <w:color w:val="auto"/>
          <w:szCs w:val="21"/>
        </w:rPr>
      </w:pPr>
      <w:r>
        <w:rPr>
          <w:rFonts w:hint="eastAsia" w:ascii="宋体"/>
          <w:b/>
          <w:color w:val="auto"/>
          <w:szCs w:val="21"/>
        </w:rPr>
        <w:t>3</w:t>
      </w:r>
      <w:r>
        <w:rPr>
          <w:rFonts w:ascii="宋体"/>
          <w:b/>
          <w:color w:val="auto"/>
          <w:szCs w:val="21"/>
        </w:rPr>
        <w:t>.</w:t>
      </w:r>
      <w:r>
        <w:rPr>
          <w:rFonts w:hint="eastAsia" w:ascii="宋体"/>
          <w:b/>
          <w:color w:val="auto"/>
          <w:szCs w:val="21"/>
        </w:rPr>
        <w:t>付款方式：</w:t>
      </w:r>
      <w:r>
        <w:rPr>
          <w:rFonts w:ascii="宋体"/>
          <w:b/>
          <w:color w:val="auto"/>
          <w:szCs w:val="21"/>
        </w:rPr>
        <w:t xml:space="preserve"> </w:t>
      </w:r>
    </w:p>
    <w:p w14:paraId="3CF63677">
      <w:pPr>
        <w:keepNext w:val="0"/>
        <w:keepLines w:val="0"/>
        <w:pageBreakBefore w:val="0"/>
        <w:tabs>
          <w:tab w:val="left" w:pos="2694"/>
        </w:tabs>
        <w:kinsoku/>
        <w:wordWrap/>
        <w:topLinePunct w:val="0"/>
        <w:autoSpaceDE w:val="0"/>
        <w:autoSpaceDN w:val="0"/>
        <w:bidi w:val="0"/>
        <w:adjustRightInd w:val="0"/>
        <w:snapToGrid/>
        <w:spacing w:line="360" w:lineRule="auto"/>
        <w:ind w:firstLine="413" w:firstLineChars="196"/>
        <w:rPr>
          <w:rFonts w:ascii="宋体"/>
          <w:b/>
          <w:color w:val="auto"/>
          <w:szCs w:val="21"/>
          <w:u w:val="single"/>
        </w:rPr>
      </w:pPr>
      <w:r>
        <w:rPr>
          <w:rFonts w:hint="eastAsia" w:ascii="宋体" w:hAnsi="宋体" w:eastAsia="宋体" w:cs="宋体"/>
          <w:b/>
          <w:color w:val="auto"/>
          <w:sz w:val="21"/>
          <w:szCs w:val="21"/>
          <w:u w:val="single"/>
        </w:rPr>
        <w:t>合同签订后支付总金额的40%，货到安装验收合格并提交第三方检测报告后付清合同金额，在乙方票证齐全，符合甲方付款流程的前提下，甲方在7个工作日内一次性付清并无息</w:t>
      </w:r>
      <w:r>
        <w:rPr>
          <w:rFonts w:hint="eastAsia"/>
          <w:b/>
          <w:color w:val="auto"/>
          <w:sz w:val="21"/>
          <w:szCs w:val="21"/>
          <w:u w:val="single"/>
        </w:rPr>
        <w:t>归还履约保证金。</w:t>
      </w:r>
    </w:p>
    <w:p w14:paraId="4D1BB47A">
      <w:pPr>
        <w:keepNext w:val="0"/>
        <w:keepLines w:val="0"/>
        <w:pageBreakBefore w:val="0"/>
        <w:tabs>
          <w:tab w:val="left" w:pos="1740"/>
        </w:tabs>
        <w:kinsoku/>
        <w:wordWrap/>
        <w:topLinePunct w:val="0"/>
        <w:bidi w:val="0"/>
        <w:adjustRightInd w:val="0"/>
        <w:snapToGrid/>
        <w:spacing w:line="360" w:lineRule="auto"/>
        <w:ind w:firstLine="413" w:firstLineChars="196"/>
        <w:rPr>
          <w:rFonts w:ascii="宋体"/>
          <w:b/>
          <w:color w:val="auto"/>
          <w:szCs w:val="21"/>
        </w:rPr>
      </w:pPr>
      <w:r>
        <w:rPr>
          <w:rFonts w:hint="eastAsia" w:ascii="宋体"/>
          <w:b/>
          <w:color w:val="auto"/>
          <w:szCs w:val="21"/>
        </w:rPr>
        <w:t>4</w:t>
      </w:r>
      <w:r>
        <w:rPr>
          <w:rFonts w:ascii="宋体"/>
          <w:b/>
          <w:color w:val="auto"/>
          <w:szCs w:val="21"/>
        </w:rPr>
        <w:t>.</w:t>
      </w:r>
      <w:r>
        <w:rPr>
          <w:rFonts w:hint="eastAsia" w:ascii="宋体"/>
          <w:b/>
          <w:color w:val="auto"/>
          <w:szCs w:val="21"/>
        </w:rPr>
        <w:t xml:space="preserve"> 安装调试</w:t>
      </w:r>
    </w:p>
    <w:p w14:paraId="55E47087">
      <w:pPr>
        <w:keepNext w:val="0"/>
        <w:keepLines w:val="0"/>
        <w:pageBreakBefore w:val="0"/>
        <w:tabs>
          <w:tab w:val="left" w:pos="1740"/>
        </w:tabs>
        <w:kinsoku/>
        <w:wordWrap/>
        <w:topLinePunct w:val="0"/>
        <w:bidi w:val="0"/>
        <w:adjustRightInd w:val="0"/>
        <w:snapToGrid/>
        <w:spacing w:line="360" w:lineRule="auto"/>
        <w:ind w:firstLine="411" w:firstLineChars="196"/>
        <w:rPr>
          <w:rFonts w:ascii="宋体"/>
          <w:color w:val="auto"/>
          <w:szCs w:val="21"/>
        </w:rPr>
      </w:pPr>
      <w:r>
        <w:rPr>
          <w:rFonts w:hint="eastAsia" w:ascii="宋体"/>
          <w:color w:val="auto"/>
          <w:szCs w:val="21"/>
        </w:rPr>
        <w:t>4</w:t>
      </w:r>
      <w:r>
        <w:rPr>
          <w:rFonts w:ascii="宋体"/>
          <w:color w:val="auto"/>
          <w:szCs w:val="21"/>
        </w:rPr>
        <w:t>.1</w:t>
      </w:r>
      <w:r>
        <w:rPr>
          <w:rFonts w:hint="eastAsia" w:ascii="宋体"/>
          <w:color w:val="auto"/>
          <w:szCs w:val="21"/>
        </w:rPr>
        <w:t>送货地点：按采购人指定地点送货安装。</w:t>
      </w:r>
    </w:p>
    <w:p w14:paraId="0404907F">
      <w:pPr>
        <w:keepNext w:val="0"/>
        <w:keepLines w:val="0"/>
        <w:pageBreakBefore w:val="0"/>
        <w:tabs>
          <w:tab w:val="left" w:pos="1740"/>
        </w:tabs>
        <w:kinsoku/>
        <w:wordWrap/>
        <w:topLinePunct w:val="0"/>
        <w:bidi w:val="0"/>
        <w:adjustRightInd w:val="0"/>
        <w:snapToGrid/>
        <w:spacing w:line="360" w:lineRule="auto"/>
        <w:ind w:firstLine="411" w:firstLineChars="196"/>
        <w:rPr>
          <w:rFonts w:ascii="宋体"/>
          <w:color w:val="auto"/>
          <w:szCs w:val="21"/>
        </w:rPr>
      </w:pPr>
      <w:r>
        <w:rPr>
          <w:rFonts w:hint="eastAsia" w:ascii="宋体"/>
          <w:color w:val="auto"/>
          <w:szCs w:val="21"/>
        </w:rPr>
        <w:t>4</w:t>
      </w:r>
      <w:r>
        <w:rPr>
          <w:rFonts w:ascii="宋体"/>
          <w:color w:val="auto"/>
          <w:szCs w:val="21"/>
        </w:rPr>
        <w:t>.2</w:t>
      </w:r>
      <w:r>
        <w:rPr>
          <w:rFonts w:hint="eastAsia" w:ascii="宋体"/>
          <w:color w:val="auto"/>
          <w:szCs w:val="21"/>
        </w:rPr>
        <w:t>质量标准：符合我国国家有关技术规范要求和技术标准。</w:t>
      </w:r>
    </w:p>
    <w:p w14:paraId="17477FEA">
      <w:pPr>
        <w:keepNext w:val="0"/>
        <w:keepLines w:val="0"/>
        <w:pageBreakBefore w:val="0"/>
        <w:tabs>
          <w:tab w:val="left" w:pos="1740"/>
        </w:tabs>
        <w:kinsoku/>
        <w:wordWrap/>
        <w:topLinePunct w:val="0"/>
        <w:bidi w:val="0"/>
        <w:adjustRightInd w:val="0"/>
        <w:snapToGrid/>
        <w:spacing w:line="360" w:lineRule="auto"/>
        <w:ind w:firstLine="411" w:firstLineChars="196"/>
        <w:rPr>
          <w:rFonts w:ascii="宋体"/>
          <w:color w:val="auto"/>
          <w:szCs w:val="21"/>
        </w:rPr>
      </w:pPr>
      <w:r>
        <w:rPr>
          <w:rFonts w:hint="eastAsia" w:ascii="宋体"/>
          <w:color w:val="auto"/>
          <w:szCs w:val="21"/>
        </w:rPr>
        <w:t>4</w:t>
      </w:r>
      <w:r>
        <w:rPr>
          <w:rFonts w:ascii="宋体"/>
          <w:color w:val="auto"/>
          <w:szCs w:val="21"/>
        </w:rPr>
        <w:t>.3</w:t>
      </w:r>
      <w:r>
        <w:rPr>
          <w:rFonts w:hint="eastAsia" w:ascii="宋体"/>
          <w:color w:val="auto"/>
          <w:szCs w:val="21"/>
        </w:rPr>
        <w:t>本项目包括供就位与安装。安装期间中标供应商须派技术人员提供安装及技术服务。</w:t>
      </w:r>
    </w:p>
    <w:p w14:paraId="5562D64E">
      <w:pPr>
        <w:keepNext w:val="0"/>
        <w:keepLines w:val="0"/>
        <w:pageBreakBefore w:val="0"/>
        <w:tabs>
          <w:tab w:val="left" w:pos="1740"/>
        </w:tabs>
        <w:kinsoku/>
        <w:wordWrap/>
        <w:topLinePunct w:val="0"/>
        <w:bidi w:val="0"/>
        <w:adjustRightInd w:val="0"/>
        <w:snapToGrid/>
        <w:spacing w:line="360" w:lineRule="auto"/>
        <w:ind w:firstLine="411" w:firstLineChars="196"/>
        <w:rPr>
          <w:rFonts w:hint="eastAsia" w:ascii="宋体"/>
          <w:color w:val="auto"/>
          <w:szCs w:val="21"/>
        </w:rPr>
      </w:pPr>
      <w:r>
        <w:rPr>
          <w:rFonts w:hint="eastAsia" w:ascii="宋体"/>
          <w:color w:val="auto"/>
          <w:szCs w:val="21"/>
        </w:rPr>
        <w:t>4</w:t>
      </w:r>
      <w:r>
        <w:rPr>
          <w:rFonts w:ascii="宋体"/>
          <w:color w:val="auto"/>
          <w:szCs w:val="21"/>
        </w:rPr>
        <w:t>.4</w:t>
      </w:r>
      <w:r>
        <w:rPr>
          <w:rFonts w:hint="eastAsia" w:ascii="宋体"/>
          <w:color w:val="auto"/>
          <w:szCs w:val="21"/>
        </w:rPr>
        <w:t>安装及技术服务过程中发生的费用由中标供应商负责，供应商应在投标文件中提出其安装调试过程中使用单位需配合的内容。</w:t>
      </w:r>
    </w:p>
    <w:p w14:paraId="683ABCD6">
      <w:pPr>
        <w:pStyle w:val="57"/>
        <w:keepNext w:val="0"/>
        <w:keepLines w:val="0"/>
        <w:pageBreakBefore w:val="0"/>
        <w:kinsoku/>
        <w:wordWrap/>
        <w:topLinePunct w:val="0"/>
        <w:bidi w:val="0"/>
        <w:snapToGrid/>
        <w:spacing w:line="360" w:lineRule="auto"/>
        <w:ind w:firstLine="440"/>
        <w:rPr>
          <w:rFonts w:hint="eastAsia" w:ascii="宋体" w:hAnsi="宋体" w:cs="宋体"/>
          <w:color w:val="auto"/>
          <w:sz w:val="22"/>
          <w:szCs w:val="22"/>
        </w:rPr>
      </w:pPr>
      <w:r>
        <w:rPr>
          <w:rFonts w:hint="eastAsia" w:ascii="宋体" w:hAnsi="宋体" w:cs="宋体"/>
          <w:color w:val="auto"/>
          <w:sz w:val="22"/>
          <w:szCs w:val="22"/>
        </w:rPr>
        <w:t>4.5 使用单位负责向中标供应商安装调试工作提供必要的便利，保证货物进场道路通畅，并提供现场安装需要的水、电接入，提供临时库房等。</w:t>
      </w:r>
    </w:p>
    <w:p w14:paraId="3F60B7F3">
      <w:pPr>
        <w:pStyle w:val="57"/>
        <w:keepNext w:val="0"/>
        <w:keepLines w:val="0"/>
        <w:pageBreakBefore w:val="0"/>
        <w:kinsoku/>
        <w:wordWrap/>
        <w:topLinePunct w:val="0"/>
        <w:bidi w:val="0"/>
        <w:snapToGrid/>
        <w:spacing w:line="360" w:lineRule="auto"/>
        <w:ind w:firstLine="440"/>
        <w:rPr>
          <w:rFonts w:hint="eastAsia" w:ascii="宋体" w:hAnsi="宋体" w:cs="宋体"/>
          <w:color w:val="auto"/>
          <w:sz w:val="22"/>
          <w:szCs w:val="22"/>
        </w:rPr>
      </w:pPr>
      <w:r>
        <w:rPr>
          <w:rFonts w:hint="eastAsia" w:ascii="宋体" w:hAnsi="宋体" w:cs="宋体"/>
          <w:color w:val="auto"/>
          <w:sz w:val="22"/>
          <w:szCs w:val="22"/>
        </w:rPr>
        <w:t>4.6 中标供应商在危险区因施工需要安全防护措施时，施工开始前应向使用单位提出安全防护措施，经使用单位认可后实施，防护措施费用由使用单位承担，包括舞台面区域的地板保护措施。</w:t>
      </w:r>
    </w:p>
    <w:p w14:paraId="7D1E6619">
      <w:pPr>
        <w:pStyle w:val="57"/>
        <w:keepNext w:val="0"/>
        <w:keepLines w:val="0"/>
        <w:pageBreakBefore w:val="0"/>
        <w:kinsoku/>
        <w:wordWrap/>
        <w:topLinePunct w:val="0"/>
        <w:bidi w:val="0"/>
        <w:snapToGrid/>
        <w:spacing w:line="360" w:lineRule="auto"/>
        <w:ind w:firstLine="440"/>
        <w:rPr>
          <w:rFonts w:hint="eastAsia" w:ascii="宋体" w:hAnsi="宋体" w:cs="宋体"/>
          <w:color w:val="auto"/>
          <w:sz w:val="22"/>
          <w:szCs w:val="22"/>
        </w:rPr>
      </w:pPr>
      <w:r>
        <w:rPr>
          <w:rFonts w:hint="eastAsia"/>
          <w:color w:val="auto"/>
        </w:rPr>
        <w:t>4.7 非本次招标范围内的货物，在施工安装过程中需由使用单位负责装卸及保护，中标供应商负责提供配合。</w:t>
      </w:r>
    </w:p>
    <w:p w14:paraId="23D3E0BE">
      <w:pPr>
        <w:keepNext w:val="0"/>
        <w:keepLines w:val="0"/>
        <w:pageBreakBefore w:val="0"/>
        <w:tabs>
          <w:tab w:val="left" w:pos="1740"/>
        </w:tabs>
        <w:kinsoku/>
        <w:wordWrap/>
        <w:topLinePunct w:val="0"/>
        <w:bidi w:val="0"/>
        <w:adjustRightInd w:val="0"/>
        <w:snapToGrid/>
        <w:spacing w:line="360" w:lineRule="auto"/>
        <w:ind w:firstLine="413" w:firstLineChars="196"/>
        <w:rPr>
          <w:rFonts w:ascii="宋体"/>
          <w:b/>
          <w:color w:val="auto"/>
          <w:szCs w:val="21"/>
        </w:rPr>
      </w:pPr>
      <w:r>
        <w:rPr>
          <w:rFonts w:hint="eastAsia" w:ascii="宋体"/>
          <w:b/>
          <w:color w:val="auto"/>
          <w:szCs w:val="21"/>
        </w:rPr>
        <w:t>5</w:t>
      </w:r>
      <w:r>
        <w:rPr>
          <w:rFonts w:ascii="宋体"/>
          <w:b/>
          <w:color w:val="auto"/>
          <w:szCs w:val="21"/>
        </w:rPr>
        <w:t>.</w:t>
      </w:r>
      <w:r>
        <w:rPr>
          <w:rFonts w:hint="eastAsia" w:ascii="宋体"/>
          <w:b/>
          <w:color w:val="auto"/>
          <w:szCs w:val="21"/>
        </w:rPr>
        <w:t>验收</w:t>
      </w:r>
    </w:p>
    <w:p w14:paraId="50AFB89A">
      <w:pPr>
        <w:pStyle w:val="12"/>
        <w:keepNext w:val="0"/>
        <w:keepLines w:val="0"/>
        <w:pageBreakBefore w:val="0"/>
        <w:tabs>
          <w:tab w:val="left" w:pos="360"/>
        </w:tabs>
        <w:kinsoku/>
        <w:wordWrap/>
        <w:topLinePunct w:val="0"/>
        <w:bidi w:val="0"/>
        <w:adjustRightInd w:val="0"/>
        <w:snapToGrid/>
        <w:spacing w:line="360" w:lineRule="auto"/>
        <w:ind w:firstLine="420" w:firstLineChars="200"/>
        <w:rPr>
          <w:rFonts w:ascii="Times New Roman" w:hAnsi="Times New Roman"/>
          <w:bCs/>
          <w:color w:val="auto"/>
          <w:szCs w:val="21"/>
        </w:rPr>
      </w:pPr>
      <w:r>
        <w:rPr>
          <w:rFonts w:hint="eastAsia" w:ascii="Times New Roman" w:hAnsi="Times New Roman"/>
          <w:bCs/>
          <w:color w:val="auto"/>
          <w:szCs w:val="21"/>
        </w:rPr>
        <w:t>5</w:t>
      </w:r>
      <w:r>
        <w:rPr>
          <w:rFonts w:ascii="Times New Roman" w:hAnsi="Times New Roman"/>
          <w:bCs/>
          <w:color w:val="auto"/>
          <w:szCs w:val="21"/>
        </w:rPr>
        <w:t>.1</w:t>
      </w:r>
      <w:r>
        <w:rPr>
          <w:rFonts w:hint="eastAsia" w:ascii="Times New Roman" w:hAnsi="Times New Roman"/>
          <w:bCs/>
          <w:color w:val="auto"/>
          <w:szCs w:val="21"/>
        </w:rPr>
        <w:t>采购人有权对货物发货前进行检验或测试，可以参加出厂检验，以确认所投产品的制造工艺、原材料、质量等是否符合招标文件和投标时提供的样式要求，但不能作为最终验收的结果。中标人应为招标人检验和测试提供各种方便，并承担相应费用，如果检验或测试的产品不能满足招标要求，采购人可以拒绝接受，中标人应更换被拒绝的货物。如在生产过程中发现供应商使用材料不符合招标文件及投标文件承诺，供应商必须按招标文件及投标文件整改到位。货物交货前，中标人应自行对所投产品的材料、质量、样式等进行详细而全面的检验，提供权威部门出具的检测报告，该检验（检测）报告将作为采购人验收的重要依据。</w:t>
      </w:r>
    </w:p>
    <w:p w14:paraId="7AD3CB7B">
      <w:pPr>
        <w:pStyle w:val="12"/>
        <w:keepNext w:val="0"/>
        <w:keepLines w:val="0"/>
        <w:pageBreakBefore w:val="0"/>
        <w:tabs>
          <w:tab w:val="left" w:pos="360"/>
        </w:tabs>
        <w:kinsoku/>
        <w:wordWrap/>
        <w:topLinePunct w:val="0"/>
        <w:bidi w:val="0"/>
        <w:adjustRightInd w:val="0"/>
        <w:snapToGrid/>
        <w:spacing w:line="360" w:lineRule="auto"/>
        <w:ind w:firstLine="420" w:firstLineChars="200"/>
        <w:rPr>
          <w:rFonts w:ascii="Times New Roman" w:hAnsi="Times New Roman"/>
          <w:bCs/>
          <w:color w:val="auto"/>
          <w:szCs w:val="21"/>
        </w:rPr>
      </w:pPr>
      <w:r>
        <w:rPr>
          <w:rFonts w:hint="eastAsia" w:ascii="Times New Roman" w:hAnsi="Times New Roman"/>
          <w:bCs/>
          <w:color w:val="auto"/>
          <w:szCs w:val="21"/>
        </w:rPr>
        <w:t>5</w:t>
      </w:r>
      <w:r>
        <w:rPr>
          <w:rFonts w:ascii="Times New Roman" w:hAnsi="Times New Roman"/>
          <w:bCs/>
          <w:color w:val="auto"/>
          <w:szCs w:val="21"/>
        </w:rPr>
        <w:t xml:space="preserve">.2 </w:t>
      </w:r>
      <w:r>
        <w:rPr>
          <w:rFonts w:hint="eastAsia" w:ascii="Times New Roman" w:hAnsi="Times New Roman"/>
          <w:bCs/>
          <w:color w:val="auto"/>
          <w:szCs w:val="21"/>
        </w:rPr>
        <w:t>所有货物到达现场后，</w:t>
      </w:r>
      <w:r>
        <w:rPr>
          <w:rFonts w:hint="eastAsia" w:ascii="Times New Roman" w:hAnsi="Times New Roman"/>
          <w:bCs/>
          <w:color w:val="auto"/>
          <w:szCs w:val="21"/>
          <w:lang w:val="en-US" w:eastAsia="zh-CN"/>
        </w:rPr>
        <w:t>采购人</w:t>
      </w:r>
      <w:r>
        <w:rPr>
          <w:rFonts w:hint="eastAsia" w:ascii="Times New Roman" w:hAnsi="Times New Roman"/>
          <w:bCs/>
          <w:color w:val="auto"/>
          <w:szCs w:val="21"/>
        </w:rPr>
        <w:t>有权对货物进行抽样检测。抽样检测不合格的可以部分或全部拒收，由此对</w:t>
      </w:r>
      <w:r>
        <w:rPr>
          <w:rFonts w:hint="eastAsia" w:ascii="Times New Roman" w:hAnsi="Times New Roman"/>
          <w:bCs/>
          <w:color w:val="auto"/>
          <w:szCs w:val="21"/>
          <w:lang w:val="en-US" w:eastAsia="zh-CN"/>
        </w:rPr>
        <w:t>采购人</w:t>
      </w:r>
      <w:r>
        <w:rPr>
          <w:rFonts w:hint="eastAsia" w:ascii="Times New Roman" w:hAnsi="Times New Roman"/>
          <w:bCs/>
          <w:color w:val="auto"/>
          <w:szCs w:val="21"/>
        </w:rPr>
        <w:t>造成的损失应给予经济赔偿。中标人必须派员到现场与</w:t>
      </w:r>
      <w:r>
        <w:rPr>
          <w:rFonts w:hint="eastAsia" w:ascii="Times New Roman" w:hAnsi="Times New Roman"/>
          <w:bCs/>
          <w:color w:val="auto"/>
          <w:szCs w:val="21"/>
          <w:lang w:val="en-US" w:eastAsia="zh-CN"/>
        </w:rPr>
        <w:t>采购人</w:t>
      </w:r>
      <w:r>
        <w:rPr>
          <w:rFonts w:hint="eastAsia" w:ascii="Times New Roman" w:hAnsi="Times New Roman"/>
          <w:bCs/>
          <w:color w:val="auto"/>
          <w:szCs w:val="21"/>
        </w:rPr>
        <w:t>一起清点检验</w:t>
      </w:r>
      <w:r>
        <w:rPr>
          <w:rFonts w:ascii="Times New Roman" w:hAnsi="Times New Roman"/>
          <w:bCs/>
          <w:color w:val="auto"/>
          <w:szCs w:val="21"/>
        </w:rPr>
        <w:t>,</w:t>
      </w:r>
      <w:r>
        <w:rPr>
          <w:rFonts w:hint="eastAsia" w:ascii="Times New Roman" w:hAnsi="Times New Roman"/>
          <w:bCs/>
          <w:color w:val="auto"/>
          <w:szCs w:val="21"/>
        </w:rPr>
        <w:t>按供货清单验收</w:t>
      </w:r>
      <w:r>
        <w:rPr>
          <w:rFonts w:ascii="Times New Roman" w:hAnsi="Times New Roman"/>
          <w:bCs/>
          <w:color w:val="auto"/>
          <w:szCs w:val="21"/>
        </w:rPr>
        <w:t>,</w:t>
      </w:r>
      <w:r>
        <w:rPr>
          <w:rFonts w:hint="eastAsia" w:ascii="Times New Roman" w:hAnsi="Times New Roman"/>
          <w:bCs/>
          <w:color w:val="auto"/>
          <w:szCs w:val="21"/>
        </w:rPr>
        <w:t>若有缺少或损坏，中标人应立即补足或更换全新同规格、同面料、同样式的产品，并承担相关费用直至使买方满意为止。</w:t>
      </w:r>
      <w:r>
        <w:rPr>
          <w:rFonts w:ascii="Times New Roman" w:hAnsi="Times New Roman"/>
          <w:bCs/>
          <w:color w:val="auto"/>
          <w:szCs w:val="21"/>
        </w:rPr>
        <w:t xml:space="preserve"> </w:t>
      </w:r>
    </w:p>
    <w:p w14:paraId="5BF4C6CC">
      <w:pPr>
        <w:pStyle w:val="12"/>
        <w:keepNext w:val="0"/>
        <w:keepLines w:val="0"/>
        <w:pageBreakBefore w:val="0"/>
        <w:tabs>
          <w:tab w:val="left" w:pos="360"/>
        </w:tabs>
        <w:kinsoku/>
        <w:wordWrap/>
        <w:topLinePunct w:val="0"/>
        <w:bidi w:val="0"/>
        <w:adjustRightInd w:val="0"/>
        <w:snapToGrid/>
        <w:spacing w:line="360" w:lineRule="auto"/>
        <w:ind w:firstLine="420" w:firstLineChars="200"/>
        <w:rPr>
          <w:rFonts w:hint="eastAsia"/>
          <w:color w:val="auto"/>
          <w:szCs w:val="21"/>
        </w:rPr>
      </w:pPr>
      <w:r>
        <w:rPr>
          <w:rFonts w:hint="eastAsia"/>
          <w:color w:val="auto"/>
          <w:szCs w:val="21"/>
        </w:rPr>
        <w:t>5</w:t>
      </w:r>
      <w:r>
        <w:rPr>
          <w:color w:val="auto"/>
          <w:szCs w:val="21"/>
        </w:rPr>
        <w:t>.3</w:t>
      </w:r>
      <w:r>
        <w:rPr>
          <w:rFonts w:hint="eastAsia"/>
          <w:color w:val="auto"/>
          <w:szCs w:val="21"/>
        </w:rPr>
        <w:t>中标人已按合同规定提供了符合招标文件规定的要求的货物，并经有关部门检验合格，所有的技术资料和清单已向采购人提交并被接受，验收视为合格，合同双方签署验收合格证书。</w:t>
      </w:r>
      <w:r>
        <w:rPr>
          <w:color w:val="auto"/>
          <w:szCs w:val="21"/>
        </w:rPr>
        <w:t xml:space="preserve"> </w:t>
      </w:r>
      <w:r>
        <w:rPr>
          <w:rFonts w:hint="eastAsia"/>
          <w:color w:val="auto"/>
          <w:szCs w:val="21"/>
        </w:rPr>
        <w:t>若因中标方制造工艺、质量问题等导致验收不合格，应及时予以处理，直至验收合格，期间发生的一切费用由中标方承担，采购人保留向中标方索赔的权利。中标方在所有货物的到货、验收期间应接受采购人的协调和管理，并采取严格的安全措施，承担由于自身原因所造成的事故责任及其发生的一切费用。</w:t>
      </w:r>
    </w:p>
    <w:p w14:paraId="26F5AD8D">
      <w:pPr>
        <w:pStyle w:val="12"/>
        <w:keepNext w:val="0"/>
        <w:keepLines w:val="0"/>
        <w:pageBreakBefore w:val="0"/>
        <w:tabs>
          <w:tab w:val="left" w:pos="360"/>
        </w:tabs>
        <w:kinsoku/>
        <w:wordWrap/>
        <w:topLinePunct w:val="0"/>
        <w:bidi w:val="0"/>
        <w:adjustRightInd w:val="0"/>
        <w:snapToGrid/>
        <w:spacing w:line="360" w:lineRule="auto"/>
        <w:ind w:firstLine="420" w:firstLineChars="200"/>
        <w:rPr>
          <w:color w:val="auto"/>
        </w:rPr>
      </w:pPr>
      <w:r>
        <w:rPr>
          <w:rFonts w:hint="eastAsia"/>
          <w:color w:val="auto"/>
          <w:szCs w:val="21"/>
          <w:lang w:val="en-US" w:eastAsia="zh-CN"/>
        </w:rPr>
        <w:t>5.4</w:t>
      </w:r>
      <w:r>
        <w:rPr>
          <w:color w:val="auto"/>
        </w:rPr>
        <w:t>验收要求</w:t>
      </w:r>
    </w:p>
    <w:p w14:paraId="666A3130">
      <w:pPr>
        <w:keepNext w:val="0"/>
        <w:keepLines w:val="0"/>
        <w:pageBreakBefore w:val="0"/>
        <w:kinsoku/>
        <w:wordWrap/>
        <w:topLinePunct w:val="0"/>
        <w:bidi w:val="0"/>
        <w:snapToGrid/>
        <w:spacing w:line="360" w:lineRule="auto"/>
        <w:ind w:firstLine="420" w:firstLineChars="200"/>
        <w:rPr>
          <w:color w:val="auto"/>
        </w:rPr>
      </w:pPr>
      <w:r>
        <w:rPr>
          <w:rFonts w:hint="eastAsia" w:ascii="宋体" w:hAnsi="Courier New" w:eastAsia="宋体" w:cs="Times New Roman"/>
          <w:color w:val="auto"/>
          <w:kern w:val="2"/>
          <w:sz w:val="21"/>
          <w:szCs w:val="24"/>
          <w:lang w:val="en-US" w:eastAsia="zh-CN" w:bidi="ar-SA"/>
        </w:rPr>
        <w:t>5.4.1</w:t>
      </w:r>
      <w:r>
        <w:rPr>
          <w:color w:val="auto"/>
        </w:rPr>
        <w:t>验收时间：中标人在设备送达指定地点并安装调试完毕后，书面通知采购人报验。</w:t>
      </w:r>
    </w:p>
    <w:p w14:paraId="0B71250D">
      <w:pPr>
        <w:pStyle w:val="12"/>
        <w:keepNext w:val="0"/>
        <w:keepLines w:val="0"/>
        <w:pageBreakBefore w:val="0"/>
        <w:tabs>
          <w:tab w:val="left" w:pos="360"/>
        </w:tabs>
        <w:kinsoku/>
        <w:wordWrap/>
        <w:topLinePunct w:val="0"/>
        <w:bidi w:val="0"/>
        <w:adjustRightInd w:val="0"/>
        <w:snapToGrid/>
        <w:spacing w:line="360" w:lineRule="auto"/>
        <w:ind w:firstLine="420" w:firstLineChars="200"/>
        <w:rPr>
          <w:rFonts w:hint="default"/>
          <w:color w:val="auto"/>
          <w:lang w:val="en-US" w:eastAsia="zh-CN"/>
        </w:rPr>
      </w:pPr>
      <w:r>
        <w:rPr>
          <w:rFonts w:hint="eastAsia"/>
          <w:color w:val="auto"/>
          <w:lang w:val="en-US" w:eastAsia="zh-CN"/>
        </w:rPr>
        <w:t>5.4.2</w:t>
      </w:r>
      <w:r>
        <w:rPr>
          <w:color w:val="auto"/>
        </w:rPr>
        <w:t>验收：根据行业相关标准及招标文件、投标文件相应技术要求，由采购人组织验收。项目设备安装调试，采购人将按规定对货物的品牌、外观、规格、参数配置、数量、配件及安装调试后的使用性能、运行状况、技术资料及其他进行验收，中标人必须在验收现场提供必要的技术支持。</w:t>
      </w:r>
    </w:p>
    <w:p w14:paraId="29EEE869">
      <w:pPr>
        <w:keepNext w:val="0"/>
        <w:keepLines w:val="0"/>
        <w:pageBreakBefore w:val="0"/>
        <w:tabs>
          <w:tab w:val="left" w:pos="1740"/>
        </w:tabs>
        <w:kinsoku/>
        <w:wordWrap/>
        <w:topLinePunct w:val="0"/>
        <w:bidi w:val="0"/>
        <w:adjustRightInd w:val="0"/>
        <w:snapToGrid/>
        <w:spacing w:line="360" w:lineRule="auto"/>
        <w:ind w:firstLine="413" w:firstLineChars="196"/>
        <w:rPr>
          <w:rFonts w:hint="eastAsia" w:ascii="宋体" w:hAnsi="Times New Roman" w:eastAsia="宋体" w:cs="Times New Roman"/>
          <w:b/>
          <w:color w:val="auto"/>
          <w:szCs w:val="21"/>
        </w:rPr>
      </w:pPr>
      <w:r>
        <w:rPr>
          <w:rFonts w:hint="eastAsia" w:ascii="宋体" w:hAnsi="Times New Roman" w:eastAsia="宋体" w:cs="Times New Roman"/>
          <w:b/>
          <w:color w:val="auto"/>
          <w:szCs w:val="21"/>
        </w:rPr>
        <w:t>6.交货期</w:t>
      </w:r>
    </w:p>
    <w:p w14:paraId="2DF43CBA">
      <w:pPr>
        <w:keepNext w:val="0"/>
        <w:keepLines w:val="0"/>
        <w:pageBreakBefore w:val="0"/>
        <w:tabs>
          <w:tab w:val="left" w:pos="1740"/>
        </w:tabs>
        <w:kinsoku/>
        <w:wordWrap/>
        <w:topLinePunct w:val="0"/>
        <w:bidi w:val="0"/>
        <w:adjustRightInd w:val="0"/>
        <w:snapToGrid/>
        <w:spacing w:line="360" w:lineRule="auto"/>
        <w:ind w:firstLine="413" w:firstLineChars="196"/>
        <w:rPr>
          <w:rFonts w:hint="eastAsia" w:ascii="宋体"/>
          <w:b/>
          <w:color w:val="auto"/>
          <w:szCs w:val="21"/>
          <w:u w:val="single"/>
        </w:rPr>
      </w:pPr>
      <w:r>
        <w:rPr>
          <w:rFonts w:hint="eastAsia" w:ascii="宋体"/>
          <w:b/>
          <w:color w:val="auto"/>
          <w:szCs w:val="21"/>
          <w:u w:val="single"/>
        </w:rPr>
        <w:t>▲</w:t>
      </w:r>
      <w:r>
        <w:rPr>
          <w:rFonts w:hint="eastAsia" w:ascii="宋体"/>
          <w:b/>
          <w:color w:val="auto"/>
          <w:sz w:val="21"/>
          <w:szCs w:val="21"/>
          <w:u w:val="single"/>
        </w:rPr>
        <w:t>供应商必须承诺在</w:t>
      </w:r>
      <w:r>
        <w:rPr>
          <w:rFonts w:hint="eastAsia" w:ascii="宋体"/>
          <w:b/>
          <w:color w:val="auto"/>
          <w:sz w:val="21"/>
          <w:szCs w:val="21"/>
          <w:u w:val="single"/>
          <w:lang w:val="en-US" w:eastAsia="zh-CN"/>
        </w:rPr>
        <w:t>2025年8月28日前</w:t>
      </w:r>
      <w:r>
        <w:rPr>
          <w:rFonts w:hint="eastAsia" w:ascii="宋体"/>
          <w:b/>
          <w:color w:val="auto"/>
          <w:sz w:val="21"/>
          <w:szCs w:val="21"/>
          <w:u w:val="single"/>
        </w:rPr>
        <w:t>完成全部供货并安装调试验收合格。</w:t>
      </w:r>
    </w:p>
    <w:p w14:paraId="2232547F">
      <w:pPr>
        <w:keepNext w:val="0"/>
        <w:keepLines w:val="0"/>
        <w:pageBreakBefore w:val="0"/>
        <w:widowControl/>
        <w:kinsoku/>
        <w:wordWrap/>
        <w:topLinePunct w:val="0"/>
        <w:autoSpaceDE w:val="0"/>
        <w:autoSpaceDN w:val="0"/>
        <w:bidi w:val="0"/>
        <w:adjustRightInd w:val="0"/>
        <w:snapToGrid/>
        <w:spacing w:line="360" w:lineRule="auto"/>
        <w:ind w:firstLine="442" w:firstLineChars="200"/>
        <w:textAlignment w:val="bottom"/>
        <w:rPr>
          <w:rFonts w:hint="eastAsia" w:ascii="宋体" w:hAnsi="宋体" w:cs="宋体"/>
          <w:b/>
          <w:color w:val="auto"/>
          <w:sz w:val="22"/>
          <w:szCs w:val="22"/>
          <w:u w:val="single"/>
        </w:rPr>
      </w:pPr>
      <w:r>
        <w:rPr>
          <w:rFonts w:hint="eastAsia" w:ascii="宋体" w:hAnsi="宋体" w:cs="宋体"/>
          <w:b/>
          <w:color w:val="auto"/>
          <w:sz w:val="22"/>
          <w:szCs w:val="22"/>
          <w:u w:val="single"/>
        </w:rPr>
        <w:t>交货时提供产品说明书、合格证、操作维护手册等资料。</w:t>
      </w:r>
    </w:p>
    <w:p w14:paraId="6E188C90">
      <w:pPr>
        <w:keepNext w:val="0"/>
        <w:keepLines w:val="0"/>
        <w:pageBreakBefore w:val="0"/>
        <w:tabs>
          <w:tab w:val="left" w:pos="1740"/>
        </w:tabs>
        <w:kinsoku/>
        <w:wordWrap/>
        <w:topLinePunct w:val="0"/>
        <w:bidi w:val="0"/>
        <w:adjustRightInd w:val="0"/>
        <w:snapToGrid/>
        <w:spacing w:line="360" w:lineRule="auto"/>
        <w:ind w:firstLine="413" w:firstLineChars="196"/>
        <w:rPr>
          <w:rFonts w:ascii="宋体"/>
          <w:b/>
          <w:color w:val="auto"/>
          <w:szCs w:val="21"/>
        </w:rPr>
      </w:pPr>
      <w:r>
        <w:rPr>
          <w:rFonts w:hint="eastAsia" w:ascii="宋体"/>
          <w:b/>
          <w:color w:val="auto"/>
          <w:szCs w:val="21"/>
        </w:rPr>
        <w:t>7</w:t>
      </w:r>
      <w:r>
        <w:rPr>
          <w:rFonts w:ascii="宋体"/>
          <w:b/>
          <w:color w:val="auto"/>
          <w:szCs w:val="21"/>
        </w:rPr>
        <w:t>.</w:t>
      </w:r>
      <w:r>
        <w:rPr>
          <w:rFonts w:hint="eastAsia" w:ascii="宋体"/>
          <w:b/>
          <w:color w:val="auto"/>
          <w:szCs w:val="21"/>
        </w:rPr>
        <w:t>培训</w:t>
      </w:r>
    </w:p>
    <w:p w14:paraId="1EE57871">
      <w:pPr>
        <w:widowControl/>
        <w:autoSpaceDE w:val="0"/>
        <w:autoSpaceDN w:val="0"/>
        <w:adjustRightInd w:val="0"/>
        <w:snapToGrid w:val="0"/>
        <w:spacing w:line="400" w:lineRule="exact"/>
        <w:ind w:firstLine="420" w:firstLineChars="200"/>
        <w:textAlignment w:val="bottom"/>
        <w:rPr>
          <w:rFonts w:hint="eastAsia" w:ascii="宋体" w:hAnsi="宋体" w:cs="宋体"/>
          <w:color w:val="auto"/>
          <w:sz w:val="21"/>
          <w:szCs w:val="21"/>
        </w:rPr>
      </w:pPr>
      <w:bookmarkStart w:id="2" w:name="_Toc457330790"/>
      <w:bookmarkStart w:id="3" w:name="_Toc157410887"/>
      <w:r>
        <w:rPr>
          <w:rFonts w:hint="eastAsia" w:ascii="宋体" w:hAnsi="宋体" w:cs="宋体"/>
          <w:color w:val="auto"/>
          <w:sz w:val="21"/>
          <w:szCs w:val="21"/>
        </w:rPr>
        <w:t>7.1免费培训人员掌握并正常操作，确保2～3人能熟练使用操作及设备日常维护，并能排除简单的系统故障。</w:t>
      </w:r>
    </w:p>
    <w:p w14:paraId="08B0DEBF">
      <w:pPr>
        <w:snapToGrid w:val="0"/>
        <w:spacing w:line="460" w:lineRule="atLeast"/>
        <w:ind w:firstLine="420" w:firstLineChars="200"/>
        <w:rPr>
          <w:rFonts w:hint="eastAsia" w:ascii="宋体" w:hAnsi="宋体" w:cs="宋体"/>
          <w:color w:val="auto"/>
          <w:sz w:val="21"/>
          <w:szCs w:val="21"/>
        </w:rPr>
      </w:pPr>
      <w:r>
        <w:rPr>
          <w:rFonts w:hint="eastAsia" w:ascii="宋体" w:hAnsi="宋体" w:cs="宋体"/>
          <w:color w:val="auto"/>
          <w:sz w:val="21"/>
          <w:szCs w:val="21"/>
        </w:rPr>
        <w:t>7.2 旨在提供更好的其他方式培训。</w:t>
      </w:r>
    </w:p>
    <w:p w14:paraId="1C50455D">
      <w:pPr>
        <w:keepNext w:val="0"/>
        <w:keepLines w:val="0"/>
        <w:pageBreakBefore w:val="0"/>
        <w:widowControl w:val="0"/>
        <w:tabs>
          <w:tab w:val="left" w:pos="1740"/>
        </w:tabs>
        <w:kinsoku/>
        <w:wordWrap/>
        <w:overflowPunct/>
        <w:topLinePunct w:val="0"/>
        <w:autoSpaceDE/>
        <w:autoSpaceDN/>
        <w:bidi w:val="0"/>
        <w:adjustRightInd w:val="0"/>
        <w:snapToGrid/>
        <w:spacing w:line="360" w:lineRule="auto"/>
        <w:ind w:firstLine="413" w:firstLineChars="196"/>
        <w:textAlignment w:val="auto"/>
        <w:rPr>
          <w:rFonts w:hint="eastAsia" w:ascii="宋体" w:hAnsi="Times New Roman" w:eastAsia="宋体" w:cs="Times New Roman"/>
          <w:b/>
          <w:color w:val="auto"/>
          <w:szCs w:val="21"/>
        </w:rPr>
      </w:pPr>
      <w:r>
        <w:rPr>
          <w:rFonts w:hint="eastAsia" w:ascii="宋体" w:hAnsi="Times New Roman" w:eastAsia="宋体" w:cs="Times New Roman"/>
          <w:b/>
          <w:color w:val="auto"/>
          <w:szCs w:val="21"/>
          <w:lang w:val="en-US" w:eastAsia="zh-CN"/>
        </w:rPr>
        <w:t>8.</w:t>
      </w:r>
      <w:r>
        <w:rPr>
          <w:rFonts w:hint="eastAsia" w:ascii="宋体" w:hAnsi="Times New Roman" w:eastAsia="宋体" w:cs="Times New Roman"/>
          <w:b/>
          <w:color w:val="auto"/>
          <w:szCs w:val="21"/>
        </w:rPr>
        <w:t>包装及运输要求</w:t>
      </w:r>
    </w:p>
    <w:p w14:paraId="680BAEA5">
      <w:pPr>
        <w:keepNext w:val="0"/>
        <w:keepLines w:val="0"/>
        <w:pageBreakBefore w:val="0"/>
        <w:kinsoku/>
        <w:wordWrap/>
        <w:topLinePunct w:val="0"/>
        <w:bidi w:val="0"/>
        <w:snapToGrid/>
        <w:spacing w:line="360" w:lineRule="auto"/>
        <w:ind w:firstLine="420" w:firstLineChars="200"/>
        <w:rPr>
          <w:color w:val="auto"/>
        </w:rPr>
      </w:pPr>
      <w:r>
        <w:rPr>
          <w:rFonts w:hint="eastAsia"/>
          <w:color w:val="auto"/>
          <w:lang w:val="en-US" w:eastAsia="zh-CN"/>
        </w:rPr>
        <w:t>8.1</w:t>
      </w:r>
      <w:r>
        <w:rPr>
          <w:color w:val="auto"/>
        </w:rPr>
        <w:t>投标人提供的设备必须具有可靠安全保护、保险措施，以防止误操作或意外事故致使机器受损。产品包装应符合国家或专业（部）标准规定。供货时须提供配套的附件，工具和使用说明书、合格证、维修维护指南或服务手册等技术资料文件。</w:t>
      </w:r>
    </w:p>
    <w:p w14:paraId="431CC839">
      <w:pPr>
        <w:keepNext w:val="0"/>
        <w:keepLines w:val="0"/>
        <w:pageBreakBefore w:val="0"/>
        <w:kinsoku/>
        <w:wordWrap/>
        <w:topLinePunct w:val="0"/>
        <w:bidi w:val="0"/>
        <w:snapToGrid/>
        <w:spacing w:line="360" w:lineRule="auto"/>
        <w:ind w:firstLine="420" w:firstLineChars="200"/>
        <w:rPr>
          <w:color w:val="auto"/>
        </w:rPr>
      </w:pPr>
      <w:r>
        <w:rPr>
          <w:rFonts w:hint="eastAsia"/>
          <w:color w:val="auto"/>
          <w:lang w:val="en-US" w:eastAsia="zh-CN"/>
        </w:rPr>
        <w:t>8.2</w:t>
      </w:r>
      <w:r>
        <w:rPr>
          <w:color w:val="auto"/>
        </w:rPr>
        <w:t>由投标人将设备直接免费送至采购人指定的位置。如在运输、搬运、安装过程中造成设备损坏，采购人有权不签收并由中标人承担相应经济损失。</w:t>
      </w:r>
    </w:p>
    <w:p w14:paraId="00487CFF">
      <w:pPr>
        <w:keepNext w:val="0"/>
        <w:keepLines w:val="0"/>
        <w:pageBreakBefore w:val="0"/>
        <w:kinsoku/>
        <w:wordWrap/>
        <w:topLinePunct w:val="0"/>
        <w:bidi w:val="0"/>
        <w:snapToGrid/>
        <w:spacing w:line="360" w:lineRule="auto"/>
        <w:rPr>
          <w:rFonts w:ascii="宋体"/>
          <w:b/>
          <w:color w:val="auto"/>
          <w:szCs w:val="21"/>
        </w:rPr>
      </w:pPr>
      <w:r>
        <w:rPr>
          <w:rFonts w:hint="eastAsia" w:ascii="宋体"/>
          <w:b/>
          <w:color w:val="auto"/>
          <w:szCs w:val="21"/>
        </w:rPr>
        <w:t>四、工作范围</w:t>
      </w:r>
      <w:bookmarkEnd w:id="2"/>
      <w:bookmarkEnd w:id="3"/>
    </w:p>
    <w:p w14:paraId="6CCAF6B8">
      <w:pPr>
        <w:keepNext w:val="0"/>
        <w:keepLines w:val="0"/>
        <w:pageBreakBefore w:val="0"/>
        <w:kinsoku/>
        <w:wordWrap/>
        <w:topLinePunct w:val="0"/>
        <w:bidi w:val="0"/>
        <w:adjustRightInd w:val="0"/>
        <w:snapToGrid/>
        <w:spacing w:line="360" w:lineRule="auto"/>
        <w:ind w:firstLine="440" w:firstLineChars="200"/>
        <w:rPr>
          <w:rFonts w:hint="eastAsia" w:ascii="宋体" w:hAnsi="宋体" w:cs="宋体"/>
          <w:color w:val="auto"/>
          <w:sz w:val="22"/>
          <w:szCs w:val="22"/>
        </w:rPr>
      </w:pPr>
      <w:r>
        <w:rPr>
          <w:rFonts w:hint="eastAsia" w:ascii="宋体" w:hAnsi="宋体" w:cs="宋体"/>
          <w:color w:val="auto"/>
          <w:sz w:val="22"/>
          <w:szCs w:val="22"/>
        </w:rPr>
        <w:t>根据招标文件，各供应商须按国家有关标准及规范完成下列工作：</w:t>
      </w:r>
    </w:p>
    <w:p w14:paraId="061AC2D7">
      <w:pPr>
        <w:keepNext w:val="0"/>
        <w:keepLines w:val="0"/>
        <w:pageBreakBefore w:val="0"/>
        <w:tabs>
          <w:tab w:val="left" w:pos="1740"/>
        </w:tabs>
        <w:kinsoku/>
        <w:wordWrap/>
        <w:topLinePunct w:val="0"/>
        <w:bidi w:val="0"/>
        <w:adjustRightInd w:val="0"/>
        <w:snapToGrid/>
        <w:spacing w:line="360" w:lineRule="auto"/>
        <w:ind w:firstLine="431" w:firstLineChars="196"/>
        <w:rPr>
          <w:rFonts w:hint="eastAsia" w:ascii="宋体" w:hAnsi="宋体" w:cs="宋体"/>
          <w:color w:val="auto"/>
          <w:sz w:val="22"/>
          <w:szCs w:val="22"/>
        </w:rPr>
      </w:pPr>
      <w:r>
        <w:rPr>
          <w:rFonts w:hint="eastAsia" w:ascii="宋体" w:hAnsi="宋体" w:cs="宋体"/>
          <w:color w:val="auto"/>
          <w:sz w:val="22"/>
          <w:szCs w:val="22"/>
        </w:rPr>
        <w:t>1.提供完整成套的新货物及服务。</w:t>
      </w:r>
    </w:p>
    <w:p w14:paraId="7399FA5A">
      <w:pPr>
        <w:keepNext w:val="0"/>
        <w:keepLines w:val="0"/>
        <w:pageBreakBefore w:val="0"/>
        <w:kinsoku/>
        <w:wordWrap/>
        <w:topLinePunct w:val="0"/>
        <w:bidi w:val="0"/>
        <w:adjustRightInd w:val="0"/>
        <w:snapToGrid/>
        <w:spacing w:line="360" w:lineRule="auto"/>
        <w:ind w:firstLine="431" w:firstLineChars="196"/>
        <w:rPr>
          <w:rFonts w:hint="eastAsia" w:ascii="宋体" w:hAnsi="宋体" w:cs="宋体"/>
          <w:color w:val="auto"/>
          <w:sz w:val="22"/>
          <w:szCs w:val="22"/>
        </w:rPr>
      </w:pPr>
      <w:r>
        <w:rPr>
          <w:rFonts w:hint="eastAsia" w:ascii="宋体" w:hAnsi="宋体" w:cs="宋体"/>
          <w:color w:val="auto"/>
          <w:sz w:val="22"/>
          <w:szCs w:val="22"/>
        </w:rPr>
        <w:t>2.设备及相关附件的提供、运输、装卸、就位、安装、调试、检验、培训、通过验收。</w:t>
      </w:r>
    </w:p>
    <w:p w14:paraId="757155DD">
      <w:pPr>
        <w:keepNext w:val="0"/>
        <w:keepLines w:val="0"/>
        <w:pageBreakBefore w:val="0"/>
        <w:tabs>
          <w:tab w:val="left" w:pos="1740"/>
        </w:tabs>
        <w:kinsoku/>
        <w:wordWrap/>
        <w:topLinePunct w:val="0"/>
        <w:bidi w:val="0"/>
        <w:adjustRightInd w:val="0"/>
        <w:snapToGrid/>
        <w:spacing w:line="360" w:lineRule="auto"/>
        <w:ind w:firstLine="431" w:firstLineChars="196"/>
        <w:rPr>
          <w:rFonts w:hint="eastAsia" w:ascii="宋体" w:hAnsi="宋体" w:cs="宋体"/>
          <w:color w:val="auto"/>
          <w:sz w:val="22"/>
          <w:szCs w:val="22"/>
        </w:rPr>
      </w:pPr>
      <w:r>
        <w:rPr>
          <w:rFonts w:hint="eastAsia" w:ascii="宋体" w:hAnsi="宋体" w:cs="宋体"/>
          <w:color w:val="auto"/>
          <w:sz w:val="22"/>
          <w:szCs w:val="22"/>
        </w:rPr>
        <w:t>3.完成各项调试、检验、测试工作，并在采购人的配合下通过的验收；提供各种数据资料，直至通过验收。包括所涉及的软硬件系统调整（如有）、配置和调试、维护。</w:t>
      </w:r>
    </w:p>
    <w:p w14:paraId="73DB9131">
      <w:pPr>
        <w:keepNext w:val="0"/>
        <w:keepLines w:val="0"/>
        <w:pageBreakBefore w:val="0"/>
        <w:kinsoku/>
        <w:wordWrap/>
        <w:topLinePunct w:val="0"/>
        <w:bidi w:val="0"/>
        <w:adjustRightInd w:val="0"/>
        <w:snapToGrid/>
        <w:spacing w:line="360" w:lineRule="auto"/>
        <w:ind w:firstLine="431" w:firstLineChars="196"/>
        <w:rPr>
          <w:rFonts w:hint="eastAsia" w:ascii="宋体" w:hAnsi="宋体" w:cs="宋体"/>
          <w:color w:val="auto"/>
          <w:sz w:val="22"/>
          <w:szCs w:val="22"/>
        </w:rPr>
      </w:pPr>
      <w:r>
        <w:rPr>
          <w:rFonts w:hint="eastAsia" w:ascii="宋体" w:hAnsi="宋体" w:cs="宋体"/>
          <w:color w:val="auto"/>
          <w:sz w:val="22"/>
          <w:szCs w:val="22"/>
        </w:rPr>
        <w:t>4.对最终使用单位的使用人员及维修人员进行技术培训。</w:t>
      </w:r>
    </w:p>
    <w:p w14:paraId="24625054">
      <w:pPr>
        <w:keepNext w:val="0"/>
        <w:keepLines w:val="0"/>
        <w:pageBreakBefore w:val="0"/>
        <w:kinsoku/>
        <w:wordWrap/>
        <w:topLinePunct w:val="0"/>
        <w:bidi w:val="0"/>
        <w:adjustRightInd w:val="0"/>
        <w:snapToGrid/>
        <w:spacing w:line="360" w:lineRule="auto"/>
        <w:ind w:firstLine="431" w:firstLineChars="196"/>
        <w:rPr>
          <w:rFonts w:hint="eastAsia" w:ascii="宋体" w:hAnsi="宋体" w:cs="宋体"/>
          <w:color w:val="auto"/>
          <w:sz w:val="22"/>
          <w:szCs w:val="22"/>
        </w:rPr>
      </w:pPr>
      <w:r>
        <w:rPr>
          <w:rFonts w:hint="eastAsia" w:ascii="宋体" w:hAnsi="宋体" w:cs="宋体"/>
          <w:color w:val="auto"/>
          <w:sz w:val="22"/>
          <w:szCs w:val="22"/>
        </w:rPr>
        <w:t>5.质保期内系统设备的维保、维修及质保期后提供终身有偿维修服务。</w:t>
      </w:r>
    </w:p>
    <w:p w14:paraId="003C3AD0">
      <w:pPr>
        <w:keepNext w:val="0"/>
        <w:keepLines w:val="0"/>
        <w:pageBreakBefore w:val="0"/>
        <w:kinsoku/>
        <w:wordWrap/>
        <w:topLinePunct w:val="0"/>
        <w:bidi w:val="0"/>
        <w:adjustRightInd w:val="0"/>
        <w:snapToGrid/>
        <w:spacing w:line="360" w:lineRule="auto"/>
        <w:ind w:firstLine="431" w:firstLineChars="196"/>
        <w:rPr>
          <w:rFonts w:hint="eastAsia" w:ascii="宋体" w:hAnsi="宋体" w:cs="宋体"/>
          <w:color w:val="auto"/>
          <w:sz w:val="22"/>
          <w:szCs w:val="22"/>
        </w:rPr>
      </w:pPr>
      <w:r>
        <w:rPr>
          <w:rFonts w:hint="eastAsia" w:ascii="宋体" w:hAnsi="宋体" w:cs="宋体"/>
          <w:color w:val="auto"/>
          <w:sz w:val="22"/>
          <w:szCs w:val="22"/>
        </w:rPr>
        <w:t>6.售后服务的措施及承诺。</w:t>
      </w:r>
    </w:p>
    <w:p w14:paraId="62113199">
      <w:pPr>
        <w:keepNext w:val="0"/>
        <w:keepLines w:val="0"/>
        <w:pageBreakBefore w:val="0"/>
        <w:tabs>
          <w:tab w:val="left" w:pos="400"/>
        </w:tabs>
        <w:kinsoku/>
        <w:wordWrap/>
        <w:topLinePunct w:val="0"/>
        <w:bidi w:val="0"/>
        <w:adjustRightInd w:val="0"/>
        <w:snapToGrid/>
        <w:spacing w:line="360" w:lineRule="auto"/>
        <w:ind w:firstLine="440" w:firstLineChars="200"/>
        <w:rPr>
          <w:rFonts w:hint="eastAsia" w:ascii="宋体" w:hAnsi="宋体" w:cs="宋体"/>
          <w:color w:val="auto"/>
          <w:sz w:val="22"/>
          <w:szCs w:val="22"/>
        </w:rPr>
      </w:pPr>
      <w:r>
        <w:rPr>
          <w:rFonts w:hint="eastAsia" w:ascii="宋体" w:hAnsi="宋体" w:cs="宋体"/>
          <w:color w:val="auto"/>
          <w:sz w:val="22"/>
          <w:szCs w:val="22"/>
        </w:rPr>
        <w:t>以上工作内容的费用均包含在报价中。</w:t>
      </w:r>
    </w:p>
    <w:p w14:paraId="665BB206">
      <w:pPr>
        <w:tabs>
          <w:tab w:val="left" w:pos="400"/>
        </w:tabs>
        <w:adjustRightInd w:val="0"/>
        <w:snapToGrid w:val="0"/>
        <w:spacing w:line="460" w:lineRule="atLeast"/>
        <w:ind w:firstLine="431" w:firstLineChars="196"/>
        <w:rPr>
          <w:rFonts w:hint="eastAsia" w:ascii="宋体" w:hAnsi="宋体" w:cs="宋体"/>
          <w:color w:val="auto"/>
          <w:sz w:val="22"/>
          <w:szCs w:val="22"/>
          <w:u w:val="single"/>
        </w:rPr>
      </w:pPr>
    </w:p>
    <w:p w14:paraId="6CF5CD62">
      <w:pPr>
        <w:tabs>
          <w:tab w:val="left" w:pos="8280"/>
        </w:tabs>
        <w:autoSpaceDE w:val="0"/>
        <w:autoSpaceDN w:val="0"/>
        <w:adjustRightInd w:val="0"/>
        <w:spacing w:line="360" w:lineRule="auto"/>
        <w:ind w:right="25" w:firstLine="489" w:firstLineChars="233"/>
        <w:rPr>
          <w:rFonts w:hint="eastAsia" w:ascii="宋体"/>
          <w:color w:val="auto"/>
          <w:szCs w:val="21"/>
        </w:rPr>
        <w:sectPr>
          <w:pgSz w:w="11906" w:h="16838"/>
          <w:pgMar w:top="1440" w:right="1134" w:bottom="1440" w:left="1134" w:header="851" w:footer="992" w:gutter="0"/>
          <w:cols w:space="720" w:num="1"/>
          <w:docGrid w:type="lines" w:linePitch="312" w:charSpace="0"/>
        </w:sectPr>
      </w:pPr>
    </w:p>
    <w:p w14:paraId="64274118">
      <w:pPr>
        <w:numPr>
          <w:ilvl w:val="0"/>
          <w:numId w:val="0"/>
        </w:numPr>
        <w:spacing w:line="360" w:lineRule="auto"/>
        <w:jc w:val="center"/>
        <w:rPr>
          <w:rFonts w:ascii="宋体"/>
          <w:b/>
          <w:color w:val="auto"/>
          <w:sz w:val="30"/>
          <w:szCs w:val="30"/>
        </w:rPr>
      </w:pPr>
      <w:r>
        <w:rPr>
          <w:rFonts w:hint="eastAsia" w:ascii="宋体" w:cs="Times New Roman"/>
          <w:b/>
          <w:color w:val="auto"/>
          <w:kern w:val="2"/>
          <w:sz w:val="30"/>
          <w:szCs w:val="30"/>
          <w:lang w:val="en-US" w:eastAsia="zh-CN" w:bidi="ar-SA"/>
        </w:rPr>
        <w:t>第五章</w:t>
      </w:r>
      <w:r>
        <w:rPr>
          <w:rFonts w:hint="eastAsia" w:ascii="宋体" w:hAnsi="宋体"/>
          <w:b/>
          <w:color w:val="auto"/>
          <w:sz w:val="30"/>
          <w:szCs w:val="30"/>
        </w:rPr>
        <w:t>政府采购合同主要条款指引</w:t>
      </w:r>
    </w:p>
    <w:p w14:paraId="71B5DC38">
      <w:pPr>
        <w:snapToGrid w:val="0"/>
        <w:spacing w:before="156" w:beforeLines="50" w:after="156" w:afterLines="50"/>
        <w:jc w:val="center"/>
        <w:rPr>
          <w:rFonts w:ascii="宋体"/>
          <w:b/>
          <w:color w:val="auto"/>
          <w:sz w:val="30"/>
          <w:szCs w:val="30"/>
        </w:rPr>
      </w:pPr>
      <w:r>
        <w:rPr>
          <w:rFonts w:hint="eastAsia" w:ascii="宋体" w:hAnsi="宋体"/>
          <w:b/>
          <w:color w:val="auto"/>
          <w:sz w:val="30"/>
          <w:szCs w:val="30"/>
        </w:rPr>
        <w:t>货物类</w:t>
      </w:r>
    </w:p>
    <w:p w14:paraId="376A260D">
      <w:pPr>
        <w:keepNext w:val="0"/>
        <w:keepLines w:val="0"/>
        <w:pageBreakBefore w:val="0"/>
        <w:widowControl/>
        <w:shd w:val="clear" w:color="auto" w:fill="FFFFFF"/>
        <w:kinsoku/>
        <w:wordWrap/>
        <w:overflowPunct/>
        <w:topLinePunct w:val="0"/>
        <w:bidi w:val="0"/>
        <w:snapToGrid/>
        <w:spacing w:line="360" w:lineRule="auto"/>
        <w:ind w:firstLine="480"/>
        <w:jc w:val="left"/>
        <w:textAlignment w:val="auto"/>
        <w:rPr>
          <w:rFonts w:ascii="宋体"/>
          <w:color w:val="auto"/>
          <w:szCs w:val="21"/>
        </w:rPr>
      </w:pPr>
      <w:r>
        <w:rPr>
          <w:rFonts w:hint="eastAsia" w:ascii="宋体" w:hAnsi="宋体"/>
          <w:color w:val="auto"/>
          <w:szCs w:val="21"/>
        </w:rPr>
        <w:t>以下为成交后签定本项目合同的通用条款，成交供应商不得提出实质性的修改，关于专用条款将由采购人与成交供应商结合本项目具体情况协商后签订。</w:t>
      </w:r>
    </w:p>
    <w:p w14:paraId="1EE9734D">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项目名称：</w:t>
      </w:r>
      <w:r>
        <w:rPr>
          <w:rFonts w:hAnsi="宋体"/>
          <w:color w:val="auto"/>
          <w:szCs w:val="21"/>
        </w:rPr>
        <w:t xml:space="preserve">                                    </w:t>
      </w:r>
      <w:r>
        <w:rPr>
          <w:rFonts w:hint="eastAsia" w:hAnsi="宋体"/>
          <w:color w:val="auto"/>
          <w:szCs w:val="21"/>
        </w:rPr>
        <w:t>项目编号：</w:t>
      </w:r>
    </w:p>
    <w:p w14:paraId="6505EF5E">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甲方：（采购单位）</w:t>
      </w:r>
      <w:r>
        <w:rPr>
          <w:rFonts w:hAnsi="宋体"/>
          <w:color w:val="auto"/>
          <w:szCs w:val="21"/>
        </w:rPr>
        <w:t xml:space="preserve">                            </w:t>
      </w:r>
      <w:r>
        <w:rPr>
          <w:rFonts w:hint="eastAsia" w:hAnsi="宋体"/>
          <w:color w:val="auto"/>
          <w:szCs w:val="21"/>
        </w:rPr>
        <w:t>所在地：</w:t>
      </w:r>
      <w:r>
        <w:rPr>
          <w:rFonts w:hAnsi="宋体"/>
          <w:color w:val="auto"/>
          <w:szCs w:val="21"/>
        </w:rPr>
        <w:t xml:space="preserve">                              </w:t>
      </w:r>
    </w:p>
    <w:p w14:paraId="0765A023">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乙方：（中标供应商）</w:t>
      </w:r>
      <w:r>
        <w:rPr>
          <w:rFonts w:hAnsi="宋体"/>
          <w:color w:val="auto"/>
          <w:szCs w:val="21"/>
        </w:rPr>
        <w:t xml:space="preserve">                          </w:t>
      </w:r>
      <w:r>
        <w:rPr>
          <w:rFonts w:hint="eastAsia" w:hAnsi="宋体"/>
          <w:color w:val="auto"/>
          <w:szCs w:val="21"/>
        </w:rPr>
        <w:t>所在地：</w:t>
      </w:r>
    </w:p>
    <w:p w14:paraId="72638AA1">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color w:val="auto"/>
          <w:szCs w:val="21"/>
        </w:rPr>
        <w:t>甲、乙双方根据</w:t>
      </w:r>
      <w:r>
        <w:rPr>
          <w:rFonts w:hint="eastAsia" w:hAnsi="宋体" w:cs="Arial"/>
          <w:color w:val="auto"/>
          <w:szCs w:val="21"/>
        </w:rPr>
        <w:t>××</w:t>
      </w:r>
      <w:r>
        <w:rPr>
          <w:rFonts w:hAnsi="宋体"/>
          <w:color w:val="auto"/>
          <w:szCs w:val="21"/>
        </w:rPr>
        <w:t>(</w:t>
      </w:r>
      <w:r>
        <w:rPr>
          <w:rFonts w:hint="eastAsia" w:hAnsi="宋体"/>
          <w:color w:val="auto"/>
          <w:szCs w:val="21"/>
        </w:rPr>
        <w:t>采购组织机构名称）关于</w:t>
      </w:r>
      <w:r>
        <w:rPr>
          <w:rFonts w:hint="eastAsia" w:hAnsi="宋体" w:cs="Arial"/>
          <w:color w:val="auto"/>
          <w:szCs w:val="21"/>
        </w:rPr>
        <w:t>××</w:t>
      </w:r>
      <w:r>
        <w:rPr>
          <w:rFonts w:hint="eastAsia" w:hAnsi="宋体"/>
          <w:color w:val="auto"/>
          <w:szCs w:val="21"/>
        </w:rPr>
        <w:t>单位</w:t>
      </w:r>
      <w:r>
        <w:rPr>
          <w:rFonts w:hint="eastAsia" w:hAnsi="宋体" w:cs="Arial"/>
          <w:color w:val="auto"/>
          <w:szCs w:val="21"/>
        </w:rPr>
        <w:t>××</w:t>
      </w:r>
      <w:r>
        <w:rPr>
          <w:rFonts w:hint="eastAsia" w:hAnsi="宋体"/>
          <w:color w:val="auto"/>
          <w:szCs w:val="21"/>
        </w:rPr>
        <w:t>项目公开招标的结果，签署本合同。</w:t>
      </w:r>
    </w:p>
    <w:p w14:paraId="2872F657">
      <w:pPr>
        <w:keepNext w:val="0"/>
        <w:keepLines w:val="0"/>
        <w:pageBreakBefore w:val="0"/>
        <w:kinsoku/>
        <w:wordWrap/>
        <w:overflowPunct/>
        <w:topLinePunct w:val="0"/>
        <w:bidi w:val="0"/>
        <w:snapToGrid/>
        <w:spacing w:line="360" w:lineRule="auto"/>
        <w:textAlignment w:val="auto"/>
        <w:rPr>
          <w:rFonts w:hint="eastAsia" w:ascii="宋体" w:hAnsi="宋体" w:eastAsia="宋体" w:cs="Times New Roman"/>
          <w:b/>
          <w:color w:val="auto"/>
          <w:kern w:val="2"/>
          <w:sz w:val="21"/>
          <w:szCs w:val="21"/>
          <w:lang w:val="zh-CN" w:eastAsia="zh-CN" w:bidi="ar-SA"/>
        </w:rPr>
      </w:pPr>
      <w:r>
        <w:rPr>
          <w:rFonts w:hint="eastAsia" w:ascii="宋体" w:hAnsi="宋体" w:eastAsia="宋体" w:cs="Times New Roman"/>
          <w:b/>
          <w:color w:val="auto"/>
          <w:kern w:val="2"/>
          <w:sz w:val="21"/>
          <w:szCs w:val="21"/>
          <w:lang w:val="zh-CN" w:eastAsia="zh-CN" w:bidi="ar-SA"/>
        </w:rPr>
        <w:t>一、合同文件</w:t>
      </w:r>
    </w:p>
    <w:p w14:paraId="5CF4BEC0">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lang w:val="zh-CN"/>
        </w:rPr>
      </w:pPr>
      <w:r>
        <w:rPr>
          <w:rFonts w:ascii="宋体"/>
          <w:color w:val="auto"/>
          <w:szCs w:val="21"/>
          <w:lang w:val="zh-CN"/>
        </w:rPr>
        <w:t>1.</w:t>
      </w:r>
      <w:r>
        <w:rPr>
          <w:rFonts w:hint="eastAsia" w:ascii="宋体"/>
          <w:color w:val="auto"/>
          <w:szCs w:val="21"/>
          <w:lang w:val="zh-CN"/>
        </w:rPr>
        <w:t>合同条款。</w:t>
      </w:r>
    </w:p>
    <w:p w14:paraId="35022EA2">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lang w:val="zh-CN"/>
        </w:rPr>
      </w:pPr>
      <w:r>
        <w:rPr>
          <w:rFonts w:ascii="宋体"/>
          <w:color w:val="auto"/>
          <w:szCs w:val="21"/>
          <w:lang w:val="zh-CN"/>
        </w:rPr>
        <w:t>2.</w:t>
      </w:r>
      <w:r>
        <w:rPr>
          <w:rFonts w:hint="eastAsia" w:ascii="宋体"/>
          <w:color w:val="auto"/>
          <w:szCs w:val="21"/>
          <w:lang w:val="zh-CN"/>
        </w:rPr>
        <w:t>中标通知书。</w:t>
      </w:r>
    </w:p>
    <w:p w14:paraId="0D70A216">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lang w:val="zh-CN"/>
        </w:rPr>
      </w:pPr>
      <w:r>
        <w:rPr>
          <w:rFonts w:ascii="宋体"/>
          <w:color w:val="auto"/>
          <w:szCs w:val="21"/>
          <w:lang w:val="zh-CN"/>
        </w:rPr>
        <w:t>3.</w:t>
      </w:r>
      <w:r>
        <w:rPr>
          <w:rFonts w:hint="eastAsia" w:ascii="宋体"/>
          <w:color w:val="auto"/>
          <w:szCs w:val="21"/>
          <w:lang w:val="zh-CN"/>
        </w:rPr>
        <w:t>更正补充文件。</w:t>
      </w:r>
    </w:p>
    <w:p w14:paraId="2C2C6044">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lang w:val="zh-CN"/>
        </w:rPr>
      </w:pPr>
      <w:r>
        <w:rPr>
          <w:rFonts w:ascii="宋体"/>
          <w:color w:val="auto"/>
          <w:szCs w:val="21"/>
          <w:lang w:val="zh-CN"/>
        </w:rPr>
        <w:t>4.</w:t>
      </w:r>
      <w:r>
        <w:rPr>
          <w:rFonts w:hint="eastAsia" w:ascii="宋体"/>
          <w:color w:val="auto"/>
          <w:szCs w:val="21"/>
          <w:lang w:val="zh-CN"/>
        </w:rPr>
        <w:t>招标文件。</w:t>
      </w:r>
    </w:p>
    <w:p w14:paraId="19E1829E">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lang w:val="zh-CN"/>
        </w:rPr>
      </w:pPr>
      <w:r>
        <w:rPr>
          <w:rFonts w:ascii="宋体"/>
          <w:color w:val="auto"/>
          <w:szCs w:val="21"/>
          <w:lang w:val="zh-CN"/>
        </w:rPr>
        <w:t>5.</w:t>
      </w:r>
      <w:r>
        <w:rPr>
          <w:rFonts w:hint="eastAsia" w:ascii="宋体"/>
          <w:color w:val="auto"/>
          <w:szCs w:val="21"/>
          <w:lang w:val="zh-CN"/>
        </w:rPr>
        <w:t>中标供应商投标文件。</w:t>
      </w:r>
    </w:p>
    <w:p w14:paraId="03C10318">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lang w:val="zh-CN"/>
        </w:rPr>
      </w:pPr>
      <w:r>
        <w:rPr>
          <w:rFonts w:ascii="宋体"/>
          <w:color w:val="auto"/>
          <w:szCs w:val="21"/>
          <w:lang w:val="zh-CN"/>
        </w:rPr>
        <w:t>6.</w:t>
      </w:r>
      <w:r>
        <w:rPr>
          <w:rFonts w:hint="eastAsia" w:ascii="宋体"/>
          <w:color w:val="auto"/>
          <w:szCs w:val="21"/>
          <w:lang w:val="zh-CN"/>
        </w:rPr>
        <w:t>其他。</w:t>
      </w:r>
    </w:p>
    <w:p w14:paraId="77DAFF2A">
      <w:pPr>
        <w:pStyle w:val="12"/>
        <w:keepNext w:val="0"/>
        <w:keepLines w:val="0"/>
        <w:pageBreakBefore w:val="0"/>
        <w:kinsoku/>
        <w:wordWrap/>
        <w:overflowPunct/>
        <w:topLinePunct w:val="0"/>
        <w:bidi w:val="0"/>
        <w:snapToGrid/>
        <w:spacing w:line="360" w:lineRule="auto"/>
        <w:ind w:firstLine="420" w:firstLineChars="200"/>
        <w:textAlignment w:val="auto"/>
        <w:rPr>
          <w:rFonts w:hAnsi="Times New Roman"/>
          <w:color w:val="auto"/>
          <w:szCs w:val="21"/>
          <w:lang w:val="zh-CN"/>
        </w:rPr>
      </w:pPr>
      <w:r>
        <w:rPr>
          <w:rFonts w:hint="eastAsia"/>
          <w:color w:val="auto"/>
          <w:szCs w:val="21"/>
          <w:lang w:val="zh-CN"/>
        </w:rPr>
        <w:t>上述所指合同文件应认为是互相补充和解释的，但是有模棱两可或互相矛盾之处，以其所列内容顺序为准。</w:t>
      </w:r>
    </w:p>
    <w:p w14:paraId="3B1F347D">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二、货物内容</w:t>
      </w:r>
    </w:p>
    <w:p w14:paraId="0280CBDC">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 xml:space="preserve">1. </w:t>
      </w:r>
      <w:r>
        <w:rPr>
          <w:rFonts w:hint="eastAsia" w:hAnsi="宋体"/>
          <w:color w:val="auto"/>
          <w:szCs w:val="21"/>
        </w:rPr>
        <w:t>货物名称：</w:t>
      </w:r>
    </w:p>
    <w:p w14:paraId="1340573B">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 xml:space="preserve">2. </w:t>
      </w:r>
      <w:r>
        <w:rPr>
          <w:rFonts w:hint="eastAsia" w:hAnsi="宋体"/>
          <w:color w:val="auto"/>
          <w:szCs w:val="21"/>
        </w:rPr>
        <w:t>型号规格：</w:t>
      </w:r>
    </w:p>
    <w:p w14:paraId="1794719D">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 xml:space="preserve">3. </w:t>
      </w:r>
      <w:r>
        <w:rPr>
          <w:rFonts w:hint="eastAsia" w:hAnsi="宋体"/>
          <w:color w:val="auto"/>
          <w:szCs w:val="21"/>
        </w:rPr>
        <w:t>技术参数：</w:t>
      </w:r>
    </w:p>
    <w:p w14:paraId="6C2D1677">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 xml:space="preserve">4. </w:t>
      </w:r>
      <w:r>
        <w:rPr>
          <w:rFonts w:hint="eastAsia" w:hAnsi="宋体"/>
          <w:color w:val="auto"/>
          <w:szCs w:val="21"/>
        </w:rPr>
        <w:t>数量（单位）：</w:t>
      </w:r>
    </w:p>
    <w:p w14:paraId="2580DD9C">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三、合同金额</w:t>
      </w:r>
    </w:p>
    <w:p w14:paraId="005884DA">
      <w:pPr>
        <w:pStyle w:val="12"/>
        <w:keepNext w:val="0"/>
        <w:keepLines w:val="0"/>
        <w:pageBreakBefore w:val="0"/>
        <w:widowControl w:val="0"/>
        <w:kinsoku/>
        <w:wordWrap/>
        <w:overflowPunct/>
        <w:topLinePunct w:val="0"/>
        <w:autoSpaceDE/>
        <w:autoSpaceDN/>
        <w:bidi w:val="0"/>
        <w:adjustRightInd/>
        <w:snapToGrid/>
        <w:spacing w:line="360" w:lineRule="auto"/>
        <w:ind w:left="418" w:leftChars="199" w:firstLine="60" w:firstLineChars="29"/>
        <w:textAlignment w:val="auto"/>
        <w:rPr>
          <w:rFonts w:hint="eastAsia" w:hAnsi="宋体"/>
          <w:color w:val="auto"/>
          <w:szCs w:val="21"/>
        </w:rPr>
      </w:pPr>
      <w:r>
        <w:rPr>
          <w:rFonts w:hint="eastAsia" w:hAnsi="宋体"/>
          <w:color w:val="auto"/>
          <w:szCs w:val="21"/>
        </w:rPr>
        <w:t>本合同金额为（大写）：</w:t>
      </w:r>
      <w:r>
        <w:rPr>
          <w:rFonts w:hAnsi="宋体"/>
          <w:color w:val="auto"/>
          <w:szCs w:val="21"/>
        </w:rPr>
        <w:t>_______________________</w:t>
      </w:r>
      <w:r>
        <w:rPr>
          <w:rFonts w:hint="eastAsia" w:hAnsi="宋体"/>
          <w:color w:val="auto"/>
          <w:szCs w:val="21"/>
        </w:rPr>
        <w:t>元（￥</w:t>
      </w:r>
      <w:r>
        <w:rPr>
          <w:rFonts w:hAnsi="宋体"/>
          <w:color w:val="auto"/>
          <w:szCs w:val="21"/>
        </w:rPr>
        <w:t>___________</w:t>
      </w:r>
      <w:r>
        <w:rPr>
          <w:rFonts w:hint="eastAsia" w:hAnsi="宋体"/>
          <w:color w:val="auto"/>
          <w:szCs w:val="21"/>
        </w:rPr>
        <w:t>元）人民币。</w:t>
      </w:r>
    </w:p>
    <w:p w14:paraId="6A6326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rPr>
      </w:pPr>
      <w:r>
        <w:rPr>
          <w:rFonts w:hint="eastAsia"/>
          <w:color w:val="auto"/>
          <w:lang w:val="zh-CN"/>
        </w:rPr>
        <w:t>当采购数量与实际使用数量不一致时，可以由乙方根据实际使用量供货，合同的最终结算金额按实际使用量乘以成交单价进行计算。</w:t>
      </w:r>
    </w:p>
    <w:p w14:paraId="10C94E56">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四、技术资料</w:t>
      </w:r>
    </w:p>
    <w:p w14:paraId="4BDD4770">
      <w:pPr>
        <w:pStyle w:val="12"/>
        <w:keepNext w:val="0"/>
        <w:keepLines w:val="0"/>
        <w:pageBreakBefore w:val="0"/>
        <w:kinsoku/>
        <w:wordWrap/>
        <w:overflowPunct/>
        <w:topLinePunct w:val="0"/>
        <w:bidi w:val="0"/>
        <w:snapToGrid/>
        <w:spacing w:line="360" w:lineRule="auto"/>
        <w:ind w:left="418" w:leftChars="199" w:firstLine="60" w:firstLineChars="29"/>
        <w:textAlignment w:val="auto"/>
        <w:rPr>
          <w:rFonts w:hAnsi="宋体"/>
          <w:color w:val="auto"/>
          <w:szCs w:val="21"/>
        </w:rPr>
      </w:pPr>
      <w:r>
        <w:rPr>
          <w:rFonts w:hAnsi="宋体"/>
          <w:color w:val="auto"/>
          <w:szCs w:val="21"/>
        </w:rPr>
        <w:t>1.</w:t>
      </w:r>
      <w:r>
        <w:rPr>
          <w:rFonts w:hint="eastAsia" w:hAnsi="宋体"/>
          <w:color w:val="auto"/>
          <w:szCs w:val="21"/>
        </w:rPr>
        <w:t>乙方应按招标文件规定的时间向甲方提供使用货物的有关技术资料。</w:t>
      </w:r>
    </w:p>
    <w:p w14:paraId="380FB2C0">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2.</w:t>
      </w:r>
      <w:r>
        <w:rPr>
          <w:rFonts w:hint="eastAsia" w:hAnsi="宋体"/>
          <w:color w:val="auto"/>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38965E0">
      <w:pPr>
        <w:pStyle w:val="12"/>
        <w:keepNext w:val="0"/>
        <w:keepLines w:val="0"/>
        <w:pageBreakBefore w:val="0"/>
        <w:kinsoku/>
        <w:wordWrap/>
        <w:overflowPunct/>
        <w:topLinePunct w:val="0"/>
        <w:bidi w:val="0"/>
        <w:snapToGrid/>
        <w:spacing w:line="360" w:lineRule="auto"/>
        <w:ind w:left="360" w:hanging="361" w:hangingChars="171"/>
        <w:textAlignment w:val="auto"/>
        <w:rPr>
          <w:rFonts w:hAnsi="宋体"/>
          <w:b/>
          <w:color w:val="auto"/>
          <w:szCs w:val="21"/>
        </w:rPr>
      </w:pPr>
      <w:r>
        <w:rPr>
          <w:rFonts w:hint="eastAsia" w:hAnsi="宋体"/>
          <w:b/>
          <w:color w:val="auto"/>
          <w:szCs w:val="21"/>
        </w:rPr>
        <w:t>五、知识产权</w:t>
      </w:r>
    </w:p>
    <w:p w14:paraId="33D64A76">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1.</w:t>
      </w:r>
      <w:r>
        <w:rPr>
          <w:rFonts w:hint="eastAsia" w:hAnsi="宋体"/>
          <w:color w:val="auto"/>
          <w:szCs w:val="21"/>
        </w:rPr>
        <w:t>乙方应保证所提供的货物或其任何一部分均不会侵犯任何第三方的知识产权。</w:t>
      </w:r>
    </w:p>
    <w:p w14:paraId="650632EA">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2.</w:t>
      </w:r>
      <w:r>
        <w:rPr>
          <w:rFonts w:hint="eastAsia" w:hAnsi="宋体"/>
          <w:color w:val="auto"/>
          <w:szCs w:val="21"/>
        </w:rPr>
        <w:t>若侵犯</w:t>
      </w:r>
      <w:r>
        <w:rPr>
          <w:rFonts w:hAnsi="宋体"/>
          <w:color w:val="auto"/>
          <w:szCs w:val="21"/>
        </w:rPr>
        <w:t>,</w:t>
      </w:r>
      <w:r>
        <w:rPr>
          <w:rFonts w:hint="eastAsia" w:hAnsi="宋体"/>
          <w:color w:val="auto"/>
          <w:szCs w:val="21"/>
        </w:rPr>
        <w:t>由乙方赔偿甲方因此遭受的损失（包括但不限于应对及追偿过程中所支付的律师费、差旅费、诉讼费、保全费、鉴定费、评估费等）。</w:t>
      </w:r>
    </w:p>
    <w:p w14:paraId="4954B8BC">
      <w:pPr>
        <w:pStyle w:val="12"/>
        <w:keepNext w:val="0"/>
        <w:keepLines w:val="0"/>
        <w:pageBreakBefore w:val="0"/>
        <w:kinsoku/>
        <w:wordWrap/>
        <w:overflowPunct/>
        <w:topLinePunct w:val="0"/>
        <w:bidi w:val="0"/>
        <w:snapToGrid/>
        <w:spacing w:line="360" w:lineRule="auto"/>
        <w:textAlignment w:val="auto"/>
        <w:rPr>
          <w:rFonts w:hAnsi="宋体"/>
          <w:color w:val="auto"/>
          <w:szCs w:val="21"/>
          <w:u w:val="single"/>
        </w:rPr>
      </w:pPr>
      <w:r>
        <w:rPr>
          <w:rFonts w:hint="eastAsia" w:hAnsi="宋体"/>
          <w:b/>
          <w:color w:val="auto"/>
          <w:szCs w:val="21"/>
        </w:rPr>
        <w:t>六、产权担保</w:t>
      </w:r>
    </w:p>
    <w:p w14:paraId="48098899">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u w:val="single"/>
        </w:rPr>
      </w:pPr>
      <w:r>
        <w:rPr>
          <w:rFonts w:hint="eastAsia" w:hAnsi="宋体"/>
          <w:color w:val="auto"/>
          <w:szCs w:val="21"/>
        </w:rPr>
        <w:t>乙方保证所交付的货物的所有权完全属于乙方且无任何抵押、查封等产权瑕疵。</w:t>
      </w:r>
    </w:p>
    <w:p w14:paraId="453E50F3">
      <w:pPr>
        <w:pStyle w:val="12"/>
        <w:keepNext w:val="0"/>
        <w:keepLines w:val="0"/>
        <w:pageBreakBefore w:val="0"/>
        <w:kinsoku/>
        <w:wordWrap/>
        <w:overflowPunct/>
        <w:topLinePunct w:val="0"/>
        <w:bidi w:val="0"/>
        <w:snapToGrid/>
        <w:spacing w:line="360" w:lineRule="auto"/>
        <w:ind w:left="358" w:hanging="358" w:hangingChars="170"/>
        <w:textAlignment w:val="auto"/>
        <w:rPr>
          <w:rFonts w:hAnsi="宋体"/>
          <w:b/>
          <w:color w:val="auto"/>
          <w:szCs w:val="21"/>
        </w:rPr>
      </w:pPr>
      <w:r>
        <w:rPr>
          <w:rFonts w:hint="eastAsia" w:hAnsi="宋体"/>
          <w:b/>
          <w:color w:val="auto"/>
          <w:szCs w:val="21"/>
        </w:rPr>
        <w:t>七、履约保证金</w:t>
      </w:r>
    </w:p>
    <w:p w14:paraId="2DF6EB2C">
      <w:pPr>
        <w:keepNext w:val="0"/>
        <w:keepLines w:val="0"/>
        <w:pageBreakBefore w:val="0"/>
        <w:tabs>
          <w:tab w:val="left" w:pos="1418"/>
        </w:tabs>
        <w:kinsoku/>
        <w:wordWrap/>
        <w:overflowPunct/>
        <w:topLinePunct w:val="0"/>
        <w:autoSpaceDE w:val="0"/>
        <w:autoSpaceDN w:val="0"/>
        <w:bidi w:val="0"/>
        <w:adjustRightInd w:val="0"/>
        <w:snapToGrid/>
        <w:spacing w:line="360" w:lineRule="auto"/>
        <w:ind w:firstLine="420" w:firstLineChars="200"/>
        <w:textAlignment w:val="auto"/>
        <w:rPr>
          <w:rFonts w:ascii="宋体"/>
          <w:color w:val="auto"/>
          <w:szCs w:val="21"/>
        </w:rPr>
      </w:pPr>
      <w:r>
        <w:rPr>
          <w:rFonts w:hint="eastAsia" w:ascii="宋体" w:hAnsi="宋体"/>
          <w:color w:val="auto"/>
          <w:szCs w:val="21"/>
        </w:rPr>
        <w:t>本项目履约保证金为合同金额的</w:t>
      </w:r>
      <w:r>
        <w:rPr>
          <w:rFonts w:hint="eastAsia" w:ascii="宋体" w:hAnsi="宋体"/>
          <w:color w:val="auto"/>
          <w:szCs w:val="21"/>
          <w:u w:val="single"/>
          <w:lang w:val="en-US" w:eastAsia="zh-CN"/>
        </w:rPr>
        <w:t>1</w:t>
      </w:r>
      <w:r>
        <w:rPr>
          <w:rFonts w:ascii="宋体" w:hAnsi="宋体"/>
          <w:color w:val="auto"/>
          <w:szCs w:val="21"/>
          <w:u w:val="single"/>
        </w:rPr>
        <w:t>%</w:t>
      </w:r>
      <w:r>
        <w:rPr>
          <w:rFonts w:hint="eastAsia" w:ascii="宋体" w:hAnsi="宋体"/>
          <w:color w:val="auto"/>
          <w:szCs w:val="21"/>
        </w:rPr>
        <w:t>。</w:t>
      </w:r>
      <w:r>
        <w:rPr>
          <w:rFonts w:hint="eastAsia" w:ascii="宋体" w:hAnsi="宋体" w:cs="宋体"/>
          <w:color w:val="auto"/>
          <w:highlight w:val="none"/>
        </w:rPr>
        <w:t>在签订合同前提交履约保证金，履约保证金的形式为银行转账或保函（</w:t>
      </w:r>
      <w:r>
        <w:rPr>
          <w:rFonts w:hint="eastAsia" w:ascii="宋体" w:hAnsi="宋体" w:eastAsia="宋体" w:cs="宋体"/>
          <w:color w:val="auto"/>
          <w:highlight w:val="none"/>
        </w:rPr>
        <w:t>银行保函、保险公司保单、融资担保公司保函）。</w:t>
      </w:r>
    </w:p>
    <w:p w14:paraId="6BE20EA6">
      <w:pPr>
        <w:pStyle w:val="12"/>
        <w:keepNext w:val="0"/>
        <w:keepLines w:val="0"/>
        <w:pageBreakBefore w:val="0"/>
        <w:kinsoku/>
        <w:wordWrap/>
        <w:overflowPunct/>
        <w:topLinePunct w:val="0"/>
        <w:bidi w:val="0"/>
        <w:snapToGrid/>
        <w:spacing w:line="360" w:lineRule="auto"/>
        <w:ind w:left="358" w:hanging="358" w:hangingChars="170"/>
        <w:textAlignment w:val="auto"/>
        <w:rPr>
          <w:rFonts w:hAnsi="宋体"/>
          <w:b/>
          <w:color w:val="auto"/>
          <w:szCs w:val="21"/>
        </w:rPr>
      </w:pPr>
      <w:r>
        <w:rPr>
          <w:rFonts w:hint="eastAsia" w:hAnsi="宋体"/>
          <w:b/>
          <w:color w:val="auto"/>
          <w:szCs w:val="21"/>
        </w:rPr>
        <w:t>八、转包或分包</w:t>
      </w:r>
    </w:p>
    <w:p w14:paraId="7BA51931">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rPr>
      </w:pPr>
      <w:r>
        <w:rPr>
          <w:rFonts w:ascii="宋体" w:hAnsi="宋体"/>
          <w:color w:val="auto"/>
          <w:szCs w:val="21"/>
        </w:rPr>
        <w:t>1.</w:t>
      </w:r>
      <w:r>
        <w:rPr>
          <w:rFonts w:hint="eastAsia" w:ascii="宋体" w:hAnsi="宋体"/>
          <w:color w:val="auto"/>
          <w:szCs w:val="21"/>
        </w:rPr>
        <w:t>本合同范围的货物，应由乙方直接供应，不得转让他人供应；</w:t>
      </w:r>
    </w:p>
    <w:p w14:paraId="673005DC">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rPr>
      </w:pPr>
      <w:r>
        <w:rPr>
          <w:rFonts w:ascii="宋体" w:hAnsi="宋体"/>
          <w:color w:val="auto"/>
          <w:szCs w:val="21"/>
        </w:rPr>
        <w:t>2.</w:t>
      </w:r>
      <w:r>
        <w:rPr>
          <w:rFonts w:hint="eastAsia" w:ascii="宋体" w:hAnsi="宋体"/>
          <w:color w:val="auto"/>
          <w:szCs w:val="21"/>
        </w:rPr>
        <w:t>除非得到甲方的书面同意，乙方不得将本合同范围的货物全部或部分分包给他人供应；</w:t>
      </w:r>
    </w:p>
    <w:p w14:paraId="2ABE2298">
      <w:pPr>
        <w:keepNext w:val="0"/>
        <w:keepLines w:val="0"/>
        <w:pageBreakBefore w:val="0"/>
        <w:kinsoku/>
        <w:wordWrap/>
        <w:overflowPunct/>
        <w:topLinePunct w:val="0"/>
        <w:bidi w:val="0"/>
        <w:snapToGrid/>
        <w:spacing w:line="360" w:lineRule="auto"/>
        <w:ind w:firstLine="420" w:firstLineChars="200"/>
        <w:textAlignment w:val="auto"/>
        <w:rPr>
          <w:rFonts w:ascii="宋体"/>
          <w:color w:val="auto"/>
          <w:szCs w:val="21"/>
        </w:rPr>
      </w:pPr>
      <w:r>
        <w:rPr>
          <w:rFonts w:ascii="宋体" w:hAnsi="宋体"/>
          <w:color w:val="auto"/>
          <w:szCs w:val="21"/>
        </w:rPr>
        <w:t>3.</w:t>
      </w:r>
      <w:r>
        <w:rPr>
          <w:rFonts w:hint="eastAsia" w:ascii="宋体" w:hAnsi="宋体"/>
          <w:color w:val="auto"/>
          <w:szCs w:val="21"/>
        </w:rPr>
        <w:t>如有转让和未经甲方同意的分包行为，甲方有权解除合同。</w:t>
      </w:r>
    </w:p>
    <w:p w14:paraId="51D951A1">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b/>
          <w:color w:val="auto"/>
          <w:szCs w:val="21"/>
        </w:rPr>
        <w:t>九、质保期</w:t>
      </w:r>
    </w:p>
    <w:p w14:paraId="3E9A62F9">
      <w:pPr>
        <w:pStyle w:val="12"/>
        <w:keepNext w:val="0"/>
        <w:keepLines w:val="0"/>
        <w:pageBreakBefore w:val="0"/>
        <w:kinsoku/>
        <w:wordWrap/>
        <w:overflowPunct/>
        <w:topLinePunct w:val="0"/>
        <w:bidi w:val="0"/>
        <w:snapToGrid/>
        <w:spacing w:line="360" w:lineRule="auto"/>
        <w:ind w:left="418" w:leftChars="199" w:firstLine="60" w:firstLineChars="29"/>
        <w:textAlignment w:val="auto"/>
        <w:rPr>
          <w:rFonts w:hAnsi="宋体"/>
          <w:color w:val="auto"/>
          <w:szCs w:val="21"/>
        </w:rPr>
      </w:pPr>
      <w:r>
        <w:rPr>
          <w:rFonts w:hAnsi="宋体"/>
          <w:color w:val="auto"/>
          <w:szCs w:val="21"/>
        </w:rPr>
        <w:t xml:space="preserve">1. </w:t>
      </w:r>
      <w:r>
        <w:rPr>
          <w:rFonts w:hint="eastAsia" w:hAnsi="宋体"/>
          <w:color w:val="auto"/>
          <w:szCs w:val="21"/>
        </w:rPr>
        <w:t>质保期</w:t>
      </w:r>
      <w:r>
        <w:rPr>
          <w:rFonts w:hAnsi="宋体"/>
          <w:color w:val="auto"/>
          <w:szCs w:val="21"/>
        </w:rPr>
        <w:t>___</w:t>
      </w:r>
      <w:r>
        <w:rPr>
          <w:rFonts w:hint="eastAsia" w:hAnsi="宋体"/>
          <w:color w:val="auto"/>
          <w:szCs w:val="21"/>
        </w:rPr>
        <w:t>年。（自交货验收合格之日起计）</w:t>
      </w:r>
    </w:p>
    <w:p w14:paraId="3D24E3EB">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十、交货期、交货方式及交货地点</w:t>
      </w:r>
    </w:p>
    <w:p w14:paraId="4574E908">
      <w:pPr>
        <w:pStyle w:val="12"/>
        <w:keepNext w:val="0"/>
        <w:keepLines w:val="0"/>
        <w:pageBreakBefore w:val="0"/>
        <w:kinsoku/>
        <w:wordWrap/>
        <w:overflowPunct/>
        <w:topLinePunct w:val="0"/>
        <w:bidi w:val="0"/>
        <w:snapToGrid/>
        <w:spacing w:line="360" w:lineRule="auto"/>
        <w:ind w:firstLine="420" w:firstLineChars="200"/>
        <w:textAlignment w:val="auto"/>
        <w:rPr>
          <w:rFonts w:hAnsi="宋体"/>
          <w:bCs/>
          <w:color w:val="auto"/>
          <w:szCs w:val="21"/>
        </w:rPr>
      </w:pPr>
      <w:r>
        <w:rPr>
          <w:rFonts w:hAnsi="宋体"/>
          <w:bCs/>
          <w:color w:val="auto"/>
          <w:szCs w:val="21"/>
        </w:rPr>
        <w:t>1.</w:t>
      </w:r>
      <w:r>
        <w:rPr>
          <w:rFonts w:hint="eastAsia" w:hAnsi="宋体"/>
          <w:bCs/>
          <w:color w:val="auto"/>
          <w:szCs w:val="21"/>
        </w:rPr>
        <w:t>交货期：</w:t>
      </w:r>
    </w:p>
    <w:p w14:paraId="376CEB8A">
      <w:pPr>
        <w:pStyle w:val="12"/>
        <w:keepNext w:val="0"/>
        <w:keepLines w:val="0"/>
        <w:pageBreakBefore w:val="0"/>
        <w:kinsoku/>
        <w:wordWrap/>
        <w:overflowPunct/>
        <w:topLinePunct w:val="0"/>
        <w:bidi w:val="0"/>
        <w:snapToGrid/>
        <w:spacing w:line="360" w:lineRule="auto"/>
        <w:ind w:firstLine="420" w:firstLineChars="200"/>
        <w:textAlignment w:val="auto"/>
        <w:rPr>
          <w:rFonts w:hAnsi="宋体"/>
          <w:bCs/>
          <w:color w:val="auto"/>
          <w:szCs w:val="21"/>
        </w:rPr>
      </w:pPr>
      <w:r>
        <w:rPr>
          <w:rFonts w:hAnsi="宋体"/>
          <w:bCs/>
          <w:color w:val="auto"/>
          <w:szCs w:val="21"/>
        </w:rPr>
        <w:t>2.</w:t>
      </w:r>
      <w:r>
        <w:rPr>
          <w:rFonts w:hint="eastAsia" w:hAnsi="宋体"/>
          <w:bCs/>
          <w:color w:val="auto"/>
          <w:szCs w:val="21"/>
        </w:rPr>
        <w:t>交货方式：</w:t>
      </w:r>
    </w:p>
    <w:p w14:paraId="28C8367C">
      <w:pPr>
        <w:pStyle w:val="12"/>
        <w:keepNext w:val="0"/>
        <w:keepLines w:val="0"/>
        <w:pageBreakBefore w:val="0"/>
        <w:kinsoku/>
        <w:wordWrap/>
        <w:overflowPunct/>
        <w:topLinePunct w:val="0"/>
        <w:bidi w:val="0"/>
        <w:snapToGrid/>
        <w:spacing w:line="360" w:lineRule="auto"/>
        <w:ind w:firstLine="420" w:firstLineChars="200"/>
        <w:textAlignment w:val="auto"/>
        <w:rPr>
          <w:rFonts w:hAnsi="宋体"/>
          <w:b/>
          <w:color w:val="auto"/>
          <w:szCs w:val="21"/>
        </w:rPr>
      </w:pPr>
      <w:r>
        <w:rPr>
          <w:rFonts w:hAnsi="宋体"/>
          <w:bCs/>
          <w:color w:val="auto"/>
          <w:szCs w:val="21"/>
        </w:rPr>
        <w:t>3.</w:t>
      </w:r>
      <w:r>
        <w:rPr>
          <w:rFonts w:hint="eastAsia" w:hAnsi="宋体"/>
          <w:bCs/>
          <w:color w:val="auto"/>
          <w:szCs w:val="21"/>
        </w:rPr>
        <w:t>交货地点：</w:t>
      </w:r>
    </w:p>
    <w:p w14:paraId="351B57A5">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十一、货款支付</w:t>
      </w:r>
    </w:p>
    <w:p w14:paraId="3028FE10">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Ansi="宋体"/>
          <w:bCs/>
          <w:color w:val="auto"/>
          <w:szCs w:val="21"/>
        </w:rPr>
      </w:pPr>
      <w:r>
        <w:rPr>
          <w:rFonts w:hint="eastAsia" w:ascii="宋体" w:hAnsi="宋体" w:cs="宋体"/>
          <w:bCs/>
          <w:color w:val="auto"/>
        </w:rPr>
        <w:t>1.</w:t>
      </w:r>
      <w:r>
        <w:rPr>
          <w:rFonts w:hint="eastAsia" w:hAnsi="宋体"/>
          <w:bCs/>
          <w:color w:val="auto"/>
        </w:rPr>
        <w:t>付款方式：</w:t>
      </w:r>
      <w:r>
        <w:rPr>
          <w:rFonts w:hint="eastAsia"/>
          <w:b/>
          <w:color w:val="auto"/>
          <w:szCs w:val="21"/>
          <w:u w:val="single"/>
        </w:rPr>
        <w:t>合同签订后支付总金额的40%，货到安装验收合格并提交第三方检测报告后付清合同金额，在乙方票证齐全，符合甲方付款流程的前提下，甲方在7个工作日内一次性付清并无息归还履约保证金</w:t>
      </w:r>
      <w:r>
        <w:rPr>
          <w:rFonts w:hint="eastAsia"/>
          <w:b/>
          <w:color w:val="auto"/>
          <w:szCs w:val="21"/>
          <w:u w:val="single"/>
          <w:lang w:eastAsia="zh-CN"/>
        </w:rPr>
        <w:t>（</w:t>
      </w:r>
      <w:r>
        <w:rPr>
          <w:rFonts w:hint="eastAsia"/>
          <w:b/>
          <w:color w:val="auto"/>
          <w:szCs w:val="21"/>
          <w:u w:val="single"/>
          <w:lang w:val="en-US" w:eastAsia="zh-CN"/>
        </w:rPr>
        <w:t>保函形式的，到期自动失效</w:t>
      </w:r>
      <w:r>
        <w:rPr>
          <w:rFonts w:hint="eastAsia"/>
          <w:b/>
          <w:color w:val="auto"/>
          <w:szCs w:val="21"/>
          <w:u w:val="single"/>
          <w:lang w:eastAsia="zh-CN"/>
        </w:rPr>
        <w:t>）</w:t>
      </w:r>
      <w:r>
        <w:rPr>
          <w:rFonts w:hint="eastAsia" w:hAnsi="宋体"/>
          <w:b/>
          <w:bCs/>
          <w:color w:val="auto"/>
          <w:szCs w:val="21"/>
          <w:u w:val="single"/>
        </w:rPr>
        <w:t>。</w:t>
      </w:r>
    </w:p>
    <w:p w14:paraId="67126ACD">
      <w:pPr>
        <w:keepNext w:val="0"/>
        <w:keepLines w:val="0"/>
        <w:pageBreakBefore w:val="0"/>
        <w:kinsoku/>
        <w:wordWrap/>
        <w:overflowPunct/>
        <w:topLinePunct w:val="0"/>
        <w:bidi w:val="0"/>
        <w:snapToGrid/>
        <w:spacing w:line="360" w:lineRule="auto"/>
        <w:textAlignment w:val="auto"/>
        <w:rPr>
          <w:rFonts w:ascii="宋体"/>
          <w:b/>
          <w:color w:val="auto"/>
          <w:szCs w:val="21"/>
        </w:rPr>
      </w:pPr>
      <w:r>
        <w:rPr>
          <w:rFonts w:hint="eastAsia" w:ascii="宋体" w:hAnsi="宋体"/>
          <w:b/>
          <w:color w:val="auto"/>
          <w:szCs w:val="21"/>
        </w:rPr>
        <w:t>十二、税费</w:t>
      </w:r>
    </w:p>
    <w:p w14:paraId="584D8239">
      <w:pPr>
        <w:keepNext w:val="0"/>
        <w:keepLines w:val="0"/>
        <w:pageBreakBefore w:val="0"/>
        <w:kinsoku/>
        <w:wordWrap/>
        <w:overflowPunct/>
        <w:topLinePunct w:val="0"/>
        <w:bidi w:val="0"/>
        <w:snapToGrid/>
        <w:spacing w:line="360" w:lineRule="auto"/>
        <w:textAlignment w:val="auto"/>
        <w:rPr>
          <w:rFonts w:ascii="宋体"/>
          <w:color w:val="auto"/>
          <w:szCs w:val="21"/>
        </w:rPr>
      </w:pPr>
      <w:r>
        <w:rPr>
          <w:rFonts w:hint="eastAsia" w:ascii="宋体" w:hAnsi="宋体"/>
          <w:color w:val="auto"/>
          <w:szCs w:val="21"/>
        </w:rPr>
        <w:t>本合同执行中相关的一切税费均由乙方负担。</w:t>
      </w:r>
    </w:p>
    <w:p w14:paraId="0EC18B3D">
      <w:pPr>
        <w:pStyle w:val="12"/>
        <w:keepNext w:val="0"/>
        <w:keepLines w:val="0"/>
        <w:pageBreakBefore w:val="0"/>
        <w:kinsoku/>
        <w:wordWrap/>
        <w:overflowPunct/>
        <w:topLinePunct w:val="0"/>
        <w:bidi w:val="0"/>
        <w:snapToGrid/>
        <w:spacing w:line="360" w:lineRule="auto"/>
        <w:ind w:left="360" w:hanging="361" w:hangingChars="171"/>
        <w:textAlignment w:val="auto"/>
        <w:rPr>
          <w:rFonts w:hAnsi="宋体"/>
          <w:color w:val="auto"/>
          <w:szCs w:val="21"/>
        </w:rPr>
      </w:pPr>
      <w:r>
        <w:rPr>
          <w:rFonts w:hint="eastAsia" w:hAnsi="宋体"/>
          <w:b/>
          <w:color w:val="auto"/>
          <w:szCs w:val="21"/>
        </w:rPr>
        <w:t>十三、质量保证及售后服务</w:t>
      </w:r>
    </w:p>
    <w:p w14:paraId="2EDED4EE">
      <w:pPr>
        <w:pStyle w:val="12"/>
        <w:keepNext w:val="0"/>
        <w:keepLines w:val="0"/>
        <w:pageBreakBefore w:val="0"/>
        <w:kinsoku/>
        <w:wordWrap/>
        <w:overflowPunct/>
        <w:topLinePunct w:val="0"/>
        <w:bidi w:val="0"/>
        <w:snapToGrid/>
        <w:spacing w:line="360" w:lineRule="auto"/>
        <w:ind w:left="418" w:leftChars="199" w:firstLine="60" w:firstLineChars="29"/>
        <w:textAlignment w:val="auto"/>
        <w:rPr>
          <w:rFonts w:hAnsi="宋体"/>
          <w:color w:val="auto"/>
          <w:szCs w:val="21"/>
        </w:rPr>
      </w:pPr>
      <w:r>
        <w:rPr>
          <w:rFonts w:hAnsi="宋体"/>
          <w:color w:val="auto"/>
          <w:szCs w:val="21"/>
        </w:rPr>
        <w:t>1.</w:t>
      </w:r>
      <w:r>
        <w:rPr>
          <w:rFonts w:hint="eastAsia" w:hAnsi="宋体"/>
          <w:color w:val="auto"/>
          <w:szCs w:val="21"/>
        </w:rPr>
        <w:t>乙方应按招标文件规定的货物性能、技术要求、质量标准向甲方提供未经使用的全新产品。</w:t>
      </w:r>
    </w:p>
    <w:p w14:paraId="7D8975F5">
      <w:pPr>
        <w:pStyle w:val="12"/>
        <w:keepNext w:val="0"/>
        <w:keepLines w:val="0"/>
        <w:pageBreakBefore w:val="0"/>
        <w:kinsoku/>
        <w:wordWrap/>
        <w:overflowPunct/>
        <w:topLinePunct w:val="0"/>
        <w:bidi w:val="0"/>
        <w:snapToGrid/>
        <w:spacing w:line="360" w:lineRule="auto"/>
        <w:ind w:left="420" w:leftChars="200"/>
        <w:textAlignment w:val="auto"/>
        <w:rPr>
          <w:rFonts w:hint="eastAsia" w:hAnsi="宋体"/>
          <w:color w:val="auto"/>
          <w:szCs w:val="21"/>
        </w:rPr>
      </w:pPr>
      <w:r>
        <w:rPr>
          <w:rFonts w:hAnsi="宋体"/>
          <w:color w:val="auto"/>
          <w:szCs w:val="21"/>
        </w:rPr>
        <w:t>2.</w:t>
      </w:r>
      <w:r>
        <w:rPr>
          <w:rFonts w:hint="eastAsia" w:hAnsi="宋体"/>
          <w:color w:val="auto"/>
          <w:szCs w:val="21"/>
        </w:rPr>
        <w:t>乙方提供的货物在质保期内因货物本身的质量问题发生故障，乙方应负责免费更换。对达不到技术</w:t>
      </w:r>
    </w:p>
    <w:p w14:paraId="54A69034">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要求者，根据实际情况，经双方协商，可按以下办法处理：</w:t>
      </w:r>
    </w:p>
    <w:p w14:paraId="5BA3DC3E">
      <w:pPr>
        <w:pStyle w:val="12"/>
        <w:keepNext w:val="0"/>
        <w:keepLines w:val="0"/>
        <w:pageBreakBefore w:val="0"/>
        <w:kinsoku/>
        <w:wordWrap/>
        <w:overflowPunct/>
        <w:topLinePunct w:val="0"/>
        <w:bidi w:val="0"/>
        <w:snapToGrid/>
        <w:spacing w:line="360" w:lineRule="auto"/>
        <w:ind w:firstLine="420"/>
        <w:textAlignment w:val="auto"/>
        <w:rPr>
          <w:rFonts w:hAnsi="宋体"/>
          <w:color w:val="auto"/>
          <w:szCs w:val="21"/>
        </w:rPr>
      </w:pPr>
      <w:r>
        <w:rPr>
          <w:rFonts w:hint="eastAsia" w:hAnsi="宋体"/>
          <w:color w:val="auto"/>
          <w:szCs w:val="21"/>
        </w:rPr>
        <w:t>⑴更换：由乙方承担所发生的全部费用。</w:t>
      </w:r>
    </w:p>
    <w:p w14:paraId="27DAE6EF">
      <w:pPr>
        <w:pStyle w:val="12"/>
        <w:keepNext w:val="0"/>
        <w:keepLines w:val="0"/>
        <w:pageBreakBefore w:val="0"/>
        <w:kinsoku/>
        <w:wordWrap/>
        <w:overflowPunct/>
        <w:topLinePunct w:val="0"/>
        <w:bidi w:val="0"/>
        <w:snapToGrid/>
        <w:spacing w:line="360" w:lineRule="auto"/>
        <w:ind w:firstLine="420"/>
        <w:textAlignment w:val="auto"/>
        <w:rPr>
          <w:rFonts w:hAnsi="宋体"/>
          <w:color w:val="auto"/>
          <w:szCs w:val="21"/>
        </w:rPr>
      </w:pPr>
      <w:r>
        <w:rPr>
          <w:rFonts w:hint="eastAsia" w:hAnsi="宋体"/>
          <w:color w:val="auto"/>
          <w:szCs w:val="21"/>
        </w:rPr>
        <w:t>⑵贬值处理：由甲乙双方合议定价。</w:t>
      </w:r>
    </w:p>
    <w:p w14:paraId="05843FF1">
      <w:pPr>
        <w:pStyle w:val="12"/>
        <w:keepNext w:val="0"/>
        <w:keepLines w:val="0"/>
        <w:pageBreakBefore w:val="0"/>
        <w:kinsoku/>
        <w:wordWrap/>
        <w:overflowPunct/>
        <w:topLinePunct w:val="0"/>
        <w:bidi w:val="0"/>
        <w:snapToGrid/>
        <w:spacing w:line="360" w:lineRule="auto"/>
        <w:ind w:left="420" w:leftChars="200"/>
        <w:textAlignment w:val="auto"/>
        <w:rPr>
          <w:rFonts w:hint="eastAsia" w:hAnsi="宋体"/>
          <w:color w:val="auto"/>
          <w:szCs w:val="21"/>
        </w:rPr>
      </w:pPr>
      <w:r>
        <w:rPr>
          <w:rFonts w:hint="eastAsia" w:hAnsi="宋体"/>
          <w:color w:val="auto"/>
          <w:szCs w:val="21"/>
        </w:rPr>
        <w:t>⑶退货处理：乙方应退还甲方支付的合同款，同时应承担该货物的直接费用（运输、保险、检验、货</w:t>
      </w:r>
    </w:p>
    <w:p w14:paraId="3983E135">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款利息及银行手续费等）。</w:t>
      </w:r>
    </w:p>
    <w:p w14:paraId="5E62AA4B">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3.</w:t>
      </w:r>
      <w:r>
        <w:rPr>
          <w:rFonts w:hint="eastAsia" w:hAnsi="宋体"/>
          <w:color w:val="auto"/>
          <w:szCs w:val="21"/>
        </w:rPr>
        <w:t>如在使用过程中发生质量问题，乙方在接到甲方通知后在</w:t>
      </w:r>
      <w:r>
        <w:rPr>
          <w:rFonts w:hAnsi="宋体"/>
          <w:color w:val="auto"/>
          <w:szCs w:val="21"/>
          <w:u w:val="single"/>
        </w:rPr>
        <w:t xml:space="preserve">   </w:t>
      </w:r>
      <w:r>
        <w:rPr>
          <w:rFonts w:hint="eastAsia" w:hAnsi="宋体"/>
          <w:color w:val="auto"/>
          <w:szCs w:val="21"/>
        </w:rPr>
        <w:t>小时内到达甲方现场。</w:t>
      </w:r>
    </w:p>
    <w:p w14:paraId="0D73D57C">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4.</w:t>
      </w:r>
      <w:r>
        <w:rPr>
          <w:rFonts w:hint="eastAsia" w:hAnsi="宋体"/>
          <w:color w:val="auto"/>
          <w:szCs w:val="21"/>
        </w:rPr>
        <w:t>在质保期内，乙方应对货物出现的质量及安全问题负责处理解决并承担一切费用。</w:t>
      </w:r>
    </w:p>
    <w:p w14:paraId="44FE7C6A">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5.</w:t>
      </w:r>
      <w:r>
        <w:rPr>
          <w:rFonts w:hint="eastAsia" w:hAnsi="宋体"/>
          <w:color w:val="auto"/>
          <w:szCs w:val="21"/>
        </w:rPr>
        <w:t>上述的货物免费保修期为</w:t>
      </w:r>
      <w:r>
        <w:rPr>
          <w:rFonts w:hint="eastAsia" w:hAnsi="宋体"/>
          <w:color w:val="auto"/>
          <w:szCs w:val="21"/>
          <w:u w:val="single"/>
        </w:rPr>
        <w:t xml:space="preserve">   </w:t>
      </w:r>
      <w:r>
        <w:rPr>
          <w:rFonts w:hint="eastAsia" w:hAnsi="宋体"/>
          <w:color w:val="auto"/>
          <w:szCs w:val="21"/>
        </w:rPr>
        <w:t>年，因人为因素出现的故障不在免费保修范围内。超过保修期的机器设备，终生维修，维修时只收部件成本费。</w:t>
      </w:r>
    </w:p>
    <w:p w14:paraId="2060C538">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十四、调试和验收</w:t>
      </w:r>
    </w:p>
    <w:p w14:paraId="6C971356">
      <w:pPr>
        <w:pStyle w:val="12"/>
        <w:keepNext w:val="0"/>
        <w:keepLines w:val="0"/>
        <w:pageBreakBefore w:val="0"/>
        <w:kinsoku/>
        <w:wordWrap/>
        <w:overflowPunct/>
        <w:topLinePunct w:val="0"/>
        <w:bidi w:val="0"/>
        <w:snapToGrid/>
        <w:spacing w:line="360" w:lineRule="auto"/>
        <w:ind w:firstLine="420" w:firstLineChars="200"/>
        <w:jc w:val="left"/>
        <w:textAlignment w:val="auto"/>
        <w:rPr>
          <w:rFonts w:hAnsi="宋体"/>
          <w:color w:val="auto"/>
          <w:szCs w:val="21"/>
        </w:rPr>
      </w:pPr>
      <w:r>
        <w:rPr>
          <w:rFonts w:hAnsi="宋体"/>
          <w:color w:val="auto"/>
          <w:szCs w:val="21"/>
        </w:rPr>
        <w:t>1.</w:t>
      </w:r>
      <w:r>
        <w:rPr>
          <w:rFonts w:hint="eastAsia" w:hAnsi="宋体"/>
          <w:color w:val="auto"/>
          <w:szCs w:val="21"/>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hAnsi="宋体"/>
          <w:color w:val="auto"/>
          <w:szCs w:val="21"/>
          <w:u w:val="single"/>
        </w:rPr>
        <w:t>五</w:t>
      </w:r>
      <w:r>
        <w:rPr>
          <w:rFonts w:hint="eastAsia" w:hAnsi="宋体"/>
          <w:color w:val="auto"/>
          <w:szCs w:val="21"/>
        </w:rPr>
        <w:t>个工作日内验收。</w:t>
      </w:r>
    </w:p>
    <w:p w14:paraId="77815CCD">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2.</w:t>
      </w:r>
      <w:r>
        <w:rPr>
          <w:rFonts w:hint="eastAsia" w:hAnsi="宋体"/>
          <w:color w:val="auto"/>
          <w:szCs w:val="21"/>
        </w:rPr>
        <w:t>乙方交货前应对产品作出全面检查和对验收文件进行整理，并列出清单，作为甲方收货验收和使用的技术条件依据，检验的结果应随货物交甲方。</w:t>
      </w:r>
    </w:p>
    <w:p w14:paraId="1D089BEF">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u w:val="single"/>
        </w:rPr>
      </w:pPr>
      <w:r>
        <w:rPr>
          <w:rFonts w:hAnsi="宋体"/>
          <w:color w:val="auto"/>
          <w:szCs w:val="21"/>
        </w:rPr>
        <w:t>3.</w:t>
      </w:r>
      <w:r>
        <w:rPr>
          <w:rFonts w:hint="eastAsia" w:hAnsi="宋体"/>
          <w:color w:val="auto"/>
          <w:szCs w:val="21"/>
        </w:rPr>
        <w:t>甲方对乙方提供的货物在使用前进行调试时，乙方需负责安装并培训甲方的使用操作人员，并协助甲方一起调试，直到符合技术要求，甲方才做最终验收。</w:t>
      </w:r>
    </w:p>
    <w:p w14:paraId="1A0FC3B6">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4.</w:t>
      </w:r>
      <w:r>
        <w:rPr>
          <w:rFonts w:hint="eastAsia" w:hAnsi="宋体"/>
          <w:color w:val="auto"/>
          <w:szCs w:val="21"/>
        </w:rPr>
        <w:t>对技术复杂的货物，甲方应请国家认可的专业检测机构参与初步验收及最终验收，并由其出具质量检测报告。</w:t>
      </w:r>
    </w:p>
    <w:p w14:paraId="76D7C782">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5.</w:t>
      </w:r>
      <w:r>
        <w:rPr>
          <w:rFonts w:hint="eastAsia" w:hAnsi="宋体"/>
          <w:color w:val="auto"/>
          <w:szCs w:val="21"/>
        </w:rPr>
        <w:t>验收时乙方必须在现场，验收完毕后作出验收结果报告；验收费用由甲方负责。</w:t>
      </w:r>
    </w:p>
    <w:p w14:paraId="1C4CB9C0">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十五、货物包装、发运及运输</w:t>
      </w:r>
    </w:p>
    <w:p w14:paraId="27DDA434">
      <w:pPr>
        <w:pStyle w:val="12"/>
        <w:keepNext w:val="0"/>
        <w:keepLines w:val="0"/>
        <w:pageBreakBefore w:val="0"/>
        <w:kinsoku/>
        <w:wordWrap/>
        <w:overflowPunct/>
        <w:topLinePunct w:val="0"/>
        <w:bidi w:val="0"/>
        <w:snapToGrid/>
        <w:spacing w:line="360" w:lineRule="auto"/>
        <w:ind w:left="420" w:leftChars="200"/>
        <w:textAlignment w:val="auto"/>
        <w:rPr>
          <w:rFonts w:hint="eastAsia" w:hAnsi="宋体"/>
          <w:color w:val="auto"/>
          <w:szCs w:val="21"/>
        </w:rPr>
      </w:pPr>
      <w:r>
        <w:rPr>
          <w:rFonts w:hAnsi="宋体"/>
          <w:color w:val="auto"/>
          <w:szCs w:val="21"/>
        </w:rPr>
        <w:t>1.</w:t>
      </w:r>
      <w:r>
        <w:rPr>
          <w:rFonts w:hint="eastAsia" w:hAnsi="宋体"/>
          <w:color w:val="auto"/>
          <w:szCs w:val="21"/>
        </w:rPr>
        <w:t>乙方应在货物发运前对其进行满足运输距离、防潮、防震、防锈和防破损装卸等要求包装，以保</w:t>
      </w:r>
    </w:p>
    <w:p w14:paraId="2C2698CB">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证货物安全运达甲方指定地点。</w:t>
      </w:r>
    </w:p>
    <w:p w14:paraId="5756F5D5">
      <w:pPr>
        <w:pStyle w:val="12"/>
        <w:keepNext w:val="0"/>
        <w:keepLines w:val="0"/>
        <w:pageBreakBefore w:val="0"/>
        <w:kinsoku/>
        <w:wordWrap/>
        <w:overflowPunct/>
        <w:topLinePunct w:val="0"/>
        <w:bidi w:val="0"/>
        <w:snapToGrid/>
        <w:spacing w:line="360" w:lineRule="auto"/>
        <w:ind w:left="420" w:leftChars="200"/>
        <w:textAlignment w:val="auto"/>
        <w:rPr>
          <w:rFonts w:hAnsi="宋体"/>
          <w:color w:val="auto"/>
          <w:szCs w:val="21"/>
        </w:rPr>
      </w:pPr>
      <w:r>
        <w:rPr>
          <w:rFonts w:hAnsi="宋体"/>
          <w:color w:val="auto"/>
          <w:szCs w:val="21"/>
        </w:rPr>
        <w:t>2.</w:t>
      </w:r>
      <w:r>
        <w:rPr>
          <w:rFonts w:hint="eastAsia" w:hAnsi="宋体"/>
          <w:color w:val="auto"/>
          <w:szCs w:val="21"/>
        </w:rPr>
        <w:t>使用说明书、质量检验证明书、随配附件和工具以及清单一并附于货物内。</w:t>
      </w:r>
    </w:p>
    <w:p w14:paraId="74823CA3">
      <w:pPr>
        <w:pStyle w:val="12"/>
        <w:keepNext w:val="0"/>
        <w:keepLines w:val="0"/>
        <w:pageBreakBefore w:val="0"/>
        <w:kinsoku/>
        <w:wordWrap/>
        <w:overflowPunct/>
        <w:topLinePunct w:val="0"/>
        <w:bidi w:val="0"/>
        <w:snapToGrid/>
        <w:spacing w:line="360" w:lineRule="auto"/>
        <w:ind w:left="420" w:leftChars="200"/>
        <w:textAlignment w:val="auto"/>
        <w:rPr>
          <w:rFonts w:hAnsi="宋体"/>
          <w:color w:val="auto"/>
          <w:szCs w:val="21"/>
        </w:rPr>
      </w:pPr>
      <w:r>
        <w:rPr>
          <w:rFonts w:hAnsi="宋体"/>
          <w:color w:val="auto"/>
          <w:szCs w:val="21"/>
        </w:rPr>
        <w:t>3.</w:t>
      </w:r>
      <w:r>
        <w:rPr>
          <w:rFonts w:hint="eastAsia" w:hAnsi="宋体"/>
          <w:color w:val="auto"/>
          <w:szCs w:val="21"/>
        </w:rPr>
        <w:t>乙方在货物发运手续办理完毕后</w:t>
      </w:r>
      <w:r>
        <w:rPr>
          <w:rFonts w:hAnsi="宋体"/>
          <w:color w:val="auto"/>
          <w:szCs w:val="21"/>
        </w:rPr>
        <w:t>24</w:t>
      </w:r>
      <w:r>
        <w:rPr>
          <w:rFonts w:hint="eastAsia" w:hAnsi="宋体"/>
          <w:color w:val="auto"/>
          <w:szCs w:val="21"/>
        </w:rPr>
        <w:t>小时内或货到甲方</w:t>
      </w:r>
      <w:r>
        <w:rPr>
          <w:rFonts w:hAnsi="宋体"/>
          <w:color w:val="auto"/>
          <w:szCs w:val="21"/>
        </w:rPr>
        <w:t>48</w:t>
      </w:r>
      <w:r>
        <w:rPr>
          <w:rFonts w:hint="eastAsia" w:hAnsi="宋体"/>
          <w:color w:val="auto"/>
          <w:szCs w:val="21"/>
        </w:rPr>
        <w:t>小时前通知甲方，以准备接货。</w:t>
      </w:r>
    </w:p>
    <w:p w14:paraId="37145D99">
      <w:pPr>
        <w:pStyle w:val="12"/>
        <w:keepNext w:val="0"/>
        <w:keepLines w:val="0"/>
        <w:pageBreakBefore w:val="0"/>
        <w:kinsoku/>
        <w:wordWrap/>
        <w:overflowPunct/>
        <w:topLinePunct w:val="0"/>
        <w:bidi w:val="0"/>
        <w:snapToGrid/>
        <w:spacing w:line="360" w:lineRule="auto"/>
        <w:ind w:left="420" w:leftChars="200"/>
        <w:textAlignment w:val="auto"/>
        <w:rPr>
          <w:rFonts w:hAnsi="宋体"/>
          <w:color w:val="auto"/>
          <w:szCs w:val="21"/>
        </w:rPr>
      </w:pPr>
      <w:r>
        <w:rPr>
          <w:rFonts w:hAnsi="宋体"/>
          <w:color w:val="auto"/>
          <w:szCs w:val="21"/>
        </w:rPr>
        <w:t>4.</w:t>
      </w:r>
      <w:r>
        <w:rPr>
          <w:rFonts w:hint="eastAsia" w:hAnsi="宋体"/>
          <w:color w:val="auto"/>
          <w:szCs w:val="21"/>
        </w:rPr>
        <w:t>货物在交付甲方前发生的风险均由乙方负责。</w:t>
      </w:r>
    </w:p>
    <w:p w14:paraId="4705DC8A">
      <w:pPr>
        <w:pStyle w:val="12"/>
        <w:keepNext w:val="0"/>
        <w:keepLines w:val="0"/>
        <w:pageBreakBefore w:val="0"/>
        <w:kinsoku/>
        <w:wordWrap/>
        <w:overflowPunct/>
        <w:topLinePunct w:val="0"/>
        <w:bidi w:val="0"/>
        <w:snapToGrid/>
        <w:spacing w:line="360" w:lineRule="auto"/>
        <w:ind w:left="420" w:leftChars="200" w:right="26"/>
        <w:textAlignment w:val="auto"/>
        <w:rPr>
          <w:rFonts w:hAnsi="宋体"/>
          <w:color w:val="auto"/>
          <w:szCs w:val="21"/>
        </w:rPr>
      </w:pPr>
      <w:r>
        <w:rPr>
          <w:rFonts w:hAnsi="宋体"/>
          <w:color w:val="auto"/>
          <w:szCs w:val="21"/>
        </w:rPr>
        <w:t>5.</w:t>
      </w:r>
      <w:r>
        <w:rPr>
          <w:rFonts w:hint="eastAsia" w:hAnsi="宋体"/>
          <w:color w:val="auto"/>
          <w:szCs w:val="21"/>
        </w:rPr>
        <w:t>货物在规定的交付期限内由乙方送达甲方指定的地点视为交付，乙方同时需通知甲方货物已送达。</w:t>
      </w:r>
    </w:p>
    <w:p w14:paraId="5731B491">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十六、违约责任</w:t>
      </w:r>
    </w:p>
    <w:p w14:paraId="095CB7ED">
      <w:pPr>
        <w:pStyle w:val="12"/>
        <w:keepNext w:val="0"/>
        <w:keepLines w:val="0"/>
        <w:pageBreakBefore w:val="0"/>
        <w:kinsoku/>
        <w:wordWrap/>
        <w:overflowPunct/>
        <w:topLinePunct w:val="0"/>
        <w:bidi w:val="0"/>
        <w:snapToGrid/>
        <w:spacing w:line="360" w:lineRule="auto"/>
        <w:ind w:left="418" w:leftChars="199" w:firstLine="60" w:firstLineChars="29"/>
        <w:textAlignment w:val="auto"/>
        <w:rPr>
          <w:rFonts w:hAnsi="宋体"/>
          <w:color w:val="auto"/>
          <w:szCs w:val="21"/>
        </w:rPr>
      </w:pPr>
      <w:r>
        <w:rPr>
          <w:rFonts w:hAnsi="宋体"/>
          <w:color w:val="auto"/>
          <w:szCs w:val="21"/>
        </w:rPr>
        <w:t>1</w:t>
      </w:r>
      <w:r>
        <w:rPr>
          <w:rFonts w:hint="eastAsia" w:hAnsi="宋体"/>
          <w:color w:val="auto"/>
          <w:szCs w:val="21"/>
        </w:rPr>
        <w:t>.甲方无正当理由拒收货物的，甲方向乙方偿付拒收货款总值的</w:t>
      </w:r>
      <w:r>
        <w:rPr>
          <w:rFonts w:hint="eastAsia" w:hAnsi="宋体"/>
          <w:color w:val="auto"/>
          <w:szCs w:val="21"/>
          <w:u w:val="single"/>
        </w:rPr>
        <w:t>百分之五</w:t>
      </w:r>
      <w:r>
        <w:rPr>
          <w:rFonts w:hint="eastAsia" w:hAnsi="宋体"/>
          <w:color w:val="auto"/>
          <w:szCs w:val="21"/>
        </w:rPr>
        <w:t>违约金。</w:t>
      </w:r>
    </w:p>
    <w:p w14:paraId="61810B65">
      <w:pPr>
        <w:pStyle w:val="12"/>
        <w:keepNext w:val="0"/>
        <w:keepLines w:val="0"/>
        <w:pageBreakBefore w:val="0"/>
        <w:kinsoku/>
        <w:wordWrap/>
        <w:overflowPunct/>
        <w:topLinePunct w:val="0"/>
        <w:bidi w:val="0"/>
        <w:snapToGrid/>
        <w:spacing w:line="360" w:lineRule="auto"/>
        <w:ind w:left="418" w:leftChars="199" w:firstLine="60" w:firstLineChars="29"/>
        <w:textAlignment w:val="auto"/>
        <w:rPr>
          <w:rFonts w:hint="eastAsia" w:hAnsi="宋体"/>
          <w:color w:val="auto"/>
          <w:szCs w:val="21"/>
        </w:rPr>
      </w:pPr>
      <w:r>
        <w:rPr>
          <w:rFonts w:hAnsi="宋体"/>
          <w:color w:val="auto"/>
          <w:szCs w:val="21"/>
        </w:rPr>
        <w:t>2.</w:t>
      </w:r>
      <w:r>
        <w:rPr>
          <w:rFonts w:hint="eastAsia" w:hAnsi="宋体"/>
          <w:color w:val="auto"/>
          <w:szCs w:val="21"/>
        </w:rPr>
        <w:t>甲方无故逾期验收和办理货款支付手续的</w:t>
      </w:r>
      <w:r>
        <w:rPr>
          <w:rFonts w:hAnsi="宋体"/>
          <w:color w:val="auto"/>
          <w:szCs w:val="21"/>
        </w:rPr>
        <w:t>,</w:t>
      </w:r>
      <w:r>
        <w:rPr>
          <w:rFonts w:hint="eastAsia" w:hAnsi="宋体"/>
          <w:color w:val="auto"/>
          <w:szCs w:val="21"/>
        </w:rPr>
        <w:t>甲方应按逾期付款总额每日</w:t>
      </w:r>
      <w:r>
        <w:rPr>
          <w:rFonts w:hint="eastAsia" w:hAnsi="宋体"/>
          <w:color w:val="auto"/>
          <w:szCs w:val="21"/>
          <w:u w:val="single"/>
        </w:rPr>
        <w:t>万分之五</w:t>
      </w:r>
      <w:r>
        <w:rPr>
          <w:rFonts w:hint="eastAsia" w:hAnsi="宋体"/>
          <w:color w:val="auto"/>
          <w:szCs w:val="21"/>
        </w:rPr>
        <w:t>向乙方支付违约</w:t>
      </w:r>
    </w:p>
    <w:p w14:paraId="4120F9A2">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金。</w:t>
      </w:r>
    </w:p>
    <w:p w14:paraId="195DBBAF">
      <w:pPr>
        <w:pStyle w:val="12"/>
        <w:keepNext w:val="0"/>
        <w:keepLines w:val="0"/>
        <w:pageBreakBefore w:val="0"/>
        <w:kinsoku/>
        <w:wordWrap/>
        <w:overflowPunct/>
        <w:topLinePunct w:val="0"/>
        <w:bidi w:val="0"/>
        <w:snapToGrid/>
        <w:spacing w:line="360" w:lineRule="auto"/>
        <w:ind w:left="479" w:leftChars="228"/>
        <w:textAlignment w:val="auto"/>
        <w:rPr>
          <w:rFonts w:hAnsi="宋体"/>
          <w:color w:val="auto"/>
          <w:szCs w:val="21"/>
        </w:rPr>
      </w:pPr>
      <w:r>
        <w:rPr>
          <w:rFonts w:hint="eastAsia" w:hAnsi="宋体"/>
          <w:color w:val="auto"/>
          <w:szCs w:val="21"/>
        </w:rPr>
        <w:t>3.乙方逾期交付货物的，乙方应按逾期交货总额每日</w:t>
      </w:r>
      <w:r>
        <w:rPr>
          <w:rFonts w:hint="eastAsia" w:hAnsi="宋体"/>
          <w:color w:val="auto"/>
          <w:szCs w:val="21"/>
          <w:u w:val="single"/>
        </w:rPr>
        <w:t>千分之六</w:t>
      </w:r>
      <w:r>
        <w:rPr>
          <w:rFonts w:hint="eastAsia" w:hAnsi="宋体"/>
          <w:color w:val="auto"/>
          <w:szCs w:val="21"/>
        </w:rPr>
        <w:t>向甲方支付违约金，由甲方从待付货</w:t>
      </w:r>
    </w:p>
    <w:p w14:paraId="138494B2">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款中扣除。逾期超过约定日期</w:t>
      </w:r>
      <w:r>
        <w:rPr>
          <w:rFonts w:hAnsi="宋体"/>
          <w:color w:val="auto"/>
          <w:szCs w:val="21"/>
          <w:u w:val="single"/>
        </w:rPr>
        <w:t>10</w:t>
      </w:r>
      <w:r>
        <w:rPr>
          <w:rFonts w:hint="eastAsia" w:hAnsi="宋体"/>
          <w:color w:val="auto"/>
          <w:szCs w:val="21"/>
        </w:rPr>
        <w:t>个工作日不能交货的，甲方可解除本合同。乙方因逾期交货或因其他违约行为导致甲方解除合同的，乙方应向甲方支付合同总值</w:t>
      </w:r>
      <w:r>
        <w:rPr>
          <w:rFonts w:hint="eastAsia" w:hAnsi="宋体"/>
          <w:color w:val="auto"/>
          <w:szCs w:val="21"/>
          <w:u w:val="single"/>
          <w:lang w:val="en-US" w:eastAsia="zh-CN"/>
        </w:rPr>
        <w:t>5</w:t>
      </w:r>
      <w:r>
        <w:rPr>
          <w:rFonts w:hAnsi="宋体"/>
          <w:color w:val="auto"/>
          <w:szCs w:val="21"/>
          <w:u w:val="single"/>
        </w:rPr>
        <w:t>%</w:t>
      </w:r>
      <w:r>
        <w:rPr>
          <w:rFonts w:hint="eastAsia" w:hAnsi="宋体"/>
          <w:color w:val="auto"/>
          <w:szCs w:val="21"/>
        </w:rPr>
        <w:t>的违约金，如造成甲方损失超过违约金的，超出部分由乙方继续承担赔偿责任。</w:t>
      </w:r>
      <w:r>
        <w:rPr>
          <w:rFonts w:hAnsi="宋体"/>
          <w:color w:val="auto"/>
          <w:szCs w:val="21"/>
        </w:rPr>
        <w:t xml:space="preserve"> </w:t>
      </w:r>
    </w:p>
    <w:p w14:paraId="2AC07D71">
      <w:pPr>
        <w:pStyle w:val="12"/>
        <w:keepNext w:val="0"/>
        <w:keepLines w:val="0"/>
        <w:pageBreakBefore w:val="0"/>
        <w:kinsoku/>
        <w:wordWrap/>
        <w:overflowPunct/>
        <w:topLinePunct w:val="0"/>
        <w:bidi w:val="0"/>
        <w:snapToGrid/>
        <w:spacing w:line="360" w:lineRule="auto"/>
        <w:ind w:left="479" w:leftChars="228"/>
        <w:textAlignment w:val="auto"/>
        <w:rPr>
          <w:rFonts w:hAnsi="宋体"/>
          <w:color w:val="auto"/>
          <w:szCs w:val="21"/>
        </w:rPr>
      </w:pPr>
      <w:r>
        <w:rPr>
          <w:rFonts w:hint="eastAsia" w:hAnsi="宋体"/>
          <w:color w:val="auto"/>
          <w:szCs w:val="21"/>
        </w:rPr>
        <w:t>4.乙方所交的货物品种、型号、规格、技术参数、质量不符合合同规定及招标文件规定标准的，甲</w:t>
      </w:r>
    </w:p>
    <w:p w14:paraId="4A336266">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方有权拒收该货物，乙方愿意更换货物但逾期交货的，按乙方逾期交货处理。乙方拒绝更换货物的，甲方可单方面解除合同。</w:t>
      </w:r>
    </w:p>
    <w:p w14:paraId="17403F73">
      <w:pPr>
        <w:pStyle w:val="12"/>
        <w:keepNext w:val="0"/>
        <w:keepLines w:val="0"/>
        <w:pageBreakBefore w:val="0"/>
        <w:kinsoku/>
        <w:wordWrap/>
        <w:overflowPunct/>
        <w:topLinePunct w:val="0"/>
        <w:bidi w:val="0"/>
        <w:snapToGrid/>
        <w:spacing w:line="360" w:lineRule="auto"/>
        <w:ind w:left="479" w:leftChars="228"/>
        <w:textAlignment w:val="auto"/>
        <w:rPr>
          <w:rFonts w:hint="eastAsia" w:hAnsi="宋体"/>
          <w:color w:val="auto"/>
          <w:szCs w:val="21"/>
        </w:rPr>
      </w:pPr>
      <w:r>
        <w:rPr>
          <w:rFonts w:hint="eastAsia" w:hAnsi="宋体"/>
          <w:color w:val="auto"/>
          <w:szCs w:val="21"/>
        </w:rPr>
        <w:t>5.若发生纠纷，由违约方赔偿守约方因纠纷所支付的费用（包括但不限于律师费、差旅费、诉讼费、</w:t>
      </w:r>
    </w:p>
    <w:p w14:paraId="02EC7457">
      <w:pPr>
        <w:pStyle w:val="12"/>
        <w:keepNext w:val="0"/>
        <w:keepLines w:val="0"/>
        <w:pageBreakBefore w:val="0"/>
        <w:kinsoku/>
        <w:wordWrap/>
        <w:overflowPunct/>
        <w:topLinePunct w:val="0"/>
        <w:bidi w:val="0"/>
        <w:snapToGrid/>
        <w:spacing w:line="360" w:lineRule="auto"/>
        <w:textAlignment w:val="auto"/>
        <w:rPr>
          <w:rFonts w:hAnsi="宋体"/>
          <w:color w:val="auto"/>
          <w:szCs w:val="21"/>
        </w:rPr>
      </w:pPr>
      <w:r>
        <w:rPr>
          <w:rFonts w:hint="eastAsia" w:hAnsi="宋体"/>
          <w:color w:val="auto"/>
          <w:szCs w:val="21"/>
        </w:rPr>
        <w:t>保全费、鉴定费、评估费等）</w:t>
      </w:r>
    </w:p>
    <w:p w14:paraId="56B87847">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十七、不可抗力事件处理</w:t>
      </w:r>
    </w:p>
    <w:p w14:paraId="31433960">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1</w:t>
      </w:r>
      <w:r>
        <w:rPr>
          <w:rFonts w:hint="eastAsia" w:hAnsi="宋体"/>
          <w:color w:val="auto"/>
          <w:szCs w:val="21"/>
        </w:rPr>
        <w:t>.在合同有效期内，任何一方因不可抗力事件导致不能履行合同，则合同履行期可延长，其延长期与不可抗力影响期相同。</w:t>
      </w:r>
    </w:p>
    <w:p w14:paraId="5728A6CC">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2</w:t>
      </w:r>
      <w:r>
        <w:rPr>
          <w:rFonts w:hint="eastAsia" w:hAnsi="宋体"/>
          <w:color w:val="auto"/>
          <w:szCs w:val="21"/>
        </w:rPr>
        <w:t>.不可抗力事件发生后，应立即通知对方，并寄送有关权威机构出具的证明。</w:t>
      </w:r>
    </w:p>
    <w:p w14:paraId="415EC286">
      <w:pPr>
        <w:pStyle w:val="12"/>
        <w:keepNext w:val="0"/>
        <w:keepLines w:val="0"/>
        <w:pageBreakBefore w:val="0"/>
        <w:kinsoku/>
        <w:wordWrap/>
        <w:overflowPunct/>
        <w:topLinePunct w:val="0"/>
        <w:bidi w:val="0"/>
        <w:snapToGrid/>
        <w:spacing w:line="360" w:lineRule="auto"/>
        <w:ind w:firstLine="420" w:firstLineChars="200"/>
        <w:textAlignment w:val="auto"/>
        <w:rPr>
          <w:rFonts w:hAnsi="宋体"/>
          <w:color w:val="auto"/>
          <w:szCs w:val="21"/>
        </w:rPr>
      </w:pPr>
      <w:r>
        <w:rPr>
          <w:rFonts w:hAnsi="宋体"/>
          <w:color w:val="auto"/>
          <w:szCs w:val="21"/>
        </w:rPr>
        <w:t>3</w:t>
      </w:r>
      <w:r>
        <w:rPr>
          <w:rFonts w:hint="eastAsia" w:hAnsi="宋体"/>
          <w:color w:val="auto"/>
          <w:szCs w:val="21"/>
        </w:rPr>
        <w:t>.不可抗力事件延续</w:t>
      </w:r>
      <w:r>
        <w:rPr>
          <w:rFonts w:hAnsi="宋体"/>
          <w:color w:val="auto"/>
          <w:szCs w:val="21"/>
        </w:rPr>
        <w:t>120</w:t>
      </w:r>
      <w:r>
        <w:rPr>
          <w:rFonts w:hint="eastAsia" w:hAnsi="宋体"/>
          <w:color w:val="auto"/>
          <w:szCs w:val="21"/>
        </w:rPr>
        <w:t>天以上，双方应通过友好协商，确定是否继续履行合同。</w:t>
      </w:r>
    </w:p>
    <w:p w14:paraId="3310EAD7">
      <w:pPr>
        <w:pStyle w:val="12"/>
        <w:keepNext w:val="0"/>
        <w:keepLines w:val="0"/>
        <w:pageBreakBefore w:val="0"/>
        <w:kinsoku/>
        <w:wordWrap/>
        <w:overflowPunct/>
        <w:topLinePunct w:val="0"/>
        <w:bidi w:val="0"/>
        <w:snapToGrid/>
        <w:spacing w:line="360" w:lineRule="auto"/>
        <w:textAlignment w:val="auto"/>
        <w:rPr>
          <w:rFonts w:hAnsi="宋体"/>
          <w:b/>
          <w:color w:val="auto"/>
          <w:szCs w:val="21"/>
        </w:rPr>
      </w:pPr>
      <w:r>
        <w:rPr>
          <w:rFonts w:hint="eastAsia" w:hAnsi="宋体"/>
          <w:b/>
          <w:color w:val="auto"/>
          <w:szCs w:val="21"/>
        </w:rPr>
        <w:t>十八、解决争议的方法</w:t>
      </w:r>
    </w:p>
    <w:p w14:paraId="0FACFEDE">
      <w:pPr>
        <w:keepNext w:val="0"/>
        <w:keepLines w:val="0"/>
        <w:pageBreakBefore w:val="0"/>
        <w:widowControl/>
        <w:kinsoku/>
        <w:wordWrap/>
        <w:overflowPunct/>
        <w:topLinePunct w:val="0"/>
        <w:bidi w:val="0"/>
        <w:snapToGrid/>
        <w:spacing w:line="360" w:lineRule="auto"/>
        <w:ind w:firstLine="420" w:firstLineChars="200"/>
        <w:jc w:val="left"/>
        <w:textAlignment w:val="auto"/>
        <w:rPr>
          <w:color w:val="auto"/>
          <w:szCs w:val="21"/>
        </w:rPr>
      </w:pPr>
      <w:r>
        <w:rPr>
          <w:rFonts w:ascii="宋体" w:hAnsi="宋体" w:cs="宋体"/>
          <w:color w:val="auto"/>
          <w:kern w:val="0"/>
          <w:szCs w:val="21"/>
        </w:rPr>
        <w:t>1</w:t>
      </w:r>
      <w:r>
        <w:rPr>
          <w:rFonts w:hint="eastAsia" w:ascii="宋体" w:hAnsi="宋体" w:cs="宋体"/>
          <w:color w:val="auto"/>
          <w:kern w:val="0"/>
          <w:szCs w:val="21"/>
        </w:rPr>
        <w:t>.如双方在履行合同时发生纠纷，应协商解决；协商不成时，可提请政府采购管理部门调解；调解不成的通过以下方式解决：向玉环市人民法院提起诉讼。</w:t>
      </w:r>
    </w:p>
    <w:p w14:paraId="05FCAF0C">
      <w:pPr>
        <w:pStyle w:val="12"/>
        <w:keepNext w:val="0"/>
        <w:keepLines w:val="0"/>
        <w:pageBreakBefore w:val="0"/>
        <w:tabs>
          <w:tab w:val="left" w:pos="5790"/>
        </w:tabs>
        <w:kinsoku/>
        <w:wordWrap/>
        <w:overflowPunct/>
        <w:topLinePunct w:val="0"/>
        <w:autoSpaceDE/>
        <w:autoSpaceDN/>
        <w:bidi w:val="0"/>
        <w:adjustRightInd/>
        <w:snapToGrid/>
        <w:spacing w:line="360" w:lineRule="auto"/>
        <w:textAlignment w:val="auto"/>
        <w:rPr>
          <w:rFonts w:hAnsi="宋体"/>
          <w:b/>
          <w:color w:val="auto"/>
          <w:szCs w:val="21"/>
        </w:rPr>
      </w:pPr>
      <w:r>
        <w:rPr>
          <w:rFonts w:hint="eastAsia" w:hAnsi="宋体"/>
          <w:b/>
          <w:color w:val="auto"/>
          <w:szCs w:val="21"/>
        </w:rPr>
        <w:t>十九、合同生效及其它</w:t>
      </w:r>
      <w:r>
        <w:rPr>
          <w:rFonts w:hAnsi="宋体"/>
          <w:b/>
          <w:color w:val="auto"/>
          <w:szCs w:val="21"/>
        </w:rPr>
        <w:tab/>
      </w:r>
    </w:p>
    <w:p w14:paraId="00A7354F">
      <w:pPr>
        <w:pStyle w:val="9"/>
        <w:keepNext w:val="0"/>
        <w:keepLines w:val="0"/>
        <w:pageBreakBefore w:val="0"/>
        <w:widowControl/>
        <w:kinsoku/>
        <w:wordWrap/>
        <w:overflowPunct/>
        <w:topLinePunct w:val="0"/>
        <w:autoSpaceDE/>
        <w:autoSpaceDN/>
        <w:bidi w:val="0"/>
        <w:adjustRightInd/>
        <w:snapToGrid/>
        <w:spacing w:line="360" w:lineRule="auto"/>
        <w:ind w:right="-88" w:firstLine="420" w:firstLineChars="200"/>
        <w:textAlignment w:val="auto"/>
        <w:rPr>
          <w:rFonts w:ascii="宋体"/>
          <w:color w:val="auto"/>
          <w:sz w:val="21"/>
          <w:szCs w:val="21"/>
        </w:rPr>
      </w:pPr>
      <w:r>
        <w:rPr>
          <w:rFonts w:ascii="宋体" w:hAnsi="宋体"/>
          <w:color w:val="auto"/>
          <w:sz w:val="21"/>
          <w:szCs w:val="21"/>
        </w:rPr>
        <w:t>1</w:t>
      </w:r>
      <w:r>
        <w:rPr>
          <w:rFonts w:hint="eastAsia" w:ascii="宋体" w:hAnsi="宋体"/>
          <w:color w:val="auto"/>
          <w:sz w:val="21"/>
          <w:szCs w:val="21"/>
        </w:rPr>
        <w:t>.合同经双方法定代表人或授权代表签字并加盖单位公章后生效。</w:t>
      </w:r>
    </w:p>
    <w:p w14:paraId="11F81C46">
      <w:pPr>
        <w:pStyle w:val="9"/>
        <w:keepNext w:val="0"/>
        <w:keepLines w:val="0"/>
        <w:pageBreakBefore w:val="0"/>
        <w:widowControl/>
        <w:kinsoku/>
        <w:wordWrap/>
        <w:overflowPunct/>
        <w:topLinePunct w:val="0"/>
        <w:autoSpaceDE/>
        <w:autoSpaceDN/>
        <w:bidi w:val="0"/>
        <w:adjustRightInd/>
        <w:snapToGrid/>
        <w:spacing w:line="360" w:lineRule="auto"/>
        <w:ind w:right="-88" w:firstLine="420" w:firstLineChars="200"/>
        <w:textAlignment w:val="auto"/>
        <w:rPr>
          <w:rFonts w:ascii="宋体"/>
          <w:color w:val="auto"/>
          <w:sz w:val="21"/>
          <w:szCs w:val="21"/>
        </w:rPr>
      </w:pPr>
      <w:r>
        <w:rPr>
          <w:rFonts w:ascii="宋体" w:hAnsi="宋体"/>
          <w:color w:val="auto"/>
          <w:sz w:val="21"/>
          <w:szCs w:val="21"/>
        </w:rPr>
        <w:t>2</w:t>
      </w:r>
      <w:r>
        <w:rPr>
          <w:rFonts w:hint="eastAsia" w:ascii="宋体" w:hAnsi="宋体"/>
          <w:color w:val="auto"/>
          <w:sz w:val="21"/>
          <w:szCs w:val="21"/>
        </w:rPr>
        <w:t>.本合同未尽事宜，遵照《</w:t>
      </w:r>
      <w:r>
        <w:rPr>
          <w:rFonts w:hint="eastAsia" w:ascii="宋体" w:hAnsi="宋体"/>
          <w:color w:val="auto"/>
          <w:sz w:val="21"/>
          <w:szCs w:val="21"/>
          <w:lang w:val="en-US" w:eastAsia="zh-CN"/>
        </w:rPr>
        <w:t>中华人民共和国民法典</w:t>
      </w:r>
      <w:r>
        <w:rPr>
          <w:rFonts w:hint="eastAsia" w:ascii="宋体" w:hAnsi="宋体"/>
          <w:color w:val="auto"/>
          <w:sz w:val="21"/>
          <w:szCs w:val="21"/>
        </w:rPr>
        <w:t>》有关条文执行。</w:t>
      </w:r>
    </w:p>
    <w:p w14:paraId="15D68C6C">
      <w:pPr>
        <w:pStyle w:val="9"/>
        <w:keepNext w:val="0"/>
        <w:keepLines w:val="0"/>
        <w:pageBreakBefore w:val="0"/>
        <w:widowControl/>
        <w:kinsoku/>
        <w:wordWrap/>
        <w:overflowPunct/>
        <w:topLinePunct w:val="0"/>
        <w:autoSpaceDE/>
        <w:autoSpaceDN/>
        <w:bidi w:val="0"/>
        <w:adjustRightInd/>
        <w:snapToGrid/>
        <w:spacing w:line="360" w:lineRule="auto"/>
        <w:ind w:right="-88" w:firstLine="420" w:firstLineChars="200"/>
        <w:textAlignment w:val="auto"/>
        <w:rPr>
          <w:rFonts w:ascii="宋体"/>
          <w:color w:val="auto"/>
          <w:sz w:val="21"/>
          <w:szCs w:val="21"/>
        </w:rPr>
      </w:pPr>
      <w:r>
        <w:rPr>
          <w:rFonts w:hint="eastAsia" w:ascii="宋体" w:hAnsi="宋体" w:cs="宋体"/>
          <w:color w:val="auto"/>
          <w:sz w:val="21"/>
          <w:szCs w:val="21"/>
        </w:rPr>
        <w:t>3.</w:t>
      </w:r>
      <w:r>
        <w:rPr>
          <w:rFonts w:hint="eastAsia"/>
          <w:color w:val="auto"/>
          <w:sz w:val="21"/>
          <w:szCs w:val="21"/>
        </w:rPr>
        <w:t>本合同一式四份。甲、乙双方各执一份，采购组织机构及同级人民政府财政部门各执一份。本项目未尽事宜以招标文件、投标文件及澄清文件等为准。</w:t>
      </w:r>
    </w:p>
    <w:p w14:paraId="2563033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olor w:val="auto"/>
          <w:szCs w:val="21"/>
        </w:rPr>
      </w:pPr>
    </w:p>
    <w:p w14:paraId="52D0A6C7">
      <w:pPr>
        <w:spacing w:line="360" w:lineRule="auto"/>
        <w:rPr>
          <w:rFonts w:hint="eastAsia" w:ascii="宋体" w:hAnsi="宋体"/>
          <w:color w:val="auto"/>
          <w:szCs w:val="21"/>
        </w:rPr>
      </w:pPr>
    </w:p>
    <w:p w14:paraId="1B68CCA1">
      <w:pPr>
        <w:spacing w:line="360" w:lineRule="auto"/>
        <w:rPr>
          <w:rFonts w:ascii="宋体"/>
          <w:color w:val="auto"/>
          <w:szCs w:val="21"/>
        </w:rPr>
      </w:pPr>
      <w:r>
        <w:rPr>
          <w:rFonts w:hint="eastAsia" w:ascii="宋体" w:hAnsi="宋体"/>
          <w:color w:val="auto"/>
          <w:szCs w:val="21"/>
        </w:rPr>
        <w:t>甲方（公章）</w:t>
      </w:r>
      <w:r>
        <w:rPr>
          <w:rFonts w:ascii="宋体" w:hAnsi="宋体"/>
          <w:color w:val="auto"/>
          <w:szCs w:val="21"/>
        </w:rPr>
        <w:t xml:space="preserve">                                     </w:t>
      </w:r>
      <w:r>
        <w:rPr>
          <w:rFonts w:hint="eastAsia" w:ascii="宋体" w:hAnsi="宋体"/>
          <w:color w:val="auto"/>
          <w:szCs w:val="21"/>
        </w:rPr>
        <w:t>乙方（公章）</w:t>
      </w:r>
    </w:p>
    <w:p w14:paraId="34CDE257">
      <w:pPr>
        <w:spacing w:line="360" w:lineRule="auto"/>
        <w:rPr>
          <w:rFonts w:hint="eastAsia" w:ascii="宋体" w:hAnsi="宋体"/>
          <w:color w:val="auto"/>
          <w:szCs w:val="21"/>
        </w:rPr>
      </w:pPr>
    </w:p>
    <w:p w14:paraId="46B07B75">
      <w:pPr>
        <w:spacing w:line="360" w:lineRule="auto"/>
        <w:rPr>
          <w:rFonts w:ascii="宋体"/>
          <w:color w:val="auto"/>
          <w:szCs w:val="21"/>
        </w:rPr>
      </w:pPr>
      <w:r>
        <w:rPr>
          <w:rFonts w:hint="eastAsia" w:ascii="宋体" w:hAnsi="宋体"/>
          <w:color w:val="auto"/>
          <w:szCs w:val="21"/>
        </w:rPr>
        <w:t>法定代表人：</w:t>
      </w:r>
      <w:r>
        <w:rPr>
          <w:rFonts w:ascii="宋体" w:hAnsi="宋体"/>
          <w:color w:val="auto"/>
          <w:szCs w:val="21"/>
        </w:rPr>
        <w:t xml:space="preserve">                                     </w:t>
      </w:r>
      <w:r>
        <w:rPr>
          <w:rFonts w:hint="eastAsia" w:ascii="宋体" w:hAnsi="宋体"/>
          <w:color w:val="auto"/>
          <w:szCs w:val="21"/>
        </w:rPr>
        <w:t>法定代表人：</w:t>
      </w:r>
    </w:p>
    <w:p w14:paraId="67033AC3">
      <w:pPr>
        <w:spacing w:line="360" w:lineRule="auto"/>
        <w:rPr>
          <w:rFonts w:hint="eastAsia" w:ascii="宋体" w:hAnsi="宋体"/>
          <w:color w:val="auto"/>
          <w:szCs w:val="21"/>
        </w:rPr>
      </w:pPr>
    </w:p>
    <w:p w14:paraId="4E503E15">
      <w:pPr>
        <w:spacing w:line="360" w:lineRule="auto"/>
        <w:rPr>
          <w:rFonts w:ascii="宋体"/>
          <w:color w:val="auto"/>
          <w:szCs w:val="21"/>
        </w:rPr>
      </w:pPr>
      <w:r>
        <w:rPr>
          <w:rFonts w:hint="eastAsia" w:ascii="宋体" w:hAnsi="宋体"/>
          <w:color w:val="auto"/>
          <w:szCs w:val="21"/>
        </w:rPr>
        <w:t>委托代理人：</w:t>
      </w:r>
      <w:r>
        <w:rPr>
          <w:rFonts w:ascii="宋体" w:hAnsi="宋体"/>
          <w:color w:val="auto"/>
          <w:szCs w:val="21"/>
        </w:rPr>
        <w:t xml:space="preserve">                                     </w:t>
      </w:r>
      <w:r>
        <w:rPr>
          <w:rFonts w:hint="eastAsia" w:ascii="宋体" w:hAnsi="宋体"/>
          <w:color w:val="auto"/>
          <w:szCs w:val="21"/>
        </w:rPr>
        <w:t>委托代理人：</w:t>
      </w:r>
    </w:p>
    <w:p w14:paraId="59C3AC18">
      <w:pPr>
        <w:spacing w:line="360" w:lineRule="auto"/>
        <w:rPr>
          <w:rFonts w:hint="eastAsia" w:ascii="宋体" w:hAnsi="宋体"/>
          <w:color w:val="auto"/>
          <w:szCs w:val="21"/>
        </w:rPr>
      </w:pPr>
    </w:p>
    <w:p w14:paraId="6336765C">
      <w:pPr>
        <w:spacing w:line="360" w:lineRule="auto"/>
        <w:rPr>
          <w:rFonts w:ascii="宋体"/>
          <w:color w:val="auto"/>
          <w:szCs w:val="21"/>
        </w:rPr>
      </w:pPr>
      <w:r>
        <w:rPr>
          <w:rFonts w:hint="eastAsia" w:ascii="宋体" w:hAnsi="宋体"/>
          <w:color w:val="auto"/>
          <w:szCs w:val="21"/>
        </w:rPr>
        <w:t>联系电话：</w:t>
      </w:r>
      <w:r>
        <w:rPr>
          <w:rFonts w:ascii="宋体" w:hAnsi="宋体"/>
          <w:color w:val="auto"/>
          <w:szCs w:val="21"/>
        </w:rPr>
        <w:t xml:space="preserve">                                       </w:t>
      </w:r>
      <w:r>
        <w:rPr>
          <w:rFonts w:hint="eastAsia" w:ascii="宋体" w:hAnsi="宋体"/>
          <w:color w:val="auto"/>
          <w:szCs w:val="21"/>
        </w:rPr>
        <w:t>联系电话：</w:t>
      </w:r>
    </w:p>
    <w:p w14:paraId="1F502645">
      <w:pPr>
        <w:spacing w:line="360" w:lineRule="auto"/>
        <w:rPr>
          <w:rFonts w:hint="eastAsia" w:ascii="宋体" w:hAnsi="宋体"/>
          <w:color w:val="auto"/>
          <w:szCs w:val="21"/>
        </w:rPr>
      </w:pPr>
    </w:p>
    <w:p w14:paraId="190E448C">
      <w:pPr>
        <w:spacing w:line="360" w:lineRule="auto"/>
        <w:rPr>
          <w:rFonts w:ascii="宋体"/>
          <w:color w:val="auto"/>
          <w:szCs w:val="21"/>
        </w:rPr>
      </w:pPr>
      <w:r>
        <w:rPr>
          <w:rFonts w:hint="eastAsia" w:ascii="宋体" w:hAnsi="宋体"/>
          <w:color w:val="auto"/>
          <w:szCs w:val="21"/>
        </w:rPr>
        <w:t>开户银行：</w:t>
      </w:r>
      <w:r>
        <w:rPr>
          <w:rFonts w:ascii="宋体" w:hAnsi="宋体"/>
          <w:color w:val="auto"/>
          <w:szCs w:val="21"/>
        </w:rPr>
        <w:t xml:space="preserve">                                       </w:t>
      </w:r>
      <w:r>
        <w:rPr>
          <w:rFonts w:hint="eastAsia" w:ascii="宋体" w:hAnsi="宋体"/>
          <w:color w:val="auto"/>
          <w:szCs w:val="21"/>
        </w:rPr>
        <w:t>开户银行：</w:t>
      </w:r>
    </w:p>
    <w:p w14:paraId="095B7061">
      <w:pPr>
        <w:spacing w:line="360" w:lineRule="auto"/>
        <w:rPr>
          <w:rFonts w:hint="eastAsia" w:ascii="宋体" w:hAnsi="宋体"/>
          <w:color w:val="auto"/>
          <w:szCs w:val="21"/>
        </w:rPr>
      </w:pPr>
    </w:p>
    <w:p w14:paraId="068235D4">
      <w:pPr>
        <w:spacing w:line="360" w:lineRule="auto"/>
        <w:rPr>
          <w:rFonts w:ascii="宋体"/>
          <w:color w:val="auto"/>
          <w:szCs w:val="21"/>
        </w:rPr>
      </w:pPr>
      <w:r>
        <w:rPr>
          <w:rFonts w:hint="eastAsia" w:ascii="宋体" w:hAnsi="宋体"/>
          <w:color w:val="auto"/>
          <w:szCs w:val="21"/>
        </w:rPr>
        <w:t>帐号：</w:t>
      </w:r>
      <w:r>
        <w:rPr>
          <w:rFonts w:ascii="宋体" w:hAnsi="宋体"/>
          <w:color w:val="auto"/>
          <w:szCs w:val="21"/>
        </w:rPr>
        <w:t xml:space="preserve">                                           </w:t>
      </w:r>
      <w:r>
        <w:rPr>
          <w:rFonts w:hint="eastAsia" w:ascii="宋体" w:hAnsi="宋体"/>
          <w:color w:val="auto"/>
          <w:szCs w:val="21"/>
        </w:rPr>
        <w:t>帐号：</w:t>
      </w:r>
    </w:p>
    <w:p w14:paraId="622F6D27">
      <w:pPr>
        <w:spacing w:line="360" w:lineRule="auto"/>
        <w:rPr>
          <w:rFonts w:hint="eastAsia" w:ascii="宋体" w:hAnsi="宋体"/>
          <w:color w:val="auto"/>
          <w:szCs w:val="21"/>
        </w:rPr>
      </w:pPr>
    </w:p>
    <w:p w14:paraId="5331B655">
      <w:pPr>
        <w:spacing w:line="360" w:lineRule="auto"/>
        <w:rPr>
          <w:rFonts w:ascii="宋体"/>
          <w:color w:val="auto"/>
          <w:szCs w:val="21"/>
        </w:rPr>
      </w:pPr>
      <w:r>
        <w:rPr>
          <w:rFonts w:hint="eastAsia" w:ascii="宋体" w:hAnsi="宋体"/>
          <w:color w:val="auto"/>
          <w:szCs w:val="21"/>
        </w:rPr>
        <w:t>地址及邮编：</w:t>
      </w:r>
      <w:r>
        <w:rPr>
          <w:rFonts w:ascii="宋体" w:hAnsi="宋体"/>
          <w:color w:val="auto"/>
          <w:szCs w:val="21"/>
        </w:rPr>
        <w:t xml:space="preserve">                                     </w:t>
      </w:r>
      <w:r>
        <w:rPr>
          <w:rFonts w:hint="eastAsia" w:ascii="宋体" w:hAnsi="宋体"/>
          <w:color w:val="auto"/>
          <w:szCs w:val="21"/>
        </w:rPr>
        <w:t>地址及邮编：</w:t>
      </w:r>
    </w:p>
    <w:p w14:paraId="27791759">
      <w:pPr>
        <w:spacing w:line="360" w:lineRule="auto"/>
        <w:rPr>
          <w:rFonts w:ascii="宋体"/>
          <w:color w:val="auto"/>
          <w:szCs w:val="21"/>
        </w:rPr>
      </w:pPr>
    </w:p>
    <w:p w14:paraId="689A13BA">
      <w:pPr>
        <w:spacing w:line="360" w:lineRule="auto"/>
        <w:ind w:firstLine="4305" w:firstLineChars="2050"/>
        <w:rPr>
          <w:rFonts w:ascii="宋体"/>
          <w:color w:val="auto"/>
          <w:szCs w:val="21"/>
        </w:rPr>
      </w:pPr>
      <w:r>
        <w:rPr>
          <w:rFonts w:hint="eastAsia" w:ascii="宋体" w:hAnsi="宋体"/>
          <w:color w:val="auto"/>
          <w:szCs w:val="21"/>
        </w:rPr>
        <w:t>签订时间：</w:t>
      </w:r>
      <w:r>
        <w:rPr>
          <w:rFonts w:ascii="宋体" w:hAnsi="宋体"/>
          <w:color w:val="auto"/>
          <w:szCs w:val="21"/>
        </w:rPr>
        <w:t xml:space="preserve">    </w:t>
      </w:r>
      <w:r>
        <w:rPr>
          <w:rFonts w:hint="eastAsia" w:ascii="宋体" w:hAnsi="宋体"/>
          <w:color w:val="auto"/>
          <w:szCs w:val="21"/>
        </w:rPr>
        <w:t>年</w:t>
      </w:r>
      <w:r>
        <w:rPr>
          <w:rFonts w:ascii="宋体" w:hAnsi="宋体"/>
          <w:color w:val="auto"/>
          <w:szCs w:val="21"/>
        </w:rPr>
        <w:t xml:space="preserve">   </w:t>
      </w:r>
      <w:r>
        <w:rPr>
          <w:rFonts w:hint="eastAsia" w:ascii="宋体" w:hAnsi="宋体"/>
          <w:color w:val="auto"/>
          <w:szCs w:val="21"/>
        </w:rPr>
        <w:t>月</w:t>
      </w:r>
      <w:r>
        <w:rPr>
          <w:rFonts w:ascii="宋体" w:hAnsi="宋体"/>
          <w:color w:val="auto"/>
          <w:szCs w:val="21"/>
        </w:rPr>
        <w:t xml:space="preserve">    </w:t>
      </w:r>
      <w:r>
        <w:rPr>
          <w:rFonts w:hint="eastAsia" w:ascii="宋体" w:hAnsi="宋体"/>
          <w:color w:val="auto"/>
          <w:szCs w:val="21"/>
        </w:rPr>
        <w:t>日</w:t>
      </w:r>
    </w:p>
    <w:p w14:paraId="7CDF58A8">
      <w:pPr>
        <w:spacing w:line="360" w:lineRule="auto"/>
        <w:jc w:val="left"/>
        <w:rPr>
          <w:rFonts w:ascii="宋体"/>
          <w:color w:val="auto"/>
          <w:sz w:val="28"/>
          <w:szCs w:val="28"/>
        </w:rPr>
      </w:pPr>
    </w:p>
    <w:p w14:paraId="18136EC6">
      <w:pPr>
        <w:spacing w:line="360" w:lineRule="auto"/>
        <w:jc w:val="left"/>
        <w:rPr>
          <w:rFonts w:ascii="宋体"/>
          <w:color w:val="auto"/>
          <w:sz w:val="28"/>
          <w:szCs w:val="28"/>
        </w:rPr>
      </w:pPr>
    </w:p>
    <w:p w14:paraId="665ECDD0">
      <w:pPr>
        <w:spacing w:line="360" w:lineRule="auto"/>
        <w:ind w:firstLine="5145" w:firstLineChars="2450"/>
        <w:rPr>
          <w:rFonts w:hint="eastAsia" w:ascii="宋体" w:hAnsi="宋体"/>
          <w:color w:val="auto"/>
          <w:szCs w:val="21"/>
        </w:rPr>
      </w:pPr>
    </w:p>
    <w:p w14:paraId="7BCF7B60">
      <w:pPr>
        <w:spacing w:line="360" w:lineRule="auto"/>
        <w:ind w:firstLine="5145" w:firstLineChars="2450"/>
        <w:rPr>
          <w:rFonts w:hint="eastAsia" w:ascii="宋体" w:hAnsi="宋体"/>
          <w:color w:val="auto"/>
          <w:szCs w:val="21"/>
        </w:rPr>
      </w:pPr>
    </w:p>
    <w:p w14:paraId="3B70D128">
      <w:pPr>
        <w:spacing w:line="360" w:lineRule="auto"/>
        <w:ind w:firstLine="5145" w:firstLineChars="2450"/>
        <w:rPr>
          <w:rFonts w:hint="eastAsia" w:ascii="宋体" w:hAnsi="宋体"/>
          <w:color w:val="auto"/>
          <w:szCs w:val="21"/>
        </w:rPr>
      </w:pPr>
    </w:p>
    <w:p w14:paraId="7C9EA2A2">
      <w:pPr>
        <w:spacing w:line="360" w:lineRule="auto"/>
        <w:ind w:firstLine="5145" w:firstLineChars="2450"/>
        <w:rPr>
          <w:rFonts w:hint="eastAsia" w:ascii="宋体" w:hAnsi="宋体"/>
          <w:color w:val="auto"/>
          <w:szCs w:val="21"/>
        </w:rPr>
      </w:pPr>
    </w:p>
    <w:p w14:paraId="379596E5">
      <w:pPr>
        <w:spacing w:line="360" w:lineRule="auto"/>
        <w:ind w:firstLine="5145" w:firstLineChars="2450"/>
        <w:rPr>
          <w:rFonts w:hint="eastAsia" w:ascii="宋体" w:hAnsi="宋体"/>
          <w:color w:val="auto"/>
          <w:szCs w:val="21"/>
        </w:rPr>
      </w:pPr>
    </w:p>
    <w:p w14:paraId="32FE4B25">
      <w:pPr>
        <w:spacing w:line="360" w:lineRule="auto"/>
        <w:ind w:firstLine="5145" w:firstLineChars="2450"/>
        <w:rPr>
          <w:rFonts w:hint="eastAsia" w:ascii="宋体" w:hAnsi="宋体"/>
          <w:color w:val="auto"/>
          <w:szCs w:val="21"/>
        </w:rPr>
      </w:pPr>
    </w:p>
    <w:p w14:paraId="223B290B">
      <w:pPr>
        <w:spacing w:line="360" w:lineRule="auto"/>
        <w:ind w:firstLine="5145" w:firstLineChars="2450"/>
        <w:rPr>
          <w:rFonts w:hint="eastAsia" w:ascii="宋体" w:hAnsi="宋体"/>
          <w:color w:val="auto"/>
          <w:szCs w:val="21"/>
        </w:rPr>
      </w:pPr>
    </w:p>
    <w:p w14:paraId="22A48905">
      <w:pPr>
        <w:spacing w:line="360" w:lineRule="auto"/>
        <w:ind w:firstLine="5145" w:firstLineChars="2450"/>
        <w:rPr>
          <w:rFonts w:hint="eastAsia" w:ascii="宋体" w:hAnsi="宋体"/>
          <w:color w:val="auto"/>
          <w:szCs w:val="21"/>
        </w:rPr>
      </w:pPr>
    </w:p>
    <w:p w14:paraId="604B6E88">
      <w:pPr>
        <w:spacing w:line="360" w:lineRule="auto"/>
        <w:ind w:firstLine="5145" w:firstLineChars="2450"/>
        <w:rPr>
          <w:rFonts w:hint="eastAsia" w:ascii="宋体" w:hAnsi="宋体"/>
          <w:color w:val="auto"/>
          <w:szCs w:val="21"/>
        </w:rPr>
      </w:pPr>
    </w:p>
    <w:p w14:paraId="5FBD362C">
      <w:pPr>
        <w:spacing w:line="360" w:lineRule="auto"/>
        <w:ind w:firstLine="5145" w:firstLineChars="2450"/>
        <w:rPr>
          <w:rFonts w:hint="eastAsia" w:ascii="宋体" w:hAnsi="宋体"/>
          <w:color w:val="auto"/>
          <w:szCs w:val="21"/>
        </w:rPr>
      </w:pPr>
    </w:p>
    <w:p w14:paraId="5E3522C0">
      <w:pPr>
        <w:spacing w:line="360" w:lineRule="auto"/>
        <w:ind w:firstLine="5145" w:firstLineChars="2450"/>
        <w:rPr>
          <w:rFonts w:hint="eastAsia" w:ascii="宋体" w:hAnsi="宋体"/>
          <w:color w:val="auto"/>
          <w:szCs w:val="21"/>
        </w:rPr>
      </w:pPr>
    </w:p>
    <w:p w14:paraId="02DFAB37">
      <w:pPr>
        <w:spacing w:line="360" w:lineRule="auto"/>
        <w:ind w:firstLine="5145" w:firstLineChars="2450"/>
        <w:rPr>
          <w:rFonts w:hint="eastAsia" w:ascii="宋体" w:hAnsi="宋体"/>
          <w:color w:val="auto"/>
          <w:szCs w:val="21"/>
        </w:rPr>
      </w:pPr>
    </w:p>
    <w:p w14:paraId="13D2EF17">
      <w:pPr>
        <w:spacing w:line="360" w:lineRule="auto"/>
        <w:ind w:firstLine="5145" w:firstLineChars="2450"/>
        <w:rPr>
          <w:rFonts w:hint="eastAsia" w:ascii="宋体" w:hAnsi="宋体"/>
          <w:color w:val="auto"/>
          <w:szCs w:val="21"/>
        </w:rPr>
      </w:pPr>
    </w:p>
    <w:p w14:paraId="5E31E386">
      <w:pPr>
        <w:spacing w:line="360" w:lineRule="auto"/>
        <w:ind w:firstLine="5145" w:firstLineChars="2450"/>
        <w:rPr>
          <w:rFonts w:hint="eastAsia" w:ascii="宋体" w:hAnsi="宋体"/>
          <w:color w:val="auto"/>
          <w:szCs w:val="21"/>
        </w:rPr>
      </w:pPr>
    </w:p>
    <w:p w14:paraId="373AB0E3">
      <w:pPr>
        <w:spacing w:line="360" w:lineRule="auto"/>
        <w:ind w:firstLine="5145" w:firstLineChars="2450"/>
        <w:rPr>
          <w:rFonts w:hint="eastAsia" w:ascii="宋体" w:hAnsi="宋体"/>
          <w:color w:val="auto"/>
          <w:szCs w:val="21"/>
        </w:rPr>
      </w:pPr>
    </w:p>
    <w:p w14:paraId="0EBF9738">
      <w:pPr>
        <w:spacing w:line="360" w:lineRule="auto"/>
        <w:ind w:firstLine="5145" w:firstLineChars="2450"/>
        <w:rPr>
          <w:rFonts w:ascii="宋体" w:hAnsi="宋体"/>
          <w:color w:val="auto"/>
          <w:szCs w:val="21"/>
        </w:rPr>
      </w:pPr>
    </w:p>
    <w:p w14:paraId="79119905">
      <w:pPr>
        <w:spacing w:line="360" w:lineRule="auto"/>
        <w:ind w:firstLine="5145" w:firstLineChars="2450"/>
        <w:rPr>
          <w:rFonts w:ascii="宋体" w:hAnsi="宋体"/>
          <w:color w:val="auto"/>
          <w:szCs w:val="21"/>
        </w:rPr>
      </w:pPr>
    </w:p>
    <w:p w14:paraId="5D136A0C">
      <w:pPr>
        <w:numPr>
          <w:ilvl w:val="0"/>
          <w:numId w:val="0"/>
        </w:numPr>
        <w:spacing w:line="360" w:lineRule="auto"/>
        <w:jc w:val="center"/>
        <w:rPr>
          <w:rFonts w:ascii="宋体"/>
          <w:b/>
          <w:color w:val="auto"/>
          <w:sz w:val="30"/>
          <w:szCs w:val="30"/>
        </w:rPr>
      </w:pPr>
      <w:r>
        <w:rPr>
          <w:rFonts w:hint="eastAsia" w:ascii="宋体" w:cs="Times New Roman"/>
          <w:b/>
          <w:color w:val="auto"/>
          <w:kern w:val="2"/>
          <w:sz w:val="30"/>
          <w:szCs w:val="30"/>
          <w:lang w:val="en-US" w:eastAsia="zh-CN" w:bidi="ar-SA"/>
        </w:rPr>
        <w:t>第六章</w:t>
      </w:r>
      <w:r>
        <w:rPr>
          <w:rFonts w:hint="eastAsia" w:ascii="宋体" w:hAnsi="宋体"/>
          <w:b/>
          <w:color w:val="auto"/>
          <w:sz w:val="30"/>
          <w:szCs w:val="30"/>
        </w:rPr>
        <w:t>投标文件格式附件</w:t>
      </w:r>
    </w:p>
    <w:p w14:paraId="4809A8BF">
      <w:pPr>
        <w:rPr>
          <w:rFonts w:ascii="宋体"/>
          <w:b/>
          <w:color w:val="auto"/>
          <w:kern w:val="0"/>
          <w:sz w:val="28"/>
          <w:szCs w:val="28"/>
        </w:rPr>
      </w:pPr>
      <w:r>
        <w:rPr>
          <w:rFonts w:hint="eastAsia" w:ascii="宋体" w:hAnsi="宋体"/>
          <w:b/>
          <w:color w:val="auto"/>
          <w:kern w:val="0"/>
          <w:szCs w:val="21"/>
        </w:rPr>
        <w:t>附件1</w:t>
      </w:r>
      <w:r>
        <w:rPr>
          <w:rFonts w:ascii="宋体" w:hAnsi="宋体"/>
          <w:b/>
          <w:color w:val="auto"/>
          <w:szCs w:val="21"/>
        </w:rPr>
        <w:t xml:space="preserve">  </w:t>
      </w:r>
      <w:r>
        <w:rPr>
          <w:rFonts w:ascii="宋体" w:hAnsi="宋体"/>
          <w:b/>
          <w:color w:val="auto"/>
          <w:sz w:val="30"/>
          <w:szCs w:val="30"/>
        </w:rPr>
        <w:t xml:space="preserve">                           </w:t>
      </w:r>
      <w:r>
        <w:rPr>
          <w:rFonts w:ascii="宋体" w:hAnsi="宋体"/>
          <w:color w:val="auto"/>
          <w:sz w:val="30"/>
          <w:szCs w:val="30"/>
        </w:rPr>
        <w:t xml:space="preserve"> </w:t>
      </w:r>
      <w:r>
        <w:rPr>
          <w:rFonts w:hint="eastAsia" w:ascii="宋体" w:hAnsi="宋体"/>
          <w:color w:val="auto"/>
          <w:sz w:val="30"/>
          <w:szCs w:val="30"/>
        </w:rPr>
        <w:t>　　　</w:t>
      </w:r>
      <w:r>
        <w:rPr>
          <w:rFonts w:ascii="宋体" w:hAnsi="宋体"/>
          <w:b/>
          <w:color w:val="auto"/>
          <w:sz w:val="28"/>
        </w:rPr>
        <w:t xml:space="preserve">        </w:t>
      </w:r>
      <w:r>
        <w:rPr>
          <w:rFonts w:ascii="宋体" w:hAnsi="宋体"/>
          <w:b/>
          <w:color w:val="auto"/>
          <w:sz w:val="28"/>
          <w:u w:val="single"/>
        </w:rPr>
        <w:t xml:space="preserve">     </w:t>
      </w:r>
      <w:r>
        <w:rPr>
          <w:rFonts w:hint="eastAsia" w:ascii="宋体" w:hAnsi="宋体"/>
          <w:bCs/>
          <w:color w:val="auto"/>
          <w:sz w:val="24"/>
        </w:rPr>
        <w:t>本</w:t>
      </w:r>
    </w:p>
    <w:p w14:paraId="2C339CE0">
      <w:pPr>
        <w:spacing w:line="360" w:lineRule="auto"/>
        <w:rPr>
          <w:rFonts w:ascii="宋体"/>
          <w:b/>
          <w:color w:val="auto"/>
          <w:sz w:val="30"/>
          <w:szCs w:val="30"/>
        </w:rPr>
      </w:pPr>
    </w:p>
    <w:p w14:paraId="165A7062">
      <w:pPr>
        <w:spacing w:line="360" w:lineRule="auto"/>
        <w:ind w:right="-110"/>
        <w:jc w:val="center"/>
        <w:rPr>
          <w:rFonts w:ascii="宋体"/>
          <w:color w:val="auto"/>
          <w:spacing w:val="40"/>
          <w:sz w:val="52"/>
          <w:szCs w:val="52"/>
        </w:rPr>
      </w:pPr>
      <w:r>
        <w:rPr>
          <w:rFonts w:hint="eastAsia" w:ascii="宋体" w:hAnsi="宋体"/>
          <w:color w:val="auto"/>
          <w:spacing w:val="40"/>
          <w:sz w:val="52"/>
          <w:szCs w:val="52"/>
        </w:rPr>
        <w:t>项目名称</w:t>
      </w:r>
    </w:p>
    <w:p w14:paraId="07F48639">
      <w:pPr>
        <w:spacing w:before="312" w:beforeLines="100" w:line="360" w:lineRule="auto"/>
        <w:ind w:right="-108"/>
        <w:jc w:val="center"/>
        <w:rPr>
          <w:rFonts w:ascii="宋体"/>
          <w:color w:val="auto"/>
          <w:sz w:val="28"/>
          <w:szCs w:val="28"/>
        </w:rPr>
      </w:pPr>
      <w:r>
        <w:rPr>
          <w:rFonts w:hint="eastAsia" w:ascii="宋体" w:hAnsi="宋体"/>
          <w:color w:val="auto"/>
          <w:sz w:val="28"/>
          <w:szCs w:val="28"/>
        </w:rPr>
        <w:t>项目编号：</w:t>
      </w:r>
    </w:p>
    <w:p w14:paraId="4CF34F9C">
      <w:pPr>
        <w:autoSpaceDE w:val="0"/>
        <w:autoSpaceDN w:val="0"/>
        <w:adjustRightInd w:val="0"/>
        <w:spacing w:line="360" w:lineRule="auto"/>
        <w:jc w:val="center"/>
        <w:rPr>
          <w:rFonts w:ascii="宋体" w:cs="宋体"/>
          <w:color w:val="auto"/>
          <w:sz w:val="84"/>
          <w:szCs w:val="84"/>
          <w:lang w:val="zh-CN"/>
        </w:rPr>
      </w:pPr>
    </w:p>
    <w:p w14:paraId="1D78FB20">
      <w:pPr>
        <w:autoSpaceDE w:val="0"/>
        <w:autoSpaceDN w:val="0"/>
        <w:adjustRightInd w:val="0"/>
        <w:spacing w:line="360" w:lineRule="auto"/>
        <w:jc w:val="center"/>
        <w:rPr>
          <w:rFonts w:ascii="宋体" w:cs="宋体"/>
          <w:color w:val="auto"/>
          <w:sz w:val="84"/>
          <w:szCs w:val="84"/>
          <w:lang w:val="zh-CN"/>
        </w:rPr>
      </w:pPr>
      <w:r>
        <w:rPr>
          <w:rFonts w:hint="eastAsia" w:ascii="宋体" w:hAnsi="宋体" w:cs="宋体"/>
          <w:color w:val="auto"/>
          <w:sz w:val="84"/>
          <w:szCs w:val="84"/>
          <w:lang w:val="zh-CN"/>
        </w:rPr>
        <w:t>投</w:t>
      </w:r>
    </w:p>
    <w:p w14:paraId="553BE89D">
      <w:pPr>
        <w:autoSpaceDE w:val="0"/>
        <w:autoSpaceDN w:val="0"/>
        <w:adjustRightInd w:val="0"/>
        <w:spacing w:line="360" w:lineRule="auto"/>
        <w:jc w:val="center"/>
        <w:rPr>
          <w:rFonts w:ascii="宋体" w:cs="宋体"/>
          <w:color w:val="auto"/>
          <w:sz w:val="84"/>
          <w:szCs w:val="84"/>
          <w:lang w:val="zh-CN"/>
        </w:rPr>
      </w:pPr>
      <w:r>
        <w:rPr>
          <w:rFonts w:hint="eastAsia" w:ascii="宋体" w:hAnsi="宋体" w:cs="宋体"/>
          <w:color w:val="auto"/>
          <w:sz w:val="84"/>
          <w:szCs w:val="84"/>
          <w:lang w:val="zh-CN"/>
        </w:rPr>
        <w:t>标</w:t>
      </w:r>
    </w:p>
    <w:p w14:paraId="78D98C37">
      <w:pPr>
        <w:autoSpaceDE w:val="0"/>
        <w:autoSpaceDN w:val="0"/>
        <w:adjustRightInd w:val="0"/>
        <w:spacing w:line="360" w:lineRule="auto"/>
        <w:jc w:val="center"/>
        <w:rPr>
          <w:rFonts w:ascii="宋体"/>
          <w:color w:val="auto"/>
          <w:sz w:val="84"/>
          <w:szCs w:val="84"/>
        </w:rPr>
      </w:pPr>
      <w:r>
        <w:rPr>
          <w:rFonts w:hint="eastAsia" w:ascii="宋体" w:hAnsi="宋体" w:cs="宋体"/>
          <w:color w:val="auto"/>
          <w:sz w:val="84"/>
          <w:szCs w:val="84"/>
          <w:lang w:val="zh-CN"/>
        </w:rPr>
        <w:t>文</w:t>
      </w:r>
    </w:p>
    <w:p w14:paraId="4951A93C">
      <w:pPr>
        <w:spacing w:after="100" w:afterAutospacing="1" w:line="360" w:lineRule="auto"/>
        <w:ind w:right="-108"/>
        <w:jc w:val="center"/>
        <w:rPr>
          <w:rFonts w:ascii="宋体" w:cs="宋体"/>
          <w:color w:val="auto"/>
          <w:sz w:val="84"/>
          <w:szCs w:val="84"/>
          <w:lang w:val="zh-CN"/>
        </w:rPr>
      </w:pPr>
      <w:r>
        <w:rPr>
          <w:rFonts w:hint="eastAsia" w:ascii="宋体" w:hAnsi="宋体" w:cs="宋体"/>
          <w:color w:val="auto"/>
          <w:sz w:val="84"/>
          <w:szCs w:val="84"/>
          <w:lang w:val="zh-CN"/>
        </w:rPr>
        <w:t>件</w:t>
      </w:r>
    </w:p>
    <w:p w14:paraId="7970B2C7">
      <w:pPr>
        <w:spacing w:after="100" w:afterAutospacing="1" w:line="360" w:lineRule="auto"/>
        <w:ind w:right="-108"/>
        <w:jc w:val="center"/>
        <w:rPr>
          <w:rFonts w:ascii="宋体"/>
          <w:b/>
          <w:color w:val="auto"/>
          <w:spacing w:val="40"/>
          <w:sz w:val="28"/>
          <w:szCs w:val="28"/>
        </w:rPr>
      </w:pPr>
      <w:r>
        <w:rPr>
          <w:rFonts w:hint="eastAsia" w:ascii="宋体" w:hAnsi="宋体" w:cs="宋体"/>
          <w:color w:val="auto"/>
          <w:sz w:val="28"/>
          <w:szCs w:val="28"/>
          <w:lang w:val="zh-CN"/>
        </w:rPr>
        <w:t>（</w:t>
      </w:r>
      <w:r>
        <w:rPr>
          <w:rFonts w:hint="eastAsia" w:ascii="宋体" w:hAnsi="宋体"/>
          <w:b/>
          <w:color w:val="auto"/>
          <w:spacing w:val="40"/>
          <w:sz w:val="28"/>
          <w:szCs w:val="28"/>
        </w:rPr>
        <w:t>资格证明文件）</w:t>
      </w:r>
    </w:p>
    <w:p w14:paraId="00FF0BC7">
      <w:pPr>
        <w:spacing w:line="360" w:lineRule="auto"/>
        <w:ind w:right="532" w:firstLine="560" w:firstLineChars="200"/>
        <w:rPr>
          <w:rFonts w:ascii="宋体"/>
          <w:color w:val="auto"/>
          <w:sz w:val="28"/>
          <w:szCs w:val="28"/>
        </w:rPr>
      </w:pPr>
      <w:r>
        <w:rPr>
          <w:rFonts w:hint="eastAsia" w:ascii="宋体" w:hAnsi="宋体"/>
          <w:color w:val="auto"/>
          <w:sz w:val="28"/>
          <w:szCs w:val="28"/>
        </w:rPr>
        <w:t>投标人全称（公章）：</w:t>
      </w:r>
    </w:p>
    <w:p w14:paraId="68BFED56">
      <w:pPr>
        <w:spacing w:line="360" w:lineRule="auto"/>
        <w:ind w:right="532" w:firstLine="560" w:firstLineChars="200"/>
        <w:rPr>
          <w:rFonts w:ascii="宋体"/>
          <w:color w:val="auto"/>
          <w:sz w:val="28"/>
          <w:szCs w:val="28"/>
        </w:rPr>
      </w:pPr>
      <w:r>
        <w:rPr>
          <w:rFonts w:hint="eastAsia" w:ascii="宋体" w:hAnsi="宋体"/>
          <w:color w:val="auto"/>
          <w:sz w:val="28"/>
          <w:szCs w:val="28"/>
        </w:rPr>
        <w:t>地</w:t>
      </w:r>
      <w:r>
        <w:rPr>
          <w:rFonts w:ascii="宋体" w:hAnsi="宋体"/>
          <w:color w:val="auto"/>
          <w:sz w:val="28"/>
          <w:szCs w:val="28"/>
        </w:rPr>
        <w:t xml:space="preserve">    </w:t>
      </w:r>
      <w:r>
        <w:rPr>
          <w:rFonts w:hint="eastAsia" w:ascii="宋体" w:hAnsi="宋体"/>
          <w:color w:val="auto"/>
          <w:sz w:val="28"/>
          <w:szCs w:val="28"/>
        </w:rPr>
        <w:t>址：</w:t>
      </w:r>
    </w:p>
    <w:p w14:paraId="161369B4">
      <w:pPr>
        <w:spacing w:line="360" w:lineRule="auto"/>
        <w:ind w:right="532" w:firstLine="560" w:firstLineChars="200"/>
        <w:rPr>
          <w:rFonts w:ascii="宋体"/>
          <w:color w:val="auto"/>
          <w:sz w:val="28"/>
          <w:szCs w:val="28"/>
        </w:rPr>
      </w:pPr>
      <w:r>
        <w:rPr>
          <w:rFonts w:hint="eastAsia" w:ascii="宋体" w:hAnsi="宋体"/>
          <w:color w:val="auto"/>
          <w:sz w:val="28"/>
          <w:szCs w:val="28"/>
        </w:rPr>
        <w:t>时</w:t>
      </w:r>
      <w:r>
        <w:rPr>
          <w:rFonts w:ascii="宋体" w:hAnsi="宋体"/>
          <w:color w:val="auto"/>
          <w:sz w:val="28"/>
          <w:szCs w:val="28"/>
        </w:rPr>
        <w:t xml:space="preserve">    </w:t>
      </w:r>
      <w:r>
        <w:rPr>
          <w:rFonts w:hint="eastAsia" w:ascii="宋体" w:hAnsi="宋体"/>
          <w:color w:val="auto"/>
          <w:sz w:val="28"/>
          <w:szCs w:val="28"/>
        </w:rPr>
        <w:t>间：</w:t>
      </w:r>
    </w:p>
    <w:p w14:paraId="1315CEDF">
      <w:pPr>
        <w:snapToGrid w:val="0"/>
        <w:spacing w:before="50" w:after="50" w:line="360" w:lineRule="auto"/>
        <w:rPr>
          <w:rFonts w:ascii="仿宋_GB2312" w:hAnsi="宋体" w:eastAsia="仿宋_GB2312"/>
          <w:b/>
          <w:color w:val="auto"/>
          <w:sz w:val="36"/>
          <w:szCs w:val="36"/>
        </w:rPr>
      </w:pPr>
    </w:p>
    <w:p w14:paraId="75B52E2F">
      <w:pPr>
        <w:snapToGrid w:val="0"/>
        <w:spacing w:before="50" w:after="50" w:line="360" w:lineRule="auto"/>
        <w:rPr>
          <w:rFonts w:ascii="仿宋_GB2312" w:hAnsi="宋体" w:eastAsia="仿宋_GB2312"/>
          <w:b/>
          <w:color w:val="auto"/>
          <w:sz w:val="36"/>
          <w:szCs w:val="36"/>
        </w:rPr>
      </w:pPr>
    </w:p>
    <w:p w14:paraId="2D559B39">
      <w:pPr>
        <w:snapToGrid w:val="0"/>
        <w:spacing w:before="50" w:after="50" w:line="360" w:lineRule="auto"/>
        <w:jc w:val="center"/>
        <w:rPr>
          <w:rFonts w:ascii="宋体"/>
          <w:b/>
          <w:bCs/>
          <w:color w:val="auto"/>
          <w:sz w:val="30"/>
          <w:szCs w:val="30"/>
        </w:rPr>
      </w:pPr>
      <w:r>
        <w:rPr>
          <w:rFonts w:hint="eastAsia" w:ascii="宋体" w:hAnsi="宋体"/>
          <w:b/>
          <w:bCs/>
          <w:color w:val="auto"/>
          <w:sz w:val="30"/>
          <w:szCs w:val="30"/>
        </w:rPr>
        <w:t>资格证明文件目录</w:t>
      </w:r>
    </w:p>
    <w:p w14:paraId="2A22A8C9">
      <w:pPr>
        <w:snapToGrid w:val="0"/>
        <w:spacing w:before="50" w:after="50" w:line="360" w:lineRule="auto"/>
        <w:jc w:val="center"/>
        <w:rPr>
          <w:rFonts w:ascii="仿宋_GB2312" w:hAnsi="宋体" w:eastAsia="仿宋_GB2312"/>
          <w:b/>
          <w:bCs/>
          <w:color w:val="auto"/>
          <w:sz w:val="36"/>
          <w:szCs w:val="36"/>
        </w:rPr>
      </w:pPr>
    </w:p>
    <w:p w14:paraId="45498E7C">
      <w:pPr>
        <w:snapToGrid w:val="0"/>
        <w:spacing w:line="360" w:lineRule="auto"/>
        <w:ind w:firstLine="420" w:firstLineChars="200"/>
        <w:rPr>
          <w:rFonts w:ascii="宋体"/>
          <w:color w:val="auto"/>
          <w:szCs w:val="21"/>
        </w:rPr>
      </w:pPr>
      <w:r>
        <w:rPr>
          <w:rFonts w:hint="eastAsia" w:ascii="宋体" w:hAnsi="宋体"/>
          <w:color w:val="auto"/>
          <w:szCs w:val="21"/>
        </w:rPr>
        <w:t>1.声明书（附件2）；</w:t>
      </w:r>
    </w:p>
    <w:p w14:paraId="7D06C154">
      <w:pPr>
        <w:snapToGrid w:val="0"/>
        <w:spacing w:line="360" w:lineRule="auto"/>
        <w:ind w:firstLine="420" w:firstLineChars="200"/>
        <w:rPr>
          <w:rFonts w:ascii="宋体"/>
          <w:color w:val="auto"/>
          <w:kern w:val="0"/>
          <w:szCs w:val="21"/>
        </w:rPr>
      </w:pPr>
      <w:r>
        <w:rPr>
          <w:rFonts w:hint="eastAsia"/>
          <w:bCs/>
          <w:color w:val="auto"/>
          <w:szCs w:val="21"/>
        </w:rPr>
        <w:t>2.授权委托书</w:t>
      </w:r>
      <w:r>
        <w:rPr>
          <w:rFonts w:hint="eastAsia" w:ascii="宋体" w:hAnsi="宋体"/>
          <w:bCs/>
          <w:color w:val="auto"/>
          <w:szCs w:val="21"/>
        </w:rPr>
        <w:t>（附件3）；</w:t>
      </w:r>
    </w:p>
    <w:p w14:paraId="1FE4D09E">
      <w:pPr>
        <w:snapToGrid w:val="0"/>
        <w:spacing w:line="360" w:lineRule="auto"/>
        <w:ind w:firstLine="420" w:firstLineChars="200"/>
        <w:rPr>
          <w:rFonts w:hint="eastAsia"/>
          <w:color w:val="auto"/>
          <w:szCs w:val="21"/>
        </w:rPr>
      </w:pPr>
      <w:r>
        <w:rPr>
          <w:color w:val="auto"/>
          <w:szCs w:val="21"/>
        </w:rPr>
        <w:t>3</w:t>
      </w:r>
      <w:r>
        <w:rPr>
          <w:rFonts w:hint="eastAsia"/>
          <w:color w:val="auto"/>
          <w:szCs w:val="21"/>
        </w:rPr>
        <w:t>.法人或者其他组织的营业执照等证明文件，自然人的身份证；</w:t>
      </w:r>
    </w:p>
    <w:p w14:paraId="349E60C7">
      <w:pPr>
        <w:snapToGrid w:val="0"/>
        <w:spacing w:line="360" w:lineRule="auto"/>
        <w:ind w:firstLine="420" w:firstLineChars="200"/>
        <w:rPr>
          <w:rFonts w:hint="default" w:eastAsia="宋体"/>
          <w:color w:val="auto"/>
          <w:szCs w:val="21"/>
          <w:lang w:val="en-US" w:eastAsia="zh-CN"/>
        </w:rPr>
      </w:pPr>
      <w:r>
        <w:rPr>
          <w:rFonts w:hint="eastAsia"/>
          <w:color w:val="auto"/>
          <w:szCs w:val="21"/>
          <w:lang w:val="en-US" w:eastAsia="zh-CN"/>
        </w:rPr>
        <w:t>4.</w:t>
      </w:r>
      <w:r>
        <w:rPr>
          <w:rFonts w:hint="eastAsia" w:ascii="宋体" w:hAnsi="宋体" w:cs="宋体"/>
          <w:b w:val="0"/>
          <w:bCs w:val="0"/>
          <w:color w:val="auto"/>
          <w:sz w:val="21"/>
          <w:szCs w:val="21"/>
          <w:highlight w:val="none"/>
        </w:rPr>
        <w:t>中小企业声明函</w:t>
      </w:r>
      <w:r>
        <w:rPr>
          <w:rFonts w:hint="eastAsia" w:ascii="宋体" w:hAnsi="宋体"/>
          <w:bCs/>
          <w:color w:val="auto"/>
          <w:szCs w:val="21"/>
        </w:rPr>
        <w:t>（附件</w:t>
      </w:r>
      <w:r>
        <w:rPr>
          <w:rFonts w:hint="eastAsia" w:ascii="宋体" w:hAnsi="宋体"/>
          <w:bCs/>
          <w:color w:val="auto"/>
          <w:szCs w:val="21"/>
          <w:lang w:val="en-US" w:eastAsia="zh-CN"/>
        </w:rPr>
        <w:t>4</w:t>
      </w:r>
      <w:r>
        <w:rPr>
          <w:rFonts w:hint="eastAsia" w:ascii="宋体" w:hAnsi="宋体"/>
          <w:bCs/>
          <w:color w:val="auto"/>
          <w:szCs w:val="21"/>
        </w:rPr>
        <w:t>）</w:t>
      </w:r>
      <w:r>
        <w:rPr>
          <w:rFonts w:hint="eastAsia"/>
          <w:color w:val="auto"/>
          <w:szCs w:val="21"/>
        </w:rPr>
        <w:t>；</w:t>
      </w:r>
    </w:p>
    <w:p w14:paraId="4E8165EB">
      <w:pPr>
        <w:snapToGrid w:val="0"/>
        <w:spacing w:line="360" w:lineRule="auto"/>
        <w:ind w:firstLine="420" w:firstLineChars="200"/>
        <w:rPr>
          <w:rFonts w:hint="eastAsia" w:ascii="宋体"/>
          <w:color w:val="auto"/>
          <w:kern w:val="0"/>
          <w:szCs w:val="21"/>
        </w:rPr>
      </w:pPr>
      <w:r>
        <w:rPr>
          <w:rFonts w:hint="eastAsia" w:ascii="宋体" w:hAnsi="宋体"/>
          <w:color w:val="auto"/>
          <w:kern w:val="0"/>
          <w:szCs w:val="21"/>
          <w:lang w:val="en-US" w:eastAsia="zh-CN"/>
        </w:rPr>
        <w:t>5</w:t>
      </w:r>
      <w:r>
        <w:rPr>
          <w:rFonts w:hint="eastAsia" w:ascii="宋体" w:hAnsi="宋体"/>
          <w:color w:val="auto"/>
          <w:kern w:val="0"/>
          <w:szCs w:val="21"/>
        </w:rPr>
        <w:t>.</w:t>
      </w:r>
      <w:r>
        <w:rPr>
          <w:rFonts w:hint="eastAsia" w:ascii="宋体" w:hAnsi="宋体" w:cs="宋体"/>
          <w:color w:val="auto"/>
          <w:szCs w:val="21"/>
        </w:rPr>
        <w:t>符合参加采购活动应当具备的一般条件的承诺函</w:t>
      </w:r>
      <w:r>
        <w:rPr>
          <w:rFonts w:hint="eastAsia" w:ascii="宋体" w:hAnsi="宋体"/>
          <w:bCs/>
          <w:color w:val="auto"/>
          <w:szCs w:val="21"/>
        </w:rPr>
        <w:t>（附件</w:t>
      </w:r>
      <w:r>
        <w:rPr>
          <w:rFonts w:hint="eastAsia" w:ascii="宋体" w:hAnsi="宋体"/>
          <w:bCs/>
          <w:color w:val="auto"/>
          <w:szCs w:val="21"/>
          <w:lang w:val="en-US" w:eastAsia="zh-CN"/>
        </w:rPr>
        <w:t>5</w:t>
      </w:r>
      <w:r>
        <w:rPr>
          <w:rFonts w:hint="eastAsia" w:ascii="宋体" w:hAnsi="宋体"/>
          <w:bCs/>
          <w:color w:val="auto"/>
          <w:szCs w:val="21"/>
        </w:rPr>
        <w:t>）</w:t>
      </w:r>
      <w:r>
        <w:rPr>
          <w:rFonts w:hint="eastAsia"/>
          <w:color w:val="auto"/>
          <w:szCs w:val="21"/>
        </w:rPr>
        <w:t>；</w:t>
      </w:r>
    </w:p>
    <w:p w14:paraId="3889B561">
      <w:pPr>
        <w:snapToGrid w:val="0"/>
        <w:spacing w:line="360" w:lineRule="auto"/>
        <w:ind w:firstLine="420" w:firstLineChars="200"/>
        <w:rPr>
          <w:rFonts w:hint="eastAsia" w:ascii="宋体"/>
          <w:color w:val="auto"/>
          <w:kern w:val="0"/>
          <w:szCs w:val="21"/>
        </w:rPr>
      </w:pPr>
      <w:r>
        <w:rPr>
          <w:rFonts w:hint="eastAsia" w:ascii="宋体" w:hAnsi="宋体" w:cs="宋体"/>
          <w:color w:val="auto"/>
          <w:szCs w:val="21"/>
          <w:lang w:val="en-US" w:eastAsia="zh-CN"/>
        </w:rPr>
        <w:t>6</w:t>
      </w:r>
      <w:r>
        <w:rPr>
          <w:rFonts w:hint="eastAsia" w:ascii="宋体" w:hAnsi="宋体" w:cs="宋体"/>
          <w:color w:val="auto"/>
          <w:szCs w:val="21"/>
        </w:rPr>
        <w:t>.</w:t>
      </w:r>
      <w:r>
        <w:rPr>
          <w:rFonts w:hint="eastAsia" w:ascii="宋体" w:hAnsi="宋体"/>
          <w:color w:val="auto"/>
          <w:kern w:val="0"/>
          <w:szCs w:val="21"/>
        </w:rPr>
        <w:t>本项目要求的特定资质证书。</w:t>
      </w:r>
    </w:p>
    <w:p w14:paraId="32D8A0F1">
      <w:pPr>
        <w:spacing w:line="360" w:lineRule="auto"/>
        <w:rPr>
          <w:rFonts w:ascii="宋体"/>
          <w:b/>
          <w:color w:val="auto"/>
          <w:sz w:val="28"/>
        </w:rPr>
      </w:pPr>
    </w:p>
    <w:p w14:paraId="61088BB3">
      <w:pPr>
        <w:spacing w:line="360" w:lineRule="auto"/>
        <w:ind w:left="420"/>
        <w:rPr>
          <w:rFonts w:ascii="宋体"/>
          <w:b/>
          <w:color w:val="auto"/>
          <w:sz w:val="28"/>
        </w:rPr>
      </w:pPr>
    </w:p>
    <w:p w14:paraId="02662B40">
      <w:pPr>
        <w:spacing w:line="360" w:lineRule="auto"/>
        <w:ind w:left="420"/>
        <w:rPr>
          <w:rFonts w:ascii="宋体"/>
          <w:b/>
          <w:color w:val="auto"/>
          <w:sz w:val="28"/>
        </w:rPr>
      </w:pPr>
    </w:p>
    <w:p w14:paraId="372669C4">
      <w:pPr>
        <w:spacing w:line="360" w:lineRule="auto"/>
        <w:ind w:left="420"/>
        <w:rPr>
          <w:rFonts w:ascii="宋体"/>
          <w:b/>
          <w:color w:val="auto"/>
          <w:sz w:val="28"/>
        </w:rPr>
      </w:pPr>
    </w:p>
    <w:p w14:paraId="236F7830">
      <w:pPr>
        <w:spacing w:line="360" w:lineRule="auto"/>
        <w:ind w:left="420"/>
        <w:rPr>
          <w:rFonts w:ascii="宋体"/>
          <w:b/>
          <w:color w:val="auto"/>
          <w:sz w:val="28"/>
        </w:rPr>
      </w:pPr>
    </w:p>
    <w:p w14:paraId="4D9B6D07">
      <w:pPr>
        <w:spacing w:line="360" w:lineRule="auto"/>
        <w:ind w:left="420"/>
        <w:rPr>
          <w:rFonts w:ascii="宋体"/>
          <w:b/>
          <w:color w:val="auto"/>
          <w:sz w:val="28"/>
        </w:rPr>
      </w:pPr>
    </w:p>
    <w:p w14:paraId="2F5F8A6D">
      <w:pPr>
        <w:spacing w:line="360" w:lineRule="auto"/>
        <w:ind w:left="420"/>
        <w:rPr>
          <w:rFonts w:ascii="宋体"/>
          <w:b/>
          <w:color w:val="auto"/>
          <w:sz w:val="28"/>
        </w:rPr>
      </w:pPr>
    </w:p>
    <w:p w14:paraId="66A39255">
      <w:pPr>
        <w:spacing w:line="360" w:lineRule="auto"/>
        <w:ind w:left="420"/>
        <w:rPr>
          <w:rFonts w:ascii="宋体"/>
          <w:b/>
          <w:color w:val="auto"/>
          <w:sz w:val="28"/>
        </w:rPr>
      </w:pPr>
    </w:p>
    <w:p w14:paraId="782EB46D">
      <w:pPr>
        <w:spacing w:line="360" w:lineRule="auto"/>
        <w:ind w:left="420"/>
        <w:rPr>
          <w:rFonts w:ascii="宋体"/>
          <w:b/>
          <w:color w:val="auto"/>
          <w:sz w:val="28"/>
        </w:rPr>
      </w:pPr>
    </w:p>
    <w:p w14:paraId="61BE4BDF">
      <w:pPr>
        <w:spacing w:line="360" w:lineRule="auto"/>
        <w:ind w:left="420"/>
        <w:rPr>
          <w:rFonts w:ascii="宋体"/>
          <w:b/>
          <w:color w:val="auto"/>
          <w:sz w:val="28"/>
        </w:rPr>
      </w:pPr>
    </w:p>
    <w:p w14:paraId="4D771730">
      <w:pPr>
        <w:spacing w:line="360" w:lineRule="auto"/>
        <w:rPr>
          <w:rFonts w:ascii="宋体"/>
          <w:b/>
          <w:color w:val="auto"/>
          <w:sz w:val="28"/>
        </w:rPr>
      </w:pPr>
    </w:p>
    <w:p w14:paraId="2029F960">
      <w:pPr>
        <w:spacing w:line="360" w:lineRule="auto"/>
        <w:rPr>
          <w:rFonts w:ascii="宋体"/>
          <w:b/>
          <w:color w:val="auto"/>
          <w:sz w:val="28"/>
        </w:rPr>
      </w:pPr>
    </w:p>
    <w:p w14:paraId="7A785EB2">
      <w:pPr>
        <w:spacing w:line="360" w:lineRule="auto"/>
        <w:rPr>
          <w:rFonts w:ascii="宋体"/>
          <w:b/>
          <w:color w:val="auto"/>
          <w:sz w:val="28"/>
        </w:rPr>
      </w:pPr>
    </w:p>
    <w:p w14:paraId="1AE04DA3">
      <w:pPr>
        <w:spacing w:line="360" w:lineRule="auto"/>
        <w:rPr>
          <w:rFonts w:ascii="宋体"/>
          <w:b/>
          <w:color w:val="auto"/>
          <w:sz w:val="28"/>
        </w:rPr>
      </w:pPr>
    </w:p>
    <w:p w14:paraId="4438DEAD">
      <w:pPr>
        <w:spacing w:line="360" w:lineRule="auto"/>
        <w:rPr>
          <w:rFonts w:hint="eastAsia" w:ascii="宋体"/>
          <w:b/>
          <w:color w:val="auto"/>
          <w:sz w:val="28"/>
        </w:rPr>
      </w:pPr>
    </w:p>
    <w:p w14:paraId="2CAF104B">
      <w:pPr>
        <w:rPr>
          <w:rFonts w:hint="eastAsia"/>
          <w:color w:val="auto"/>
        </w:rPr>
      </w:pPr>
    </w:p>
    <w:p w14:paraId="7686D1F4">
      <w:pPr>
        <w:spacing w:line="360" w:lineRule="auto"/>
        <w:rPr>
          <w:rFonts w:ascii="宋体"/>
          <w:b/>
          <w:color w:val="auto"/>
          <w:szCs w:val="21"/>
        </w:rPr>
      </w:pPr>
      <w:r>
        <w:rPr>
          <w:rFonts w:hint="eastAsia" w:ascii="宋体" w:hAnsi="宋体"/>
          <w:b/>
          <w:color w:val="auto"/>
          <w:szCs w:val="21"/>
        </w:rPr>
        <w:t>附件2</w:t>
      </w:r>
    </w:p>
    <w:p w14:paraId="6E502AA9">
      <w:pPr>
        <w:adjustRightInd w:val="0"/>
        <w:snapToGrid w:val="0"/>
        <w:spacing w:line="360" w:lineRule="auto"/>
        <w:ind w:right="480"/>
        <w:jc w:val="center"/>
        <w:rPr>
          <w:rFonts w:ascii="宋体"/>
          <w:b/>
          <w:color w:val="auto"/>
          <w:kern w:val="0"/>
          <w:sz w:val="30"/>
          <w:szCs w:val="30"/>
          <w:lang w:val="zh-CN"/>
        </w:rPr>
      </w:pPr>
      <w:r>
        <w:rPr>
          <w:rFonts w:hint="eastAsia" w:ascii="宋体" w:hAnsi="宋体"/>
          <w:b/>
          <w:color w:val="auto"/>
          <w:kern w:val="0"/>
          <w:sz w:val="30"/>
          <w:szCs w:val="30"/>
          <w:lang w:val="zh-CN"/>
        </w:rPr>
        <w:t>投标声明书</w:t>
      </w:r>
    </w:p>
    <w:p w14:paraId="5F70D7F6">
      <w:pPr>
        <w:snapToGrid w:val="0"/>
        <w:spacing w:before="156" w:beforeLines="50" w:after="50" w:line="360" w:lineRule="auto"/>
        <w:ind w:firstLine="420" w:firstLineChars="200"/>
        <w:rPr>
          <w:rFonts w:ascii="宋体" w:cs="宋体"/>
          <w:color w:val="auto"/>
          <w:kern w:val="0"/>
          <w:szCs w:val="21"/>
        </w:rPr>
      </w:pPr>
      <w:r>
        <w:rPr>
          <w:rFonts w:hint="eastAsia" w:ascii="宋体" w:hAnsi="宋体"/>
          <w:color w:val="auto"/>
          <w:szCs w:val="21"/>
          <w:u w:val="single"/>
        </w:rPr>
        <w:t>××</w:t>
      </w:r>
      <w:r>
        <w:rPr>
          <w:rFonts w:hint="eastAsia" w:ascii="宋体" w:hAnsi="宋体" w:cs="宋体"/>
          <w:color w:val="auto"/>
          <w:kern w:val="0"/>
          <w:szCs w:val="21"/>
        </w:rPr>
        <w:t>（采购代理机构名称）：</w:t>
      </w:r>
    </w:p>
    <w:p w14:paraId="574CB7E6">
      <w:pPr>
        <w:snapToGrid w:val="0"/>
        <w:spacing w:before="156" w:beforeLines="50" w:after="50" w:line="360" w:lineRule="auto"/>
        <w:ind w:firstLine="420" w:firstLineChars="200"/>
        <w:rPr>
          <w:rFonts w:ascii="宋体" w:cs="宋体"/>
          <w:color w:val="auto"/>
          <w:kern w:val="0"/>
          <w:szCs w:val="21"/>
        </w:rPr>
      </w:pPr>
      <w:r>
        <w:rPr>
          <w:rFonts w:hint="eastAsia" w:ascii="宋体" w:hAnsi="宋体" w:cs="宋体"/>
          <w:color w:val="auto"/>
          <w:kern w:val="0"/>
          <w:szCs w:val="21"/>
        </w:rPr>
        <w:t>（投标人名称）系中华人民共和国合法企业，经营地址</w:t>
      </w:r>
      <w:r>
        <w:rPr>
          <w:rFonts w:hint="eastAsia" w:ascii="宋体" w:hAnsi="宋体" w:cs="宋体"/>
          <w:color w:val="auto"/>
          <w:kern w:val="0"/>
          <w:szCs w:val="21"/>
          <w:u w:val="single"/>
          <w:lang w:val="en-US" w:eastAsia="zh-CN"/>
        </w:rPr>
        <w:t xml:space="preserve">                   </w:t>
      </w:r>
      <w:r>
        <w:rPr>
          <w:rFonts w:hint="eastAsia" w:ascii="宋体" w:hAnsi="宋体" w:cs="宋体"/>
          <w:color w:val="auto"/>
          <w:kern w:val="0"/>
          <w:szCs w:val="21"/>
        </w:rPr>
        <w:t>。</w:t>
      </w:r>
    </w:p>
    <w:p w14:paraId="4FB5C4B6">
      <w:pPr>
        <w:snapToGrid w:val="0"/>
        <w:spacing w:before="156" w:beforeLines="50" w:after="50" w:line="360" w:lineRule="auto"/>
        <w:ind w:firstLine="420" w:firstLineChars="200"/>
        <w:rPr>
          <w:rFonts w:ascii="宋体" w:cs="宋体"/>
          <w:color w:val="auto"/>
          <w:kern w:val="0"/>
          <w:szCs w:val="21"/>
        </w:rPr>
      </w:pPr>
      <w:r>
        <w:rPr>
          <w:rFonts w:hint="eastAsia" w:ascii="宋体" w:hAnsi="宋体" w:cs="宋体"/>
          <w:color w:val="auto"/>
          <w:kern w:val="0"/>
          <w:szCs w:val="21"/>
        </w:rPr>
        <w:t>我（</w:t>
      </w:r>
      <w:r>
        <w:rPr>
          <w:rFonts w:ascii="宋体" w:hAnsi="宋体" w:cs="宋体"/>
          <w:color w:val="auto"/>
          <w:kern w:val="0"/>
          <w:szCs w:val="21"/>
          <w:u w:val="single"/>
        </w:rPr>
        <w:t xml:space="preserve"> </w:t>
      </w:r>
      <w:r>
        <w:rPr>
          <w:rFonts w:hint="eastAsia" w:ascii="宋体" w:hAnsi="宋体" w:cs="宋体"/>
          <w:color w:val="auto"/>
          <w:kern w:val="0"/>
          <w:szCs w:val="21"/>
          <w:u w:val="single"/>
        </w:rPr>
        <w:t>姓名</w:t>
      </w:r>
      <w:r>
        <w:rPr>
          <w:rFonts w:ascii="宋体" w:hAnsi="宋体" w:cs="宋体"/>
          <w:color w:val="auto"/>
          <w:kern w:val="0"/>
          <w:szCs w:val="21"/>
          <w:u w:val="single"/>
        </w:rPr>
        <w:t xml:space="preserve"> </w:t>
      </w:r>
      <w:r>
        <w:rPr>
          <w:rFonts w:hint="eastAsia" w:ascii="宋体" w:hAnsi="宋体" w:cs="宋体"/>
          <w:color w:val="auto"/>
          <w:kern w:val="0"/>
          <w:szCs w:val="21"/>
        </w:rPr>
        <w:t>）系（</w:t>
      </w:r>
      <w:r>
        <w:rPr>
          <w:rFonts w:ascii="宋体" w:hAnsi="宋体" w:cs="宋体"/>
          <w:color w:val="auto"/>
          <w:kern w:val="0"/>
          <w:szCs w:val="21"/>
          <w:u w:val="single"/>
        </w:rPr>
        <w:t xml:space="preserve"> </w:t>
      </w:r>
      <w:r>
        <w:rPr>
          <w:rFonts w:hint="eastAsia" w:ascii="宋体" w:hAnsi="宋体" w:cs="宋体"/>
          <w:color w:val="auto"/>
          <w:kern w:val="0"/>
          <w:szCs w:val="21"/>
          <w:u w:val="single"/>
        </w:rPr>
        <w:t>投标人名称</w:t>
      </w:r>
      <w:r>
        <w:rPr>
          <w:rFonts w:ascii="宋体" w:hAnsi="宋体" w:cs="宋体"/>
          <w:color w:val="auto"/>
          <w:kern w:val="0"/>
          <w:szCs w:val="21"/>
          <w:u w:val="single"/>
        </w:rPr>
        <w:t xml:space="preserve"> </w:t>
      </w:r>
      <w:r>
        <w:rPr>
          <w:rFonts w:hint="eastAsia" w:ascii="宋体" w:hAnsi="宋体" w:cs="宋体"/>
          <w:color w:val="auto"/>
          <w:kern w:val="0"/>
          <w:szCs w:val="21"/>
        </w:rPr>
        <w:t>）的法定代表人，我公司自愿参加贵方组织的（</w:t>
      </w:r>
      <w:r>
        <w:rPr>
          <w:rFonts w:hint="eastAsia" w:ascii="宋体" w:hAnsi="宋体" w:cs="宋体"/>
          <w:color w:val="auto"/>
          <w:kern w:val="0"/>
          <w:szCs w:val="21"/>
          <w:u w:val="single"/>
        </w:rPr>
        <w:t>招标项目名称</w:t>
      </w:r>
      <w:r>
        <w:rPr>
          <w:rFonts w:hint="eastAsia" w:ascii="宋体" w:hAnsi="宋体" w:cs="宋体"/>
          <w:color w:val="auto"/>
          <w:kern w:val="0"/>
          <w:szCs w:val="21"/>
        </w:rPr>
        <w:t>）（编号为）的投标，为此，我公司就本次投标有关事项郑重声明如下：</w:t>
      </w:r>
    </w:p>
    <w:p w14:paraId="47B2232D">
      <w:pPr>
        <w:snapToGrid w:val="0"/>
        <w:spacing w:before="156" w:beforeLines="50" w:after="50" w:line="360" w:lineRule="auto"/>
        <w:ind w:firstLine="420" w:firstLineChars="200"/>
        <w:rPr>
          <w:rFonts w:ascii="宋体" w:cs="宋体"/>
          <w:b/>
          <w:color w:val="auto"/>
          <w:kern w:val="0"/>
          <w:szCs w:val="21"/>
        </w:rPr>
      </w:pPr>
      <w:r>
        <w:rPr>
          <w:rFonts w:ascii="宋体" w:hAnsi="宋体" w:cs="宋体"/>
          <w:color w:val="auto"/>
          <w:kern w:val="0"/>
          <w:szCs w:val="21"/>
        </w:rPr>
        <w:t>1</w:t>
      </w:r>
      <w:r>
        <w:rPr>
          <w:rFonts w:hint="eastAsia" w:ascii="宋体" w:hAnsi="宋体" w:cs="宋体"/>
          <w:color w:val="auto"/>
          <w:kern w:val="0"/>
          <w:szCs w:val="21"/>
        </w:rPr>
        <w:t>、</w:t>
      </w:r>
      <w:r>
        <w:rPr>
          <w:rFonts w:hint="eastAsia" w:ascii="Arial" w:hAnsi="Arial" w:cs="Arial"/>
          <w:color w:val="auto"/>
          <w:szCs w:val="21"/>
        </w:rPr>
        <w:t>如实上报三年内不良行为记录；无重大违法记录（重大违法记录是指供应商因违法经营受到刑事处罚或者责令停产停业、吊销许可证或者执照、较大数额罚款等行政处罚）。</w:t>
      </w:r>
    </w:p>
    <w:p w14:paraId="7C88B208">
      <w:pPr>
        <w:snapToGrid w:val="0"/>
        <w:spacing w:before="156" w:beforeLines="50" w:after="50" w:line="360" w:lineRule="auto"/>
        <w:ind w:firstLine="420" w:firstLineChars="200"/>
        <w:rPr>
          <w:rFonts w:asci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我公司在参与投标前已详细审查了招标文件和所有相关资料，我方完全明白并认为此招标文件没有倾向性，也没有存在排斥潜在投标人的内容，我方同意招标文件的相关条款，放弃对招标文件提出误解和质疑的一切权利。</w:t>
      </w:r>
    </w:p>
    <w:p w14:paraId="0691095A">
      <w:pPr>
        <w:snapToGrid w:val="0"/>
        <w:spacing w:before="156" w:beforeLines="50" w:after="50" w:line="360" w:lineRule="auto"/>
        <w:ind w:firstLine="420" w:firstLineChars="200"/>
        <w:rPr>
          <w:rFonts w:ascii="宋体"/>
          <w:color w:val="auto"/>
          <w:szCs w:val="21"/>
        </w:rPr>
      </w:pPr>
      <w:r>
        <w:rPr>
          <w:rFonts w:ascii="宋体" w:hAnsi="宋体"/>
          <w:color w:val="auto"/>
          <w:szCs w:val="21"/>
        </w:rPr>
        <w:t>3</w:t>
      </w:r>
      <w:r>
        <w:rPr>
          <w:rFonts w:hint="eastAsia" w:ascii="宋体" w:hAnsi="宋体"/>
          <w:color w:val="auto"/>
          <w:szCs w:val="21"/>
        </w:rPr>
        <w:t>、我</w:t>
      </w:r>
      <w:r>
        <w:rPr>
          <w:rFonts w:hint="eastAsia" w:ascii="宋体" w:hAnsi="宋体" w:cs="仿宋_GB2312"/>
          <w:color w:val="auto"/>
          <w:kern w:val="0"/>
          <w:szCs w:val="21"/>
          <w:lang w:val="zh-CN"/>
        </w:rPr>
        <w:t>公司</w:t>
      </w:r>
      <w:r>
        <w:rPr>
          <w:rFonts w:hint="eastAsia" w:ascii="宋体" w:hAnsi="宋体"/>
          <w:color w:val="auto"/>
          <w:szCs w:val="21"/>
        </w:rPr>
        <w:t>不是采购人的附属机构；在获知本项目采购信息后，与采购人聘请的为此项目提供咨询服务的公司及其附属机构没有任何联系。</w:t>
      </w:r>
    </w:p>
    <w:p w14:paraId="684094A3">
      <w:pPr>
        <w:snapToGrid w:val="0"/>
        <w:spacing w:before="156" w:beforeLines="50" w:after="50" w:line="360" w:lineRule="auto"/>
        <w:ind w:firstLine="420" w:firstLineChars="200"/>
        <w:rPr>
          <w:rFonts w:ascii="宋体"/>
          <w:color w:val="auto"/>
          <w:kern w:val="0"/>
          <w:szCs w:val="21"/>
          <w:lang w:val="af-ZA"/>
        </w:rPr>
      </w:pPr>
      <w:r>
        <w:rPr>
          <w:rFonts w:ascii="宋体" w:hAnsi="宋体"/>
          <w:color w:val="auto"/>
          <w:szCs w:val="21"/>
        </w:rPr>
        <w:t>4</w:t>
      </w:r>
      <w:r>
        <w:rPr>
          <w:rFonts w:hint="eastAsia" w:ascii="宋体" w:hAnsi="宋体"/>
          <w:color w:val="auto"/>
          <w:szCs w:val="21"/>
        </w:rPr>
        <w:t>、</w:t>
      </w:r>
      <w:r>
        <w:rPr>
          <w:rFonts w:hint="eastAsia" w:ascii="宋体" w:hAnsi="宋体" w:cs="宋体"/>
          <w:color w:val="auto"/>
          <w:kern w:val="0"/>
          <w:szCs w:val="21"/>
        </w:rPr>
        <w:t>我</w:t>
      </w:r>
      <w:r>
        <w:rPr>
          <w:rFonts w:hint="eastAsia" w:ascii="宋体" w:hAnsi="宋体" w:cs="仿宋_GB2312"/>
          <w:color w:val="auto"/>
          <w:kern w:val="0"/>
          <w:szCs w:val="21"/>
          <w:lang w:val="zh-CN"/>
        </w:rPr>
        <w:t>公司</w:t>
      </w:r>
      <w:r>
        <w:rPr>
          <w:rFonts w:hint="eastAsia" w:ascii="宋体" w:hAnsi="宋体" w:cs="宋体"/>
          <w:color w:val="auto"/>
          <w:kern w:val="0"/>
          <w:szCs w:val="21"/>
        </w:rPr>
        <w:t>保证，</w:t>
      </w:r>
      <w:r>
        <w:rPr>
          <w:rFonts w:hint="eastAsia" w:ascii="宋体" w:hAnsi="宋体"/>
          <w:color w:val="auto"/>
          <w:kern w:val="0"/>
          <w:szCs w:val="21"/>
          <w:lang w:val="af-ZA"/>
        </w:rPr>
        <w:t>采购人在中华人民共和国境内使用</w:t>
      </w:r>
      <w:r>
        <w:rPr>
          <w:rFonts w:hint="eastAsia" w:ascii="宋体" w:hAnsi="宋体" w:cs="宋体"/>
          <w:color w:val="auto"/>
          <w:kern w:val="0"/>
          <w:szCs w:val="21"/>
        </w:rPr>
        <w:t>我</w:t>
      </w:r>
      <w:r>
        <w:rPr>
          <w:rFonts w:hint="eastAsia" w:ascii="宋体" w:hAnsi="宋体" w:cs="仿宋_GB2312"/>
          <w:color w:val="auto"/>
          <w:kern w:val="0"/>
          <w:szCs w:val="21"/>
          <w:lang w:val="zh-CN"/>
        </w:rPr>
        <w:t>公司</w:t>
      </w:r>
      <w:r>
        <w:rPr>
          <w:rFonts w:hint="eastAsia" w:ascii="宋体" w:hAnsi="宋体"/>
          <w:color w:val="auto"/>
          <w:kern w:val="0"/>
          <w:szCs w:val="21"/>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Cs w:val="21"/>
          <w:lang w:val="af-ZA"/>
        </w:rPr>
        <w:t>我方</w:t>
      </w:r>
      <w:r>
        <w:rPr>
          <w:rFonts w:hint="eastAsia" w:ascii="宋体" w:hAnsi="宋体"/>
          <w:color w:val="auto"/>
          <w:kern w:val="0"/>
          <w:szCs w:val="21"/>
          <w:lang w:val="af-ZA"/>
        </w:rPr>
        <w:t>承担。</w:t>
      </w:r>
      <w:r>
        <w:rPr>
          <w:rFonts w:hint="eastAsia" w:ascii="宋体" w:hAnsi="宋体" w:cs="宋体"/>
          <w:color w:val="auto"/>
          <w:kern w:val="0"/>
          <w:szCs w:val="21"/>
          <w:lang w:val="af-ZA"/>
        </w:rPr>
        <w:t>我方的</w:t>
      </w:r>
      <w:r>
        <w:rPr>
          <w:rFonts w:hint="eastAsia" w:ascii="宋体" w:hAnsi="宋体"/>
          <w:color w:val="auto"/>
          <w:kern w:val="0"/>
          <w:szCs w:val="21"/>
          <w:lang w:val="af-ZA"/>
        </w:rPr>
        <w:t>投标报价</w:t>
      </w:r>
      <w:r>
        <w:rPr>
          <w:rFonts w:hint="eastAsia" w:ascii="宋体" w:hAnsi="宋体" w:cs="宋体"/>
          <w:color w:val="auto"/>
          <w:kern w:val="0"/>
          <w:szCs w:val="21"/>
          <w:lang w:val="af-ZA"/>
        </w:rPr>
        <w:t>已</w:t>
      </w:r>
      <w:r>
        <w:rPr>
          <w:rFonts w:hint="eastAsia" w:ascii="宋体" w:hAnsi="宋体"/>
          <w:color w:val="auto"/>
          <w:kern w:val="0"/>
          <w:szCs w:val="21"/>
          <w:lang w:val="af-ZA"/>
        </w:rPr>
        <w:t>包含所有应向所有权人支付的专利权、商标权或其它知识产权的一切相关费用。</w:t>
      </w:r>
    </w:p>
    <w:p w14:paraId="3B3B5764">
      <w:pPr>
        <w:snapToGrid w:val="0"/>
        <w:spacing w:before="156" w:beforeLines="50" w:after="50" w:line="360" w:lineRule="auto"/>
        <w:ind w:firstLine="420" w:firstLineChars="200"/>
        <w:rPr>
          <w:rFonts w:ascii="仿宋_GB2312" w:hAnsi="仿宋_GB2312" w:eastAsia="仿宋_GB2312" w:cs="仿宋_GB2312"/>
          <w:color w:val="auto"/>
          <w:szCs w:val="21"/>
        </w:rPr>
      </w:pPr>
      <w:r>
        <w:rPr>
          <w:rFonts w:ascii="宋体" w:hAnsi="宋体" w:cs="宋体"/>
          <w:color w:val="auto"/>
          <w:kern w:val="0"/>
          <w:szCs w:val="21"/>
          <w:lang w:val="af-ZA"/>
        </w:rPr>
        <w:t>5</w:t>
      </w:r>
      <w:r>
        <w:rPr>
          <w:rFonts w:hint="eastAsia" w:ascii="宋体" w:hAnsi="宋体" w:cs="宋体"/>
          <w:color w:val="auto"/>
          <w:kern w:val="0"/>
          <w:szCs w:val="21"/>
          <w:lang w:val="af-ZA"/>
        </w:rPr>
        <w:t>、我</w:t>
      </w:r>
      <w:r>
        <w:rPr>
          <w:rFonts w:hint="eastAsia" w:ascii="宋体" w:hAnsi="宋体" w:cs="宋体"/>
          <w:color w:val="auto"/>
          <w:kern w:val="0"/>
          <w:szCs w:val="21"/>
          <w:lang w:val="zh-CN"/>
        </w:rPr>
        <w:t>公司</w:t>
      </w:r>
      <w:r>
        <w:rPr>
          <w:rFonts w:hint="eastAsia" w:ascii="宋体" w:hAnsi="宋体" w:cs="宋体"/>
          <w:color w:val="auto"/>
          <w:kern w:val="0"/>
          <w:szCs w:val="21"/>
          <w:lang w:val="af-ZA"/>
        </w:rPr>
        <w:t>严格履行政府采购合同，不降低合同约定的产品质量和服务，不擅自变更、中止、终止合同，或拒绝履行合同义务；</w:t>
      </w:r>
    </w:p>
    <w:p w14:paraId="40559173">
      <w:pPr>
        <w:snapToGrid w:val="0"/>
        <w:spacing w:before="156" w:beforeLines="50" w:after="50" w:line="360" w:lineRule="auto"/>
        <w:ind w:firstLine="420" w:firstLineChars="200"/>
        <w:rPr>
          <w:rFonts w:ascii="宋体"/>
          <w:color w:val="auto"/>
          <w:szCs w:val="21"/>
        </w:rPr>
      </w:pPr>
      <w:r>
        <w:rPr>
          <w:rFonts w:ascii="宋体" w:hAnsi="宋体"/>
          <w:color w:val="auto"/>
          <w:szCs w:val="21"/>
        </w:rPr>
        <w:t>6</w:t>
      </w:r>
      <w:r>
        <w:rPr>
          <w:rFonts w:hint="eastAsia" w:ascii="宋体" w:hAnsi="宋体"/>
          <w:color w:val="auto"/>
          <w:szCs w:val="21"/>
        </w:rPr>
        <w:t>、以上事项如有虚假或隐瞒，我</w:t>
      </w:r>
      <w:r>
        <w:rPr>
          <w:rFonts w:hint="eastAsia" w:ascii="宋体" w:hAnsi="宋体" w:cs="仿宋_GB2312"/>
          <w:color w:val="auto"/>
          <w:kern w:val="0"/>
          <w:szCs w:val="21"/>
          <w:lang w:val="zh-CN"/>
        </w:rPr>
        <w:t>公司</w:t>
      </w:r>
      <w:r>
        <w:rPr>
          <w:rFonts w:hint="eastAsia" w:ascii="宋体" w:hAnsi="宋体"/>
          <w:color w:val="auto"/>
          <w:szCs w:val="21"/>
        </w:rPr>
        <w:t>愿意承担一切后果，并不再寻求任何旨在减轻或免除法律责任的辩解。</w:t>
      </w:r>
    </w:p>
    <w:p w14:paraId="56C12FD2">
      <w:pPr>
        <w:adjustRightInd w:val="0"/>
        <w:snapToGrid w:val="0"/>
        <w:spacing w:line="360" w:lineRule="auto"/>
        <w:ind w:firstLine="480"/>
        <w:rPr>
          <w:rFonts w:ascii="宋体" w:cs="仿宋_GB2312"/>
          <w:color w:val="auto"/>
          <w:kern w:val="0"/>
          <w:szCs w:val="21"/>
        </w:rPr>
      </w:pPr>
    </w:p>
    <w:p w14:paraId="3905D62C">
      <w:pPr>
        <w:adjustRightInd w:val="0"/>
        <w:snapToGrid w:val="0"/>
        <w:spacing w:line="360" w:lineRule="auto"/>
        <w:ind w:firstLine="4095" w:firstLineChars="1950"/>
        <w:rPr>
          <w:rFonts w:ascii="宋体" w:cs="仿宋_GB2312"/>
          <w:color w:val="auto"/>
          <w:kern w:val="0"/>
          <w:szCs w:val="21"/>
          <w:lang w:val="zh-CN"/>
        </w:rPr>
      </w:pPr>
      <w:r>
        <w:rPr>
          <w:rFonts w:ascii="宋体" w:hAnsi="宋体" w:cs="仿宋_GB2312"/>
          <w:color w:val="auto"/>
          <w:kern w:val="0"/>
          <w:szCs w:val="21"/>
          <w:lang w:val="zh-CN"/>
        </w:rPr>
        <w:t xml:space="preserve">    </w:t>
      </w:r>
      <w:r>
        <w:rPr>
          <w:rFonts w:hint="eastAsia" w:ascii="宋体" w:hAnsi="宋体" w:cs="仿宋_GB2312"/>
          <w:color w:val="auto"/>
          <w:kern w:val="0"/>
          <w:szCs w:val="21"/>
          <w:lang w:val="zh-CN"/>
        </w:rPr>
        <w:t>投标人名称</w:t>
      </w:r>
      <w:r>
        <w:rPr>
          <w:rFonts w:ascii="宋体" w:hAnsi="宋体" w:cs="仿宋_GB2312"/>
          <w:color w:val="auto"/>
          <w:kern w:val="0"/>
          <w:szCs w:val="21"/>
          <w:lang w:val="zh-CN"/>
        </w:rPr>
        <w:t>(</w:t>
      </w:r>
      <w:r>
        <w:rPr>
          <w:rFonts w:hint="eastAsia" w:ascii="宋体" w:hAnsi="宋体" w:cs="仿宋_GB2312"/>
          <w:color w:val="auto"/>
          <w:kern w:val="0"/>
          <w:szCs w:val="21"/>
          <w:lang w:val="zh-CN"/>
        </w:rPr>
        <w:t>公章</w:t>
      </w:r>
      <w:r>
        <w:rPr>
          <w:rFonts w:ascii="宋体" w:hAnsi="宋体" w:cs="仿宋_GB2312"/>
          <w:color w:val="auto"/>
          <w:kern w:val="0"/>
          <w:szCs w:val="21"/>
          <w:lang w:val="zh-CN"/>
        </w:rPr>
        <w:t>)</w:t>
      </w:r>
      <w:r>
        <w:rPr>
          <w:rFonts w:hint="eastAsia" w:ascii="宋体" w:hAnsi="宋体" w:cs="仿宋_GB2312"/>
          <w:color w:val="auto"/>
          <w:kern w:val="0"/>
          <w:szCs w:val="21"/>
          <w:lang w:val="zh-CN"/>
        </w:rPr>
        <w:t>：</w:t>
      </w:r>
    </w:p>
    <w:p w14:paraId="2B00C250">
      <w:pPr>
        <w:adjustRightInd w:val="0"/>
        <w:snapToGrid w:val="0"/>
        <w:spacing w:line="360" w:lineRule="auto"/>
        <w:rPr>
          <w:rFonts w:ascii="宋体" w:cs="仿宋_GB2312"/>
          <w:color w:val="auto"/>
          <w:kern w:val="0"/>
          <w:szCs w:val="21"/>
          <w:lang w:val="zh-CN"/>
        </w:rPr>
      </w:pPr>
      <w:r>
        <w:rPr>
          <w:rFonts w:ascii="宋体" w:hAnsi="宋体" w:cs="仿宋_GB2312"/>
          <w:color w:val="auto"/>
          <w:kern w:val="0"/>
          <w:szCs w:val="21"/>
          <w:lang w:val="zh-CN"/>
        </w:rPr>
        <w:t xml:space="preserve">                                          </w:t>
      </w:r>
      <w:r>
        <w:rPr>
          <w:rFonts w:hint="eastAsia" w:ascii="宋体" w:hAnsi="宋体" w:cs="仿宋_GB2312"/>
          <w:color w:val="auto"/>
          <w:kern w:val="0"/>
          <w:szCs w:val="21"/>
        </w:rPr>
        <w:t xml:space="preserve"> </w:t>
      </w:r>
      <w:r>
        <w:rPr>
          <w:rFonts w:hint="eastAsia" w:ascii="宋体" w:hAnsi="宋体" w:cs="仿宋_GB2312"/>
          <w:color w:val="auto"/>
          <w:kern w:val="0"/>
          <w:szCs w:val="21"/>
          <w:lang w:val="zh-CN"/>
        </w:rPr>
        <w:t>法定代表人或授权委托人</w:t>
      </w:r>
      <w:r>
        <w:rPr>
          <w:rFonts w:ascii="宋体" w:hAnsi="宋体" w:cs="仿宋_GB2312"/>
          <w:color w:val="auto"/>
          <w:kern w:val="0"/>
          <w:szCs w:val="21"/>
          <w:lang w:val="zh-CN"/>
        </w:rPr>
        <w:t>(</w:t>
      </w:r>
      <w:r>
        <w:rPr>
          <w:rFonts w:hint="eastAsia" w:ascii="宋体" w:hAnsi="宋体" w:cs="仿宋_GB2312"/>
          <w:color w:val="auto"/>
          <w:kern w:val="0"/>
          <w:szCs w:val="21"/>
          <w:lang w:val="zh-CN"/>
        </w:rPr>
        <w:t>签字</w:t>
      </w:r>
      <w:r>
        <w:rPr>
          <w:rFonts w:ascii="宋体" w:hAnsi="宋体" w:cs="仿宋_GB2312"/>
          <w:color w:val="auto"/>
          <w:kern w:val="0"/>
          <w:szCs w:val="21"/>
          <w:lang w:val="zh-CN"/>
        </w:rPr>
        <w:t>)</w:t>
      </w:r>
      <w:r>
        <w:rPr>
          <w:rFonts w:hint="eastAsia" w:ascii="宋体" w:hAnsi="宋体" w:cs="仿宋_GB2312"/>
          <w:color w:val="auto"/>
          <w:kern w:val="0"/>
          <w:szCs w:val="21"/>
          <w:lang w:val="zh-CN"/>
        </w:rPr>
        <w:t>：</w:t>
      </w:r>
    </w:p>
    <w:p w14:paraId="2BB0D9F9">
      <w:pPr>
        <w:adjustRightInd w:val="0"/>
        <w:snapToGrid w:val="0"/>
        <w:spacing w:line="360" w:lineRule="auto"/>
        <w:ind w:right="480"/>
        <w:jc w:val="center"/>
        <w:rPr>
          <w:rFonts w:ascii="宋体" w:cs="仿宋_GB2312"/>
          <w:color w:val="auto"/>
          <w:kern w:val="0"/>
          <w:szCs w:val="21"/>
          <w:lang w:val="zh-CN"/>
        </w:rPr>
      </w:pPr>
      <w:r>
        <w:rPr>
          <w:rFonts w:ascii="宋体" w:hAnsi="宋体" w:cs="仿宋_GB2312"/>
          <w:color w:val="auto"/>
          <w:kern w:val="0"/>
          <w:szCs w:val="21"/>
          <w:lang w:val="zh-CN"/>
        </w:rPr>
        <w:t xml:space="preserve">                           </w:t>
      </w:r>
      <w:r>
        <w:rPr>
          <w:rFonts w:hint="eastAsia" w:ascii="宋体" w:hAnsi="宋体" w:cs="仿宋_GB2312"/>
          <w:color w:val="auto"/>
          <w:kern w:val="0"/>
          <w:szCs w:val="21"/>
          <w:lang w:val="zh-CN"/>
        </w:rPr>
        <w:t>日期：</w:t>
      </w:r>
      <w:r>
        <w:rPr>
          <w:rFonts w:hint="eastAsia" w:ascii="宋体" w:hAnsi="宋体"/>
          <w:color w:val="auto"/>
          <w:szCs w:val="21"/>
        </w:rPr>
        <w:t>××</w:t>
      </w:r>
      <w:r>
        <w:rPr>
          <w:rFonts w:hint="eastAsia" w:ascii="宋体" w:hAnsi="宋体" w:cs="仿宋_GB2312"/>
          <w:color w:val="auto"/>
          <w:kern w:val="0"/>
          <w:szCs w:val="21"/>
          <w:lang w:val="zh-CN"/>
        </w:rPr>
        <w:t>年</w:t>
      </w:r>
      <w:r>
        <w:rPr>
          <w:rFonts w:ascii="宋体" w:hAnsi="宋体" w:cs="仿宋_GB2312"/>
          <w:color w:val="auto"/>
          <w:kern w:val="0"/>
          <w:szCs w:val="21"/>
          <w:lang w:val="zh-CN"/>
        </w:rPr>
        <w:t xml:space="preserve"> </w:t>
      </w:r>
      <w:r>
        <w:rPr>
          <w:rFonts w:hint="eastAsia" w:ascii="宋体" w:hAnsi="宋体"/>
          <w:color w:val="auto"/>
          <w:szCs w:val="21"/>
        </w:rPr>
        <w:t>××</w:t>
      </w:r>
      <w:r>
        <w:rPr>
          <w:rFonts w:ascii="宋体" w:hAnsi="宋体" w:cs="仿宋_GB2312"/>
          <w:color w:val="auto"/>
          <w:kern w:val="0"/>
          <w:szCs w:val="21"/>
          <w:lang w:val="zh-CN"/>
        </w:rPr>
        <w:t xml:space="preserve"> </w:t>
      </w:r>
      <w:r>
        <w:rPr>
          <w:rFonts w:hint="eastAsia" w:ascii="宋体" w:hAnsi="宋体" w:cs="仿宋_GB2312"/>
          <w:color w:val="auto"/>
          <w:kern w:val="0"/>
          <w:szCs w:val="21"/>
          <w:lang w:val="zh-CN"/>
        </w:rPr>
        <w:t>月</w:t>
      </w:r>
      <w:r>
        <w:rPr>
          <w:rFonts w:ascii="宋体" w:hAnsi="宋体" w:cs="仿宋_GB2312"/>
          <w:color w:val="auto"/>
          <w:kern w:val="0"/>
          <w:szCs w:val="21"/>
          <w:lang w:val="zh-CN"/>
        </w:rPr>
        <w:t xml:space="preserve"> </w:t>
      </w:r>
      <w:r>
        <w:rPr>
          <w:rFonts w:hint="eastAsia" w:ascii="宋体" w:hAnsi="宋体"/>
          <w:color w:val="auto"/>
          <w:szCs w:val="21"/>
        </w:rPr>
        <w:t>××</w:t>
      </w:r>
      <w:r>
        <w:rPr>
          <w:rFonts w:ascii="宋体" w:hAnsi="宋体" w:cs="仿宋_GB2312"/>
          <w:color w:val="auto"/>
          <w:kern w:val="0"/>
          <w:szCs w:val="21"/>
          <w:lang w:val="zh-CN"/>
        </w:rPr>
        <w:t xml:space="preserve"> </w:t>
      </w:r>
      <w:r>
        <w:rPr>
          <w:rFonts w:hint="eastAsia" w:ascii="宋体" w:hAnsi="宋体" w:cs="仿宋_GB2312"/>
          <w:color w:val="auto"/>
          <w:kern w:val="0"/>
          <w:szCs w:val="21"/>
          <w:lang w:val="zh-CN"/>
        </w:rPr>
        <w:t>日</w:t>
      </w:r>
    </w:p>
    <w:p w14:paraId="5C831510">
      <w:pPr>
        <w:adjustRightInd w:val="0"/>
        <w:snapToGrid w:val="0"/>
        <w:spacing w:line="360" w:lineRule="auto"/>
        <w:ind w:right="480"/>
        <w:rPr>
          <w:rFonts w:hint="eastAsia" w:ascii="宋体"/>
          <w:b/>
          <w:color w:val="auto"/>
          <w:sz w:val="28"/>
        </w:rPr>
      </w:pPr>
    </w:p>
    <w:p w14:paraId="61279BB4">
      <w:pPr>
        <w:adjustRightInd w:val="0"/>
        <w:snapToGrid w:val="0"/>
        <w:spacing w:line="360" w:lineRule="auto"/>
        <w:ind w:right="480"/>
        <w:rPr>
          <w:rFonts w:ascii="宋体"/>
          <w:b/>
          <w:color w:val="auto"/>
          <w:sz w:val="28"/>
        </w:rPr>
      </w:pPr>
    </w:p>
    <w:p w14:paraId="028A4F16">
      <w:pPr>
        <w:adjustRightInd w:val="0"/>
        <w:snapToGrid w:val="0"/>
        <w:spacing w:line="360" w:lineRule="auto"/>
        <w:ind w:right="480"/>
        <w:rPr>
          <w:rFonts w:hint="eastAsia" w:ascii="宋体"/>
          <w:b/>
          <w:color w:val="auto"/>
          <w:sz w:val="28"/>
        </w:rPr>
      </w:pPr>
    </w:p>
    <w:p w14:paraId="05D60040">
      <w:pPr>
        <w:adjustRightInd w:val="0"/>
        <w:snapToGrid w:val="0"/>
        <w:spacing w:line="360" w:lineRule="auto"/>
        <w:ind w:right="480"/>
        <w:rPr>
          <w:rFonts w:hint="eastAsia" w:ascii="宋体"/>
          <w:b/>
          <w:color w:val="auto"/>
          <w:sz w:val="28"/>
        </w:rPr>
      </w:pPr>
    </w:p>
    <w:p w14:paraId="485B1192">
      <w:pPr>
        <w:adjustRightInd w:val="0"/>
        <w:snapToGrid w:val="0"/>
        <w:spacing w:line="360" w:lineRule="auto"/>
        <w:ind w:right="480"/>
        <w:rPr>
          <w:rFonts w:ascii="宋体"/>
          <w:b/>
          <w:color w:val="auto"/>
          <w:szCs w:val="21"/>
        </w:rPr>
      </w:pPr>
      <w:r>
        <w:rPr>
          <w:rFonts w:hint="eastAsia" w:ascii="宋体" w:hAnsi="宋体"/>
          <w:b/>
          <w:color w:val="auto"/>
          <w:szCs w:val="21"/>
        </w:rPr>
        <w:t>附件3</w:t>
      </w:r>
    </w:p>
    <w:p w14:paraId="5E29120A">
      <w:pPr>
        <w:spacing w:line="360" w:lineRule="auto"/>
        <w:ind w:firstLine="301" w:firstLineChars="100"/>
        <w:jc w:val="center"/>
        <w:rPr>
          <w:rFonts w:hAnsi="宋体"/>
          <w:b/>
          <w:color w:val="auto"/>
          <w:sz w:val="30"/>
          <w:szCs w:val="30"/>
          <w:u w:val="single"/>
        </w:rPr>
      </w:pPr>
      <w:r>
        <w:rPr>
          <w:rFonts w:hint="eastAsia"/>
          <w:b/>
          <w:color w:val="auto"/>
          <w:sz w:val="30"/>
          <w:szCs w:val="30"/>
        </w:rPr>
        <w:t>授权委托书</w:t>
      </w:r>
    </w:p>
    <w:p w14:paraId="4CB59D0A">
      <w:pPr>
        <w:snapToGrid w:val="0"/>
        <w:spacing w:before="156" w:beforeLines="50" w:after="50" w:line="360" w:lineRule="auto"/>
        <w:ind w:firstLine="420" w:firstLineChars="200"/>
        <w:rPr>
          <w:rFonts w:ascii="宋体" w:cs="宋体"/>
          <w:color w:val="auto"/>
          <w:kern w:val="0"/>
          <w:szCs w:val="21"/>
        </w:rPr>
      </w:pPr>
      <w:r>
        <w:rPr>
          <w:rFonts w:hint="eastAsia" w:ascii="宋体" w:hAnsi="宋体"/>
          <w:color w:val="auto"/>
          <w:szCs w:val="21"/>
          <w:u w:val="single"/>
        </w:rPr>
        <w:t>××</w:t>
      </w:r>
      <w:r>
        <w:rPr>
          <w:rFonts w:hint="eastAsia" w:ascii="宋体" w:hAnsi="宋体" w:cs="宋体"/>
          <w:color w:val="auto"/>
          <w:kern w:val="0"/>
          <w:szCs w:val="21"/>
        </w:rPr>
        <w:t>（采购代理机构名称）：</w:t>
      </w:r>
    </w:p>
    <w:p w14:paraId="553F7C6C">
      <w:pPr>
        <w:pStyle w:val="12"/>
        <w:spacing w:line="500" w:lineRule="exact"/>
        <w:ind w:left="210" w:hanging="210" w:hangingChars="100"/>
        <w:rPr>
          <w:rFonts w:hAnsi="宋体"/>
          <w:color w:val="auto"/>
          <w:szCs w:val="21"/>
        </w:rPr>
      </w:pPr>
      <w:r>
        <w:rPr>
          <w:rFonts w:hAnsi="宋体"/>
          <w:color w:val="auto"/>
          <w:szCs w:val="21"/>
        </w:rPr>
        <w:t xml:space="preserve">    </w:t>
      </w:r>
      <w:r>
        <w:rPr>
          <w:rFonts w:hAnsi="宋体"/>
          <w:color w:val="auto"/>
          <w:szCs w:val="21"/>
          <w:u w:val="single"/>
        </w:rPr>
        <w:t xml:space="preserve">  </w:t>
      </w:r>
      <w:r>
        <w:rPr>
          <w:rFonts w:hint="eastAsia" w:hAnsi="宋体"/>
          <w:color w:val="auto"/>
          <w:szCs w:val="21"/>
          <w:u w:val="single"/>
        </w:rPr>
        <w:t>（投标人全称）</w:t>
      </w:r>
      <w:r>
        <w:rPr>
          <w:rFonts w:hAnsi="宋体"/>
          <w:color w:val="auto"/>
          <w:szCs w:val="21"/>
          <w:u w:val="single"/>
        </w:rPr>
        <w:t xml:space="preserve">  </w:t>
      </w:r>
      <w:r>
        <w:rPr>
          <w:rFonts w:hint="eastAsia" w:hAnsi="宋体"/>
          <w:color w:val="auto"/>
          <w:szCs w:val="21"/>
        </w:rPr>
        <w:t>法定代表人</w:t>
      </w:r>
      <w:r>
        <w:rPr>
          <w:rFonts w:hint="eastAsia" w:ascii="Arial" w:hAnsi="Arial" w:cs="Arial"/>
          <w:color w:val="auto"/>
          <w:szCs w:val="21"/>
        </w:rPr>
        <w:t>（或营业执照中单位负责人）</w:t>
      </w:r>
      <w:r>
        <w:rPr>
          <w:rFonts w:hAnsi="宋体"/>
          <w:color w:val="auto"/>
          <w:szCs w:val="21"/>
          <w:u w:val="single"/>
        </w:rPr>
        <w:tab/>
      </w:r>
      <w:r>
        <w:rPr>
          <w:rFonts w:hint="eastAsia" w:hAnsi="宋体"/>
          <w:color w:val="auto"/>
          <w:szCs w:val="21"/>
          <w:u w:val="single"/>
        </w:rPr>
        <w:t>（法定代表人</w:t>
      </w:r>
      <w:r>
        <w:rPr>
          <w:rFonts w:hint="eastAsia" w:ascii="Arial" w:hAnsi="Arial" w:cs="Arial"/>
          <w:color w:val="auto"/>
          <w:szCs w:val="21"/>
          <w:u w:val="single"/>
        </w:rPr>
        <w:t>或营业执照中单位负责人</w:t>
      </w:r>
      <w:r>
        <w:rPr>
          <w:rFonts w:hint="eastAsia" w:hAnsi="宋体"/>
          <w:color w:val="auto"/>
          <w:szCs w:val="21"/>
          <w:u w:val="single"/>
        </w:rPr>
        <w:t>姓名）</w:t>
      </w:r>
      <w:r>
        <w:rPr>
          <w:rFonts w:hAnsi="宋体"/>
          <w:color w:val="auto"/>
          <w:szCs w:val="21"/>
          <w:u w:val="single"/>
        </w:rPr>
        <w:t xml:space="preserve"> </w:t>
      </w:r>
      <w:r>
        <w:rPr>
          <w:rFonts w:hint="eastAsia" w:hAnsi="宋体"/>
          <w:color w:val="auto"/>
          <w:szCs w:val="21"/>
        </w:rPr>
        <w:t>授权</w:t>
      </w:r>
      <w:r>
        <w:rPr>
          <w:rFonts w:hAnsi="宋体"/>
          <w:color w:val="auto"/>
          <w:szCs w:val="21"/>
          <w:u w:val="single"/>
        </w:rPr>
        <w:t xml:space="preserve">   </w:t>
      </w:r>
      <w:r>
        <w:rPr>
          <w:rFonts w:hint="eastAsia" w:hAnsi="宋体"/>
          <w:color w:val="auto"/>
          <w:szCs w:val="21"/>
          <w:u w:val="single"/>
        </w:rPr>
        <w:t>（全权代表姓名）</w:t>
      </w:r>
      <w:r>
        <w:rPr>
          <w:rFonts w:hAnsi="宋体"/>
          <w:color w:val="auto"/>
          <w:szCs w:val="21"/>
          <w:u w:val="single"/>
        </w:rPr>
        <w:t xml:space="preserve"> </w:t>
      </w:r>
      <w:r>
        <w:rPr>
          <w:rFonts w:hint="eastAsia" w:hAnsi="宋体"/>
          <w:color w:val="auto"/>
          <w:szCs w:val="21"/>
        </w:rPr>
        <w:t>为全权代表，参加贵单位组织的</w:t>
      </w:r>
      <w:r>
        <w:rPr>
          <w:rFonts w:hAnsi="宋体"/>
          <w:color w:val="auto"/>
          <w:szCs w:val="21"/>
          <w:u w:val="single"/>
        </w:rPr>
        <w:tab/>
      </w:r>
      <w:r>
        <w:rPr>
          <w:rFonts w:hAnsi="宋体"/>
          <w:color w:val="auto"/>
          <w:szCs w:val="21"/>
          <w:u w:val="single"/>
        </w:rPr>
        <w:t xml:space="preserve">    </w:t>
      </w:r>
      <w:r>
        <w:rPr>
          <w:rFonts w:hint="eastAsia" w:hAnsi="宋体"/>
          <w:color w:val="auto"/>
          <w:szCs w:val="21"/>
        </w:rPr>
        <w:t>项目的采购活动，并代表我方全权办理针对上述项目的投标、开标、评标、签约等具体事务和签署相关文件。我方对全权代表的签字事项负全部责任。</w:t>
      </w:r>
    </w:p>
    <w:p w14:paraId="69D87795">
      <w:pPr>
        <w:pStyle w:val="12"/>
        <w:spacing w:line="500" w:lineRule="exact"/>
        <w:ind w:left="139" w:leftChars="66" w:firstLine="420" w:firstLineChars="200"/>
        <w:rPr>
          <w:rFonts w:hAnsi="宋体"/>
          <w:color w:val="auto"/>
          <w:szCs w:val="21"/>
        </w:rPr>
      </w:pPr>
      <w:r>
        <w:rPr>
          <w:rFonts w:hint="eastAsia" w:hAnsi="宋体"/>
          <w:color w:val="auto"/>
          <w:szCs w:val="21"/>
        </w:rPr>
        <w:t>在撤销授权的书面通知以前，本授权书一直有效。全权代表在授权委托书有效期内签署的所有文件不因授权的撤销而失效。</w:t>
      </w:r>
    </w:p>
    <w:p w14:paraId="2736FDAB">
      <w:pPr>
        <w:pStyle w:val="12"/>
        <w:spacing w:line="500" w:lineRule="exact"/>
        <w:ind w:left="139" w:leftChars="66" w:firstLine="420" w:firstLineChars="200"/>
        <w:rPr>
          <w:rFonts w:hAnsi="宋体"/>
          <w:color w:val="auto"/>
          <w:szCs w:val="21"/>
        </w:rPr>
      </w:pPr>
      <w:r>
        <w:rPr>
          <w:rFonts w:hint="eastAsia" w:hAnsi="宋体"/>
          <w:color w:val="auto"/>
          <w:szCs w:val="21"/>
        </w:rPr>
        <w:t>全权代表无转委托权，特此委托。</w:t>
      </w:r>
    </w:p>
    <w:p w14:paraId="70261582">
      <w:pPr>
        <w:spacing w:line="360" w:lineRule="auto"/>
        <w:rPr>
          <w:color w:val="auto"/>
          <w:szCs w:val="21"/>
        </w:rPr>
      </w:pPr>
    </w:p>
    <w:p w14:paraId="54075CDA">
      <w:pPr>
        <w:spacing w:line="360" w:lineRule="auto"/>
        <w:rPr>
          <w:color w:val="auto"/>
          <w:szCs w:val="21"/>
        </w:rPr>
      </w:pPr>
      <w:r>
        <w:rPr>
          <w:rFonts w:hint="eastAsia" w:ascii="宋体"/>
          <w:color w:val="auto"/>
          <w:szCs w:val="21"/>
        </w:rPr>
        <w:t>法定代表人签字或盖章：</w:t>
      </w:r>
    </w:p>
    <w:p w14:paraId="7174826C">
      <w:pPr>
        <w:spacing w:line="360" w:lineRule="auto"/>
        <w:rPr>
          <w:color w:val="auto"/>
          <w:szCs w:val="21"/>
        </w:rPr>
      </w:pPr>
      <w:r>
        <w:rPr>
          <w:rFonts w:hint="eastAsia" w:ascii="宋体"/>
          <w:color w:val="auto"/>
          <w:szCs w:val="21"/>
        </w:rPr>
        <w:t>投标人全称（公章）：</w:t>
      </w:r>
      <w:r>
        <w:rPr>
          <w:rFonts w:ascii="宋体"/>
          <w:color w:val="auto"/>
          <w:szCs w:val="21"/>
        </w:rPr>
        <w:t xml:space="preserve">                              </w:t>
      </w:r>
      <w:r>
        <w:rPr>
          <w:rFonts w:hint="eastAsia" w:ascii="宋体"/>
          <w:color w:val="auto"/>
          <w:szCs w:val="21"/>
        </w:rPr>
        <w:t>日期：</w:t>
      </w:r>
    </w:p>
    <w:p w14:paraId="14C01B82">
      <w:pPr>
        <w:spacing w:line="360" w:lineRule="auto"/>
        <w:rPr>
          <w:color w:val="auto"/>
          <w:szCs w:val="21"/>
        </w:rPr>
      </w:pPr>
    </w:p>
    <w:p w14:paraId="252E21EC">
      <w:pPr>
        <w:keepNext w:val="0"/>
        <w:keepLines w:val="0"/>
        <w:pageBreakBefore w:val="0"/>
        <w:widowControl w:val="0"/>
        <w:kinsoku/>
        <w:wordWrap/>
        <w:overflowPunct/>
        <w:topLinePunct w:val="0"/>
        <w:autoSpaceDE/>
        <w:autoSpaceDN/>
        <w:bidi w:val="0"/>
        <w:adjustRightInd/>
        <w:snapToGrid/>
        <w:spacing w:line="440" w:lineRule="exact"/>
        <w:textAlignment w:val="auto"/>
        <w:rPr>
          <w:b/>
          <w:color w:val="auto"/>
          <w:szCs w:val="21"/>
        </w:rPr>
      </w:pPr>
      <w:r>
        <w:rPr>
          <w:rFonts w:hint="eastAsia" w:ascii="宋体"/>
          <w:b/>
          <w:color w:val="auto"/>
          <w:szCs w:val="21"/>
        </w:rPr>
        <w:t>附：</w:t>
      </w:r>
    </w:p>
    <w:tbl>
      <w:tblPr>
        <w:tblStyle w:val="22"/>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1F62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val="0"/>
            <w:vAlign w:val="top"/>
          </w:tcPr>
          <w:p w14:paraId="157DB7AB">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b/>
                <w:color w:val="auto"/>
                <w:szCs w:val="21"/>
              </w:rPr>
            </w:pPr>
          </w:p>
          <w:p w14:paraId="7428A5FB">
            <w:pPr>
              <w:keepNext w:val="0"/>
              <w:keepLines w:val="0"/>
              <w:pageBreakBefore w:val="0"/>
              <w:widowControl w:val="0"/>
              <w:kinsoku/>
              <w:wordWrap/>
              <w:overflowPunct/>
              <w:topLinePunct w:val="0"/>
              <w:autoSpaceDE/>
              <w:autoSpaceDN/>
              <w:bidi w:val="0"/>
              <w:adjustRightInd/>
              <w:snapToGrid/>
              <w:spacing w:line="440" w:lineRule="exact"/>
              <w:ind w:firstLine="316" w:firstLineChars="150"/>
              <w:textAlignment w:val="auto"/>
              <w:rPr>
                <w:rFonts w:ascii="宋体"/>
                <w:b/>
                <w:color w:val="auto"/>
                <w:szCs w:val="21"/>
              </w:rPr>
            </w:pPr>
            <w:r>
              <w:rPr>
                <w:rFonts w:hint="eastAsia" w:ascii="宋体"/>
                <w:b/>
                <w:color w:val="auto"/>
                <w:szCs w:val="21"/>
              </w:rPr>
              <w:t>法定代表身份证复印件粘帖处</w:t>
            </w:r>
          </w:p>
        </w:tc>
      </w:tr>
    </w:tbl>
    <w:p w14:paraId="7F4F857C">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szCs w:val="21"/>
        </w:rPr>
      </w:pPr>
      <w:r>
        <w:rPr>
          <w:rFonts w:hint="eastAsia" w:ascii="宋体"/>
          <w:color w:val="auto"/>
          <w:szCs w:val="21"/>
        </w:rPr>
        <w:t>法定代表人姓名：</w:t>
      </w:r>
      <w:r>
        <w:rPr>
          <w:rFonts w:ascii="宋体"/>
          <w:color w:val="auto"/>
          <w:szCs w:val="21"/>
        </w:rPr>
        <w:t xml:space="preserve">                                 </w:t>
      </w:r>
    </w:p>
    <w:p w14:paraId="1573A47B">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szCs w:val="21"/>
        </w:rPr>
      </w:pPr>
      <w:r>
        <w:rPr>
          <w:rFonts w:hint="eastAsia" w:ascii="宋体"/>
          <w:color w:val="auto"/>
          <w:szCs w:val="21"/>
        </w:rPr>
        <w:t>传真：</w:t>
      </w:r>
    </w:p>
    <w:p w14:paraId="4D19B185">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color w:val="auto"/>
          <w:szCs w:val="21"/>
        </w:rPr>
      </w:pPr>
      <w:r>
        <w:rPr>
          <w:rFonts w:hint="eastAsia" w:ascii="宋体"/>
          <w:color w:val="auto"/>
          <w:szCs w:val="21"/>
        </w:rPr>
        <w:t>电话：</w:t>
      </w:r>
    </w:p>
    <w:p w14:paraId="0AE4A251">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szCs w:val="21"/>
        </w:rPr>
      </w:pPr>
      <w:r>
        <w:rPr>
          <w:rFonts w:hint="eastAsia" w:ascii="宋体"/>
          <w:color w:val="auto"/>
          <w:szCs w:val="21"/>
        </w:rPr>
        <w:t>详细通讯地址：</w:t>
      </w:r>
    </w:p>
    <w:p w14:paraId="73A431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color w:val="auto"/>
          <w:szCs w:val="21"/>
        </w:rPr>
      </w:pPr>
      <w:r>
        <w:rPr>
          <w:rFonts w:hint="eastAsia" w:ascii="宋体"/>
          <w:color w:val="auto"/>
          <w:szCs w:val="21"/>
        </w:rPr>
        <w:t>邮政编码：</w:t>
      </w:r>
    </w:p>
    <w:p w14:paraId="526F456E">
      <w:pPr>
        <w:keepNext w:val="0"/>
        <w:keepLines w:val="0"/>
        <w:pageBreakBefore w:val="0"/>
        <w:widowControl w:val="0"/>
        <w:kinsoku/>
        <w:wordWrap/>
        <w:overflowPunct/>
        <w:topLinePunct w:val="0"/>
        <w:autoSpaceDE/>
        <w:autoSpaceDN/>
        <w:bidi w:val="0"/>
        <w:adjustRightInd/>
        <w:snapToGrid/>
        <w:spacing w:line="440" w:lineRule="exact"/>
        <w:textAlignment w:val="auto"/>
        <w:rPr>
          <w:b/>
          <w:color w:val="auto"/>
          <w:szCs w:val="21"/>
        </w:rPr>
      </w:pPr>
    </w:p>
    <w:tbl>
      <w:tblPr>
        <w:tblStyle w:val="22"/>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280E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val="0"/>
            <w:vAlign w:val="top"/>
          </w:tcPr>
          <w:p w14:paraId="6DFCE08F">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b/>
                <w:color w:val="auto"/>
                <w:szCs w:val="21"/>
              </w:rPr>
            </w:pPr>
          </w:p>
          <w:p w14:paraId="294AE5A2">
            <w:pPr>
              <w:keepNext w:val="0"/>
              <w:keepLines w:val="0"/>
              <w:pageBreakBefore w:val="0"/>
              <w:widowControl w:val="0"/>
              <w:kinsoku/>
              <w:wordWrap/>
              <w:overflowPunct/>
              <w:topLinePunct w:val="0"/>
              <w:autoSpaceDE/>
              <w:autoSpaceDN/>
              <w:bidi w:val="0"/>
              <w:adjustRightInd/>
              <w:snapToGrid/>
              <w:spacing w:line="440" w:lineRule="exact"/>
              <w:ind w:firstLine="316" w:firstLineChars="150"/>
              <w:textAlignment w:val="auto"/>
              <w:rPr>
                <w:rFonts w:ascii="宋体"/>
                <w:b/>
                <w:color w:val="auto"/>
                <w:szCs w:val="21"/>
              </w:rPr>
            </w:pPr>
            <w:r>
              <w:rPr>
                <w:rFonts w:hint="eastAsia" w:ascii="宋体"/>
                <w:b/>
                <w:color w:val="auto"/>
                <w:szCs w:val="21"/>
              </w:rPr>
              <w:t>全权代表身份证复印件粘帖处</w:t>
            </w:r>
          </w:p>
        </w:tc>
      </w:tr>
    </w:tbl>
    <w:p w14:paraId="4B84E976">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color w:val="auto"/>
          <w:szCs w:val="21"/>
        </w:rPr>
      </w:pPr>
      <w:r>
        <w:rPr>
          <w:rFonts w:hint="eastAsia" w:ascii="宋体"/>
          <w:color w:val="auto"/>
          <w:szCs w:val="21"/>
        </w:rPr>
        <w:t>全权代表姓名：</w:t>
      </w:r>
      <w:r>
        <w:rPr>
          <w:rFonts w:ascii="宋体"/>
          <w:color w:val="auto"/>
          <w:szCs w:val="21"/>
        </w:rPr>
        <w:t xml:space="preserve">       </w:t>
      </w:r>
    </w:p>
    <w:p w14:paraId="40A94B9D">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szCs w:val="21"/>
        </w:rPr>
      </w:pPr>
      <w:r>
        <w:rPr>
          <w:rFonts w:hint="eastAsia" w:ascii="宋体"/>
          <w:color w:val="auto"/>
          <w:szCs w:val="21"/>
        </w:rPr>
        <w:t>职务：</w:t>
      </w:r>
      <w:r>
        <w:rPr>
          <w:rFonts w:ascii="宋体"/>
          <w:color w:val="auto"/>
          <w:szCs w:val="21"/>
        </w:rPr>
        <w:t xml:space="preserve">                           </w:t>
      </w:r>
    </w:p>
    <w:p w14:paraId="715A2D88">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szCs w:val="21"/>
        </w:rPr>
      </w:pPr>
      <w:r>
        <w:rPr>
          <w:rFonts w:hint="eastAsia" w:ascii="宋体"/>
          <w:color w:val="auto"/>
          <w:szCs w:val="21"/>
        </w:rPr>
        <w:t>传真：</w:t>
      </w:r>
    </w:p>
    <w:p w14:paraId="4D74937C">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color w:val="auto"/>
          <w:szCs w:val="21"/>
        </w:rPr>
      </w:pPr>
      <w:r>
        <w:rPr>
          <w:rFonts w:hint="eastAsia" w:ascii="宋体"/>
          <w:color w:val="auto"/>
          <w:szCs w:val="21"/>
        </w:rPr>
        <w:t>电话：</w:t>
      </w:r>
    </w:p>
    <w:p w14:paraId="6CAB31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color w:val="auto"/>
          <w:szCs w:val="21"/>
        </w:rPr>
      </w:pPr>
      <w:r>
        <w:rPr>
          <w:rFonts w:hint="eastAsia" w:ascii="宋体"/>
          <w:color w:val="auto"/>
          <w:szCs w:val="21"/>
        </w:rPr>
        <w:t>详细通讯地址：</w:t>
      </w:r>
    </w:p>
    <w:p w14:paraId="0ED38BF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color w:val="auto"/>
          <w:szCs w:val="21"/>
        </w:rPr>
      </w:pPr>
      <w:r>
        <w:rPr>
          <w:rFonts w:hint="eastAsia" w:ascii="宋体"/>
          <w:color w:val="auto"/>
          <w:szCs w:val="21"/>
        </w:rPr>
        <w:t>邮政编码：</w:t>
      </w:r>
    </w:p>
    <w:p w14:paraId="1E89BA74">
      <w:pPr>
        <w:spacing w:line="360" w:lineRule="auto"/>
        <w:rPr>
          <w:rFonts w:hint="eastAsia" w:ascii="宋体"/>
          <w:color w:val="auto"/>
          <w:szCs w:val="21"/>
        </w:rPr>
        <w:sectPr>
          <w:pgSz w:w="11906" w:h="16838"/>
          <w:pgMar w:top="1440" w:right="1134" w:bottom="1440" w:left="1134" w:header="851" w:footer="992" w:gutter="0"/>
          <w:cols w:space="720" w:num="1"/>
          <w:docGrid w:type="lines" w:linePitch="312" w:charSpace="0"/>
        </w:sectPr>
      </w:pPr>
    </w:p>
    <w:p w14:paraId="2CCE37A0">
      <w:pPr>
        <w:snapToGrid w:val="0"/>
        <w:spacing w:before="156" w:beforeLines="50" w:after="50" w:line="360" w:lineRule="auto"/>
        <w:rPr>
          <w:rFonts w:hint="eastAsia" w:ascii="仿宋_GB2312" w:hAnsi="宋体" w:eastAsia="宋体"/>
          <w:bCs/>
          <w:color w:val="auto"/>
          <w:szCs w:val="21"/>
          <w:lang w:val="en-US" w:eastAsia="zh-CN"/>
        </w:rPr>
      </w:pPr>
      <w:r>
        <w:rPr>
          <w:rFonts w:hint="eastAsia" w:ascii="宋体" w:hAnsi="宋体"/>
          <w:b/>
          <w:color w:val="auto"/>
          <w:szCs w:val="21"/>
        </w:rPr>
        <w:t>附件</w:t>
      </w:r>
      <w:r>
        <w:rPr>
          <w:rFonts w:hint="eastAsia" w:ascii="宋体" w:hAnsi="宋体"/>
          <w:b/>
          <w:color w:val="auto"/>
          <w:szCs w:val="21"/>
          <w:lang w:val="en-US" w:eastAsia="zh-CN"/>
        </w:rPr>
        <w:t>4</w:t>
      </w:r>
    </w:p>
    <w:p w14:paraId="575AADB7">
      <w:pPr>
        <w:jc w:val="center"/>
        <w:rPr>
          <w:b/>
          <w:color w:val="auto"/>
          <w:kern w:val="0"/>
          <w:sz w:val="30"/>
          <w:szCs w:val="30"/>
        </w:rPr>
      </w:pPr>
      <w:r>
        <w:rPr>
          <w:rFonts w:hint="eastAsia"/>
          <w:b/>
          <w:color w:val="auto"/>
          <w:kern w:val="0"/>
          <w:sz w:val="30"/>
          <w:szCs w:val="30"/>
        </w:rPr>
        <w:t>中小企业声明函（货物）</w:t>
      </w:r>
    </w:p>
    <w:p w14:paraId="1234CCE3">
      <w:pPr>
        <w:spacing w:line="480" w:lineRule="auto"/>
        <w:ind w:firstLine="420" w:firstLineChars="200"/>
        <w:rPr>
          <w:rFonts w:ascii="宋体" w:hAnsi="宋体" w:cs="宋体"/>
          <w:color w:val="auto"/>
          <w:szCs w:val="21"/>
        </w:rPr>
      </w:pPr>
      <w:r>
        <w:rPr>
          <w:rFonts w:hint="eastAsia" w:ascii="宋体" w:hAnsi="宋体" w:cs="宋体"/>
          <w:color w:val="auto"/>
          <w:szCs w:val="21"/>
        </w:rPr>
        <w:t>本公司（联合体）郑重声明，根据《政府采购促进中小企业发展管理办法》（财库﹝</w:t>
      </w:r>
      <w:r>
        <w:rPr>
          <w:rFonts w:ascii="宋体" w:hAnsi="宋体" w:cs="宋体"/>
          <w:color w:val="auto"/>
          <w:szCs w:val="21"/>
        </w:rPr>
        <w:t>2020</w:t>
      </w:r>
      <w:r>
        <w:rPr>
          <w:rFonts w:hint="eastAsia" w:ascii="宋体" w:hAnsi="宋体" w:cs="宋体"/>
          <w:color w:val="auto"/>
          <w:szCs w:val="21"/>
        </w:rPr>
        <w:t>﹞</w:t>
      </w:r>
      <w:r>
        <w:rPr>
          <w:rFonts w:ascii="宋体" w:hAnsi="宋体" w:cs="宋体"/>
          <w:color w:val="auto"/>
          <w:szCs w:val="21"/>
        </w:rPr>
        <w:t xml:space="preserve">46 </w:t>
      </w:r>
      <w:r>
        <w:rPr>
          <w:rFonts w:hint="eastAsia" w:ascii="宋体" w:hAnsi="宋体" w:cs="宋体"/>
          <w:color w:val="auto"/>
          <w:szCs w:val="21"/>
        </w:rPr>
        <w:t>号）的规定，本公司</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（联合体）</w:t>
      </w:r>
      <w:r>
        <w:rPr>
          <w:rFonts w:hint="eastAsia" w:ascii="宋体" w:hAnsi="宋体" w:cs="宋体"/>
          <w:color w:val="auto"/>
          <w:szCs w:val="21"/>
        </w:rPr>
        <w:t>参加</w:t>
      </w:r>
      <w:r>
        <w:rPr>
          <w:rFonts w:hint="eastAsia" w:ascii="宋体" w:hAnsi="宋体" w:cs="宋体"/>
          <w:color w:val="auto"/>
          <w:szCs w:val="21"/>
          <w:u w:val="single"/>
        </w:rPr>
        <w:t>（单位名称）</w:t>
      </w:r>
      <w:r>
        <w:rPr>
          <w:rFonts w:hint="eastAsia" w:ascii="宋体" w:hAnsi="宋体" w:cs="宋体"/>
          <w:color w:val="auto"/>
          <w:szCs w:val="21"/>
        </w:rPr>
        <w:t>的</w:t>
      </w:r>
      <w:r>
        <w:rPr>
          <w:rFonts w:hint="eastAsia" w:ascii="宋体" w:hAnsi="宋体" w:cs="宋体"/>
          <w:color w:val="auto"/>
          <w:szCs w:val="21"/>
          <w:u w:val="single"/>
        </w:rPr>
        <w:t>（项目名称）</w:t>
      </w:r>
      <w:r>
        <w:rPr>
          <w:rFonts w:hint="eastAsia" w:ascii="宋体" w:hAnsi="宋体" w:cs="宋体"/>
          <w:color w:val="auto"/>
          <w:szCs w:val="21"/>
        </w:rPr>
        <w:t>采购活动，提供的货物全部由符合政策要求的中小企业制造。相关企业（含联合体中的中小企业、签订分包意向协议的中小企业）的具体情况如下：</w:t>
      </w:r>
    </w:p>
    <w:p w14:paraId="3A869510">
      <w:pPr>
        <w:spacing w:line="480" w:lineRule="auto"/>
        <w:ind w:firstLine="420" w:firstLineChars="200"/>
        <w:rPr>
          <w:rFonts w:ascii="宋体" w:hAnsi="宋体" w:cs="宋体"/>
          <w:color w:val="auto"/>
          <w:szCs w:val="21"/>
        </w:rPr>
      </w:pPr>
      <w:r>
        <w:rPr>
          <w:rFonts w:ascii="宋体" w:hAnsi="宋体" w:cs="宋体"/>
          <w:color w:val="auto"/>
          <w:szCs w:val="21"/>
        </w:rPr>
        <w:t>1.</w:t>
      </w:r>
      <w:r>
        <w:rPr>
          <w:rFonts w:ascii="宋体" w:hAnsi="宋体" w:cs="宋体"/>
          <w:color w:val="auto"/>
          <w:szCs w:val="21"/>
          <w:u w:val="single"/>
        </w:rPr>
        <w:t xml:space="preserve"> </w:t>
      </w:r>
      <w:r>
        <w:rPr>
          <w:rFonts w:hint="eastAsia" w:ascii="宋体" w:hAnsi="宋体" w:cs="宋体"/>
          <w:color w:val="auto"/>
          <w:szCs w:val="21"/>
          <w:u w:val="single"/>
        </w:rPr>
        <w:t>（标的名称）</w:t>
      </w:r>
      <w:r>
        <w:rPr>
          <w:rFonts w:ascii="宋体" w:hAnsi="宋体" w:cs="宋体"/>
          <w:color w:val="auto"/>
          <w:szCs w:val="21"/>
          <w:u w:val="single"/>
        </w:rPr>
        <w:t xml:space="preserve"> </w:t>
      </w:r>
      <w:r>
        <w:rPr>
          <w:rFonts w:hint="eastAsia" w:ascii="宋体" w:hAnsi="宋体" w:cs="宋体"/>
          <w:color w:val="auto"/>
          <w:szCs w:val="21"/>
        </w:rPr>
        <w:t>，属于</w:t>
      </w:r>
      <w:r>
        <w:rPr>
          <w:rFonts w:hint="eastAsia" w:ascii="宋体" w:hAnsi="宋体" w:cs="宋体"/>
          <w:color w:val="auto"/>
          <w:kern w:val="2"/>
          <w:sz w:val="21"/>
          <w:szCs w:val="21"/>
          <w:highlight w:val="none"/>
          <w:u w:val="single"/>
          <w:lang w:val="en-US" w:eastAsia="zh-CN" w:bidi="ar-SA"/>
        </w:rPr>
        <w:t xml:space="preserve"> 工业 </w:t>
      </w:r>
      <w:r>
        <w:rPr>
          <w:rFonts w:hint="eastAsia" w:ascii="宋体" w:hAnsi="宋体" w:cs="宋体"/>
          <w:color w:val="auto"/>
          <w:szCs w:val="21"/>
        </w:rPr>
        <w:t>；制造商为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rPr>
        <w:t>人，营业收入为</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rPr>
        <w:t>万元，资产总额为</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rPr>
        <w:t>万元</w:t>
      </w:r>
      <w:r>
        <w:rPr>
          <w:rFonts w:ascii="宋体" w:hAnsi="宋体" w:cs="宋体"/>
          <w:color w:val="auto"/>
          <w:szCs w:val="21"/>
          <w:vertAlign w:val="superscript"/>
        </w:rPr>
        <w:t>1</w:t>
      </w:r>
      <w:r>
        <w:rPr>
          <w:rFonts w:hint="eastAsia" w:ascii="宋体" w:hAnsi="宋体" w:cs="宋体"/>
          <w:color w:val="auto"/>
          <w:szCs w:val="21"/>
        </w:rPr>
        <w:t>，属于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5F0F7C7B">
      <w:pPr>
        <w:spacing w:line="480" w:lineRule="auto"/>
        <w:ind w:firstLine="420" w:firstLineChars="200"/>
        <w:rPr>
          <w:rFonts w:hint="eastAsia" w:ascii="宋体" w:hAnsi="宋体" w:cs="宋体"/>
          <w:color w:val="auto"/>
          <w:szCs w:val="21"/>
        </w:rPr>
      </w:pPr>
      <w:r>
        <w:rPr>
          <w:rFonts w:ascii="宋体" w:hAnsi="宋体" w:cs="宋体"/>
          <w:color w:val="auto"/>
          <w:szCs w:val="21"/>
        </w:rPr>
        <w:t>2.</w:t>
      </w:r>
      <w:r>
        <w:rPr>
          <w:rFonts w:ascii="宋体" w:hAnsi="宋体" w:cs="宋体"/>
          <w:color w:val="auto"/>
          <w:szCs w:val="21"/>
          <w:u w:val="single"/>
        </w:rPr>
        <w:t xml:space="preserve"> </w:t>
      </w:r>
      <w:r>
        <w:rPr>
          <w:rFonts w:hint="eastAsia" w:ascii="宋体" w:hAnsi="宋体" w:cs="宋体"/>
          <w:color w:val="auto"/>
          <w:szCs w:val="21"/>
          <w:u w:val="single"/>
        </w:rPr>
        <w:t>（标的名称）</w:t>
      </w:r>
      <w:r>
        <w:rPr>
          <w:rFonts w:ascii="宋体" w:hAnsi="宋体" w:cs="宋体"/>
          <w:color w:val="auto"/>
          <w:szCs w:val="21"/>
          <w:u w:val="single"/>
        </w:rPr>
        <w:t xml:space="preserve"> </w:t>
      </w:r>
      <w:r>
        <w:rPr>
          <w:rFonts w:hint="eastAsia" w:ascii="宋体" w:hAnsi="宋体" w:cs="宋体"/>
          <w:color w:val="auto"/>
          <w:szCs w:val="21"/>
        </w:rPr>
        <w:t>，属于</w:t>
      </w:r>
      <w:r>
        <w:rPr>
          <w:rFonts w:hint="eastAsia" w:ascii="宋体" w:hAnsi="宋体" w:cs="宋体"/>
          <w:color w:val="auto"/>
          <w:kern w:val="2"/>
          <w:sz w:val="21"/>
          <w:szCs w:val="21"/>
          <w:highlight w:val="none"/>
          <w:u w:val="single"/>
          <w:lang w:val="en-US" w:eastAsia="zh-CN" w:bidi="ar-SA"/>
        </w:rPr>
        <w:t>工</w:t>
      </w:r>
      <w:r>
        <w:rPr>
          <w:rFonts w:hint="eastAsia" w:ascii="宋体" w:hAnsi="宋体" w:eastAsia="宋体" w:cs="宋体"/>
          <w:color w:val="auto"/>
          <w:kern w:val="2"/>
          <w:sz w:val="21"/>
          <w:szCs w:val="21"/>
          <w:highlight w:val="none"/>
          <w:u w:val="single"/>
          <w:lang w:val="en-US" w:eastAsia="zh-CN" w:bidi="ar-SA"/>
        </w:rPr>
        <w:t>业</w:t>
      </w:r>
      <w:r>
        <w:rPr>
          <w:rFonts w:hint="eastAsia" w:ascii="宋体" w:hAnsi="宋体" w:cs="宋体"/>
          <w:color w:val="auto"/>
          <w:szCs w:val="21"/>
        </w:rPr>
        <w:t>；制造商为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rPr>
        <w:t>人，营业收入为</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rPr>
        <w:t>万元，资产总额为</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rPr>
        <w:t>万元，属于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6AE0DF97">
      <w:pPr>
        <w:spacing w:line="480" w:lineRule="auto"/>
        <w:ind w:firstLine="525" w:firstLineChars="250"/>
        <w:rPr>
          <w:rFonts w:ascii="宋体" w:hAnsi="宋体" w:cs="宋体"/>
          <w:color w:val="auto"/>
          <w:szCs w:val="21"/>
        </w:rPr>
      </w:pPr>
      <w:r>
        <w:rPr>
          <w:rFonts w:hint="eastAsia" w:ascii="宋体" w:hAnsi="宋体" w:cs="宋体"/>
          <w:color w:val="auto"/>
          <w:szCs w:val="21"/>
        </w:rPr>
        <w:t>……</w:t>
      </w:r>
    </w:p>
    <w:p w14:paraId="400ADADD">
      <w:pPr>
        <w:spacing w:line="480" w:lineRule="auto"/>
        <w:ind w:firstLine="420" w:firstLineChars="200"/>
        <w:rPr>
          <w:rFonts w:ascii="宋体" w:hAnsi="宋体" w:cs="宋体"/>
          <w:color w:val="auto"/>
          <w:szCs w:val="21"/>
        </w:rPr>
      </w:pPr>
      <w:r>
        <w:rPr>
          <w:rFonts w:hint="eastAsia" w:ascii="宋体" w:hAnsi="宋体" w:cs="宋体"/>
          <w:color w:val="auto"/>
          <w:szCs w:val="21"/>
        </w:rPr>
        <w:t>以上企业，不属于大企业的分支机构，不存在控股股东为大企业的情形，也不存在与大企业的负责人为同一人的情形。本企业对上述声明内容的真实性负责。如有虚假，将依法承担相应责任。</w:t>
      </w:r>
    </w:p>
    <w:p w14:paraId="5BC99856">
      <w:pPr>
        <w:spacing w:line="480" w:lineRule="auto"/>
        <w:ind w:firstLine="4620" w:firstLineChars="2200"/>
        <w:rPr>
          <w:rFonts w:ascii="宋体" w:hAnsi="宋体" w:cs="宋体"/>
          <w:color w:val="auto"/>
          <w:szCs w:val="21"/>
        </w:rPr>
      </w:pPr>
      <w:r>
        <w:rPr>
          <w:rFonts w:hint="eastAsia" w:ascii="宋体" w:hAnsi="宋体" w:cs="宋体"/>
          <w:color w:val="auto"/>
          <w:szCs w:val="21"/>
        </w:rPr>
        <w:t>企业名称（盖章）：</w:t>
      </w:r>
    </w:p>
    <w:p w14:paraId="59C9025E">
      <w:pPr>
        <w:spacing w:line="480" w:lineRule="auto"/>
        <w:ind w:firstLine="4620" w:firstLineChars="2200"/>
        <w:rPr>
          <w:rFonts w:hint="eastAsia" w:ascii="宋体" w:hAnsi="宋体" w:cs="宋体"/>
          <w:color w:val="auto"/>
          <w:szCs w:val="21"/>
        </w:rPr>
      </w:pPr>
      <w:r>
        <w:rPr>
          <w:rFonts w:hint="eastAsia" w:ascii="宋体" w:hAnsi="宋体" w:cs="宋体"/>
          <w:color w:val="auto"/>
          <w:szCs w:val="21"/>
        </w:rPr>
        <w:t>日期：</w:t>
      </w:r>
    </w:p>
    <w:p w14:paraId="09DB347D">
      <w:pPr>
        <w:widowControl/>
        <w:shd w:val="clear" w:color="auto" w:fill="FFFFFF"/>
        <w:spacing w:line="360" w:lineRule="auto"/>
        <w:jc w:val="left"/>
        <w:rPr>
          <w:rFonts w:ascii="Arial" w:hAnsi="Arial" w:cs="Arial"/>
          <w:b/>
          <w:color w:val="auto"/>
          <w:kern w:val="0"/>
          <w:szCs w:val="21"/>
        </w:rPr>
      </w:pPr>
      <w:r>
        <w:rPr>
          <w:rFonts w:hint="eastAsia" w:ascii="Arial" w:hAnsi="Arial" w:cs="Arial"/>
          <w:b/>
          <w:color w:val="auto"/>
          <w:kern w:val="0"/>
          <w:szCs w:val="21"/>
        </w:rPr>
        <w:t>注：如《中小企业声明函》中有明显文字错误的内容允许供应商澄清，不得超出投标文件的范围，也不得改变投标文件的实质性内容，且澄清应是书面形式，加盖公章，有法定代表人或其授权的代表签字，否则澄清内容无效。</w:t>
      </w:r>
    </w:p>
    <w:p w14:paraId="3088B831">
      <w:pPr>
        <w:rPr>
          <w:rFonts w:ascii="宋体" w:hAnsi="宋体" w:cs="宋体"/>
          <w:color w:val="auto"/>
          <w:szCs w:val="21"/>
          <w:vertAlign w:val="superscript"/>
        </w:rPr>
      </w:pPr>
    </w:p>
    <w:p w14:paraId="4AF2559E">
      <w:pPr>
        <w:rPr>
          <w:color w:val="auto"/>
        </w:rPr>
      </w:pPr>
      <w:r>
        <w:rPr>
          <w:rFonts w:ascii="宋体" w:hAnsi="宋体" w:cs="宋体"/>
          <w:color w:val="auto"/>
          <w:szCs w:val="21"/>
          <w:vertAlign w:val="superscript"/>
        </w:rPr>
        <w:t>1</w:t>
      </w:r>
      <w:r>
        <w:rPr>
          <w:rFonts w:hint="eastAsia" w:ascii="宋体" w:hAnsi="宋体" w:cs="宋体"/>
          <w:color w:val="auto"/>
          <w:szCs w:val="21"/>
        </w:rPr>
        <w:t>从业人员、营业收入、资产总额填报上一年度数据，无上一年度数据的新成立企业可不填报。</w:t>
      </w:r>
    </w:p>
    <w:p w14:paraId="6CCD1276">
      <w:pPr>
        <w:snapToGrid w:val="0"/>
        <w:spacing w:line="360" w:lineRule="auto"/>
        <w:ind w:right="420" w:firstLine="424" w:firstLineChars="202"/>
        <w:rPr>
          <w:rFonts w:hint="eastAsia" w:ascii="宋体" w:hAnsi="宋体" w:cs="宋体"/>
          <w:color w:val="auto"/>
          <w:szCs w:val="21"/>
        </w:rPr>
      </w:pPr>
      <w:r>
        <w:rPr>
          <w:rFonts w:hint="eastAsia" w:ascii="宋体" w:hAnsi="宋体" w:cs="宋体"/>
          <w:color w:val="auto"/>
          <w:szCs w:val="21"/>
        </w:rPr>
        <w:t>注：</w:t>
      </w:r>
      <w:r>
        <w:rPr>
          <w:rFonts w:hint="eastAsia" w:ascii="宋体" w:hAnsi="宋体" w:cs="宋体"/>
          <w:color w:val="auto"/>
          <w:szCs w:val="21"/>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2.符合《关于促进残疾人就业政府采购政策的通知》（财库〔2017〕141号）规定的条件并提供《残疾人福利性单位声明函》（附件）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7DC3ED8">
      <w:pPr>
        <w:pStyle w:val="21"/>
        <w:tabs>
          <w:tab w:val="left" w:pos="482"/>
          <w:tab w:val="left" w:pos="2183"/>
          <w:tab w:val="left" w:pos="3884"/>
          <w:tab w:val="left" w:pos="5585"/>
        </w:tabs>
        <w:ind w:firstLine="0" w:firstLineChars="0"/>
        <w:jc w:val="center"/>
        <w:rPr>
          <w:rFonts w:hint="eastAsia"/>
          <w:color w:val="auto"/>
          <w:sz w:val="28"/>
          <w:szCs w:val="28"/>
          <w:lang w:val="en-GB"/>
        </w:rPr>
      </w:pPr>
    </w:p>
    <w:p w14:paraId="588D1A35">
      <w:pPr>
        <w:pStyle w:val="21"/>
        <w:tabs>
          <w:tab w:val="left" w:pos="482"/>
          <w:tab w:val="left" w:pos="2183"/>
          <w:tab w:val="left" w:pos="3884"/>
          <w:tab w:val="left" w:pos="5585"/>
        </w:tabs>
        <w:ind w:firstLine="0" w:firstLineChars="0"/>
        <w:jc w:val="center"/>
        <w:rPr>
          <w:rFonts w:hint="eastAsia"/>
          <w:color w:val="auto"/>
          <w:sz w:val="28"/>
          <w:szCs w:val="28"/>
          <w:lang w:val="en-GB"/>
        </w:rPr>
      </w:pPr>
      <w:r>
        <w:rPr>
          <w:rFonts w:hint="eastAsia"/>
          <w:color w:val="auto"/>
          <w:sz w:val="28"/>
          <w:szCs w:val="28"/>
          <w:lang w:val="en-GB"/>
        </w:rPr>
        <w:t>中小企业划型标准规定</w:t>
      </w:r>
    </w:p>
    <w:p w14:paraId="6CA4CB38">
      <w:pPr>
        <w:pStyle w:val="21"/>
        <w:tabs>
          <w:tab w:val="left" w:pos="482"/>
          <w:tab w:val="left" w:pos="2183"/>
          <w:tab w:val="left" w:pos="3884"/>
          <w:tab w:val="left" w:pos="5585"/>
        </w:tabs>
        <w:ind w:firstLine="0" w:firstLineChars="0"/>
        <w:jc w:val="center"/>
        <w:rPr>
          <w:rFonts w:hint="eastAsia"/>
          <w:color w:val="auto"/>
          <w:szCs w:val="21"/>
          <w:lang w:val="en-GB"/>
        </w:rPr>
      </w:pPr>
      <w:r>
        <w:rPr>
          <w:rFonts w:hint="eastAsia" w:ascii="宋体" w:hAnsi="宋体" w:cs="宋体"/>
          <w:color w:val="auto"/>
          <w:szCs w:val="21"/>
        </w:rPr>
        <w:t>工信部联企业【2011】300 号</w:t>
      </w:r>
    </w:p>
    <w:tbl>
      <w:tblPr>
        <w:tblStyle w:val="22"/>
        <w:tblW w:w="95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860"/>
        <w:gridCol w:w="2157"/>
        <w:gridCol w:w="1215"/>
        <w:gridCol w:w="4056"/>
        <w:gridCol w:w="752"/>
      </w:tblGrid>
      <w:tr w14:paraId="62D9C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blHeader/>
          <w:jc w:val="center"/>
        </w:trPr>
        <w:tc>
          <w:tcPr>
            <w:tcW w:w="524" w:type="dxa"/>
            <w:noWrap w:val="0"/>
            <w:vAlign w:val="center"/>
          </w:tcPr>
          <w:p w14:paraId="0E54099E">
            <w:pPr>
              <w:pStyle w:val="74"/>
              <w:spacing w:before="68"/>
              <w:ind w:left="41" w:right="32"/>
              <w:jc w:val="center"/>
              <w:rPr>
                <w:rFonts w:hint="eastAsia"/>
                <w:b/>
                <w:bCs/>
                <w:color w:val="auto"/>
                <w:szCs w:val="21"/>
              </w:rPr>
            </w:pPr>
            <w:r>
              <w:rPr>
                <w:rFonts w:hint="eastAsia"/>
                <w:b/>
                <w:bCs/>
                <w:color w:val="auto"/>
                <w:szCs w:val="21"/>
              </w:rPr>
              <w:t>序号</w:t>
            </w:r>
          </w:p>
        </w:tc>
        <w:tc>
          <w:tcPr>
            <w:tcW w:w="860" w:type="dxa"/>
            <w:noWrap w:val="0"/>
            <w:vAlign w:val="center"/>
          </w:tcPr>
          <w:p w14:paraId="40BB7079">
            <w:pPr>
              <w:pStyle w:val="74"/>
              <w:spacing w:before="68"/>
              <w:ind w:left="10" w:right="2"/>
              <w:jc w:val="center"/>
              <w:rPr>
                <w:rFonts w:hint="eastAsia"/>
                <w:b/>
                <w:bCs/>
                <w:color w:val="auto"/>
                <w:szCs w:val="21"/>
              </w:rPr>
            </w:pPr>
            <w:r>
              <w:rPr>
                <w:rFonts w:hint="eastAsia"/>
                <w:b/>
                <w:bCs/>
                <w:color w:val="auto"/>
                <w:szCs w:val="21"/>
              </w:rPr>
              <w:t>行业</w:t>
            </w:r>
          </w:p>
        </w:tc>
        <w:tc>
          <w:tcPr>
            <w:tcW w:w="2157" w:type="dxa"/>
            <w:noWrap w:val="0"/>
            <w:vAlign w:val="center"/>
          </w:tcPr>
          <w:p w14:paraId="31164CD0">
            <w:pPr>
              <w:pStyle w:val="74"/>
              <w:spacing w:before="68"/>
              <w:ind w:left="5"/>
              <w:jc w:val="center"/>
              <w:rPr>
                <w:rFonts w:hint="eastAsia"/>
                <w:b/>
                <w:bCs/>
                <w:color w:val="auto"/>
                <w:szCs w:val="21"/>
              </w:rPr>
            </w:pPr>
            <w:r>
              <w:rPr>
                <w:rFonts w:hint="eastAsia"/>
                <w:b/>
                <w:bCs/>
                <w:color w:val="auto"/>
                <w:szCs w:val="21"/>
              </w:rPr>
              <w:t>原则</w:t>
            </w:r>
          </w:p>
        </w:tc>
        <w:tc>
          <w:tcPr>
            <w:tcW w:w="5271" w:type="dxa"/>
            <w:gridSpan w:val="2"/>
            <w:noWrap w:val="0"/>
            <w:vAlign w:val="center"/>
          </w:tcPr>
          <w:p w14:paraId="3BF60C0A">
            <w:pPr>
              <w:pStyle w:val="74"/>
              <w:spacing w:before="68"/>
              <w:ind w:right="1107"/>
              <w:jc w:val="center"/>
              <w:rPr>
                <w:rFonts w:hint="eastAsia"/>
                <w:b/>
                <w:bCs/>
                <w:color w:val="auto"/>
                <w:szCs w:val="21"/>
              </w:rPr>
            </w:pPr>
            <w:r>
              <w:rPr>
                <w:rFonts w:hint="eastAsia"/>
                <w:b/>
                <w:bCs/>
                <w:color w:val="auto"/>
                <w:szCs w:val="21"/>
              </w:rPr>
              <w:t>具体规定</w:t>
            </w:r>
          </w:p>
        </w:tc>
        <w:tc>
          <w:tcPr>
            <w:tcW w:w="752" w:type="dxa"/>
            <w:noWrap w:val="0"/>
            <w:vAlign w:val="center"/>
          </w:tcPr>
          <w:p w14:paraId="5B472FCC">
            <w:pPr>
              <w:pStyle w:val="74"/>
              <w:spacing w:before="68"/>
              <w:jc w:val="center"/>
              <w:rPr>
                <w:rFonts w:hint="eastAsia"/>
                <w:b/>
                <w:bCs/>
                <w:color w:val="auto"/>
                <w:sz w:val="24"/>
              </w:rPr>
            </w:pPr>
            <w:r>
              <w:rPr>
                <w:rFonts w:hint="eastAsia"/>
                <w:b/>
                <w:bCs/>
                <w:color w:val="auto"/>
                <w:sz w:val="24"/>
              </w:rPr>
              <w:t>指标</w:t>
            </w:r>
          </w:p>
        </w:tc>
      </w:tr>
      <w:tr w14:paraId="12F11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4B1AC841">
            <w:pPr>
              <w:pStyle w:val="74"/>
              <w:spacing w:before="7"/>
              <w:jc w:val="center"/>
              <w:rPr>
                <w:rFonts w:hint="eastAsia"/>
                <w:b/>
                <w:color w:val="auto"/>
                <w:szCs w:val="21"/>
              </w:rPr>
            </w:pPr>
          </w:p>
          <w:p w14:paraId="44357C9D">
            <w:pPr>
              <w:pStyle w:val="74"/>
              <w:ind w:left="8"/>
              <w:jc w:val="center"/>
              <w:rPr>
                <w:rFonts w:hint="eastAsia"/>
                <w:color w:val="auto"/>
                <w:szCs w:val="21"/>
              </w:rPr>
            </w:pPr>
            <w:r>
              <w:rPr>
                <w:rFonts w:hint="eastAsia"/>
                <w:color w:val="auto"/>
                <w:w w:val="99"/>
                <w:szCs w:val="21"/>
              </w:rPr>
              <w:t>1</w:t>
            </w:r>
          </w:p>
        </w:tc>
        <w:tc>
          <w:tcPr>
            <w:tcW w:w="860" w:type="dxa"/>
            <w:vMerge w:val="restart"/>
            <w:noWrap w:val="0"/>
            <w:vAlign w:val="center"/>
          </w:tcPr>
          <w:p w14:paraId="76B0647B">
            <w:pPr>
              <w:pStyle w:val="74"/>
              <w:spacing w:before="3"/>
              <w:jc w:val="center"/>
              <w:rPr>
                <w:rFonts w:hint="eastAsia"/>
                <w:b/>
                <w:color w:val="auto"/>
                <w:szCs w:val="21"/>
              </w:rPr>
            </w:pPr>
          </w:p>
          <w:p w14:paraId="11768958">
            <w:pPr>
              <w:pStyle w:val="74"/>
              <w:spacing w:before="1" w:line="292" w:lineRule="auto"/>
              <w:ind w:left="13" w:right="6"/>
              <w:jc w:val="center"/>
              <w:rPr>
                <w:rFonts w:hint="eastAsia"/>
                <w:color w:val="auto"/>
                <w:szCs w:val="21"/>
              </w:rPr>
            </w:pPr>
            <w:r>
              <w:rPr>
                <w:rFonts w:hint="eastAsia"/>
                <w:color w:val="auto"/>
                <w:szCs w:val="21"/>
              </w:rPr>
              <w:t>农、林、牧、渔业</w:t>
            </w:r>
          </w:p>
        </w:tc>
        <w:tc>
          <w:tcPr>
            <w:tcW w:w="2157" w:type="dxa"/>
            <w:vMerge w:val="restart"/>
            <w:noWrap w:val="0"/>
            <w:vAlign w:val="center"/>
          </w:tcPr>
          <w:p w14:paraId="2569B2ED">
            <w:pPr>
              <w:pStyle w:val="74"/>
              <w:spacing w:before="3"/>
              <w:rPr>
                <w:rFonts w:hint="eastAsia"/>
                <w:b/>
                <w:color w:val="auto"/>
                <w:szCs w:val="21"/>
                <w:lang w:eastAsia="zh-CN"/>
              </w:rPr>
            </w:pPr>
          </w:p>
          <w:p w14:paraId="7328D9F8">
            <w:pPr>
              <w:pStyle w:val="74"/>
              <w:spacing w:before="1" w:line="292" w:lineRule="auto"/>
              <w:ind w:left="15" w:right="5"/>
              <w:rPr>
                <w:rFonts w:hint="eastAsia"/>
                <w:color w:val="auto"/>
                <w:szCs w:val="21"/>
                <w:lang w:eastAsia="zh-CN"/>
              </w:rPr>
            </w:pPr>
            <w:r>
              <w:rPr>
                <w:rFonts w:hint="eastAsia"/>
                <w:color w:val="auto"/>
                <w:szCs w:val="21"/>
                <w:lang w:eastAsia="zh-CN"/>
              </w:rPr>
              <w:t>营业收入 20000 万元以下的为中小微型企业</w:t>
            </w:r>
          </w:p>
        </w:tc>
        <w:tc>
          <w:tcPr>
            <w:tcW w:w="1215" w:type="dxa"/>
            <w:noWrap w:val="0"/>
            <w:vAlign w:val="center"/>
          </w:tcPr>
          <w:p w14:paraId="10FA9E83">
            <w:pPr>
              <w:pStyle w:val="74"/>
              <w:spacing w:before="68"/>
              <w:ind w:left="13"/>
              <w:jc w:val="center"/>
              <w:rPr>
                <w:rFonts w:hint="eastAsia"/>
                <w:color w:val="auto"/>
                <w:szCs w:val="21"/>
              </w:rPr>
            </w:pPr>
            <w:r>
              <w:rPr>
                <w:rFonts w:hint="eastAsia"/>
                <w:color w:val="auto"/>
                <w:szCs w:val="21"/>
              </w:rPr>
              <w:t>中型企业</w:t>
            </w:r>
          </w:p>
        </w:tc>
        <w:tc>
          <w:tcPr>
            <w:tcW w:w="4056" w:type="dxa"/>
            <w:noWrap w:val="0"/>
            <w:vAlign w:val="center"/>
          </w:tcPr>
          <w:p w14:paraId="5D4F4DCA">
            <w:pPr>
              <w:pStyle w:val="74"/>
              <w:spacing w:before="68"/>
              <w:ind w:left="15"/>
              <w:rPr>
                <w:rFonts w:hint="eastAsia"/>
                <w:color w:val="auto"/>
                <w:szCs w:val="21"/>
                <w:lang w:eastAsia="zh-CN"/>
              </w:rPr>
            </w:pPr>
            <w:r>
              <w:rPr>
                <w:rFonts w:hint="eastAsia"/>
                <w:color w:val="auto"/>
                <w:szCs w:val="21"/>
                <w:lang w:eastAsia="zh-CN"/>
              </w:rPr>
              <w:t>营业收入500万元及以上的</w:t>
            </w:r>
          </w:p>
        </w:tc>
        <w:tc>
          <w:tcPr>
            <w:tcW w:w="752" w:type="dxa"/>
            <w:vMerge w:val="restart"/>
            <w:noWrap w:val="0"/>
            <w:vAlign w:val="center"/>
          </w:tcPr>
          <w:p w14:paraId="6F2ECFDB">
            <w:pPr>
              <w:pStyle w:val="74"/>
              <w:ind w:left="15"/>
              <w:rPr>
                <w:rFonts w:hint="eastAsia"/>
                <w:color w:val="auto"/>
                <w:szCs w:val="21"/>
                <w:lang w:eastAsia="zh-CN"/>
              </w:rPr>
            </w:pPr>
            <w:r>
              <w:rPr>
                <w:rFonts w:hint="eastAsia"/>
                <w:color w:val="auto"/>
                <w:szCs w:val="21"/>
                <w:lang w:eastAsia="zh-CN"/>
              </w:rPr>
              <w:t>营业收入</w:t>
            </w:r>
          </w:p>
        </w:tc>
      </w:tr>
      <w:tr w14:paraId="55833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38A09E41">
            <w:pPr>
              <w:jc w:val="center"/>
              <w:rPr>
                <w:rFonts w:hint="eastAsia" w:ascii="宋体" w:hAnsi="宋体" w:cs="宋体"/>
                <w:color w:val="auto"/>
                <w:szCs w:val="21"/>
              </w:rPr>
            </w:pPr>
          </w:p>
        </w:tc>
        <w:tc>
          <w:tcPr>
            <w:tcW w:w="860" w:type="dxa"/>
            <w:vMerge w:val="continue"/>
            <w:noWrap w:val="0"/>
            <w:vAlign w:val="center"/>
          </w:tcPr>
          <w:p w14:paraId="56FBFB71">
            <w:pPr>
              <w:jc w:val="center"/>
              <w:rPr>
                <w:rFonts w:hint="eastAsia" w:ascii="宋体" w:hAnsi="宋体" w:cs="宋体"/>
                <w:color w:val="auto"/>
                <w:szCs w:val="21"/>
              </w:rPr>
            </w:pPr>
          </w:p>
        </w:tc>
        <w:tc>
          <w:tcPr>
            <w:tcW w:w="2157" w:type="dxa"/>
            <w:vMerge w:val="continue"/>
            <w:noWrap w:val="0"/>
            <w:vAlign w:val="center"/>
          </w:tcPr>
          <w:p w14:paraId="72394335">
            <w:pPr>
              <w:rPr>
                <w:rFonts w:hint="eastAsia" w:ascii="宋体" w:hAnsi="宋体" w:cs="宋体"/>
                <w:color w:val="auto"/>
                <w:szCs w:val="21"/>
              </w:rPr>
            </w:pPr>
          </w:p>
        </w:tc>
        <w:tc>
          <w:tcPr>
            <w:tcW w:w="1215" w:type="dxa"/>
            <w:noWrap w:val="0"/>
            <w:vAlign w:val="center"/>
          </w:tcPr>
          <w:p w14:paraId="0B23E6A8">
            <w:pPr>
              <w:pStyle w:val="74"/>
              <w:spacing w:before="68"/>
              <w:ind w:left="13"/>
              <w:jc w:val="center"/>
              <w:rPr>
                <w:rFonts w:hint="eastAsia"/>
                <w:color w:val="auto"/>
                <w:szCs w:val="21"/>
              </w:rPr>
            </w:pPr>
            <w:r>
              <w:rPr>
                <w:rFonts w:hint="eastAsia"/>
                <w:color w:val="auto"/>
                <w:szCs w:val="21"/>
              </w:rPr>
              <w:t>小型企业</w:t>
            </w:r>
          </w:p>
        </w:tc>
        <w:tc>
          <w:tcPr>
            <w:tcW w:w="4056" w:type="dxa"/>
            <w:noWrap w:val="0"/>
            <w:vAlign w:val="center"/>
          </w:tcPr>
          <w:p w14:paraId="1F3EB423">
            <w:pPr>
              <w:pStyle w:val="74"/>
              <w:spacing w:before="68"/>
              <w:ind w:left="15"/>
              <w:rPr>
                <w:rFonts w:hint="eastAsia"/>
                <w:color w:val="auto"/>
                <w:szCs w:val="21"/>
                <w:lang w:eastAsia="zh-CN"/>
              </w:rPr>
            </w:pPr>
            <w:r>
              <w:rPr>
                <w:rFonts w:hint="eastAsia"/>
                <w:color w:val="auto"/>
                <w:szCs w:val="21"/>
                <w:lang w:eastAsia="zh-CN"/>
              </w:rPr>
              <w:t>营业收入50万元及以上的</w:t>
            </w:r>
          </w:p>
        </w:tc>
        <w:tc>
          <w:tcPr>
            <w:tcW w:w="752" w:type="dxa"/>
            <w:vMerge w:val="continue"/>
            <w:noWrap w:val="0"/>
            <w:vAlign w:val="center"/>
          </w:tcPr>
          <w:p w14:paraId="36BB8859">
            <w:pPr>
              <w:jc w:val="center"/>
              <w:rPr>
                <w:rFonts w:hint="eastAsia" w:ascii="宋体" w:hAnsi="宋体" w:cs="宋体"/>
                <w:color w:val="auto"/>
                <w:szCs w:val="21"/>
                <w:lang w:bidi="en-US"/>
              </w:rPr>
            </w:pPr>
          </w:p>
        </w:tc>
      </w:tr>
      <w:tr w14:paraId="73957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75F0CC49">
            <w:pPr>
              <w:jc w:val="center"/>
              <w:rPr>
                <w:rFonts w:hint="eastAsia" w:ascii="宋体" w:hAnsi="宋体" w:cs="宋体"/>
                <w:color w:val="auto"/>
                <w:szCs w:val="21"/>
              </w:rPr>
            </w:pPr>
          </w:p>
        </w:tc>
        <w:tc>
          <w:tcPr>
            <w:tcW w:w="860" w:type="dxa"/>
            <w:vMerge w:val="continue"/>
            <w:noWrap w:val="0"/>
            <w:vAlign w:val="center"/>
          </w:tcPr>
          <w:p w14:paraId="3E122EA6">
            <w:pPr>
              <w:jc w:val="center"/>
              <w:rPr>
                <w:rFonts w:hint="eastAsia" w:ascii="宋体" w:hAnsi="宋体" w:cs="宋体"/>
                <w:color w:val="auto"/>
                <w:szCs w:val="21"/>
              </w:rPr>
            </w:pPr>
          </w:p>
        </w:tc>
        <w:tc>
          <w:tcPr>
            <w:tcW w:w="2157" w:type="dxa"/>
            <w:vMerge w:val="continue"/>
            <w:noWrap w:val="0"/>
            <w:vAlign w:val="center"/>
          </w:tcPr>
          <w:p w14:paraId="159AD92C">
            <w:pPr>
              <w:rPr>
                <w:rFonts w:hint="eastAsia" w:ascii="宋体" w:hAnsi="宋体" w:cs="宋体"/>
                <w:color w:val="auto"/>
                <w:szCs w:val="21"/>
              </w:rPr>
            </w:pPr>
          </w:p>
        </w:tc>
        <w:tc>
          <w:tcPr>
            <w:tcW w:w="1215" w:type="dxa"/>
            <w:noWrap w:val="0"/>
            <w:vAlign w:val="center"/>
          </w:tcPr>
          <w:p w14:paraId="5120EFBC">
            <w:pPr>
              <w:pStyle w:val="74"/>
              <w:spacing w:before="69"/>
              <w:ind w:left="13"/>
              <w:jc w:val="center"/>
              <w:rPr>
                <w:rFonts w:hint="eastAsia"/>
                <w:color w:val="auto"/>
                <w:szCs w:val="21"/>
              </w:rPr>
            </w:pPr>
            <w:r>
              <w:rPr>
                <w:rFonts w:hint="eastAsia"/>
                <w:color w:val="auto"/>
                <w:szCs w:val="21"/>
              </w:rPr>
              <w:t>微型企业</w:t>
            </w:r>
          </w:p>
        </w:tc>
        <w:tc>
          <w:tcPr>
            <w:tcW w:w="4056" w:type="dxa"/>
            <w:noWrap w:val="0"/>
            <w:vAlign w:val="center"/>
          </w:tcPr>
          <w:p w14:paraId="37EB0783">
            <w:pPr>
              <w:pStyle w:val="74"/>
              <w:spacing w:before="69"/>
              <w:ind w:left="15"/>
              <w:rPr>
                <w:rFonts w:hint="eastAsia"/>
                <w:color w:val="auto"/>
                <w:szCs w:val="21"/>
              </w:rPr>
            </w:pPr>
            <w:r>
              <w:rPr>
                <w:rFonts w:hint="eastAsia"/>
                <w:color w:val="auto"/>
                <w:szCs w:val="21"/>
              </w:rPr>
              <w:t>营业收入50万元以下的</w:t>
            </w:r>
          </w:p>
        </w:tc>
        <w:tc>
          <w:tcPr>
            <w:tcW w:w="752" w:type="dxa"/>
            <w:vMerge w:val="continue"/>
            <w:noWrap w:val="0"/>
            <w:vAlign w:val="center"/>
          </w:tcPr>
          <w:p w14:paraId="791DF48C">
            <w:pPr>
              <w:jc w:val="center"/>
              <w:rPr>
                <w:rFonts w:hint="eastAsia" w:ascii="宋体" w:hAnsi="宋体" w:cs="宋体"/>
                <w:color w:val="auto"/>
                <w:szCs w:val="21"/>
                <w:lang w:bidi="en-US"/>
              </w:rPr>
            </w:pPr>
          </w:p>
        </w:tc>
      </w:tr>
      <w:tr w14:paraId="6D38E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4E185C53">
            <w:pPr>
              <w:pStyle w:val="74"/>
              <w:spacing w:before="6"/>
              <w:jc w:val="center"/>
              <w:rPr>
                <w:rFonts w:hint="eastAsia"/>
                <w:b/>
                <w:color w:val="auto"/>
                <w:szCs w:val="21"/>
              </w:rPr>
            </w:pPr>
          </w:p>
          <w:p w14:paraId="0E909D1D">
            <w:pPr>
              <w:pStyle w:val="74"/>
              <w:ind w:left="8"/>
              <w:jc w:val="center"/>
              <w:rPr>
                <w:rFonts w:hint="eastAsia"/>
                <w:color w:val="auto"/>
                <w:szCs w:val="21"/>
              </w:rPr>
            </w:pPr>
            <w:r>
              <w:rPr>
                <w:rFonts w:hint="eastAsia"/>
                <w:color w:val="auto"/>
                <w:w w:val="99"/>
                <w:szCs w:val="21"/>
              </w:rPr>
              <w:t>2</w:t>
            </w:r>
          </w:p>
        </w:tc>
        <w:tc>
          <w:tcPr>
            <w:tcW w:w="860" w:type="dxa"/>
            <w:vMerge w:val="restart"/>
            <w:noWrap w:val="0"/>
            <w:vAlign w:val="center"/>
          </w:tcPr>
          <w:p w14:paraId="48B8E3BC">
            <w:pPr>
              <w:pStyle w:val="74"/>
              <w:spacing w:before="11"/>
              <w:jc w:val="center"/>
              <w:rPr>
                <w:rFonts w:hint="eastAsia"/>
                <w:b/>
                <w:color w:val="auto"/>
                <w:szCs w:val="21"/>
              </w:rPr>
            </w:pPr>
          </w:p>
          <w:p w14:paraId="5D6AE28F">
            <w:pPr>
              <w:pStyle w:val="74"/>
              <w:ind w:left="13"/>
              <w:jc w:val="center"/>
              <w:rPr>
                <w:rFonts w:hint="eastAsia"/>
                <w:color w:val="auto"/>
                <w:szCs w:val="21"/>
              </w:rPr>
            </w:pPr>
            <w:r>
              <w:rPr>
                <w:rFonts w:hint="eastAsia"/>
                <w:color w:val="auto"/>
                <w:szCs w:val="21"/>
              </w:rPr>
              <w:t>工业</w:t>
            </w:r>
          </w:p>
        </w:tc>
        <w:tc>
          <w:tcPr>
            <w:tcW w:w="2157" w:type="dxa"/>
            <w:vMerge w:val="restart"/>
            <w:noWrap w:val="0"/>
            <w:vAlign w:val="center"/>
          </w:tcPr>
          <w:p w14:paraId="438B2CAF">
            <w:pPr>
              <w:pStyle w:val="74"/>
              <w:spacing w:before="141"/>
              <w:ind w:left="15"/>
              <w:rPr>
                <w:rFonts w:hint="eastAsia"/>
                <w:color w:val="auto"/>
                <w:szCs w:val="21"/>
                <w:lang w:eastAsia="zh-CN"/>
              </w:rPr>
            </w:pPr>
            <w:r>
              <w:rPr>
                <w:rFonts w:hint="eastAsia"/>
                <w:color w:val="auto"/>
                <w:spacing w:val="-9"/>
                <w:szCs w:val="21"/>
                <w:lang w:eastAsia="zh-CN"/>
              </w:rPr>
              <w:t xml:space="preserve">从业人员 </w:t>
            </w:r>
            <w:r>
              <w:rPr>
                <w:rFonts w:hint="eastAsia"/>
                <w:color w:val="auto"/>
                <w:szCs w:val="21"/>
                <w:lang w:eastAsia="zh-CN"/>
              </w:rPr>
              <w:t>1000</w:t>
            </w:r>
            <w:r>
              <w:rPr>
                <w:rFonts w:hint="eastAsia"/>
                <w:color w:val="auto"/>
                <w:spacing w:val="-8"/>
                <w:szCs w:val="21"/>
                <w:lang w:eastAsia="zh-CN"/>
              </w:rPr>
              <w:t xml:space="preserve"> 人以下或</w:t>
            </w:r>
            <w:r>
              <w:rPr>
                <w:rFonts w:hint="eastAsia"/>
                <w:color w:val="auto"/>
                <w:szCs w:val="21"/>
                <w:lang w:eastAsia="zh-CN"/>
              </w:rPr>
              <w:t>营业收入40000 万元以下的为中小微型企业</w:t>
            </w:r>
          </w:p>
        </w:tc>
        <w:tc>
          <w:tcPr>
            <w:tcW w:w="1215" w:type="dxa"/>
            <w:noWrap w:val="0"/>
            <w:vAlign w:val="center"/>
          </w:tcPr>
          <w:p w14:paraId="7A47B392">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4FB1AAB6">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300</w:t>
            </w:r>
            <w:r>
              <w:rPr>
                <w:rFonts w:hint="eastAsia"/>
                <w:color w:val="auto"/>
                <w:spacing w:val="-13"/>
                <w:szCs w:val="21"/>
                <w:lang w:eastAsia="zh-CN"/>
              </w:rPr>
              <w:t xml:space="preserve">人及以上，且营业收入 </w:t>
            </w:r>
            <w:r>
              <w:rPr>
                <w:rFonts w:hint="eastAsia"/>
                <w:color w:val="auto"/>
                <w:szCs w:val="21"/>
                <w:lang w:eastAsia="zh-CN"/>
              </w:rPr>
              <w:t>2000</w:t>
            </w:r>
            <w:r>
              <w:rPr>
                <w:rFonts w:hint="eastAsia"/>
                <w:color w:val="auto"/>
                <w:spacing w:val="-9"/>
                <w:szCs w:val="21"/>
                <w:lang w:eastAsia="zh-CN"/>
              </w:rPr>
              <w:t>万元及以上的</w:t>
            </w:r>
          </w:p>
        </w:tc>
        <w:tc>
          <w:tcPr>
            <w:tcW w:w="752" w:type="dxa"/>
            <w:vMerge w:val="restart"/>
            <w:noWrap w:val="0"/>
            <w:vAlign w:val="center"/>
          </w:tcPr>
          <w:p w14:paraId="4271A91F">
            <w:pPr>
              <w:pStyle w:val="74"/>
              <w:ind w:left="15"/>
              <w:rPr>
                <w:rFonts w:hint="eastAsia"/>
                <w:color w:val="auto"/>
                <w:szCs w:val="21"/>
                <w:lang w:eastAsia="zh-CN"/>
              </w:rPr>
            </w:pPr>
            <w:r>
              <w:rPr>
                <w:rFonts w:hint="eastAsia"/>
                <w:color w:val="auto"/>
                <w:szCs w:val="21"/>
                <w:lang w:eastAsia="zh-CN"/>
              </w:rPr>
              <w:t>从业人员营业收入</w:t>
            </w:r>
          </w:p>
        </w:tc>
      </w:tr>
      <w:tr w14:paraId="32776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3EEE45A6">
            <w:pPr>
              <w:jc w:val="center"/>
              <w:rPr>
                <w:rFonts w:hint="eastAsia" w:ascii="宋体" w:hAnsi="宋体" w:cs="宋体"/>
                <w:color w:val="auto"/>
                <w:szCs w:val="21"/>
              </w:rPr>
            </w:pPr>
          </w:p>
        </w:tc>
        <w:tc>
          <w:tcPr>
            <w:tcW w:w="860" w:type="dxa"/>
            <w:vMerge w:val="continue"/>
            <w:noWrap w:val="0"/>
            <w:vAlign w:val="center"/>
          </w:tcPr>
          <w:p w14:paraId="363851C4">
            <w:pPr>
              <w:jc w:val="center"/>
              <w:rPr>
                <w:rFonts w:hint="eastAsia" w:ascii="宋体" w:hAnsi="宋体" w:cs="宋体"/>
                <w:color w:val="auto"/>
                <w:szCs w:val="21"/>
              </w:rPr>
            </w:pPr>
          </w:p>
        </w:tc>
        <w:tc>
          <w:tcPr>
            <w:tcW w:w="2157" w:type="dxa"/>
            <w:vMerge w:val="continue"/>
            <w:noWrap w:val="0"/>
            <w:vAlign w:val="center"/>
          </w:tcPr>
          <w:p w14:paraId="2E592104">
            <w:pPr>
              <w:rPr>
                <w:rFonts w:hint="eastAsia" w:ascii="宋体" w:hAnsi="宋体" w:cs="宋体"/>
                <w:color w:val="auto"/>
                <w:szCs w:val="21"/>
              </w:rPr>
            </w:pPr>
          </w:p>
        </w:tc>
        <w:tc>
          <w:tcPr>
            <w:tcW w:w="1215" w:type="dxa"/>
            <w:noWrap w:val="0"/>
            <w:vAlign w:val="center"/>
          </w:tcPr>
          <w:p w14:paraId="30D97D7E">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34520B0B">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20</w:t>
            </w:r>
            <w:r>
              <w:rPr>
                <w:rFonts w:hint="eastAsia"/>
                <w:color w:val="auto"/>
                <w:spacing w:val="-12"/>
                <w:szCs w:val="21"/>
                <w:lang w:eastAsia="zh-CN"/>
              </w:rPr>
              <w:t xml:space="preserve">人及以上，且营业收入 </w:t>
            </w:r>
            <w:r>
              <w:rPr>
                <w:rFonts w:hint="eastAsia"/>
                <w:color w:val="auto"/>
                <w:szCs w:val="21"/>
                <w:lang w:eastAsia="zh-CN"/>
              </w:rPr>
              <w:t>300</w:t>
            </w:r>
            <w:r>
              <w:rPr>
                <w:rFonts w:hint="eastAsia"/>
                <w:color w:val="auto"/>
                <w:spacing w:val="-9"/>
                <w:szCs w:val="21"/>
                <w:lang w:eastAsia="zh-CN"/>
              </w:rPr>
              <w:t xml:space="preserve"> 万元及以上的</w:t>
            </w:r>
          </w:p>
        </w:tc>
        <w:tc>
          <w:tcPr>
            <w:tcW w:w="752" w:type="dxa"/>
            <w:vMerge w:val="continue"/>
            <w:noWrap w:val="0"/>
            <w:vAlign w:val="center"/>
          </w:tcPr>
          <w:p w14:paraId="3B0E17DB">
            <w:pPr>
              <w:jc w:val="center"/>
              <w:rPr>
                <w:rFonts w:hint="eastAsia" w:ascii="宋体" w:hAnsi="宋体" w:cs="宋体"/>
                <w:color w:val="auto"/>
                <w:szCs w:val="21"/>
                <w:lang w:bidi="en-US"/>
              </w:rPr>
            </w:pPr>
          </w:p>
        </w:tc>
      </w:tr>
      <w:tr w14:paraId="25CB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20D52286">
            <w:pPr>
              <w:jc w:val="center"/>
              <w:rPr>
                <w:rFonts w:hint="eastAsia" w:ascii="宋体" w:hAnsi="宋体" w:cs="宋体"/>
                <w:color w:val="auto"/>
                <w:szCs w:val="21"/>
              </w:rPr>
            </w:pPr>
          </w:p>
        </w:tc>
        <w:tc>
          <w:tcPr>
            <w:tcW w:w="860" w:type="dxa"/>
            <w:vMerge w:val="continue"/>
            <w:noWrap w:val="0"/>
            <w:vAlign w:val="center"/>
          </w:tcPr>
          <w:p w14:paraId="28F2EF04">
            <w:pPr>
              <w:jc w:val="center"/>
              <w:rPr>
                <w:rFonts w:hint="eastAsia" w:ascii="宋体" w:hAnsi="宋体" w:cs="宋体"/>
                <w:color w:val="auto"/>
                <w:szCs w:val="21"/>
              </w:rPr>
            </w:pPr>
          </w:p>
        </w:tc>
        <w:tc>
          <w:tcPr>
            <w:tcW w:w="2157" w:type="dxa"/>
            <w:vMerge w:val="continue"/>
            <w:noWrap w:val="0"/>
            <w:vAlign w:val="center"/>
          </w:tcPr>
          <w:p w14:paraId="069D9AB9">
            <w:pPr>
              <w:rPr>
                <w:rFonts w:hint="eastAsia" w:ascii="宋体" w:hAnsi="宋体" w:cs="宋体"/>
                <w:color w:val="auto"/>
                <w:szCs w:val="21"/>
              </w:rPr>
            </w:pPr>
          </w:p>
        </w:tc>
        <w:tc>
          <w:tcPr>
            <w:tcW w:w="1215" w:type="dxa"/>
            <w:noWrap w:val="0"/>
            <w:vAlign w:val="center"/>
          </w:tcPr>
          <w:p w14:paraId="27B15B91">
            <w:pPr>
              <w:pStyle w:val="74"/>
              <w:spacing w:before="68"/>
              <w:ind w:left="13"/>
              <w:jc w:val="center"/>
              <w:rPr>
                <w:rFonts w:hint="eastAsia"/>
                <w:color w:val="auto"/>
                <w:szCs w:val="21"/>
              </w:rPr>
            </w:pPr>
            <w:r>
              <w:rPr>
                <w:rFonts w:hint="eastAsia"/>
                <w:color w:val="auto"/>
                <w:szCs w:val="21"/>
              </w:rPr>
              <w:t>微型企业</w:t>
            </w:r>
          </w:p>
        </w:tc>
        <w:tc>
          <w:tcPr>
            <w:tcW w:w="4056" w:type="dxa"/>
            <w:noWrap w:val="0"/>
            <w:vAlign w:val="center"/>
          </w:tcPr>
          <w:p w14:paraId="03A02D64">
            <w:pPr>
              <w:pStyle w:val="74"/>
              <w:spacing w:before="68"/>
              <w:ind w:left="15"/>
              <w:rPr>
                <w:rFonts w:hint="eastAsia"/>
                <w:color w:val="auto"/>
                <w:szCs w:val="21"/>
                <w:lang w:eastAsia="zh-CN"/>
              </w:rPr>
            </w:pPr>
            <w:r>
              <w:rPr>
                <w:rFonts w:hint="eastAsia"/>
                <w:color w:val="auto"/>
                <w:szCs w:val="21"/>
                <w:lang w:eastAsia="zh-CN"/>
              </w:rPr>
              <w:t>从业人员20人以下或营业收入300 万元以下的</w:t>
            </w:r>
          </w:p>
        </w:tc>
        <w:tc>
          <w:tcPr>
            <w:tcW w:w="752" w:type="dxa"/>
            <w:vMerge w:val="continue"/>
            <w:noWrap w:val="0"/>
            <w:vAlign w:val="center"/>
          </w:tcPr>
          <w:p w14:paraId="2042E85D">
            <w:pPr>
              <w:jc w:val="center"/>
              <w:rPr>
                <w:rFonts w:hint="eastAsia" w:ascii="宋体" w:hAnsi="宋体" w:cs="宋体"/>
                <w:color w:val="auto"/>
                <w:szCs w:val="21"/>
                <w:lang w:bidi="en-US"/>
              </w:rPr>
            </w:pPr>
          </w:p>
        </w:tc>
      </w:tr>
      <w:tr w14:paraId="213DE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jc w:val="center"/>
        </w:trPr>
        <w:tc>
          <w:tcPr>
            <w:tcW w:w="524" w:type="dxa"/>
            <w:vMerge w:val="restart"/>
            <w:noWrap w:val="0"/>
            <w:vAlign w:val="center"/>
          </w:tcPr>
          <w:p w14:paraId="165827E2">
            <w:pPr>
              <w:pStyle w:val="74"/>
              <w:jc w:val="center"/>
              <w:rPr>
                <w:rFonts w:hint="eastAsia"/>
                <w:b/>
                <w:color w:val="auto"/>
                <w:szCs w:val="21"/>
                <w:lang w:eastAsia="zh-CN"/>
              </w:rPr>
            </w:pPr>
          </w:p>
          <w:p w14:paraId="01D62323">
            <w:pPr>
              <w:pStyle w:val="74"/>
              <w:spacing w:before="15"/>
              <w:jc w:val="center"/>
              <w:rPr>
                <w:rFonts w:hint="eastAsia"/>
                <w:b/>
                <w:color w:val="auto"/>
                <w:szCs w:val="21"/>
                <w:lang w:eastAsia="zh-CN"/>
              </w:rPr>
            </w:pPr>
          </w:p>
          <w:p w14:paraId="6C38A810">
            <w:pPr>
              <w:pStyle w:val="74"/>
              <w:ind w:left="8"/>
              <w:jc w:val="center"/>
              <w:rPr>
                <w:rFonts w:hint="eastAsia"/>
                <w:color w:val="auto"/>
                <w:szCs w:val="21"/>
              </w:rPr>
            </w:pPr>
            <w:r>
              <w:rPr>
                <w:rFonts w:hint="eastAsia"/>
                <w:color w:val="auto"/>
                <w:w w:val="99"/>
                <w:szCs w:val="21"/>
              </w:rPr>
              <w:t>3</w:t>
            </w:r>
          </w:p>
        </w:tc>
        <w:tc>
          <w:tcPr>
            <w:tcW w:w="860" w:type="dxa"/>
            <w:vMerge w:val="restart"/>
            <w:noWrap w:val="0"/>
            <w:vAlign w:val="center"/>
          </w:tcPr>
          <w:p w14:paraId="762B3A5F">
            <w:pPr>
              <w:pStyle w:val="74"/>
              <w:jc w:val="center"/>
              <w:rPr>
                <w:rFonts w:hint="eastAsia"/>
                <w:b/>
                <w:color w:val="auto"/>
                <w:szCs w:val="21"/>
              </w:rPr>
            </w:pPr>
          </w:p>
          <w:p w14:paraId="21D1C793">
            <w:pPr>
              <w:pStyle w:val="74"/>
              <w:spacing w:before="2"/>
              <w:jc w:val="center"/>
              <w:rPr>
                <w:rFonts w:hint="eastAsia"/>
                <w:b/>
                <w:color w:val="auto"/>
                <w:szCs w:val="21"/>
              </w:rPr>
            </w:pPr>
          </w:p>
          <w:p w14:paraId="038CA02E">
            <w:pPr>
              <w:pStyle w:val="74"/>
              <w:ind w:left="13"/>
              <w:jc w:val="center"/>
              <w:rPr>
                <w:rFonts w:hint="eastAsia"/>
                <w:color w:val="auto"/>
                <w:szCs w:val="21"/>
              </w:rPr>
            </w:pPr>
            <w:r>
              <w:rPr>
                <w:rFonts w:hint="eastAsia"/>
                <w:color w:val="auto"/>
                <w:szCs w:val="21"/>
              </w:rPr>
              <w:t>建筑业</w:t>
            </w:r>
          </w:p>
        </w:tc>
        <w:tc>
          <w:tcPr>
            <w:tcW w:w="2157" w:type="dxa"/>
            <w:vMerge w:val="restart"/>
            <w:noWrap w:val="0"/>
            <w:vAlign w:val="center"/>
          </w:tcPr>
          <w:p w14:paraId="57ED19D5">
            <w:pPr>
              <w:pStyle w:val="74"/>
              <w:ind w:left="15"/>
              <w:rPr>
                <w:rFonts w:hint="eastAsia"/>
                <w:b/>
                <w:color w:val="auto"/>
                <w:szCs w:val="21"/>
                <w:lang w:eastAsia="zh-CN"/>
              </w:rPr>
            </w:pPr>
          </w:p>
          <w:p w14:paraId="4EB0827C">
            <w:pPr>
              <w:pStyle w:val="74"/>
              <w:ind w:left="15"/>
              <w:rPr>
                <w:rFonts w:hint="eastAsia"/>
                <w:color w:val="auto"/>
                <w:szCs w:val="21"/>
                <w:lang w:eastAsia="zh-CN"/>
              </w:rPr>
            </w:pPr>
            <w:r>
              <w:rPr>
                <w:rFonts w:hint="eastAsia"/>
                <w:color w:val="auto"/>
                <w:szCs w:val="21"/>
                <w:lang w:eastAsia="zh-CN"/>
              </w:rPr>
              <w:t>营业收入80000万元以下或资产总额80000 万元以下的为中小微型企业</w:t>
            </w:r>
          </w:p>
        </w:tc>
        <w:tc>
          <w:tcPr>
            <w:tcW w:w="1215" w:type="dxa"/>
            <w:noWrap w:val="0"/>
            <w:vAlign w:val="center"/>
          </w:tcPr>
          <w:p w14:paraId="6D8FF38F">
            <w:pPr>
              <w:pStyle w:val="74"/>
              <w:spacing w:before="68"/>
              <w:ind w:left="13"/>
              <w:jc w:val="center"/>
              <w:rPr>
                <w:rFonts w:hint="eastAsia"/>
                <w:color w:val="auto"/>
                <w:szCs w:val="21"/>
              </w:rPr>
            </w:pPr>
            <w:r>
              <w:rPr>
                <w:rFonts w:hint="eastAsia"/>
                <w:color w:val="auto"/>
                <w:szCs w:val="21"/>
              </w:rPr>
              <w:t>中型企业</w:t>
            </w:r>
          </w:p>
        </w:tc>
        <w:tc>
          <w:tcPr>
            <w:tcW w:w="4056" w:type="dxa"/>
            <w:noWrap w:val="0"/>
            <w:vAlign w:val="center"/>
          </w:tcPr>
          <w:p w14:paraId="3E9AA3D0">
            <w:pPr>
              <w:pStyle w:val="74"/>
              <w:spacing w:before="49"/>
              <w:ind w:left="15"/>
              <w:rPr>
                <w:rFonts w:hint="eastAsia"/>
                <w:color w:val="auto"/>
                <w:szCs w:val="21"/>
                <w:lang w:eastAsia="zh-CN"/>
              </w:rPr>
            </w:pPr>
            <w:r>
              <w:rPr>
                <w:rFonts w:hint="eastAsia"/>
                <w:color w:val="auto"/>
                <w:spacing w:val="-9"/>
                <w:szCs w:val="21"/>
                <w:lang w:eastAsia="zh-CN"/>
              </w:rPr>
              <w:t xml:space="preserve">营业收入 </w:t>
            </w:r>
            <w:r>
              <w:rPr>
                <w:rFonts w:hint="eastAsia"/>
                <w:color w:val="auto"/>
                <w:szCs w:val="21"/>
                <w:lang w:eastAsia="zh-CN"/>
              </w:rPr>
              <w:t>6000</w:t>
            </w:r>
            <w:r>
              <w:rPr>
                <w:rFonts w:hint="eastAsia"/>
                <w:color w:val="auto"/>
                <w:spacing w:val="-6"/>
                <w:szCs w:val="21"/>
                <w:lang w:eastAsia="zh-CN"/>
              </w:rPr>
              <w:t xml:space="preserve"> 万元及以上，且资产总额 </w:t>
            </w:r>
            <w:r>
              <w:rPr>
                <w:rFonts w:hint="eastAsia"/>
                <w:color w:val="auto"/>
                <w:szCs w:val="21"/>
                <w:lang w:eastAsia="zh-CN"/>
              </w:rPr>
              <w:t>5000</w:t>
            </w:r>
            <w:r>
              <w:rPr>
                <w:rFonts w:hint="eastAsia"/>
                <w:color w:val="auto"/>
                <w:spacing w:val="-8"/>
                <w:szCs w:val="21"/>
                <w:lang w:eastAsia="zh-CN"/>
              </w:rPr>
              <w:t xml:space="preserve"> 万元及以</w:t>
            </w:r>
            <w:r>
              <w:rPr>
                <w:rFonts w:hint="eastAsia"/>
                <w:color w:val="auto"/>
                <w:szCs w:val="21"/>
                <w:lang w:eastAsia="zh-CN"/>
              </w:rPr>
              <w:t>上的</w:t>
            </w:r>
          </w:p>
        </w:tc>
        <w:tc>
          <w:tcPr>
            <w:tcW w:w="752" w:type="dxa"/>
            <w:vMerge w:val="restart"/>
            <w:noWrap w:val="0"/>
            <w:vAlign w:val="center"/>
          </w:tcPr>
          <w:p w14:paraId="5F344C64">
            <w:pPr>
              <w:pStyle w:val="74"/>
              <w:ind w:left="15"/>
              <w:rPr>
                <w:rFonts w:hint="eastAsia"/>
                <w:color w:val="auto"/>
                <w:szCs w:val="21"/>
                <w:lang w:eastAsia="zh-CN"/>
              </w:rPr>
            </w:pPr>
          </w:p>
          <w:p w14:paraId="5F1CFC6F">
            <w:pPr>
              <w:pStyle w:val="74"/>
              <w:ind w:left="15"/>
              <w:rPr>
                <w:rFonts w:hint="eastAsia"/>
                <w:color w:val="auto"/>
                <w:szCs w:val="21"/>
                <w:lang w:eastAsia="zh-CN"/>
              </w:rPr>
            </w:pPr>
            <w:r>
              <w:rPr>
                <w:rFonts w:hint="eastAsia"/>
                <w:color w:val="auto"/>
                <w:szCs w:val="21"/>
                <w:lang w:eastAsia="zh-CN"/>
              </w:rPr>
              <w:t>营业收入资产总额</w:t>
            </w:r>
          </w:p>
        </w:tc>
      </w:tr>
      <w:tr w14:paraId="347BB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0C99E89D">
            <w:pPr>
              <w:jc w:val="center"/>
              <w:rPr>
                <w:rFonts w:hint="eastAsia" w:ascii="宋体" w:hAnsi="宋体" w:cs="宋体"/>
                <w:color w:val="auto"/>
                <w:szCs w:val="21"/>
              </w:rPr>
            </w:pPr>
          </w:p>
        </w:tc>
        <w:tc>
          <w:tcPr>
            <w:tcW w:w="860" w:type="dxa"/>
            <w:vMerge w:val="continue"/>
            <w:noWrap w:val="0"/>
            <w:vAlign w:val="center"/>
          </w:tcPr>
          <w:p w14:paraId="50C93530">
            <w:pPr>
              <w:jc w:val="center"/>
              <w:rPr>
                <w:rFonts w:hint="eastAsia" w:ascii="宋体" w:hAnsi="宋体" w:cs="宋体"/>
                <w:color w:val="auto"/>
                <w:szCs w:val="21"/>
              </w:rPr>
            </w:pPr>
          </w:p>
        </w:tc>
        <w:tc>
          <w:tcPr>
            <w:tcW w:w="2157" w:type="dxa"/>
            <w:vMerge w:val="continue"/>
            <w:noWrap w:val="0"/>
            <w:vAlign w:val="center"/>
          </w:tcPr>
          <w:p w14:paraId="2424CEF7">
            <w:pPr>
              <w:rPr>
                <w:rFonts w:hint="eastAsia" w:ascii="宋体" w:hAnsi="宋体" w:cs="宋体"/>
                <w:color w:val="auto"/>
                <w:szCs w:val="21"/>
              </w:rPr>
            </w:pPr>
          </w:p>
        </w:tc>
        <w:tc>
          <w:tcPr>
            <w:tcW w:w="1215" w:type="dxa"/>
            <w:noWrap w:val="0"/>
            <w:vAlign w:val="center"/>
          </w:tcPr>
          <w:p w14:paraId="6E24EB65">
            <w:pPr>
              <w:pStyle w:val="74"/>
              <w:spacing w:before="68"/>
              <w:ind w:left="13"/>
              <w:jc w:val="center"/>
              <w:rPr>
                <w:rFonts w:hint="eastAsia"/>
                <w:color w:val="auto"/>
                <w:szCs w:val="21"/>
              </w:rPr>
            </w:pPr>
            <w:r>
              <w:rPr>
                <w:rFonts w:hint="eastAsia"/>
                <w:color w:val="auto"/>
                <w:szCs w:val="21"/>
              </w:rPr>
              <w:t>小型企业</w:t>
            </w:r>
          </w:p>
        </w:tc>
        <w:tc>
          <w:tcPr>
            <w:tcW w:w="4056" w:type="dxa"/>
            <w:noWrap w:val="0"/>
            <w:vAlign w:val="center"/>
          </w:tcPr>
          <w:p w14:paraId="7A1314BE">
            <w:pPr>
              <w:pStyle w:val="74"/>
              <w:spacing w:before="45"/>
              <w:ind w:left="15"/>
              <w:rPr>
                <w:rFonts w:hint="eastAsia"/>
                <w:color w:val="auto"/>
                <w:szCs w:val="21"/>
                <w:lang w:eastAsia="zh-CN"/>
              </w:rPr>
            </w:pPr>
            <w:r>
              <w:rPr>
                <w:rFonts w:hint="eastAsia"/>
                <w:color w:val="auto"/>
                <w:spacing w:val="-8"/>
                <w:szCs w:val="21"/>
                <w:lang w:eastAsia="zh-CN"/>
              </w:rPr>
              <w:t xml:space="preserve">营业收入 </w:t>
            </w:r>
            <w:r>
              <w:rPr>
                <w:rFonts w:hint="eastAsia"/>
                <w:color w:val="auto"/>
                <w:szCs w:val="21"/>
                <w:lang w:eastAsia="zh-CN"/>
              </w:rPr>
              <w:t>300</w:t>
            </w:r>
            <w:r>
              <w:rPr>
                <w:rFonts w:hint="eastAsia"/>
                <w:color w:val="auto"/>
                <w:spacing w:val="-7"/>
                <w:szCs w:val="21"/>
                <w:lang w:eastAsia="zh-CN"/>
              </w:rPr>
              <w:t xml:space="preserve">万元及以上，且资产总额 </w:t>
            </w:r>
            <w:r>
              <w:rPr>
                <w:rFonts w:hint="eastAsia"/>
                <w:color w:val="auto"/>
                <w:szCs w:val="21"/>
                <w:lang w:eastAsia="zh-CN"/>
              </w:rPr>
              <w:t>300</w:t>
            </w:r>
            <w:r>
              <w:rPr>
                <w:rFonts w:hint="eastAsia"/>
                <w:color w:val="auto"/>
                <w:spacing w:val="-8"/>
                <w:szCs w:val="21"/>
                <w:lang w:eastAsia="zh-CN"/>
              </w:rPr>
              <w:t xml:space="preserve"> 万元及以</w:t>
            </w:r>
            <w:r>
              <w:rPr>
                <w:rFonts w:hint="eastAsia"/>
                <w:color w:val="auto"/>
                <w:szCs w:val="21"/>
                <w:lang w:eastAsia="zh-CN"/>
              </w:rPr>
              <w:t>上的</w:t>
            </w:r>
          </w:p>
        </w:tc>
        <w:tc>
          <w:tcPr>
            <w:tcW w:w="752" w:type="dxa"/>
            <w:vMerge w:val="continue"/>
            <w:noWrap w:val="0"/>
            <w:vAlign w:val="center"/>
          </w:tcPr>
          <w:p w14:paraId="07CDA26D">
            <w:pPr>
              <w:jc w:val="center"/>
              <w:rPr>
                <w:rFonts w:hint="eastAsia" w:ascii="宋体" w:hAnsi="宋体" w:cs="宋体"/>
                <w:color w:val="auto"/>
                <w:szCs w:val="21"/>
                <w:lang w:bidi="en-US"/>
              </w:rPr>
            </w:pPr>
          </w:p>
        </w:tc>
      </w:tr>
      <w:tr w14:paraId="78B48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jc w:val="center"/>
        </w:trPr>
        <w:tc>
          <w:tcPr>
            <w:tcW w:w="524" w:type="dxa"/>
            <w:vMerge w:val="continue"/>
            <w:noWrap w:val="0"/>
            <w:vAlign w:val="center"/>
          </w:tcPr>
          <w:p w14:paraId="79E8FA3A">
            <w:pPr>
              <w:jc w:val="center"/>
              <w:rPr>
                <w:rFonts w:hint="eastAsia" w:ascii="宋体" w:hAnsi="宋体" w:cs="宋体"/>
                <w:color w:val="auto"/>
                <w:szCs w:val="21"/>
              </w:rPr>
            </w:pPr>
          </w:p>
        </w:tc>
        <w:tc>
          <w:tcPr>
            <w:tcW w:w="860" w:type="dxa"/>
            <w:vMerge w:val="continue"/>
            <w:noWrap w:val="0"/>
            <w:vAlign w:val="center"/>
          </w:tcPr>
          <w:p w14:paraId="36482AD4">
            <w:pPr>
              <w:jc w:val="center"/>
              <w:rPr>
                <w:rFonts w:hint="eastAsia" w:ascii="宋体" w:hAnsi="宋体" w:cs="宋体"/>
                <w:color w:val="auto"/>
                <w:szCs w:val="21"/>
              </w:rPr>
            </w:pPr>
          </w:p>
        </w:tc>
        <w:tc>
          <w:tcPr>
            <w:tcW w:w="2157" w:type="dxa"/>
            <w:vMerge w:val="continue"/>
            <w:noWrap w:val="0"/>
            <w:vAlign w:val="center"/>
          </w:tcPr>
          <w:p w14:paraId="2A315E7C">
            <w:pPr>
              <w:rPr>
                <w:rFonts w:hint="eastAsia" w:ascii="宋体" w:hAnsi="宋体" w:cs="宋体"/>
                <w:color w:val="auto"/>
                <w:szCs w:val="21"/>
              </w:rPr>
            </w:pPr>
          </w:p>
        </w:tc>
        <w:tc>
          <w:tcPr>
            <w:tcW w:w="1215" w:type="dxa"/>
            <w:noWrap w:val="0"/>
            <w:vAlign w:val="center"/>
          </w:tcPr>
          <w:p w14:paraId="431A7404">
            <w:pPr>
              <w:pStyle w:val="74"/>
              <w:spacing w:before="68"/>
              <w:ind w:left="13"/>
              <w:jc w:val="center"/>
              <w:rPr>
                <w:rFonts w:hint="eastAsia"/>
                <w:color w:val="auto"/>
                <w:szCs w:val="21"/>
              </w:rPr>
            </w:pPr>
            <w:r>
              <w:rPr>
                <w:rFonts w:hint="eastAsia"/>
                <w:color w:val="auto"/>
                <w:szCs w:val="21"/>
              </w:rPr>
              <w:t>微型企业</w:t>
            </w:r>
          </w:p>
        </w:tc>
        <w:tc>
          <w:tcPr>
            <w:tcW w:w="4056" w:type="dxa"/>
            <w:noWrap w:val="0"/>
            <w:vAlign w:val="center"/>
          </w:tcPr>
          <w:p w14:paraId="2F0457FE">
            <w:pPr>
              <w:pStyle w:val="74"/>
              <w:spacing w:before="68"/>
              <w:ind w:left="15"/>
              <w:rPr>
                <w:rFonts w:hint="eastAsia"/>
                <w:color w:val="auto"/>
                <w:szCs w:val="21"/>
                <w:lang w:eastAsia="zh-CN"/>
              </w:rPr>
            </w:pPr>
            <w:r>
              <w:rPr>
                <w:rFonts w:hint="eastAsia"/>
                <w:color w:val="auto"/>
                <w:szCs w:val="21"/>
                <w:lang w:eastAsia="zh-CN"/>
              </w:rPr>
              <w:t>营业收入300万元以下或资产总额300万元以下的</w:t>
            </w:r>
          </w:p>
        </w:tc>
        <w:tc>
          <w:tcPr>
            <w:tcW w:w="752" w:type="dxa"/>
            <w:vMerge w:val="continue"/>
            <w:noWrap w:val="0"/>
            <w:vAlign w:val="center"/>
          </w:tcPr>
          <w:p w14:paraId="591DA44B">
            <w:pPr>
              <w:jc w:val="center"/>
              <w:rPr>
                <w:rFonts w:hint="eastAsia" w:ascii="宋体" w:hAnsi="宋体" w:cs="宋体"/>
                <w:color w:val="auto"/>
                <w:szCs w:val="21"/>
                <w:lang w:bidi="en-US"/>
              </w:rPr>
            </w:pPr>
          </w:p>
        </w:tc>
      </w:tr>
      <w:tr w14:paraId="2D610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580FDA2B">
            <w:pPr>
              <w:pStyle w:val="74"/>
              <w:spacing w:before="7"/>
              <w:jc w:val="center"/>
              <w:rPr>
                <w:rFonts w:hint="eastAsia"/>
                <w:b/>
                <w:color w:val="auto"/>
                <w:szCs w:val="21"/>
                <w:lang w:eastAsia="zh-CN"/>
              </w:rPr>
            </w:pPr>
          </w:p>
          <w:p w14:paraId="1958B48E">
            <w:pPr>
              <w:pStyle w:val="74"/>
              <w:ind w:left="8"/>
              <w:jc w:val="center"/>
              <w:rPr>
                <w:rFonts w:hint="eastAsia"/>
                <w:color w:val="auto"/>
                <w:szCs w:val="21"/>
              </w:rPr>
            </w:pPr>
            <w:r>
              <w:rPr>
                <w:rFonts w:hint="eastAsia"/>
                <w:color w:val="auto"/>
                <w:w w:val="99"/>
                <w:szCs w:val="21"/>
              </w:rPr>
              <w:t>4</w:t>
            </w:r>
          </w:p>
        </w:tc>
        <w:tc>
          <w:tcPr>
            <w:tcW w:w="860" w:type="dxa"/>
            <w:vMerge w:val="restart"/>
            <w:noWrap w:val="0"/>
            <w:vAlign w:val="center"/>
          </w:tcPr>
          <w:p w14:paraId="45EE8429">
            <w:pPr>
              <w:pStyle w:val="74"/>
              <w:spacing w:before="12"/>
              <w:jc w:val="center"/>
              <w:rPr>
                <w:rFonts w:hint="eastAsia"/>
                <w:b/>
                <w:color w:val="auto"/>
                <w:szCs w:val="21"/>
              </w:rPr>
            </w:pPr>
          </w:p>
          <w:p w14:paraId="49764581">
            <w:pPr>
              <w:pStyle w:val="74"/>
              <w:ind w:left="13"/>
              <w:jc w:val="center"/>
              <w:rPr>
                <w:rFonts w:hint="eastAsia"/>
                <w:color w:val="auto"/>
                <w:szCs w:val="21"/>
              </w:rPr>
            </w:pPr>
            <w:r>
              <w:rPr>
                <w:rFonts w:hint="eastAsia"/>
                <w:color w:val="auto"/>
                <w:szCs w:val="21"/>
              </w:rPr>
              <w:t>批发业</w:t>
            </w:r>
          </w:p>
        </w:tc>
        <w:tc>
          <w:tcPr>
            <w:tcW w:w="2157" w:type="dxa"/>
            <w:vMerge w:val="restart"/>
            <w:noWrap w:val="0"/>
            <w:vAlign w:val="center"/>
          </w:tcPr>
          <w:p w14:paraId="7DDC7B6A">
            <w:pPr>
              <w:pStyle w:val="74"/>
              <w:spacing w:before="142"/>
              <w:ind w:left="15"/>
              <w:rPr>
                <w:rFonts w:hint="eastAsia"/>
                <w:color w:val="auto"/>
                <w:szCs w:val="21"/>
                <w:lang w:eastAsia="zh-CN"/>
              </w:rPr>
            </w:pPr>
            <w:r>
              <w:rPr>
                <w:rFonts w:hint="eastAsia"/>
                <w:color w:val="auto"/>
                <w:szCs w:val="21"/>
                <w:lang w:eastAsia="zh-CN"/>
              </w:rPr>
              <w:t>从业人员200人以下或营业收入40000 万元以下的为中小微型企业</w:t>
            </w:r>
          </w:p>
        </w:tc>
        <w:tc>
          <w:tcPr>
            <w:tcW w:w="1215" w:type="dxa"/>
            <w:noWrap w:val="0"/>
            <w:vAlign w:val="center"/>
          </w:tcPr>
          <w:p w14:paraId="26F5677D">
            <w:pPr>
              <w:pStyle w:val="74"/>
              <w:spacing w:before="68"/>
              <w:ind w:left="13"/>
              <w:jc w:val="center"/>
              <w:rPr>
                <w:rFonts w:hint="eastAsia"/>
                <w:color w:val="auto"/>
                <w:szCs w:val="21"/>
              </w:rPr>
            </w:pPr>
            <w:r>
              <w:rPr>
                <w:rFonts w:hint="eastAsia"/>
                <w:color w:val="auto"/>
                <w:szCs w:val="21"/>
              </w:rPr>
              <w:t>中型企业</w:t>
            </w:r>
          </w:p>
        </w:tc>
        <w:tc>
          <w:tcPr>
            <w:tcW w:w="4056" w:type="dxa"/>
            <w:noWrap w:val="0"/>
            <w:vAlign w:val="center"/>
          </w:tcPr>
          <w:p w14:paraId="335C453D">
            <w:pPr>
              <w:pStyle w:val="74"/>
              <w:spacing w:before="68"/>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20</w:t>
            </w:r>
            <w:r>
              <w:rPr>
                <w:rFonts w:hint="eastAsia"/>
                <w:color w:val="auto"/>
                <w:spacing w:val="-12"/>
                <w:szCs w:val="21"/>
                <w:lang w:eastAsia="zh-CN"/>
              </w:rPr>
              <w:t xml:space="preserve">人及以上，且营业收入 </w:t>
            </w:r>
            <w:r>
              <w:rPr>
                <w:rFonts w:hint="eastAsia"/>
                <w:color w:val="auto"/>
                <w:szCs w:val="21"/>
                <w:lang w:eastAsia="zh-CN"/>
              </w:rPr>
              <w:t>5000</w:t>
            </w:r>
            <w:r>
              <w:rPr>
                <w:rFonts w:hint="eastAsia"/>
                <w:color w:val="auto"/>
                <w:spacing w:val="-9"/>
                <w:szCs w:val="21"/>
                <w:lang w:eastAsia="zh-CN"/>
              </w:rPr>
              <w:t xml:space="preserve"> 万元及以上的</w:t>
            </w:r>
          </w:p>
        </w:tc>
        <w:tc>
          <w:tcPr>
            <w:tcW w:w="752" w:type="dxa"/>
            <w:vMerge w:val="restart"/>
            <w:noWrap w:val="0"/>
            <w:vAlign w:val="center"/>
          </w:tcPr>
          <w:p w14:paraId="248F8F54">
            <w:pPr>
              <w:pStyle w:val="74"/>
              <w:ind w:left="15"/>
              <w:rPr>
                <w:rFonts w:hint="eastAsia"/>
                <w:color w:val="auto"/>
                <w:szCs w:val="21"/>
                <w:lang w:eastAsia="zh-CN"/>
              </w:rPr>
            </w:pPr>
            <w:r>
              <w:rPr>
                <w:rFonts w:hint="eastAsia"/>
                <w:color w:val="auto"/>
                <w:szCs w:val="21"/>
                <w:lang w:eastAsia="zh-CN"/>
              </w:rPr>
              <w:t>从业人员营业收入</w:t>
            </w:r>
          </w:p>
        </w:tc>
      </w:tr>
      <w:tr w14:paraId="28675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6A07699C">
            <w:pPr>
              <w:jc w:val="center"/>
              <w:rPr>
                <w:rFonts w:hint="eastAsia" w:ascii="宋体" w:hAnsi="宋体" w:cs="宋体"/>
                <w:color w:val="auto"/>
                <w:szCs w:val="21"/>
              </w:rPr>
            </w:pPr>
          </w:p>
        </w:tc>
        <w:tc>
          <w:tcPr>
            <w:tcW w:w="860" w:type="dxa"/>
            <w:vMerge w:val="continue"/>
            <w:noWrap w:val="0"/>
            <w:vAlign w:val="center"/>
          </w:tcPr>
          <w:p w14:paraId="2765DE66">
            <w:pPr>
              <w:jc w:val="center"/>
              <w:rPr>
                <w:rFonts w:hint="eastAsia" w:ascii="宋体" w:hAnsi="宋体" w:cs="宋体"/>
                <w:color w:val="auto"/>
                <w:szCs w:val="21"/>
              </w:rPr>
            </w:pPr>
          </w:p>
        </w:tc>
        <w:tc>
          <w:tcPr>
            <w:tcW w:w="2157" w:type="dxa"/>
            <w:vMerge w:val="continue"/>
            <w:noWrap w:val="0"/>
            <w:vAlign w:val="center"/>
          </w:tcPr>
          <w:p w14:paraId="3AA47AC9">
            <w:pPr>
              <w:rPr>
                <w:rFonts w:hint="eastAsia" w:ascii="宋体" w:hAnsi="宋体" w:cs="宋体"/>
                <w:color w:val="auto"/>
                <w:szCs w:val="21"/>
              </w:rPr>
            </w:pPr>
          </w:p>
        </w:tc>
        <w:tc>
          <w:tcPr>
            <w:tcW w:w="1215" w:type="dxa"/>
            <w:noWrap w:val="0"/>
            <w:vAlign w:val="center"/>
          </w:tcPr>
          <w:p w14:paraId="6D5AB988">
            <w:pPr>
              <w:pStyle w:val="74"/>
              <w:spacing w:before="69"/>
              <w:ind w:left="13"/>
              <w:jc w:val="center"/>
              <w:rPr>
                <w:rFonts w:hint="eastAsia"/>
                <w:color w:val="auto"/>
                <w:szCs w:val="21"/>
              </w:rPr>
            </w:pPr>
            <w:r>
              <w:rPr>
                <w:rFonts w:hint="eastAsia"/>
                <w:color w:val="auto"/>
                <w:szCs w:val="21"/>
              </w:rPr>
              <w:t>小型企业</w:t>
            </w:r>
          </w:p>
        </w:tc>
        <w:tc>
          <w:tcPr>
            <w:tcW w:w="4056" w:type="dxa"/>
            <w:noWrap w:val="0"/>
            <w:vAlign w:val="center"/>
          </w:tcPr>
          <w:p w14:paraId="784207CE">
            <w:pPr>
              <w:pStyle w:val="74"/>
              <w:spacing w:before="69"/>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5</w:t>
            </w:r>
            <w:r>
              <w:rPr>
                <w:rFonts w:hint="eastAsia"/>
                <w:color w:val="auto"/>
                <w:spacing w:val="-12"/>
                <w:szCs w:val="21"/>
                <w:lang w:eastAsia="zh-CN"/>
              </w:rPr>
              <w:t>人及以上，且营业收入</w:t>
            </w:r>
            <w:r>
              <w:rPr>
                <w:rFonts w:hint="eastAsia"/>
                <w:color w:val="auto"/>
                <w:szCs w:val="21"/>
                <w:lang w:eastAsia="zh-CN"/>
              </w:rPr>
              <w:t>1000</w:t>
            </w:r>
            <w:r>
              <w:rPr>
                <w:rFonts w:hint="eastAsia"/>
                <w:color w:val="auto"/>
                <w:spacing w:val="-9"/>
                <w:szCs w:val="21"/>
                <w:lang w:eastAsia="zh-CN"/>
              </w:rPr>
              <w:t>万元及以上的</w:t>
            </w:r>
          </w:p>
        </w:tc>
        <w:tc>
          <w:tcPr>
            <w:tcW w:w="752" w:type="dxa"/>
            <w:vMerge w:val="continue"/>
            <w:noWrap w:val="0"/>
            <w:vAlign w:val="center"/>
          </w:tcPr>
          <w:p w14:paraId="3C161B19">
            <w:pPr>
              <w:jc w:val="center"/>
              <w:rPr>
                <w:rFonts w:hint="eastAsia" w:ascii="宋体" w:hAnsi="宋体" w:cs="宋体"/>
                <w:color w:val="auto"/>
                <w:szCs w:val="21"/>
                <w:lang w:bidi="en-US"/>
              </w:rPr>
            </w:pPr>
          </w:p>
        </w:tc>
      </w:tr>
      <w:tr w14:paraId="186AC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7416A69B">
            <w:pPr>
              <w:jc w:val="center"/>
              <w:rPr>
                <w:rFonts w:hint="eastAsia" w:ascii="宋体" w:hAnsi="宋体" w:cs="宋体"/>
                <w:color w:val="auto"/>
                <w:szCs w:val="21"/>
              </w:rPr>
            </w:pPr>
          </w:p>
        </w:tc>
        <w:tc>
          <w:tcPr>
            <w:tcW w:w="860" w:type="dxa"/>
            <w:vMerge w:val="continue"/>
            <w:noWrap w:val="0"/>
            <w:vAlign w:val="center"/>
          </w:tcPr>
          <w:p w14:paraId="63CA3A5A">
            <w:pPr>
              <w:jc w:val="center"/>
              <w:rPr>
                <w:rFonts w:hint="eastAsia" w:ascii="宋体" w:hAnsi="宋体" w:cs="宋体"/>
                <w:color w:val="auto"/>
                <w:szCs w:val="21"/>
              </w:rPr>
            </w:pPr>
          </w:p>
        </w:tc>
        <w:tc>
          <w:tcPr>
            <w:tcW w:w="2157" w:type="dxa"/>
            <w:vMerge w:val="continue"/>
            <w:noWrap w:val="0"/>
            <w:vAlign w:val="center"/>
          </w:tcPr>
          <w:p w14:paraId="44142DE8">
            <w:pPr>
              <w:rPr>
                <w:rFonts w:hint="eastAsia" w:ascii="宋体" w:hAnsi="宋体" w:cs="宋体"/>
                <w:color w:val="auto"/>
                <w:szCs w:val="21"/>
              </w:rPr>
            </w:pPr>
          </w:p>
        </w:tc>
        <w:tc>
          <w:tcPr>
            <w:tcW w:w="1215" w:type="dxa"/>
            <w:noWrap w:val="0"/>
            <w:vAlign w:val="center"/>
          </w:tcPr>
          <w:p w14:paraId="11FC163A">
            <w:pPr>
              <w:pStyle w:val="74"/>
              <w:spacing w:before="69"/>
              <w:ind w:left="13"/>
              <w:jc w:val="center"/>
              <w:rPr>
                <w:rFonts w:hint="eastAsia"/>
                <w:color w:val="auto"/>
                <w:szCs w:val="21"/>
              </w:rPr>
            </w:pPr>
            <w:r>
              <w:rPr>
                <w:rFonts w:hint="eastAsia"/>
                <w:color w:val="auto"/>
                <w:szCs w:val="21"/>
              </w:rPr>
              <w:t>微型企业</w:t>
            </w:r>
          </w:p>
        </w:tc>
        <w:tc>
          <w:tcPr>
            <w:tcW w:w="4056" w:type="dxa"/>
            <w:noWrap w:val="0"/>
            <w:vAlign w:val="center"/>
          </w:tcPr>
          <w:p w14:paraId="4F7FEF8B">
            <w:pPr>
              <w:pStyle w:val="74"/>
              <w:spacing w:before="69"/>
              <w:ind w:left="15"/>
              <w:rPr>
                <w:rFonts w:hint="eastAsia"/>
                <w:color w:val="auto"/>
                <w:szCs w:val="21"/>
                <w:lang w:eastAsia="zh-CN"/>
              </w:rPr>
            </w:pPr>
            <w:r>
              <w:rPr>
                <w:rFonts w:hint="eastAsia"/>
                <w:color w:val="auto"/>
                <w:szCs w:val="21"/>
                <w:lang w:eastAsia="zh-CN"/>
              </w:rPr>
              <w:t>从业人员5人以下或营业收入1000万元以下的</w:t>
            </w:r>
          </w:p>
        </w:tc>
        <w:tc>
          <w:tcPr>
            <w:tcW w:w="752" w:type="dxa"/>
            <w:vMerge w:val="continue"/>
            <w:noWrap w:val="0"/>
            <w:vAlign w:val="center"/>
          </w:tcPr>
          <w:p w14:paraId="2AF0FA21">
            <w:pPr>
              <w:jc w:val="center"/>
              <w:rPr>
                <w:rFonts w:hint="eastAsia" w:ascii="宋体" w:hAnsi="宋体" w:cs="宋体"/>
                <w:color w:val="auto"/>
                <w:szCs w:val="21"/>
                <w:lang w:bidi="en-US"/>
              </w:rPr>
            </w:pPr>
          </w:p>
        </w:tc>
      </w:tr>
      <w:tr w14:paraId="372C1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39178FA0">
            <w:pPr>
              <w:pStyle w:val="74"/>
              <w:spacing w:before="6"/>
              <w:jc w:val="center"/>
              <w:rPr>
                <w:rFonts w:hint="eastAsia"/>
                <w:b/>
                <w:color w:val="auto"/>
                <w:szCs w:val="21"/>
                <w:lang w:eastAsia="zh-CN"/>
              </w:rPr>
            </w:pPr>
          </w:p>
          <w:p w14:paraId="74755ABD">
            <w:pPr>
              <w:pStyle w:val="74"/>
              <w:ind w:left="8"/>
              <w:jc w:val="center"/>
              <w:rPr>
                <w:rFonts w:hint="eastAsia"/>
                <w:color w:val="auto"/>
                <w:szCs w:val="21"/>
              </w:rPr>
            </w:pPr>
            <w:r>
              <w:rPr>
                <w:rFonts w:hint="eastAsia"/>
                <w:color w:val="auto"/>
                <w:w w:val="99"/>
                <w:szCs w:val="21"/>
              </w:rPr>
              <w:t>5</w:t>
            </w:r>
          </w:p>
        </w:tc>
        <w:tc>
          <w:tcPr>
            <w:tcW w:w="860" w:type="dxa"/>
            <w:vMerge w:val="restart"/>
            <w:noWrap w:val="0"/>
            <w:vAlign w:val="center"/>
          </w:tcPr>
          <w:p w14:paraId="2CB4939F">
            <w:pPr>
              <w:pStyle w:val="74"/>
              <w:spacing w:before="11"/>
              <w:jc w:val="center"/>
              <w:rPr>
                <w:rFonts w:hint="eastAsia"/>
                <w:b/>
                <w:color w:val="auto"/>
                <w:szCs w:val="21"/>
              </w:rPr>
            </w:pPr>
          </w:p>
          <w:p w14:paraId="3DBFE976">
            <w:pPr>
              <w:pStyle w:val="74"/>
              <w:ind w:left="13"/>
              <w:jc w:val="center"/>
              <w:rPr>
                <w:rFonts w:hint="eastAsia"/>
                <w:color w:val="auto"/>
                <w:szCs w:val="21"/>
              </w:rPr>
            </w:pPr>
            <w:r>
              <w:rPr>
                <w:rFonts w:hint="eastAsia"/>
                <w:color w:val="auto"/>
                <w:szCs w:val="21"/>
              </w:rPr>
              <w:t>零售业</w:t>
            </w:r>
          </w:p>
        </w:tc>
        <w:tc>
          <w:tcPr>
            <w:tcW w:w="2157" w:type="dxa"/>
            <w:vMerge w:val="restart"/>
            <w:noWrap w:val="0"/>
            <w:vAlign w:val="center"/>
          </w:tcPr>
          <w:p w14:paraId="0E6CDFC5">
            <w:pPr>
              <w:pStyle w:val="74"/>
              <w:spacing w:before="141"/>
              <w:ind w:left="15"/>
              <w:rPr>
                <w:rFonts w:hint="eastAsia"/>
                <w:color w:val="auto"/>
                <w:szCs w:val="21"/>
                <w:lang w:eastAsia="zh-CN"/>
              </w:rPr>
            </w:pPr>
            <w:r>
              <w:rPr>
                <w:rFonts w:hint="eastAsia"/>
                <w:color w:val="auto"/>
                <w:szCs w:val="21"/>
                <w:lang w:eastAsia="zh-CN"/>
              </w:rPr>
              <w:t>从业人员300人以下或营业收入20000万元以下的为中小微型企业</w:t>
            </w:r>
          </w:p>
        </w:tc>
        <w:tc>
          <w:tcPr>
            <w:tcW w:w="1215" w:type="dxa"/>
            <w:noWrap w:val="0"/>
            <w:vAlign w:val="center"/>
          </w:tcPr>
          <w:p w14:paraId="7DD546FA">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3E7E10BB">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50</w:t>
            </w:r>
            <w:r>
              <w:rPr>
                <w:rFonts w:hint="eastAsia"/>
                <w:color w:val="auto"/>
                <w:spacing w:val="-12"/>
                <w:szCs w:val="21"/>
                <w:lang w:eastAsia="zh-CN"/>
              </w:rPr>
              <w:t>人及以上，且营业收入</w:t>
            </w:r>
            <w:r>
              <w:rPr>
                <w:rFonts w:hint="eastAsia"/>
                <w:color w:val="auto"/>
                <w:szCs w:val="21"/>
                <w:lang w:eastAsia="zh-CN"/>
              </w:rPr>
              <w:t>500</w:t>
            </w:r>
            <w:r>
              <w:rPr>
                <w:rFonts w:hint="eastAsia"/>
                <w:color w:val="auto"/>
                <w:spacing w:val="-9"/>
                <w:szCs w:val="21"/>
                <w:lang w:eastAsia="zh-CN"/>
              </w:rPr>
              <w:t>万元及以上的</w:t>
            </w:r>
          </w:p>
        </w:tc>
        <w:tc>
          <w:tcPr>
            <w:tcW w:w="752" w:type="dxa"/>
            <w:vMerge w:val="restart"/>
            <w:noWrap w:val="0"/>
            <w:vAlign w:val="center"/>
          </w:tcPr>
          <w:p w14:paraId="35492EC9">
            <w:pPr>
              <w:pStyle w:val="74"/>
              <w:ind w:left="15"/>
              <w:rPr>
                <w:rFonts w:hint="eastAsia"/>
                <w:color w:val="auto"/>
                <w:szCs w:val="21"/>
                <w:lang w:eastAsia="zh-CN"/>
              </w:rPr>
            </w:pPr>
            <w:r>
              <w:rPr>
                <w:rFonts w:hint="eastAsia"/>
                <w:color w:val="auto"/>
                <w:szCs w:val="21"/>
                <w:lang w:eastAsia="zh-CN"/>
              </w:rPr>
              <w:t>从业人员营业收入</w:t>
            </w:r>
          </w:p>
        </w:tc>
      </w:tr>
      <w:tr w14:paraId="5F87C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047F6414">
            <w:pPr>
              <w:jc w:val="center"/>
              <w:rPr>
                <w:rFonts w:hint="eastAsia" w:ascii="宋体" w:hAnsi="宋体" w:cs="宋体"/>
                <w:color w:val="auto"/>
                <w:szCs w:val="21"/>
              </w:rPr>
            </w:pPr>
          </w:p>
        </w:tc>
        <w:tc>
          <w:tcPr>
            <w:tcW w:w="860" w:type="dxa"/>
            <w:vMerge w:val="continue"/>
            <w:noWrap w:val="0"/>
            <w:vAlign w:val="center"/>
          </w:tcPr>
          <w:p w14:paraId="795700BD">
            <w:pPr>
              <w:jc w:val="center"/>
              <w:rPr>
                <w:rFonts w:hint="eastAsia" w:ascii="宋体" w:hAnsi="宋体" w:cs="宋体"/>
                <w:color w:val="auto"/>
                <w:szCs w:val="21"/>
              </w:rPr>
            </w:pPr>
          </w:p>
        </w:tc>
        <w:tc>
          <w:tcPr>
            <w:tcW w:w="2157" w:type="dxa"/>
            <w:vMerge w:val="continue"/>
            <w:noWrap w:val="0"/>
            <w:vAlign w:val="center"/>
          </w:tcPr>
          <w:p w14:paraId="17141CA7">
            <w:pPr>
              <w:rPr>
                <w:rFonts w:hint="eastAsia" w:ascii="宋体" w:hAnsi="宋体" w:cs="宋体"/>
                <w:color w:val="auto"/>
                <w:szCs w:val="21"/>
              </w:rPr>
            </w:pPr>
          </w:p>
        </w:tc>
        <w:tc>
          <w:tcPr>
            <w:tcW w:w="1215" w:type="dxa"/>
            <w:noWrap w:val="0"/>
            <w:vAlign w:val="center"/>
          </w:tcPr>
          <w:p w14:paraId="0CF2E79C">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3439DF3B">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10</w:t>
            </w:r>
            <w:r>
              <w:rPr>
                <w:rFonts w:hint="eastAsia"/>
                <w:color w:val="auto"/>
                <w:spacing w:val="-12"/>
                <w:szCs w:val="21"/>
                <w:lang w:eastAsia="zh-CN"/>
              </w:rPr>
              <w:t>人及以上，且营业收入</w:t>
            </w:r>
            <w:r>
              <w:rPr>
                <w:rFonts w:hint="eastAsia"/>
                <w:color w:val="auto"/>
                <w:szCs w:val="21"/>
                <w:lang w:eastAsia="zh-CN"/>
              </w:rPr>
              <w:t>100</w:t>
            </w:r>
            <w:r>
              <w:rPr>
                <w:rFonts w:hint="eastAsia"/>
                <w:color w:val="auto"/>
                <w:spacing w:val="-9"/>
                <w:szCs w:val="21"/>
                <w:lang w:eastAsia="zh-CN"/>
              </w:rPr>
              <w:t>万元及以上的</w:t>
            </w:r>
          </w:p>
        </w:tc>
        <w:tc>
          <w:tcPr>
            <w:tcW w:w="752" w:type="dxa"/>
            <w:vMerge w:val="continue"/>
            <w:noWrap w:val="0"/>
            <w:vAlign w:val="center"/>
          </w:tcPr>
          <w:p w14:paraId="6BD46558">
            <w:pPr>
              <w:jc w:val="center"/>
              <w:rPr>
                <w:rFonts w:hint="eastAsia" w:ascii="宋体" w:hAnsi="宋体" w:cs="宋体"/>
                <w:color w:val="auto"/>
                <w:sz w:val="24"/>
                <w:lang w:bidi="en-US"/>
              </w:rPr>
            </w:pPr>
          </w:p>
        </w:tc>
      </w:tr>
      <w:tr w14:paraId="58A08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jc w:val="center"/>
        </w:trPr>
        <w:tc>
          <w:tcPr>
            <w:tcW w:w="524" w:type="dxa"/>
            <w:vMerge w:val="continue"/>
            <w:noWrap w:val="0"/>
            <w:vAlign w:val="center"/>
          </w:tcPr>
          <w:p w14:paraId="5041EB16">
            <w:pPr>
              <w:jc w:val="center"/>
              <w:rPr>
                <w:rFonts w:hint="eastAsia" w:ascii="宋体" w:hAnsi="宋体" w:cs="宋体"/>
                <w:color w:val="auto"/>
                <w:szCs w:val="21"/>
              </w:rPr>
            </w:pPr>
          </w:p>
        </w:tc>
        <w:tc>
          <w:tcPr>
            <w:tcW w:w="860" w:type="dxa"/>
            <w:vMerge w:val="continue"/>
            <w:noWrap w:val="0"/>
            <w:vAlign w:val="center"/>
          </w:tcPr>
          <w:p w14:paraId="5926720C">
            <w:pPr>
              <w:jc w:val="center"/>
              <w:rPr>
                <w:rFonts w:hint="eastAsia" w:ascii="宋体" w:hAnsi="宋体" w:cs="宋体"/>
                <w:color w:val="auto"/>
                <w:szCs w:val="21"/>
              </w:rPr>
            </w:pPr>
          </w:p>
        </w:tc>
        <w:tc>
          <w:tcPr>
            <w:tcW w:w="2157" w:type="dxa"/>
            <w:vMerge w:val="continue"/>
            <w:noWrap w:val="0"/>
            <w:vAlign w:val="center"/>
          </w:tcPr>
          <w:p w14:paraId="4CE172E8">
            <w:pPr>
              <w:rPr>
                <w:rFonts w:hint="eastAsia" w:ascii="宋体" w:hAnsi="宋体" w:cs="宋体"/>
                <w:color w:val="auto"/>
                <w:szCs w:val="21"/>
              </w:rPr>
            </w:pPr>
          </w:p>
        </w:tc>
        <w:tc>
          <w:tcPr>
            <w:tcW w:w="1215" w:type="dxa"/>
            <w:noWrap w:val="0"/>
            <w:vAlign w:val="center"/>
          </w:tcPr>
          <w:p w14:paraId="071A4A96">
            <w:pPr>
              <w:pStyle w:val="74"/>
              <w:spacing w:before="68"/>
              <w:ind w:left="13"/>
              <w:jc w:val="center"/>
              <w:rPr>
                <w:rFonts w:hint="eastAsia"/>
                <w:color w:val="auto"/>
                <w:szCs w:val="21"/>
              </w:rPr>
            </w:pPr>
            <w:r>
              <w:rPr>
                <w:rFonts w:hint="eastAsia"/>
                <w:color w:val="auto"/>
                <w:szCs w:val="21"/>
              </w:rPr>
              <w:t>微型企业</w:t>
            </w:r>
          </w:p>
        </w:tc>
        <w:tc>
          <w:tcPr>
            <w:tcW w:w="4056" w:type="dxa"/>
            <w:noWrap w:val="0"/>
            <w:vAlign w:val="center"/>
          </w:tcPr>
          <w:p w14:paraId="09C06AFF">
            <w:pPr>
              <w:pStyle w:val="74"/>
              <w:spacing w:before="68"/>
              <w:ind w:left="15"/>
              <w:rPr>
                <w:rFonts w:hint="eastAsia"/>
                <w:color w:val="auto"/>
                <w:szCs w:val="21"/>
                <w:lang w:eastAsia="zh-CN"/>
              </w:rPr>
            </w:pPr>
            <w:r>
              <w:rPr>
                <w:rFonts w:hint="eastAsia"/>
                <w:color w:val="auto"/>
                <w:szCs w:val="21"/>
                <w:lang w:eastAsia="zh-CN"/>
              </w:rPr>
              <w:t>从业人员10人以下或营业收入100万元以下的</w:t>
            </w:r>
          </w:p>
        </w:tc>
        <w:tc>
          <w:tcPr>
            <w:tcW w:w="752" w:type="dxa"/>
            <w:vMerge w:val="continue"/>
            <w:noWrap w:val="0"/>
            <w:vAlign w:val="center"/>
          </w:tcPr>
          <w:p w14:paraId="49F8A5CE">
            <w:pPr>
              <w:jc w:val="center"/>
              <w:rPr>
                <w:rFonts w:hint="eastAsia" w:ascii="宋体" w:hAnsi="宋体" w:cs="宋体"/>
                <w:color w:val="auto"/>
                <w:sz w:val="24"/>
                <w:lang w:bidi="en-US"/>
              </w:rPr>
            </w:pPr>
          </w:p>
        </w:tc>
      </w:tr>
      <w:tr w14:paraId="4C3AC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7A057A14">
            <w:pPr>
              <w:pStyle w:val="74"/>
              <w:spacing w:before="7"/>
              <w:jc w:val="center"/>
              <w:rPr>
                <w:rFonts w:hint="eastAsia"/>
                <w:b/>
                <w:color w:val="auto"/>
                <w:szCs w:val="21"/>
                <w:lang w:eastAsia="zh-CN"/>
              </w:rPr>
            </w:pPr>
          </w:p>
          <w:p w14:paraId="65C396A4">
            <w:pPr>
              <w:pStyle w:val="74"/>
              <w:ind w:left="8"/>
              <w:jc w:val="center"/>
              <w:rPr>
                <w:rFonts w:hint="eastAsia"/>
                <w:color w:val="auto"/>
                <w:szCs w:val="21"/>
              </w:rPr>
            </w:pPr>
            <w:r>
              <w:rPr>
                <w:rFonts w:hint="eastAsia"/>
                <w:color w:val="auto"/>
                <w:w w:val="99"/>
                <w:szCs w:val="21"/>
              </w:rPr>
              <w:t>6</w:t>
            </w:r>
          </w:p>
        </w:tc>
        <w:tc>
          <w:tcPr>
            <w:tcW w:w="860" w:type="dxa"/>
            <w:vMerge w:val="restart"/>
            <w:noWrap w:val="0"/>
            <w:vAlign w:val="center"/>
          </w:tcPr>
          <w:p w14:paraId="35FE3BA0">
            <w:pPr>
              <w:pStyle w:val="74"/>
              <w:spacing w:before="3"/>
              <w:jc w:val="center"/>
              <w:rPr>
                <w:rFonts w:hint="eastAsia"/>
                <w:b/>
                <w:color w:val="auto"/>
                <w:szCs w:val="21"/>
              </w:rPr>
            </w:pPr>
          </w:p>
          <w:p w14:paraId="7AA96A76">
            <w:pPr>
              <w:pStyle w:val="74"/>
              <w:spacing w:before="1" w:line="292" w:lineRule="auto"/>
              <w:ind w:left="13" w:right="6"/>
              <w:jc w:val="center"/>
              <w:rPr>
                <w:rFonts w:hint="eastAsia"/>
                <w:color w:val="auto"/>
                <w:szCs w:val="21"/>
              </w:rPr>
            </w:pPr>
            <w:r>
              <w:rPr>
                <w:rFonts w:hint="eastAsia"/>
                <w:color w:val="auto"/>
                <w:szCs w:val="21"/>
              </w:rPr>
              <w:t>交通运输业</w:t>
            </w:r>
          </w:p>
        </w:tc>
        <w:tc>
          <w:tcPr>
            <w:tcW w:w="2157" w:type="dxa"/>
            <w:vMerge w:val="restart"/>
            <w:noWrap w:val="0"/>
            <w:vAlign w:val="center"/>
          </w:tcPr>
          <w:p w14:paraId="585D85AD">
            <w:pPr>
              <w:pStyle w:val="74"/>
              <w:spacing w:before="142"/>
              <w:ind w:left="15"/>
              <w:rPr>
                <w:rFonts w:hint="eastAsia"/>
                <w:color w:val="auto"/>
                <w:szCs w:val="21"/>
                <w:lang w:eastAsia="zh-CN"/>
              </w:rPr>
            </w:pPr>
            <w:r>
              <w:rPr>
                <w:rFonts w:hint="eastAsia"/>
                <w:color w:val="auto"/>
                <w:spacing w:val="-9"/>
                <w:szCs w:val="21"/>
                <w:lang w:eastAsia="zh-CN"/>
              </w:rPr>
              <w:t xml:space="preserve">从业人员 </w:t>
            </w:r>
            <w:r>
              <w:rPr>
                <w:rFonts w:hint="eastAsia"/>
                <w:color w:val="auto"/>
                <w:szCs w:val="21"/>
                <w:lang w:eastAsia="zh-CN"/>
              </w:rPr>
              <w:t>1000</w:t>
            </w:r>
            <w:r>
              <w:rPr>
                <w:rFonts w:hint="eastAsia"/>
                <w:color w:val="auto"/>
                <w:spacing w:val="-8"/>
                <w:szCs w:val="21"/>
                <w:lang w:eastAsia="zh-CN"/>
              </w:rPr>
              <w:t xml:space="preserve"> 人以下或</w:t>
            </w:r>
            <w:r>
              <w:rPr>
                <w:rFonts w:hint="eastAsia"/>
                <w:color w:val="auto"/>
                <w:szCs w:val="21"/>
                <w:lang w:eastAsia="zh-CN"/>
              </w:rPr>
              <w:t>营业收入30000万元以下的为中小微型企业</w:t>
            </w:r>
          </w:p>
        </w:tc>
        <w:tc>
          <w:tcPr>
            <w:tcW w:w="1215" w:type="dxa"/>
            <w:noWrap w:val="0"/>
            <w:vAlign w:val="center"/>
          </w:tcPr>
          <w:p w14:paraId="44EADE0A">
            <w:pPr>
              <w:pStyle w:val="74"/>
              <w:spacing w:before="68"/>
              <w:ind w:left="13"/>
              <w:jc w:val="center"/>
              <w:rPr>
                <w:rFonts w:hint="eastAsia"/>
                <w:color w:val="auto"/>
                <w:szCs w:val="21"/>
              </w:rPr>
            </w:pPr>
            <w:r>
              <w:rPr>
                <w:rFonts w:hint="eastAsia"/>
                <w:color w:val="auto"/>
                <w:szCs w:val="21"/>
              </w:rPr>
              <w:t>中型企业</w:t>
            </w:r>
          </w:p>
        </w:tc>
        <w:tc>
          <w:tcPr>
            <w:tcW w:w="4056" w:type="dxa"/>
            <w:noWrap w:val="0"/>
            <w:vAlign w:val="center"/>
          </w:tcPr>
          <w:p w14:paraId="19E93E89">
            <w:pPr>
              <w:pStyle w:val="74"/>
              <w:spacing w:before="68"/>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300</w:t>
            </w:r>
            <w:r>
              <w:rPr>
                <w:rFonts w:hint="eastAsia"/>
                <w:color w:val="auto"/>
                <w:spacing w:val="-13"/>
                <w:szCs w:val="21"/>
                <w:lang w:eastAsia="zh-CN"/>
              </w:rPr>
              <w:t xml:space="preserve"> 人及以上，且营业收入 </w:t>
            </w:r>
            <w:r>
              <w:rPr>
                <w:rFonts w:hint="eastAsia"/>
                <w:color w:val="auto"/>
                <w:szCs w:val="21"/>
                <w:lang w:eastAsia="zh-CN"/>
              </w:rPr>
              <w:t>3000</w:t>
            </w:r>
            <w:r>
              <w:rPr>
                <w:rFonts w:hint="eastAsia"/>
                <w:color w:val="auto"/>
                <w:spacing w:val="-9"/>
                <w:szCs w:val="21"/>
                <w:lang w:eastAsia="zh-CN"/>
              </w:rPr>
              <w:t xml:space="preserve"> 万元及以上的</w:t>
            </w:r>
          </w:p>
        </w:tc>
        <w:tc>
          <w:tcPr>
            <w:tcW w:w="752" w:type="dxa"/>
            <w:vMerge w:val="restart"/>
            <w:noWrap w:val="0"/>
            <w:vAlign w:val="center"/>
          </w:tcPr>
          <w:p w14:paraId="69CE4938">
            <w:pPr>
              <w:pStyle w:val="74"/>
              <w:ind w:left="15"/>
              <w:rPr>
                <w:rFonts w:hint="eastAsia"/>
                <w:color w:val="auto"/>
                <w:szCs w:val="21"/>
                <w:lang w:eastAsia="zh-CN"/>
              </w:rPr>
            </w:pPr>
            <w:r>
              <w:rPr>
                <w:rFonts w:hint="eastAsia"/>
                <w:color w:val="auto"/>
                <w:szCs w:val="21"/>
                <w:lang w:eastAsia="zh-CN"/>
              </w:rPr>
              <w:t>从业人员营业收入</w:t>
            </w:r>
          </w:p>
        </w:tc>
      </w:tr>
      <w:tr w14:paraId="078F4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54CB8093">
            <w:pPr>
              <w:jc w:val="center"/>
              <w:rPr>
                <w:rFonts w:hint="eastAsia" w:ascii="宋体" w:hAnsi="宋体" w:cs="宋体"/>
                <w:color w:val="auto"/>
                <w:szCs w:val="21"/>
              </w:rPr>
            </w:pPr>
          </w:p>
        </w:tc>
        <w:tc>
          <w:tcPr>
            <w:tcW w:w="860" w:type="dxa"/>
            <w:vMerge w:val="continue"/>
            <w:noWrap w:val="0"/>
            <w:vAlign w:val="center"/>
          </w:tcPr>
          <w:p w14:paraId="38783777">
            <w:pPr>
              <w:jc w:val="center"/>
              <w:rPr>
                <w:rFonts w:hint="eastAsia" w:ascii="宋体" w:hAnsi="宋体" w:cs="宋体"/>
                <w:color w:val="auto"/>
                <w:szCs w:val="21"/>
              </w:rPr>
            </w:pPr>
          </w:p>
        </w:tc>
        <w:tc>
          <w:tcPr>
            <w:tcW w:w="2157" w:type="dxa"/>
            <w:vMerge w:val="continue"/>
            <w:noWrap w:val="0"/>
            <w:vAlign w:val="center"/>
          </w:tcPr>
          <w:p w14:paraId="3131CFC6">
            <w:pPr>
              <w:rPr>
                <w:rFonts w:hint="eastAsia" w:ascii="宋体" w:hAnsi="宋体" w:cs="宋体"/>
                <w:color w:val="auto"/>
                <w:szCs w:val="21"/>
              </w:rPr>
            </w:pPr>
          </w:p>
        </w:tc>
        <w:tc>
          <w:tcPr>
            <w:tcW w:w="1215" w:type="dxa"/>
            <w:noWrap w:val="0"/>
            <w:vAlign w:val="center"/>
          </w:tcPr>
          <w:p w14:paraId="7EE8A9DA">
            <w:pPr>
              <w:pStyle w:val="74"/>
              <w:spacing w:before="68"/>
              <w:ind w:left="13"/>
              <w:jc w:val="center"/>
              <w:rPr>
                <w:rFonts w:hint="eastAsia"/>
                <w:color w:val="auto"/>
                <w:szCs w:val="21"/>
              </w:rPr>
            </w:pPr>
            <w:r>
              <w:rPr>
                <w:rFonts w:hint="eastAsia"/>
                <w:color w:val="auto"/>
                <w:szCs w:val="21"/>
              </w:rPr>
              <w:t>小型企业</w:t>
            </w:r>
          </w:p>
        </w:tc>
        <w:tc>
          <w:tcPr>
            <w:tcW w:w="4056" w:type="dxa"/>
            <w:noWrap w:val="0"/>
            <w:vAlign w:val="center"/>
          </w:tcPr>
          <w:p w14:paraId="4C93B71A">
            <w:pPr>
              <w:pStyle w:val="74"/>
              <w:spacing w:before="68"/>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20</w:t>
            </w:r>
            <w:r>
              <w:rPr>
                <w:rFonts w:hint="eastAsia"/>
                <w:color w:val="auto"/>
                <w:spacing w:val="-12"/>
                <w:szCs w:val="21"/>
                <w:lang w:eastAsia="zh-CN"/>
              </w:rPr>
              <w:t xml:space="preserve"> 人及以上，且营业收入</w:t>
            </w:r>
            <w:r>
              <w:rPr>
                <w:rFonts w:hint="eastAsia"/>
                <w:color w:val="auto"/>
                <w:szCs w:val="21"/>
                <w:lang w:eastAsia="zh-CN"/>
              </w:rPr>
              <w:t>200</w:t>
            </w:r>
            <w:r>
              <w:rPr>
                <w:rFonts w:hint="eastAsia"/>
                <w:color w:val="auto"/>
                <w:spacing w:val="-9"/>
                <w:szCs w:val="21"/>
                <w:lang w:eastAsia="zh-CN"/>
              </w:rPr>
              <w:t>万元及以上的</w:t>
            </w:r>
          </w:p>
        </w:tc>
        <w:tc>
          <w:tcPr>
            <w:tcW w:w="752" w:type="dxa"/>
            <w:vMerge w:val="continue"/>
            <w:noWrap w:val="0"/>
            <w:vAlign w:val="center"/>
          </w:tcPr>
          <w:p w14:paraId="208C90F3">
            <w:pPr>
              <w:jc w:val="center"/>
              <w:rPr>
                <w:rFonts w:hint="eastAsia" w:ascii="宋体" w:hAnsi="宋体" w:cs="宋体"/>
                <w:color w:val="auto"/>
                <w:szCs w:val="21"/>
                <w:lang w:bidi="en-US"/>
              </w:rPr>
            </w:pPr>
          </w:p>
        </w:tc>
      </w:tr>
      <w:tr w14:paraId="5DFCA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21F9FE40">
            <w:pPr>
              <w:jc w:val="center"/>
              <w:rPr>
                <w:rFonts w:hint="eastAsia" w:ascii="宋体" w:hAnsi="宋体" w:cs="宋体"/>
                <w:color w:val="auto"/>
                <w:szCs w:val="21"/>
              </w:rPr>
            </w:pPr>
          </w:p>
        </w:tc>
        <w:tc>
          <w:tcPr>
            <w:tcW w:w="860" w:type="dxa"/>
            <w:vMerge w:val="continue"/>
            <w:noWrap w:val="0"/>
            <w:vAlign w:val="center"/>
          </w:tcPr>
          <w:p w14:paraId="1AD333D7">
            <w:pPr>
              <w:jc w:val="center"/>
              <w:rPr>
                <w:rFonts w:hint="eastAsia" w:ascii="宋体" w:hAnsi="宋体" w:cs="宋体"/>
                <w:color w:val="auto"/>
                <w:szCs w:val="21"/>
              </w:rPr>
            </w:pPr>
          </w:p>
        </w:tc>
        <w:tc>
          <w:tcPr>
            <w:tcW w:w="2157" w:type="dxa"/>
            <w:vMerge w:val="continue"/>
            <w:noWrap w:val="0"/>
            <w:vAlign w:val="center"/>
          </w:tcPr>
          <w:p w14:paraId="75E95430">
            <w:pPr>
              <w:rPr>
                <w:rFonts w:hint="eastAsia" w:ascii="宋体" w:hAnsi="宋体" w:cs="宋体"/>
                <w:color w:val="auto"/>
                <w:szCs w:val="21"/>
              </w:rPr>
            </w:pPr>
          </w:p>
        </w:tc>
        <w:tc>
          <w:tcPr>
            <w:tcW w:w="1215" w:type="dxa"/>
            <w:noWrap w:val="0"/>
            <w:vAlign w:val="center"/>
          </w:tcPr>
          <w:p w14:paraId="40BE5FC5">
            <w:pPr>
              <w:pStyle w:val="74"/>
              <w:spacing w:before="69"/>
              <w:ind w:left="13"/>
              <w:jc w:val="center"/>
              <w:rPr>
                <w:rFonts w:hint="eastAsia"/>
                <w:color w:val="auto"/>
                <w:szCs w:val="21"/>
              </w:rPr>
            </w:pPr>
            <w:r>
              <w:rPr>
                <w:rFonts w:hint="eastAsia"/>
                <w:color w:val="auto"/>
                <w:szCs w:val="21"/>
              </w:rPr>
              <w:t>微型企业</w:t>
            </w:r>
          </w:p>
        </w:tc>
        <w:tc>
          <w:tcPr>
            <w:tcW w:w="4056" w:type="dxa"/>
            <w:noWrap w:val="0"/>
            <w:vAlign w:val="center"/>
          </w:tcPr>
          <w:p w14:paraId="5D457914">
            <w:pPr>
              <w:pStyle w:val="74"/>
              <w:spacing w:before="69"/>
              <w:ind w:left="15"/>
              <w:rPr>
                <w:rFonts w:hint="eastAsia"/>
                <w:color w:val="auto"/>
                <w:szCs w:val="21"/>
                <w:lang w:eastAsia="zh-CN"/>
              </w:rPr>
            </w:pPr>
            <w:r>
              <w:rPr>
                <w:rFonts w:hint="eastAsia"/>
                <w:color w:val="auto"/>
                <w:szCs w:val="21"/>
                <w:lang w:eastAsia="zh-CN"/>
              </w:rPr>
              <w:t>从业人员 20 人以下或营业收入200万元以下的</w:t>
            </w:r>
          </w:p>
        </w:tc>
        <w:tc>
          <w:tcPr>
            <w:tcW w:w="752" w:type="dxa"/>
            <w:vMerge w:val="continue"/>
            <w:noWrap w:val="0"/>
            <w:vAlign w:val="center"/>
          </w:tcPr>
          <w:p w14:paraId="084B4AB1">
            <w:pPr>
              <w:jc w:val="center"/>
              <w:rPr>
                <w:rFonts w:hint="eastAsia" w:ascii="宋体" w:hAnsi="宋体" w:cs="宋体"/>
                <w:color w:val="auto"/>
                <w:szCs w:val="21"/>
                <w:lang w:bidi="en-US"/>
              </w:rPr>
            </w:pPr>
          </w:p>
        </w:tc>
      </w:tr>
      <w:tr w14:paraId="326AF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5A0FD15F">
            <w:pPr>
              <w:pStyle w:val="74"/>
              <w:spacing w:before="6"/>
              <w:jc w:val="center"/>
              <w:rPr>
                <w:rFonts w:hint="eastAsia"/>
                <w:b/>
                <w:color w:val="auto"/>
                <w:szCs w:val="21"/>
                <w:lang w:eastAsia="zh-CN"/>
              </w:rPr>
            </w:pPr>
          </w:p>
          <w:p w14:paraId="5797BA7C">
            <w:pPr>
              <w:pStyle w:val="74"/>
              <w:ind w:left="8"/>
              <w:jc w:val="center"/>
              <w:rPr>
                <w:rFonts w:hint="eastAsia"/>
                <w:color w:val="auto"/>
                <w:szCs w:val="21"/>
              </w:rPr>
            </w:pPr>
            <w:r>
              <w:rPr>
                <w:rFonts w:hint="eastAsia"/>
                <w:color w:val="auto"/>
                <w:w w:val="99"/>
                <w:szCs w:val="21"/>
              </w:rPr>
              <w:t>7</w:t>
            </w:r>
          </w:p>
        </w:tc>
        <w:tc>
          <w:tcPr>
            <w:tcW w:w="860" w:type="dxa"/>
            <w:vMerge w:val="restart"/>
            <w:noWrap w:val="0"/>
            <w:vAlign w:val="center"/>
          </w:tcPr>
          <w:p w14:paraId="6E40DF45">
            <w:pPr>
              <w:pStyle w:val="74"/>
              <w:spacing w:before="11"/>
              <w:jc w:val="center"/>
              <w:rPr>
                <w:rFonts w:hint="eastAsia"/>
                <w:b/>
                <w:color w:val="auto"/>
                <w:szCs w:val="21"/>
              </w:rPr>
            </w:pPr>
          </w:p>
          <w:p w14:paraId="7DA7A35C">
            <w:pPr>
              <w:pStyle w:val="74"/>
              <w:ind w:left="13"/>
              <w:jc w:val="center"/>
              <w:rPr>
                <w:rFonts w:hint="eastAsia"/>
                <w:color w:val="auto"/>
                <w:szCs w:val="21"/>
              </w:rPr>
            </w:pPr>
            <w:r>
              <w:rPr>
                <w:rFonts w:hint="eastAsia"/>
                <w:color w:val="auto"/>
                <w:szCs w:val="21"/>
              </w:rPr>
              <w:t>仓储业</w:t>
            </w:r>
          </w:p>
        </w:tc>
        <w:tc>
          <w:tcPr>
            <w:tcW w:w="2157" w:type="dxa"/>
            <w:vMerge w:val="restart"/>
            <w:noWrap w:val="0"/>
            <w:vAlign w:val="center"/>
          </w:tcPr>
          <w:p w14:paraId="020BC66B">
            <w:pPr>
              <w:pStyle w:val="74"/>
              <w:spacing w:before="141"/>
              <w:ind w:left="15"/>
              <w:rPr>
                <w:rFonts w:hint="eastAsia"/>
                <w:color w:val="auto"/>
                <w:szCs w:val="21"/>
                <w:lang w:eastAsia="zh-CN"/>
              </w:rPr>
            </w:pPr>
            <w:r>
              <w:rPr>
                <w:rFonts w:hint="eastAsia"/>
                <w:color w:val="auto"/>
                <w:szCs w:val="21"/>
                <w:lang w:eastAsia="zh-CN"/>
              </w:rPr>
              <w:t>从业人员 200 人以下或营业收入30000 万元以下的为中小微型企业</w:t>
            </w:r>
          </w:p>
        </w:tc>
        <w:tc>
          <w:tcPr>
            <w:tcW w:w="1215" w:type="dxa"/>
            <w:noWrap w:val="0"/>
            <w:vAlign w:val="center"/>
          </w:tcPr>
          <w:p w14:paraId="7EB5D25F">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3A97303F">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100</w:t>
            </w:r>
            <w:r>
              <w:rPr>
                <w:rFonts w:hint="eastAsia"/>
                <w:color w:val="auto"/>
                <w:spacing w:val="-13"/>
                <w:szCs w:val="21"/>
                <w:lang w:eastAsia="zh-CN"/>
              </w:rPr>
              <w:t xml:space="preserve"> 人及以上，且营业收入 </w:t>
            </w:r>
            <w:r>
              <w:rPr>
                <w:rFonts w:hint="eastAsia"/>
                <w:color w:val="auto"/>
                <w:szCs w:val="21"/>
                <w:lang w:eastAsia="zh-CN"/>
              </w:rPr>
              <w:t>1000</w:t>
            </w:r>
            <w:r>
              <w:rPr>
                <w:rFonts w:hint="eastAsia"/>
                <w:color w:val="auto"/>
                <w:spacing w:val="-9"/>
                <w:szCs w:val="21"/>
                <w:lang w:eastAsia="zh-CN"/>
              </w:rPr>
              <w:t>万元及以上的</w:t>
            </w:r>
          </w:p>
        </w:tc>
        <w:tc>
          <w:tcPr>
            <w:tcW w:w="752" w:type="dxa"/>
            <w:vMerge w:val="restart"/>
            <w:noWrap w:val="0"/>
            <w:vAlign w:val="center"/>
          </w:tcPr>
          <w:p w14:paraId="1DB459C9">
            <w:pPr>
              <w:pStyle w:val="74"/>
              <w:ind w:left="15"/>
              <w:rPr>
                <w:rFonts w:hint="eastAsia"/>
                <w:color w:val="auto"/>
                <w:szCs w:val="21"/>
                <w:lang w:eastAsia="zh-CN"/>
              </w:rPr>
            </w:pPr>
            <w:r>
              <w:rPr>
                <w:rFonts w:hint="eastAsia"/>
                <w:color w:val="auto"/>
                <w:szCs w:val="21"/>
                <w:lang w:eastAsia="zh-CN"/>
              </w:rPr>
              <w:t>从业人员营业收入</w:t>
            </w:r>
          </w:p>
        </w:tc>
      </w:tr>
      <w:tr w14:paraId="54BB4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5A10DD7D">
            <w:pPr>
              <w:jc w:val="center"/>
              <w:rPr>
                <w:rFonts w:hint="eastAsia" w:ascii="宋体" w:hAnsi="宋体" w:cs="宋体"/>
                <w:color w:val="auto"/>
                <w:szCs w:val="21"/>
              </w:rPr>
            </w:pPr>
          </w:p>
        </w:tc>
        <w:tc>
          <w:tcPr>
            <w:tcW w:w="860" w:type="dxa"/>
            <w:vMerge w:val="continue"/>
            <w:noWrap w:val="0"/>
            <w:vAlign w:val="center"/>
          </w:tcPr>
          <w:p w14:paraId="3EF143CC">
            <w:pPr>
              <w:jc w:val="center"/>
              <w:rPr>
                <w:rFonts w:hint="eastAsia" w:ascii="宋体" w:hAnsi="宋体" w:cs="宋体"/>
                <w:color w:val="auto"/>
                <w:szCs w:val="21"/>
              </w:rPr>
            </w:pPr>
          </w:p>
        </w:tc>
        <w:tc>
          <w:tcPr>
            <w:tcW w:w="2157" w:type="dxa"/>
            <w:vMerge w:val="continue"/>
            <w:noWrap w:val="0"/>
            <w:vAlign w:val="center"/>
          </w:tcPr>
          <w:p w14:paraId="760B8911">
            <w:pPr>
              <w:rPr>
                <w:rFonts w:hint="eastAsia" w:ascii="宋体" w:hAnsi="宋体" w:cs="宋体"/>
                <w:color w:val="auto"/>
                <w:szCs w:val="21"/>
              </w:rPr>
            </w:pPr>
          </w:p>
        </w:tc>
        <w:tc>
          <w:tcPr>
            <w:tcW w:w="1215" w:type="dxa"/>
            <w:noWrap w:val="0"/>
            <w:vAlign w:val="center"/>
          </w:tcPr>
          <w:p w14:paraId="1D9559C3">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4B022726">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20</w:t>
            </w:r>
            <w:r>
              <w:rPr>
                <w:rFonts w:hint="eastAsia"/>
                <w:color w:val="auto"/>
                <w:spacing w:val="-12"/>
                <w:szCs w:val="21"/>
                <w:lang w:eastAsia="zh-CN"/>
              </w:rPr>
              <w:t xml:space="preserve"> 人及以上，且营业收入</w:t>
            </w:r>
            <w:r>
              <w:rPr>
                <w:rFonts w:hint="eastAsia"/>
                <w:color w:val="auto"/>
                <w:szCs w:val="21"/>
                <w:lang w:eastAsia="zh-CN"/>
              </w:rPr>
              <w:t>100</w:t>
            </w:r>
            <w:r>
              <w:rPr>
                <w:rFonts w:hint="eastAsia"/>
                <w:color w:val="auto"/>
                <w:spacing w:val="-9"/>
                <w:szCs w:val="21"/>
                <w:lang w:eastAsia="zh-CN"/>
              </w:rPr>
              <w:t>万元及以上的</w:t>
            </w:r>
          </w:p>
        </w:tc>
        <w:tc>
          <w:tcPr>
            <w:tcW w:w="752" w:type="dxa"/>
            <w:vMerge w:val="continue"/>
            <w:noWrap w:val="0"/>
            <w:vAlign w:val="center"/>
          </w:tcPr>
          <w:p w14:paraId="70AD124A">
            <w:pPr>
              <w:jc w:val="center"/>
              <w:rPr>
                <w:rFonts w:hint="eastAsia" w:ascii="宋体" w:hAnsi="宋体" w:cs="宋体"/>
                <w:color w:val="auto"/>
                <w:szCs w:val="21"/>
                <w:lang w:bidi="en-US"/>
              </w:rPr>
            </w:pPr>
          </w:p>
        </w:tc>
      </w:tr>
      <w:tr w14:paraId="3AD1E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066A3049">
            <w:pPr>
              <w:jc w:val="center"/>
              <w:rPr>
                <w:rFonts w:hint="eastAsia" w:ascii="宋体" w:hAnsi="宋体" w:cs="宋体"/>
                <w:color w:val="auto"/>
                <w:szCs w:val="21"/>
              </w:rPr>
            </w:pPr>
          </w:p>
        </w:tc>
        <w:tc>
          <w:tcPr>
            <w:tcW w:w="860" w:type="dxa"/>
            <w:vMerge w:val="continue"/>
            <w:noWrap w:val="0"/>
            <w:vAlign w:val="center"/>
          </w:tcPr>
          <w:p w14:paraId="141A637A">
            <w:pPr>
              <w:jc w:val="center"/>
              <w:rPr>
                <w:rFonts w:hint="eastAsia" w:ascii="宋体" w:hAnsi="宋体" w:cs="宋体"/>
                <w:color w:val="auto"/>
                <w:szCs w:val="21"/>
              </w:rPr>
            </w:pPr>
          </w:p>
        </w:tc>
        <w:tc>
          <w:tcPr>
            <w:tcW w:w="2157" w:type="dxa"/>
            <w:vMerge w:val="continue"/>
            <w:noWrap w:val="0"/>
            <w:vAlign w:val="center"/>
          </w:tcPr>
          <w:p w14:paraId="6F40CB4E">
            <w:pPr>
              <w:rPr>
                <w:rFonts w:hint="eastAsia" w:ascii="宋体" w:hAnsi="宋体" w:cs="宋体"/>
                <w:color w:val="auto"/>
                <w:szCs w:val="21"/>
              </w:rPr>
            </w:pPr>
          </w:p>
        </w:tc>
        <w:tc>
          <w:tcPr>
            <w:tcW w:w="1215" w:type="dxa"/>
            <w:noWrap w:val="0"/>
            <w:vAlign w:val="center"/>
          </w:tcPr>
          <w:p w14:paraId="43F2F607">
            <w:pPr>
              <w:pStyle w:val="74"/>
              <w:spacing w:before="68"/>
              <w:ind w:left="13"/>
              <w:jc w:val="center"/>
              <w:rPr>
                <w:rFonts w:hint="eastAsia"/>
                <w:color w:val="auto"/>
                <w:szCs w:val="21"/>
              </w:rPr>
            </w:pPr>
            <w:r>
              <w:rPr>
                <w:rFonts w:hint="eastAsia"/>
                <w:color w:val="auto"/>
                <w:szCs w:val="21"/>
              </w:rPr>
              <w:t>微型企业</w:t>
            </w:r>
          </w:p>
        </w:tc>
        <w:tc>
          <w:tcPr>
            <w:tcW w:w="4056" w:type="dxa"/>
            <w:noWrap w:val="0"/>
            <w:vAlign w:val="center"/>
          </w:tcPr>
          <w:p w14:paraId="4F3FFC6B">
            <w:pPr>
              <w:pStyle w:val="74"/>
              <w:spacing w:before="68"/>
              <w:ind w:left="15"/>
              <w:rPr>
                <w:rFonts w:hint="eastAsia"/>
                <w:color w:val="auto"/>
                <w:szCs w:val="21"/>
                <w:lang w:eastAsia="zh-CN"/>
              </w:rPr>
            </w:pPr>
            <w:r>
              <w:rPr>
                <w:rFonts w:hint="eastAsia"/>
                <w:color w:val="auto"/>
                <w:szCs w:val="21"/>
                <w:lang w:eastAsia="zh-CN"/>
              </w:rPr>
              <w:t>从业人员 20 人以下或营业收入100万元以下的</w:t>
            </w:r>
          </w:p>
        </w:tc>
        <w:tc>
          <w:tcPr>
            <w:tcW w:w="752" w:type="dxa"/>
            <w:vMerge w:val="continue"/>
            <w:noWrap w:val="0"/>
            <w:vAlign w:val="center"/>
          </w:tcPr>
          <w:p w14:paraId="63BDF28F">
            <w:pPr>
              <w:jc w:val="center"/>
              <w:rPr>
                <w:rFonts w:hint="eastAsia" w:ascii="宋体" w:hAnsi="宋体" w:cs="宋体"/>
                <w:color w:val="auto"/>
                <w:szCs w:val="21"/>
                <w:lang w:bidi="en-US"/>
              </w:rPr>
            </w:pPr>
          </w:p>
        </w:tc>
      </w:tr>
      <w:tr w14:paraId="6B89E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7E290008">
            <w:pPr>
              <w:pStyle w:val="74"/>
              <w:spacing w:before="7"/>
              <w:jc w:val="center"/>
              <w:rPr>
                <w:rFonts w:hint="eastAsia"/>
                <w:b/>
                <w:color w:val="auto"/>
                <w:szCs w:val="21"/>
                <w:lang w:eastAsia="zh-CN"/>
              </w:rPr>
            </w:pPr>
          </w:p>
          <w:p w14:paraId="76A391A2">
            <w:pPr>
              <w:pStyle w:val="74"/>
              <w:ind w:left="8"/>
              <w:jc w:val="center"/>
              <w:rPr>
                <w:rFonts w:hint="eastAsia"/>
                <w:color w:val="auto"/>
                <w:szCs w:val="21"/>
              </w:rPr>
            </w:pPr>
            <w:r>
              <w:rPr>
                <w:rFonts w:hint="eastAsia"/>
                <w:color w:val="auto"/>
                <w:w w:val="99"/>
                <w:szCs w:val="21"/>
              </w:rPr>
              <w:t>8</w:t>
            </w:r>
          </w:p>
        </w:tc>
        <w:tc>
          <w:tcPr>
            <w:tcW w:w="860" w:type="dxa"/>
            <w:vMerge w:val="restart"/>
            <w:noWrap w:val="0"/>
            <w:vAlign w:val="center"/>
          </w:tcPr>
          <w:p w14:paraId="35DE625B">
            <w:pPr>
              <w:pStyle w:val="74"/>
              <w:spacing w:before="12"/>
              <w:jc w:val="center"/>
              <w:rPr>
                <w:rFonts w:hint="eastAsia"/>
                <w:b/>
                <w:color w:val="auto"/>
                <w:szCs w:val="21"/>
              </w:rPr>
            </w:pPr>
          </w:p>
          <w:p w14:paraId="000C0E46">
            <w:pPr>
              <w:pStyle w:val="74"/>
              <w:ind w:left="13"/>
              <w:jc w:val="center"/>
              <w:rPr>
                <w:rFonts w:hint="eastAsia"/>
                <w:color w:val="auto"/>
                <w:szCs w:val="21"/>
              </w:rPr>
            </w:pPr>
            <w:r>
              <w:rPr>
                <w:rFonts w:hint="eastAsia"/>
                <w:color w:val="auto"/>
                <w:szCs w:val="21"/>
              </w:rPr>
              <w:t>邮政业</w:t>
            </w:r>
          </w:p>
        </w:tc>
        <w:tc>
          <w:tcPr>
            <w:tcW w:w="2157" w:type="dxa"/>
            <w:vMerge w:val="restart"/>
            <w:noWrap w:val="0"/>
            <w:vAlign w:val="center"/>
          </w:tcPr>
          <w:p w14:paraId="18319581">
            <w:pPr>
              <w:pStyle w:val="74"/>
              <w:spacing w:before="143"/>
              <w:ind w:left="15"/>
              <w:rPr>
                <w:rFonts w:hint="eastAsia"/>
                <w:color w:val="auto"/>
                <w:szCs w:val="21"/>
                <w:lang w:eastAsia="zh-CN"/>
              </w:rPr>
            </w:pPr>
            <w:r>
              <w:rPr>
                <w:rFonts w:hint="eastAsia"/>
                <w:color w:val="auto"/>
                <w:spacing w:val="-9"/>
                <w:szCs w:val="21"/>
                <w:lang w:eastAsia="zh-CN"/>
              </w:rPr>
              <w:t>从业人员</w:t>
            </w:r>
            <w:r>
              <w:rPr>
                <w:rFonts w:hint="eastAsia"/>
                <w:color w:val="auto"/>
                <w:szCs w:val="21"/>
                <w:lang w:eastAsia="zh-CN"/>
              </w:rPr>
              <w:t>1000</w:t>
            </w:r>
            <w:r>
              <w:rPr>
                <w:rFonts w:hint="eastAsia"/>
                <w:color w:val="auto"/>
                <w:spacing w:val="-8"/>
                <w:szCs w:val="21"/>
                <w:lang w:eastAsia="zh-CN"/>
              </w:rPr>
              <w:t>人以下或</w:t>
            </w:r>
            <w:r>
              <w:rPr>
                <w:rFonts w:hint="eastAsia"/>
                <w:color w:val="auto"/>
                <w:szCs w:val="21"/>
                <w:lang w:eastAsia="zh-CN"/>
              </w:rPr>
              <w:t>营业收入30000 万元以下的为中小微型企业</w:t>
            </w:r>
          </w:p>
        </w:tc>
        <w:tc>
          <w:tcPr>
            <w:tcW w:w="1215" w:type="dxa"/>
            <w:noWrap w:val="0"/>
            <w:vAlign w:val="center"/>
          </w:tcPr>
          <w:p w14:paraId="63AF9399">
            <w:pPr>
              <w:pStyle w:val="74"/>
              <w:spacing w:before="68"/>
              <w:ind w:left="13"/>
              <w:jc w:val="center"/>
              <w:rPr>
                <w:rFonts w:hint="eastAsia"/>
                <w:color w:val="auto"/>
                <w:szCs w:val="21"/>
              </w:rPr>
            </w:pPr>
            <w:r>
              <w:rPr>
                <w:rFonts w:hint="eastAsia"/>
                <w:color w:val="auto"/>
                <w:szCs w:val="21"/>
              </w:rPr>
              <w:t>中型企业</w:t>
            </w:r>
          </w:p>
        </w:tc>
        <w:tc>
          <w:tcPr>
            <w:tcW w:w="4056" w:type="dxa"/>
            <w:noWrap w:val="0"/>
            <w:vAlign w:val="center"/>
          </w:tcPr>
          <w:p w14:paraId="71057749">
            <w:pPr>
              <w:pStyle w:val="74"/>
              <w:spacing w:before="68"/>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300</w:t>
            </w:r>
            <w:r>
              <w:rPr>
                <w:rFonts w:hint="eastAsia"/>
                <w:color w:val="auto"/>
                <w:spacing w:val="-13"/>
                <w:szCs w:val="21"/>
                <w:lang w:eastAsia="zh-CN"/>
              </w:rPr>
              <w:t xml:space="preserve"> 人及以上，且营业收入</w:t>
            </w:r>
            <w:r>
              <w:rPr>
                <w:rFonts w:hint="eastAsia"/>
                <w:color w:val="auto"/>
                <w:szCs w:val="21"/>
                <w:lang w:eastAsia="zh-CN"/>
              </w:rPr>
              <w:t>2000</w:t>
            </w:r>
            <w:r>
              <w:rPr>
                <w:rFonts w:hint="eastAsia"/>
                <w:color w:val="auto"/>
                <w:spacing w:val="-9"/>
                <w:szCs w:val="21"/>
                <w:lang w:eastAsia="zh-CN"/>
              </w:rPr>
              <w:t>万元及以上的</w:t>
            </w:r>
          </w:p>
        </w:tc>
        <w:tc>
          <w:tcPr>
            <w:tcW w:w="752" w:type="dxa"/>
            <w:vMerge w:val="restart"/>
            <w:noWrap w:val="0"/>
            <w:vAlign w:val="center"/>
          </w:tcPr>
          <w:p w14:paraId="2C31E85E">
            <w:pPr>
              <w:pStyle w:val="74"/>
              <w:ind w:left="15"/>
              <w:rPr>
                <w:rFonts w:hint="eastAsia"/>
                <w:color w:val="auto"/>
                <w:szCs w:val="21"/>
                <w:lang w:eastAsia="zh-CN"/>
              </w:rPr>
            </w:pPr>
            <w:r>
              <w:rPr>
                <w:rFonts w:hint="eastAsia"/>
                <w:color w:val="auto"/>
                <w:szCs w:val="21"/>
                <w:lang w:eastAsia="zh-CN"/>
              </w:rPr>
              <w:t>从业人员营业收入</w:t>
            </w:r>
          </w:p>
        </w:tc>
      </w:tr>
      <w:tr w14:paraId="4335E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097E9581">
            <w:pPr>
              <w:jc w:val="center"/>
              <w:rPr>
                <w:rFonts w:hint="eastAsia" w:ascii="宋体" w:hAnsi="宋体" w:cs="宋体"/>
                <w:color w:val="auto"/>
                <w:szCs w:val="21"/>
              </w:rPr>
            </w:pPr>
          </w:p>
        </w:tc>
        <w:tc>
          <w:tcPr>
            <w:tcW w:w="860" w:type="dxa"/>
            <w:vMerge w:val="continue"/>
            <w:noWrap w:val="0"/>
            <w:vAlign w:val="center"/>
          </w:tcPr>
          <w:p w14:paraId="335B85A9">
            <w:pPr>
              <w:jc w:val="center"/>
              <w:rPr>
                <w:rFonts w:hint="eastAsia" w:ascii="宋体" w:hAnsi="宋体" w:cs="宋体"/>
                <w:color w:val="auto"/>
                <w:szCs w:val="21"/>
              </w:rPr>
            </w:pPr>
          </w:p>
        </w:tc>
        <w:tc>
          <w:tcPr>
            <w:tcW w:w="2157" w:type="dxa"/>
            <w:vMerge w:val="continue"/>
            <w:noWrap w:val="0"/>
            <w:vAlign w:val="center"/>
          </w:tcPr>
          <w:p w14:paraId="51EE8847">
            <w:pPr>
              <w:rPr>
                <w:rFonts w:hint="eastAsia" w:ascii="宋体" w:hAnsi="宋体" w:cs="宋体"/>
                <w:color w:val="auto"/>
                <w:szCs w:val="21"/>
              </w:rPr>
            </w:pPr>
          </w:p>
        </w:tc>
        <w:tc>
          <w:tcPr>
            <w:tcW w:w="1215" w:type="dxa"/>
            <w:noWrap w:val="0"/>
            <w:vAlign w:val="center"/>
          </w:tcPr>
          <w:p w14:paraId="272A2E7D">
            <w:pPr>
              <w:pStyle w:val="74"/>
              <w:spacing w:before="68"/>
              <w:ind w:left="13"/>
              <w:jc w:val="center"/>
              <w:rPr>
                <w:rFonts w:hint="eastAsia"/>
                <w:color w:val="auto"/>
                <w:szCs w:val="21"/>
              </w:rPr>
            </w:pPr>
            <w:r>
              <w:rPr>
                <w:rFonts w:hint="eastAsia"/>
                <w:color w:val="auto"/>
                <w:szCs w:val="21"/>
              </w:rPr>
              <w:t>小型企业</w:t>
            </w:r>
          </w:p>
        </w:tc>
        <w:tc>
          <w:tcPr>
            <w:tcW w:w="4056" w:type="dxa"/>
            <w:noWrap w:val="0"/>
            <w:vAlign w:val="center"/>
          </w:tcPr>
          <w:p w14:paraId="744A6946">
            <w:pPr>
              <w:pStyle w:val="74"/>
              <w:spacing w:before="68"/>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20</w:t>
            </w:r>
            <w:r>
              <w:rPr>
                <w:rFonts w:hint="eastAsia"/>
                <w:color w:val="auto"/>
                <w:spacing w:val="-12"/>
                <w:szCs w:val="21"/>
                <w:lang w:eastAsia="zh-CN"/>
              </w:rPr>
              <w:t xml:space="preserve"> 人及以上，且营业收入</w:t>
            </w:r>
            <w:r>
              <w:rPr>
                <w:rFonts w:hint="eastAsia"/>
                <w:color w:val="auto"/>
                <w:szCs w:val="21"/>
                <w:lang w:eastAsia="zh-CN"/>
              </w:rPr>
              <w:t>100</w:t>
            </w:r>
            <w:r>
              <w:rPr>
                <w:rFonts w:hint="eastAsia"/>
                <w:color w:val="auto"/>
                <w:spacing w:val="-9"/>
                <w:szCs w:val="21"/>
                <w:lang w:eastAsia="zh-CN"/>
              </w:rPr>
              <w:t>万元及以上的</w:t>
            </w:r>
          </w:p>
        </w:tc>
        <w:tc>
          <w:tcPr>
            <w:tcW w:w="752" w:type="dxa"/>
            <w:vMerge w:val="continue"/>
            <w:noWrap w:val="0"/>
            <w:vAlign w:val="center"/>
          </w:tcPr>
          <w:p w14:paraId="70F8C1DD">
            <w:pPr>
              <w:jc w:val="center"/>
              <w:rPr>
                <w:rFonts w:hint="eastAsia" w:ascii="宋体" w:hAnsi="宋体" w:cs="宋体"/>
                <w:color w:val="auto"/>
                <w:szCs w:val="21"/>
                <w:lang w:bidi="en-US"/>
              </w:rPr>
            </w:pPr>
          </w:p>
        </w:tc>
      </w:tr>
      <w:tr w14:paraId="3AD27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0AD8FE8E">
            <w:pPr>
              <w:jc w:val="center"/>
              <w:rPr>
                <w:rFonts w:hint="eastAsia" w:ascii="宋体" w:hAnsi="宋体" w:cs="宋体"/>
                <w:color w:val="auto"/>
                <w:szCs w:val="21"/>
              </w:rPr>
            </w:pPr>
          </w:p>
        </w:tc>
        <w:tc>
          <w:tcPr>
            <w:tcW w:w="860" w:type="dxa"/>
            <w:vMerge w:val="continue"/>
            <w:noWrap w:val="0"/>
            <w:vAlign w:val="center"/>
          </w:tcPr>
          <w:p w14:paraId="5713125C">
            <w:pPr>
              <w:jc w:val="center"/>
              <w:rPr>
                <w:rFonts w:hint="eastAsia" w:ascii="宋体" w:hAnsi="宋体" w:cs="宋体"/>
                <w:color w:val="auto"/>
                <w:szCs w:val="21"/>
              </w:rPr>
            </w:pPr>
          </w:p>
        </w:tc>
        <w:tc>
          <w:tcPr>
            <w:tcW w:w="2157" w:type="dxa"/>
            <w:vMerge w:val="continue"/>
            <w:noWrap w:val="0"/>
            <w:vAlign w:val="center"/>
          </w:tcPr>
          <w:p w14:paraId="65E35D82">
            <w:pPr>
              <w:rPr>
                <w:rFonts w:hint="eastAsia" w:ascii="宋体" w:hAnsi="宋体" w:cs="宋体"/>
                <w:color w:val="auto"/>
                <w:szCs w:val="21"/>
              </w:rPr>
            </w:pPr>
          </w:p>
        </w:tc>
        <w:tc>
          <w:tcPr>
            <w:tcW w:w="1215" w:type="dxa"/>
            <w:noWrap w:val="0"/>
            <w:vAlign w:val="center"/>
          </w:tcPr>
          <w:p w14:paraId="71B18CC0">
            <w:pPr>
              <w:pStyle w:val="74"/>
              <w:spacing w:before="69"/>
              <w:ind w:left="13"/>
              <w:jc w:val="center"/>
              <w:rPr>
                <w:rFonts w:hint="eastAsia"/>
                <w:color w:val="auto"/>
                <w:szCs w:val="21"/>
              </w:rPr>
            </w:pPr>
            <w:r>
              <w:rPr>
                <w:rFonts w:hint="eastAsia"/>
                <w:color w:val="auto"/>
                <w:szCs w:val="21"/>
              </w:rPr>
              <w:t>微型企业</w:t>
            </w:r>
          </w:p>
        </w:tc>
        <w:tc>
          <w:tcPr>
            <w:tcW w:w="4056" w:type="dxa"/>
            <w:noWrap w:val="0"/>
            <w:vAlign w:val="center"/>
          </w:tcPr>
          <w:p w14:paraId="2059664C">
            <w:pPr>
              <w:pStyle w:val="74"/>
              <w:spacing w:before="69"/>
              <w:ind w:left="15"/>
              <w:rPr>
                <w:rFonts w:hint="eastAsia"/>
                <w:color w:val="auto"/>
                <w:szCs w:val="21"/>
                <w:lang w:eastAsia="zh-CN"/>
              </w:rPr>
            </w:pPr>
            <w:r>
              <w:rPr>
                <w:rFonts w:hint="eastAsia"/>
                <w:color w:val="auto"/>
                <w:szCs w:val="21"/>
                <w:lang w:eastAsia="zh-CN"/>
              </w:rPr>
              <w:t>从业人员 20 人以下或营业收入100万元以下的</w:t>
            </w:r>
          </w:p>
        </w:tc>
        <w:tc>
          <w:tcPr>
            <w:tcW w:w="752" w:type="dxa"/>
            <w:vMerge w:val="continue"/>
            <w:noWrap w:val="0"/>
            <w:vAlign w:val="center"/>
          </w:tcPr>
          <w:p w14:paraId="4EBD4E85">
            <w:pPr>
              <w:jc w:val="center"/>
              <w:rPr>
                <w:rFonts w:hint="eastAsia" w:ascii="宋体" w:hAnsi="宋体" w:cs="宋体"/>
                <w:color w:val="auto"/>
                <w:szCs w:val="21"/>
                <w:lang w:bidi="en-US"/>
              </w:rPr>
            </w:pPr>
          </w:p>
        </w:tc>
      </w:tr>
      <w:tr w14:paraId="2AE23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45CFF4BD">
            <w:pPr>
              <w:pStyle w:val="74"/>
              <w:spacing w:before="6"/>
              <w:jc w:val="center"/>
              <w:rPr>
                <w:rFonts w:hint="eastAsia"/>
                <w:b/>
                <w:color w:val="auto"/>
                <w:szCs w:val="21"/>
                <w:lang w:eastAsia="zh-CN"/>
              </w:rPr>
            </w:pPr>
          </w:p>
          <w:p w14:paraId="235E04B6">
            <w:pPr>
              <w:pStyle w:val="74"/>
              <w:ind w:left="8"/>
              <w:jc w:val="center"/>
              <w:rPr>
                <w:rFonts w:hint="eastAsia"/>
                <w:color w:val="auto"/>
                <w:szCs w:val="21"/>
              </w:rPr>
            </w:pPr>
            <w:r>
              <w:rPr>
                <w:rFonts w:hint="eastAsia"/>
                <w:color w:val="auto"/>
                <w:w w:val="99"/>
                <w:szCs w:val="21"/>
              </w:rPr>
              <w:t>9</w:t>
            </w:r>
          </w:p>
        </w:tc>
        <w:tc>
          <w:tcPr>
            <w:tcW w:w="860" w:type="dxa"/>
            <w:vMerge w:val="restart"/>
            <w:noWrap w:val="0"/>
            <w:vAlign w:val="center"/>
          </w:tcPr>
          <w:p w14:paraId="7232E217">
            <w:pPr>
              <w:pStyle w:val="74"/>
              <w:spacing w:before="11"/>
              <w:jc w:val="center"/>
              <w:rPr>
                <w:rFonts w:hint="eastAsia"/>
                <w:b/>
                <w:color w:val="auto"/>
                <w:szCs w:val="21"/>
              </w:rPr>
            </w:pPr>
          </w:p>
          <w:p w14:paraId="1F4EEE82">
            <w:pPr>
              <w:pStyle w:val="74"/>
              <w:ind w:left="13"/>
              <w:jc w:val="center"/>
              <w:rPr>
                <w:rFonts w:hint="eastAsia"/>
                <w:color w:val="auto"/>
                <w:szCs w:val="21"/>
              </w:rPr>
            </w:pPr>
            <w:r>
              <w:rPr>
                <w:rFonts w:hint="eastAsia"/>
                <w:color w:val="auto"/>
                <w:szCs w:val="21"/>
              </w:rPr>
              <w:t>住宿业</w:t>
            </w:r>
          </w:p>
        </w:tc>
        <w:tc>
          <w:tcPr>
            <w:tcW w:w="2157" w:type="dxa"/>
            <w:vMerge w:val="restart"/>
            <w:noWrap w:val="0"/>
            <w:vAlign w:val="center"/>
          </w:tcPr>
          <w:p w14:paraId="144CAFCD">
            <w:pPr>
              <w:pStyle w:val="74"/>
              <w:spacing w:before="141"/>
              <w:ind w:left="15"/>
              <w:rPr>
                <w:rFonts w:hint="eastAsia"/>
                <w:color w:val="auto"/>
                <w:szCs w:val="21"/>
                <w:lang w:eastAsia="zh-CN"/>
              </w:rPr>
            </w:pPr>
            <w:r>
              <w:rPr>
                <w:rFonts w:hint="eastAsia"/>
                <w:color w:val="auto"/>
                <w:szCs w:val="21"/>
                <w:lang w:eastAsia="zh-CN"/>
              </w:rPr>
              <w:t>从业人员300人以下或营业收入10000万元以下的为中小微型企业</w:t>
            </w:r>
          </w:p>
        </w:tc>
        <w:tc>
          <w:tcPr>
            <w:tcW w:w="1215" w:type="dxa"/>
            <w:noWrap w:val="0"/>
            <w:vAlign w:val="center"/>
          </w:tcPr>
          <w:p w14:paraId="02CB20C5">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70AC0C10">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100</w:t>
            </w:r>
            <w:r>
              <w:rPr>
                <w:rFonts w:hint="eastAsia"/>
                <w:color w:val="auto"/>
                <w:spacing w:val="-13"/>
                <w:szCs w:val="21"/>
                <w:lang w:eastAsia="zh-CN"/>
              </w:rPr>
              <w:t xml:space="preserve"> 人及以上，且营业收入</w:t>
            </w:r>
            <w:r>
              <w:rPr>
                <w:rFonts w:hint="eastAsia"/>
                <w:color w:val="auto"/>
                <w:szCs w:val="21"/>
                <w:lang w:eastAsia="zh-CN"/>
              </w:rPr>
              <w:t>2000</w:t>
            </w:r>
            <w:r>
              <w:rPr>
                <w:rFonts w:hint="eastAsia"/>
                <w:color w:val="auto"/>
                <w:spacing w:val="-9"/>
                <w:szCs w:val="21"/>
                <w:lang w:eastAsia="zh-CN"/>
              </w:rPr>
              <w:t>万元及以上的</w:t>
            </w:r>
          </w:p>
        </w:tc>
        <w:tc>
          <w:tcPr>
            <w:tcW w:w="752" w:type="dxa"/>
            <w:vMerge w:val="restart"/>
            <w:noWrap w:val="0"/>
            <w:vAlign w:val="center"/>
          </w:tcPr>
          <w:p w14:paraId="0138788E">
            <w:pPr>
              <w:pStyle w:val="74"/>
              <w:ind w:left="15"/>
              <w:rPr>
                <w:rFonts w:hint="eastAsia"/>
                <w:color w:val="auto"/>
                <w:szCs w:val="21"/>
                <w:lang w:eastAsia="zh-CN"/>
              </w:rPr>
            </w:pPr>
            <w:r>
              <w:rPr>
                <w:rFonts w:hint="eastAsia"/>
                <w:color w:val="auto"/>
                <w:szCs w:val="21"/>
                <w:lang w:eastAsia="zh-CN"/>
              </w:rPr>
              <w:t>从业人员营业收入</w:t>
            </w:r>
          </w:p>
        </w:tc>
      </w:tr>
      <w:tr w14:paraId="4B72A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43200805">
            <w:pPr>
              <w:jc w:val="center"/>
              <w:rPr>
                <w:rFonts w:hint="eastAsia" w:ascii="宋体" w:hAnsi="宋体" w:cs="宋体"/>
                <w:color w:val="auto"/>
                <w:szCs w:val="21"/>
              </w:rPr>
            </w:pPr>
          </w:p>
        </w:tc>
        <w:tc>
          <w:tcPr>
            <w:tcW w:w="860" w:type="dxa"/>
            <w:vMerge w:val="continue"/>
            <w:noWrap w:val="0"/>
            <w:vAlign w:val="center"/>
          </w:tcPr>
          <w:p w14:paraId="5C397072">
            <w:pPr>
              <w:jc w:val="center"/>
              <w:rPr>
                <w:rFonts w:hint="eastAsia" w:ascii="宋体" w:hAnsi="宋体" w:cs="宋体"/>
                <w:color w:val="auto"/>
                <w:szCs w:val="21"/>
              </w:rPr>
            </w:pPr>
          </w:p>
        </w:tc>
        <w:tc>
          <w:tcPr>
            <w:tcW w:w="2157" w:type="dxa"/>
            <w:vMerge w:val="continue"/>
            <w:noWrap w:val="0"/>
            <w:vAlign w:val="center"/>
          </w:tcPr>
          <w:p w14:paraId="30B19AF1">
            <w:pPr>
              <w:rPr>
                <w:rFonts w:hint="eastAsia" w:ascii="宋体" w:hAnsi="宋体" w:cs="宋体"/>
                <w:color w:val="auto"/>
                <w:szCs w:val="21"/>
              </w:rPr>
            </w:pPr>
          </w:p>
        </w:tc>
        <w:tc>
          <w:tcPr>
            <w:tcW w:w="1215" w:type="dxa"/>
            <w:noWrap w:val="0"/>
            <w:vAlign w:val="center"/>
          </w:tcPr>
          <w:p w14:paraId="682B78FD">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18B42880">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10</w:t>
            </w:r>
            <w:r>
              <w:rPr>
                <w:rFonts w:hint="eastAsia"/>
                <w:color w:val="auto"/>
                <w:spacing w:val="-12"/>
                <w:szCs w:val="21"/>
                <w:lang w:eastAsia="zh-CN"/>
              </w:rPr>
              <w:t>人及以上，且营业收入</w:t>
            </w:r>
            <w:r>
              <w:rPr>
                <w:rFonts w:hint="eastAsia"/>
                <w:color w:val="auto"/>
                <w:szCs w:val="21"/>
                <w:lang w:eastAsia="zh-CN"/>
              </w:rPr>
              <w:t>100</w:t>
            </w:r>
            <w:r>
              <w:rPr>
                <w:rFonts w:hint="eastAsia"/>
                <w:color w:val="auto"/>
                <w:spacing w:val="-9"/>
                <w:szCs w:val="21"/>
                <w:lang w:eastAsia="zh-CN"/>
              </w:rPr>
              <w:t>万元及以上的</w:t>
            </w:r>
          </w:p>
        </w:tc>
        <w:tc>
          <w:tcPr>
            <w:tcW w:w="752" w:type="dxa"/>
            <w:vMerge w:val="continue"/>
            <w:noWrap w:val="0"/>
            <w:vAlign w:val="center"/>
          </w:tcPr>
          <w:p w14:paraId="063BE00F">
            <w:pPr>
              <w:jc w:val="center"/>
              <w:rPr>
                <w:rFonts w:hint="eastAsia" w:ascii="宋体" w:hAnsi="宋体" w:cs="宋体"/>
                <w:color w:val="auto"/>
                <w:szCs w:val="21"/>
                <w:lang w:bidi="en-US"/>
              </w:rPr>
            </w:pPr>
          </w:p>
        </w:tc>
      </w:tr>
      <w:tr w14:paraId="5F910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1AA1EB09">
            <w:pPr>
              <w:jc w:val="center"/>
              <w:rPr>
                <w:rFonts w:hint="eastAsia" w:ascii="宋体" w:hAnsi="宋体" w:cs="宋体"/>
                <w:color w:val="auto"/>
                <w:szCs w:val="21"/>
              </w:rPr>
            </w:pPr>
          </w:p>
        </w:tc>
        <w:tc>
          <w:tcPr>
            <w:tcW w:w="860" w:type="dxa"/>
            <w:vMerge w:val="continue"/>
            <w:noWrap w:val="0"/>
            <w:vAlign w:val="center"/>
          </w:tcPr>
          <w:p w14:paraId="7EF0F7F9">
            <w:pPr>
              <w:jc w:val="center"/>
              <w:rPr>
                <w:rFonts w:hint="eastAsia" w:ascii="宋体" w:hAnsi="宋体" w:cs="宋体"/>
                <w:color w:val="auto"/>
                <w:szCs w:val="21"/>
              </w:rPr>
            </w:pPr>
          </w:p>
        </w:tc>
        <w:tc>
          <w:tcPr>
            <w:tcW w:w="2157" w:type="dxa"/>
            <w:vMerge w:val="continue"/>
            <w:noWrap w:val="0"/>
            <w:vAlign w:val="center"/>
          </w:tcPr>
          <w:p w14:paraId="135D5EBF">
            <w:pPr>
              <w:rPr>
                <w:rFonts w:hint="eastAsia" w:ascii="宋体" w:hAnsi="宋体" w:cs="宋体"/>
                <w:color w:val="auto"/>
                <w:szCs w:val="21"/>
              </w:rPr>
            </w:pPr>
          </w:p>
        </w:tc>
        <w:tc>
          <w:tcPr>
            <w:tcW w:w="1215" w:type="dxa"/>
            <w:noWrap w:val="0"/>
            <w:vAlign w:val="center"/>
          </w:tcPr>
          <w:p w14:paraId="1E07F48D">
            <w:pPr>
              <w:pStyle w:val="74"/>
              <w:spacing w:before="68"/>
              <w:ind w:left="13"/>
              <w:jc w:val="center"/>
              <w:rPr>
                <w:rFonts w:hint="eastAsia"/>
                <w:color w:val="auto"/>
                <w:szCs w:val="21"/>
              </w:rPr>
            </w:pPr>
            <w:r>
              <w:rPr>
                <w:rFonts w:hint="eastAsia"/>
                <w:color w:val="auto"/>
                <w:szCs w:val="21"/>
              </w:rPr>
              <w:t>微型企业</w:t>
            </w:r>
          </w:p>
        </w:tc>
        <w:tc>
          <w:tcPr>
            <w:tcW w:w="4056" w:type="dxa"/>
            <w:noWrap w:val="0"/>
            <w:vAlign w:val="center"/>
          </w:tcPr>
          <w:p w14:paraId="58986A60">
            <w:pPr>
              <w:pStyle w:val="74"/>
              <w:spacing w:before="68"/>
              <w:ind w:left="15"/>
              <w:rPr>
                <w:rFonts w:hint="eastAsia"/>
                <w:color w:val="auto"/>
                <w:szCs w:val="21"/>
                <w:lang w:eastAsia="zh-CN"/>
              </w:rPr>
            </w:pPr>
            <w:r>
              <w:rPr>
                <w:rFonts w:hint="eastAsia"/>
                <w:color w:val="auto"/>
                <w:szCs w:val="21"/>
                <w:lang w:eastAsia="zh-CN"/>
              </w:rPr>
              <w:t>从业人员 10人以下或营业收入100万元以下的</w:t>
            </w:r>
          </w:p>
        </w:tc>
        <w:tc>
          <w:tcPr>
            <w:tcW w:w="752" w:type="dxa"/>
            <w:vMerge w:val="continue"/>
            <w:noWrap w:val="0"/>
            <w:vAlign w:val="center"/>
          </w:tcPr>
          <w:p w14:paraId="6E37CB1C">
            <w:pPr>
              <w:jc w:val="center"/>
              <w:rPr>
                <w:rFonts w:hint="eastAsia" w:ascii="宋体" w:hAnsi="宋体" w:cs="宋体"/>
                <w:color w:val="auto"/>
                <w:szCs w:val="21"/>
                <w:lang w:bidi="en-US"/>
              </w:rPr>
            </w:pPr>
          </w:p>
        </w:tc>
      </w:tr>
      <w:tr w14:paraId="0766A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401A5386">
            <w:pPr>
              <w:pStyle w:val="74"/>
              <w:spacing w:before="7"/>
              <w:jc w:val="center"/>
              <w:rPr>
                <w:rFonts w:hint="eastAsia"/>
                <w:b/>
                <w:color w:val="auto"/>
                <w:szCs w:val="21"/>
                <w:lang w:eastAsia="zh-CN"/>
              </w:rPr>
            </w:pPr>
          </w:p>
          <w:p w14:paraId="2508C7B2">
            <w:pPr>
              <w:pStyle w:val="74"/>
              <w:jc w:val="center"/>
              <w:rPr>
                <w:rFonts w:hint="eastAsia"/>
                <w:color w:val="auto"/>
                <w:szCs w:val="21"/>
              </w:rPr>
            </w:pPr>
            <w:r>
              <w:rPr>
                <w:rFonts w:hint="eastAsia"/>
                <w:color w:val="auto"/>
                <w:szCs w:val="21"/>
              </w:rPr>
              <w:t>10</w:t>
            </w:r>
          </w:p>
        </w:tc>
        <w:tc>
          <w:tcPr>
            <w:tcW w:w="860" w:type="dxa"/>
            <w:vMerge w:val="restart"/>
            <w:noWrap w:val="0"/>
            <w:vAlign w:val="center"/>
          </w:tcPr>
          <w:p w14:paraId="2FDD2664">
            <w:pPr>
              <w:pStyle w:val="74"/>
              <w:spacing w:before="12"/>
              <w:jc w:val="center"/>
              <w:rPr>
                <w:rFonts w:hint="eastAsia"/>
                <w:b/>
                <w:color w:val="auto"/>
                <w:szCs w:val="21"/>
              </w:rPr>
            </w:pPr>
          </w:p>
          <w:p w14:paraId="7710F405">
            <w:pPr>
              <w:pStyle w:val="74"/>
              <w:ind w:left="13"/>
              <w:jc w:val="center"/>
              <w:rPr>
                <w:rFonts w:hint="eastAsia"/>
                <w:color w:val="auto"/>
                <w:szCs w:val="21"/>
              </w:rPr>
            </w:pPr>
            <w:r>
              <w:rPr>
                <w:rFonts w:hint="eastAsia"/>
                <w:color w:val="auto"/>
                <w:szCs w:val="21"/>
              </w:rPr>
              <w:t>餐饮业</w:t>
            </w:r>
          </w:p>
        </w:tc>
        <w:tc>
          <w:tcPr>
            <w:tcW w:w="2157" w:type="dxa"/>
            <w:vMerge w:val="restart"/>
            <w:noWrap w:val="0"/>
            <w:vAlign w:val="center"/>
          </w:tcPr>
          <w:p w14:paraId="6C35BC12">
            <w:pPr>
              <w:pStyle w:val="74"/>
              <w:spacing w:before="142"/>
              <w:ind w:left="15"/>
              <w:rPr>
                <w:rFonts w:hint="eastAsia"/>
                <w:color w:val="auto"/>
                <w:szCs w:val="21"/>
                <w:lang w:eastAsia="zh-CN"/>
              </w:rPr>
            </w:pPr>
            <w:r>
              <w:rPr>
                <w:rFonts w:hint="eastAsia"/>
                <w:color w:val="auto"/>
                <w:szCs w:val="21"/>
                <w:lang w:eastAsia="zh-CN"/>
              </w:rPr>
              <w:t>从业人员300人以下或营业收入10000 万元以下的为中小微型企业</w:t>
            </w:r>
          </w:p>
        </w:tc>
        <w:tc>
          <w:tcPr>
            <w:tcW w:w="1215" w:type="dxa"/>
            <w:noWrap w:val="0"/>
            <w:vAlign w:val="center"/>
          </w:tcPr>
          <w:p w14:paraId="2E97DF90">
            <w:pPr>
              <w:pStyle w:val="74"/>
              <w:spacing w:before="68"/>
              <w:ind w:left="13"/>
              <w:jc w:val="center"/>
              <w:rPr>
                <w:rFonts w:hint="eastAsia"/>
                <w:color w:val="auto"/>
                <w:szCs w:val="21"/>
              </w:rPr>
            </w:pPr>
            <w:r>
              <w:rPr>
                <w:rFonts w:hint="eastAsia"/>
                <w:color w:val="auto"/>
                <w:szCs w:val="21"/>
              </w:rPr>
              <w:t>中型企业</w:t>
            </w:r>
          </w:p>
        </w:tc>
        <w:tc>
          <w:tcPr>
            <w:tcW w:w="4056" w:type="dxa"/>
            <w:noWrap w:val="0"/>
            <w:vAlign w:val="center"/>
          </w:tcPr>
          <w:p w14:paraId="574F6E90">
            <w:pPr>
              <w:pStyle w:val="74"/>
              <w:spacing w:before="68"/>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100</w:t>
            </w:r>
            <w:r>
              <w:rPr>
                <w:rFonts w:hint="eastAsia"/>
                <w:color w:val="auto"/>
                <w:spacing w:val="-13"/>
                <w:szCs w:val="21"/>
                <w:lang w:eastAsia="zh-CN"/>
              </w:rPr>
              <w:t xml:space="preserve">人及以上，且营业收入 </w:t>
            </w:r>
            <w:r>
              <w:rPr>
                <w:rFonts w:hint="eastAsia"/>
                <w:color w:val="auto"/>
                <w:szCs w:val="21"/>
                <w:lang w:eastAsia="zh-CN"/>
              </w:rPr>
              <w:t>2000</w:t>
            </w:r>
            <w:r>
              <w:rPr>
                <w:rFonts w:hint="eastAsia"/>
                <w:color w:val="auto"/>
                <w:spacing w:val="-9"/>
                <w:szCs w:val="21"/>
                <w:lang w:eastAsia="zh-CN"/>
              </w:rPr>
              <w:t>万元及以上的</w:t>
            </w:r>
          </w:p>
        </w:tc>
        <w:tc>
          <w:tcPr>
            <w:tcW w:w="752" w:type="dxa"/>
            <w:vMerge w:val="restart"/>
            <w:noWrap w:val="0"/>
            <w:vAlign w:val="center"/>
          </w:tcPr>
          <w:p w14:paraId="47B45594">
            <w:pPr>
              <w:pStyle w:val="74"/>
              <w:ind w:left="15"/>
              <w:rPr>
                <w:rFonts w:hint="eastAsia"/>
                <w:color w:val="auto"/>
                <w:szCs w:val="21"/>
                <w:lang w:eastAsia="zh-CN"/>
              </w:rPr>
            </w:pPr>
            <w:r>
              <w:rPr>
                <w:rFonts w:hint="eastAsia"/>
                <w:color w:val="auto"/>
                <w:szCs w:val="21"/>
                <w:lang w:eastAsia="zh-CN"/>
              </w:rPr>
              <w:t>从业人员营业收入</w:t>
            </w:r>
          </w:p>
        </w:tc>
      </w:tr>
      <w:tr w14:paraId="038DA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4ED78857">
            <w:pPr>
              <w:jc w:val="center"/>
              <w:rPr>
                <w:rFonts w:hint="eastAsia" w:ascii="宋体" w:hAnsi="宋体" w:cs="宋体"/>
                <w:color w:val="auto"/>
                <w:szCs w:val="21"/>
              </w:rPr>
            </w:pPr>
          </w:p>
        </w:tc>
        <w:tc>
          <w:tcPr>
            <w:tcW w:w="860" w:type="dxa"/>
            <w:vMerge w:val="continue"/>
            <w:noWrap w:val="0"/>
            <w:vAlign w:val="center"/>
          </w:tcPr>
          <w:p w14:paraId="162C6962">
            <w:pPr>
              <w:jc w:val="center"/>
              <w:rPr>
                <w:rFonts w:hint="eastAsia" w:ascii="宋体" w:hAnsi="宋体" w:cs="宋体"/>
                <w:color w:val="auto"/>
                <w:szCs w:val="21"/>
              </w:rPr>
            </w:pPr>
          </w:p>
        </w:tc>
        <w:tc>
          <w:tcPr>
            <w:tcW w:w="2157" w:type="dxa"/>
            <w:vMerge w:val="continue"/>
            <w:noWrap w:val="0"/>
            <w:vAlign w:val="center"/>
          </w:tcPr>
          <w:p w14:paraId="499DC2FD">
            <w:pPr>
              <w:rPr>
                <w:rFonts w:hint="eastAsia" w:ascii="宋体" w:hAnsi="宋体" w:cs="宋体"/>
                <w:color w:val="auto"/>
                <w:szCs w:val="21"/>
              </w:rPr>
            </w:pPr>
          </w:p>
        </w:tc>
        <w:tc>
          <w:tcPr>
            <w:tcW w:w="1215" w:type="dxa"/>
            <w:noWrap w:val="0"/>
            <w:vAlign w:val="center"/>
          </w:tcPr>
          <w:p w14:paraId="2EED31C3">
            <w:pPr>
              <w:pStyle w:val="74"/>
              <w:spacing w:before="68"/>
              <w:ind w:left="13"/>
              <w:jc w:val="center"/>
              <w:rPr>
                <w:rFonts w:hint="eastAsia"/>
                <w:color w:val="auto"/>
                <w:szCs w:val="21"/>
              </w:rPr>
            </w:pPr>
            <w:r>
              <w:rPr>
                <w:rFonts w:hint="eastAsia"/>
                <w:color w:val="auto"/>
                <w:szCs w:val="21"/>
              </w:rPr>
              <w:t>小型企业</w:t>
            </w:r>
          </w:p>
        </w:tc>
        <w:tc>
          <w:tcPr>
            <w:tcW w:w="4056" w:type="dxa"/>
            <w:noWrap w:val="0"/>
            <w:vAlign w:val="center"/>
          </w:tcPr>
          <w:p w14:paraId="04B23395">
            <w:pPr>
              <w:pStyle w:val="74"/>
              <w:spacing w:before="68"/>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10</w:t>
            </w:r>
            <w:r>
              <w:rPr>
                <w:rFonts w:hint="eastAsia"/>
                <w:color w:val="auto"/>
                <w:spacing w:val="-12"/>
                <w:szCs w:val="21"/>
                <w:lang w:eastAsia="zh-CN"/>
              </w:rPr>
              <w:t>人及以上，且营业收入</w:t>
            </w:r>
            <w:r>
              <w:rPr>
                <w:rFonts w:hint="eastAsia"/>
                <w:color w:val="auto"/>
                <w:szCs w:val="21"/>
                <w:lang w:eastAsia="zh-CN"/>
              </w:rPr>
              <w:t>100</w:t>
            </w:r>
            <w:r>
              <w:rPr>
                <w:rFonts w:hint="eastAsia"/>
                <w:color w:val="auto"/>
                <w:spacing w:val="-9"/>
                <w:szCs w:val="21"/>
                <w:lang w:eastAsia="zh-CN"/>
              </w:rPr>
              <w:t>万元及以上的</w:t>
            </w:r>
          </w:p>
        </w:tc>
        <w:tc>
          <w:tcPr>
            <w:tcW w:w="752" w:type="dxa"/>
            <w:vMerge w:val="continue"/>
            <w:noWrap w:val="0"/>
            <w:vAlign w:val="center"/>
          </w:tcPr>
          <w:p w14:paraId="718EF4A1">
            <w:pPr>
              <w:jc w:val="center"/>
              <w:rPr>
                <w:rFonts w:hint="eastAsia" w:ascii="宋体" w:hAnsi="宋体" w:cs="宋体"/>
                <w:color w:val="auto"/>
                <w:szCs w:val="21"/>
                <w:lang w:bidi="en-US"/>
              </w:rPr>
            </w:pPr>
          </w:p>
        </w:tc>
      </w:tr>
      <w:tr w14:paraId="66334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3C03B939">
            <w:pPr>
              <w:jc w:val="center"/>
              <w:rPr>
                <w:rFonts w:hint="eastAsia" w:ascii="宋体" w:hAnsi="宋体" w:cs="宋体"/>
                <w:color w:val="auto"/>
                <w:szCs w:val="21"/>
              </w:rPr>
            </w:pPr>
          </w:p>
        </w:tc>
        <w:tc>
          <w:tcPr>
            <w:tcW w:w="860" w:type="dxa"/>
            <w:vMerge w:val="continue"/>
            <w:noWrap w:val="0"/>
            <w:vAlign w:val="center"/>
          </w:tcPr>
          <w:p w14:paraId="5546E326">
            <w:pPr>
              <w:jc w:val="center"/>
              <w:rPr>
                <w:rFonts w:hint="eastAsia" w:ascii="宋体" w:hAnsi="宋体" w:cs="宋体"/>
                <w:color w:val="auto"/>
                <w:szCs w:val="21"/>
              </w:rPr>
            </w:pPr>
          </w:p>
        </w:tc>
        <w:tc>
          <w:tcPr>
            <w:tcW w:w="2157" w:type="dxa"/>
            <w:vMerge w:val="continue"/>
            <w:noWrap w:val="0"/>
            <w:vAlign w:val="center"/>
          </w:tcPr>
          <w:p w14:paraId="4E287EF0">
            <w:pPr>
              <w:rPr>
                <w:rFonts w:hint="eastAsia" w:ascii="宋体" w:hAnsi="宋体" w:cs="宋体"/>
                <w:color w:val="auto"/>
                <w:szCs w:val="21"/>
              </w:rPr>
            </w:pPr>
          </w:p>
        </w:tc>
        <w:tc>
          <w:tcPr>
            <w:tcW w:w="1215" w:type="dxa"/>
            <w:noWrap w:val="0"/>
            <w:vAlign w:val="center"/>
          </w:tcPr>
          <w:p w14:paraId="526F3DE4">
            <w:pPr>
              <w:pStyle w:val="74"/>
              <w:spacing w:before="69"/>
              <w:ind w:left="13"/>
              <w:jc w:val="center"/>
              <w:rPr>
                <w:rFonts w:hint="eastAsia"/>
                <w:color w:val="auto"/>
                <w:szCs w:val="21"/>
              </w:rPr>
            </w:pPr>
            <w:r>
              <w:rPr>
                <w:rFonts w:hint="eastAsia"/>
                <w:color w:val="auto"/>
                <w:szCs w:val="21"/>
              </w:rPr>
              <w:t>微型企业</w:t>
            </w:r>
          </w:p>
        </w:tc>
        <w:tc>
          <w:tcPr>
            <w:tcW w:w="4056" w:type="dxa"/>
            <w:noWrap w:val="0"/>
            <w:vAlign w:val="center"/>
          </w:tcPr>
          <w:p w14:paraId="1D942F0A">
            <w:pPr>
              <w:pStyle w:val="74"/>
              <w:spacing w:before="69"/>
              <w:ind w:left="15"/>
              <w:rPr>
                <w:rFonts w:hint="eastAsia"/>
                <w:color w:val="auto"/>
                <w:szCs w:val="21"/>
                <w:lang w:eastAsia="zh-CN"/>
              </w:rPr>
            </w:pPr>
            <w:r>
              <w:rPr>
                <w:rFonts w:hint="eastAsia"/>
                <w:color w:val="auto"/>
                <w:szCs w:val="21"/>
                <w:lang w:eastAsia="zh-CN"/>
              </w:rPr>
              <w:t>从业人员 10人以下或营业收入100万元以下的</w:t>
            </w:r>
          </w:p>
        </w:tc>
        <w:tc>
          <w:tcPr>
            <w:tcW w:w="752" w:type="dxa"/>
            <w:vMerge w:val="continue"/>
            <w:noWrap w:val="0"/>
            <w:vAlign w:val="center"/>
          </w:tcPr>
          <w:p w14:paraId="3CAA82D8">
            <w:pPr>
              <w:jc w:val="center"/>
              <w:rPr>
                <w:rFonts w:hint="eastAsia" w:ascii="宋体" w:hAnsi="宋体" w:cs="宋体"/>
                <w:color w:val="auto"/>
                <w:szCs w:val="21"/>
                <w:lang w:bidi="en-US"/>
              </w:rPr>
            </w:pPr>
          </w:p>
        </w:tc>
      </w:tr>
      <w:tr w14:paraId="02475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34F704D6">
            <w:pPr>
              <w:pStyle w:val="74"/>
              <w:spacing w:before="80"/>
              <w:ind w:left="40" w:right="32"/>
              <w:jc w:val="center"/>
              <w:rPr>
                <w:rFonts w:hint="eastAsia"/>
                <w:color w:val="auto"/>
                <w:szCs w:val="21"/>
              </w:rPr>
            </w:pPr>
            <w:r>
              <w:rPr>
                <w:rFonts w:hint="eastAsia"/>
                <w:color w:val="auto"/>
                <w:szCs w:val="21"/>
              </w:rPr>
              <w:t>11</w:t>
            </w:r>
          </w:p>
        </w:tc>
        <w:tc>
          <w:tcPr>
            <w:tcW w:w="860" w:type="dxa"/>
            <w:vMerge w:val="restart"/>
            <w:noWrap w:val="0"/>
            <w:vAlign w:val="center"/>
          </w:tcPr>
          <w:p w14:paraId="10B3E44F">
            <w:pPr>
              <w:pStyle w:val="74"/>
              <w:spacing w:before="67"/>
              <w:ind w:left="7" w:right="2"/>
              <w:jc w:val="center"/>
              <w:rPr>
                <w:rFonts w:hint="eastAsia"/>
                <w:color w:val="auto"/>
                <w:szCs w:val="21"/>
              </w:rPr>
            </w:pPr>
            <w:r>
              <w:rPr>
                <w:rFonts w:hint="eastAsia"/>
                <w:color w:val="auto"/>
                <w:szCs w:val="21"/>
              </w:rPr>
              <w:t>信息传输</w:t>
            </w:r>
          </w:p>
        </w:tc>
        <w:tc>
          <w:tcPr>
            <w:tcW w:w="2157" w:type="dxa"/>
            <w:vMerge w:val="restart"/>
            <w:noWrap w:val="0"/>
            <w:vAlign w:val="center"/>
          </w:tcPr>
          <w:p w14:paraId="24A7565E">
            <w:pPr>
              <w:pStyle w:val="74"/>
              <w:spacing w:before="67"/>
              <w:ind w:left="7"/>
              <w:rPr>
                <w:rFonts w:hint="eastAsia"/>
                <w:color w:val="auto"/>
                <w:szCs w:val="21"/>
                <w:lang w:eastAsia="zh-CN"/>
              </w:rPr>
            </w:pPr>
            <w:r>
              <w:rPr>
                <w:rFonts w:hint="eastAsia"/>
                <w:color w:val="auto"/>
                <w:szCs w:val="21"/>
                <w:lang w:eastAsia="zh-CN"/>
              </w:rPr>
              <w:t>从业人员2000人以下或营业收入100000万元以下的为中小微型企业。</w:t>
            </w:r>
          </w:p>
        </w:tc>
        <w:tc>
          <w:tcPr>
            <w:tcW w:w="1215" w:type="dxa"/>
            <w:noWrap w:val="0"/>
            <w:vAlign w:val="center"/>
          </w:tcPr>
          <w:p w14:paraId="6547DBF6">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2A8C553A">
            <w:pPr>
              <w:pStyle w:val="74"/>
              <w:spacing w:before="67"/>
              <w:ind w:left="15"/>
              <w:rPr>
                <w:rFonts w:hint="eastAsia"/>
                <w:color w:val="auto"/>
                <w:szCs w:val="21"/>
                <w:lang w:eastAsia="zh-CN"/>
              </w:rPr>
            </w:pPr>
            <w:r>
              <w:rPr>
                <w:rFonts w:hint="eastAsia"/>
                <w:color w:val="auto"/>
                <w:spacing w:val="-11"/>
                <w:szCs w:val="21"/>
                <w:lang w:eastAsia="zh-CN"/>
              </w:rPr>
              <w:t xml:space="preserve">从业人员 </w:t>
            </w:r>
            <w:r>
              <w:rPr>
                <w:rFonts w:hint="eastAsia"/>
                <w:color w:val="auto"/>
                <w:szCs w:val="21"/>
                <w:lang w:eastAsia="zh-CN"/>
              </w:rPr>
              <w:t>100</w:t>
            </w:r>
            <w:r>
              <w:rPr>
                <w:rFonts w:hint="eastAsia"/>
                <w:color w:val="auto"/>
                <w:spacing w:val="-13"/>
                <w:szCs w:val="21"/>
                <w:lang w:eastAsia="zh-CN"/>
              </w:rPr>
              <w:t xml:space="preserve"> 人及以上，且营业收入</w:t>
            </w:r>
            <w:r>
              <w:rPr>
                <w:rFonts w:hint="eastAsia"/>
                <w:color w:val="auto"/>
                <w:szCs w:val="21"/>
                <w:lang w:eastAsia="zh-CN"/>
              </w:rPr>
              <w:t>1000</w:t>
            </w:r>
            <w:r>
              <w:rPr>
                <w:rFonts w:hint="eastAsia"/>
                <w:color w:val="auto"/>
                <w:spacing w:val="-9"/>
                <w:szCs w:val="21"/>
                <w:lang w:eastAsia="zh-CN"/>
              </w:rPr>
              <w:t>万元及以上的</w:t>
            </w:r>
          </w:p>
        </w:tc>
        <w:tc>
          <w:tcPr>
            <w:tcW w:w="752" w:type="dxa"/>
            <w:vMerge w:val="restart"/>
            <w:noWrap w:val="0"/>
            <w:vAlign w:val="center"/>
          </w:tcPr>
          <w:p w14:paraId="59BD8649">
            <w:pPr>
              <w:pStyle w:val="74"/>
              <w:ind w:left="15"/>
              <w:rPr>
                <w:rFonts w:hint="eastAsia"/>
                <w:color w:val="auto"/>
                <w:szCs w:val="21"/>
                <w:lang w:eastAsia="zh-CN"/>
              </w:rPr>
            </w:pPr>
            <w:r>
              <w:rPr>
                <w:rFonts w:hint="eastAsia"/>
                <w:color w:val="auto"/>
                <w:szCs w:val="21"/>
                <w:lang w:eastAsia="zh-CN"/>
              </w:rPr>
              <w:t>从业人员营业收入</w:t>
            </w:r>
          </w:p>
        </w:tc>
      </w:tr>
      <w:tr w14:paraId="280DB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2C3535C0">
            <w:pPr>
              <w:pStyle w:val="74"/>
              <w:spacing w:before="80"/>
              <w:ind w:left="40" w:right="32"/>
              <w:jc w:val="center"/>
              <w:rPr>
                <w:rFonts w:hint="eastAsia"/>
                <w:color w:val="auto"/>
                <w:sz w:val="24"/>
              </w:rPr>
            </w:pPr>
          </w:p>
        </w:tc>
        <w:tc>
          <w:tcPr>
            <w:tcW w:w="860" w:type="dxa"/>
            <w:vMerge w:val="continue"/>
            <w:noWrap w:val="0"/>
            <w:vAlign w:val="center"/>
          </w:tcPr>
          <w:p w14:paraId="01271A69">
            <w:pPr>
              <w:pStyle w:val="74"/>
              <w:spacing w:before="67"/>
              <w:ind w:left="7" w:right="2"/>
              <w:jc w:val="center"/>
              <w:rPr>
                <w:rFonts w:hint="eastAsia"/>
                <w:color w:val="auto"/>
                <w:sz w:val="24"/>
              </w:rPr>
            </w:pPr>
          </w:p>
        </w:tc>
        <w:tc>
          <w:tcPr>
            <w:tcW w:w="2157" w:type="dxa"/>
            <w:vMerge w:val="continue"/>
            <w:noWrap w:val="0"/>
            <w:vAlign w:val="center"/>
          </w:tcPr>
          <w:p w14:paraId="6AD3FDCA">
            <w:pPr>
              <w:pStyle w:val="74"/>
              <w:spacing w:before="67"/>
              <w:ind w:left="7"/>
              <w:rPr>
                <w:rFonts w:hint="eastAsia"/>
                <w:color w:val="auto"/>
                <w:spacing w:val="-9"/>
                <w:sz w:val="24"/>
              </w:rPr>
            </w:pPr>
          </w:p>
        </w:tc>
        <w:tc>
          <w:tcPr>
            <w:tcW w:w="1215" w:type="dxa"/>
            <w:noWrap w:val="0"/>
            <w:vAlign w:val="center"/>
          </w:tcPr>
          <w:p w14:paraId="27101966">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380FD145">
            <w:pPr>
              <w:pStyle w:val="74"/>
              <w:spacing w:before="67"/>
              <w:ind w:left="15"/>
              <w:rPr>
                <w:rFonts w:hint="eastAsia"/>
                <w:color w:val="auto"/>
                <w:spacing w:val="-11"/>
                <w:szCs w:val="21"/>
                <w:lang w:eastAsia="zh-CN"/>
              </w:rPr>
            </w:pPr>
            <w:r>
              <w:rPr>
                <w:rFonts w:hint="eastAsia"/>
                <w:color w:val="auto"/>
                <w:szCs w:val="21"/>
                <w:lang w:eastAsia="zh-CN"/>
              </w:rPr>
              <w:t>从业人员10人及以上，且营业收入100万元及以上的</w:t>
            </w:r>
          </w:p>
        </w:tc>
        <w:tc>
          <w:tcPr>
            <w:tcW w:w="752" w:type="dxa"/>
            <w:vMerge w:val="continue"/>
            <w:noWrap w:val="0"/>
            <w:vAlign w:val="center"/>
          </w:tcPr>
          <w:p w14:paraId="4B6C44E7">
            <w:pPr>
              <w:pStyle w:val="74"/>
              <w:ind w:left="15"/>
              <w:rPr>
                <w:rFonts w:hint="eastAsia"/>
                <w:color w:val="auto"/>
                <w:sz w:val="24"/>
                <w:lang w:eastAsia="zh-CN"/>
              </w:rPr>
            </w:pPr>
          </w:p>
        </w:tc>
      </w:tr>
      <w:tr w14:paraId="75E98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3D1AFB8F">
            <w:pPr>
              <w:pStyle w:val="74"/>
              <w:spacing w:before="80"/>
              <w:ind w:left="40" w:right="32"/>
              <w:jc w:val="center"/>
              <w:rPr>
                <w:rFonts w:hint="eastAsia"/>
                <w:color w:val="auto"/>
                <w:sz w:val="24"/>
                <w:lang w:eastAsia="zh-CN"/>
              </w:rPr>
            </w:pPr>
          </w:p>
        </w:tc>
        <w:tc>
          <w:tcPr>
            <w:tcW w:w="860" w:type="dxa"/>
            <w:vMerge w:val="continue"/>
            <w:noWrap w:val="0"/>
            <w:vAlign w:val="center"/>
          </w:tcPr>
          <w:p w14:paraId="5CD4580E">
            <w:pPr>
              <w:pStyle w:val="74"/>
              <w:spacing w:before="67"/>
              <w:ind w:left="7" w:right="2"/>
              <w:jc w:val="center"/>
              <w:rPr>
                <w:rFonts w:hint="eastAsia"/>
                <w:color w:val="auto"/>
                <w:sz w:val="24"/>
                <w:lang w:eastAsia="zh-CN"/>
              </w:rPr>
            </w:pPr>
          </w:p>
        </w:tc>
        <w:tc>
          <w:tcPr>
            <w:tcW w:w="2157" w:type="dxa"/>
            <w:vMerge w:val="continue"/>
            <w:noWrap w:val="0"/>
            <w:vAlign w:val="center"/>
          </w:tcPr>
          <w:p w14:paraId="307CD092">
            <w:pPr>
              <w:pStyle w:val="74"/>
              <w:spacing w:before="67"/>
              <w:ind w:left="7"/>
              <w:rPr>
                <w:rFonts w:hint="eastAsia"/>
                <w:color w:val="auto"/>
                <w:spacing w:val="-9"/>
                <w:sz w:val="24"/>
                <w:lang w:eastAsia="zh-CN"/>
              </w:rPr>
            </w:pPr>
          </w:p>
        </w:tc>
        <w:tc>
          <w:tcPr>
            <w:tcW w:w="1215" w:type="dxa"/>
            <w:noWrap w:val="0"/>
            <w:vAlign w:val="center"/>
          </w:tcPr>
          <w:p w14:paraId="29829706">
            <w:pPr>
              <w:pStyle w:val="74"/>
              <w:spacing w:before="67"/>
              <w:ind w:left="13"/>
              <w:jc w:val="center"/>
              <w:rPr>
                <w:rFonts w:hint="eastAsia"/>
                <w:color w:val="auto"/>
                <w:szCs w:val="21"/>
              </w:rPr>
            </w:pPr>
            <w:r>
              <w:rPr>
                <w:rFonts w:hint="eastAsia"/>
                <w:color w:val="auto"/>
                <w:szCs w:val="21"/>
              </w:rPr>
              <w:t>微型企业</w:t>
            </w:r>
          </w:p>
        </w:tc>
        <w:tc>
          <w:tcPr>
            <w:tcW w:w="4056" w:type="dxa"/>
            <w:noWrap w:val="0"/>
            <w:vAlign w:val="center"/>
          </w:tcPr>
          <w:p w14:paraId="1B3FED36">
            <w:pPr>
              <w:pStyle w:val="74"/>
              <w:spacing w:before="67"/>
              <w:ind w:left="15"/>
              <w:rPr>
                <w:rFonts w:hint="eastAsia"/>
                <w:color w:val="auto"/>
                <w:spacing w:val="-11"/>
                <w:szCs w:val="21"/>
                <w:lang w:eastAsia="zh-CN"/>
              </w:rPr>
            </w:pPr>
            <w:r>
              <w:rPr>
                <w:rFonts w:hint="eastAsia"/>
                <w:color w:val="auto"/>
                <w:szCs w:val="21"/>
                <w:lang w:eastAsia="zh-CN"/>
              </w:rPr>
              <w:t>从业人员10人以下或营业收入100万元以下的为</w:t>
            </w:r>
          </w:p>
        </w:tc>
        <w:tc>
          <w:tcPr>
            <w:tcW w:w="752" w:type="dxa"/>
            <w:vMerge w:val="continue"/>
            <w:noWrap w:val="0"/>
            <w:vAlign w:val="center"/>
          </w:tcPr>
          <w:p w14:paraId="5B58A19E">
            <w:pPr>
              <w:pStyle w:val="74"/>
              <w:ind w:left="15"/>
              <w:rPr>
                <w:rFonts w:hint="eastAsia"/>
                <w:color w:val="auto"/>
                <w:sz w:val="24"/>
                <w:lang w:eastAsia="zh-CN"/>
              </w:rPr>
            </w:pPr>
          </w:p>
        </w:tc>
      </w:tr>
      <w:tr w14:paraId="01902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258B358A">
            <w:pPr>
              <w:pStyle w:val="74"/>
              <w:spacing w:before="80"/>
              <w:ind w:left="40" w:right="32"/>
              <w:jc w:val="center"/>
              <w:rPr>
                <w:color w:val="auto"/>
                <w:szCs w:val="21"/>
                <w:lang w:eastAsia="zh-CN"/>
              </w:rPr>
            </w:pPr>
            <w:r>
              <w:rPr>
                <w:rFonts w:hint="eastAsia"/>
                <w:color w:val="auto"/>
                <w:szCs w:val="21"/>
                <w:lang w:eastAsia="zh-CN"/>
              </w:rPr>
              <w:t>12</w:t>
            </w:r>
          </w:p>
        </w:tc>
        <w:tc>
          <w:tcPr>
            <w:tcW w:w="860" w:type="dxa"/>
            <w:vMerge w:val="restart"/>
            <w:noWrap w:val="0"/>
            <w:vAlign w:val="center"/>
          </w:tcPr>
          <w:p w14:paraId="0AB4506F">
            <w:pPr>
              <w:pStyle w:val="74"/>
              <w:spacing w:before="67"/>
              <w:ind w:left="7" w:right="2"/>
              <w:jc w:val="center"/>
              <w:rPr>
                <w:rFonts w:hint="eastAsia"/>
                <w:color w:val="auto"/>
                <w:szCs w:val="21"/>
                <w:lang w:eastAsia="zh-CN"/>
              </w:rPr>
            </w:pPr>
            <w:r>
              <w:rPr>
                <w:rFonts w:hint="eastAsia"/>
                <w:color w:val="auto"/>
                <w:szCs w:val="21"/>
                <w:lang w:eastAsia="zh-CN"/>
              </w:rPr>
              <w:t>软件和信息技术服务业。</w:t>
            </w:r>
          </w:p>
        </w:tc>
        <w:tc>
          <w:tcPr>
            <w:tcW w:w="2157" w:type="dxa"/>
            <w:vMerge w:val="restart"/>
            <w:noWrap w:val="0"/>
            <w:vAlign w:val="center"/>
          </w:tcPr>
          <w:p w14:paraId="1F774B2F">
            <w:pPr>
              <w:pStyle w:val="74"/>
              <w:spacing w:before="67"/>
              <w:ind w:left="7"/>
              <w:rPr>
                <w:rFonts w:hint="eastAsia"/>
                <w:color w:val="auto"/>
                <w:spacing w:val="-9"/>
                <w:szCs w:val="21"/>
                <w:lang w:eastAsia="zh-CN"/>
              </w:rPr>
            </w:pPr>
            <w:r>
              <w:rPr>
                <w:rFonts w:hint="eastAsia"/>
                <w:color w:val="auto"/>
                <w:spacing w:val="-9"/>
                <w:szCs w:val="21"/>
                <w:lang w:eastAsia="zh-CN"/>
              </w:rPr>
              <w:t>从业人员300人以下或营业收入10000万元以下的为中小微型企业</w:t>
            </w:r>
          </w:p>
        </w:tc>
        <w:tc>
          <w:tcPr>
            <w:tcW w:w="1215" w:type="dxa"/>
            <w:noWrap w:val="0"/>
            <w:vAlign w:val="center"/>
          </w:tcPr>
          <w:p w14:paraId="4BF7C5C4">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2D32C061">
            <w:pPr>
              <w:pStyle w:val="74"/>
              <w:spacing w:before="67"/>
              <w:ind w:left="15"/>
              <w:rPr>
                <w:rFonts w:hint="eastAsia"/>
                <w:color w:val="auto"/>
                <w:spacing w:val="-11"/>
                <w:szCs w:val="21"/>
                <w:lang w:eastAsia="zh-CN"/>
              </w:rPr>
            </w:pPr>
            <w:r>
              <w:rPr>
                <w:rFonts w:hint="eastAsia"/>
                <w:color w:val="auto"/>
                <w:szCs w:val="21"/>
                <w:lang w:eastAsia="zh-CN"/>
              </w:rPr>
              <w:t>从业人员100人及以上，且营业收入1000万元及以上的</w:t>
            </w:r>
          </w:p>
        </w:tc>
        <w:tc>
          <w:tcPr>
            <w:tcW w:w="752" w:type="dxa"/>
            <w:vMerge w:val="restart"/>
            <w:noWrap w:val="0"/>
            <w:vAlign w:val="center"/>
          </w:tcPr>
          <w:p w14:paraId="54F2EBAC">
            <w:pPr>
              <w:pStyle w:val="74"/>
              <w:ind w:left="15"/>
              <w:rPr>
                <w:rFonts w:hint="eastAsia"/>
                <w:color w:val="auto"/>
                <w:szCs w:val="21"/>
                <w:lang w:eastAsia="zh-CN"/>
              </w:rPr>
            </w:pPr>
            <w:r>
              <w:rPr>
                <w:rFonts w:hint="eastAsia"/>
                <w:color w:val="auto"/>
                <w:szCs w:val="21"/>
                <w:lang w:eastAsia="zh-CN"/>
              </w:rPr>
              <w:t>从业人员营业收入</w:t>
            </w:r>
          </w:p>
        </w:tc>
      </w:tr>
      <w:tr w14:paraId="1E5C8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1B99EEBD">
            <w:pPr>
              <w:pStyle w:val="74"/>
              <w:spacing w:before="80"/>
              <w:ind w:left="40" w:right="32"/>
              <w:jc w:val="center"/>
              <w:rPr>
                <w:rFonts w:hint="eastAsia"/>
                <w:color w:val="auto"/>
                <w:szCs w:val="21"/>
              </w:rPr>
            </w:pPr>
          </w:p>
        </w:tc>
        <w:tc>
          <w:tcPr>
            <w:tcW w:w="860" w:type="dxa"/>
            <w:vMerge w:val="continue"/>
            <w:noWrap w:val="0"/>
            <w:vAlign w:val="center"/>
          </w:tcPr>
          <w:p w14:paraId="796BCF56">
            <w:pPr>
              <w:pStyle w:val="74"/>
              <w:spacing w:before="67"/>
              <w:ind w:left="7" w:right="2"/>
              <w:jc w:val="center"/>
              <w:rPr>
                <w:rFonts w:hint="eastAsia"/>
                <w:color w:val="auto"/>
                <w:szCs w:val="21"/>
              </w:rPr>
            </w:pPr>
          </w:p>
        </w:tc>
        <w:tc>
          <w:tcPr>
            <w:tcW w:w="2157" w:type="dxa"/>
            <w:vMerge w:val="continue"/>
            <w:noWrap w:val="0"/>
            <w:vAlign w:val="center"/>
          </w:tcPr>
          <w:p w14:paraId="5030F72A">
            <w:pPr>
              <w:pStyle w:val="74"/>
              <w:spacing w:before="67"/>
              <w:ind w:left="7"/>
              <w:rPr>
                <w:rFonts w:hint="eastAsia"/>
                <w:color w:val="auto"/>
                <w:spacing w:val="-9"/>
                <w:szCs w:val="21"/>
                <w:lang w:eastAsia="zh-CN"/>
              </w:rPr>
            </w:pPr>
          </w:p>
        </w:tc>
        <w:tc>
          <w:tcPr>
            <w:tcW w:w="1215" w:type="dxa"/>
            <w:noWrap w:val="0"/>
            <w:vAlign w:val="center"/>
          </w:tcPr>
          <w:p w14:paraId="47E18A32">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158E6CB3">
            <w:pPr>
              <w:pStyle w:val="74"/>
              <w:spacing w:before="67"/>
              <w:ind w:left="15"/>
              <w:rPr>
                <w:rFonts w:hint="eastAsia"/>
                <w:color w:val="auto"/>
                <w:szCs w:val="21"/>
                <w:lang w:eastAsia="zh-CN"/>
              </w:rPr>
            </w:pPr>
            <w:r>
              <w:rPr>
                <w:rFonts w:hint="eastAsia"/>
                <w:color w:val="auto"/>
                <w:szCs w:val="21"/>
                <w:lang w:eastAsia="zh-CN"/>
              </w:rPr>
              <w:t>从业人员10人及以上，且营业收入50万元及以上的</w:t>
            </w:r>
          </w:p>
        </w:tc>
        <w:tc>
          <w:tcPr>
            <w:tcW w:w="752" w:type="dxa"/>
            <w:vMerge w:val="continue"/>
            <w:noWrap w:val="0"/>
            <w:vAlign w:val="center"/>
          </w:tcPr>
          <w:p w14:paraId="66C24D95">
            <w:pPr>
              <w:pStyle w:val="74"/>
              <w:ind w:left="15"/>
              <w:rPr>
                <w:rFonts w:hint="eastAsia"/>
                <w:color w:val="auto"/>
                <w:sz w:val="24"/>
                <w:lang w:eastAsia="zh-CN"/>
              </w:rPr>
            </w:pPr>
          </w:p>
        </w:tc>
      </w:tr>
      <w:tr w14:paraId="50335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69CB1C9E">
            <w:pPr>
              <w:pStyle w:val="74"/>
              <w:spacing w:before="80"/>
              <w:ind w:left="40" w:right="32"/>
              <w:jc w:val="center"/>
              <w:rPr>
                <w:rFonts w:hint="eastAsia"/>
                <w:color w:val="auto"/>
                <w:szCs w:val="21"/>
                <w:lang w:eastAsia="zh-CN"/>
              </w:rPr>
            </w:pPr>
          </w:p>
        </w:tc>
        <w:tc>
          <w:tcPr>
            <w:tcW w:w="860" w:type="dxa"/>
            <w:vMerge w:val="continue"/>
            <w:noWrap w:val="0"/>
            <w:vAlign w:val="center"/>
          </w:tcPr>
          <w:p w14:paraId="5CDF78A8">
            <w:pPr>
              <w:pStyle w:val="74"/>
              <w:spacing w:before="67"/>
              <w:ind w:left="7" w:right="2"/>
              <w:jc w:val="center"/>
              <w:rPr>
                <w:rFonts w:hint="eastAsia"/>
                <w:color w:val="auto"/>
                <w:szCs w:val="21"/>
                <w:lang w:eastAsia="zh-CN"/>
              </w:rPr>
            </w:pPr>
          </w:p>
        </w:tc>
        <w:tc>
          <w:tcPr>
            <w:tcW w:w="2157" w:type="dxa"/>
            <w:vMerge w:val="continue"/>
            <w:noWrap w:val="0"/>
            <w:vAlign w:val="center"/>
          </w:tcPr>
          <w:p w14:paraId="00CDAAFD">
            <w:pPr>
              <w:pStyle w:val="74"/>
              <w:spacing w:before="67"/>
              <w:ind w:left="7"/>
              <w:rPr>
                <w:rFonts w:hint="eastAsia"/>
                <w:color w:val="auto"/>
                <w:spacing w:val="-9"/>
                <w:szCs w:val="21"/>
                <w:lang w:eastAsia="zh-CN"/>
              </w:rPr>
            </w:pPr>
          </w:p>
        </w:tc>
        <w:tc>
          <w:tcPr>
            <w:tcW w:w="1215" w:type="dxa"/>
            <w:noWrap w:val="0"/>
            <w:vAlign w:val="center"/>
          </w:tcPr>
          <w:p w14:paraId="77FAD60A">
            <w:pPr>
              <w:pStyle w:val="74"/>
              <w:spacing w:before="67"/>
              <w:ind w:left="13"/>
              <w:jc w:val="center"/>
              <w:rPr>
                <w:rFonts w:hint="eastAsia"/>
                <w:color w:val="auto"/>
                <w:szCs w:val="21"/>
              </w:rPr>
            </w:pPr>
            <w:r>
              <w:rPr>
                <w:rFonts w:hint="eastAsia"/>
                <w:color w:val="auto"/>
                <w:szCs w:val="21"/>
              </w:rPr>
              <w:t>微型企业</w:t>
            </w:r>
          </w:p>
        </w:tc>
        <w:tc>
          <w:tcPr>
            <w:tcW w:w="4056" w:type="dxa"/>
            <w:noWrap w:val="0"/>
            <w:vAlign w:val="center"/>
          </w:tcPr>
          <w:p w14:paraId="41C575F8">
            <w:pPr>
              <w:pStyle w:val="74"/>
              <w:spacing w:before="67"/>
              <w:ind w:left="15"/>
              <w:rPr>
                <w:rFonts w:hint="eastAsia"/>
                <w:color w:val="auto"/>
                <w:szCs w:val="21"/>
                <w:lang w:eastAsia="zh-CN"/>
              </w:rPr>
            </w:pPr>
            <w:r>
              <w:rPr>
                <w:rFonts w:hint="eastAsia"/>
                <w:color w:val="auto"/>
                <w:szCs w:val="21"/>
                <w:lang w:eastAsia="zh-CN"/>
              </w:rPr>
              <w:t>从业人员10人以下或营业收入50万元以下的</w:t>
            </w:r>
          </w:p>
        </w:tc>
        <w:tc>
          <w:tcPr>
            <w:tcW w:w="752" w:type="dxa"/>
            <w:vMerge w:val="continue"/>
            <w:noWrap w:val="0"/>
            <w:vAlign w:val="center"/>
          </w:tcPr>
          <w:p w14:paraId="48790E0F">
            <w:pPr>
              <w:pStyle w:val="74"/>
              <w:ind w:left="15"/>
              <w:rPr>
                <w:rFonts w:hint="eastAsia"/>
                <w:color w:val="auto"/>
                <w:sz w:val="24"/>
                <w:lang w:eastAsia="zh-CN"/>
              </w:rPr>
            </w:pPr>
          </w:p>
        </w:tc>
      </w:tr>
      <w:tr w14:paraId="10415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3273AAF7">
            <w:pPr>
              <w:pStyle w:val="74"/>
              <w:spacing w:before="80"/>
              <w:ind w:left="40" w:right="32"/>
              <w:jc w:val="center"/>
              <w:rPr>
                <w:color w:val="auto"/>
                <w:szCs w:val="21"/>
                <w:lang w:eastAsia="zh-CN"/>
              </w:rPr>
            </w:pPr>
            <w:r>
              <w:rPr>
                <w:rFonts w:hint="eastAsia"/>
                <w:color w:val="auto"/>
                <w:szCs w:val="21"/>
                <w:lang w:eastAsia="zh-CN"/>
              </w:rPr>
              <w:t>13</w:t>
            </w:r>
          </w:p>
        </w:tc>
        <w:tc>
          <w:tcPr>
            <w:tcW w:w="860" w:type="dxa"/>
            <w:vMerge w:val="restart"/>
            <w:noWrap w:val="0"/>
            <w:vAlign w:val="center"/>
          </w:tcPr>
          <w:p w14:paraId="0C279AD2">
            <w:pPr>
              <w:pStyle w:val="74"/>
              <w:spacing w:before="67"/>
              <w:ind w:left="7" w:right="2"/>
              <w:jc w:val="center"/>
              <w:rPr>
                <w:rFonts w:hint="eastAsia"/>
                <w:color w:val="auto"/>
                <w:szCs w:val="21"/>
              </w:rPr>
            </w:pPr>
            <w:r>
              <w:rPr>
                <w:rFonts w:hint="eastAsia"/>
                <w:color w:val="auto"/>
                <w:szCs w:val="21"/>
              </w:rPr>
              <w:t>房地产开发经营</w:t>
            </w:r>
          </w:p>
        </w:tc>
        <w:tc>
          <w:tcPr>
            <w:tcW w:w="2157" w:type="dxa"/>
            <w:vMerge w:val="restart"/>
            <w:noWrap w:val="0"/>
            <w:vAlign w:val="center"/>
          </w:tcPr>
          <w:p w14:paraId="67AEBA0C">
            <w:pPr>
              <w:pStyle w:val="74"/>
              <w:spacing w:before="67"/>
              <w:ind w:left="7"/>
              <w:rPr>
                <w:rFonts w:hint="eastAsia"/>
                <w:color w:val="auto"/>
                <w:spacing w:val="-9"/>
                <w:szCs w:val="21"/>
                <w:lang w:eastAsia="zh-CN"/>
              </w:rPr>
            </w:pPr>
            <w:r>
              <w:rPr>
                <w:rFonts w:hint="eastAsia"/>
                <w:color w:val="auto"/>
                <w:szCs w:val="21"/>
                <w:lang w:eastAsia="zh-CN"/>
              </w:rPr>
              <w:t>营业收入200000万元以下或资产总额10000万元以下的为中小微型企业</w:t>
            </w:r>
          </w:p>
        </w:tc>
        <w:tc>
          <w:tcPr>
            <w:tcW w:w="1215" w:type="dxa"/>
            <w:noWrap w:val="0"/>
            <w:vAlign w:val="center"/>
          </w:tcPr>
          <w:p w14:paraId="27413056">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10953918">
            <w:pPr>
              <w:pStyle w:val="74"/>
              <w:spacing w:before="67"/>
              <w:ind w:left="15"/>
              <w:rPr>
                <w:rFonts w:hint="eastAsia"/>
                <w:color w:val="auto"/>
                <w:szCs w:val="21"/>
                <w:lang w:eastAsia="zh-CN"/>
              </w:rPr>
            </w:pPr>
            <w:r>
              <w:rPr>
                <w:rFonts w:hint="eastAsia"/>
                <w:color w:val="auto"/>
                <w:szCs w:val="21"/>
                <w:lang w:eastAsia="zh-CN"/>
              </w:rPr>
              <w:t>营业收入1000万元及以上，且资产总额5000万元及以上的</w:t>
            </w:r>
          </w:p>
        </w:tc>
        <w:tc>
          <w:tcPr>
            <w:tcW w:w="752" w:type="dxa"/>
            <w:vMerge w:val="restart"/>
            <w:noWrap w:val="0"/>
            <w:vAlign w:val="center"/>
          </w:tcPr>
          <w:p w14:paraId="4F07A335">
            <w:pPr>
              <w:pStyle w:val="74"/>
              <w:ind w:left="15"/>
              <w:rPr>
                <w:rFonts w:hint="eastAsia"/>
                <w:color w:val="auto"/>
                <w:szCs w:val="21"/>
                <w:lang w:eastAsia="zh-CN"/>
              </w:rPr>
            </w:pPr>
            <w:r>
              <w:rPr>
                <w:rFonts w:hint="eastAsia"/>
                <w:color w:val="auto"/>
                <w:szCs w:val="21"/>
                <w:lang w:eastAsia="zh-CN"/>
              </w:rPr>
              <w:t>从业人员营业收入</w:t>
            </w:r>
          </w:p>
        </w:tc>
      </w:tr>
      <w:tr w14:paraId="10F0A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6432B9DC">
            <w:pPr>
              <w:pStyle w:val="74"/>
              <w:spacing w:before="80"/>
              <w:ind w:left="40" w:right="32"/>
              <w:jc w:val="center"/>
              <w:rPr>
                <w:rFonts w:hint="eastAsia"/>
                <w:color w:val="auto"/>
                <w:szCs w:val="21"/>
              </w:rPr>
            </w:pPr>
          </w:p>
        </w:tc>
        <w:tc>
          <w:tcPr>
            <w:tcW w:w="860" w:type="dxa"/>
            <w:vMerge w:val="continue"/>
            <w:noWrap w:val="0"/>
            <w:vAlign w:val="center"/>
          </w:tcPr>
          <w:p w14:paraId="62651990">
            <w:pPr>
              <w:pStyle w:val="74"/>
              <w:spacing w:before="67"/>
              <w:ind w:left="7" w:right="2"/>
              <w:jc w:val="center"/>
              <w:rPr>
                <w:rFonts w:hint="eastAsia"/>
                <w:color w:val="auto"/>
                <w:szCs w:val="21"/>
              </w:rPr>
            </w:pPr>
          </w:p>
        </w:tc>
        <w:tc>
          <w:tcPr>
            <w:tcW w:w="2157" w:type="dxa"/>
            <w:vMerge w:val="continue"/>
            <w:noWrap w:val="0"/>
            <w:vAlign w:val="center"/>
          </w:tcPr>
          <w:p w14:paraId="17F748D0">
            <w:pPr>
              <w:pStyle w:val="74"/>
              <w:spacing w:before="67"/>
              <w:ind w:left="7"/>
              <w:rPr>
                <w:rFonts w:hint="eastAsia"/>
                <w:color w:val="auto"/>
                <w:spacing w:val="-9"/>
                <w:szCs w:val="21"/>
                <w:lang w:eastAsia="zh-CN"/>
              </w:rPr>
            </w:pPr>
          </w:p>
        </w:tc>
        <w:tc>
          <w:tcPr>
            <w:tcW w:w="1215" w:type="dxa"/>
            <w:noWrap w:val="0"/>
            <w:vAlign w:val="center"/>
          </w:tcPr>
          <w:p w14:paraId="29BAEB1A">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1836B911">
            <w:pPr>
              <w:pStyle w:val="74"/>
              <w:spacing w:before="67"/>
              <w:ind w:left="15"/>
              <w:rPr>
                <w:rFonts w:hint="eastAsia"/>
                <w:color w:val="auto"/>
                <w:szCs w:val="21"/>
                <w:lang w:eastAsia="zh-CN"/>
              </w:rPr>
            </w:pPr>
            <w:r>
              <w:rPr>
                <w:rFonts w:hint="eastAsia"/>
                <w:color w:val="auto"/>
                <w:szCs w:val="21"/>
                <w:lang w:eastAsia="zh-CN"/>
              </w:rPr>
              <w:t>营业收入100万元及以上，且资产总额2000万元及以上的</w:t>
            </w:r>
          </w:p>
        </w:tc>
        <w:tc>
          <w:tcPr>
            <w:tcW w:w="752" w:type="dxa"/>
            <w:vMerge w:val="continue"/>
            <w:noWrap w:val="0"/>
            <w:vAlign w:val="center"/>
          </w:tcPr>
          <w:p w14:paraId="414FF3EA">
            <w:pPr>
              <w:pStyle w:val="74"/>
              <w:ind w:left="15"/>
              <w:rPr>
                <w:rFonts w:hint="eastAsia"/>
                <w:color w:val="auto"/>
                <w:szCs w:val="21"/>
                <w:lang w:eastAsia="zh-CN"/>
              </w:rPr>
            </w:pPr>
          </w:p>
        </w:tc>
      </w:tr>
      <w:tr w14:paraId="5271A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4BCF0CCF">
            <w:pPr>
              <w:pStyle w:val="74"/>
              <w:spacing w:before="80"/>
              <w:ind w:left="40" w:right="32"/>
              <w:jc w:val="center"/>
              <w:rPr>
                <w:rFonts w:hint="eastAsia"/>
                <w:color w:val="auto"/>
                <w:szCs w:val="21"/>
                <w:lang w:eastAsia="zh-CN"/>
              </w:rPr>
            </w:pPr>
          </w:p>
        </w:tc>
        <w:tc>
          <w:tcPr>
            <w:tcW w:w="860" w:type="dxa"/>
            <w:vMerge w:val="continue"/>
            <w:noWrap w:val="0"/>
            <w:vAlign w:val="center"/>
          </w:tcPr>
          <w:p w14:paraId="598E22C3">
            <w:pPr>
              <w:pStyle w:val="74"/>
              <w:spacing w:before="67"/>
              <w:ind w:left="7" w:right="2"/>
              <w:jc w:val="center"/>
              <w:rPr>
                <w:rFonts w:hint="eastAsia"/>
                <w:color w:val="auto"/>
                <w:szCs w:val="21"/>
                <w:lang w:eastAsia="zh-CN"/>
              </w:rPr>
            </w:pPr>
          </w:p>
        </w:tc>
        <w:tc>
          <w:tcPr>
            <w:tcW w:w="2157" w:type="dxa"/>
            <w:vMerge w:val="continue"/>
            <w:noWrap w:val="0"/>
            <w:vAlign w:val="center"/>
          </w:tcPr>
          <w:p w14:paraId="62A720F8">
            <w:pPr>
              <w:pStyle w:val="74"/>
              <w:spacing w:before="67"/>
              <w:ind w:left="7"/>
              <w:rPr>
                <w:rFonts w:hint="eastAsia"/>
                <w:color w:val="auto"/>
                <w:spacing w:val="-9"/>
                <w:szCs w:val="21"/>
                <w:lang w:eastAsia="zh-CN"/>
              </w:rPr>
            </w:pPr>
          </w:p>
        </w:tc>
        <w:tc>
          <w:tcPr>
            <w:tcW w:w="1215" w:type="dxa"/>
            <w:noWrap w:val="0"/>
            <w:vAlign w:val="center"/>
          </w:tcPr>
          <w:p w14:paraId="515E0930">
            <w:pPr>
              <w:pStyle w:val="74"/>
              <w:spacing w:before="67"/>
              <w:ind w:left="13"/>
              <w:jc w:val="center"/>
              <w:rPr>
                <w:rFonts w:hint="eastAsia"/>
                <w:color w:val="auto"/>
                <w:szCs w:val="21"/>
              </w:rPr>
            </w:pPr>
            <w:r>
              <w:rPr>
                <w:rFonts w:hint="eastAsia"/>
                <w:color w:val="auto"/>
                <w:szCs w:val="21"/>
              </w:rPr>
              <w:t>微型企业。</w:t>
            </w:r>
          </w:p>
        </w:tc>
        <w:tc>
          <w:tcPr>
            <w:tcW w:w="4056" w:type="dxa"/>
            <w:noWrap w:val="0"/>
            <w:vAlign w:val="center"/>
          </w:tcPr>
          <w:p w14:paraId="2E54A7BA">
            <w:pPr>
              <w:pStyle w:val="74"/>
              <w:spacing w:before="67"/>
              <w:ind w:left="15"/>
              <w:rPr>
                <w:rFonts w:hint="eastAsia"/>
                <w:color w:val="auto"/>
                <w:szCs w:val="21"/>
                <w:lang w:eastAsia="zh-CN"/>
              </w:rPr>
            </w:pPr>
            <w:r>
              <w:rPr>
                <w:rFonts w:hint="eastAsia"/>
                <w:color w:val="auto"/>
                <w:szCs w:val="21"/>
                <w:lang w:eastAsia="zh-CN"/>
              </w:rPr>
              <w:t>营业收入100万元以下或资产总额2000万元以下的</w:t>
            </w:r>
          </w:p>
        </w:tc>
        <w:tc>
          <w:tcPr>
            <w:tcW w:w="752" w:type="dxa"/>
            <w:vMerge w:val="continue"/>
            <w:noWrap w:val="0"/>
            <w:vAlign w:val="center"/>
          </w:tcPr>
          <w:p w14:paraId="4D1E3F9C">
            <w:pPr>
              <w:pStyle w:val="74"/>
              <w:ind w:left="15"/>
              <w:rPr>
                <w:rFonts w:hint="eastAsia"/>
                <w:color w:val="auto"/>
                <w:sz w:val="24"/>
                <w:lang w:eastAsia="zh-CN"/>
              </w:rPr>
            </w:pPr>
          </w:p>
        </w:tc>
      </w:tr>
      <w:tr w14:paraId="29453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43C7422A">
            <w:pPr>
              <w:pStyle w:val="74"/>
              <w:spacing w:before="80"/>
              <w:ind w:left="40" w:right="32"/>
              <w:jc w:val="center"/>
              <w:rPr>
                <w:color w:val="auto"/>
                <w:szCs w:val="21"/>
                <w:lang w:eastAsia="zh-CN"/>
              </w:rPr>
            </w:pPr>
            <w:r>
              <w:rPr>
                <w:rFonts w:hint="eastAsia"/>
                <w:color w:val="auto"/>
                <w:szCs w:val="21"/>
                <w:lang w:eastAsia="zh-CN"/>
              </w:rPr>
              <w:t>14</w:t>
            </w:r>
          </w:p>
        </w:tc>
        <w:tc>
          <w:tcPr>
            <w:tcW w:w="860" w:type="dxa"/>
            <w:vMerge w:val="restart"/>
            <w:noWrap w:val="0"/>
            <w:vAlign w:val="center"/>
          </w:tcPr>
          <w:p w14:paraId="77F0F786">
            <w:pPr>
              <w:pStyle w:val="74"/>
              <w:spacing w:before="67"/>
              <w:ind w:left="7" w:right="2"/>
              <w:jc w:val="center"/>
              <w:rPr>
                <w:rFonts w:hint="eastAsia"/>
                <w:color w:val="auto"/>
                <w:szCs w:val="21"/>
              </w:rPr>
            </w:pPr>
            <w:r>
              <w:rPr>
                <w:rFonts w:hint="eastAsia"/>
                <w:color w:val="auto"/>
                <w:szCs w:val="21"/>
              </w:rPr>
              <w:t>物业管理</w:t>
            </w:r>
          </w:p>
        </w:tc>
        <w:tc>
          <w:tcPr>
            <w:tcW w:w="2157" w:type="dxa"/>
            <w:vMerge w:val="restart"/>
            <w:noWrap w:val="0"/>
            <w:vAlign w:val="center"/>
          </w:tcPr>
          <w:p w14:paraId="5CA6E4E9">
            <w:pPr>
              <w:pStyle w:val="74"/>
              <w:spacing w:before="67"/>
              <w:ind w:left="7"/>
              <w:rPr>
                <w:rFonts w:hint="eastAsia"/>
                <w:color w:val="auto"/>
                <w:spacing w:val="-9"/>
                <w:szCs w:val="21"/>
                <w:lang w:eastAsia="zh-CN"/>
              </w:rPr>
            </w:pPr>
            <w:r>
              <w:rPr>
                <w:rFonts w:hint="eastAsia"/>
                <w:color w:val="auto"/>
                <w:szCs w:val="21"/>
                <w:lang w:eastAsia="zh-CN"/>
              </w:rPr>
              <w:t>从业人员1000人以下或营业收入5000万元以下的为中小微型企业</w:t>
            </w:r>
          </w:p>
        </w:tc>
        <w:tc>
          <w:tcPr>
            <w:tcW w:w="1215" w:type="dxa"/>
            <w:noWrap w:val="0"/>
            <w:vAlign w:val="center"/>
          </w:tcPr>
          <w:p w14:paraId="05F04876">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031B3C51">
            <w:pPr>
              <w:pStyle w:val="74"/>
              <w:spacing w:before="67"/>
              <w:ind w:left="15"/>
              <w:rPr>
                <w:rFonts w:hint="eastAsia"/>
                <w:color w:val="auto"/>
                <w:szCs w:val="21"/>
                <w:lang w:eastAsia="zh-CN"/>
              </w:rPr>
            </w:pPr>
            <w:r>
              <w:rPr>
                <w:rFonts w:hint="eastAsia"/>
                <w:color w:val="auto"/>
                <w:szCs w:val="21"/>
                <w:lang w:eastAsia="zh-CN"/>
              </w:rPr>
              <w:t>从业人员300人及以上，且营业收入1000万元及以上的</w:t>
            </w:r>
          </w:p>
        </w:tc>
        <w:tc>
          <w:tcPr>
            <w:tcW w:w="752" w:type="dxa"/>
            <w:vMerge w:val="restart"/>
            <w:noWrap w:val="0"/>
            <w:vAlign w:val="center"/>
          </w:tcPr>
          <w:p w14:paraId="2FF8680A">
            <w:pPr>
              <w:pStyle w:val="74"/>
              <w:ind w:left="15"/>
              <w:rPr>
                <w:rFonts w:hint="eastAsia"/>
                <w:color w:val="auto"/>
                <w:szCs w:val="21"/>
                <w:lang w:eastAsia="zh-CN"/>
              </w:rPr>
            </w:pPr>
            <w:r>
              <w:rPr>
                <w:rFonts w:hint="eastAsia"/>
                <w:color w:val="auto"/>
                <w:szCs w:val="21"/>
                <w:lang w:eastAsia="zh-CN"/>
              </w:rPr>
              <w:t>从业人员营业收入</w:t>
            </w:r>
          </w:p>
        </w:tc>
      </w:tr>
      <w:tr w14:paraId="62FB0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0C33E3BB">
            <w:pPr>
              <w:pStyle w:val="74"/>
              <w:spacing w:before="80"/>
              <w:ind w:left="40" w:right="32"/>
              <w:jc w:val="center"/>
              <w:rPr>
                <w:rFonts w:hint="eastAsia"/>
                <w:color w:val="auto"/>
                <w:sz w:val="24"/>
              </w:rPr>
            </w:pPr>
          </w:p>
        </w:tc>
        <w:tc>
          <w:tcPr>
            <w:tcW w:w="860" w:type="dxa"/>
            <w:vMerge w:val="continue"/>
            <w:noWrap w:val="0"/>
            <w:vAlign w:val="center"/>
          </w:tcPr>
          <w:p w14:paraId="1B5F39A4">
            <w:pPr>
              <w:pStyle w:val="74"/>
              <w:spacing w:before="67"/>
              <w:ind w:left="7" w:right="2"/>
              <w:jc w:val="center"/>
              <w:rPr>
                <w:rFonts w:hint="eastAsia"/>
                <w:color w:val="auto"/>
                <w:sz w:val="24"/>
              </w:rPr>
            </w:pPr>
          </w:p>
        </w:tc>
        <w:tc>
          <w:tcPr>
            <w:tcW w:w="2157" w:type="dxa"/>
            <w:vMerge w:val="continue"/>
            <w:noWrap w:val="0"/>
            <w:vAlign w:val="center"/>
          </w:tcPr>
          <w:p w14:paraId="7EAED067">
            <w:pPr>
              <w:pStyle w:val="74"/>
              <w:spacing w:before="67"/>
              <w:ind w:left="7"/>
              <w:rPr>
                <w:rFonts w:hint="eastAsia"/>
                <w:color w:val="auto"/>
                <w:spacing w:val="-9"/>
                <w:sz w:val="24"/>
                <w:lang w:eastAsia="zh-CN"/>
              </w:rPr>
            </w:pPr>
          </w:p>
        </w:tc>
        <w:tc>
          <w:tcPr>
            <w:tcW w:w="1215" w:type="dxa"/>
            <w:noWrap w:val="0"/>
            <w:vAlign w:val="center"/>
          </w:tcPr>
          <w:p w14:paraId="5E287F3F">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53772D2B">
            <w:pPr>
              <w:pStyle w:val="74"/>
              <w:spacing w:before="67"/>
              <w:ind w:left="15"/>
              <w:rPr>
                <w:rFonts w:hint="eastAsia"/>
                <w:color w:val="auto"/>
                <w:szCs w:val="21"/>
                <w:lang w:eastAsia="zh-CN"/>
              </w:rPr>
            </w:pPr>
            <w:r>
              <w:rPr>
                <w:rFonts w:hint="eastAsia"/>
                <w:color w:val="auto"/>
                <w:szCs w:val="21"/>
                <w:lang w:eastAsia="zh-CN"/>
              </w:rPr>
              <w:t>从业人员100人及以上，且营业收入500万元及以上的</w:t>
            </w:r>
          </w:p>
        </w:tc>
        <w:tc>
          <w:tcPr>
            <w:tcW w:w="752" w:type="dxa"/>
            <w:vMerge w:val="continue"/>
            <w:noWrap w:val="0"/>
            <w:vAlign w:val="center"/>
          </w:tcPr>
          <w:p w14:paraId="3BF0056E">
            <w:pPr>
              <w:pStyle w:val="74"/>
              <w:ind w:left="15"/>
              <w:rPr>
                <w:rFonts w:hint="eastAsia"/>
                <w:color w:val="auto"/>
                <w:sz w:val="24"/>
                <w:lang w:eastAsia="zh-CN"/>
              </w:rPr>
            </w:pPr>
          </w:p>
        </w:tc>
      </w:tr>
      <w:tr w14:paraId="5D400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5F7F3BCE">
            <w:pPr>
              <w:pStyle w:val="74"/>
              <w:spacing w:before="80"/>
              <w:ind w:left="40" w:right="32"/>
              <w:jc w:val="center"/>
              <w:rPr>
                <w:rFonts w:hint="eastAsia"/>
                <w:color w:val="auto"/>
                <w:sz w:val="24"/>
                <w:lang w:eastAsia="zh-CN"/>
              </w:rPr>
            </w:pPr>
          </w:p>
        </w:tc>
        <w:tc>
          <w:tcPr>
            <w:tcW w:w="860" w:type="dxa"/>
            <w:vMerge w:val="continue"/>
            <w:noWrap w:val="0"/>
            <w:vAlign w:val="center"/>
          </w:tcPr>
          <w:p w14:paraId="69F91D9D">
            <w:pPr>
              <w:pStyle w:val="74"/>
              <w:spacing w:before="67"/>
              <w:ind w:left="7" w:right="2"/>
              <w:jc w:val="center"/>
              <w:rPr>
                <w:rFonts w:hint="eastAsia"/>
                <w:color w:val="auto"/>
                <w:sz w:val="24"/>
                <w:lang w:eastAsia="zh-CN"/>
              </w:rPr>
            </w:pPr>
          </w:p>
        </w:tc>
        <w:tc>
          <w:tcPr>
            <w:tcW w:w="2157" w:type="dxa"/>
            <w:vMerge w:val="continue"/>
            <w:noWrap w:val="0"/>
            <w:vAlign w:val="center"/>
          </w:tcPr>
          <w:p w14:paraId="02E3A688">
            <w:pPr>
              <w:pStyle w:val="74"/>
              <w:spacing w:before="67"/>
              <w:ind w:left="7"/>
              <w:rPr>
                <w:rFonts w:hint="eastAsia"/>
                <w:color w:val="auto"/>
                <w:spacing w:val="-9"/>
                <w:sz w:val="24"/>
                <w:lang w:eastAsia="zh-CN"/>
              </w:rPr>
            </w:pPr>
          </w:p>
        </w:tc>
        <w:tc>
          <w:tcPr>
            <w:tcW w:w="1215" w:type="dxa"/>
            <w:noWrap w:val="0"/>
            <w:vAlign w:val="center"/>
          </w:tcPr>
          <w:p w14:paraId="12D367FA">
            <w:pPr>
              <w:pStyle w:val="74"/>
              <w:spacing w:before="67"/>
              <w:ind w:left="13"/>
              <w:jc w:val="center"/>
              <w:rPr>
                <w:rFonts w:hint="eastAsia"/>
                <w:color w:val="auto"/>
                <w:szCs w:val="21"/>
              </w:rPr>
            </w:pPr>
            <w:r>
              <w:rPr>
                <w:rFonts w:hint="eastAsia"/>
                <w:color w:val="auto"/>
                <w:szCs w:val="21"/>
              </w:rPr>
              <w:t>微型企业</w:t>
            </w:r>
          </w:p>
        </w:tc>
        <w:tc>
          <w:tcPr>
            <w:tcW w:w="4056" w:type="dxa"/>
            <w:noWrap w:val="0"/>
            <w:vAlign w:val="center"/>
          </w:tcPr>
          <w:p w14:paraId="3E32E258">
            <w:pPr>
              <w:pStyle w:val="74"/>
              <w:spacing w:before="67"/>
              <w:ind w:left="15"/>
              <w:rPr>
                <w:rFonts w:hint="eastAsia"/>
                <w:color w:val="auto"/>
                <w:szCs w:val="21"/>
                <w:lang w:eastAsia="zh-CN"/>
              </w:rPr>
            </w:pPr>
            <w:r>
              <w:rPr>
                <w:rFonts w:hint="eastAsia"/>
                <w:color w:val="auto"/>
                <w:szCs w:val="21"/>
                <w:lang w:eastAsia="zh-CN"/>
              </w:rPr>
              <w:t>从业人员100人以下或营业收入500万元以下的为</w:t>
            </w:r>
          </w:p>
        </w:tc>
        <w:tc>
          <w:tcPr>
            <w:tcW w:w="752" w:type="dxa"/>
            <w:vMerge w:val="continue"/>
            <w:noWrap w:val="0"/>
            <w:vAlign w:val="center"/>
          </w:tcPr>
          <w:p w14:paraId="43057459">
            <w:pPr>
              <w:pStyle w:val="74"/>
              <w:ind w:left="15"/>
              <w:rPr>
                <w:rFonts w:hint="eastAsia"/>
                <w:color w:val="auto"/>
                <w:sz w:val="24"/>
                <w:lang w:eastAsia="zh-CN"/>
              </w:rPr>
            </w:pPr>
          </w:p>
        </w:tc>
      </w:tr>
      <w:tr w14:paraId="62FFC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4C8C3040">
            <w:pPr>
              <w:pStyle w:val="74"/>
              <w:spacing w:before="80"/>
              <w:ind w:left="40" w:right="32"/>
              <w:jc w:val="center"/>
              <w:rPr>
                <w:color w:val="auto"/>
                <w:szCs w:val="21"/>
                <w:lang w:eastAsia="zh-CN"/>
              </w:rPr>
            </w:pPr>
            <w:r>
              <w:rPr>
                <w:rFonts w:hint="eastAsia"/>
                <w:color w:val="auto"/>
                <w:szCs w:val="21"/>
                <w:lang w:eastAsia="zh-CN"/>
              </w:rPr>
              <w:t>15</w:t>
            </w:r>
          </w:p>
        </w:tc>
        <w:tc>
          <w:tcPr>
            <w:tcW w:w="860" w:type="dxa"/>
            <w:vMerge w:val="restart"/>
            <w:noWrap w:val="0"/>
            <w:vAlign w:val="center"/>
          </w:tcPr>
          <w:p w14:paraId="7B37409C">
            <w:pPr>
              <w:pStyle w:val="74"/>
              <w:spacing w:before="67"/>
              <w:ind w:left="7" w:right="2"/>
              <w:jc w:val="center"/>
              <w:rPr>
                <w:rFonts w:hint="eastAsia"/>
                <w:color w:val="auto"/>
                <w:szCs w:val="21"/>
              </w:rPr>
            </w:pPr>
            <w:r>
              <w:rPr>
                <w:rFonts w:hint="eastAsia"/>
                <w:color w:val="auto"/>
                <w:szCs w:val="21"/>
              </w:rPr>
              <w:t>租赁和商务服务业</w:t>
            </w:r>
          </w:p>
        </w:tc>
        <w:tc>
          <w:tcPr>
            <w:tcW w:w="2157" w:type="dxa"/>
            <w:vMerge w:val="restart"/>
            <w:noWrap w:val="0"/>
            <w:vAlign w:val="center"/>
          </w:tcPr>
          <w:p w14:paraId="7E7B3E4E">
            <w:pPr>
              <w:pStyle w:val="74"/>
              <w:spacing w:before="67"/>
              <w:ind w:left="7"/>
              <w:rPr>
                <w:rFonts w:hint="eastAsia"/>
                <w:color w:val="auto"/>
                <w:spacing w:val="-9"/>
                <w:szCs w:val="21"/>
                <w:lang w:eastAsia="zh-CN"/>
              </w:rPr>
            </w:pPr>
            <w:r>
              <w:rPr>
                <w:rFonts w:hint="eastAsia"/>
                <w:color w:val="auto"/>
                <w:szCs w:val="21"/>
                <w:lang w:eastAsia="zh-CN"/>
              </w:rPr>
              <w:t>从业人员300人以下或资产总额120000万元以下的为中小微型企业</w:t>
            </w:r>
          </w:p>
        </w:tc>
        <w:tc>
          <w:tcPr>
            <w:tcW w:w="1215" w:type="dxa"/>
            <w:noWrap w:val="0"/>
            <w:vAlign w:val="center"/>
          </w:tcPr>
          <w:p w14:paraId="0006B3D9">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28AD0427">
            <w:pPr>
              <w:pStyle w:val="74"/>
              <w:spacing w:before="67"/>
              <w:ind w:left="15"/>
              <w:rPr>
                <w:rFonts w:hint="eastAsia"/>
                <w:color w:val="auto"/>
                <w:szCs w:val="21"/>
                <w:lang w:eastAsia="zh-CN"/>
              </w:rPr>
            </w:pPr>
            <w:r>
              <w:rPr>
                <w:rFonts w:hint="eastAsia"/>
                <w:color w:val="auto"/>
                <w:szCs w:val="21"/>
                <w:lang w:eastAsia="zh-CN"/>
              </w:rPr>
              <w:t>从业人员100人及以上，且资产总额8000万元及以上的</w:t>
            </w:r>
          </w:p>
        </w:tc>
        <w:tc>
          <w:tcPr>
            <w:tcW w:w="752" w:type="dxa"/>
            <w:vMerge w:val="restart"/>
            <w:noWrap w:val="0"/>
            <w:vAlign w:val="center"/>
          </w:tcPr>
          <w:p w14:paraId="19705FA2">
            <w:pPr>
              <w:pStyle w:val="74"/>
              <w:ind w:left="15"/>
              <w:rPr>
                <w:rFonts w:hint="eastAsia"/>
                <w:color w:val="auto"/>
                <w:szCs w:val="21"/>
                <w:lang w:eastAsia="zh-CN"/>
              </w:rPr>
            </w:pPr>
            <w:r>
              <w:rPr>
                <w:rFonts w:hint="eastAsia"/>
                <w:color w:val="auto"/>
                <w:szCs w:val="21"/>
                <w:lang w:eastAsia="zh-CN"/>
              </w:rPr>
              <w:t>从业人员营业收入</w:t>
            </w:r>
          </w:p>
        </w:tc>
      </w:tr>
      <w:tr w14:paraId="3343A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6786A9CA">
            <w:pPr>
              <w:pStyle w:val="74"/>
              <w:spacing w:before="80"/>
              <w:ind w:left="40" w:right="32"/>
              <w:jc w:val="center"/>
              <w:rPr>
                <w:rFonts w:hint="eastAsia"/>
                <w:color w:val="auto"/>
                <w:szCs w:val="21"/>
              </w:rPr>
            </w:pPr>
          </w:p>
        </w:tc>
        <w:tc>
          <w:tcPr>
            <w:tcW w:w="860" w:type="dxa"/>
            <w:vMerge w:val="continue"/>
            <w:noWrap w:val="0"/>
            <w:vAlign w:val="center"/>
          </w:tcPr>
          <w:p w14:paraId="312BBE66">
            <w:pPr>
              <w:pStyle w:val="74"/>
              <w:spacing w:before="67"/>
              <w:ind w:left="7" w:right="2"/>
              <w:jc w:val="center"/>
              <w:rPr>
                <w:rFonts w:hint="eastAsia"/>
                <w:color w:val="auto"/>
                <w:szCs w:val="21"/>
              </w:rPr>
            </w:pPr>
          </w:p>
        </w:tc>
        <w:tc>
          <w:tcPr>
            <w:tcW w:w="2157" w:type="dxa"/>
            <w:vMerge w:val="continue"/>
            <w:noWrap w:val="0"/>
            <w:vAlign w:val="center"/>
          </w:tcPr>
          <w:p w14:paraId="42DBF0F7">
            <w:pPr>
              <w:pStyle w:val="74"/>
              <w:spacing w:before="67"/>
              <w:ind w:left="7"/>
              <w:rPr>
                <w:rFonts w:hint="eastAsia"/>
                <w:color w:val="auto"/>
                <w:spacing w:val="-9"/>
                <w:szCs w:val="21"/>
                <w:lang w:eastAsia="zh-CN"/>
              </w:rPr>
            </w:pPr>
          </w:p>
        </w:tc>
        <w:tc>
          <w:tcPr>
            <w:tcW w:w="1215" w:type="dxa"/>
            <w:noWrap w:val="0"/>
            <w:vAlign w:val="center"/>
          </w:tcPr>
          <w:p w14:paraId="5C0F6B05">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618005A5">
            <w:pPr>
              <w:pStyle w:val="74"/>
              <w:spacing w:before="67"/>
              <w:ind w:left="15"/>
              <w:rPr>
                <w:rFonts w:hint="eastAsia"/>
                <w:color w:val="auto"/>
                <w:szCs w:val="21"/>
                <w:lang w:eastAsia="zh-CN"/>
              </w:rPr>
            </w:pPr>
            <w:r>
              <w:rPr>
                <w:rFonts w:hint="eastAsia"/>
                <w:color w:val="auto"/>
                <w:szCs w:val="21"/>
                <w:lang w:eastAsia="zh-CN"/>
              </w:rPr>
              <w:t>从业人员10人及以上，且资产总额100万元及以上的</w:t>
            </w:r>
          </w:p>
        </w:tc>
        <w:tc>
          <w:tcPr>
            <w:tcW w:w="752" w:type="dxa"/>
            <w:vMerge w:val="continue"/>
            <w:noWrap w:val="0"/>
            <w:vAlign w:val="center"/>
          </w:tcPr>
          <w:p w14:paraId="0F98320A">
            <w:pPr>
              <w:pStyle w:val="74"/>
              <w:ind w:left="15"/>
              <w:rPr>
                <w:rFonts w:hint="eastAsia"/>
                <w:color w:val="auto"/>
                <w:sz w:val="24"/>
                <w:lang w:eastAsia="zh-CN"/>
              </w:rPr>
            </w:pPr>
          </w:p>
        </w:tc>
      </w:tr>
      <w:tr w14:paraId="34674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61FECC9E">
            <w:pPr>
              <w:pStyle w:val="74"/>
              <w:spacing w:before="80"/>
              <w:ind w:left="40" w:right="32"/>
              <w:jc w:val="center"/>
              <w:rPr>
                <w:rFonts w:hint="eastAsia"/>
                <w:color w:val="auto"/>
                <w:szCs w:val="21"/>
                <w:lang w:eastAsia="zh-CN"/>
              </w:rPr>
            </w:pPr>
          </w:p>
        </w:tc>
        <w:tc>
          <w:tcPr>
            <w:tcW w:w="860" w:type="dxa"/>
            <w:vMerge w:val="continue"/>
            <w:noWrap w:val="0"/>
            <w:vAlign w:val="center"/>
          </w:tcPr>
          <w:p w14:paraId="18C627A1">
            <w:pPr>
              <w:pStyle w:val="74"/>
              <w:spacing w:before="67"/>
              <w:ind w:left="7" w:right="2"/>
              <w:jc w:val="center"/>
              <w:rPr>
                <w:rFonts w:hint="eastAsia"/>
                <w:color w:val="auto"/>
                <w:szCs w:val="21"/>
                <w:lang w:eastAsia="zh-CN"/>
              </w:rPr>
            </w:pPr>
          </w:p>
        </w:tc>
        <w:tc>
          <w:tcPr>
            <w:tcW w:w="2157" w:type="dxa"/>
            <w:vMerge w:val="continue"/>
            <w:noWrap w:val="0"/>
            <w:vAlign w:val="center"/>
          </w:tcPr>
          <w:p w14:paraId="2C77F210">
            <w:pPr>
              <w:pStyle w:val="74"/>
              <w:spacing w:before="67"/>
              <w:ind w:left="7"/>
              <w:rPr>
                <w:rFonts w:hint="eastAsia"/>
                <w:color w:val="auto"/>
                <w:spacing w:val="-9"/>
                <w:szCs w:val="21"/>
                <w:lang w:eastAsia="zh-CN"/>
              </w:rPr>
            </w:pPr>
          </w:p>
        </w:tc>
        <w:tc>
          <w:tcPr>
            <w:tcW w:w="1215" w:type="dxa"/>
            <w:noWrap w:val="0"/>
            <w:vAlign w:val="center"/>
          </w:tcPr>
          <w:p w14:paraId="54506664">
            <w:pPr>
              <w:pStyle w:val="74"/>
              <w:spacing w:before="67"/>
              <w:ind w:left="13"/>
              <w:jc w:val="center"/>
              <w:rPr>
                <w:rFonts w:hint="eastAsia"/>
                <w:color w:val="auto"/>
                <w:szCs w:val="21"/>
              </w:rPr>
            </w:pPr>
            <w:r>
              <w:rPr>
                <w:rFonts w:hint="eastAsia"/>
                <w:color w:val="auto"/>
                <w:szCs w:val="21"/>
              </w:rPr>
              <w:t>微型企业</w:t>
            </w:r>
          </w:p>
        </w:tc>
        <w:tc>
          <w:tcPr>
            <w:tcW w:w="4056" w:type="dxa"/>
            <w:noWrap w:val="0"/>
            <w:vAlign w:val="center"/>
          </w:tcPr>
          <w:p w14:paraId="1BC867DF">
            <w:pPr>
              <w:pStyle w:val="74"/>
              <w:spacing w:before="67"/>
              <w:ind w:left="15"/>
              <w:rPr>
                <w:rFonts w:hint="eastAsia"/>
                <w:color w:val="auto"/>
                <w:szCs w:val="21"/>
                <w:lang w:eastAsia="zh-CN"/>
              </w:rPr>
            </w:pPr>
            <w:r>
              <w:rPr>
                <w:rFonts w:hint="eastAsia"/>
                <w:color w:val="auto"/>
                <w:szCs w:val="21"/>
                <w:lang w:eastAsia="zh-CN"/>
              </w:rPr>
              <w:t>从业人员10人以下或资产总额100万元以下的</w:t>
            </w:r>
          </w:p>
        </w:tc>
        <w:tc>
          <w:tcPr>
            <w:tcW w:w="752" w:type="dxa"/>
            <w:vMerge w:val="continue"/>
            <w:noWrap w:val="0"/>
            <w:vAlign w:val="center"/>
          </w:tcPr>
          <w:p w14:paraId="3919083F">
            <w:pPr>
              <w:pStyle w:val="74"/>
              <w:ind w:left="15"/>
              <w:rPr>
                <w:rFonts w:hint="eastAsia"/>
                <w:color w:val="auto"/>
                <w:sz w:val="24"/>
                <w:lang w:eastAsia="zh-CN"/>
              </w:rPr>
            </w:pPr>
          </w:p>
        </w:tc>
      </w:tr>
      <w:tr w14:paraId="20986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restart"/>
            <w:noWrap w:val="0"/>
            <w:vAlign w:val="center"/>
          </w:tcPr>
          <w:p w14:paraId="17877D3C">
            <w:pPr>
              <w:pStyle w:val="74"/>
              <w:spacing w:before="80"/>
              <w:ind w:left="40" w:right="32"/>
              <w:jc w:val="center"/>
              <w:rPr>
                <w:color w:val="auto"/>
                <w:szCs w:val="21"/>
                <w:lang w:eastAsia="zh-CN"/>
              </w:rPr>
            </w:pPr>
            <w:r>
              <w:rPr>
                <w:rFonts w:hint="eastAsia"/>
                <w:color w:val="auto"/>
                <w:szCs w:val="21"/>
                <w:lang w:eastAsia="zh-CN"/>
              </w:rPr>
              <w:t>16</w:t>
            </w:r>
          </w:p>
        </w:tc>
        <w:tc>
          <w:tcPr>
            <w:tcW w:w="860" w:type="dxa"/>
            <w:vMerge w:val="restart"/>
            <w:noWrap w:val="0"/>
            <w:vAlign w:val="center"/>
          </w:tcPr>
          <w:p w14:paraId="3D0AF357">
            <w:pPr>
              <w:pStyle w:val="74"/>
              <w:spacing w:before="67"/>
              <w:ind w:left="7" w:right="2"/>
              <w:jc w:val="center"/>
              <w:rPr>
                <w:rFonts w:hint="eastAsia"/>
                <w:color w:val="auto"/>
                <w:szCs w:val="21"/>
              </w:rPr>
            </w:pPr>
            <w:r>
              <w:rPr>
                <w:rFonts w:hint="eastAsia"/>
                <w:color w:val="auto"/>
                <w:szCs w:val="21"/>
              </w:rPr>
              <w:t>其他未列明行业</w:t>
            </w:r>
          </w:p>
        </w:tc>
        <w:tc>
          <w:tcPr>
            <w:tcW w:w="2157" w:type="dxa"/>
            <w:vMerge w:val="restart"/>
            <w:noWrap w:val="0"/>
            <w:vAlign w:val="center"/>
          </w:tcPr>
          <w:p w14:paraId="6822D18A">
            <w:pPr>
              <w:pStyle w:val="74"/>
              <w:spacing w:before="67"/>
              <w:ind w:left="7"/>
              <w:rPr>
                <w:rFonts w:hint="eastAsia"/>
                <w:color w:val="auto"/>
                <w:spacing w:val="-9"/>
                <w:szCs w:val="21"/>
                <w:lang w:eastAsia="zh-CN"/>
              </w:rPr>
            </w:pPr>
            <w:r>
              <w:rPr>
                <w:rFonts w:hint="eastAsia"/>
                <w:color w:val="auto"/>
                <w:szCs w:val="21"/>
                <w:lang w:eastAsia="zh-CN"/>
              </w:rPr>
              <w:t>从业人员300人以下的为中小微型企业。</w:t>
            </w:r>
          </w:p>
        </w:tc>
        <w:tc>
          <w:tcPr>
            <w:tcW w:w="1215" w:type="dxa"/>
            <w:noWrap w:val="0"/>
            <w:vAlign w:val="center"/>
          </w:tcPr>
          <w:p w14:paraId="2CC31BC6">
            <w:pPr>
              <w:pStyle w:val="74"/>
              <w:spacing w:before="67"/>
              <w:ind w:left="13"/>
              <w:jc w:val="center"/>
              <w:rPr>
                <w:rFonts w:hint="eastAsia"/>
                <w:color w:val="auto"/>
                <w:szCs w:val="21"/>
              </w:rPr>
            </w:pPr>
            <w:r>
              <w:rPr>
                <w:rFonts w:hint="eastAsia"/>
                <w:color w:val="auto"/>
                <w:szCs w:val="21"/>
              </w:rPr>
              <w:t>中型企业</w:t>
            </w:r>
          </w:p>
        </w:tc>
        <w:tc>
          <w:tcPr>
            <w:tcW w:w="4056" w:type="dxa"/>
            <w:noWrap w:val="0"/>
            <w:vAlign w:val="center"/>
          </w:tcPr>
          <w:p w14:paraId="214D7D4D">
            <w:pPr>
              <w:pStyle w:val="74"/>
              <w:spacing w:before="67"/>
              <w:ind w:left="15"/>
              <w:rPr>
                <w:rFonts w:hint="eastAsia"/>
                <w:color w:val="auto"/>
                <w:szCs w:val="21"/>
              </w:rPr>
            </w:pPr>
            <w:r>
              <w:rPr>
                <w:rFonts w:hint="eastAsia"/>
                <w:color w:val="auto"/>
                <w:szCs w:val="21"/>
              </w:rPr>
              <w:t>从业人员100人及以上的</w:t>
            </w:r>
          </w:p>
        </w:tc>
        <w:tc>
          <w:tcPr>
            <w:tcW w:w="752" w:type="dxa"/>
            <w:vMerge w:val="restart"/>
            <w:noWrap w:val="0"/>
            <w:vAlign w:val="center"/>
          </w:tcPr>
          <w:p w14:paraId="7B2C48CF">
            <w:pPr>
              <w:pStyle w:val="74"/>
              <w:ind w:left="15"/>
              <w:rPr>
                <w:rFonts w:hint="eastAsia"/>
                <w:color w:val="auto"/>
                <w:szCs w:val="21"/>
                <w:lang w:eastAsia="zh-CN"/>
              </w:rPr>
            </w:pPr>
            <w:r>
              <w:rPr>
                <w:rFonts w:hint="eastAsia"/>
                <w:color w:val="auto"/>
                <w:szCs w:val="21"/>
                <w:lang w:eastAsia="zh-CN"/>
              </w:rPr>
              <w:t>从业人员营业收入</w:t>
            </w:r>
          </w:p>
        </w:tc>
      </w:tr>
      <w:tr w14:paraId="2A982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7E2D0082">
            <w:pPr>
              <w:pStyle w:val="74"/>
              <w:spacing w:before="80"/>
              <w:ind w:left="40" w:right="32"/>
              <w:rPr>
                <w:rFonts w:hint="eastAsia"/>
                <w:color w:val="auto"/>
                <w:szCs w:val="21"/>
              </w:rPr>
            </w:pPr>
          </w:p>
        </w:tc>
        <w:tc>
          <w:tcPr>
            <w:tcW w:w="860" w:type="dxa"/>
            <w:vMerge w:val="continue"/>
            <w:noWrap w:val="0"/>
            <w:vAlign w:val="center"/>
          </w:tcPr>
          <w:p w14:paraId="524E3687">
            <w:pPr>
              <w:pStyle w:val="74"/>
              <w:spacing w:before="67"/>
              <w:ind w:left="7" w:right="2"/>
              <w:rPr>
                <w:rFonts w:hint="eastAsia"/>
                <w:color w:val="auto"/>
                <w:szCs w:val="21"/>
              </w:rPr>
            </w:pPr>
          </w:p>
        </w:tc>
        <w:tc>
          <w:tcPr>
            <w:tcW w:w="2157" w:type="dxa"/>
            <w:vMerge w:val="continue"/>
            <w:noWrap w:val="0"/>
            <w:vAlign w:val="center"/>
          </w:tcPr>
          <w:p w14:paraId="7A093012">
            <w:pPr>
              <w:pStyle w:val="74"/>
              <w:spacing w:before="67"/>
              <w:ind w:left="7"/>
              <w:rPr>
                <w:rFonts w:hint="eastAsia"/>
                <w:color w:val="auto"/>
                <w:spacing w:val="-9"/>
                <w:szCs w:val="21"/>
                <w:lang w:eastAsia="zh-CN"/>
              </w:rPr>
            </w:pPr>
          </w:p>
        </w:tc>
        <w:tc>
          <w:tcPr>
            <w:tcW w:w="1215" w:type="dxa"/>
            <w:noWrap w:val="0"/>
            <w:vAlign w:val="center"/>
          </w:tcPr>
          <w:p w14:paraId="6A2C6162">
            <w:pPr>
              <w:pStyle w:val="74"/>
              <w:spacing w:before="67"/>
              <w:ind w:left="13"/>
              <w:jc w:val="center"/>
              <w:rPr>
                <w:rFonts w:hint="eastAsia"/>
                <w:color w:val="auto"/>
                <w:szCs w:val="21"/>
              </w:rPr>
            </w:pPr>
            <w:r>
              <w:rPr>
                <w:rFonts w:hint="eastAsia"/>
                <w:color w:val="auto"/>
                <w:szCs w:val="21"/>
              </w:rPr>
              <w:t>小型企业</w:t>
            </w:r>
          </w:p>
        </w:tc>
        <w:tc>
          <w:tcPr>
            <w:tcW w:w="4056" w:type="dxa"/>
            <w:noWrap w:val="0"/>
            <w:vAlign w:val="center"/>
          </w:tcPr>
          <w:p w14:paraId="26356A0A">
            <w:pPr>
              <w:pStyle w:val="74"/>
              <w:spacing w:before="67"/>
              <w:ind w:left="15"/>
              <w:rPr>
                <w:rFonts w:hint="eastAsia"/>
                <w:color w:val="auto"/>
                <w:szCs w:val="21"/>
              </w:rPr>
            </w:pPr>
            <w:r>
              <w:rPr>
                <w:rFonts w:hint="eastAsia"/>
                <w:color w:val="auto"/>
                <w:szCs w:val="21"/>
              </w:rPr>
              <w:t>从业人员10人及以上的</w:t>
            </w:r>
          </w:p>
        </w:tc>
        <w:tc>
          <w:tcPr>
            <w:tcW w:w="752" w:type="dxa"/>
            <w:vMerge w:val="continue"/>
            <w:noWrap w:val="0"/>
            <w:vAlign w:val="center"/>
          </w:tcPr>
          <w:p w14:paraId="10C41B9C">
            <w:pPr>
              <w:pStyle w:val="74"/>
              <w:spacing w:before="67"/>
              <w:ind w:left="15"/>
              <w:rPr>
                <w:rFonts w:hint="eastAsia"/>
                <w:color w:val="auto"/>
                <w:szCs w:val="21"/>
              </w:rPr>
            </w:pPr>
          </w:p>
        </w:tc>
      </w:tr>
      <w:tr w14:paraId="60057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524" w:type="dxa"/>
            <w:vMerge w:val="continue"/>
            <w:noWrap w:val="0"/>
            <w:vAlign w:val="center"/>
          </w:tcPr>
          <w:p w14:paraId="2FEF6F15">
            <w:pPr>
              <w:pStyle w:val="74"/>
              <w:spacing w:before="80"/>
              <w:ind w:left="40" w:right="32"/>
              <w:rPr>
                <w:rFonts w:hint="eastAsia"/>
                <w:color w:val="auto"/>
                <w:szCs w:val="21"/>
              </w:rPr>
            </w:pPr>
          </w:p>
        </w:tc>
        <w:tc>
          <w:tcPr>
            <w:tcW w:w="860" w:type="dxa"/>
            <w:vMerge w:val="continue"/>
            <w:noWrap w:val="0"/>
            <w:vAlign w:val="center"/>
          </w:tcPr>
          <w:p w14:paraId="5F4BEA13">
            <w:pPr>
              <w:pStyle w:val="74"/>
              <w:spacing w:before="67"/>
              <w:ind w:left="7" w:right="2"/>
              <w:rPr>
                <w:rFonts w:hint="eastAsia"/>
                <w:color w:val="auto"/>
                <w:szCs w:val="21"/>
              </w:rPr>
            </w:pPr>
          </w:p>
        </w:tc>
        <w:tc>
          <w:tcPr>
            <w:tcW w:w="2157" w:type="dxa"/>
            <w:vMerge w:val="continue"/>
            <w:noWrap w:val="0"/>
            <w:vAlign w:val="center"/>
          </w:tcPr>
          <w:p w14:paraId="63C659AE">
            <w:pPr>
              <w:pStyle w:val="74"/>
              <w:spacing w:before="67"/>
              <w:ind w:left="7"/>
              <w:rPr>
                <w:rFonts w:hint="eastAsia"/>
                <w:color w:val="auto"/>
                <w:spacing w:val="-9"/>
                <w:szCs w:val="21"/>
                <w:lang w:eastAsia="zh-CN"/>
              </w:rPr>
            </w:pPr>
          </w:p>
        </w:tc>
        <w:tc>
          <w:tcPr>
            <w:tcW w:w="1215" w:type="dxa"/>
            <w:noWrap w:val="0"/>
            <w:vAlign w:val="center"/>
          </w:tcPr>
          <w:p w14:paraId="28632048">
            <w:pPr>
              <w:pStyle w:val="74"/>
              <w:spacing w:before="67"/>
              <w:ind w:left="13"/>
              <w:jc w:val="center"/>
              <w:rPr>
                <w:rFonts w:hint="eastAsia"/>
                <w:color w:val="auto"/>
                <w:szCs w:val="21"/>
              </w:rPr>
            </w:pPr>
            <w:r>
              <w:rPr>
                <w:rFonts w:hint="eastAsia"/>
                <w:color w:val="auto"/>
                <w:szCs w:val="21"/>
              </w:rPr>
              <w:t>微型企业</w:t>
            </w:r>
          </w:p>
        </w:tc>
        <w:tc>
          <w:tcPr>
            <w:tcW w:w="4056" w:type="dxa"/>
            <w:noWrap w:val="0"/>
            <w:vAlign w:val="center"/>
          </w:tcPr>
          <w:p w14:paraId="386A2667">
            <w:pPr>
              <w:pStyle w:val="74"/>
              <w:spacing w:before="67"/>
              <w:ind w:left="15"/>
              <w:rPr>
                <w:rFonts w:hint="eastAsia"/>
                <w:color w:val="auto"/>
                <w:szCs w:val="21"/>
              </w:rPr>
            </w:pPr>
            <w:r>
              <w:rPr>
                <w:rFonts w:hint="eastAsia"/>
                <w:color w:val="auto"/>
                <w:szCs w:val="21"/>
              </w:rPr>
              <w:t>从业人员10人以下的</w:t>
            </w:r>
          </w:p>
        </w:tc>
        <w:tc>
          <w:tcPr>
            <w:tcW w:w="752" w:type="dxa"/>
            <w:vMerge w:val="continue"/>
            <w:noWrap w:val="0"/>
            <w:vAlign w:val="center"/>
          </w:tcPr>
          <w:p w14:paraId="15C59DF2">
            <w:pPr>
              <w:pStyle w:val="74"/>
              <w:spacing w:before="67"/>
              <w:ind w:left="15"/>
              <w:rPr>
                <w:rFonts w:hint="eastAsia"/>
                <w:color w:val="auto"/>
                <w:sz w:val="24"/>
              </w:rPr>
            </w:pPr>
          </w:p>
        </w:tc>
      </w:tr>
    </w:tbl>
    <w:p w14:paraId="29FAC549">
      <w:pPr>
        <w:spacing w:line="360" w:lineRule="auto"/>
        <w:rPr>
          <w:rFonts w:hint="eastAsia"/>
          <w:b/>
          <w:bCs/>
          <w:color w:val="auto"/>
          <w:lang w:val="en-GB"/>
        </w:rPr>
      </w:pPr>
      <w:r>
        <w:rPr>
          <w:rFonts w:hint="eastAsia"/>
          <w:b/>
          <w:bCs/>
          <w:color w:val="auto"/>
          <w:lang w:val="en-GB"/>
        </w:rPr>
        <w:t>该附件可供投标人参考。</w:t>
      </w:r>
    </w:p>
    <w:p w14:paraId="2DD04918">
      <w:pPr>
        <w:spacing w:line="360" w:lineRule="auto"/>
        <w:rPr>
          <w:rFonts w:hint="eastAsia"/>
          <w:b/>
          <w:bCs/>
          <w:color w:val="auto"/>
          <w:lang w:val="en-GB"/>
        </w:rPr>
      </w:pPr>
    </w:p>
    <w:p w14:paraId="6AEAA039">
      <w:pPr>
        <w:spacing w:line="360" w:lineRule="auto"/>
        <w:rPr>
          <w:rFonts w:hint="eastAsia"/>
          <w:b/>
          <w:bCs/>
          <w:color w:val="auto"/>
          <w:lang w:val="en-GB"/>
        </w:rPr>
      </w:pPr>
    </w:p>
    <w:p w14:paraId="49F505B4">
      <w:pPr>
        <w:spacing w:line="360" w:lineRule="auto"/>
        <w:rPr>
          <w:rFonts w:hint="eastAsia" w:ascii="宋体" w:hAnsi="宋体" w:eastAsia="宋体"/>
          <w:color w:val="auto"/>
          <w:sz w:val="28"/>
          <w:szCs w:val="28"/>
          <w:lang w:val="en-US" w:eastAsia="zh-CN"/>
        </w:rPr>
      </w:pPr>
      <w:r>
        <w:rPr>
          <w:rFonts w:hint="eastAsia" w:ascii="宋体" w:hAnsi="宋体"/>
          <w:b/>
          <w:color w:val="auto"/>
          <w:szCs w:val="21"/>
        </w:rPr>
        <w:t>附件</w:t>
      </w:r>
      <w:r>
        <w:rPr>
          <w:rFonts w:hint="eastAsia" w:ascii="宋体" w:hAnsi="宋体"/>
          <w:b/>
          <w:color w:val="auto"/>
          <w:szCs w:val="21"/>
          <w:lang w:val="en-US" w:eastAsia="zh-CN"/>
        </w:rPr>
        <w:t>5</w:t>
      </w:r>
    </w:p>
    <w:p w14:paraId="4300537D">
      <w:pPr>
        <w:snapToGrid w:val="0"/>
        <w:spacing w:line="360" w:lineRule="auto"/>
        <w:ind w:right="480"/>
        <w:jc w:val="center"/>
        <w:rPr>
          <w:rFonts w:ascii="宋体" w:hAnsi="宋体"/>
          <w:color w:val="auto"/>
          <w:sz w:val="28"/>
          <w:szCs w:val="28"/>
        </w:rPr>
      </w:pPr>
      <w:r>
        <w:rPr>
          <w:rFonts w:hint="eastAsia" w:ascii="宋体" w:hAnsi="宋体"/>
          <w:color w:val="auto"/>
          <w:sz w:val="28"/>
          <w:szCs w:val="28"/>
        </w:rPr>
        <w:t>符合参加政府采购活动应当具备的一般条件的承诺函</w:t>
      </w:r>
    </w:p>
    <w:p w14:paraId="2BCA0516">
      <w:pPr>
        <w:spacing w:line="360" w:lineRule="auto"/>
        <w:contextualSpacing/>
        <w:rPr>
          <w:rFonts w:hint="eastAsia" w:ascii="宋体" w:hAnsi="宋体"/>
          <w:color w:val="auto"/>
          <w:szCs w:val="21"/>
          <w:u w:val="single"/>
        </w:rPr>
      </w:pPr>
    </w:p>
    <w:p w14:paraId="7394F3F4">
      <w:pPr>
        <w:spacing w:line="360" w:lineRule="auto"/>
        <w:contextualSpacing/>
        <w:rPr>
          <w:rFonts w:ascii="宋体" w:hAnsi="宋体"/>
          <w:color w:val="auto"/>
          <w:szCs w:val="21"/>
        </w:rPr>
      </w:pPr>
      <w:r>
        <w:rPr>
          <w:rFonts w:hint="eastAsia" w:ascii="宋体" w:hAnsi="宋体"/>
          <w:color w:val="auto"/>
          <w:szCs w:val="21"/>
          <w:u w:val="single"/>
        </w:rPr>
        <w:t>浙江协力工程管理咨询有限公司</w:t>
      </w:r>
      <w:r>
        <w:rPr>
          <w:rFonts w:hint="eastAsia" w:ascii="宋体" w:hAnsi="宋体"/>
          <w:color w:val="auto"/>
          <w:szCs w:val="21"/>
        </w:rPr>
        <w:t>：</w:t>
      </w:r>
    </w:p>
    <w:p w14:paraId="02BFD7EF">
      <w:pPr>
        <w:spacing w:line="360" w:lineRule="auto"/>
        <w:ind w:firstLine="420" w:firstLineChars="200"/>
        <w:contextualSpacing/>
        <w:rPr>
          <w:rFonts w:ascii="宋体" w:hAnsi="宋体"/>
          <w:color w:val="auto"/>
          <w:szCs w:val="21"/>
        </w:rPr>
      </w:pPr>
      <w:r>
        <w:rPr>
          <w:rFonts w:hint="eastAsia" w:ascii="宋体" w:hAnsi="宋体"/>
          <w:color w:val="auto"/>
          <w:szCs w:val="21"/>
        </w:rPr>
        <w:t>我方参与</w:t>
      </w:r>
      <w:r>
        <w:rPr>
          <w:rFonts w:hint="eastAsia" w:ascii="宋体" w:hAnsi="宋体"/>
          <w:color w:val="auto"/>
          <w:szCs w:val="21"/>
          <w:u w:val="single"/>
        </w:rPr>
        <w:t xml:space="preserve">                （项目名称）</w:t>
      </w:r>
      <w:r>
        <w:rPr>
          <w:rFonts w:ascii="宋体" w:hAnsi="宋体"/>
          <w:color w:val="auto"/>
          <w:szCs w:val="21"/>
        </w:rPr>
        <w:t>（编号：</w:t>
      </w:r>
      <w:r>
        <w:rPr>
          <w:rFonts w:hint="eastAsia" w:ascii="宋体" w:hAnsi="宋体"/>
          <w:color w:val="auto"/>
          <w:szCs w:val="21"/>
          <w:u w:val="single"/>
        </w:rPr>
        <w:t>XLCG(YH)-2025-0</w:t>
      </w:r>
      <w:r>
        <w:rPr>
          <w:rFonts w:hint="eastAsia" w:ascii="宋体" w:hAnsi="宋体"/>
          <w:color w:val="auto"/>
          <w:szCs w:val="21"/>
          <w:u w:val="single"/>
          <w:lang w:val="en-US" w:eastAsia="zh-CN"/>
        </w:rPr>
        <w:t>23（重新）</w:t>
      </w:r>
      <w:r>
        <w:rPr>
          <w:rFonts w:ascii="宋体" w:hAnsi="宋体"/>
          <w:color w:val="auto"/>
          <w:szCs w:val="21"/>
        </w:rPr>
        <w:t>）</w:t>
      </w:r>
      <w:r>
        <w:rPr>
          <w:rFonts w:hint="eastAsia" w:ascii="宋体" w:hAnsi="宋体"/>
          <w:color w:val="auto"/>
          <w:szCs w:val="21"/>
        </w:rPr>
        <w:t>政府采购活动，郑重承诺：</w:t>
      </w:r>
    </w:p>
    <w:p w14:paraId="784B262F">
      <w:pPr>
        <w:spacing w:line="360" w:lineRule="auto"/>
        <w:ind w:firstLine="315" w:firstLineChars="150"/>
        <w:contextualSpacing/>
        <w:rPr>
          <w:rFonts w:ascii="宋体" w:hAnsi="宋体"/>
          <w:color w:val="auto"/>
          <w:szCs w:val="21"/>
        </w:rPr>
      </w:pPr>
      <w:r>
        <w:rPr>
          <w:rFonts w:hint="eastAsia" w:ascii="宋体" w:hAnsi="宋体"/>
          <w:color w:val="auto"/>
          <w:szCs w:val="21"/>
        </w:rPr>
        <w:t>（一）具备《中华人民共和国政府采购法》第二十二条规定的条件：</w:t>
      </w:r>
    </w:p>
    <w:p w14:paraId="49A1281B">
      <w:pPr>
        <w:spacing w:line="360" w:lineRule="auto"/>
        <w:ind w:firstLine="420" w:firstLineChars="200"/>
        <w:contextualSpacing/>
        <w:rPr>
          <w:rFonts w:ascii="宋体" w:hAnsi="宋体"/>
          <w:color w:val="auto"/>
          <w:szCs w:val="21"/>
        </w:rPr>
      </w:pPr>
      <w:r>
        <w:rPr>
          <w:rFonts w:hint="eastAsia" w:ascii="宋体" w:hAnsi="宋体"/>
          <w:color w:val="auto"/>
          <w:szCs w:val="21"/>
        </w:rPr>
        <w:t>1.具有独立承担民事责任的能力；</w:t>
      </w:r>
    </w:p>
    <w:p w14:paraId="3F7D36A8">
      <w:pPr>
        <w:spacing w:line="360" w:lineRule="auto"/>
        <w:ind w:firstLine="420" w:firstLineChars="200"/>
        <w:contextualSpacing/>
        <w:rPr>
          <w:rFonts w:ascii="宋体" w:hAnsi="宋体"/>
          <w:color w:val="auto"/>
          <w:szCs w:val="21"/>
        </w:rPr>
      </w:pPr>
      <w:r>
        <w:rPr>
          <w:rFonts w:hint="eastAsia" w:ascii="宋体" w:hAnsi="宋体"/>
          <w:color w:val="auto"/>
          <w:szCs w:val="21"/>
        </w:rPr>
        <w:t xml:space="preserve">2.具有良好的商业信誉和健全的财务会计制度； </w:t>
      </w:r>
    </w:p>
    <w:p w14:paraId="6E00BA4D">
      <w:pPr>
        <w:spacing w:line="360" w:lineRule="auto"/>
        <w:ind w:firstLine="420" w:firstLineChars="200"/>
        <w:contextualSpacing/>
        <w:rPr>
          <w:rFonts w:ascii="宋体" w:hAnsi="宋体"/>
          <w:color w:val="auto"/>
          <w:szCs w:val="21"/>
        </w:rPr>
      </w:pPr>
      <w:r>
        <w:rPr>
          <w:rFonts w:hint="eastAsia" w:ascii="宋体" w:hAnsi="宋体"/>
          <w:color w:val="auto"/>
          <w:szCs w:val="21"/>
        </w:rPr>
        <w:t>3.具有履行合同所必需的设备和专业技术能力；</w:t>
      </w:r>
    </w:p>
    <w:p w14:paraId="2948E8CC">
      <w:pPr>
        <w:spacing w:line="360" w:lineRule="auto"/>
        <w:ind w:firstLine="420" w:firstLineChars="200"/>
        <w:contextualSpacing/>
        <w:rPr>
          <w:rFonts w:ascii="宋体" w:hAnsi="宋体"/>
          <w:color w:val="auto"/>
          <w:szCs w:val="21"/>
        </w:rPr>
      </w:pPr>
      <w:r>
        <w:rPr>
          <w:rFonts w:hint="eastAsia" w:ascii="宋体" w:hAnsi="宋体"/>
          <w:color w:val="auto"/>
          <w:szCs w:val="21"/>
        </w:rPr>
        <w:t>4.有依法缴纳税收和社会保障资金的良好记录；</w:t>
      </w:r>
    </w:p>
    <w:p w14:paraId="1220C24F">
      <w:pPr>
        <w:spacing w:line="360" w:lineRule="auto"/>
        <w:ind w:firstLine="420" w:firstLineChars="200"/>
        <w:contextualSpacing/>
        <w:rPr>
          <w:rFonts w:ascii="宋体" w:hAnsi="宋体"/>
          <w:color w:val="auto"/>
          <w:szCs w:val="21"/>
        </w:rPr>
      </w:pPr>
      <w:r>
        <w:rPr>
          <w:rFonts w:hint="eastAsia" w:ascii="宋体" w:hAnsi="宋体"/>
          <w:color w:val="auto"/>
          <w:szCs w:val="21"/>
        </w:rPr>
        <w:t>5.参加政府采购活动前三年内，在经营活动中没有重大违法记录；</w:t>
      </w:r>
    </w:p>
    <w:p w14:paraId="68648802">
      <w:pPr>
        <w:spacing w:line="360" w:lineRule="auto"/>
        <w:ind w:firstLine="420" w:firstLineChars="200"/>
        <w:contextualSpacing/>
        <w:rPr>
          <w:rFonts w:ascii="宋体" w:hAnsi="宋体"/>
          <w:color w:val="auto"/>
          <w:szCs w:val="21"/>
        </w:rPr>
      </w:pPr>
      <w:r>
        <w:rPr>
          <w:rFonts w:hint="eastAsia" w:ascii="宋体" w:hAnsi="宋体"/>
          <w:color w:val="auto"/>
          <w:szCs w:val="21"/>
        </w:rPr>
        <w:t>6.具有法律、行政法规规定的其他条件。</w:t>
      </w:r>
    </w:p>
    <w:p w14:paraId="7B419C47">
      <w:pPr>
        <w:spacing w:line="360" w:lineRule="auto"/>
        <w:ind w:firstLine="420" w:firstLineChars="200"/>
        <w:contextualSpacing/>
        <w:rPr>
          <w:rFonts w:hint="eastAsia" w:ascii="宋体" w:hAnsi="宋体" w:eastAsia="宋体"/>
          <w:color w:val="auto"/>
          <w:szCs w:val="21"/>
          <w:lang w:eastAsia="zh-CN"/>
        </w:rPr>
      </w:pPr>
      <w:r>
        <w:rPr>
          <w:rFonts w:hint="eastAsia" w:ascii="宋体" w:hAnsi="宋体"/>
          <w:color w:val="auto"/>
          <w:szCs w:val="21"/>
        </w:rPr>
        <w:t>（二）符合《中华人民共和国政府采购法》第二十二条规定的供应商资格要求及项目特定资格要求（如有）</w:t>
      </w:r>
      <w:r>
        <w:rPr>
          <w:rFonts w:hint="eastAsia" w:ascii="宋体" w:hAnsi="宋体"/>
          <w:color w:val="auto"/>
          <w:szCs w:val="21"/>
          <w:lang w:eastAsia="zh-CN"/>
        </w:rPr>
        <w:t>。</w:t>
      </w:r>
    </w:p>
    <w:p w14:paraId="25389138">
      <w:pPr>
        <w:spacing w:line="360" w:lineRule="auto"/>
        <w:ind w:firstLine="420" w:firstLineChars="200"/>
        <w:contextualSpacing/>
        <w:rPr>
          <w:rFonts w:ascii="宋体" w:hAnsi="宋体"/>
          <w:color w:val="auto"/>
          <w:szCs w:val="21"/>
        </w:rPr>
      </w:pPr>
      <w:r>
        <w:rPr>
          <w:rFonts w:hint="eastAsia" w:ascii="宋体" w:hAnsi="宋体"/>
          <w:color w:val="auto"/>
          <w:szCs w:val="21"/>
        </w:rPr>
        <w:t>（三）未被信用中国（www.creditchina.gov.cn)、中国政府采购网（www.ccgp.gov.cn）列入失信被执行人、重大税收违法案件当事人名单、政府采购严重违法失信行为记录名单。</w:t>
      </w:r>
    </w:p>
    <w:p w14:paraId="63DA5054">
      <w:pPr>
        <w:spacing w:line="360" w:lineRule="auto"/>
        <w:ind w:firstLine="420" w:firstLineChars="200"/>
        <w:contextualSpacing/>
        <w:rPr>
          <w:rFonts w:ascii="宋体" w:hAnsi="宋体"/>
          <w:color w:val="auto"/>
          <w:szCs w:val="21"/>
        </w:rPr>
      </w:pPr>
      <w:r>
        <w:rPr>
          <w:rFonts w:hint="eastAsia" w:ascii="宋体" w:hAnsi="宋体"/>
          <w:color w:val="auto"/>
          <w:szCs w:val="21"/>
        </w:rPr>
        <w:t>（四）不存在以下情况：</w:t>
      </w:r>
    </w:p>
    <w:p w14:paraId="5C4939A2">
      <w:pPr>
        <w:spacing w:line="360" w:lineRule="auto"/>
        <w:ind w:firstLine="420" w:firstLineChars="200"/>
        <w:contextualSpacing/>
        <w:rPr>
          <w:rFonts w:ascii="宋体" w:hAnsi="宋体"/>
          <w:color w:val="auto"/>
          <w:szCs w:val="21"/>
        </w:rPr>
      </w:pPr>
      <w:r>
        <w:rPr>
          <w:rFonts w:hint="eastAsia" w:ascii="宋体" w:hAnsi="宋体"/>
          <w:color w:val="auto"/>
          <w:szCs w:val="21"/>
        </w:rPr>
        <w:t>1.单位负责人为同一人或者存在直接控股、管理关系的不同供应商参加同一合同项下的政府采购活动的；</w:t>
      </w:r>
    </w:p>
    <w:p w14:paraId="142967F6">
      <w:pPr>
        <w:spacing w:line="360" w:lineRule="auto"/>
        <w:ind w:firstLine="420" w:firstLineChars="200"/>
        <w:contextualSpacing/>
        <w:rPr>
          <w:rFonts w:hint="eastAsia" w:ascii="宋体" w:hAnsi="宋体"/>
          <w:color w:val="auto"/>
          <w:szCs w:val="21"/>
        </w:rPr>
      </w:pPr>
      <w:r>
        <w:rPr>
          <w:rFonts w:hint="eastAsia" w:ascii="宋体" w:hAnsi="宋体"/>
          <w:color w:val="auto"/>
          <w:szCs w:val="21"/>
        </w:rPr>
        <w:t>2.为采购项目提供整体设计、规范编制或者项目管理、监理、检测等服务后再参加该采购项目的其他采购活动的。</w:t>
      </w:r>
    </w:p>
    <w:p w14:paraId="0692178C">
      <w:pPr>
        <w:pStyle w:val="9"/>
        <w:rPr>
          <w:rFonts w:hint="eastAsia"/>
          <w:color w:val="auto"/>
        </w:rPr>
      </w:pPr>
    </w:p>
    <w:p w14:paraId="72CCD781">
      <w:pPr>
        <w:pStyle w:val="10"/>
        <w:rPr>
          <w:rFonts w:hint="eastAsia"/>
          <w:color w:val="auto"/>
        </w:rPr>
      </w:pPr>
    </w:p>
    <w:p w14:paraId="3E7717AC">
      <w:pPr>
        <w:rPr>
          <w:rFonts w:hint="eastAsia"/>
          <w:color w:val="auto"/>
        </w:rPr>
      </w:pPr>
    </w:p>
    <w:p w14:paraId="7A447C16">
      <w:pPr>
        <w:adjustRightInd w:val="0"/>
        <w:snapToGrid w:val="0"/>
        <w:spacing w:line="600" w:lineRule="auto"/>
        <w:ind w:firstLine="4725" w:firstLineChars="2250"/>
        <w:rPr>
          <w:rFonts w:ascii="宋体" w:cs="仿宋_GB2312"/>
          <w:color w:val="auto"/>
          <w:kern w:val="0"/>
          <w:szCs w:val="21"/>
          <w:lang w:val="zh-CN"/>
        </w:rPr>
      </w:pPr>
      <w:r>
        <w:rPr>
          <w:rFonts w:hint="eastAsia" w:ascii="宋体" w:hAnsi="宋体" w:cs="仿宋_GB2312"/>
          <w:color w:val="auto"/>
          <w:kern w:val="0"/>
          <w:szCs w:val="21"/>
          <w:lang w:val="zh-CN"/>
        </w:rPr>
        <w:t>投标人名称</w:t>
      </w:r>
      <w:r>
        <w:rPr>
          <w:rFonts w:ascii="宋体" w:hAnsi="宋体" w:cs="仿宋_GB2312"/>
          <w:color w:val="auto"/>
          <w:kern w:val="0"/>
          <w:szCs w:val="21"/>
          <w:lang w:val="zh-CN"/>
        </w:rPr>
        <w:t>(</w:t>
      </w:r>
      <w:r>
        <w:rPr>
          <w:rFonts w:hint="eastAsia" w:ascii="宋体" w:hAnsi="宋体" w:cs="仿宋_GB2312"/>
          <w:color w:val="auto"/>
          <w:kern w:val="0"/>
          <w:szCs w:val="21"/>
          <w:lang w:val="zh-CN"/>
        </w:rPr>
        <w:t>公章</w:t>
      </w:r>
      <w:r>
        <w:rPr>
          <w:rFonts w:ascii="宋体" w:hAnsi="宋体" w:cs="仿宋_GB2312"/>
          <w:color w:val="auto"/>
          <w:kern w:val="0"/>
          <w:szCs w:val="21"/>
          <w:lang w:val="zh-CN"/>
        </w:rPr>
        <w:t>)</w:t>
      </w:r>
      <w:r>
        <w:rPr>
          <w:rFonts w:hint="eastAsia" w:ascii="宋体" w:hAnsi="宋体" w:cs="仿宋_GB2312"/>
          <w:color w:val="auto"/>
          <w:kern w:val="0"/>
          <w:szCs w:val="21"/>
          <w:lang w:val="zh-CN"/>
        </w:rPr>
        <w:t>：</w:t>
      </w:r>
    </w:p>
    <w:p w14:paraId="45C94D0B">
      <w:pPr>
        <w:adjustRightInd w:val="0"/>
        <w:snapToGrid w:val="0"/>
        <w:spacing w:line="600" w:lineRule="auto"/>
        <w:rPr>
          <w:rFonts w:ascii="宋体" w:cs="仿宋_GB2312"/>
          <w:color w:val="auto"/>
          <w:kern w:val="0"/>
          <w:szCs w:val="21"/>
          <w:lang w:val="zh-CN"/>
        </w:rPr>
      </w:pPr>
      <w:r>
        <w:rPr>
          <w:rFonts w:ascii="宋体" w:hAnsi="宋体" w:cs="仿宋_GB2312"/>
          <w:color w:val="auto"/>
          <w:kern w:val="0"/>
          <w:szCs w:val="21"/>
          <w:lang w:val="zh-CN"/>
        </w:rPr>
        <w:t xml:space="preserve">                                          </w:t>
      </w:r>
      <w:r>
        <w:rPr>
          <w:rFonts w:hint="eastAsia" w:ascii="宋体" w:hAnsi="宋体" w:cs="仿宋_GB2312"/>
          <w:color w:val="auto"/>
          <w:kern w:val="0"/>
          <w:szCs w:val="21"/>
        </w:rPr>
        <w:t xml:space="preserve">   </w:t>
      </w:r>
      <w:r>
        <w:rPr>
          <w:rFonts w:hint="eastAsia" w:ascii="宋体" w:hAnsi="宋体" w:cs="仿宋_GB2312"/>
          <w:color w:val="auto"/>
          <w:kern w:val="0"/>
          <w:szCs w:val="21"/>
          <w:lang w:val="zh-CN"/>
        </w:rPr>
        <w:t>法定代表人或授权委托人</w:t>
      </w:r>
      <w:r>
        <w:rPr>
          <w:rFonts w:ascii="宋体" w:hAnsi="宋体" w:cs="仿宋_GB2312"/>
          <w:color w:val="auto"/>
          <w:kern w:val="0"/>
          <w:szCs w:val="21"/>
          <w:lang w:val="zh-CN"/>
        </w:rPr>
        <w:t>(</w:t>
      </w:r>
      <w:r>
        <w:rPr>
          <w:rFonts w:hint="eastAsia" w:ascii="宋体" w:hAnsi="宋体" w:cs="仿宋_GB2312"/>
          <w:color w:val="auto"/>
          <w:kern w:val="0"/>
          <w:szCs w:val="21"/>
          <w:lang w:val="zh-CN"/>
        </w:rPr>
        <w:t>签字</w:t>
      </w:r>
      <w:r>
        <w:rPr>
          <w:rFonts w:ascii="宋体" w:hAnsi="宋体" w:cs="仿宋_GB2312"/>
          <w:color w:val="auto"/>
          <w:kern w:val="0"/>
          <w:szCs w:val="21"/>
          <w:lang w:val="zh-CN"/>
        </w:rPr>
        <w:t>)</w:t>
      </w:r>
      <w:r>
        <w:rPr>
          <w:rFonts w:hint="eastAsia" w:ascii="宋体" w:hAnsi="宋体" w:cs="仿宋_GB2312"/>
          <w:color w:val="auto"/>
          <w:kern w:val="0"/>
          <w:szCs w:val="21"/>
          <w:lang w:val="zh-CN"/>
        </w:rPr>
        <w:t>：</w:t>
      </w:r>
    </w:p>
    <w:p w14:paraId="2E9504C9">
      <w:pPr>
        <w:snapToGrid w:val="0"/>
        <w:spacing w:line="360" w:lineRule="auto"/>
        <w:rPr>
          <w:rFonts w:ascii="宋体" w:hAnsi="宋体"/>
          <w:color w:val="auto"/>
          <w:szCs w:val="21"/>
          <w:lang w:val="zh-CN"/>
        </w:rPr>
      </w:pPr>
      <w:r>
        <w:rPr>
          <w:rFonts w:hint="eastAsia" w:ascii="宋体" w:hAnsi="宋体"/>
          <w:color w:val="auto"/>
          <w:szCs w:val="21"/>
          <w:lang w:val="zh-CN"/>
        </w:rPr>
        <w:t xml:space="preserve">                        </w:t>
      </w:r>
      <w:r>
        <w:rPr>
          <w:rFonts w:hint="eastAsia" w:ascii="宋体" w:hAnsi="宋体"/>
          <w:color w:val="auto"/>
          <w:szCs w:val="21"/>
        </w:rPr>
        <w:t xml:space="preserve">                     </w:t>
      </w:r>
      <w:r>
        <w:rPr>
          <w:rFonts w:hint="eastAsia" w:ascii="宋体" w:hAnsi="宋体"/>
          <w:color w:val="auto"/>
          <w:szCs w:val="21"/>
          <w:lang w:val="zh-CN"/>
        </w:rPr>
        <w:t>日期</w:t>
      </w:r>
      <w:r>
        <w:rPr>
          <w:rFonts w:hint="eastAsia" w:ascii="宋体" w:hAnsi="宋体"/>
          <w:color w:val="auto"/>
          <w:szCs w:val="21"/>
        </w:rPr>
        <w:t xml:space="preserve">：  年  </w:t>
      </w:r>
      <w:r>
        <w:rPr>
          <w:rFonts w:hint="eastAsia" w:ascii="宋体" w:hAnsi="宋体"/>
          <w:color w:val="auto"/>
          <w:szCs w:val="21"/>
          <w:lang w:val="zh-CN"/>
        </w:rPr>
        <w:t>月</w:t>
      </w:r>
      <w:r>
        <w:rPr>
          <w:rFonts w:hint="eastAsia" w:ascii="宋体" w:hAnsi="宋体"/>
          <w:color w:val="auto"/>
          <w:szCs w:val="21"/>
        </w:rPr>
        <w:t xml:space="preserve">   </w:t>
      </w:r>
      <w:r>
        <w:rPr>
          <w:rFonts w:hint="eastAsia" w:ascii="宋体" w:hAnsi="宋体"/>
          <w:color w:val="auto"/>
          <w:szCs w:val="21"/>
          <w:lang w:val="zh-CN"/>
        </w:rPr>
        <w:t>日</w:t>
      </w:r>
    </w:p>
    <w:p w14:paraId="791ED3C6">
      <w:pPr>
        <w:spacing w:line="360" w:lineRule="auto"/>
        <w:ind w:firstLine="435"/>
        <w:rPr>
          <w:rFonts w:ascii="宋体" w:hAnsi="宋体"/>
          <w:color w:val="auto"/>
          <w:szCs w:val="21"/>
          <w:u w:val="single"/>
        </w:rPr>
      </w:pPr>
    </w:p>
    <w:p w14:paraId="6AED0BB7">
      <w:pPr>
        <w:spacing w:line="360" w:lineRule="auto"/>
        <w:rPr>
          <w:rFonts w:hint="eastAsia"/>
          <w:b/>
          <w:bCs/>
          <w:color w:val="auto"/>
          <w:lang w:val="en-GB"/>
        </w:rPr>
        <w:sectPr>
          <w:pgSz w:w="11906" w:h="16838"/>
          <w:pgMar w:top="1440" w:right="1134" w:bottom="1440" w:left="1134" w:header="851" w:footer="992" w:gutter="0"/>
          <w:cols w:space="720" w:num="1"/>
          <w:docGrid w:type="lines" w:linePitch="312" w:charSpace="0"/>
        </w:sectPr>
      </w:pPr>
    </w:p>
    <w:p w14:paraId="2A21D797">
      <w:pPr>
        <w:snapToGrid w:val="0"/>
        <w:spacing w:before="156" w:beforeLines="50" w:after="50" w:line="360" w:lineRule="auto"/>
        <w:rPr>
          <w:rFonts w:ascii="仿宋_GB2312" w:hAnsi="宋体" w:eastAsia="仿宋_GB2312"/>
          <w:b/>
          <w:color w:val="auto"/>
          <w:szCs w:val="21"/>
        </w:rPr>
      </w:pPr>
      <w:r>
        <w:rPr>
          <w:rFonts w:hint="eastAsia" w:ascii="宋体" w:hAnsi="宋体"/>
          <w:b/>
          <w:color w:val="auto"/>
          <w:szCs w:val="21"/>
        </w:rPr>
        <w:t>附件</w:t>
      </w:r>
      <w:r>
        <w:rPr>
          <w:rFonts w:hint="eastAsia" w:ascii="宋体" w:hAnsi="宋体"/>
          <w:b/>
          <w:color w:val="auto"/>
          <w:szCs w:val="21"/>
          <w:lang w:val="en-US" w:eastAsia="zh-CN"/>
        </w:rPr>
        <w:t>6</w:t>
      </w:r>
      <w:r>
        <w:rPr>
          <w:rFonts w:hint="eastAsia" w:ascii="宋体" w:hAnsi="宋体"/>
          <w:b/>
          <w:color w:val="auto"/>
          <w:szCs w:val="21"/>
        </w:rPr>
        <w:t>：</w:t>
      </w:r>
    </w:p>
    <w:p w14:paraId="1125BA1C">
      <w:pPr>
        <w:snapToGrid w:val="0"/>
        <w:spacing w:before="156" w:beforeLines="50" w:after="50" w:line="360" w:lineRule="auto"/>
        <w:jc w:val="right"/>
        <w:rPr>
          <w:rFonts w:ascii="仿宋_GB2312" w:hAnsi="宋体" w:eastAsia="仿宋_GB2312"/>
          <w:bCs/>
          <w:color w:val="auto"/>
          <w:sz w:val="30"/>
          <w:szCs w:val="30"/>
        </w:rPr>
      </w:pPr>
    </w:p>
    <w:p w14:paraId="535EA45D">
      <w:pPr>
        <w:spacing w:line="360" w:lineRule="auto"/>
        <w:ind w:right="-110"/>
        <w:jc w:val="center"/>
        <w:rPr>
          <w:rFonts w:ascii="宋体"/>
          <w:color w:val="auto"/>
          <w:spacing w:val="40"/>
          <w:sz w:val="52"/>
          <w:szCs w:val="52"/>
        </w:rPr>
      </w:pPr>
      <w:r>
        <w:rPr>
          <w:rFonts w:hint="eastAsia" w:ascii="宋体" w:hAnsi="宋体"/>
          <w:color w:val="auto"/>
          <w:spacing w:val="40"/>
          <w:sz w:val="52"/>
          <w:szCs w:val="52"/>
        </w:rPr>
        <w:t>项目名称</w:t>
      </w:r>
    </w:p>
    <w:p w14:paraId="304EF8C0">
      <w:pPr>
        <w:spacing w:before="312" w:beforeLines="100" w:line="360" w:lineRule="auto"/>
        <w:ind w:right="-108" w:firstLine="3080" w:firstLineChars="1100"/>
        <w:rPr>
          <w:rFonts w:ascii="宋体"/>
          <w:color w:val="auto"/>
          <w:sz w:val="28"/>
          <w:szCs w:val="28"/>
        </w:rPr>
      </w:pPr>
      <w:r>
        <w:rPr>
          <w:rFonts w:hint="eastAsia" w:ascii="宋体" w:hAnsi="宋体"/>
          <w:color w:val="auto"/>
          <w:sz w:val="28"/>
          <w:szCs w:val="28"/>
        </w:rPr>
        <w:t>项目编号：</w:t>
      </w:r>
    </w:p>
    <w:p w14:paraId="179C6ECD">
      <w:pPr>
        <w:autoSpaceDE w:val="0"/>
        <w:autoSpaceDN w:val="0"/>
        <w:adjustRightInd w:val="0"/>
        <w:spacing w:line="360" w:lineRule="auto"/>
        <w:jc w:val="center"/>
        <w:rPr>
          <w:rFonts w:ascii="宋体" w:cs="宋体"/>
          <w:color w:val="auto"/>
          <w:sz w:val="84"/>
          <w:szCs w:val="84"/>
          <w:lang w:val="zh-CN"/>
        </w:rPr>
      </w:pPr>
    </w:p>
    <w:p w14:paraId="21414434">
      <w:pPr>
        <w:autoSpaceDE w:val="0"/>
        <w:autoSpaceDN w:val="0"/>
        <w:adjustRightInd w:val="0"/>
        <w:spacing w:line="360" w:lineRule="auto"/>
        <w:jc w:val="center"/>
        <w:rPr>
          <w:rFonts w:ascii="宋体" w:cs="宋体"/>
          <w:color w:val="auto"/>
          <w:sz w:val="84"/>
          <w:szCs w:val="84"/>
          <w:lang w:val="zh-CN"/>
        </w:rPr>
      </w:pPr>
      <w:r>
        <w:rPr>
          <w:rFonts w:hint="eastAsia" w:ascii="宋体" w:hAnsi="宋体" w:cs="宋体"/>
          <w:color w:val="auto"/>
          <w:sz w:val="84"/>
          <w:szCs w:val="84"/>
          <w:lang w:val="zh-CN"/>
        </w:rPr>
        <w:t>投</w:t>
      </w:r>
    </w:p>
    <w:p w14:paraId="3D78F622">
      <w:pPr>
        <w:autoSpaceDE w:val="0"/>
        <w:autoSpaceDN w:val="0"/>
        <w:adjustRightInd w:val="0"/>
        <w:spacing w:line="360" w:lineRule="auto"/>
        <w:jc w:val="center"/>
        <w:rPr>
          <w:rFonts w:ascii="宋体" w:cs="宋体"/>
          <w:color w:val="auto"/>
          <w:sz w:val="84"/>
          <w:szCs w:val="84"/>
          <w:lang w:val="zh-CN"/>
        </w:rPr>
      </w:pPr>
      <w:r>
        <w:rPr>
          <w:rFonts w:hint="eastAsia" w:ascii="宋体" w:hAnsi="宋体" w:cs="宋体"/>
          <w:color w:val="auto"/>
          <w:sz w:val="84"/>
          <w:szCs w:val="84"/>
          <w:lang w:val="zh-CN"/>
        </w:rPr>
        <w:t>标</w:t>
      </w:r>
    </w:p>
    <w:p w14:paraId="7F6DC8FE">
      <w:pPr>
        <w:autoSpaceDE w:val="0"/>
        <w:autoSpaceDN w:val="0"/>
        <w:adjustRightInd w:val="0"/>
        <w:spacing w:line="360" w:lineRule="auto"/>
        <w:jc w:val="center"/>
        <w:rPr>
          <w:rFonts w:ascii="宋体"/>
          <w:color w:val="auto"/>
          <w:sz w:val="84"/>
          <w:szCs w:val="84"/>
        </w:rPr>
      </w:pPr>
      <w:r>
        <w:rPr>
          <w:rFonts w:hint="eastAsia" w:ascii="宋体" w:hAnsi="宋体" w:cs="宋体"/>
          <w:color w:val="auto"/>
          <w:sz w:val="84"/>
          <w:szCs w:val="84"/>
          <w:lang w:val="zh-CN"/>
        </w:rPr>
        <w:t>文</w:t>
      </w:r>
    </w:p>
    <w:p w14:paraId="67C5C316">
      <w:pPr>
        <w:spacing w:after="100" w:afterAutospacing="1" w:line="360" w:lineRule="auto"/>
        <w:ind w:right="-108"/>
        <w:jc w:val="center"/>
        <w:rPr>
          <w:rFonts w:ascii="宋体" w:cs="宋体"/>
          <w:color w:val="auto"/>
          <w:sz w:val="84"/>
          <w:szCs w:val="84"/>
          <w:lang w:val="zh-CN"/>
        </w:rPr>
      </w:pPr>
      <w:r>
        <w:rPr>
          <w:rFonts w:hint="eastAsia" w:ascii="宋体" w:hAnsi="宋体" w:cs="宋体"/>
          <w:color w:val="auto"/>
          <w:sz w:val="84"/>
          <w:szCs w:val="84"/>
          <w:lang w:val="zh-CN"/>
        </w:rPr>
        <w:t>件</w:t>
      </w:r>
    </w:p>
    <w:p w14:paraId="6A27283B">
      <w:pPr>
        <w:spacing w:after="100" w:afterAutospacing="1" w:line="360" w:lineRule="auto"/>
        <w:ind w:right="-108"/>
        <w:jc w:val="center"/>
        <w:rPr>
          <w:rFonts w:ascii="宋体"/>
          <w:b/>
          <w:color w:val="auto"/>
          <w:spacing w:val="40"/>
          <w:sz w:val="28"/>
          <w:szCs w:val="28"/>
        </w:rPr>
      </w:pPr>
      <w:r>
        <w:rPr>
          <w:rFonts w:hint="eastAsia" w:ascii="宋体" w:hAnsi="宋体" w:cs="宋体"/>
          <w:color w:val="auto"/>
          <w:sz w:val="28"/>
          <w:szCs w:val="28"/>
          <w:lang w:val="zh-CN"/>
        </w:rPr>
        <w:t>（</w:t>
      </w:r>
      <w:r>
        <w:rPr>
          <w:rFonts w:hint="eastAsia" w:ascii="宋体" w:hAnsi="宋体"/>
          <w:bCs/>
          <w:color w:val="auto"/>
          <w:sz w:val="28"/>
          <w:szCs w:val="28"/>
          <w:lang w:val="zh-CN"/>
        </w:rPr>
        <w:t>商务与技术文件</w:t>
      </w:r>
      <w:r>
        <w:rPr>
          <w:rFonts w:hint="eastAsia" w:ascii="宋体" w:hAnsi="宋体"/>
          <w:b/>
          <w:color w:val="auto"/>
          <w:spacing w:val="40"/>
          <w:sz w:val="28"/>
          <w:szCs w:val="28"/>
        </w:rPr>
        <w:t>）</w:t>
      </w:r>
    </w:p>
    <w:p w14:paraId="2041C80B">
      <w:pPr>
        <w:spacing w:line="360" w:lineRule="auto"/>
        <w:ind w:right="532" w:firstLine="560" w:firstLineChars="200"/>
        <w:rPr>
          <w:rFonts w:ascii="宋体"/>
          <w:color w:val="auto"/>
          <w:sz w:val="28"/>
          <w:szCs w:val="28"/>
        </w:rPr>
      </w:pPr>
      <w:r>
        <w:rPr>
          <w:rFonts w:hint="eastAsia" w:ascii="宋体" w:hAnsi="宋体"/>
          <w:color w:val="auto"/>
          <w:sz w:val="28"/>
          <w:szCs w:val="28"/>
        </w:rPr>
        <w:t>投标人全称（公章）：</w:t>
      </w:r>
    </w:p>
    <w:p w14:paraId="6520245E">
      <w:pPr>
        <w:spacing w:line="360" w:lineRule="auto"/>
        <w:ind w:right="532" w:firstLine="560" w:firstLineChars="200"/>
        <w:rPr>
          <w:rFonts w:ascii="宋体"/>
          <w:color w:val="auto"/>
          <w:sz w:val="28"/>
          <w:szCs w:val="28"/>
        </w:rPr>
      </w:pPr>
      <w:r>
        <w:rPr>
          <w:rFonts w:hint="eastAsia" w:ascii="宋体" w:hAnsi="宋体"/>
          <w:color w:val="auto"/>
          <w:sz w:val="28"/>
          <w:szCs w:val="28"/>
        </w:rPr>
        <w:t>地</w:t>
      </w:r>
      <w:r>
        <w:rPr>
          <w:rFonts w:ascii="宋体" w:hAnsi="宋体"/>
          <w:color w:val="auto"/>
          <w:sz w:val="28"/>
          <w:szCs w:val="28"/>
        </w:rPr>
        <w:t xml:space="preserve">    </w:t>
      </w:r>
      <w:r>
        <w:rPr>
          <w:rFonts w:hint="eastAsia" w:ascii="宋体" w:hAnsi="宋体"/>
          <w:color w:val="auto"/>
          <w:sz w:val="28"/>
          <w:szCs w:val="28"/>
        </w:rPr>
        <w:t>址：</w:t>
      </w:r>
    </w:p>
    <w:p w14:paraId="0380AD69">
      <w:pPr>
        <w:spacing w:line="360" w:lineRule="auto"/>
        <w:ind w:right="532" w:firstLine="560" w:firstLineChars="200"/>
        <w:rPr>
          <w:rFonts w:ascii="宋体"/>
          <w:color w:val="auto"/>
          <w:sz w:val="28"/>
          <w:szCs w:val="28"/>
        </w:rPr>
      </w:pPr>
      <w:r>
        <w:rPr>
          <w:rFonts w:hint="eastAsia" w:ascii="宋体" w:hAnsi="宋体"/>
          <w:color w:val="auto"/>
          <w:sz w:val="28"/>
          <w:szCs w:val="28"/>
        </w:rPr>
        <w:t>时</w:t>
      </w:r>
      <w:r>
        <w:rPr>
          <w:rFonts w:ascii="宋体" w:hAnsi="宋体"/>
          <w:color w:val="auto"/>
          <w:sz w:val="28"/>
          <w:szCs w:val="28"/>
        </w:rPr>
        <w:t xml:space="preserve">    </w:t>
      </w:r>
      <w:r>
        <w:rPr>
          <w:rFonts w:hint="eastAsia" w:ascii="宋体" w:hAnsi="宋体"/>
          <w:color w:val="auto"/>
          <w:sz w:val="28"/>
          <w:szCs w:val="28"/>
        </w:rPr>
        <w:t>间：</w:t>
      </w:r>
    </w:p>
    <w:p w14:paraId="5EE131F0">
      <w:pPr>
        <w:spacing w:line="360" w:lineRule="auto"/>
        <w:ind w:right="532" w:firstLine="720" w:firstLineChars="200"/>
        <w:rPr>
          <w:rFonts w:ascii="宋体"/>
          <w:color w:val="auto"/>
          <w:sz w:val="36"/>
          <w:szCs w:val="36"/>
        </w:rPr>
      </w:pPr>
    </w:p>
    <w:p w14:paraId="1763C194">
      <w:pPr>
        <w:snapToGrid w:val="0"/>
        <w:spacing w:before="50" w:after="50" w:line="360" w:lineRule="auto"/>
        <w:rPr>
          <w:rFonts w:ascii="仿宋_GB2312" w:hAnsi="宋体" w:eastAsia="仿宋_GB2312"/>
          <w:b/>
          <w:color w:val="auto"/>
          <w:sz w:val="36"/>
          <w:szCs w:val="36"/>
        </w:rPr>
      </w:pPr>
    </w:p>
    <w:p w14:paraId="797E059A">
      <w:pPr>
        <w:snapToGrid w:val="0"/>
        <w:spacing w:before="50" w:after="50" w:line="360" w:lineRule="auto"/>
        <w:jc w:val="center"/>
        <w:rPr>
          <w:rFonts w:ascii="宋体"/>
          <w:b/>
          <w:bCs/>
          <w:color w:val="auto"/>
          <w:sz w:val="30"/>
          <w:szCs w:val="30"/>
        </w:rPr>
      </w:pPr>
      <w:r>
        <w:rPr>
          <w:rFonts w:hint="eastAsia" w:ascii="宋体" w:hAnsi="宋体"/>
          <w:b/>
          <w:bCs/>
          <w:color w:val="auto"/>
          <w:sz w:val="30"/>
          <w:szCs w:val="30"/>
          <w:lang w:val="zh-CN"/>
        </w:rPr>
        <w:t>商务与技术文件</w:t>
      </w:r>
      <w:r>
        <w:rPr>
          <w:rFonts w:hint="eastAsia" w:ascii="宋体" w:hAnsi="宋体"/>
          <w:b/>
          <w:bCs/>
          <w:color w:val="auto"/>
          <w:sz w:val="30"/>
          <w:szCs w:val="30"/>
        </w:rPr>
        <w:t>目录</w:t>
      </w:r>
    </w:p>
    <w:p w14:paraId="52EC37F6">
      <w:pPr>
        <w:snapToGrid w:val="0"/>
        <w:spacing w:line="360" w:lineRule="auto"/>
        <w:ind w:firstLine="422" w:firstLineChars="200"/>
        <w:rPr>
          <w:rFonts w:hint="eastAsia" w:ascii="宋体" w:hAnsi="宋体"/>
          <w:b/>
          <w:bCs/>
          <w:color w:val="auto"/>
          <w:szCs w:val="21"/>
        </w:rPr>
      </w:pPr>
    </w:p>
    <w:p w14:paraId="02165E51">
      <w:pPr>
        <w:snapToGrid w:val="0"/>
        <w:spacing w:line="360" w:lineRule="auto"/>
        <w:ind w:firstLine="422" w:firstLineChars="200"/>
        <w:rPr>
          <w:rFonts w:hint="eastAsia" w:ascii="宋体" w:hAnsi="宋体"/>
          <w:b/>
          <w:bCs/>
          <w:color w:val="auto"/>
          <w:szCs w:val="21"/>
        </w:rPr>
      </w:pPr>
    </w:p>
    <w:p w14:paraId="744EA370">
      <w:pPr>
        <w:snapToGrid w:val="0"/>
        <w:spacing w:line="360" w:lineRule="auto"/>
        <w:ind w:firstLine="422" w:firstLineChars="200"/>
        <w:rPr>
          <w:rFonts w:ascii="宋体"/>
          <w:b/>
          <w:bCs/>
          <w:color w:val="auto"/>
          <w:szCs w:val="21"/>
        </w:rPr>
      </w:pPr>
      <w:r>
        <w:rPr>
          <w:rFonts w:hint="eastAsia" w:ascii="宋体" w:hAnsi="宋体"/>
          <w:b/>
          <w:bCs/>
          <w:color w:val="auto"/>
          <w:szCs w:val="21"/>
        </w:rPr>
        <w:t>第一部分</w:t>
      </w:r>
      <w:r>
        <w:rPr>
          <w:rFonts w:ascii="宋体" w:hAnsi="宋体"/>
          <w:b/>
          <w:bCs/>
          <w:color w:val="auto"/>
          <w:szCs w:val="21"/>
        </w:rPr>
        <w:t xml:space="preserve">  </w:t>
      </w:r>
      <w:r>
        <w:rPr>
          <w:rFonts w:hint="eastAsia" w:ascii="宋体" w:hAnsi="宋体"/>
          <w:b/>
          <w:bCs/>
          <w:color w:val="auto"/>
          <w:szCs w:val="21"/>
        </w:rPr>
        <w:t>技术方案描述部分</w:t>
      </w:r>
    </w:p>
    <w:p w14:paraId="06DF77B6">
      <w:pPr>
        <w:snapToGrid w:val="0"/>
        <w:spacing w:line="360" w:lineRule="auto"/>
        <w:ind w:firstLine="840" w:firstLineChars="400"/>
        <w:rPr>
          <w:rFonts w:ascii="宋体"/>
          <w:color w:val="auto"/>
          <w:szCs w:val="21"/>
        </w:rPr>
      </w:pPr>
      <w:r>
        <w:rPr>
          <w:rFonts w:ascii="宋体" w:hAnsi="宋体"/>
          <w:color w:val="auto"/>
          <w:szCs w:val="21"/>
        </w:rPr>
        <w:t>1</w:t>
      </w:r>
      <w:r>
        <w:rPr>
          <w:rFonts w:hint="eastAsia" w:ascii="宋体" w:hAnsi="宋体"/>
          <w:color w:val="auto"/>
          <w:szCs w:val="21"/>
        </w:rPr>
        <w:t>.</w:t>
      </w:r>
      <w:r>
        <w:rPr>
          <w:rFonts w:hint="eastAsia" w:ascii="宋体" w:hAnsi="宋体" w:cs="宋体"/>
          <w:color w:val="auto"/>
          <w:szCs w:val="21"/>
        </w:rPr>
        <w:t>投标人情况介绍</w:t>
      </w:r>
      <w:r>
        <w:rPr>
          <w:rFonts w:hint="eastAsia" w:ascii="宋体" w:hAnsi="宋体"/>
          <w:color w:val="auto"/>
          <w:szCs w:val="21"/>
        </w:rPr>
        <w:t>（附件</w:t>
      </w:r>
      <w:r>
        <w:rPr>
          <w:rFonts w:hint="eastAsia" w:ascii="宋体" w:hAnsi="宋体"/>
          <w:color w:val="auto"/>
          <w:szCs w:val="21"/>
          <w:lang w:val="en-US" w:eastAsia="zh-CN"/>
        </w:rPr>
        <w:t>7</w:t>
      </w:r>
      <w:r>
        <w:rPr>
          <w:rFonts w:hint="eastAsia" w:ascii="宋体" w:hAnsi="宋体"/>
          <w:color w:val="auto"/>
          <w:szCs w:val="21"/>
        </w:rPr>
        <w:t>）；</w:t>
      </w:r>
    </w:p>
    <w:p w14:paraId="2F9531E9">
      <w:pPr>
        <w:snapToGrid w:val="0"/>
        <w:spacing w:line="360" w:lineRule="auto"/>
        <w:ind w:firstLine="840" w:firstLineChars="400"/>
        <w:rPr>
          <w:rFonts w:ascii="宋体"/>
          <w:color w:val="auto"/>
          <w:szCs w:val="21"/>
        </w:rPr>
      </w:pPr>
      <w:r>
        <w:rPr>
          <w:rFonts w:ascii="宋体" w:hAnsi="宋体"/>
          <w:color w:val="auto"/>
          <w:szCs w:val="21"/>
        </w:rPr>
        <w:t>2</w:t>
      </w:r>
      <w:r>
        <w:rPr>
          <w:rFonts w:hint="eastAsia" w:ascii="宋体" w:hAnsi="宋体"/>
          <w:color w:val="auto"/>
          <w:szCs w:val="21"/>
        </w:rPr>
        <w:t>.</w:t>
      </w:r>
      <w:r>
        <w:rPr>
          <w:rFonts w:hint="eastAsia" w:ascii="宋体" w:hAnsi="宋体" w:cs="宋体"/>
          <w:color w:val="auto"/>
          <w:szCs w:val="21"/>
        </w:rPr>
        <w:t>项目需求的理解与分析</w:t>
      </w:r>
      <w:r>
        <w:rPr>
          <w:rFonts w:hint="eastAsia" w:ascii="宋体" w:hAnsi="宋体"/>
          <w:color w:val="auto"/>
          <w:szCs w:val="21"/>
        </w:rPr>
        <w:t>；</w:t>
      </w:r>
    </w:p>
    <w:p w14:paraId="5E6396D3">
      <w:pPr>
        <w:snapToGrid w:val="0"/>
        <w:spacing w:line="360" w:lineRule="auto"/>
        <w:ind w:firstLine="840" w:firstLineChars="400"/>
        <w:rPr>
          <w:rFonts w:ascii="宋体"/>
          <w:color w:val="auto"/>
          <w:szCs w:val="21"/>
        </w:rPr>
      </w:pPr>
      <w:r>
        <w:rPr>
          <w:rFonts w:ascii="宋体" w:hAnsi="宋体"/>
          <w:color w:val="auto"/>
          <w:szCs w:val="21"/>
        </w:rPr>
        <w:t>3</w:t>
      </w:r>
      <w:r>
        <w:rPr>
          <w:rFonts w:hint="eastAsia" w:ascii="宋体" w:hAnsi="宋体"/>
          <w:color w:val="auto"/>
          <w:szCs w:val="21"/>
        </w:rPr>
        <w:t>.</w:t>
      </w:r>
      <w:r>
        <w:rPr>
          <w:rFonts w:hint="eastAsia" w:ascii="宋体" w:hAnsi="宋体" w:cs="宋体"/>
          <w:color w:val="auto"/>
          <w:szCs w:val="21"/>
        </w:rPr>
        <w:t>项目组织实施方案</w:t>
      </w:r>
      <w:r>
        <w:rPr>
          <w:rFonts w:ascii="宋体" w:hAnsi="宋体" w:cs="宋体"/>
          <w:color w:val="auto"/>
          <w:szCs w:val="21"/>
        </w:rPr>
        <w:t>(</w:t>
      </w:r>
      <w:r>
        <w:rPr>
          <w:rFonts w:hint="eastAsia" w:ascii="宋体" w:hAnsi="宋体" w:cs="宋体"/>
          <w:color w:val="auto"/>
          <w:szCs w:val="21"/>
        </w:rPr>
        <w:t>可视情选用附件</w:t>
      </w:r>
      <w:r>
        <w:rPr>
          <w:rFonts w:hint="eastAsia" w:ascii="宋体" w:hAnsi="宋体" w:cs="宋体"/>
          <w:color w:val="auto"/>
          <w:szCs w:val="21"/>
          <w:lang w:val="en-US" w:eastAsia="zh-CN"/>
        </w:rPr>
        <w:t>8</w:t>
      </w:r>
      <w:r>
        <w:rPr>
          <w:rFonts w:hint="eastAsia" w:ascii="宋体" w:hAnsi="宋体" w:cs="宋体"/>
          <w:color w:val="auto"/>
          <w:szCs w:val="21"/>
        </w:rPr>
        <w:t>、附件</w:t>
      </w:r>
      <w:r>
        <w:rPr>
          <w:rFonts w:hint="eastAsia" w:ascii="宋体" w:hAnsi="宋体" w:cs="宋体"/>
          <w:color w:val="auto"/>
          <w:szCs w:val="21"/>
          <w:lang w:val="en-US" w:eastAsia="zh-CN"/>
        </w:rPr>
        <w:t>9</w:t>
      </w:r>
      <w:r>
        <w:rPr>
          <w:rFonts w:ascii="宋体" w:hAnsi="宋体" w:cs="宋体"/>
          <w:color w:val="auto"/>
          <w:szCs w:val="21"/>
        </w:rPr>
        <w:t>)</w:t>
      </w:r>
      <w:r>
        <w:rPr>
          <w:rFonts w:hint="eastAsia" w:ascii="宋体" w:hAnsi="宋体"/>
          <w:color w:val="auto"/>
          <w:szCs w:val="21"/>
        </w:rPr>
        <w:t>；</w:t>
      </w:r>
      <w:r>
        <w:rPr>
          <w:rFonts w:ascii="宋体" w:hAnsi="宋体"/>
          <w:color w:val="auto"/>
          <w:szCs w:val="21"/>
        </w:rPr>
        <w:t xml:space="preserve"> </w:t>
      </w:r>
    </w:p>
    <w:p w14:paraId="08E4695C">
      <w:pPr>
        <w:snapToGrid w:val="0"/>
        <w:spacing w:line="360" w:lineRule="auto"/>
        <w:ind w:firstLine="840" w:firstLineChars="400"/>
        <w:rPr>
          <w:rFonts w:hint="eastAsia" w:ascii="宋体"/>
          <w:color w:val="auto"/>
          <w:szCs w:val="21"/>
        </w:rPr>
      </w:pPr>
      <w:r>
        <w:rPr>
          <w:rFonts w:ascii="宋体" w:hAnsi="宋体"/>
          <w:color w:val="auto"/>
          <w:szCs w:val="21"/>
        </w:rPr>
        <w:t>4</w:t>
      </w:r>
      <w:r>
        <w:rPr>
          <w:rFonts w:hint="eastAsia" w:ascii="宋体" w:hAnsi="宋体"/>
          <w:color w:val="auto"/>
          <w:szCs w:val="21"/>
        </w:rPr>
        <w:t>.</w:t>
      </w:r>
      <w:r>
        <w:rPr>
          <w:rFonts w:hint="eastAsia" w:ascii="宋体" w:hAnsi="宋体"/>
          <w:color w:val="auto"/>
          <w:kern w:val="0"/>
          <w:szCs w:val="21"/>
        </w:rPr>
        <w:t>安装、调试及验收方案</w:t>
      </w:r>
      <w:r>
        <w:rPr>
          <w:rFonts w:hint="eastAsia" w:ascii="宋体" w:hAnsi="宋体"/>
          <w:color w:val="auto"/>
          <w:szCs w:val="21"/>
        </w:rPr>
        <w:t>。</w:t>
      </w:r>
    </w:p>
    <w:p w14:paraId="2519CDD8">
      <w:pPr>
        <w:snapToGrid w:val="0"/>
        <w:spacing w:line="360" w:lineRule="auto"/>
        <w:ind w:firstLine="422" w:firstLineChars="200"/>
        <w:jc w:val="left"/>
        <w:rPr>
          <w:rFonts w:ascii="宋体"/>
          <w:b/>
          <w:bCs/>
          <w:color w:val="auto"/>
          <w:szCs w:val="21"/>
        </w:rPr>
      </w:pPr>
      <w:r>
        <w:rPr>
          <w:rFonts w:hint="eastAsia" w:ascii="宋体" w:hAnsi="宋体"/>
          <w:b/>
          <w:bCs/>
          <w:color w:val="auto"/>
          <w:szCs w:val="21"/>
        </w:rPr>
        <w:t>第二部分</w:t>
      </w:r>
      <w:r>
        <w:rPr>
          <w:rFonts w:ascii="宋体" w:hAnsi="宋体"/>
          <w:b/>
          <w:bCs/>
          <w:color w:val="auto"/>
          <w:szCs w:val="21"/>
        </w:rPr>
        <w:t xml:space="preserve">  </w:t>
      </w:r>
      <w:r>
        <w:rPr>
          <w:rFonts w:hint="eastAsia" w:ascii="宋体" w:hAnsi="宋体"/>
          <w:b/>
          <w:bCs/>
          <w:color w:val="auto"/>
          <w:szCs w:val="21"/>
        </w:rPr>
        <w:t>投标产品描述部分</w:t>
      </w:r>
    </w:p>
    <w:p w14:paraId="0F44350E">
      <w:pPr>
        <w:snapToGrid w:val="0"/>
        <w:spacing w:line="360" w:lineRule="auto"/>
        <w:ind w:firstLine="840" w:firstLineChars="400"/>
        <w:rPr>
          <w:rFonts w:ascii="宋体"/>
          <w:color w:val="auto"/>
          <w:kern w:val="0"/>
          <w:szCs w:val="21"/>
        </w:rPr>
      </w:pPr>
      <w:r>
        <w:rPr>
          <w:rFonts w:ascii="宋体" w:hAnsi="宋体"/>
          <w:color w:val="auto"/>
          <w:szCs w:val="21"/>
        </w:rPr>
        <w:t>1</w:t>
      </w:r>
      <w:r>
        <w:rPr>
          <w:rFonts w:hint="eastAsia" w:ascii="宋体" w:hAnsi="宋体"/>
          <w:color w:val="auto"/>
          <w:szCs w:val="21"/>
        </w:rPr>
        <w:t>.</w:t>
      </w:r>
      <w:r>
        <w:rPr>
          <w:rFonts w:hint="eastAsia" w:ascii="宋体" w:hAnsi="宋体"/>
          <w:color w:val="auto"/>
          <w:kern w:val="0"/>
          <w:szCs w:val="21"/>
        </w:rPr>
        <w:t>投标产品描述及相关资料（</w:t>
      </w:r>
      <w:r>
        <w:rPr>
          <w:rFonts w:hint="eastAsia" w:ascii="宋体" w:hAnsi="宋体" w:cs="宋体"/>
          <w:color w:val="auto"/>
          <w:szCs w:val="21"/>
        </w:rPr>
        <w:t>可视情选用附件</w:t>
      </w:r>
      <w:r>
        <w:rPr>
          <w:rFonts w:hint="eastAsia" w:ascii="宋体" w:hAnsi="宋体" w:cs="宋体"/>
          <w:color w:val="auto"/>
          <w:szCs w:val="21"/>
          <w:lang w:val="en-US" w:eastAsia="zh-CN"/>
        </w:rPr>
        <w:t>10</w:t>
      </w:r>
      <w:r>
        <w:rPr>
          <w:rFonts w:hint="eastAsia" w:ascii="宋体" w:hAnsi="宋体" w:cs="宋体"/>
          <w:color w:val="auto"/>
          <w:szCs w:val="21"/>
        </w:rPr>
        <w:t>、附件</w:t>
      </w:r>
      <w:r>
        <w:rPr>
          <w:rFonts w:hint="eastAsia" w:ascii="宋体" w:hAnsi="宋体" w:cs="宋体"/>
          <w:color w:val="auto"/>
          <w:szCs w:val="21"/>
          <w:lang w:val="en-US" w:eastAsia="zh-CN"/>
        </w:rPr>
        <w:t>11</w:t>
      </w:r>
      <w:r>
        <w:rPr>
          <w:rFonts w:hint="eastAsia" w:ascii="宋体" w:hAnsi="宋体"/>
          <w:color w:val="auto"/>
          <w:kern w:val="0"/>
          <w:szCs w:val="21"/>
        </w:rPr>
        <w:t>）；</w:t>
      </w:r>
    </w:p>
    <w:p w14:paraId="750281EF">
      <w:pPr>
        <w:snapToGrid w:val="0"/>
        <w:spacing w:line="360" w:lineRule="auto"/>
        <w:ind w:firstLine="840" w:firstLineChars="400"/>
        <w:rPr>
          <w:rFonts w:hint="eastAsia" w:ascii="宋体"/>
          <w:color w:val="auto"/>
          <w:kern w:val="0"/>
          <w:szCs w:val="21"/>
        </w:rPr>
      </w:pPr>
      <w:r>
        <w:rPr>
          <w:rFonts w:ascii="宋体" w:hAnsi="宋体"/>
          <w:color w:val="auto"/>
          <w:kern w:val="0"/>
          <w:szCs w:val="21"/>
        </w:rPr>
        <w:t>2</w:t>
      </w:r>
      <w:r>
        <w:rPr>
          <w:rFonts w:hint="eastAsia" w:ascii="宋体" w:hAnsi="宋体"/>
          <w:color w:val="auto"/>
          <w:kern w:val="0"/>
          <w:szCs w:val="21"/>
        </w:rPr>
        <w:t>.</w:t>
      </w:r>
      <w:r>
        <w:rPr>
          <w:rFonts w:hint="eastAsia" w:ascii="宋体" w:hAnsi="宋体"/>
          <w:color w:val="auto"/>
          <w:szCs w:val="21"/>
        </w:rPr>
        <w:t>投标人需要说明的其他内容；（</w:t>
      </w:r>
      <w:r>
        <w:rPr>
          <w:rFonts w:hint="eastAsia" w:ascii="宋体" w:hAnsi="宋体" w:cs="宋体"/>
          <w:color w:val="auto"/>
          <w:szCs w:val="21"/>
        </w:rPr>
        <w:t>包括可能影响投标人技术性能评分项的各类证明材料）。</w:t>
      </w:r>
    </w:p>
    <w:p w14:paraId="5EA4226B">
      <w:pPr>
        <w:snapToGrid w:val="0"/>
        <w:spacing w:line="360" w:lineRule="auto"/>
        <w:ind w:firstLine="413" w:firstLineChars="196"/>
        <w:rPr>
          <w:rFonts w:ascii="宋体"/>
          <w:b/>
          <w:bCs/>
          <w:color w:val="auto"/>
          <w:kern w:val="0"/>
          <w:szCs w:val="21"/>
        </w:rPr>
      </w:pPr>
      <w:r>
        <w:rPr>
          <w:rFonts w:hint="eastAsia" w:ascii="宋体" w:hAnsi="宋体"/>
          <w:b/>
          <w:bCs/>
          <w:color w:val="auto"/>
          <w:kern w:val="0"/>
          <w:szCs w:val="21"/>
        </w:rPr>
        <w:t>第三部分</w:t>
      </w:r>
      <w:r>
        <w:rPr>
          <w:rFonts w:ascii="宋体" w:hAnsi="宋体"/>
          <w:b/>
          <w:bCs/>
          <w:color w:val="auto"/>
          <w:kern w:val="0"/>
          <w:szCs w:val="21"/>
        </w:rPr>
        <w:t xml:space="preserve">  </w:t>
      </w:r>
      <w:r>
        <w:rPr>
          <w:rFonts w:hint="eastAsia" w:ascii="宋体" w:hAnsi="宋体"/>
          <w:b/>
          <w:bCs/>
          <w:color w:val="auto"/>
          <w:kern w:val="0"/>
          <w:szCs w:val="21"/>
        </w:rPr>
        <w:t>商务响应部分</w:t>
      </w:r>
    </w:p>
    <w:p w14:paraId="2D4F5EDD">
      <w:pPr>
        <w:snapToGrid w:val="0"/>
        <w:spacing w:line="360" w:lineRule="auto"/>
        <w:ind w:firstLine="831" w:firstLineChars="396"/>
        <w:rPr>
          <w:rFonts w:ascii="宋体"/>
          <w:color w:val="auto"/>
          <w:kern w:val="0"/>
          <w:szCs w:val="21"/>
        </w:rPr>
      </w:pPr>
      <w:r>
        <w:rPr>
          <w:rFonts w:ascii="宋体" w:hAnsi="宋体"/>
          <w:color w:val="auto"/>
          <w:kern w:val="0"/>
          <w:szCs w:val="21"/>
        </w:rPr>
        <w:t>1</w:t>
      </w:r>
      <w:r>
        <w:rPr>
          <w:rFonts w:hint="eastAsia" w:ascii="宋体" w:hAnsi="宋体"/>
          <w:color w:val="auto"/>
          <w:kern w:val="0"/>
          <w:szCs w:val="21"/>
        </w:rPr>
        <w:t>.证书一览表（附件</w:t>
      </w:r>
      <w:r>
        <w:rPr>
          <w:rFonts w:ascii="宋体" w:hAnsi="宋体"/>
          <w:color w:val="auto"/>
          <w:kern w:val="0"/>
          <w:szCs w:val="21"/>
        </w:rPr>
        <w:t>1</w:t>
      </w:r>
      <w:r>
        <w:rPr>
          <w:rFonts w:hint="eastAsia" w:ascii="宋体" w:hAnsi="宋体"/>
          <w:color w:val="auto"/>
          <w:kern w:val="0"/>
          <w:szCs w:val="21"/>
          <w:lang w:val="en-US" w:eastAsia="zh-CN"/>
        </w:rPr>
        <w:t>2</w:t>
      </w:r>
      <w:r>
        <w:rPr>
          <w:rFonts w:hint="eastAsia" w:ascii="宋体" w:hAnsi="宋体"/>
          <w:color w:val="auto"/>
          <w:kern w:val="0"/>
          <w:szCs w:val="21"/>
        </w:rPr>
        <w:t>）；</w:t>
      </w:r>
    </w:p>
    <w:p w14:paraId="339CD068">
      <w:pPr>
        <w:snapToGrid w:val="0"/>
        <w:spacing w:line="360" w:lineRule="auto"/>
        <w:ind w:firstLine="831" w:firstLineChars="396"/>
        <w:rPr>
          <w:rFonts w:hint="eastAsia" w:ascii="宋体"/>
          <w:color w:val="auto"/>
          <w:kern w:val="0"/>
          <w:szCs w:val="21"/>
        </w:rPr>
      </w:pPr>
      <w:r>
        <w:rPr>
          <w:rFonts w:ascii="宋体" w:hAnsi="宋体"/>
          <w:color w:val="auto"/>
          <w:kern w:val="0"/>
          <w:szCs w:val="21"/>
        </w:rPr>
        <w:t>2</w:t>
      </w:r>
      <w:r>
        <w:rPr>
          <w:rFonts w:hint="eastAsia" w:ascii="宋体" w:hAnsi="宋体"/>
          <w:color w:val="auto"/>
          <w:kern w:val="0"/>
          <w:szCs w:val="21"/>
        </w:rPr>
        <w:t>.近三年来类似项目的成功案例（附件</w:t>
      </w:r>
      <w:r>
        <w:rPr>
          <w:rFonts w:ascii="宋体" w:hAnsi="宋体"/>
          <w:color w:val="auto"/>
          <w:kern w:val="0"/>
          <w:szCs w:val="21"/>
        </w:rPr>
        <w:t>1</w:t>
      </w:r>
      <w:r>
        <w:rPr>
          <w:rFonts w:hint="eastAsia" w:ascii="宋体" w:hAnsi="宋体"/>
          <w:color w:val="auto"/>
          <w:kern w:val="0"/>
          <w:szCs w:val="21"/>
          <w:lang w:val="en-US" w:eastAsia="zh-CN"/>
        </w:rPr>
        <w:t>3</w:t>
      </w:r>
      <w:r>
        <w:rPr>
          <w:rFonts w:hint="eastAsia" w:ascii="宋体" w:hAnsi="宋体"/>
          <w:color w:val="auto"/>
          <w:kern w:val="0"/>
          <w:szCs w:val="21"/>
        </w:rPr>
        <w:t>）；</w:t>
      </w:r>
    </w:p>
    <w:p w14:paraId="66701A01">
      <w:pPr>
        <w:snapToGrid w:val="0"/>
        <w:spacing w:line="360" w:lineRule="auto"/>
        <w:ind w:firstLine="831" w:firstLineChars="396"/>
        <w:rPr>
          <w:rFonts w:ascii="宋体"/>
          <w:color w:val="auto"/>
          <w:kern w:val="0"/>
          <w:szCs w:val="21"/>
        </w:rPr>
      </w:pPr>
      <w:r>
        <w:rPr>
          <w:rFonts w:ascii="宋体" w:hAnsi="宋体"/>
          <w:color w:val="auto"/>
          <w:kern w:val="0"/>
          <w:szCs w:val="21"/>
        </w:rPr>
        <w:t>3</w:t>
      </w:r>
      <w:r>
        <w:rPr>
          <w:rFonts w:hint="eastAsia" w:ascii="宋体" w:hAnsi="宋体"/>
          <w:color w:val="auto"/>
          <w:kern w:val="0"/>
          <w:szCs w:val="21"/>
        </w:rPr>
        <w:t>.售后服务描述及承诺（可视情选用附件</w:t>
      </w:r>
      <w:r>
        <w:rPr>
          <w:rFonts w:ascii="宋体" w:hAnsi="宋体"/>
          <w:color w:val="auto"/>
          <w:kern w:val="0"/>
          <w:szCs w:val="21"/>
        </w:rPr>
        <w:t>1</w:t>
      </w:r>
      <w:r>
        <w:rPr>
          <w:rFonts w:hint="eastAsia" w:ascii="宋体" w:hAnsi="宋体"/>
          <w:color w:val="auto"/>
          <w:kern w:val="0"/>
          <w:szCs w:val="21"/>
          <w:lang w:val="en-US" w:eastAsia="zh-CN"/>
        </w:rPr>
        <w:t>4</w:t>
      </w:r>
      <w:r>
        <w:rPr>
          <w:rFonts w:hint="eastAsia" w:ascii="宋体" w:hAnsi="宋体"/>
          <w:color w:val="auto"/>
          <w:kern w:val="0"/>
          <w:szCs w:val="21"/>
        </w:rPr>
        <w:t>，附件</w:t>
      </w:r>
      <w:r>
        <w:rPr>
          <w:rFonts w:ascii="宋体" w:hAnsi="宋体"/>
          <w:color w:val="auto"/>
          <w:kern w:val="0"/>
          <w:szCs w:val="21"/>
        </w:rPr>
        <w:t>1</w:t>
      </w:r>
      <w:r>
        <w:rPr>
          <w:rFonts w:hint="eastAsia" w:ascii="宋体" w:hAnsi="宋体"/>
          <w:color w:val="auto"/>
          <w:kern w:val="0"/>
          <w:szCs w:val="21"/>
          <w:lang w:val="en-US" w:eastAsia="zh-CN"/>
        </w:rPr>
        <w:t>5</w:t>
      </w:r>
      <w:r>
        <w:rPr>
          <w:rFonts w:hint="eastAsia" w:ascii="宋体" w:hAnsi="宋体"/>
          <w:color w:val="auto"/>
          <w:kern w:val="0"/>
          <w:szCs w:val="21"/>
        </w:rPr>
        <w:t>）；</w:t>
      </w:r>
    </w:p>
    <w:p w14:paraId="4A639137">
      <w:pPr>
        <w:snapToGrid w:val="0"/>
        <w:spacing w:line="360" w:lineRule="auto"/>
        <w:ind w:firstLine="840" w:firstLineChars="400"/>
        <w:rPr>
          <w:rFonts w:hint="eastAsia" w:ascii="宋体"/>
          <w:color w:val="auto"/>
          <w:kern w:val="0"/>
          <w:szCs w:val="21"/>
        </w:rPr>
      </w:pPr>
      <w:r>
        <w:rPr>
          <w:rFonts w:ascii="宋体" w:hAnsi="宋体"/>
          <w:color w:val="auto"/>
          <w:kern w:val="0"/>
          <w:szCs w:val="21"/>
        </w:rPr>
        <w:t>4</w:t>
      </w:r>
      <w:r>
        <w:rPr>
          <w:rFonts w:hint="eastAsia" w:ascii="宋体" w:hAnsi="宋体"/>
          <w:color w:val="auto"/>
          <w:kern w:val="0"/>
          <w:szCs w:val="21"/>
        </w:rPr>
        <w:t>.投标人需要说明的其他内容。（包括可能影响投标人企业实力及信誉评分项以及售后服务评分项的各类证明材料）。</w:t>
      </w:r>
    </w:p>
    <w:p w14:paraId="67F3FA5F">
      <w:pPr>
        <w:snapToGrid w:val="0"/>
        <w:spacing w:line="360" w:lineRule="auto"/>
        <w:ind w:firstLine="422" w:firstLineChars="200"/>
        <w:jc w:val="left"/>
        <w:rPr>
          <w:rFonts w:ascii="宋体" w:cs="宋体"/>
          <w:b/>
          <w:bCs/>
          <w:color w:val="auto"/>
          <w:szCs w:val="21"/>
        </w:rPr>
      </w:pPr>
      <w:r>
        <w:rPr>
          <w:rFonts w:hint="eastAsia" w:ascii="宋体" w:hAnsi="宋体" w:cs="宋体"/>
          <w:b/>
          <w:bCs/>
          <w:color w:val="auto"/>
          <w:szCs w:val="21"/>
        </w:rPr>
        <w:t>第四部分</w:t>
      </w:r>
      <w:r>
        <w:rPr>
          <w:rFonts w:ascii="宋体" w:hAnsi="宋体" w:cs="宋体"/>
          <w:b/>
          <w:bCs/>
          <w:color w:val="auto"/>
          <w:szCs w:val="21"/>
        </w:rPr>
        <w:t xml:space="preserve">  </w:t>
      </w:r>
      <w:r>
        <w:rPr>
          <w:rFonts w:hint="eastAsia" w:ascii="宋体" w:hAnsi="宋体" w:cs="宋体"/>
          <w:b/>
          <w:bCs/>
          <w:color w:val="auto"/>
          <w:szCs w:val="21"/>
        </w:rPr>
        <w:t>其他参考表格（此部分视情况选用）</w:t>
      </w:r>
    </w:p>
    <w:p w14:paraId="3CEEFCDE">
      <w:pPr>
        <w:snapToGrid w:val="0"/>
        <w:spacing w:line="360" w:lineRule="auto"/>
        <w:ind w:firstLine="840" w:firstLineChars="400"/>
        <w:jc w:val="left"/>
        <w:rPr>
          <w:rFonts w:hint="eastAsia" w:ascii="宋体" w:cs="宋体"/>
          <w:color w:val="auto"/>
          <w:szCs w:val="21"/>
        </w:rPr>
      </w:pPr>
      <w:r>
        <w:rPr>
          <w:rFonts w:ascii="宋体" w:hAnsi="宋体" w:cs="宋体"/>
          <w:color w:val="auto"/>
          <w:szCs w:val="21"/>
        </w:rPr>
        <w:t>1</w:t>
      </w:r>
      <w:r>
        <w:rPr>
          <w:rFonts w:hint="eastAsia" w:ascii="宋体" w:hAnsi="宋体" w:cs="宋体"/>
          <w:color w:val="auto"/>
          <w:szCs w:val="21"/>
        </w:rPr>
        <w:t>.主要货物用材响应表</w:t>
      </w:r>
      <w:r>
        <w:rPr>
          <w:rFonts w:ascii="宋体" w:hAnsi="宋体" w:cs="宋体"/>
          <w:color w:val="auto"/>
          <w:szCs w:val="21"/>
        </w:rPr>
        <w:t>(</w:t>
      </w:r>
      <w:r>
        <w:rPr>
          <w:rFonts w:hint="eastAsia" w:ascii="宋体" w:hAnsi="宋体" w:cs="宋体"/>
          <w:color w:val="auto"/>
          <w:szCs w:val="21"/>
        </w:rPr>
        <w:t>类似家具类货物采用，附件</w:t>
      </w:r>
      <w:r>
        <w:rPr>
          <w:rFonts w:ascii="宋体" w:hAnsi="宋体" w:cs="宋体"/>
          <w:color w:val="auto"/>
          <w:szCs w:val="21"/>
        </w:rPr>
        <w:t>1</w:t>
      </w:r>
      <w:r>
        <w:rPr>
          <w:rFonts w:hint="eastAsia" w:ascii="宋体" w:hAnsi="宋体" w:cs="宋体"/>
          <w:color w:val="auto"/>
          <w:szCs w:val="21"/>
          <w:lang w:val="en-US" w:eastAsia="zh-CN"/>
        </w:rPr>
        <w:t>6</w:t>
      </w:r>
      <w:r>
        <w:rPr>
          <w:rFonts w:ascii="宋体" w:hAnsi="宋体" w:cs="宋体"/>
          <w:color w:val="auto"/>
          <w:szCs w:val="21"/>
        </w:rPr>
        <w:t>)</w:t>
      </w:r>
      <w:r>
        <w:rPr>
          <w:rFonts w:hint="eastAsia" w:ascii="宋体" w:hAnsi="宋体" w:cs="宋体"/>
          <w:color w:val="auto"/>
          <w:szCs w:val="21"/>
        </w:rPr>
        <w:t>；</w:t>
      </w:r>
    </w:p>
    <w:p w14:paraId="4385F646">
      <w:pPr>
        <w:snapToGrid w:val="0"/>
        <w:spacing w:line="360" w:lineRule="auto"/>
        <w:ind w:left="764" w:leftChars="260" w:hanging="218" w:hangingChars="104"/>
        <w:rPr>
          <w:rFonts w:hint="eastAsia" w:ascii="宋体"/>
          <w:color w:val="auto"/>
          <w:kern w:val="0"/>
          <w:szCs w:val="21"/>
        </w:rPr>
      </w:pPr>
      <w:r>
        <w:rPr>
          <w:rFonts w:hint="eastAsia" w:ascii="宋体" w:hAnsi="宋体"/>
          <w:color w:val="auto"/>
          <w:kern w:val="0"/>
          <w:szCs w:val="21"/>
        </w:rPr>
        <w:t>（以上内容具体描述详见“第三部分投标人须知”中“三、投标文件”的组成说明）。</w:t>
      </w:r>
    </w:p>
    <w:p w14:paraId="51CEC771">
      <w:pPr>
        <w:snapToGrid w:val="0"/>
        <w:spacing w:line="360" w:lineRule="auto"/>
        <w:ind w:firstLine="420" w:firstLineChars="200"/>
        <w:rPr>
          <w:rFonts w:hint="eastAsia" w:ascii="宋体"/>
          <w:color w:val="auto"/>
          <w:kern w:val="0"/>
          <w:szCs w:val="21"/>
        </w:rPr>
      </w:pPr>
    </w:p>
    <w:p w14:paraId="140460F3">
      <w:pPr>
        <w:pStyle w:val="61"/>
        <w:shd w:val="clear" w:color="auto" w:fill="FFFFFF"/>
        <w:spacing w:before="0" w:beforeAutospacing="0" w:after="0" w:afterAutospacing="0" w:line="360" w:lineRule="auto"/>
        <w:rPr>
          <w:b/>
          <w:color w:val="auto"/>
          <w:sz w:val="28"/>
        </w:rPr>
      </w:pPr>
    </w:p>
    <w:p w14:paraId="67E3DFBF">
      <w:pPr>
        <w:pStyle w:val="61"/>
        <w:shd w:val="clear" w:color="auto" w:fill="FFFFFF"/>
        <w:spacing w:before="0" w:beforeAutospacing="0" w:after="0" w:afterAutospacing="0" w:line="360" w:lineRule="auto"/>
        <w:rPr>
          <w:b/>
          <w:color w:val="auto"/>
          <w:sz w:val="28"/>
        </w:rPr>
      </w:pPr>
    </w:p>
    <w:p w14:paraId="2518EB84">
      <w:pPr>
        <w:pStyle w:val="61"/>
        <w:shd w:val="clear" w:color="auto" w:fill="FFFFFF"/>
        <w:spacing w:before="0" w:beforeAutospacing="0" w:after="0" w:afterAutospacing="0" w:line="360" w:lineRule="auto"/>
        <w:rPr>
          <w:b/>
          <w:color w:val="auto"/>
          <w:sz w:val="28"/>
        </w:rPr>
      </w:pPr>
    </w:p>
    <w:p w14:paraId="35C31BEB">
      <w:pPr>
        <w:pStyle w:val="61"/>
        <w:shd w:val="clear" w:color="auto" w:fill="FFFFFF"/>
        <w:spacing w:before="0" w:beforeAutospacing="0" w:after="0" w:afterAutospacing="0" w:line="360" w:lineRule="auto"/>
        <w:rPr>
          <w:b/>
          <w:color w:val="auto"/>
          <w:sz w:val="28"/>
        </w:rPr>
      </w:pPr>
    </w:p>
    <w:p w14:paraId="386FA3FF">
      <w:pPr>
        <w:pStyle w:val="61"/>
        <w:shd w:val="clear" w:color="auto" w:fill="FFFFFF"/>
        <w:spacing w:before="0" w:beforeAutospacing="0" w:after="0" w:afterAutospacing="0" w:line="360" w:lineRule="auto"/>
        <w:rPr>
          <w:b/>
          <w:color w:val="auto"/>
          <w:sz w:val="28"/>
        </w:rPr>
      </w:pPr>
    </w:p>
    <w:p w14:paraId="36B41824">
      <w:pPr>
        <w:pStyle w:val="61"/>
        <w:shd w:val="clear" w:color="auto" w:fill="FFFFFF"/>
        <w:spacing w:before="0" w:beforeAutospacing="0" w:after="0" w:afterAutospacing="0" w:line="360" w:lineRule="auto"/>
        <w:rPr>
          <w:rFonts w:hint="eastAsia"/>
          <w:b/>
          <w:color w:val="auto"/>
          <w:sz w:val="28"/>
        </w:rPr>
      </w:pPr>
    </w:p>
    <w:p w14:paraId="72E7E3BF">
      <w:pPr>
        <w:pStyle w:val="61"/>
        <w:shd w:val="clear" w:color="auto" w:fill="FFFFFF"/>
        <w:spacing w:before="0" w:beforeAutospacing="0" w:after="0" w:afterAutospacing="0" w:line="360" w:lineRule="auto"/>
        <w:rPr>
          <w:rFonts w:hint="eastAsia"/>
          <w:b/>
          <w:color w:val="auto"/>
          <w:sz w:val="28"/>
        </w:rPr>
      </w:pPr>
    </w:p>
    <w:p w14:paraId="14C18E5E">
      <w:pPr>
        <w:pStyle w:val="61"/>
        <w:shd w:val="clear" w:color="auto" w:fill="FFFFFF"/>
        <w:spacing w:before="0" w:beforeAutospacing="0" w:after="0" w:afterAutospacing="0" w:line="360" w:lineRule="auto"/>
        <w:rPr>
          <w:rFonts w:hint="eastAsia"/>
          <w:b/>
          <w:color w:val="auto"/>
          <w:sz w:val="28"/>
        </w:rPr>
      </w:pPr>
    </w:p>
    <w:p w14:paraId="644F5FF4">
      <w:pPr>
        <w:pStyle w:val="61"/>
        <w:shd w:val="clear" w:color="auto" w:fill="FFFFFF"/>
        <w:spacing w:before="0" w:beforeAutospacing="0" w:after="0" w:afterAutospacing="0" w:line="360" w:lineRule="auto"/>
        <w:rPr>
          <w:rFonts w:hint="eastAsia" w:eastAsia="宋体"/>
          <w:b/>
          <w:color w:val="auto"/>
          <w:sz w:val="21"/>
          <w:szCs w:val="21"/>
          <w:lang w:eastAsia="zh-CN"/>
        </w:rPr>
      </w:pPr>
      <w:r>
        <w:rPr>
          <w:rFonts w:hint="eastAsia"/>
          <w:b/>
          <w:color w:val="auto"/>
          <w:sz w:val="21"/>
          <w:szCs w:val="21"/>
        </w:rPr>
        <w:t>附件</w:t>
      </w:r>
      <w:r>
        <w:rPr>
          <w:rFonts w:hint="eastAsia"/>
          <w:b/>
          <w:color w:val="auto"/>
          <w:sz w:val="21"/>
          <w:szCs w:val="21"/>
          <w:lang w:val="en-US" w:eastAsia="zh-CN"/>
        </w:rPr>
        <w:t>7</w:t>
      </w:r>
    </w:p>
    <w:p w14:paraId="6CDD9911">
      <w:pPr>
        <w:pStyle w:val="61"/>
        <w:shd w:val="clear" w:color="auto" w:fill="FFFFFF"/>
        <w:spacing w:before="0" w:beforeAutospacing="0" w:after="0" w:afterAutospacing="0" w:line="360" w:lineRule="auto"/>
        <w:jc w:val="center"/>
        <w:rPr>
          <w:b/>
          <w:bCs/>
          <w:color w:val="auto"/>
          <w:spacing w:val="21"/>
          <w:sz w:val="30"/>
          <w:szCs w:val="30"/>
        </w:rPr>
      </w:pPr>
      <w:r>
        <w:rPr>
          <w:b/>
          <w:color w:val="auto"/>
          <w:sz w:val="30"/>
          <w:szCs w:val="30"/>
        </w:rPr>
        <w:t xml:space="preserve">  </w:t>
      </w:r>
      <w:r>
        <w:rPr>
          <w:rFonts w:hint="eastAsia"/>
          <w:b/>
          <w:color w:val="auto"/>
          <w:sz w:val="30"/>
          <w:szCs w:val="30"/>
        </w:rPr>
        <w:t>投标</w:t>
      </w:r>
      <w:r>
        <w:rPr>
          <w:rFonts w:hint="eastAsia"/>
          <w:b/>
          <w:bCs/>
          <w:color w:val="auto"/>
          <w:spacing w:val="21"/>
          <w:sz w:val="30"/>
          <w:szCs w:val="30"/>
        </w:rPr>
        <w:t>人基本情况表</w:t>
      </w:r>
    </w:p>
    <w:tbl>
      <w:tblPr>
        <w:tblStyle w:val="22"/>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275"/>
        <w:gridCol w:w="287"/>
        <w:gridCol w:w="1290"/>
        <w:gridCol w:w="1117"/>
        <w:gridCol w:w="863"/>
        <w:gridCol w:w="1035"/>
        <w:gridCol w:w="1620"/>
      </w:tblGrid>
      <w:tr w14:paraId="7785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82" w:type="dxa"/>
            <w:noWrap w:val="0"/>
            <w:vAlign w:val="top"/>
          </w:tcPr>
          <w:p w14:paraId="04F89686">
            <w:pPr>
              <w:rPr>
                <w:color w:val="auto"/>
              </w:rPr>
            </w:pPr>
            <w:r>
              <w:rPr>
                <w:rFonts w:hint="eastAsia"/>
                <w:color w:val="auto"/>
              </w:rPr>
              <w:t>企业名称</w:t>
            </w:r>
          </w:p>
        </w:tc>
        <w:tc>
          <w:tcPr>
            <w:tcW w:w="4463" w:type="dxa"/>
            <w:gridSpan w:val="6"/>
            <w:noWrap w:val="0"/>
            <w:vAlign w:val="top"/>
          </w:tcPr>
          <w:p w14:paraId="29AA74C4">
            <w:pPr>
              <w:rPr>
                <w:color w:val="auto"/>
              </w:rPr>
            </w:pPr>
          </w:p>
        </w:tc>
        <w:tc>
          <w:tcPr>
            <w:tcW w:w="1980" w:type="dxa"/>
            <w:gridSpan w:val="2"/>
            <w:noWrap w:val="0"/>
            <w:vAlign w:val="center"/>
          </w:tcPr>
          <w:p w14:paraId="2E09C5F2">
            <w:pPr>
              <w:jc w:val="center"/>
              <w:rPr>
                <w:color w:val="auto"/>
              </w:rPr>
            </w:pPr>
            <w:r>
              <w:rPr>
                <w:rFonts w:hint="eastAsia"/>
                <w:color w:val="auto"/>
              </w:rPr>
              <w:t>法人代表</w:t>
            </w:r>
          </w:p>
        </w:tc>
        <w:tc>
          <w:tcPr>
            <w:tcW w:w="2655" w:type="dxa"/>
            <w:gridSpan w:val="2"/>
            <w:noWrap w:val="0"/>
            <w:vAlign w:val="top"/>
          </w:tcPr>
          <w:p w14:paraId="7384DB0F">
            <w:pPr>
              <w:rPr>
                <w:color w:val="auto"/>
              </w:rPr>
            </w:pPr>
          </w:p>
        </w:tc>
      </w:tr>
      <w:tr w14:paraId="2970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682" w:type="dxa"/>
            <w:noWrap w:val="0"/>
            <w:vAlign w:val="top"/>
          </w:tcPr>
          <w:p w14:paraId="250ADBF5">
            <w:pPr>
              <w:rPr>
                <w:color w:val="auto"/>
              </w:rPr>
            </w:pPr>
            <w:r>
              <w:rPr>
                <w:rFonts w:hint="eastAsia"/>
                <w:color w:val="auto"/>
              </w:rPr>
              <w:t>地址</w:t>
            </w:r>
          </w:p>
        </w:tc>
        <w:tc>
          <w:tcPr>
            <w:tcW w:w="4463" w:type="dxa"/>
            <w:gridSpan w:val="6"/>
            <w:noWrap w:val="0"/>
            <w:vAlign w:val="top"/>
          </w:tcPr>
          <w:p w14:paraId="2801D384">
            <w:pPr>
              <w:rPr>
                <w:color w:val="auto"/>
              </w:rPr>
            </w:pPr>
          </w:p>
        </w:tc>
        <w:tc>
          <w:tcPr>
            <w:tcW w:w="1980" w:type="dxa"/>
            <w:gridSpan w:val="2"/>
            <w:noWrap w:val="0"/>
            <w:vAlign w:val="center"/>
          </w:tcPr>
          <w:p w14:paraId="561E9E14">
            <w:pPr>
              <w:jc w:val="center"/>
              <w:rPr>
                <w:color w:val="auto"/>
              </w:rPr>
            </w:pPr>
            <w:r>
              <w:rPr>
                <w:rFonts w:hint="eastAsia"/>
                <w:color w:val="auto"/>
              </w:rPr>
              <w:t>企业性质</w:t>
            </w:r>
          </w:p>
        </w:tc>
        <w:tc>
          <w:tcPr>
            <w:tcW w:w="2655" w:type="dxa"/>
            <w:gridSpan w:val="2"/>
            <w:noWrap w:val="0"/>
            <w:vAlign w:val="top"/>
          </w:tcPr>
          <w:p w14:paraId="3ED31398">
            <w:pPr>
              <w:pStyle w:val="61"/>
              <w:shd w:val="clear" w:color="auto" w:fill="FFFFFF"/>
              <w:spacing w:line="360" w:lineRule="auto"/>
              <w:rPr>
                <w:bCs/>
                <w:color w:val="auto"/>
                <w:spacing w:val="16"/>
                <w:sz w:val="21"/>
                <w:szCs w:val="21"/>
              </w:rPr>
            </w:pPr>
          </w:p>
        </w:tc>
      </w:tr>
      <w:tr w14:paraId="75B2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82" w:type="dxa"/>
            <w:noWrap w:val="0"/>
            <w:vAlign w:val="top"/>
          </w:tcPr>
          <w:p w14:paraId="40CC19DD">
            <w:pPr>
              <w:rPr>
                <w:color w:val="auto"/>
              </w:rPr>
            </w:pPr>
            <w:r>
              <w:rPr>
                <w:rFonts w:hint="eastAsia"/>
                <w:color w:val="auto"/>
              </w:rPr>
              <w:t>股东姓名</w:t>
            </w:r>
          </w:p>
        </w:tc>
        <w:tc>
          <w:tcPr>
            <w:tcW w:w="701" w:type="dxa"/>
            <w:noWrap w:val="0"/>
            <w:vAlign w:val="top"/>
          </w:tcPr>
          <w:p w14:paraId="36E21B60">
            <w:pPr>
              <w:rPr>
                <w:color w:val="auto"/>
              </w:rPr>
            </w:pPr>
          </w:p>
        </w:tc>
        <w:tc>
          <w:tcPr>
            <w:tcW w:w="910" w:type="dxa"/>
            <w:gridSpan w:val="2"/>
            <w:noWrap w:val="0"/>
            <w:vAlign w:val="top"/>
          </w:tcPr>
          <w:p w14:paraId="014E865B">
            <w:pPr>
              <w:rPr>
                <w:color w:val="auto"/>
              </w:rPr>
            </w:pPr>
            <w:r>
              <w:rPr>
                <w:rFonts w:hint="eastAsia"/>
                <w:color w:val="auto"/>
              </w:rPr>
              <w:t>股权结构（</w:t>
            </w:r>
            <w:r>
              <w:rPr>
                <w:color w:val="auto"/>
              </w:rPr>
              <w:t>%</w:t>
            </w:r>
            <w:r>
              <w:rPr>
                <w:rFonts w:hint="eastAsia"/>
                <w:color w:val="auto"/>
              </w:rPr>
              <w:t>）</w:t>
            </w:r>
          </w:p>
        </w:tc>
        <w:tc>
          <w:tcPr>
            <w:tcW w:w="2852" w:type="dxa"/>
            <w:gridSpan w:val="3"/>
            <w:noWrap w:val="0"/>
            <w:vAlign w:val="top"/>
          </w:tcPr>
          <w:p w14:paraId="61803A13">
            <w:pPr>
              <w:rPr>
                <w:color w:val="auto"/>
              </w:rPr>
            </w:pPr>
          </w:p>
          <w:p w14:paraId="584C7946">
            <w:pPr>
              <w:rPr>
                <w:color w:val="auto"/>
              </w:rPr>
            </w:pPr>
          </w:p>
        </w:tc>
        <w:tc>
          <w:tcPr>
            <w:tcW w:w="1980" w:type="dxa"/>
            <w:gridSpan w:val="2"/>
            <w:noWrap w:val="0"/>
            <w:vAlign w:val="center"/>
          </w:tcPr>
          <w:p w14:paraId="2A9D1F82">
            <w:pPr>
              <w:jc w:val="center"/>
              <w:rPr>
                <w:color w:val="auto"/>
              </w:rPr>
            </w:pPr>
            <w:r>
              <w:rPr>
                <w:rFonts w:hint="eastAsia"/>
                <w:color w:val="auto"/>
              </w:rPr>
              <w:t>股东关系</w:t>
            </w:r>
          </w:p>
        </w:tc>
        <w:tc>
          <w:tcPr>
            <w:tcW w:w="2655" w:type="dxa"/>
            <w:gridSpan w:val="2"/>
            <w:noWrap w:val="0"/>
            <w:vAlign w:val="top"/>
          </w:tcPr>
          <w:p w14:paraId="7D5FAA23">
            <w:pPr>
              <w:pStyle w:val="61"/>
              <w:shd w:val="clear" w:color="auto" w:fill="FFFFFF"/>
              <w:spacing w:line="360" w:lineRule="auto"/>
              <w:ind w:left="107"/>
              <w:rPr>
                <w:bCs/>
                <w:color w:val="auto"/>
                <w:spacing w:val="16"/>
                <w:sz w:val="21"/>
                <w:szCs w:val="21"/>
              </w:rPr>
            </w:pPr>
          </w:p>
        </w:tc>
      </w:tr>
      <w:tr w14:paraId="238C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vMerge w:val="restart"/>
            <w:noWrap w:val="0"/>
            <w:vAlign w:val="top"/>
          </w:tcPr>
          <w:p w14:paraId="601E8357">
            <w:pPr>
              <w:rPr>
                <w:color w:val="auto"/>
              </w:rPr>
            </w:pPr>
            <w:r>
              <w:rPr>
                <w:rFonts w:hint="eastAsia"/>
                <w:color w:val="auto"/>
              </w:rPr>
              <w:t>联系人姓名</w:t>
            </w:r>
          </w:p>
        </w:tc>
        <w:tc>
          <w:tcPr>
            <w:tcW w:w="701" w:type="dxa"/>
            <w:vMerge w:val="restart"/>
            <w:tcBorders>
              <w:top w:val="nil"/>
            </w:tcBorders>
            <w:noWrap w:val="0"/>
            <w:vAlign w:val="top"/>
          </w:tcPr>
          <w:p w14:paraId="74DFF42C">
            <w:pPr>
              <w:rPr>
                <w:color w:val="auto"/>
              </w:rPr>
            </w:pPr>
          </w:p>
        </w:tc>
        <w:tc>
          <w:tcPr>
            <w:tcW w:w="910" w:type="dxa"/>
            <w:gridSpan w:val="2"/>
            <w:tcBorders>
              <w:top w:val="nil"/>
            </w:tcBorders>
            <w:noWrap w:val="0"/>
            <w:vAlign w:val="center"/>
          </w:tcPr>
          <w:p w14:paraId="4203B89E">
            <w:pPr>
              <w:jc w:val="center"/>
              <w:rPr>
                <w:color w:val="auto"/>
              </w:rPr>
            </w:pPr>
            <w:r>
              <w:rPr>
                <w:rFonts w:hint="eastAsia"/>
                <w:color w:val="auto"/>
              </w:rPr>
              <w:t>固定电话</w:t>
            </w:r>
          </w:p>
        </w:tc>
        <w:tc>
          <w:tcPr>
            <w:tcW w:w="2852" w:type="dxa"/>
            <w:gridSpan w:val="3"/>
            <w:tcBorders>
              <w:top w:val="nil"/>
            </w:tcBorders>
            <w:noWrap w:val="0"/>
            <w:vAlign w:val="top"/>
          </w:tcPr>
          <w:p w14:paraId="15BD15C8">
            <w:pPr>
              <w:rPr>
                <w:color w:val="auto"/>
              </w:rPr>
            </w:pPr>
          </w:p>
          <w:p w14:paraId="3CBE5C56">
            <w:pPr>
              <w:rPr>
                <w:color w:val="auto"/>
              </w:rPr>
            </w:pPr>
          </w:p>
        </w:tc>
        <w:tc>
          <w:tcPr>
            <w:tcW w:w="1980" w:type="dxa"/>
            <w:gridSpan w:val="2"/>
            <w:vMerge w:val="restart"/>
            <w:noWrap w:val="0"/>
            <w:vAlign w:val="center"/>
          </w:tcPr>
          <w:p w14:paraId="7E624C65">
            <w:pPr>
              <w:jc w:val="center"/>
              <w:rPr>
                <w:color w:val="auto"/>
              </w:rPr>
            </w:pPr>
            <w:r>
              <w:rPr>
                <w:rFonts w:hint="eastAsia"/>
                <w:color w:val="auto"/>
              </w:rPr>
              <w:t>传真</w:t>
            </w:r>
          </w:p>
        </w:tc>
        <w:tc>
          <w:tcPr>
            <w:tcW w:w="2655" w:type="dxa"/>
            <w:gridSpan w:val="2"/>
            <w:vMerge w:val="restart"/>
            <w:noWrap w:val="0"/>
            <w:vAlign w:val="top"/>
          </w:tcPr>
          <w:p w14:paraId="7900698E">
            <w:pPr>
              <w:pStyle w:val="61"/>
              <w:shd w:val="clear" w:color="auto" w:fill="FFFFFF"/>
              <w:spacing w:line="360" w:lineRule="auto"/>
              <w:rPr>
                <w:bCs/>
                <w:color w:val="auto"/>
                <w:spacing w:val="16"/>
                <w:sz w:val="21"/>
                <w:szCs w:val="21"/>
              </w:rPr>
            </w:pPr>
          </w:p>
        </w:tc>
      </w:tr>
      <w:tr w14:paraId="16E0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82" w:type="dxa"/>
            <w:vMerge w:val="continue"/>
            <w:noWrap w:val="0"/>
            <w:vAlign w:val="top"/>
          </w:tcPr>
          <w:p w14:paraId="65E68F14">
            <w:pPr>
              <w:pStyle w:val="61"/>
              <w:shd w:val="clear" w:color="auto" w:fill="FFFFFF"/>
              <w:spacing w:line="360" w:lineRule="auto"/>
              <w:ind w:left="107"/>
              <w:rPr>
                <w:bCs/>
                <w:color w:val="auto"/>
                <w:sz w:val="21"/>
                <w:szCs w:val="21"/>
              </w:rPr>
            </w:pPr>
          </w:p>
        </w:tc>
        <w:tc>
          <w:tcPr>
            <w:tcW w:w="701" w:type="dxa"/>
            <w:vMerge w:val="continue"/>
            <w:noWrap w:val="0"/>
            <w:vAlign w:val="top"/>
          </w:tcPr>
          <w:p w14:paraId="75D56CAF">
            <w:pPr>
              <w:pStyle w:val="61"/>
              <w:shd w:val="clear" w:color="auto" w:fill="FFFFFF"/>
              <w:spacing w:line="360" w:lineRule="auto"/>
              <w:rPr>
                <w:bCs/>
                <w:color w:val="auto"/>
                <w:spacing w:val="16"/>
                <w:sz w:val="21"/>
                <w:szCs w:val="21"/>
              </w:rPr>
            </w:pPr>
          </w:p>
        </w:tc>
        <w:tc>
          <w:tcPr>
            <w:tcW w:w="910" w:type="dxa"/>
            <w:gridSpan w:val="2"/>
            <w:noWrap w:val="0"/>
            <w:vAlign w:val="center"/>
          </w:tcPr>
          <w:p w14:paraId="09D4CD96">
            <w:pPr>
              <w:jc w:val="center"/>
              <w:rPr>
                <w:color w:val="auto"/>
              </w:rPr>
            </w:pPr>
            <w:r>
              <w:rPr>
                <w:rFonts w:hint="eastAsia"/>
                <w:color w:val="auto"/>
              </w:rPr>
              <w:t>手机</w:t>
            </w:r>
          </w:p>
        </w:tc>
        <w:tc>
          <w:tcPr>
            <w:tcW w:w="2852" w:type="dxa"/>
            <w:gridSpan w:val="3"/>
            <w:noWrap w:val="0"/>
            <w:vAlign w:val="top"/>
          </w:tcPr>
          <w:p w14:paraId="4FF39947">
            <w:pPr>
              <w:rPr>
                <w:color w:val="auto"/>
              </w:rPr>
            </w:pPr>
          </w:p>
        </w:tc>
        <w:tc>
          <w:tcPr>
            <w:tcW w:w="1980" w:type="dxa"/>
            <w:gridSpan w:val="2"/>
            <w:vMerge w:val="continue"/>
            <w:noWrap w:val="0"/>
            <w:vAlign w:val="top"/>
          </w:tcPr>
          <w:p w14:paraId="338E09DA">
            <w:pPr>
              <w:rPr>
                <w:color w:val="auto"/>
              </w:rPr>
            </w:pPr>
          </w:p>
        </w:tc>
        <w:tc>
          <w:tcPr>
            <w:tcW w:w="2655" w:type="dxa"/>
            <w:gridSpan w:val="2"/>
            <w:vMerge w:val="continue"/>
            <w:noWrap w:val="0"/>
            <w:vAlign w:val="top"/>
          </w:tcPr>
          <w:p w14:paraId="36FF735F">
            <w:pPr>
              <w:pStyle w:val="61"/>
              <w:shd w:val="clear" w:color="auto" w:fill="FFFFFF"/>
              <w:spacing w:line="360" w:lineRule="auto"/>
              <w:rPr>
                <w:bCs/>
                <w:color w:val="auto"/>
                <w:spacing w:val="16"/>
                <w:sz w:val="21"/>
                <w:szCs w:val="21"/>
              </w:rPr>
            </w:pPr>
          </w:p>
        </w:tc>
      </w:tr>
      <w:tr w14:paraId="1842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82" w:type="dxa"/>
            <w:vMerge w:val="restart"/>
            <w:noWrap w:val="0"/>
            <w:vAlign w:val="top"/>
          </w:tcPr>
          <w:p w14:paraId="358CEE66">
            <w:pPr>
              <w:rPr>
                <w:color w:val="auto"/>
              </w:rPr>
            </w:pPr>
            <w:r>
              <w:rPr>
                <w:color w:val="auto"/>
              </w:rPr>
              <w:t>1.</w:t>
            </w:r>
          </w:p>
          <w:p w14:paraId="722A2E7B">
            <w:pPr>
              <w:rPr>
                <w:color w:val="auto"/>
              </w:rPr>
            </w:pPr>
            <w:r>
              <w:rPr>
                <w:rFonts w:hint="eastAsia"/>
                <w:color w:val="auto"/>
              </w:rPr>
              <w:t>企</w:t>
            </w:r>
          </w:p>
          <w:p w14:paraId="1901A59F">
            <w:pPr>
              <w:rPr>
                <w:color w:val="auto"/>
              </w:rPr>
            </w:pPr>
            <w:r>
              <w:rPr>
                <w:rFonts w:hint="eastAsia"/>
                <w:color w:val="auto"/>
              </w:rPr>
              <w:t>业</w:t>
            </w:r>
          </w:p>
          <w:p w14:paraId="6926E481">
            <w:pPr>
              <w:rPr>
                <w:color w:val="auto"/>
              </w:rPr>
            </w:pPr>
            <w:r>
              <w:rPr>
                <w:rFonts w:hint="eastAsia"/>
                <w:color w:val="auto"/>
              </w:rPr>
              <w:t>概</w:t>
            </w:r>
          </w:p>
          <w:p w14:paraId="64905A9C">
            <w:pPr>
              <w:rPr>
                <w:color w:val="auto"/>
              </w:rPr>
            </w:pPr>
            <w:r>
              <w:rPr>
                <w:rFonts w:hint="eastAsia"/>
                <w:color w:val="auto"/>
              </w:rPr>
              <w:t>况</w:t>
            </w:r>
          </w:p>
        </w:tc>
        <w:tc>
          <w:tcPr>
            <w:tcW w:w="701" w:type="dxa"/>
            <w:tcBorders>
              <w:top w:val="nil"/>
            </w:tcBorders>
            <w:noWrap w:val="0"/>
            <w:vAlign w:val="center"/>
          </w:tcPr>
          <w:p w14:paraId="7303A42D">
            <w:pPr>
              <w:jc w:val="center"/>
              <w:rPr>
                <w:color w:val="auto"/>
              </w:rPr>
            </w:pPr>
            <w:r>
              <w:rPr>
                <w:rFonts w:hint="eastAsia"/>
                <w:color w:val="auto"/>
              </w:rPr>
              <w:t>职工人数</w:t>
            </w:r>
          </w:p>
        </w:tc>
        <w:tc>
          <w:tcPr>
            <w:tcW w:w="910" w:type="dxa"/>
            <w:gridSpan w:val="2"/>
            <w:tcBorders>
              <w:top w:val="nil"/>
            </w:tcBorders>
            <w:noWrap w:val="0"/>
            <w:vAlign w:val="top"/>
          </w:tcPr>
          <w:p w14:paraId="66BA243A">
            <w:pPr>
              <w:rPr>
                <w:color w:val="auto"/>
              </w:rPr>
            </w:pPr>
          </w:p>
        </w:tc>
        <w:tc>
          <w:tcPr>
            <w:tcW w:w="1562" w:type="dxa"/>
            <w:gridSpan w:val="2"/>
            <w:tcBorders>
              <w:top w:val="nil"/>
            </w:tcBorders>
            <w:noWrap w:val="0"/>
            <w:vAlign w:val="center"/>
          </w:tcPr>
          <w:p w14:paraId="28426B17">
            <w:pPr>
              <w:jc w:val="center"/>
              <w:rPr>
                <w:color w:val="auto"/>
              </w:rPr>
            </w:pPr>
            <w:r>
              <w:rPr>
                <w:rFonts w:hint="eastAsia"/>
                <w:color w:val="auto"/>
              </w:rPr>
              <w:t>具备大专以上学历人数</w:t>
            </w:r>
          </w:p>
        </w:tc>
        <w:tc>
          <w:tcPr>
            <w:tcW w:w="1290" w:type="dxa"/>
            <w:tcBorders>
              <w:top w:val="nil"/>
            </w:tcBorders>
            <w:noWrap w:val="0"/>
            <w:vAlign w:val="top"/>
          </w:tcPr>
          <w:p w14:paraId="2229D57B">
            <w:pPr>
              <w:rPr>
                <w:color w:val="auto"/>
              </w:rPr>
            </w:pPr>
          </w:p>
          <w:p w14:paraId="400A0E72">
            <w:pPr>
              <w:rPr>
                <w:color w:val="auto"/>
              </w:rPr>
            </w:pPr>
          </w:p>
          <w:p w14:paraId="1B6DF5F0">
            <w:pPr>
              <w:rPr>
                <w:color w:val="auto"/>
              </w:rPr>
            </w:pPr>
          </w:p>
        </w:tc>
        <w:tc>
          <w:tcPr>
            <w:tcW w:w="1980" w:type="dxa"/>
            <w:gridSpan w:val="2"/>
            <w:noWrap w:val="0"/>
            <w:vAlign w:val="center"/>
          </w:tcPr>
          <w:p w14:paraId="5C109A76">
            <w:pPr>
              <w:jc w:val="center"/>
              <w:rPr>
                <w:color w:val="auto"/>
              </w:rPr>
            </w:pPr>
            <w:r>
              <w:rPr>
                <w:rFonts w:hint="eastAsia"/>
                <w:color w:val="auto"/>
              </w:rPr>
              <w:t>国家授予技术职称人数</w:t>
            </w:r>
          </w:p>
        </w:tc>
        <w:tc>
          <w:tcPr>
            <w:tcW w:w="2655" w:type="dxa"/>
            <w:gridSpan w:val="2"/>
            <w:noWrap w:val="0"/>
            <w:vAlign w:val="top"/>
          </w:tcPr>
          <w:p w14:paraId="70DE8F83">
            <w:pPr>
              <w:rPr>
                <w:color w:val="auto"/>
              </w:rPr>
            </w:pPr>
          </w:p>
          <w:p w14:paraId="2122B481">
            <w:pPr>
              <w:rPr>
                <w:color w:val="auto"/>
              </w:rPr>
            </w:pPr>
          </w:p>
        </w:tc>
      </w:tr>
      <w:tr w14:paraId="2097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682" w:type="dxa"/>
            <w:vMerge w:val="continue"/>
            <w:noWrap w:val="0"/>
            <w:vAlign w:val="top"/>
          </w:tcPr>
          <w:p w14:paraId="6BE139B9">
            <w:pPr>
              <w:rPr>
                <w:color w:val="auto"/>
              </w:rPr>
            </w:pPr>
          </w:p>
        </w:tc>
        <w:tc>
          <w:tcPr>
            <w:tcW w:w="701" w:type="dxa"/>
            <w:noWrap w:val="0"/>
            <w:vAlign w:val="center"/>
          </w:tcPr>
          <w:p w14:paraId="56FBCA24">
            <w:pPr>
              <w:jc w:val="center"/>
              <w:rPr>
                <w:color w:val="auto"/>
              </w:rPr>
            </w:pPr>
            <w:r>
              <w:rPr>
                <w:rFonts w:hint="eastAsia"/>
                <w:color w:val="auto"/>
              </w:rPr>
              <w:t>占地面积</w:t>
            </w:r>
          </w:p>
        </w:tc>
        <w:tc>
          <w:tcPr>
            <w:tcW w:w="910" w:type="dxa"/>
            <w:gridSpan w:val="2"/>
            <w:noWrap w:val="0"/>
            <w:vAlign w:val="top"/>
          </w:tcPr>
          <w:p w14:paraId="6B471FCC">
            <w:pPr>
              <w:rPr>
                <w:color w:val="auto"/>
              </w:rPr>
            </w:pPr>
          </w:p>
        </w:tc>
        <w:tc>
          <w:tcPr>
            <w:tcW w:w="1562" w:type="dxa"/>
            <w:gridSpan w:val="2"/>
            <w:noWrap w:val="0"/>
            <w:vAlign w:val="center"/>
          </w:tcPr>
          <w:p w14:paraId="11CEE386">
            <w:pPr>
              <w:jc w:val="center"/>
              <w:rPr>
                <w:color w:val="auto"/>
              </w:rPr>
            </w:pPr>
            <w:r>
              <w:rPr>
                <w:rFonts w:hint="eastAsia"/>
                <w:color w:val="auto"/>
              </w:rPr>
              <w:t>建筑面积</w:t>
            </w:r>
          </w:p>
        </w:tc>
        <w:tc>
          <w:tcPr>
            <w:tcW w:w="1290" w:type="dxa"/>
            <w:noWrap w:val="0"/>
            <w:vAlign w:val="center"/>
          </w:tcPr>
          <w:p w14:paraId="798256C3">
            <w:pPr>
              <w:jc w:val="center"/>
              <w:rPr>
                <w:color w:val="auto"/>
              </w:rPr>
            </w:pPr>
            <w:r>
              <w:rPr>
                <w:rFonts w:hint="eastAsia"/>
                <w:color w:val="auto"/>
              </w:rPr>
              <w:t>平方米</w:t>
            </w:r>
          </w:p>
          <w:p w14:paraId="7AED9C45">
            <w:pPr>
              <w:jc w:val="center"/>
              <w:rPr>
                <w:color w:val="auto"/>
              </w:rPr>
            </w:pPr>
            <w:r>
              <w:rPr>
                <w:rFonts w:hint="eastAsia"/>
                <w:color w:val="auto"/>
              </w:rPr>
              <w:t>□自有</w:t>
            </w:r>
          </w:p>
          <w:p w14:paraId="29C09314">
            <w:pPr>
              <w:jc w:val="center"/>
              <w:rPr>
                <w:color w:val="auto"/>
              </w:rPr>
            </w:pPr>
            <w:r>
              <w:rPr>
                <w:rFonts w:hint="eastAsia"/>
                <w:color w:val="auto"/>
              </w:rPr>
              <w:t>□租賃</w:t>
            </w:r>
          </w:p>
        </w:tc>
        <w:tc>
          <w:tcPr>
            <w:tcW w:w="1980" w:type="dxa"/>
            <w:gridSpan w:val="2"/>
            <w:noWrap w:val="0"/>
            <w:vAlign w:val="center"/>
          </w:tcPr>
          <w:p w14:paraId="3A936CD7">
            <w:pPr>
              <w:jc w:val="center"/>
              <w:rPr>
                <w:color w:val="auto"/>
              </w:rPr>
            </w:pPr>
            <w:r>
              <w:rPr>
                <w:rFonts w:hint="eastAsia"/>
                <w:color w:val="auto"/>
              </w:rPr>
              <w:t>生产经营场所及场所的设施与设备</w:t>
            </w:r>
          </w:p>
        </w:tc>
        <w:tc>
          <w:tcPr>
            <w:tcW w:w="2655" w:type="dxa"/>
            <w:gridSpan w:val="2"/>
            <w:noWrap w:val="0"/>
            <w:vAlign w:val="top"/>
          </w:tcPr>
          <w:p w14:paraId="12BF238B">
            <w:pPr>
              <w:rPr>
                <w:color w:val="auto"/>
              </w:rPr>
            </w:pPr>
          </w:p>
        </w:tc>
      </w:tr>
      <w:tr w14:paraId="68AF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82" w:type="dxa"/>
            <w:vMerge w:val="continue"/>
            <w:noWrap w:val="0"/>
            <w:vAlign w:val="top"/>
          </w:tcPr>
          <w:p w14:paraId="284AF69F">
            <w:pPr>
              <w:rPr>
                <w:color w:val="auto"/>
              </w:rPr>
            </w:pPr>
          </w:p>
        </w:tc>
        <w:tc>
          <w:tcPr>
            <w:tcW w:w="701" w:type="dxa"/>
            <w:noWrap w:val="0"/>
            <w:vAlign w:val="center"/>
          </w:tcPr>
          <w:p w14:paraId="73CD1221">
            <w:pPr>
              <w:jc w:val="center"/>
              <w:rPr>
                <w:color w:val="auto"/>
              </w:rPr>
            </w:pPr>
            <w:r>
              <w:rPr>
                <w:rFonts w:hint="eastAsia"/>
                <w:color w:val="auto"/>
              </w:rPr>
              <w:t>注册资金</w:t>
            </w:r>
          </w:p>
        </w:tc>
        <w:tc>
          <w:tcPr>
            <w:tcW w:w="910" w:type="dxa"/>
            <w:gridSpan w:val="2"/>
            <w:noWrap w:val="0"/>
            <w:vAlign w:val="center"/>
          </w:tcPr>
          <w:p w14:paraId="7661312D">
            <w:pPr>
              <w:jc w:val="center"/>
              <w:rPr>
                <w:color w:val="auto"/>
              </w:rPr>
            </w:pPr>
          </w:p>
        </w:tc>
        <w:tc>
          <w:tcPr>
            <w:tcW w:w="1562" w:type="dxa"/>
            <w:gridSpan w:val="2"/>
            <w:noWrap w:val="0"/>
            <w:vAlign w:val="center"/>
          </w:tcPr>
          <w:p w14:paraId="6E210351">
            <w:pPr>
              <w:jc w:val="center"/>
              <w:rPr>
                <w:color w:val="auto"/>
              </w:rPr>
            </w:pPr>
            <w:r>
              <w:rPr>
                <w:rFonts w:hint="eastAsia"/>
                <w:color w:val="auto"/>
              </w:rPr>
              <w:t>注册发证机关</w:t>
            </w:r>
          </w:p>
        </w:tc>
        <w:tc>
          <w:tcPr>
            <w:tcW w:w="3270" w:type="dxa"/>
            <w:gridSpan w:val="3"/>
            <w:noWrap w:val="0"/>
            <w:vAlign w:val="center"/>
          </w:tcPr>
          <w:p w14:paraId="7E3A919D">
            <w:pPr>
              <w:jc w:val="center"/>
              <w:rPr>
                <w:color w:val="auto"/>
              </w:rPr>
            </w:pPr>
          </w:p>
          <w:p w14:paraId="12F745F5">
            <w:pPr>
              <w:jc w:val="center"/>
              <w:rPr>
                <w:color w:val="auto"/>
              </w:rPr>
            </w:pPr>
          </w:p>
        </w:tc>
        <w:tc>
          <w:tcPr>
            <w:tcW w:w="1035" w:type="dxa"/>
            <w:noWrap w:val="0"/>
            <w:vAlign w:val="center"/>
          </w:tcPr>
          <w:p w14:paraId="17DCC361">
            <w:pPr>
              <w:jc w:val="center"/>
              <w:rPr>
                <w:color w:val="auto"/>
              </w:rPr>
            </w:pPr>
            <w:r>
              <w:rPr>
                <w:rFonts w:hint="eastAsia"/>
                <w:color w:val="auto"/>
              </w:rPr>
              <w:t>公司成立时间</w:t>
            </w:r>
          </w:p>
        </w:tc>
        <w:tc>
          <w:tcPr>
            <w:tcW w:w="1620" w:type="dxa"/>
            <w:noWrap w:val="0"/>
            <w:vAlign w:val="top"/>
          </w:tcPr>
          <w:p w14:paraId="2CBB3381">
            <w:pPr>
              <w:pStyle w:val="61"/>
              <w:shd w:val="clear" w:color="auto" w:fill="FFFFFF"/>
              <w:spacing w:line="360" w:lineRule="auto"/>
              <w:ind w:left="107"/>
              <w:rPr>
                <w:bCs/>
                <w:color w:val="auto"/>
                <w:sz w:val="21"/>
                <w:szCs w:val="21"/>
              </w:rPr>
            </w:pPr>
          </w:p>
        </w:tc>
      </w:tr>
      <w:tr w14:paraId="2459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82" w:type="dxa"/>
            <w:vMerge w:val="continue"/>
            <w:noWrap w:val="0"/>
            <w:vAlign w:val="top"/>
          </w:tcPr>
          <w:p w14:paraId="181F1FB3">
            <w:pPr>
              <w:pStyle w:val="61"/>
              <w:shd w:val="clear" w:color="auto" w:fill="FFFFFF"/>
              <w:spacing w:line="360" w:lineRule="auto"/>
              <w:ind w:left="107"/>
              <w:rPr>
                <w:bCs/>
                <w:color w:val="auto"/>
                <w:sz w:val="21"/>
                <w:szCs w:val="21"/>
              </w:rPr>
            </w:pPr>
          </w:p>
        </w:tc>
        <w:tc>
          <w:tcPr>
            <w:tcW w:w="701" w:type="dxa"/>
            <w:noWrap w:val="0"/>
            <w:vAlign w:val="top"/>
          </w:tcPr>
          <w:p w14:paraId="506103B9">
            <w:pPr>
              <w:rPr>
                <w:color w:val="auto"/>
              </w:rPr>
            </w:pPr>
            <w:r>
              <w:rPr>
                <w:rFonts w:hint="eastAsia"/>
                <w:color w:val="auto"/>
              </w:rPr>
              <w:t>核准经营范围</w:t>
            </w:r>
          </w:p>
        </w:tc>
        <w:tc>
          <w:tcPr>
            <w:tcW w:w="8397" w:type="dxa"/>
            <w:gridSpan w:val="9"/>
            <w:noWrap w:val="0"/>
            <w:vAlign w:val="top"/>
          </w:tcPr>
          <w:p w14:paraId="2C89DC7B">
            <w:pPr>
              <w:rPr>
                <w:color w:val="auto"/>
              </w:rPr>
            </w:pPr>
          </w:p>
        </w:tc>
      </w:tr>
      <w:tr w14:paraId="0BC9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682" w:type="dxa"/>
            <w:vMerge w:val="continue"/>
            <w:noWrap w:val="0"/>
            <w:vAlign w:val="top"/>
          </w:tcPr>
          <w:p w14:paraId="3A131BC2">
            <w:pPr>
              <w:pStyle w:val="61"/>
              <w:shd w:val="clear" w:color="auto" w:fill="FFFFFF"/>
              <w:spacing w:line="360" w:lineRule="auto"/>
              <w:ind w:left="107"/>
              <w:rPr>
                <w:bCs/>
                <w:color w:val="auto"/>
                <w:sz w:val="21"/>
                <w:szCs w:val="21"/>
              </w:rPr>
            </w:pPr>
          </w:p>
        </w:tc>
        <w:tc>
          <w:tcPr>
            <w:tcW w:w="9098" w:type="dxa"/>
            <w:gridSpan w:val="10"/>
            <w:noWrap w:val="0"/>
            <w:vAlign w:val="top"/>
          </w:tcPr>
          <w:p w14:paraId="3F8835A0">
            <w:pPr>
              <w:rPr>
                <w:color w:val="auto"/>
              </w:rPr>
            </w:pPr>
            <w:r>
              <w:rPr>
                <w:rFonts w:hint="eastAsia"/>
                <w:color w:val="auto"/>
              </w:rPr>
              <w:t>发展历程及主要荣誉：</w:t>
            </w:r>
          </w:p>
        </w:tc>
      </w:tr>
      <w:tr w14:paraId="2841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682" w:type="dxa"/>
            <w:vMerge w:val="restart"/>
            <w:noWrap w:val="0"/>
            <w:vAlign w:val="top"/>
          </w:tcPr>
          <w:p w14:paraId="077124E6">
            <w:pPr>
              <w:rPr>
                <w:color w:val="auto"/>
              </w:rPr>
            </w:pPr>
            <w:r>
              <w:rPr>
                <w:color w:val="auto"/>
              </w:rPr>
              <w:t>2</w:t>
            </w:r>
            <w:r>
              <w:rPr>
                <w:rFonts w:hint="eastAsia"/>
                <w:color w:val="auto"/>
              </w:rPr>
              <w:t>．</w:t>
            </w:r>
          </w:p>
          <w:p w14:paraId="0C2E1EB3">
            <w:pPr>
              <w:rPr>
                <w:color w:val="auto"/>
              </w:rPr>
            </w:pPr>
            <w:r>
              <w:rPr>
                <w:rFonts w:hint="eastAsia"/>
                <w:color w:val="auto"/>
              </w:rPr>
              <w:t>企业有关资质获证情况</w:t>
            </w:r>
          </w:p>
        </w:tc>
        <w:tc>
          <w:tcPr>
            <w:tcW w:w="1553" w:type="dxa"/>
            <w:gridSpan w:val="2"/>
            <w:vMerge w:val="restart"/>
            <w:noWrap w:val="0"/>
            <w:vAlign w:val="top"/>
          </w:tcPr>
          <w:p w14:paraId="28118237">
            <w:pPr>
              <w:rPr>
                <w:color w:val="auto"/>
              </w:rPr>
            </w:pPr>
            <w:r>
              <w:rPr>
                <w:rFonts w:hint="eastAsia"/>
                <w:color w:val="auto"/>
              </w:rPr>
              <w:t>产品生产许可证情况（对需获得生产许可证的产品要填写此栏）</w:t>
            </w:r>
          </w:p>
        </w:tc>
        <w:tc>
          <w:tcPr>
            <w:tcW w:w="1333" w:type="dxa"/>
            <w:gridSpan w:val="2"/>
            <w:noWrap w:val="0"/>
            <w:vAlign w:val="center"/>
          </w:tcPr>
          <w:p w14:paraId="48F177D7">
            <w:pPr>
              <w:jc w:val="center"/>
              <w:rPr>
                <w:color w:val="auto"/>
              </w:rPr>
            </w:pPr>
            <w:r>
              <w:rPr>
                <w:rFonts w:hint="eastAsia"/>
                <w:color w:val="auto"/>
              </w:rPr>
              <w:t>产品名称</w:t>
            </w:r>
          </w:p>
        </w:tc>
        <w:tc>
          <w:tcPr>
            <w:tcW w:w="1577" w:type="dxa"/>
            <w:gridSpan w:val="2"/>
            <w:noWrap w:val="0"/>
            <w:vAlign w:val="center"/>
          </w:tcPr>
          <w:p w14:paraId="6AAFC34C">
            <w:pPr>
              <w:jc w:val="center"/>
              <w:rPr>
                <w:color w:val="auto"/>
              </w:rPr>
            </w:pPr>
            <w:r>
              <w:rPr>
                <w:rFonts w:hint="eastAsia"/>
                <w:color w:val="auto"/>
              </w:rPr>
              <w:t>发证机关</w:t>
            </w:r>
          </w:p>
        </w:tc>
        <w:tc>
          <w:tcPr>
            <w:tcW w:w="1117" w:type="dxa"/>
            <w:noWrap w:val="0"/>
            <w:vAlign w:val="center"/>
          </w:tcPr>
          <w:p w14:paraId="55904837">
            <w:pPr>
              <w:jc w:val="center"/>
              <w:rPr>
                <w:color w:val="auto"/>
              </w:rPr>
            </w:pPr>
            <w:r>
              <w:rPr>
                <w:rFonts w:hint="eastAsia"/>
                <w:color w:val="auto"/>
              </w:rPr>
              <w:t>编号</w:t>
            </w:r>
          </w:p>
        </w:tc>
        <w:tc>
          <w:tcPr>
            <w:tcW w:w="1898" w:type="dxa"/>
            <w:gridSpan w:val="2"/>
            <w:noWrap w:val="0"/>
            <w:vAlign w:val="center"/>
          </w:tcPr>
          <w:p w14:paraId="2B9494CC">
            <w:pPr>
              <w:jc w:val="center"/>
              <w:rPr>
                <w:color w:val="auto"/>
              </w:rPr>
            </w:pPr>
            <w:r>
              <w:rPr>
                <w:rFonts w:hint="eastAsia"/>
                <w:color w:val="auto"/>
              </w:rPr>
              <w:t>发证时间</w:t>
            </w:r>
          </w:p>
        </w:tc>
        <w:tc>
          <w:tcPr>
            <w:tcW w:w="1620" w:type="dxa"/>
            <w:noWrap w:val="0"/>
            <w:vAlign w:val="center"/>
          </w:tcPr>
          <w:p w14:paraId="57D1ED50">
            <w:pPr>
              <w:jc w:val="center"/>
              <w:rPr>
                <w:color w:val="auto"/>
              </w:rPr>
            </w:pPr>
            <w:r>
              <w:rPr>
                <w:rFonts w:hint="eastAsia"/>
                <w:color w:val="auto"/>
              </w:rPr>
              <w:t>期限</w:t>
            </w:r>
          </w:p>
        </w:tc>
      </w:tr>
      <w:tr w14:paraId="3B8C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82" w:type="dxa"/>
            <w:vMerge w:val="continue"/>
            <w:noWrap w:val="0"/>
            <w:vAlign w:val="top"/>
          </w:tcPr>
          <w:p w14:paraId="2771EAB3">
            <w:pPr>
              <w:rPr>
                <w:color w:val="auto"/>
              </w:rPr>
            </w:pPr>
          </w:p>
        </w:tc>
        <w:tc>
          <w:tcPr>
            <w:tcW w:w="1553" w:type="dxa"/>
            <w:gridSpan w:val="2"/>
            <w:vMerge w:val="continue"/>
            <w:noWrap w:val="0"/>
            <w:vAlign w:val="top"/>
          </w:tcPr>
          <w:p w14:paraId="56E8B090">
            <w:pPr>
              <w:rPr>
                <w:color w:val="auto"/>
              </w:rPr>
            </w:pPr>
          </w:p>
        </w:tc>
        <w:tc>
          <w:tcPr>
            <w:tcW w:w="1333" w:type="dxa"/>
            <w:gridSpan w:val="2"/>
            <w:noWrap w:val="0"/>
            <w:vAlign w:val="top"/>
          </w:tcPr>
          <w:p w14:paraId="4B352C6F">
            <w:pPr>
              <w:rPr>
                <w:color w:val="auto"/>
              </w:rPr>
            </w:pPr>
          </w:p>
        </w:tc>
        <w:tc>
          <w:tcPr>
            <w:tcW w:w="1577" w:type="dxa"/>
            <w:gridSpan w:val="2"/>
            <w:noWrap w:val="0"/>
            <w:vAlign w:val="top"/>
          </w:tcPr>
          <w:p w14:paraId="7A0ADA95">
            <w:pPr>
              <w:rPr>
                <w:color w:val="auto"/>
              </w:rPr>
            </w:pPr>
          </w:p>
        </w:tc>
        <w:tc>
          <w:tcPr>
            <w:tcW w:w="1117" w:type="dxa"/>
            <w:noWrap w:val="0"/>
            <w:vAlign w:val="top"/>
          </w:tcPr>
          <w:p w14:paraId="4D3C037A">
            <w:pPr>
              <w:rPr>
                <w:color w:val="auto"/>
              </w:rPr>
            </w:pPr>
          </w:p>
        </w:tc>
        <w:tc>
          <w:tcPr>
            <w:tcW w:w="3518" w:type="dxa"/>
            <w:gridSpan w:val="3"/>
            <w:noWrap w:val="0"/>
            <w:vAlign w:val="top"/>
          </w:tcPr>
          <w:p w14:paraId="7052A04A">
            <w:pPr>
              <w:rPr>
                <w:color w:val="auto"/>
              </w:rPr>
            </w:pPr>
          </w:p>
        </w:tc>
      </w:tr>
      <w:tr w14:paraId="760D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82" w:type="dxa"/>
            <w:vMerge w:val="continue"/>
            <w:noWrap w:val="0"/>
            <w:vAlign w:val="top"/>
          </w:tcPr>
          <w:p w14:paraId="0EA34140">
            <w:pPr>
              <w:pStyle w:val="61"/>
              <w:shd w:val="clear" w:color="auto" w:fill="FFFFFF"/>
              <w:spacing w:line="360" w:lineRule="auto"/>
              <w:ind w:left="107"/>
              <w:rPr>
                <w:bCs/>
                <w:color w:val="auto"/>
                <w:spacing w:val="16"/>
                <w:sz w:val="21"/>
                <w:szCs w:val="21"/>
              </w:rPr>
            </w:pPr>
          </w:p>
        </w:tc>
        <w:tc>
          <w:tcPr>
            <w:tcW w:w="1553" w:type="dxa"/>
            <w:gridSpan w:val="2"/>
            <w:noWrap w:val="0"/>
            <w:vAlign w:val="top"/>
          </w:tcPr>
          <w:p w14:paraId="1B519A7F">
            <w:pPr>
              <w:rPr>
                <w:color w:val="auto"/>
              </w:rPr>
            </w:pPr>
            <w:r>
              <w:rPr>
                <w:rFonts w:hint="eastAsia"/>
                <w:color w:val="auto"/>
              </w:rPr>
              <w:t>企业通过质量体系、环保体系、计量等认证情况</w:t>
            </w:r>
          </w:p>
        </w:tc>
        <w:tc>
          <w:tcPr>
            <w:tcW w:w="7545" w:type="dxa"/>
            <w:gridSpan w:val="8"/>
            <w:noWrap w:val="0"/>
            <w:vAlign w:val="top"/>
          </w:tcPr>
          <w:p w14:paraId="6CD5E0E9">
            <w:pPr>
              <w:pStyle w:val="61"/>
              <w:shd w:val="clear" w:color="auto" w:fill="FFFFFF"/>
              <w:spacing w:line="360" w:lineRule="auto"/>
              <w:rPr>
                <w:bCs/>
                <w:color w:val="auto"/>
                <w:spacing w:val="16"/>
                <w:sz w:val="21"/>
                <w:szCs w:val="21"/>
              </w:rPr>
            </w:pPr>
          </w:p>
        </w:tc>
      </w:tr>
      <w:tr w14:paraId="79AF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82" w:type="dxa"/>
            <w:vMerge w:val="continue"/>
            <w:noWrap w:val="0"/>
            <w:vAlign w:val="top"/>
          </w:tcPr>
          <w:p w14:paraId="098DEE71">
            <w:pPr>
              <w:pStyle w:val="61"/>
              <w:shd w:val="clear" w:color="auto" w:fill="FFFFFF"/>
              <w:spacing w:line="360" w:lineRule="auto"/>
              <w:ind w:left="107"/>
              <w:rPr>
                <w:bCs/>
                <w:color w:val="auto"/>
                <w:spacing w:val="27"/>
                <w:sz w:val="21"/>
                <w:szCs w:val="21"/>
              </w:rPr>
            </w:pPr>
          </w:p>
        </w:tc>
        <w:tc>
          <w:tcPr>
            <w:tcW w:w="1553" w:type="dxa"/>
            <w:gridSpan w:val="2"/>
            <w:noWrap w:val="0"/>
            <w:vAlign w:val="top"/>
          </w:tcPr>
          <w:p w14:paraId="0C7169E5">
            <w:pPr>
              <w:rPr>
                <w:color w:val="auto"/>
              </w:rPr>
            </w:pPr>
            <w:r>
              <w:rPr>
                <w:rFonts w:hint="eastAsia"/>
                <w:color w:val="auto"/>
              </w:rPr>
              <w:t>企业获得专利情况</w:t>
            </w:r>
          </w:p>
        </w:tc>
        <w:tc>
          <w:tcPr>
            <w:tcW w:w="7545" w:type="dxa"/>
            <w:gridSpan w:val="8"/>
            <w:noWrap w:val="0"/>
            <w:vAlign w:val="top"/>
          </w:tcPr>
          <w:p w14:paraId="0D365CDA">
            <w:pPr>
              <w:pStyle w:val="61"/>
              <w:shd w:val="clear" w:color="auto" w:fill="FFFFFF"/>
              <w:spacing w:line="360" w:lineRule="auto"/>
              <w:rPr>
                <w:bCs/>
                <w:color w:val="auto"/>
                <w:spacing w:val="16"/>
                <w:sz w:val="21"/>
                <w:szCs w:val="21"/>
              </w:rPr>
            </w:pPr>
          </w:p>
        </w:tc>
      </w:tr>
    </w:tbl>
    <w:p w14:paraId="11859C27">
      <w:pPr>
        <w:pStyle w:val="61"/>
        <w:shd w:val="clear" w:color="auto" w:fill="FFFFFF"/>
        <w:spacing w:before="0" w:beforeAutospacing="0" w:after="0" w:afterAutospacing="0" w:line="360" w:lineRule="auto"/>
        <w:rPr>
          <w:color w:val="auto"/>
          <w:sz w:val="21"/>
          <w:szCs w:val="21"/>
        </w:rPr>
      </w:pPr>
      <w:r>
        <w:rPr>
          <w:rFonts w:hint="eastAsia"/>
          <w:b/>
          <w:color w:val="auto"/>
          <w:sz w:val="21"/>
          <w:szCs w:val="21"/>
        </w:rPr>
        <w:t>要求：</w:t>
      </w:r>
      <w:r>
        <w:rPr>
          <w:rFonts w:ascii="仿宋_GB2312" w:eastAsia="仿宋_GB2312"/>
          <w:color w:val="auto"/>
          <w:sz w:val="21"/>
          <w:szCs w:val="21"/>
        </w:rPr>
        <w:t>1.</w:t>
      </w:r>
      <w:r>
        <w:rPr>
          <w:rFonts w:hint="eastAsia"/>
          <w:color w:val="auto"/>
          <w:sz w:val="21"/>
          <w:szCs w:val="21"/>
        </w:rPr>
        <w:t>姓名栏必须将所有股东都统计在内，若非股份公司此行（第三行）无需填写；</w:t>
      </w:r>
    </w:p>
    <w:p w14:paraId="34ABC2B8">
      <w:pPr>
        <w:ind w:firstLine="371" w:firstLineChars="177"/>
        <w:rPr>
          <w:rFonts w:ascii="宋体"/>
          <w:color w:val="auto"/>
          <w:szCs w:val="21"/>
          <w:u w:val="single"/>
        </w:rPr>
      </w:pPr>
      <w:r>
        <w:rPr>
          <w:rFonts w:hint="eastAsia" w:ascii="宋体" w:hAnsi="宋体"/>
          <w:color w:val="auto"/>
          <w:szCs w:val="21"/>
        </w:rPr>
        <w:t>投标人名称（盖章）：</w:t>
      </w:r>
    </w:p>
    <w:p w14:paraId="03376174">
      <w:pPr>
        <w:ind w:firstLine="371" w:firstLineChars="177"/>
        <w:rPr>
          <w:rFonts w:ascii="宋体"/>
          <w:color w:val="auto"/>
          <w:szCs w:val="21"/>
        </w:rPr>
      </w:pPr>
      <w:r>
        <w:rPr>
          <w:rFonts w:hint="eastAsia" w:ascii="宋体" w:hAnsi="宋体"/>
          <w:color w:val="auto"/>
          <w:szCs w:val="21"/>
        </w:rPr>
        <w:t>投标人代表签字或盖章：</w:t>
      </w:r>
    </w:p>
    <w:p w14:paraId="008B3591">
      <w:pPr>
        <w:ind w:firstLine="371" w:firstLineChars="177"/>
        <w:rPr>
          <w:rFonts w:ascii="宋体"/>
          <w:color w:val="auto"/>
          <w:szCs w:val="21"/>
          <w:u w:val="single"/>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548827A9">
      <w:pPr>
        <w:pStyle w:val="61"/>
        <w:shd w:val="clear" w:color="auto" w:fill="FFFFFF"/>
        <w:spacing w:before="0" w:beforeAutospacing="0" w:after="0" w:afterAutospacing="0"/>
        <w:ind w:firstLine="371" w:firstLineChars="177"/>
        <w:rPr>
          <w:b/>
          <w:bCs/>
          <w:color w:val="auto"/>
          <w:spacing w:val="11"/>
          <w:sz w:val="21"/>
          <w:szCs w:val="21"/>
        </w:rPr>
      </w:pPr>
      <w:r>
        <w:rPr>
          <w:rFonts w:hint="eastAsia"/>
          <w:color w:val="auto"/>
          <w:sz w:val="21"/>
          <w:szCs w:val="21"/>
        </w:rPr>
        <w:t>日</w:t>
      </w:r>
      <w:r>
        <w:rPr>
          <w:color w:val="auto"/>
          <w:sz w:val="21"/>
          <w:szCs w:val="21"/>
        </w:rPr>
        <w:t xml:space="preserve">        </w:t>
      </w:r>
      <w:r>
        <w:rPr>
          <w:rFonts w:hint="eastAsia"/>
          <w:color w:val="auto"/>
          <w:sz w:val="21"/>
          <w:szCs w:val="21"/>
        </w:rPr>
        <w:t>期：</w:t>
      </w:r>
    </w:p>
    <w:p w14:paraId="28AAC752">
      <w:pPr>
        <w:spacing w:line="360" w:lineRule="auto"/>
        <w:rPr>
          <w:rFonts w:ascii="宋体"/>
          <w:b/>
          <w:color w:val="auto"/>
          <w:sz w:val="24"/>
        </w:rPr>
      </w:pPr>
    </w:p>
    <w:p w14:paraId="5394405C">
      <w:pPr>
        <w:spacing w:line="360" w:lineRule="auto"/>
        <w:rPr>
          <w:rFonts w:hint="eastAsia" w:ascii="宋体" w:eastAsia="宋体"/>
          <w:color w:val="auto"/>
          <w:szCs w:val="21"/>
          <w:lang w:eastAsia="zh-CN"/>
        </w:rPr>
      </w:pPr>
      <w:r>
        <w:rPr>
          <w:rFonts w:hint="eastAsia" w:ascii="宋体" w:hAnsi="宋体"/>
          <w:b/>
          <w:color w:val="auto"/>
          <w:szCs w:val="21"/>
        </w:rPr>
        <w:t>附件</w:t>
      </w:r>
      <w:r>
        <w:rPr>
          <w:rFonts w:hint="eastAsia" w:ascii="宋体" w:hAnsi="宋体"/>
          <w:b/>
          <w:color w:val="auto"/>
          <w:szCs w:val="21"/>
          <w:lang w:val="en-US" w:eastAsia="zh-CN"/>
        </w:rPr>
        <w:t>8</w:t>
      </w:r>
    </w:p>
    <w:p w14:paraId="3F673DC7">
      <w:pPr>
        <w:snapToGrid w:val="0"/>
        <w:spacing w:before="156" w:beforeLines="50" w:after="50" w:line="360" w:lineRule="auto"/>
        <w:ind w:firstLine="3012" w:firstLineChars="1000"/>
        <w:rPr>
          <w:rFonts w:hint="eastAsia" w:ascii="宋体"/>
          <w:b/>
          <w:color w:val="auto"/>
          <w:sz w:val="30"/>
          <w:szCs w:val="30"/>
        </w:rPr>
      </w:pPr>
      <w:r>
        <w:rPr>
          <w:rFonts w:hint="eastAsia" w:ascii="宋体" w:hAnsi="宋体"/>
          <w:b/>
          <w:color w:val="auto"/>
          <w:sz w:val="30"/>
          <w:szCs w:val="30"/>
        </w:rPr>
        <w:t>项目实施人员一览表</w:t>
      </w:r>
    </w:p>
    <w:p w14:paraId="40AEC8EF">
      <w:pPr>
        <w:snapToGrid w:val="0"/>
        <w:spacing w:before="156" w:beforeLines="50" w:after="50" w:line="360" w:lineRule="auto"/>
        <w:ind w:firstLine="2940" w:firstLineChars="1400"/>
        <w:rPr>
          <w:rFonts w:ascii="宋体"/>
          <w:color w:val="auto"/>
          <w:szCs w:val="21"/>
        </w:rPr>
      </w:pPr>
      <w:r>
        <w:rPr>
          <w:rFonts w:hint="eastAsia" w:ascii="宋体" w:hAnsi="宋体"/>
          <w:color w:val="auto"/>
          <w:szCs w:val="21"/>
        </w:rPr>
        <w:t>（主要从业人员及其技术资格）</w:t>
      </w:r>
    </w:p>
    <w:tbl>
      <w:tblPr>
        <w:tblStyle w:val="22"/>
        <w:tblW w:w="993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3166"/>
      </w:tblGrid>
      <w:tr w14:paraId="2B461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center"/>
          </w:tcPr>
          <w:p w14:paraId="2F6792C9">
            <w:pPr>
              <w:snapToGrid w:val="0"/>
              <w:spacing w:before="156" w:beforeLines="50" w:after="50" w:line="360" w:lineRule="auto"/>
              <w:jc w:val="center"/>
              <w:rPr>
                <w:rFonts w:ascii="宋体"/>
                <w:b/>
                <w:color w:val="auto"/>
                <w:szCs w:val="21"/>
              </w:rPr>
            </w:pPr>
            <w:r>
              <w:rPr>
                <w:rFonts w:hint="eastAsia" w:ascii="宋体" w:hAnsi="宋体"/>
                <w:b/>
                <w:color w:val="auto"/>
                <w:szCs w:val="21"/>
              </w:rPr>
              <w:t>序号</w:t>
            </w:r>
          </w:p>
        </w:tc>
        <w:tc>
          <w:tcPr>
            <w:tcW w:w="543" w:type="dxa"/>
            <w:tcBorders>
              <w:top w:val="single" w:color="auto" w:sz="4" w:space="0"/>
              <w:left w:val="single" w:color="auto" w:sz="4" w:space="0"/>
              <w:bottom w:val="single" w:color="auto" w:sz="4" w:space="0"/>
              <w:right w:val="single" w:color="auto" w:sz="4" w:space="0"/>
            </w:tcBorders>
            <w:noWrap w:val="0"/>
            <w:vAlign w:val="center"/>
          </w:tcPr>
          <w:p w14:paraId="278F98FB">
            <w:pPr>
              <w:snapToGrid w:val="0"/>
              <w:spacing w:before="156" w:beforeLines="50" w:after="50" w:line="360" w:lineRule="auto"/>
              <w:jc w:val="center"/>
              <w:rPr>
                <w:rFonts w:ascii="宋体"/>
                <w:b/>
                <w:color w:val="auto"/>
                <w:szCs w:val="21"/>
              </w:rPr>
            </w:pPr>
            <w:r>
              <w:rPr>
                <w:rFonts w:hint="eastAsia" w:ascii="宋体" w:hAnsi="宋体"/>
                <w:b/>
                <w:color w:val="auto"/>
                <w:szCs w:val="21"/>
              </w:rPr>
              <w:t>姓名</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28153F58">
            <w:pPr>
              <w:snapToGrid w:val="0"/>
              <w:spacing w:before="156" w:beforeLines="50" w:after="50" w:line="360" w:lineRule="auto"/>
              <w:jc w:val="center"/>
              <w:rPr>
                <w:rFonts w:ascii="宋体"/>
                <w:b/>
                <w:color w:val="auto"/>
                <w:szCs w:val="21"/>
              </w:rPr>
            </w:pPr>
            <w:r>
              <w:rPr>
                <w:rFonts w:hint="eastAsia" w:ascii="宋体" w:hAnsi="宋体"/>
                <w:b/>
                <w:color w:val="auto"/>
                <w:szCs w:val="21"/>
              </w:rPr>
              <w:t>职务</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585A3A28">
            <w:pPr>
              <w:snapToGrid w:val="0"/>
              <w:spacing w:before="156" w:beforeLines="50" w:after="50" w:line="360" w:lineRule="auto"/>
              <w:jc w:val="center"/>
              <w:rPr>
                <w:rFonts w:ascii="宋体"/>
                <w:b/>
                <w:color w:val="auto"/>
                <w:szCs w:val="21"/>
              </w:rPr>
            </w:pPr>
            <w:r>
              <w:rPr>
                <w:rFonts w:hint="eastAsia" w:ascii="宋体" w:hAnsi="宋体"/>
                <w:b/>
                <w:color w:val="auto"/>
                <w:szCs w:val="21"/>
              </w:rPr>
              <w:t>职责</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AA1F454">
            <w:pPr>
              <w:snapToGrid w:val="0"/>
              <w:spacing w:before="156" w:beforeLines="50" w:after="50" w:line="360" w:lineRule="auto"/>
              <w:jc w:val="center"/>
              <w:rPr>
                <w:rFonts w:ascii="宋体"/>
                <w:b/>
                <w:color w:val="auto"/>
                <w:szCs w:val="21"/>
              </w:rPr>
            </w:pPr>
            <w:r>
              <w:rPr>
                <w:rFonts w:hint="eastAsia" w:ascii="宋体" w:hAnsi="宋体"/>
                <w:b/>
                <w:color w:val="auto"/>
                <w:szCs w:val="21"/>
              </w:rPr>
              <w:t>专业技术资格</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5C590C3">
            <w:pPr>
              <w:snapToGrid w:val="0"/>
              <w:spacing w:before="156" w:beforeLines="50" w:after="50" w:line="360" w:lineRule="auto"/>
              <w:jc w:val="center"/>
              <w:rPr>
                <w:rFonts w:ascii="宋体"/>
                <w:b/>
                <w:color w:val="auto"/>
                <w:szCs w:val="21"/>
              </w:rPr>
            </w:pPr>
            <w:r>
              <w:rPr>
                <w:rFonts w:hint="eastAsia" w:ascii="宋体" w:hAnsi="宋体"/>
                <w:b/>
                <w:color w:val="auto"/>
                <w:szCs w:val="21"/>
              </w:rPr>
              <w:t>证书编号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C263C63">
            <w:pPr>
              <w:snapToGrid w:val="0"/>
              <w:spacing w:before="156" w:beforeLines="50" w:after="50" w:line="360" w:lineRule="auto"/>
              <w:jc w:val="center"/>
              <w:rPr>
                <w:rFonts w:ascii="宋体"/>
                <w:b/>
                <w:bCs/>
                <w:color w:val="auto"/>
                <w:szCs w:val="21"/>
              </w:rPr>
            </w:pPr>
            <w:r>
              <w:rPr>
                <w:rFonts w:hint="eastAsia" w:ascii="宋体" w:hAnsi="宋体"/>
                <w:b/>
                <w:bCs/>
                <w:color w:val="auto"/>
                <w:szCs w:val="21"/>
              </w:rPr>
              <w:t>参加本单位工作时间</w:t>
            </w:r>
          </w:p>
        </w:tc>
        <w:tc>
          <w:tcPr>
            <w:tcW w:w="3166" w:type="dxa"/>
            <w:tcBorders>
              <w:top w:val="single" w:color="auto" w:sz="4" w:space="0"/>
              <w:left w:val="single" w:color="auto" w:sz="4" w:space="0"/>
              <w:bottom w:val="single" w:color="auto" w:sz="4" w:space="0"/>
            </w:tcBorders>
            <w:noWrap w:val="0"/>
            <w:vAlign w:val="center"/>
          </w:tcPr>
          <w:p w14:paraId="3EA724DA">
            <w:pPr>
              <w:snapToGrid w:val="0"/>
              <w:spacing w:before="156" w:beforeLines="50" w:after="50" w:line="360" w:lineRule="auto"/>
              <w:jc w:val="center"/>
              <w:rPr>
                <w:rFonts w:ascii="宋体"/>
                <w:b/>
                <w:bCs/>
                <w:color w:val="auto"/>
                <w:szCs w:val="21"/>
              </w:rPr>
            </w:pPr>
            <w:r>
              <w:rPr>
                <w:rFonts w:hint="eastAsia" w:ascii="宋体" w:hAnsi="宋体"/>
                <w:b/>
                <w:color w:val="auto"/>
                <w:szCs w:val="21"/>
              </w:rPr>
              <w:t>劳动合同编号</w:t>
            </w:r>
          </w:p>
        </w:tc>
      </w:tr>
      <w:tr w14:paraId="3F58B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2B9193AE">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0DED3E49">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44D0864">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4FAF334C">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9D83A6E">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4C0D3564">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C7569FB">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48E0F69C">
            <w:pPr>
              <w:snapToGrid w:val="0"/>
              <w:spacing w:before="156" w:beforeLines="50" w:after="50" w:line="360" w:lineRule="auto"/>
              <w:rPr>
                <w:rFonts w:ascii="宋体"/>
                <w:b/>
                <w:color w:val="auto"/>
                <w:kern w:val="44"/>
                <w:szCs w:val="21"/>
              </w:rPr>
            </w:pPr>
          </w:p>
        </w:tc>
      </w:tr>
      <w:tr w14:paraId="69DB4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762BE01F">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13A21D63">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23FA86A6">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6158F20F">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4CFB147F">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28BB4646">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F1932E0">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6E23F26E">
            <w:pPr>
              <w:snapToGrid w:val="0"/>
              <w:spacing w:before="156" w:beforeLines="50" w:after="50" w:line="360" w:lineRule="auto"/>
              <w:rPr>
                <w:rFonts w:ascii="宋体"/>
                <w:b/>
                <w:color w:val="auto"/>
                <w:kern w:val="44"/>
                <w:szCs w:val="21"/>
              </w:rPr>
            </w:pPr>
          </w:p>
        </w:tc>
      </w:tr>
      <w:tr w14:paraId="4933D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1034A9AF">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33569216">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1B2995D2">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3A4478B8">
            <w:pPr>
              <w:pStyle w:val="13"/>
              <w:snapToGrid w:val="0"/>
              <w:spacing w:before="156" w:beforeLines="50" w:after="50" w:line="360" w:lineRule="auto"/>
              <w:ind w:left="5250"/>
              <w:rPr>
                <w:rFonts w:ascii="宋体" w:hAnsi="宋体"/>
                <w:b/>
                <w:color w:val="auto"/>
                <w:kern w:val="44"/>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63D48A2">
            <w:pPr>
              <w:pStyle w:val="13"/>
              <w:snapToGrid w:val="0"/>
              <w:spacing w:before="156" w:beforeLines="50" w:after="50" w:line="360" w:lineRule="auto"/>
              <w:ind w:left="5250"/>
              <w:rPr>
                <w:rFonts w:ascii="宋体" w:hAnsi="宋体"/>
                <w:b/>
                <w:color w:val="auto"/>
                <w:kern w:val="44"/>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0A24AE46">
            <w:pPr>
              <w:pStyle w:val="13"/>
              <w:spacing w:line="360" w:lineRule="auto"/>
              <w:ind w:left="5250"/>
              <w:rPr>
                <w:rFonts w:ascii="宋体"/>
                <w:color w:val="auto"/>
                <w:sz w:val="21"/>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CD87906">
            <w:pPr>
              <w:snapToGrid w:val="0"/>
              <w:spacing w:before="156" w:beforeLines="50" w:after="50" w:line="360" w:lineRule="auto"/>
              <w:rPr>
                <w:rFonts w:ascii="宋体"/>
                <w:color w:val="auto"/>
                <w:szCs w:val="21"/>
              </w:rPr>
            </w:pPr>
          </w:p>
        </w:tc>
        <w:tc>
          <w:tcPr>
            <w:tcW w:w="3166" w:type="dxa"/>
            <w:tcBorders>
              <w:top w:val="single" w:color="auto" w:sz="4" w:space="0"/>
              <w:left w:val="single" w:color="auto" w:sz="4" w:space="0"/>
              <w:bottom w:val="single" w:color="auto" w:sz="4" w:space="0"/>
            </w:tcBorders>
            <w:noWrap w:val="0"/>
            <w:vAlign w:val="top"/>
          </w:tcPr>
          <w:p w14:paraId="582F461C">
            <w:pPr>
              <w:snapToGrid w:val="0"/>
              <w:spacing w:before="156" w:beforeLines="50" w:after="50" w:line="360" w:lineRule="auto"/>
              <w:rPr>
                <w:rFonts w:ascii="宋体"/>
                <w:b/>
                <w:color w:val="auto"/>
                <w:kern w:val="44"/>
                <w:szCs w:val="21"/>
              </w:rPr>
            </w:pPr>
          </w:p>
        </w:tc>
      </w:tr>
      <w:tr w14:paraId="09DDBA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23307D5E">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71C111CC">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2F1C21F7">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64AB97E1">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470A5E9D">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39735CB1">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456CDD3">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691C774A">
            <w:pPr>
              <w:snapToGrid w:val="0"/>
              <w:spacing w:before="156" w:beforeLines="50" w:after="50" w:line="360" w:lineRule="auto"/>
              <w:rPr>
                <w:rFonts w:ascii="宋体"/>
                <w:b/>
                <w:color w:val="auto"/>
                <w:kern w:val="44"/>
                <w:szCs w:val="21"/>
              </w:rPr>
            </w:pPr>
          </w:p>
        </w:tc>
      </w:tr>
      <w:tr w14:paraId="06437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74038F3A">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3FCB674F">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546CD41F">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1DF373D2">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BE3E984">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0CF2C2F2">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4528836">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4DD72B82">
            <w:pPr>
              <w:snapToGrid w:val="0"/>
              <w:spacing w:before="156" w:beforeLines="50" w:after="50" w:line="360" w:lineRule="auto"/>
              <w:rPr>
                <w:rFonts w:ascii="宋体"/>
                <w:b/>
                <w:color w:val="auto"/>
                <w:kern w:val="44"/>
                <w:szCs w:val="21"/>
              </w:rPr>
            </w:pPr>
          </w:p>
        </w:tc>
      </w:tr>
      <w:tr w14:paraId="309A0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3EC4302A">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37C87BC5">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A7287B4">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30C123F9">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09A4658">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7EC8D4AD">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8D4FB94">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49122334">
            <w:pPr>
              <w:snapToGrid w:val="0"/>
              <w:spacing w:before="156" w:beforeLines="50" w:after="50" w:line="360" w:lineRule="auto"/>
              <w:rPr>
                <w:rFonts w:ascii="宋体"/>
                <w:b/>
                <w:color w:val="auto"/>
                <w:kern w:val="44"/>
                <w:szCs w:val="21"/>
              </w:rPr>
            </w:pPr>
          </w:p>
        </w:tc>
      </w:tr>
      <w:tr w14:paraId="6131C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1C10B98B">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2D5688A3">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456C7692">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4486C721">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40E6FF3A">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7F69DF80">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6A00A89">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02EA7663">
            <w:pPr>
              <w:snapToGrid w:val="0"/>
              <w:spacing w:before="156" w:beforeLines="50" w:after="50" w:line="360" w:lineRule="auto"/>
              <w:rPr>
                <w:rFonts w:ascii="宋体"/>
                <w:b/>
                <w:color w:val="auto"/>
                <w:kern w:val="44"/>
                <w:szCs w:val="21"/>
              </w:rPr>
            </w:pPr>
          </w:p>
        </w:tc>
      </w:tr>
      <w:tr w14:paraId="1BC966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3E8ECE9D">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641BF469">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1E144EAF">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6C565C55">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F1EFF99">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544E8524">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BDC2DDB">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469CB823">
            <w:pPr>
              <w:snapToGrid w:val="0"/>
              <w:spacing w:before="156" w:beforeLines="50" w:after="50" w:line="360" w:lineRule="auto"/>
              <w:rPr>
                <w:rFonts w:ascii="宋体"/>
                <w:b/>
                <w:color w:val="auto"/>
                <w:kern w:val="44"/>
                <w:szCs w:val="21"/>
              </w:rPr>
            </w:pPr>
          </w:p>
        </w:tc>
      </w:tr>
      <w:tr w14:paraId="74E0F4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bottom w:val="single" w:color="auto" w:sz="4" w:space="0"/>
              <w:right w:val="single" w:color="auto" w:sz="4" w:space="0"/>
            </w:tcBorders>
            <w:noWrap w:val="0"/>
            <w:vAlign w:val="top"/>
          </w:tcPr>
          <w:p w14:paraId="1E00137C">
            <w:pPr>
              <w:snapToGrid w:val="0"/>
              <w:spacing w:before="156" w:beforeLines="50" w:after="50" w:line="360" w:lineRule="auto"/>
              <w:rPr>
                <w:rFonts w:ascii="宋体"/>
                <w:color w:val="auto"/>
                <w:szCs w:val="21"/>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250E959F">
            <w:pPr>
              <w:snapToGrid w:val="0"/>
              <w:spacing w:before="156" w:beforeLines="50" w:after="50" w:line="360" w:lineRule="auto"/>
              <w:rPr>
                <w:rFonts w:asci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5404E443">
            <w:pPr>
              <w:snapToGrid w:val="0"/>
              <w:spacing w:before="156" w:beforeLines="50" w:after="50" w:line="360" w:lineRule="auto"/>
              <w:rPr>
                <w:rFonts w:asci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15F21932">
            <w:pPr>
              <w:snapToGrid w:val="0"/>
              <w:spacing w:before="156" w:beforeLines="50" w:after="50" w:line="360" w:lineRule="auto"/>
              <w:rPr>
                <w:rFonts w:asci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CE97C25">
            <w:pPr>
              <w:snapToGrid w:val="0"/>
              <w:spacing w:before="156" w:beforeLines="50" w:after="50" w:line="360" w:lineRule="auto"/>
              <w:rPr>
                <w:rFonts w:asci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55E5B342">
            <w:pPr>
              <w:snapToGrid w:val="0"/>
              <w:spacing w:before="156" w:beforeLines="50" w:after="50" w:line="360" w:lineRule="auto"/>
              <w:rPr>
                <w:rFonts w:ascii="宋体"/>
                <w:b/>
                <w:color w:val="auto"/>
                <w:kern w:val="44"/>
                <w:szCs w:val="21"/>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23E093F">
            <w:pPr>
              <w:snapToGrid w:val="0"/>
              <w:spacing w:before="156" w:beforeLines="50" w:after="50" w:line="360" w:lineRule="auto"/>
              <w:rPr>
                <w:rFonts w:ascii="宋体"/>
                <w:b/>
                <w:color w:val="auto"/>
                <w:kern w:val="44"/>
                <w:szCs w:val="21"/>
              </w:rPr>
            </w:pPr>
          </w:p>
        </w:tc>
        <w:tc>
          <w:tcPr>
            <w:tcW w:w="3166" w:type="dxa"/>
            <w:tcBorders>
              <w:top w:val="single" w:color="auto" w:sz="4" w:space="0"/>
              <w:left w:val="single" w:color="auto" w:sz="4" w:space="0"/>
              <w:bottom w:val="single" w:color="auto" w:sz="4" w:space="0"/>
            </w:tcBorders>
            <w:noWrap w:val="0"/>
            <w:vAlign w:val="top"/>
          </w:tcPr>
          <w:p w14:paraId="5C0846CE">
            <w:pPr>
              <w:snapToGrid w:val="0"/>
              <w:spacing w:before="156" w:beforeLines="50" w:after="50" w:line="360" w:lineRule="auto"/>
              <w:rPr>
                <w:rFonts w:ascii="宋体"/>
                <w:b/>
                <w:color w:val="auto"/>
                <w:kern w:val="44"/>
                <w:szCs w:val="21"/>
              </w:rPr>
            </w:pPr>
          </w:p>
        </w:tc>
      </w:tr>
    </w:tbl>
    <w:p w14:paraId="7E8E08B5">
      <w:pPr>
        <w:spacing w:line="360" w:lineRule="auto"/>
        <w:rPr>
          <w:rFonts w:ascii="宋体"/>
          <w:b/>
          <w:color w:val="auto"/>
          <w:szCs w:val="21"/>
        </w:rPr>
      </w:pPr>
      <w:r>
        <w:rPr>
          <w:rFonts w:hint="eastAsia" w:ascii="宋体" w:hAnsi="宋体"/>
          <w:b/>
          <w:color w:val="auto"/>
          <w:szCs w:val="21"/>
        </w:rPr>
        <w:t>要求：</w:t>
      </w:r>
    </w:p>
    <w:p w14:paraId="07ED1A67">
      <w:pPr>
        <w:spacing w:line="360" w:lineRule="auto"/>
        <w:ind w:left="437"/>
        <w:rPr>
          <w:rFonts w:ascii="宋体"/>
          <w:color w:val="auto"/>
          <w:szCs w:val="21"/>
        </w:rPr>
      </w:pPr>
      <w:r>
        <w:rPr>
          <w:rFonts w:ascii="宋体" w:hAnsi="宋体"/>
          <w:b/>
          <w:color w:val="auto"/>
          <w:szCs w:val="21"/>
        </w:rPr>
        <w:t>1.</w:t>
      </w:r>
      <w:r>
        <w:rPr>
          <w:rFonts w:hint="eastAsia" w:ascii="宋体" w:hAnsi="宋体"/>
          <w:color w:val="auto"/>
          <w:szCs w:val="21"/>
        </w:rPr>
        <w:t>在填写时，如本表格不适合投标单位的实际情况，可根据本表格式自行划表填写。</w:t>
      </w:r>
    </w:p>
    <w:p w14:paraId="146F20FD">
      <w:pPr>
        <w:pStyle w:val="48"/>
        <w:spacing w:line="360" w:lineRule="auto"/>
        <w:ind w:left="424" w:leftChars="202"/>
        <w:rPr>
          <w:rFonts w:hint="eastAsia" w:ascii="宋体"/>
          <w:color w:val="auto"/>
          <w:szCs w:val="21"/>
        </w:rPr>
      </w:pPr>
      <w:r>
        <w:rPr>
          <w:rFonts w:ascii="宋体" w:hAnsi="宋体"/>
          <w:color w:val="auto"/>
          <w:szCs w:val="21"/>
        </w:rPr>
        <w:t>2.</w:t>
      </w:r>
      <w:r>
        <w:rPr>
          <w:rFonts w:hint="eastAsia" w:ascii="宋体" w:hAnsi="宋体"/>
          <w:color w:val="auto"/>
          <w:szCs w:val="21"/>
        </w:rPr>
        <w:t>附人员证书复印件。</w:t>
      </w:r>
    </w:p>
    <w:p w14:paraId="637A8855">
      <w:pPr>
        <w:pStyle w:val="48"/>
        <w:spacing w:line="360" w:lineRule="auto"/>
        <w:ind w:left="424" w:hanging="424" w:hangingChars="202"/>
        <w:rPr>
          <w:rFonts w:ascii="宋体"/>
          <w:color w:val="auto"/>
          <w:szCs w:val="21"/>
        </w:rPr>
      </w:pPr>
      <w:r>
        <w:rPr>
          <w:rFonts w:hint="eastAsia"/>
          <w:color w:val="auto"/>
        </w:rPr>
        <w:t>　　</w:t>
      </w:r>
      <w:r>
        <w:rPr>
          <w:color w:val="auto"/>
        </w:rPr>
        <w:t>3.</w:t>
      </w:r>
      <w:r>
        <w:rPr>
          <w:rFonts w:hint="eastAsia"/>
          <w:color w:val="auto"/>
        </w:rPr>
        <w:t>出具上述人员在本单位服务的外部证明，如：投标截止日之前3个月以内的代缴个税税单、参加社会保险的《投保单》或《社会保险参保人员证明》等。</w:t>
      </w:r>
    </w:p>
    <w:p w14:paraId="0BE7344E">
      <w:pPr>
        <w:ind w:left="420"/>
        <w:rPr>
          <w:rFonts w:hint="eastAsia" w:ascii="宋体" w:hAnsi="宋体"/>
          <w:color w:val="auto"/>
          <w:szCs w:val="21"/>
        </w:rPr>
      </w:pPr>
    </w:p>
    <w:p w14:paraId="61AABAEB">
      <w:pPr>
        <w:ind w:firstLine="371" w:firstLineChars="177"/>
        <w:rPr>
          <w:rFonts w:ascii="宋体" w:hAnsi="宋体"/>
          <w:color w:val="auto"/>
          <w:szCs w:val="21"/>
          <w:u w:val="single"/>
        </w:rPr>
      </w:pPr>
      <w:r>
        <w:rPr>
          <w:rFonts w:hint="eastAsia" w:ascii="宋体" w:hAnsi="宋体"/>
          <w:color w:val="auto"/>
          <w:szCs w:val="21"/>
        </w:rPr>
        <w:t>投标人名称（盖章）：</w:t>
      </w:r>
      <w:r>
        <w:rPr>
          <w:rFonts w:hint="eastAsia" w:ascii="宋体" w:hAnsi="宋体"/>
          <w:color w:val="auto"/>
          <w:szCs w:val="21"/>
          <w:u w:val="single"/>
        </w:rPr>
        <w:t xml:space="preserve">                          </w:t>
      </w:r>
    </w:p>
    <w:p w14:paraId="76D29BAD">
      <w:pPr>
        <w:ind w:left="420"/>
        <w:rPr>
          <w:rFonts w:ascii="宋体" w:hAnsi="宋体"/>
          <w:color w:val="auto"/>
          <w:szCs w:val="21"/>
        </w:rPr>
      </w:pPr>
    </w:p>
    <w:p w14:paraId="3589EE63">
      <w:pPr>
        <w:ind w:firstLine="371" w:firstLineChars="177"/>
        <w:rPr>
          <w:rFonts w:ascii="宋体" w:hAnsi="宋体"/>
          <w:color w:val="auto"/>
          <w:szCs w:val="21"/>
        </w:rPr>
      </w:pPr>
      <w:r>
        <w:rPr>
          <w:rFonts w:hint="eastAsia" w:ascii="宋体" w:hAnsi="宋体"/>
          <w:color w:val="auto"/>
          <w:szCs w:val="21"/>
        </w:rPr>
        <w:t>投标人代表签字：</w:t>
      </w:r>
      <w:r>
        <w:rPr>
          <w:rFonts w:hint="eastAsia" w:ascii="宋体" w:hAnsi="宋体"/>
          <w:color w:val="auto"/>
          <w:szCs w:val="21"/>
          <w:u w:val="single"/>
        </w:rPr>
        <w:t xml:space="preserve">                          </w:t>
      </w:r>
    </w:p>
    <w:p w14:paraId="0AFDDA27">
      <w:pPr>
        <w:ind w:firstLine="435"/>
        <w:rPr>
          <w:rFonts w:ascii="宋体" w:hAnsi="宋体"/>
          <w:color w:val="auto"/>
          <w:szCs w:val="21"/>
        </w:rPr>
      </w:pPr>
    </w:p>
    <w:p w14:paraId="74F0DCF0">
      <w:pPr>
        <w:ind w:firstLine="371" w:firstLineChars="177"/>
        <w:rPr>
          <w:rFonts w:ascii="宋体" w:hAnsi="宋体"/>
          <w:color w:val="auto"/>
          <w:szCs w:val="21"/>
          <w:u w:val="single"/>
        </w:rPr>
      </w:pPr>
      <w:r>
        <w:rPr>
          <w:rFonts w:hint="eastAsia" w:ascii="宋体" w:hAnsi="宋体"/>
          <w:color w:val="auto"/>
          <w:szCs w:val="21"/>
        </w:rPr>
        <w:t>职        务：</w:t>
      </w:r>
      <w:r>
        <w:rPr>
          <w:rFonts w:hint="eastAsia" w:ascii="宋体" w:hAnsi="宋体"/>
          <w:color w:val="auto"/>
          <w:szCs w:val="21"/>
          <w:u w:val="single"/>
        </w:rPr>
        <w:t xml:space="preserve">                             </w:t>
      </w:r>
    </w:p>
    <w:p w14:paraId="6547F4BE">
      <w:pPr>
        <w:rPr>
          <w:rFonts w:ascii="宋体" w:hAnsi="宋体"/>
          <w:color w:val="auto"/>
          <w:szCs w:val="21"/>
        </w:rPr>
      </w:pPr>
    </w:p>
    <w:p w14:paraId="5A756437">
      <w:pPr>
        <w:pStyle w:val="61"/>
        <w:shd w:val="clear" w:color="auto" w:fill="FFFFFF"/>
        <w:spacing w:before="0" w:beforeAutospacing="0" w:after="0" w:afterAutospacing="0"/>
        <w:ind w:firstLine="371" w:firstLineChars="177"/>
        <w:rPr>
          <w:rFonts w:hint="eastAsia"/>
          <w:b/>
          <w:color w:val="auto"/>
          <w:sz w:val="21"/>
          <w:szCs w:val="21"/>
        </w:rPr>
      </w:pPr>
      <w:r>
        <w:rPr>
          <w:rFonts w:hint="eastAsia"/>
          <w:color w:val="auto"/>
          <w:sz w:val="21"/>
          <w:szCs w:val="21"/>
        </w:rPr>
        <w:t>日        期：</w:t>
      </w:r>
      <w:r>
        <w:rPr>
          <w:rFonts w:hint="eastAsia"/>
          <w:color w:val="auto"/>
          <w:sz w:val="21"/>
          <w:szCs w:val="21"/>
          <w:u w:val="single"/>
        </w:rPr>
        <w:t xml:space="preserve">                            </w:t>
      </w:r>
    </w:p>
    <w:p w14:paraId="6E2054A1">
      <w:pPr>
        <w:ind w:firstLine="435"/>
        <w:rPr>
          <w:rFonts w:ascii="宋体"/>
          <w:color w:val="auto"/>
          <w:szCs w:val="21"/>
        </w:rPr>
      </w:pPr>
    </w:p>
    <w:p w14:paraId="2F581D46">
      <w:pPr>
        <w:spacing w:line="360" w:lineRule="auto"/>
        <w:rPr>
          <w:rFonts w:hint="eastAsia" w:ascii="宋体" w:eastAsia="宋体"/>
          <w:color w:val="auto"/>
          <w:szCs w:val="21"/>
          <w:lang w:eastAsia="zh-CN"/>
        </w:rPr>
      </w:pPr>
      <w:r>
        <w:rPr>
          <w:rFonts w:hint="eastAsia" w:ascii="宋体" w:hAnsi="宋体"/>
          <w:b/>
          <w:color w:val="auto"/>
          <w:szCs w:val="21"/>
        </w:rPr>
        <w:t>附件</w:t>
      </w:r>
      <w:r>
        <w:rPr>
          <w:rFonts w:hint="eastAsia" w:ascii="宋体" w:hAnsi="宋体"/>
          <w:b/>
          <w:color w:val="auto"/>
          <w:szCs w:val="21"/>
          <w:lang w:val="en-US" w:eastAsia="zh-CN"/>
        </w:rPr>
        <w:t>9</w:t>
      </w:r>
    </w:p>
    <w:p w14:paraId="00CAF673">
      <w:pPr>
        <w:spacing w:before="156" w:beforeLines="50" w:after="156" w:afterLines="50" w:line="360" w:lineRule="auto"/>
        <w:ind w:right="-10"/>
        <w:jc w:val="center"/>
        <w:rPr>
          <w:rFonts w:ascii="宋体"/>
          <w:b/>
          <w:bCs/>
          <w:color w:val="auto"/>
          <w:sz w:val="30"/>
          <w:szCs w:val="30"/>
        </w:rPr>
      </w:pPr>
      <w:r>
        <w:rPr>
          <w:rFonts w:hint="eastAsia" w:ascii="宋体" w:hAnsi="宋体"/>
          <w:b/>
          <w:bCs/>
          <w:color w:val="auto"/>
          <w:sz w:val="30"/>
          <w:szCs w:val="30"/>
        </w:rPr>
        <w:t>项目负责人资格情况表</w:t>
      </w:r>
    </w:p>
    <w:p w14:paraId="29502393">
      <w:pPr>
        <w:spacing w:line="360" w:lineRule="auto"/>
        <w:rPr>
          <w:rFonts w:ascii="宋体"/>
          <w:color w:val="auto"/>
          <w:szCs w:val="21"/>
        </w:rPr>
      </w:pPr>
      <w:r>
        <w:rPr>
          <w:rFonts w:hint="eastAsia" w:ascii="宋体" w:hAnsi="宋体"/>
          <w:color w:val="auto"/>
          <w:szCs w:val="21"/>
        </w:rPr>
        <w:t>采购项目：</w:t>
      </w:r>
      <w:r>
        <w:rPr>
          <w:rFonts w:ascii="宋体" w:hAnsi="宋体"/>
          <w:color w:val="auto"/>
          <w:szCs w:val="21"/>
        </w:rPr>
        <w:t xml:space="preserve">                                            </w:t>
      </w:r>
      <w:r>
        <w:rPr>
          <w:rFonts w:hint="eastAsia" w:ascii="宋体" w:hAnsi="宋体"/>
          <w:color w:val="auto"/>
          <w:szCs w:val="21"/>
        </w:rPr>
        <w:t>采购编号：</w:t>
      </w:r>
    </w:p>
    <w:tbl>
      <w:tblPr>
        <w:tblStyle w:val="22"/>
        <w:tblW w:w="966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4725"/>
      </w:tblGrid>
      <w:tr w14:paraId="54D1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tcBorders>
            <w:noWrap w:val="0"/>
            <w:vAlign w:val="center"/>
          </w:tcPr>
          <w:p w14:paraId="261A1E6B">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姓名</w:t>
            </w:r>
          </w:p>
        </w:tc>
        <w:tc>
          <w:tcPr>
            <w:tcW w:w="2967" w:type="dxa"/>
            <w:tcBorders>
              <w:top w:val="single" w:color="auto" w:sz="12" w:space="0"/>
            </w:tcBorders>
            <w:noWrap w:val="0"/>
            <w:vAlign w:val="center"/>
          </w:tcPr>
          <w:p w14:paraId="3FDC8E82">
            <w:pPr>
              <w:autoSpaceDE w:val="0"/>
              <w:autoSpaceDN w:val="0"/>
              <w:adjustRightInd w:val="0"/>
              <w:snapToGrid w:val="0"/>
              <w:spacing w:line="360" w:lineRule="auto"/>
              <w:jc w:val="center"/>
              <w:rPr>
                <w:rFonts w:ascii="宋体"/>
                <w:color w:val="auto"/>
                <w:szCs w:val="21"/>
                <w:lang w:val="zh-CN"/>
              </w:rPr>
            </w:pPr>
          </w:p>
        </w:tc>
        <w:tc>
          <w:tcPr>
            <w:tcW w:w="4725" w:type="dxa"/>
            <w:tcBorders>
              <w:top w:val="single" w:color="auto" w:sz="12" w:space="0"/>
              <w:right w:val="single" w:color="auto" w:sz="12" w:space="0"/>
            </w:tcBorders>
            <w:noWrap w:val="0"/>
            <w:vAlign w:val="center"/>
          </w:tcPr>
          <w:p w14:paraId="6C7AE40E">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近年来主要工作简历</w:t>
            </w:r>
          </w:p>
        </w:tc>
      </w:tr>
      <w:tr w14:paraId="1EB5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noWrap w:val="0"/>
            <w:vAlign w:val="center"/>
          </w:tcPr>
          <w:p w14:paraId="7AE0A4CD">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性别</w:t>
            </w:r>
          </w:p>
        </w:tc>
        <w:tc>
          <w:tcPr>
            <w:tcW w:w="2967" w:type="dxa"/>
            <w:noWrap w:val="0"/>
            <w:vAlign w:val="center"/>
          </w:tcPr>
          <w:p w14:paraId="2598873D">
            <w:pPr>
              <w:autoSpaceDE w:val="0"/>
              <w:autoSpaceDN w:val="0"/>
              <w:adjustRightInd w:val="0"/>
              <w:snapToGrid w:val="0"/>
              <w:spacing w:line="360" w:lineRule="auto"/>
              <w:jc w:val="center"/>
              <w:rPr>
                <w:rFonts w:ascii="宋体"/>
                <w:color w:val="auto"/>
                <w:szCs w:val="21"/>
                <w:lang w:val="zh-CN"/>
              </w:rPr>
            </w:pPr>
          </w:p>
        </w:tc>
        <w:tc>
          <w:tcPr>
            <w:tcW w:w="4725" w:type="dxa"/>
            <w:vMerge w:val="restart"/>
            <w:tcBorders>
              <w:right w:val="single" w:color="auto" w:sz="12" w:space="0"/>
            </w:tcBorders>
            <w:noWrap w:val="0"/>
            <w:vAlign w:val="center"/>
          </w:tcPr>
          <w:p w14:paraId="63B8C83A">
            <w:pPr>
              <w:autoSpaceDE w:val="0"/>
              <w:autoSpaceDN w:val="0"/>
              <w:adjustRightInd w:val="0"/>
              <w:snapToGrid w:val="0"/>
              <w:spacing w:line="360" w:lineRule="auto"/>
              <w:jc w:val="center"/>
              <w:rPr>
                <w:rFonts w:ascii="宋体"/>
                <w:color w:val="auto"/>
                <w:szCs w:val="21"/>
                <w:lang w:val="zh-CN"/>
              </w:rPr>
            </w:pPr>
          </w:p>
        </w:tc>
      </w:tr>
      <w:tr w14:paraId="78CF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noWrap w:val="0"/>
            <w:vAlign w:val="center"/>
          </w:tcPr>
          <w:p w14:paraId="7734B386">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年龄</w:t>
            </w:r>
          </w:p>
        </w:tc>
        <w:tc>
          <w:tcPr>
            <w:tcW w:w="2967" w:type="dxa"/>
            <w:noWrap w:val="0"/>
            <w:vAlign w:val="center"/>
          </w:tcPr>
          <w:p w14:paraId="53E7A460">
            <w:pPr>
              <w:autoSpaceDE w:val="0"/>
              <w:autoSpaceDN w:val="0"/>
              <w:adjustRightInd w:val="0"/>
              <w:snapToGrid w:val="0"/>
              <w:spacing w:line="360" w:lineRule="auto"/>
              <w:jc w:val="center"/>
              <w:rPr>
                <w:rFonts w:ascii="宋体"/>
                <w:color w:val="auto"/>
                <w:szCs w:val="21"/>
                <w:lang w:val="zh-CN"/>
              </w:rPr>
            </w:pPr>
          </w:p>
        </w:tc>
        <w:tc>
          <w:tcPr>
            <w:tcW w:w="4725" w:type="dxa"/>
            <w:vMerge w:val="continue"/>
            <w:tcBorders>
              <w:right w:val="single" w:color="auto" w:sz="12" w:space="0"/>
            </w:tcBorders>
            <w:noWrap w:val="0"/>
            <w:vAlign w:val="center"/>
          </w:tcPr>
          <w:p w14:paraId="11E4E21C">
            <w:pPr>
              <w:autoSpaceDE w:val="0"/>
              <w:autoSpaceDN w:val="0"/>
              <w:adjustRightInd w:val="0"/>
              <w:snapToGrid w:val="0"/>
              <w:spacing w:line="360" w:lineRule="auto"/>
              <w:jc w:val="center"/>
              <w:rPr>
                <w:rFonts w:ascii="宋体"/>
                <w:color w:val="auto"/>
                <w:szCs w:val="21"/>
                <w:lang w:val="zh-CN"/>
              </w:rPr>
            </w:pPr>
          </w:p>
        </w:tc>
      </w:tr>
      <w:tr w14:paraId="0847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noWrap w:val="0"/>
            <w:vAlign w:val="center"/>
          </w:tcPr>
          <w:p w14:paraId="44F0A76C">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职称（或岗位证书）</w:t>
            </w:r>
          </w:p>
        </w:tc>
        <w:tc>
          <w:tcPr>
            <w:tcW w:w="2967" w:type="dxa"/>
            <w:noWrap w:val="0"/>
            <w:vAlign w:val="center"/>
          </w:tcPr>
          <w:p w14:paraId="12BB72F6">
            <w:pPr>
              <w:autoSpaceDE w:val="0"/>
              <w:autoSpaceDN w:val="0"/>
              <w:adjustRightInd w:val="0"/>
              <w:snapToGrid w:val="0"/>
              <w:spacing w:line="360" w:lineRule="auto"/>
              <w:jc w:val="center"/>
              <w:rPr>
                <w:rFonts w:ascii="宋体"/>
                <w:color w:val="auto"/>
                <w:szCs w:val="21"/>
                <w:lang w:val="zh-CN"/>
              </w:rPr>
            </w:pPr>
          </w:p>
        </w:tc>
        <w:tc>
          <w:tcPr>
            <w:tcW w:w="4725" w:type="dxa"/>
            <w:vMerge w:val="continue"/>
            <w:tcBorders>
              <w:right w:val="single" w:color="auto" w:sz="12" w:space="0"/>
            </w:tcBorders>
            <w:noWrap w:val="0"/>
            <w:vAlign w:val="center"/>
          </w:tcPr>
          <w:p w14:paraId="0BFC3889">
            <w:pPr>
              <w:autoSpaceDE w:val="0"/>
              <w:autoSpaceDN w:val="0"/>
              <w:adjustRightInd w:val="0"/>
              <w:snapToGrid w:val="0"/>
              <w:spacing w:line="360" w:lineRule="auto"/>
              <w:jc w:val="center"/>
              <w:rPr>
                <w:rFonts w:ascii="宋体"/>
                <w:color w:val="auto"/>
                <w:szCs w:val="21"/>
                <w:lang w:val="zh-CN"/>
              </w:rPr>
            </w:pPr>
          </w:p>
        </w:tc>
      </w:tr>
      <w:tr w14:paraId="493B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noWrap w:val="0"/>
            <w:vAlign w:val="center"/>
          </w:tcPr>
          <w:p w14:paraId="0E58581A">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毕业时间</w:t>
            </w:r>
          </w:p>
        </w:tc>
        <w:tc>
          <w:tcPr>
            <w:tcW w:w="2967" w:type="dxa"/>
            <w:noWrap w:val="0"/>
            <w:vAlign w:val="center"/>
          </w:tcPr>
          <w:p w14:paraId="4C9A631C">
            <w:pPr>
              <w:autoSpaceDE w:val="0"/>
              <w:autoSpaceDN w:val="0"/>
              <w:adjustRightInd w:val="0"/>
              <w:snapToGrid w:val="0"/>
              <w:spacing w:line="360" w:lineRule="auto"/>
              <w:jc w:val="center"/>
              <w:rPr>
                <w:rFonts w:ascii="宋体"/>
                <w:color w:val="auto"/>
                <w:szCs w:val="21"/>
                <w:lang w:val="zh-CN"/>
              </w:rPr>
            </w:pPr>
          </w:p>
        </w:tc>
        <w:tc>
          <w:tcPr>
            <w:tcW w:w="4725" w:type="dxa"/>
            <w:vMerge w:val="continue"/>
            <w:tcBorders>
              <w:right w:val="single" w:color="auto" w:sz="12" w:space="0"/>
            </w:tcBorders>
            <w:noWrap w:val="0"/>
            <w:vAlign w:val="center"/>
          </w:tcPr>
          <w:p w14:paraId="4CF3E345">
            <w:pPr>
              <w:autoSpaceDE w:val="0"/>
              <w:autoSpaceDN w:val="0"/>
              <w:adjustRightInd w:val="0"/>
              <w:snapToGrid w:val="0"/>
              <w:spacing w:line="360" w:lineRule="auto"/>
              <w:jc w:val="center"/>
              <w:rPr>
                <w:rFonts w:ascii="宋体"/>
                <w:color w:val="auto"/>
                <w:szCs w:val="21"/>
                <w:lang w:val="zh-CN"/>
              </w:rPr>
            </w:pPr>
          </w:p>
        </w:tc>
      </w:tr>
      <w:tr w14:paraId="4D54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noWrap w:val="0"/>
            <w:vAlign w:val="center"/>
          </w:tcPr>
          <w:p w14:paraId="00C731FB">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学校专业</w:t>
            </w:r>
          </w:p>
        </w:tc>
        <w:tc>
          <w:tcPr>
            <w:tcW w:w="2967" w:type="dxa"/>
            <w:noWrap w:val="0"/>
            <w:vAlign w:val="center"/>
          </w:tcPr>
          <w:p w14:paraId="57B5F84B">
            <w:pPr>
              <w:autoSpaceDE w:val="0"/>
              <w:autoSpaceDN w:val="0"/>
              <w:adjustRightInd w:val="0"/>
              <w:snapToGrid w:val="0"/>
              <w:spacing w:line="360" w:lineRule="auto"/>
              <w:jc w:val="center"/>
              <w:rPr>
                <w:rFonts w:ascii="宋体"/>
                <w:color w:val="auto"/>
                <w:szCs w:val="21"/>
                <w:lang w:val="zh-CN"/>
              </w:rPr>
            </w:pPr>
          </w:p>
        </w:tc>
        <w:tc>
          <w:tcPr>
            <w:tcW w:w="4725" w:type="dxa"/>
            <w:vMerge w:val="continue"/>
            <w:tcBorders>
              <w:right w:val="single" w:color="auto" w:sz="12" w:space="0"/>
            </w:tcBorders>
            <w:noWrap w:val="0"/>
            <w:vAlign w:val="center"/>
          </w:tcPr>
          <w:p w14:paraId="67410EA3">
            <w:pPr>
              <w:autoSpaceDE w:val="0"/>
              <w:autoSpaceDN w:val="0"/>
              <w:adjustRightInd w:val="0"/>
              <w:snapToGrid w:val="0"/>
              <w:spacing w:line="360" w:lineRule="auto"/>
              <w:jc w:val="center"/>
              <w:rPr>
                <w:rFonts w:ascii="宋体"/>
                <w:color w:val="auto"/>
                <w:szCs w:val="21"/>
                <w:lang w:val="zh-CN"/>
              </w:rPr>
            </w:pPr>
          </w:p>
        </w:tc>
      </w:tr>
      <w:tr w14:paraId="4418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noWrap w:val="0"/>
            <w:vAlign w:val="center"/>
          </w:tcPr>
          <w:p w14:paraId="677B9909">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联系电话</w:t>
            </w:r>
          </w:p>
        </w:tc>
        <w:tc>
          <w:tcPr>
            <w:tcW w:w="2967" w:type="dxa"/>
            <w:noWrap w:val="0"/>
            <w:vAlign w:val="center"/>
          </w:tcPr>
          <w:p w14:paraId="439CBE1E">
            <w:pPr>
              <w:autoSpaceDE w:val="0"/>
              <w:autoSpaceDN w:val="0"/>
              <w:adjustRightInd w:val="0"/>
              <w:snapToGrid w:val="0"/>
              <w:spacing w:line="360" w:lineRule="auto"/>
              <w:jc w:val="center"/>
              <w:rPr>
                <w:rFonts w:ascii="宋体"/>
                <w:color w:val="auto"/>
                <w:szCs w:val="21"/>
                <w:lang w:val="zh-CN"/>
              </w:rPr>
            </w:pPr>
          </w:p>
        </w:tc>
        <w:tc>
          <w:tcPr>
            <w:tcW w:w="4725" w:type="dxa"/>
            <w:vMerge w:val="continue"/>
            <w:tcBorders>
              <w:right w:val="single" w:color="auto" w:sz="12" w:space="0"/>
            </w:tcBorders>
            <w:noWrap w:val="0"/>
            <w:vAlign w:val="center"/>
          </w:tcPr>
          <w:p w14:paraId="4B684699">
            <w:pPr>
              <w:autoSpaceDE w:val="0"/>
              <w:autoSpaceDN w:val="0"/>
              <w:adjustRightInd w:val="0"/>
              <w:snapToGrid w:val="0"/>
              <w:spacing w:line="360" w:lineRule="auto"/>
              <w:jc w:val="center"/>
              <w:rPr>
                <w:rFonts w:ascii="宋体"/>
                <w:color w:val="auto"/>
                <w:szCs w:val="21"/>
                <w:lang w:val="zh-CN"/>
              </w:rPr>
            </w:pPr>
          </w:p>
        </w:tc>
      </w:tr>
      <w:tr w14:paraId="750F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noWrap w:val="0"/>
            <w:vAlign w:val="center"/>
          </w:tcPr>
          <w:p w14:paraId="2C276CF9">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rPr>
              <w:t>最近一年工作状况</w:t>
            </w:r>
          </w:p>
        </w:tc>
        <w:tc>
          <w:tcPr>
            <w:tcW w:w="2967" w:type="dxa"/>
            <w:noWrap w:val="0"/>
            <w:vAlign w:val="center"/>
          </w:tcPr>
          <w:p w14:paraId="08FD6278">
            <w:pPr>
              <w:autoSpaceDE w:val="0"/>
              <w:autoSpaceDN w:val="0"/>
              <w:adjustRightInd w:val="0"/>
              <w:snapToGrid w:val="0"/>
              <w:spacing w:line="360" w:lineRule="auto"/>
              <w:jc w:val="center"/>
              <w:rPr>
                <w:rFonts w:ascii="宋体"/>
                <w:color w:val="auto"/>
                <w:szCs w:val="21"/>
                <w:lang w:val="zh-CN"/>
              </w:rPr>
            </w:pPr>
          </w:p>
        </w:tc>
        <w:tc>
          <w:tcPr>
            <w:tcW w:w="4725" w:type="dxa"/>
            <w:vMerge w:val="continue"/>
            <w:tcBorders>
              <w:right w:val="single" w:color="auto" w:sz="12" w:space="0"/>
            </w:tcBorders>
            <w:noWrap w:val="0"/>
            <w:vAlign w:val="center"/>
          </w:tcPr>
          <w:p w14:paraId="33F99666">
            <w:pPr>
              <w:autoSpaceDE w:val="0"/>
              <w:autoSpaceDN w:val="0"/>
              <w:adjustRightInd w:val="0"/>
              <w:snapToGrid w:val="0"/>
              <w:spacing w:line="360" w:lineRule="auto"/>
              <w:jc w:val="center"/>
              <w:rPr>
                <w:rFonts w:ascii="宋体"/>
                <w:color w:val="auto"/>
                <w:szCs w:val="21"/>
                <w:lang w:val="zh-CN"/>
              </w:rPr>
            </w:pPr>
          </w:p>
        </w:tc>
      </w:tr>
      <w:tr w14:paraId="0D4E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left w:val="single" w:color="auto" w:sz="12" w:space="0"/>
              <w:bottom w:val="single" w:color="auto" w:sz="12" w:space="0"/>
            </w:tcBorders>
            <w:noWrap w:val="0"/>
            <w:vAlign w:val="center"/>
          </w:tcPr>
          <w:p w14:paraId="4C19A7AC">
            <w:pPr>
              <w:autoSpaceDE w:val="0"/>
              <w:autoSpaceDN w:val="0"/>
              <w:adjustRightInd w:val="0"/>
              <w:snapToGrid w:val="0"/>
              <w:spacing w:line="360" w:lineRule="auto"/>
              <w:jc w:val="center"/>
              <w:rPr>
                <w:rFonts w:ascii="宋体"/>
                <w:b/>
                <w:bCs/>
                <w:color w:val="auto"/>
                <w:szCs w:val="21"/>
                <w:lang w:val="zh-CN"/>
              </w:rPr>
            </w:pPr>
            <w:r>
              <w:rPr>
                <w:rFonts w:hint="eastAsia" w:ascii="宋体" w:hAnsi="宋体"/>
                <w:b/>
                <w:bCs/>
                <w:color w:val="auto"/>
                <w:szCs w:val="21"/>
                <w:lang w:val="zh-CN"/>
              </w:rPr>
              <w:t>拟在本项目中担任主要工作</w:t>
            </w:r>
          </w:p>
        </w:tc>
        <w:tc>
          <w:tcPr>
            <w:tcW w:w="7692" w:type="dxa"/>
            <w:gridSpan w:val="2"/>
            <w:tcBorders>
              <w:bottom w:val="single" w:color="auto" w:sz="12" w:space="0"/>
              <w:right w:val="single" w:color="auto" w:sz="12" w:space="0"/>
            </w:tcBorders>
            <w:noWrap w:val="0"/>
            <w:vAlign w:val="center"/>
          </w:tcPr>
          <w:p w14:paraId="1EDE3270">
            <w:pPr>
              <w:autoSpaceDE w:val="0"/>
              <w:autoSpaceDN w:val="0"/>
              <w:adjustRightInd w:val="0"/>
              <w:snapToGrid w:val="0"/>
              <w:spacing w:line="360" w:lineRule="auto"/>
              <w:jc w:val="center"/>
              <w:rPr>
                <w:rFonts w:ascii="宋体"/>
                <w:color w:val="auto"/>
                <w:szCs w:val="21"/>
                <w:lang w:val="zh-CN"/>
              </w:rPr>
            </w:pPr>
          </w:p>
        </w:tc>
      </w:tr>
    </w:tbl>
    <w:p w14:paraId="28171551">
      <w:pPr>
        <w:spacing w:line="360" w:lineRule="auto"/>
        <w:ind w:left="420"/>
        <w:rPr>
          <w:rFonts w:ascii="宋体"/>
          <w:color w:val="auto"/>
          <w:sz w:val="24"/>
        </w:rPr>
      </w:pPr>
    </w:p>
    <w:p w14:paraId="314AB539">
      <w:pPr>
        <w:ind w:firstLine="371" w:firstLineChars="177"/>
        <w:rPr>
          <w:rFonts w:ascii="宋体" w:hAnsi="宋体"/>
          <w:color w:val="auto"/>
          <w:szCs w:val="21"/>
          <w:u w:val="single"/>
        </w:rPr>
      </w:pPr>
      <w:r>
        <w:rPr>
          <w:rFonts w:hint="eastAsia" w:ascii="宋体" w:hAnsi="宋体"/>
          <w:color w:val="auto"/>
          <w:szCs w:val="21"/>
        </w:rPr>
        <w:t>投标人名称（盖章）：</w:t>
      </w:r>
      <w:r>
        <w:rPr>
          <w:rFonts w:hint="eastAsia" w:ascii="宋体" w:hAnsi="宋体"/>
          <w:color w:val="auto"/>
          <w:szCs w:val="21"/>
          <w:u w:val="single"/>
        </w:rPr>
        <w:t xml:space="preserve">                          </w:t>
      </w:r>
    </w:p>
    <w:p w14:paraId="290F3BAA">
      <w:pPr>
        <w:ind w:left="420"/>
        <w:rPr>
          <w:rFonts w:ascii="宋体" w:hAnsi="宋体"/>
          <w:color w:val="auto"/>
          <w:szCs w:val="21"/>
        </w:rPr>
      </w:pPr>
    </w:p>
    <w:p w14:paraId="620E4A89">
      <w:pPr>
        <w:ind w:firstLine="371" w:firstLineChars="177"/>
        <w:rPr>
          <w:rFonts w:ascii="宋体" w:hAnsi="宋体"/>
          <w:color w:val="auto"/>
          <w:szCs w:val="21"/>
        </w:rPr>
      </w:pPr>
      <w:r>
        <w:rPr>
          <w:rFonts w:hint="eastAsia" w:ascii="宋体" w:hAnsi="宋体"/>
          <w:color w:val="auto"/>
          <w:szCs w:val="21"/>
        </w:rPr>
        <w:t>投标人代表签字：</w:t>
      </w:r>
      <w:r>
        <w:rPr>
          <w:rFonts w:hint="eastAsia" w:ascii="宋体" w:hAnsi="宋体"/>
          <w:color w:val="auto"/>
          <w:szCs w:val="21"/>
          <w:u w:val="single"/>
        </w:rPr>
        <w:t xml:space="preserve">                          </w:t>
      </w:r>
    </w:p>
    <w:p w14:paraId="482CCE67">
      <w:pPr>
        <w:ind w:firstLine="435"/>
        <w:rPr>
          <w:rFonts w:ascii="宋体" w:hAnsi="宋体"/>
          <w:color w:val="auto"/>
          <w:szCs w:val="21"/>
        </w:rPr>
      </w:pPr>
    </w:p>
    <w:p w14:paraId="379528E5">
      <w:pPr>
        <w:ind w:firstLine="371" w:firstLineChars="177"/>
        <w:rPr>
          <w:rFonts w:ascii="宋体" w:hAnsi="宋体"/>
          <w:color w:val="auto"/>
          <w:szCs w:val="21"/>
          <w:u w:val="single"/>
        </w:rPr>
      </w:pPr>
      <w:r>
        <w:rPr>
          <w:rFonts w:hint="eastAsia" w:ascii="宋体" w:hAnsi="宋体"/>
          <w:color w:val="auto"/>
          <w:szCs w:val="21"/>
        </w:rPr>
        <w:t>职        务：</w:t>
      </w:r>
      <w:r>
        <w:rPr>
          <w:rFonts w:hint="eastAsia" w:ascii="宋体" w:hAnsi="宋体"/>
          <w:color w:val="auto"/>
          <w:szCs w:val="21"/>
          <w:u w:val="single"/>
        </w:rPr>
        <w:t xml:space="preserve">                             </w:t>
      </w:r>
    </w:p>
    <w:p w14:paraId="64AF89D6">
      <w:pPr>
        <w:rPr>
          <w:rFonts w:ascii="宋体" w:hAnsi="宋体"/>
          <w:color w:val="auto"/>
          <w:szCs w:val="21"/>
        </w:rPr>
      </w:pPr>
    </w:p>
    <w:p w14:paraId="0C308304">
      <w:pPr>
        <w:pStyle w:val="61"/>
        <w:shd w:val="clear" w:color="auto" w:fill="FFFFFF"/>
        <w:spacing w:before="0" w:beforeAutospacing="0" w:after="0" w:afterAutospacing="0"/>
        <w:ind w:firstLine="371" w:firstLineChars="177"/>
        <w:rPr>
          <w:rFonts w:hint="eastAsia"/>
          <w:b/>
          <w:color w:val="auto"/>
          <w:sz w:val="21"/>
          <w:szCs w:val="21"/>
        </w:rPr>
      </w:pPr>
      <w:r>
        <w:rPr>
          <w:rFonts w:hint="eastAsia"/>
          <w:color w:val="auto"/>
          <w:sz w:val="21"/>
          <w:szCs w:val="21"/>
        </w:rPr>
        <w:t>日        期：</w:t>
      </w:r>
      <w:r>
        <w:rPr>
          <w:rFonts w:hint="eastAsia"/>
          <w:color w:val="auto"/>
          <w:sz w:val="21"/>
          <w:szCs w:val="21"/>
          <w:u w:val="single"/>
        </w:rPr>
        <w:t xml:space="preserve">                            </w:t>
      </w:r>
    </w:p>
    <w:p w14:paraId="2711C237">
      <w:pPr>
        <w:ind w:firstLine="435"/>
        <w:rPr>
          <w:rFonts w:ascii="宋体"/>
          <w:color w:val="auto"/>
          <w:szCs w:val="21"/>
        </w:rPr>
      </w:pPr>
    </w:p>
    <w:p w14:paraId="54B1BB21">
      <w:pPr>
        <w:ind w:firstLine="435"/>
        <w:rPr>
          <w:rFonts w:ascii="宋体"/>
          <w:color w:val="auto"/>
          <w:szCs w:val="21"/>
        </w:rPr>
      </w:pPr>
    </w:p>
    <w:p w14:paraId="0D7102E5">
      <w:pPr>
        <w:ind w:firstLine="435"/>
        <w:rPr>
          <w:rFonts w:hint="eastAsia" w:ascii="宋体"/>
          <w:color w:val="auto"/>
          <w:szCs w:val="21"/>
        </w:rPr>
      </w:pPr>
    </w:p>
    <w:p w14:paraId="588D4667">
      <w:pPr>
        <w:pStyle w:val="9"/>
        <w:rPr>
          <w:rFonts w:hint="eastAsia"/>
          <w:color w:val="auto"/>
        </w:rPr>
      </w:pPr>
    </w:p>
    <w:p w14:paraId="7C2A702B">
      <w:pPr>
        <w:snapToGrid w:val="0"/>
        <w:spacing w:before="50" w:after="50" w:line="360" w:lineRule="auto"/>
        <w:rPr>
          <w:rFonts w:hint="default" w:ascii="宋体" w:eastAsia="宋体"/>
          <w:b/>
          <w:color w:val="auto"/>
          <w:szCs w:val="21"/>
          <w:lang w:val="en-US" w:eastAsia="zh-CN"/>
        </w:rPr>
      </w:pPr>
      <w:r>
        <w:rPr>
          <w:rFonts w:hint="eastAsia" w:ascii="宋体" w:hAnsi="宋体"/>
          <w:b/>
          <w:color w:val="auto"/>
          <w:szCs w:val="21"/>
        </w:rPr>
        <w:t>附件</w:t>
      </w:r>
      <w:r>
        <w:rPr>
          <w:rFonts w:hint="eastAsia" w:ascii="宋体" w:hAnsi="宋体"/>
          <w:b/>
          <w:color w:val="auto"/>
          <w:szCs w:val="21"/>
          <w:lang w:val="en-US" w:eastAsia="zh-CN"/>
        </w:rPr>
        <w:t>10</w:t>
      </w:r>
    </w:p>
    <w:p w14:paraId="5764AB4C">
      <w:pPr>
        <w:spacing w:line="360" w:lineRule="auto"/>
        <w:jc w:val="center"/>
        <w:rPr>
          <w:rFonts w:ascii="宋体"/>
          <w:b/>
          <w:color w:val="auto"/>
          <w:sz w:val="30"/>
          <w:szCs w:val="30"/>
        </w:rPr>
      </w:pPr>
      <w:r>
        <w:rPr>
          <w:rFonts w:hint="eastAsia" w:ascii="宋体" w:hAnsi="宋体"/>
          <w:b/>
          <w:color w:val="auto"/>
          <w:sz w:val="30"/>
          <w:szCs w:val="30"/>
        </w:rPr>
        <w:t>供货清单</w:t>
      </w:r>
    </w:p>
    <w:p w14:paraId="2623F382">
      <w:pPr>
        <w:spacing w:line="360" w:lineRule="auto"/>
        <w:ind w:left="480"/>
        <w:rPr>
          <w:rFonts w:ascii="宋体"/>
          <w:color w:val="auto"/>
        </w:rPr>
      </w:pPr>
    </w:p>
    <w:p w14:paraId="6759AAA0">
      <w:pPr>
        <w:spacing w:line="360" w:lineRule="auto"/>
        <w:rPr>
          <w:rFonts w:ascii="宋体"/>
          <w:color w:val="auto"/>
          <w:szCs w:val="21"/>
        </w:rPr>
      </w:pPr>
      <w:r>
        <w:rPr>
          <w:rFonts w:ascii="宋体" w:hAnsi="宋体"/>
          <w:color w:val="auto"/>
          <w:szCs w:val="21"/>
        </w:rPr>
        <w:t xml:space="preserve">  </w:t>
      </w:r>
      <w:r>
        <w:rPr>
          <w:rFonts w:hint="eastAsia" w:ascii="宋体" w:hAnsi="宋体"/>
          <w:color w:val="auto"/>
          <w:szCs w:val="21"/>
        </w:rPr>
        <w:t>项目编号：</w:t>
      </w:r>
    </w:p>
    <w:p w14:paraId="01F03428">
      <w:pPr>
        <w:spacing w:line="360" w:lineRule="auto"/>
        <w:ind w:left="420"/>
        <w:rPr>
          <w:rFonts w:ascii="宋体"/>
          <w:color w:val="auto"/>
          <w:sz w:val="24"/>
        </w:rPr>
      </w:pPr>
    </w:p>
    <w:tbl>
      <w:tblPr>
        <w:tblStyle w:val="22"/>
        <w:tblW w:w="95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812"/>
        <w:gridCol w:w="1491"/>
        <w:gridCol w:w="1842"/>
        <w:gridCol w:w="1827"/>
        <w:gridCol w:w="2010"/>
      </w:tblGrid>
      <w:tr w14:paraId="5785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noWrap w:val="0"/>
            <w:vAlign w:val="center"/>
          </w:tcPr>
          <w:p w14:paraId="28BFF45C">
            <w:pPr>
              <w:spacing w:line="360" w:lineRule="auto"/>
              <w:rPr>
                <w:rFonts w:ascii="宋体"/>
                <w:b/>
                <w:color w:val="auto"/>
                <w:szCs w:val="21"/>
              </w:rPr>
            </w:pPr>
            <w:r>
              <w:rPr>
                <w:rFonts w:hint="eastAsia" w:ascii="宋体" w:hAnsi="宋体"/>
                <w:b/>
                <w:color w:val="auto"/>
                <w:szCs w:val="21"/>
              </w:rPr>
              <w:t>序号</w:t>
            </w:r>
          </w:p>
        </w:tc>
        <w:tc>
          <w:tcPr>
            <w:tcW w:w="1812" w:type="dxa"/>
            <w:noWrap w:val="0"/>
            <w:vAlign w:val="center"/>
          </w:tcPr>
          <w:p w14:paraId="295B5D6F">
            <w:pPr>
              <w:tabs>
                <w:tab w:val="left" w:pos="8280"/>
              </w:tabs>
              <w:autoSpaceDE w:val="0"/>
              <w:autoSpaceDN w:val="0"/>
              <w:adjustRightInd w:val="0"/>
              <w:spacing w:line="360" w:lineRule="auto"/>
              <w:ind w:right="25" w:firstLine="316" w:firstLineChars="150"/>
              <w:jc w:val="center"/>
              <w:rPr>
                <w:rFonts w:ascii="宋体"/>
                <w:b/>
                <w:color w:val="auto"/>
                <w:szCs w:val="21"/>
              </w:rPr>
            </w:pPr>
            <w:r>
              <w:rPr>
                <w:rFonts w:hint="eastAsia" w:ascii="宋体" w:hAnsi="宋体"/>
                <w:b/>
                <w:color w:val="auto"/>
                <w:szCs w:val="21"/>
              </w:rPr>
              <w:t>名称</w:t>
            </w:r>
          </w:p>
        </w:tc>
        <w:tc>
          <w:tcPr>
            <w:tcW w:w="1491" w:type="dxa"/>
            <w:noWrap w:val="0"/>
            <w:vAlign w:val="center"/>
          </w:tcPr>
          <w:p w14:paraId="495E776B">
            <w:pPr>
              <w:tabs>
                <w:tab w:val="left" w:pos="8280"/>
              </w:tabs>
              <w:autoSpaceDE w:val="0"/>
              <w:autoSpaceDN w:val="0"/>
              <w:adjustRightInd w:val="0"/>
              <w:spacing w:line="360" w:lineRule="auto"/>
              <w:ind w:right="25"/>
              <w:jc w:val="center"/>
              <w:rPr>
                <w:rFonts w:ascii="宋体"/>
                <w:b/>
                <w:color w:val="auto"/>
                <w:szCs w:val="21"/>
              </w:rPr>
            </w:pPr>
            <w:r>
              <w:rPr>
                <w:rFonts w:hint="eastAsia" w:ascii="宋体" w:hAnsi="宋体"/>
                <w:b/>
                <w:color w:val="auto"/>
                <w:szCs w:val="21"/>
              </w:rPr>
              <w:t>品牌</w:t>
            </w:r>
          </w:p>
        </w:tc>
        <w:tc>
          <w:tcPr>
            <w:tcW w:w="1842" w:type="dxa"/>
            <w:noWrap w:val="0"/>
            <w:vAlign w:val="center"/>
          </w:tcPr>
          <w:p w14:paraId="6865F58E">
            <w:pPr>
              <w:tabs>
                <w:tab w:val="left" w:pos="8280"/>
              </w:tabs>
              <w:autoSpaceDE w:val="0"/>
              <w:autoSpaceDN w:val="0"/>
              <w:adjustRightInd w:val="0"/>
              <w:spacing w:line="360" w:lineRule="auto"/>
              <w:ind w:right="25"/>
              <w:jc w:val="center"/>
              <w:rPr>
                <w:rFonts w:ascii="宋体"/>
                <w:b/>
                <w:color w:val="auto"/>
                <w:szCs w:val="21"/>
              </w:rPr>
            </w:pPr>
            <w:r>
              <w:rPr>
                <w:rFonts w:hint="eastAsia" w:ascii="宋体" w:hAnsi="宋体"/>
                <w:b/>
                <w:color w:val="auto"/>
                <w:szCs w:val="21"/>
              </w:rPr>
              <w:t>规格型号</w:t>
            </w:r>
          </w:p>
        </w:tc>
        <w:tc>
          <w:tcPr>
            <w:tcW w:w="1827" w:type="dxa"/>
            <w:noWrap w:val="0"/>
            <w:vAlign w:val="center"/>
          </w:tcPr>
          <w:p w14:paraId="3EE5B229">
            <w:pPr>
              <w:spacing w:line="360" w:lineRule="auto"/>
              <w:ind w:left="52"/>
              <w:jc w:val="center"/>
              <w:rPr>
                <w:rFonts w:ascii="宋体"/>
                <w:b/>
                <w:color w:val="auto"/>
                <w:szCs w:val="21"/>
              </w:rPr>
            </w:pPr>
            <w:r>
              <w:rPr>
                <w:rFonts w:hint="eastAsia" w:ascii="宋体" w:hAnsi="宋体"/>
                <w:b/>
                <w:color w:val="auto"/>
                <w:szCs w:val="21"/>
              </w:rPr>
              <w:t>产地</w:t>
            </w:r>
          </w:p>
        </w:tc>
        <w:tc>
          <w:tcPr>
            <w:tcW w:w="2010" w:type="dxa"/>
            <w:noWrap w:val="0"/>
            <w:vAlign w:val="center"/>
          </w:tcPr>
          <w:p w14:paraId="12059853">
            <w:pPr>
              <w:spacing w:line="360" w:lineRule="auto"/>
              <w:ind w:left="152"/>
              <w:jc w:val="center"/>
              <w:rPr>
                <w:rFonts w:ascii="宋体"/>
                <w:b/>
                <w:color w:val="auto"/>
                <w:szCs w:val="21"/>
              </w:rPr>
            </w:pPr>
            <w:r>
              <w:rPr>
                <w:rFonts w:hint="eastAsia" w:ascii="宋体" w:hAnsi="宋体"/>
                <w:b/>
                <w:color w:val="auto"/>
                <w:szCs w:val="21"/>
              </w:rPr>
              <w:t>数量</w:t>
            </w:r>
          </w:p>
        </w:tc>
      </w:tr>
      <w:tr w14:paraId="42A9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noWrap w:val="0"/>
            <w:vAlign w:val="center"/>
          </w:tcPr>
          <w:p w14:paraId="3230331B">
            <w:pPr>
              <w:spacing w:line="360" w:lineRule="auto"/>
              <w:rPr>
                <w:rFonts w:ascii="宋体"/>
                <w:color w:val="auto"/>
                <w:sz w:val="24"/>
              </w:rPr>
            </w:pPr>
          </w:p>
        </w:tc>
        <w:tc>
          <w:tcPr>
            <w:tcW w:w="1812" w:type="dxa"/>
            <w:noWrap w:val="0"/>
            <w:vAlign w:val="center"/>
          </w:tcPr>
          <w:p w14:paraId="4093BCD3">
            <w:pPr>
              <w:spacing w:line="360" w:lineRule="auto"/>
              <w:rPr>
                <w:rFonts w:ascii="宋体"/>
                <w:color w:val="auto"/>
                <w:sz w:val="24"/>
              </w:rPr>
            </w:pPr>
          </w:p>
        </w:tc>
        <w:tc>
          <w:tcPr>
            <w:tcW w:w="1491" w:type="dxa"/>
            <w:noWrap w:val="0"/>
            <w:vAlign w:val="center"/>
          </w:tcPr>
          <w:p w14:paraId="43E728EF">
            <w:pPr>
              <w:spacing w:line="360" w:lineRule="auto"/>
              <w:rPr>
                <w:rFonts w:ascii="宋体"/>
                <w:color w:val="auto"/>
                <w:sz w:val="24"/>
              </w:rPr>
            </w:pPr>
          </w:p>
        </w:tc>
        <w:tc>
          <w:tcPr>
            <w:tcW w:w="1842" w:type="dxa"/>
            <w:noWrap w:val="0"/>
            <w:vAlign w:val="center"/>
          </w:tcPr>
          <w:p w14:paraId="7AAC27D9">
            <w:pPr>
              <w:spacing w:line="360" w:lineRule="auto"/>
              <w:rPr>
                <w:rFonts w:ascii="宋体"/>
                <w:color w:val="auto"/>
                <w:sz w:val="24"/>
              </w:rPr>
            </w:pPr>
          </w:p>
        </w:tc>
        <w:tc>
          <w:tcPr>
            <w:tcW w:w="1827" w:type="dxa"/>
            <w:noWrap w:val="0"/>
            <w:vAlign w:val="center"/>
          </w:tcPr>
          <w:p w14:paraId="3FE4372A">
            <w:pPr>
              <w:spacing w:line="360" w:lineRule="auto"/>
              <w:rPr>
                <w:rFonts w:ascii="宋体"/>
                <w:color w:val="auto"/>
                <w:sz w:val="24"/>
              </w:rPr>
            </w:pPr>
          </w:p>
        </w:tc>
        <w:tc>
          <w:tcPr>
            <w:tcW w:w="2010" w:type="dxa"/>
            <w:noWrap w:val="0"/>
            <w:vAlign w:val="center"/>
          </w:tcPr>
          <w:p w14:paraId="1B35529A">
            <w:pPr>
              <w:spacing w:line="360" w:lineRule="auto"/>
              <w:rPr>
                <w:rFonts w:ascii="宋体"/>
                <w:color w:val="auto"/>
                <w:sz w:val="24"/>
              </w:rPr>
            </w:pPr>
          </w:p>
        </w:tc>
      </w:tr>
      <w:tr w14:paraId="7267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noWrap w:val="0"/>
            <w:vAlign w:val="center"/>
          </w:tcPr>
          <w:p w14:paraId="2BCD4864">
            <w:pPr>
              <w:spacing w:line="360" w:lineRule="auto"/>
              <w:rPr>
                <w:rFonts w:ascii="宋体"/>
                <w:color w:val="auto"/>
                <w:sz w:val="24"/>
              </w:rPr>
            </w:pPr>
          </w:p>
        </w:tc>
        <w:tc>
          <w:tcPr>
            <w:tcW w:w="1812" w:type="dxa"/>
            <w:noWrap w:val="0"/>
            <w:vAlign w:val="center"/>
          </w:tcPr>
          <w:p w14:paraId="20918F05">
            <w:pPr>
              <w:spacing w:line="360" w:lineRule="auto"/>
              <w:rPr>
                <w:rFonts w:ascii="宋体"/>
                <w:color w:val="auto"/>
                <w:sz w:val="24"/>
              </w:rPr>
            </w:pPr>
          </w:p>
        </w:tc>
        <w:tc>
          <w:tcPr>
            <w:tcW w:w="1491" w:type="dxa"/>
            <w:noWrap w:val="0"/>
            <w:vAlign w:val="center"/>
          </w:tcPr>
          <w:p w14:paraId="25ADE5F4">
            <w:pPr>
              <w:spacing w:line="360" w:lineRule="auto"/>
              <w:rPr>
                <w:rFonts w:ascii="宋体"/>
                <w:color w:val="auto"/>
                <w:sz w:val="24"/>
              </w:rPr>
            </w:pPr>
          </w:p>
        </w:tc>
        <w:tc>
          <w:tcPr>
            <w:tcW w:w="1842" w:type="dxa"/>
            <w:noWrap w:val="0"/>
            <w:vAlign w:val="center"/>
          </w:tcPr>
          <w:p w14:paraId="1FCAE779">
            <w:pPr>
              <w:spacing w:line="360" w:lineRule="auto"/>
              <w:rPr>
                <w:rFonts w:ascii="宋体"/>
                <w:color w:val="auto"/>
                <w:sz w:val="24"/>
              </w:rPr>
            </w:pPr>
          </w:p>
        </w:tc>
        <w:tc>
          <w:tcPr>
            <w:tcW w:w="1827" w:type="dxa"/>
            <w:noWrap w:val="0"/>
            <w:vAlign w:val="center"/>
          </w:tcPr>
          <w:p w14:paraId="6BB9D636">
            <w:pPr>
              <w:spacing w:line="360" w:lineRule="auto"/>
              <w:rPr>
                <w:rFonts w:ascii="宋体"/>
                <w:color w:val="auto"/>
                <w:sz w:val="24"/>
              </w:rPr>
            </w:pPr>
          </w:p>
        </w:tc>
        <w:tc>
          <w:tcPr>
            <w:tcW w:w="2010" w:type="dxa"/>
            <w:noWrap w:val="0"/>
            <w:vAlign w:val="center"/>
          </w:tcPr>
          <w:p w14:paraId="2B6FF7BE">
            <w:pPr>
              <w:spacing w:line="360" w:lineRule="auto"/>
              <w:rPr>
                <w:rFonts w:ascii="宋体"/>
                <w:color w:val="auto"/>
                <w:sz w:val="24"/>
              </w:rPr>
            </w:pPr>
          </w:p>
        </w:tc>
      </w:tr>
      <w:tr w14:paraId="47C1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noWrap w:val="0"/>
            <w:vAlign w:val="center"/>
          </w:tcPr>
          <w:p w14:paraId="0F21DE8B">
            <w:pPr>
              <w:spacing w:line="360" w:lineRule="auto"/>
              <w:rPr>
                <w:rFonts w:ascii="宋体"/>
                <w:color w:val="auto"/>
                <w:sz w:val="24"/>
              </w:rPr>
            </w:pPr>
          </w:p>
        </w:tc>
        <w:tc>
          <w:tcPr>
            <w:tcW w:w="1812" w:type="dxa"/>
            <w:noWrap w:val="0"/>
            <w:vAlign w:val="center"/>
          </w:tcPr>
          <w:p w14:paraId="7E76A22D">
            <w:pPr>
              <w:spacing w:line="360" w:lineRule="auto"/>
              <w:rPr>
                <w:rFonts w:ascii="宋体"/>
                <w:color w:val="auto"/>
                <w:sz w:val="24"/>
              </w:rPr>
            </w:pPr>
          </w:p>
        </w:tc>
        <w:tc>
          <w:tcPr>
            <w:tcW w:w="1491" w:type="dxa"/>
            <w:noWrap w:val="0"/>
            <w:vAlign w:val="center"/>
          </w:tcPr>
          <w:p w14:paraId="60889A7B">
            <w:pPr>
              <w:spacing w:line="360" w:lineRule="auto"/>
              <w:rPr>
                <w:rFonts w:ascii="宋体"/>
                <w:color w:val="auto"/>
                <w:sz w:val="24"/>
              </w:rPr>
            </w:pPr>
          </w:p>
        </w:tc>
        <w:tc>
          <w:tcPr>
            <w:tcW w:w="1842" w:type="dxa"/>
            <w:noWrap w:val="0"/>
            <w:vAlign w:val="center"/>
          </w:tcPr>
          <w:p w14:paraId="04699223">
            <w:pPr>
              <w:spacing w:line="360" w:lineRule="auto"/>
              <w:rPr>
                <w:rFonts w:ascii="宋体"/>
                <w:color w:val="auto"/>
                <w:sz w:val="24"/>
              </w:rPr>
            </w:pPr>
          </w:p>
        </w:tc>
        <w:tc>
          <w:tcPr>
            <w:tcW w:w="1827" w:type="dxa"/>
            <w:noWrap w:val="0"/>
            <w:vAlign w:val="center"/>
          </w:tcPr>
          <w:p w14:paraId="2E0E1882">
            <w:pPr>
              <w:spacing w:line="360" w:lineRule="auto"/>
              <w:rPr>
                <w:rFonts w:ascii="宋体"/>
                <w:color w:val="auto"/>
                <w:sz w:val="24"/>
              </w:rPr>
            </w:pPr>
          </w:p>
        </w:tc>
        <w:tc>
          <w:tcPr>
            <w:tcW w:w="2010" w:type="dxa"/>
            <w:noWrap w:val="0"/>
            <w:vAlign w:val="center"/>
          </w:tcPr>
          <w:p w14:paraId="51E14CB9">
            <w:pPr>
              <w:spacing w:line="360" w:lineRule="auto"/>
              <w:rPr>
                <w:rFonts w:ascii="宋体"/>
                <w:color w:val="auto"/>
                <w:sz w:val="24"/>
              </w:rPr>
            </w:pPr>
          </w:p>
        </w:tc>
      </w:tr>
      <w:tr w14:paraId="106B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noWrap w:val="0"/>
            <w:vAlign w:val="center"/>
          </w:tcPr>
          <w:p w14:paraId="326AA15A">
            <w:pPr>
              <w:spacing w:line="360" w:lineRule="auto"/>
              <w:rPr>
                <w:rFonts w:ascii="宋体"/>
                <w:color w:val="auto"/>
                <w:sz w:val="24"/>
              </w:rPr>
            </w:pPr>
          </w:p>
        </w:tc>
        <w:tc>
          <w:tcPr>
            <w:tcW w:w="1812" w:type="dxa"/>
            <w:noWrap w:val="0"/>
            <w:vAlign w:val="center"/>
          </w:tcPr>
          <w:p w14:paraId="1B48516B">
            <w:pPr>
              <w:spacing w:line="360" w:lineRule="auto"/>
              <w:rPr>
                <w:rFonts w:ascii="宋体"/>
                <w:color w:val="auto"/>
                <w:sz w:val="24"/>
              </w:rPr>
            </w:pPr>
          </w:p>
        </w:tc>
        <w:tc>
          <w:tcPr>
            <w:tcW w:w="1491" w:type="dxa"/>
            <w:noWrap w:val="0"/>
            <w:vAlign w:val="center"/>
          </w:tcPr>
          <w:p w14:paraId="0FF987CE">
            <w:pPr>
              <w:spacing w:line="360" w:lineRule="auto"/>
              <w:rPr>
                <w:rFonts w:ascii="宋体"/>
                <w:color w:val="auto"/>
                <w:sz w:val="24"/>
              </w:rPr>
            </w:pPr>
          </w:p>
        </w:tc>
        <w:tc>
          <w:tcPr>
            <w:tcW w:w="1842" w:type="dxa"/>
            <w:noWrap w:val="0"/>
            <w:vAlign w:val="center"/>
          </w:tcPr>
          <w:p w14:paraId="3361DC01">
            <w:pPr>
              <w:spacing w:line="360" w:lineRule="auto"/>
              <w:rPr>
                <w:rFonts w:ascii="宋体"/>
                <w:color w:val="auto"/>
                <w:sz w:val="24"/>
              </w:rPr>
            </w:pPr>
          </w:p>
        </w:tc>
        <w:tc>
          <w:tcPr>
            <w:tcW w:w="1827" w:type="dxa"/>
            <w:noWrap w:val="0"/>
            <w:vAlign w:val="center"/>
          </w:tcPr>
          <w:p w14:paraId="6A13B7D5">
            <w:pPr>
              <w:spacing w:line="360" w:lineRule="auto"/>
              <w:rPr>
                <w:rFonts w:ascii="宋体"/>
                <w:color w:val="auto"/>
                <w:sz w:val="24"/>
              </w:rPr>
            </w:pPr>
          </w:p>
        </w:tc>
        <w:tc>
          <w:tcPr>
            <w:tcW w:w="2010" w:type="dxa"/>
            <w:noWrap w:val="0"/>
            <w:vAlign w:val="center"/>
          </w:tcPr>
          <w:p w14:paraId="15405EB9">
            <w:pPr>
              <w:spacing w:line="360" w:lineRule="auto"/>
              <w:rPr>
                <w:rFonts w:ascii="宋体"/>
                <w:color w:val="auto"/>
                <w:sz w:val="24"/>
              </w:rPr>
            </w:pPr>
          </w:p>
        </w:tc>
      </w:tr>
      <w:tr w14:paraId="283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noWrap w:val="0"/>
            <w:vAlign w:val="center"/>
          </w:tcPr>
          <w:p w14:paraId="0CE37003">
            <w:pPr>
              <w:spacing w:line="360" w:lineRule="auto"/>
              <w:rPr>
                <w:rFonts w:ascii="宋体"/>
                <w:color w:val="auto"/>
                <w:sz w:val="24"/>
              </w:rPr>
            </w:pPr>
          </w:p>
        </w:tc>
        <w:tc>
          <w:tcPr>
            <w:tcW w:w="1812" w:type="dxa"/>
            <w:noWrap w:val="0"/>
            <w:vAlign w:val="center"/>
          </w:tcPr>
          <w:p w14:paraId="313C23CD">
            <w:pPr>
              <w:spacing w:line="360" w:lineRule="auto"/>
              <w:rPr>
                <w:rFonts w:ascii="宋体"/>
                <w:color w:val="auto"/>
                <w:sz w:val="24"/>
              </w:rPr>
            </w:pPr>
          </w:p>
        </w:tc>
        <w:tc>
          <w:tcPr>
            <w:tcW w:w="1491" w:type="dxa"/>
            <w:noWrap w:val="0"/>
            <w:vAlign w:val="center"/>
          </w:tcPr>
          <w:p w14:paraId="29209141">
            <w:pPr>
              <w:spacing w:line="360" w:lineRule="auto"/>
              <w:rPr>
                <w:rFonts w:ascii="宋体"/>
                <w:color w:val="auto"/>
                <w:sz w:val="24"/>
              </w:rPr>
            </w:pPr>
          </w:p>
        </w:tc>
        <w:tc>
          <w:tcPr>
            <w:tcW w:w="1842" w:type="dxa"/>
            <w:noWrap w:val="0"/>
            <w:vAlign w:val="center"/>
          </w:tcPr>
          <w:p w14:paraId="5A6DED15">
            <w:pPr>
              <w:spacing w:line="360" w:lineRule="auto"/>
              <w:rPr>
                <w:rFonts w:ascii="宋体"/>
                <w:color w:val="auto"/>
                <w:sz w:val="24"/>
              </w:rPr>
            </w:pPr>
          </w:p>
        </w:tc>
        <w:tc>
          <w:tcPr>
            <w:tcW w:w="1827" w:type="dxa"/>
            <w:noWrap w:val="0"/>
            <w:vAlign w:val="center"/>
          </w:tcPr>
          <w:p w14:paraId="50ECD526">
            <w:pPr>
              <w:spacing w:line="360" w:lineRule="auto"/>
              <w:rPr>
                <w:rFonts w:ascii="宋体"/>
                <w:color w:val="auto"/>
                <w:sz w:val="24"/>
              </w:rPr>
            </w:pPr>
          </w:p>
        </w:tc>
        <w:tc>
          <w:tcPr>
            <w:tcW w:w="2010" w:type="dxa"/>
            <w:noWrap w:val="0"/>
            <w:vAlign w:val="center"/>
          </w:tcPr>
          <w:p w14:paraId="66A7ECD1">
            <w:pPr>
              <w:spacing w:line="360" w:lineRule="auto"/>
              <w:rPr>
                <w:rFonts w:ascii="宋体"/>
                <w:color w:val="auto"/>
                <w:sz w:val="24"/>
              </w:rPr>
            </w:pPr>
          </w:p>
        </w:tc>
      </w:tr>
      <w:tr w14:paraId="2A29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525" w:type="dxa"/>
            <w:noWrap w:val="0"/>
            <w:vAlign w:val="center"/>
          </w:tcPr>
          <w:p w14:paraId="65692332">
            <w:pPr>
              <w:spacing w:line="360" w:lineRule="auto"/>
              <w:rPr>
                <w:rFonts w:ascii="宋体"/>
                <w:color w:val="auto"/>
                <w:sz w:val="24"/>
              </w:rPr>
            </w:pPr>
          </w:p>
        </w:tc>
        <w:tc>
          <w:tcPr>
            <w:tcW w:w="1812" w:type="dxa"/>
            <w:noWrap w:val="0"/>
            <w:vAlign w:val="center"/>
          </w:tcPr>
          <w:p w14:paraId="3A4119BF">
            <w:pPr>
              <w:spacing w:line="360" w:lineRule="auto"/>
              <w:rPr>
                <w:rFonts w:ascii="宋体"/>
                <w:color w:val="auto"/>
                <w:sz w:val="24"/>
              </w:rPr>
            </w:pPr>
          </w:p>
        </w:tc>
        <w:tc>
          <w:tcPr>
            <w:tcW w:w="1491" w:type="dxa"/>
            <w:noWrap w:val="0"/>
            <w:vAlign w:val="center"/>
          </w:tcPr>
          <w:p w14:paraId="3F16737D">
            <w:pPr>
              <w:spacing w:line="360" w:lineRule="auto"/>
              <w:rPr>
                <w:rFonts w:ascii="宋体"/>
                <w:color w:val="auto"/>
                <w:sz w:val="24"/>
              </w:rPr>
            </w:pPr>
          </w:p>
        </w:tc>
        <w:tc>
          <w:tcPr>
            <w:tcW w:w="1842" w:type="dxa"/>
            <w:noWrap w:val="0"/>
            <w:vAlign w:val="center"/>
          </w:tcPr>
          <w:p w14:paraId="70B0B243">
            <w:pPr>
              <w:spacing w:line="360" w:lineRule="auto"/>
              <w:rPr>
                <w:rFonts w:ascii="宋体"/>
                <w:color w:val="auto"/>
                <w:sz w:val="24"/>
              </w:rPr>
            </w:pPr>
          </w:p>
        </w:tc>
        <w:tc>
          <w:tcPr>
            <w:tcW w:w="1827" w:type="dxa"/>
            <w:noWrap w:val="0"/>
            <w:vAlign w:val="center"/>
          </w:tcPr>
          <w:p w14:paraId="3258D7BA">
            <w:pPr>
              <w:spacing w:line="360" w:lineRule="auto"/>
              <w:rPr>
                <w:rFonts w:ascii="宋体"/>
                <w:color w:val="auto"/>
                <w:sz w:val="24"/>
              </w:rPr>
            </w:pPr>
          </w:p>
        </w:tc>
        <w:tc>
          <w:tcPr>
            <w:tcW w:w="2010" w:type="dxa"/>
            <w:noWrap w:val="0"/>
            <w:vAlign w:val="center"/>
          </w:tcPr>
          <w:p w14:paraId="6B130D1F">
            <w:pPr>
              <w:spacing w:line="360" w:lineRule="auto"/>
              <w:rPr>
                <w:rFonts w:ascii="宋体"/>
                <w:color w:val="auto"/>
                <w:sz w:val="24"/>
              </w:rPr>
            </w:pPr>
          </w:p>
        </w:tc>
      </w:tr>
      <w:tr w14:paraId="36D5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25" w:type="dxa"/>
            <w:noWrap w:val="0"/>
            <w:vAlign w:val="center"/>
          </w:tcPr>
          <w:p w14:paraId="77F08B37">
            <w:pPr>
              <w:spacing w:line="360" w:lineRule="auto"/>
              <w:rPr>
                <w:rFonts w:ascii="宋体"/>
                <w:color w:val="auto"/>
                <w:sz w:val="24"/>
              </w:rPr>
            </w:pPr>
          </w:p>
        </w:tc>
        <w:tc>
          <w:tcPr>
            <w:tcW w:w="1812" w:type="dxa"/>
            <w:noWrap w:val="0"/>
            <w:vAlign w:val="center"/>
          </w:tcPr>
          <w:p w14:paraId="0A6C03F3">
            <w:pPr>
              <w:spacing w:line="360" w:lineRule="auto"/>
              <w:rPr>
                <w:rFonts w:ascii="宋体"/>
                <w:color w:val="auto"/>
                <w:sz w:val="24"/>
              </w:rPr>
            </w:pPr>
          </w:p>
        </w:tc>
        <w:tc>
          <w:tcPr>
            <w:tcW w:w="1491" w:type="dxa"/>
            <w:noWrap w:val="0"/>
            <w:vAlign w:val="center"/>
          </w:tcPr>
          <w:p w14:paraId="5B87C487">
            <w:pPr>
              <w:spacing w:line="360" w:lineRule="auto"/>
              <w:rPr>
                <w:rFonts w:ascii="宋体"/>
                <w:color w:val="auto"/>
                <w:sz w:val="24"/>
              </w:rPr>
            </w:pPr>
          </w:p>
        </w:tc>
        <w:tc>
          <w:tcPr>
            <w:tcW w:w="1842" w:type="dxa"/>
            <w:noWrap w:val="0"/>
            <w:vAlign w:val="center"/>
          </w:tcPr>
          <w:p w14:paraId="359BB862">
            <w:pPr>
              <w:spacing w:line="360" w:lineRule="auto"/>
              <w:rPr>
                <w:rFonts w:ascii="宋体"/>
                <w:color w:val="auto"/>
                <w:sz w:val="24"/>
              </w:rPr>
            </w:pPr>
          </w:p>
        </w:tc>
        <w:tc>
          <w:tcPr>
            <w:tcW w:w="1827" w:type="dxa"/>
            <w:noWrap w:val="0"/>
            <w:vAlign w:val="center"/>
          </w:tcPr>
          <w:p w14:paraId="31BF63E2">
            <w:pPr>
              <w:spacing w:line="360" w:lineRule="auto"/>
              <w:rPr>
                <w:rFonts w:ascii="宋体"/>
                <w:color w:val="auto"/>
                <w:sz w:val="24"/>
              </w:rPr>
            </w:pPr>
          </w:p>
        </w:tc>
        <w:tc>
          <w:tcPr>
            <w:tcW w:w="2010" w:type="dxa"/>
            <w:noWrap w:val="0"/>
            <w:vAlign w:val="center"/>
          </w:tcPr>
          <w:p w14:paraId="235B7A2D">
            <w:pPr>
              <w:spacing w:line="360" w:lineRule="auto"/>
              <w:rPr>
                <w:rFonts w:ascii="宋体"/>
                <w:color w:val="auto"/>
                <w:sz w:val="24"/>
              </w:rPr>
            </w:pPr>
          </w:p>
        </w:tc>
      </w:tr>
    </w:tbl>
    <w:p w14:paraId="7AD8316A">
      <w:pPr>
        <w:spacing w:line="360" w:lineRule="auto"/>
        <w:ind w:left="420"/>
        <w:rPr>
          <w:rFonts w:ascii="宋体"/>
          <w:color w:val="auto"/>
          <w:sz w:val="24"/>
        </w:rPr>
      </w:pPr>
    </w:p>
    <w:p w14:paraId="3446B48E">
      <w:pPr>
        <w:spacing w:line="360" w:lineRule="auto"/>
        <w:ind w:left="435"/>
        <w:rPr>
          <w:rFonts w:hint="eastAsia" w:ascii="宋体"/>
          <w:color w:val="auto"/>
          <w:szCs w:val="21"/>
        </w:rPr>
      </w:pPr>
      <w:r>
        <w:rPr>
          <w:rFonts w:hint="eastAsia" w:ascii="宋体" w:hAnsi="宋体"/>
          <w:b/>
          <w:color w:val="auto"/>
          <w:szCs w:val="21"/>
        </w:rPr>
        <w:t>要求：</w:t>
      </w:r>
      <w:r>
        <w:rPr>
          <w:rFonts w:hint="eastAsia" w:ascii="宋体" w:hAnsi="宋体"/>
          <w:color w:val="auto"/>
          <w:szCs w:val="21"/>
        </w:rPr>
        <w:t>本表中的名称、数量应与报价明细表中相对应的报价名称、数量一致。</w:t>
      </w:r>
    </w:p>
    <w:p w14:paraId="1C4611F8">
      <w:pPr>
        <w:spacing w:line="360" w:lineRule="auto"/>
        <w:rPr>
          <w:rFonts w:ascii="宋体"/>
          <w:color w:val="auto"/>
          <w:sz w:val="24"/>
        </w:rPr>
      </w:pPr>
    </w:p>
    <w:p w14:paraId="541038D2">
      <w:pPr>
        <w:ind w:firstLine="371" w:firstLineChars="177"/>
        <w:rPr>
          <w:rFonts w:ascii="宋体" w:hAnsi="宋体"/>
          <w:color w:val="auto"/>
          <w:szCs w:val="21"/>
          <w:u w:val="single"/>
        </w:rPr>
      </w:pPr>
      <w:r>
        <w:rPr>
          <w:rFonts w:hint="eastAsia" w:ascii="宋体" w:hAnsi="宋体"/>
          <w:color w:val="auto"/>
          <w:szCs w:val="21"/>
        </w:rPr>
        <w:t>投标人名称（盖章）：</w:t>
      </w:r>
      <w:r>
        <w:rPr>
          <w:rFonts w:hint="eastAsia" w:ascii="宋体" w:hAnsi="宋体"/>
          <w:color w:val="auto"/>
          <w:szCs w:val="21"/>
          <w:u w:val="single"/>
        </w:rPr>
        <w:t xml:space="preserve">                          </w:t>
      </w:r>
    </w:p>
    <w:p w14:paraId="5E09B3F9">
      <w:pPr>
        <w:ind w:left="420"/>
        <w:rPr>
          <w:rFonts w:ascii="宋体" w:hAnsi="宋体"/>
          <w:color w:val="auto"/>
          <w:szCs w:val="21"/>
        </w:rPr>
      </w:pPr>
    </w:p>
    <w:p w14:paraId="40D96A46">
      <w:pPr>
        <w:ind w:firstLine="371" w:firstLineChars="177"/>
        <w:rPr>
          <w:rFonts w:ascii="宋体" w:hAnsi="宋体"/>
          <w:color w:val="auto"/>
          <w:szCs w:val="21"/>
        </w:rPr>
      </w:pPr>
      <w:r>
        <w:rPr>
          <w:rFonts w:hint="eastAsia" w:ascii="宋体" w:hAnsi="宋体"/>
          <w:color w:val="auto"/>
          <w:szCs w:val="21"/>
        </w:rPr>
        <w:t>投标人代表签字：</w:t>
      </w:r>
      <w:r>
        <w:rPr>
          <w:rFonts w:hint="eastAsia" w:ascii="宋体" w:hAnsi="宋体"/>
          <w:color w:val="auto"/>
          <w:szCs w:val="21"/>
          <w:u w:val="single"/>
        </w:rPr>
        <w:t xml:space="preserve">                          </w:t>
      </w:r>
    </w:p>
    <w:p w14:paraId="2A4AE3BA">
      <w:pPr>
        <w:ind w:firstLine="435"/>
        <w:rPr>
          <w:rFonts w:ascii="宋体" w:hAnsi="宋体"/>
          <w:color w:val="auto"/>
          <w:szCs w:val="21"/>
        </w:rPr>
      </w:pPr>
    </w:p>
    <w:p w14:paraId="5D888C3A">
      <w:pPr>
        <w:ind w:firstLine="371" w:firstLineChars="177"/>
        <w:rPr>
          <w:rFonts w:ascii="宋体" w:hAnsi="宋体"/>
          <w:color w:val="auto"/>
          <w:szCs w:val="21"/>
          <w:u w:val="single"/>
        </w:rPr>
      </w:pPr>
      <w:r>
        <w:rPr>
          <w:rFonts w:hint="eastAsia" w:ascii="宋体" w:hAnsi="宋体"/>
          <w:color w:val="auto"/>
          <w:szCs w:val="21"/>
        </w:rPr>
        <w:t>职        务：</w:t>
      </w:r>
      <w:r>
        <w:rPr>
          <w:rFonts w:hint="eastAsia" w:ascii="宋体" w:hAnsi="宋体"/>
          <w:color w:val="auto"/>
          <w:szCs w:val="21"/>
          <w:u w:val="single"/>
        </w:rPr>
        <w:t xml:space="preserve">                             </w:t>
      </w:r>
    </w:p>
    <w:p w14:paraId="3CCB4D64">
      <w:pPr>
        <w:rPr>
          <w:rFonts w:ascii="宋体" w:hAnsi="宋体"/>
          <w:color w:val="auto"/>
          <w:szCs w:val="21"/>
        </w:rPr>
      </w:pPr>
    </w:p>
    <w:p w14:paraId="0E2B5A92">
      <w:pPr>
        <w:pStyle w:val="61"/>
        <w:shd w:val="clear" w:color="auto" w:fill="FFFFFF"/>
        <w:spacing w:before="0" w:beforeAutospacing="0" w:after="0" w:afterAutospacing="0"/>
        <w:ind w:firstLine="371" w:firstLineChars="177"/>
        <w:rPr>
          <w:rFonts w:hint="eastAsia"/>
          <w:b/>
          <w:color w:val="auto"/>
          <w:sz w:val="21"/>
          <w:szCs w:val="21"/>
        </w:rPr>
      </w:pPr>
      <w:r>
        <w:rPr>
          <w:rFonts w:hint="eastAsia"/>
          <w:color w:val="auto"/>
          <w:sz w:val="21"/>
          <w:szCs w:val="21"/>
        </w:rPr>
        <w:t>日        期：</w:t>
      </w:r>
      <w:r>
        <w:rPr>
          <w:rFonts w:hint="eastAsia"/>
          <w:color w:val="auto"/>
          <w:sz w:val="21"/>
          <w:szCs w:val="21"/>
          <w:u w:val="single"/>
        </w:rPr>
        <w:t xml:space="preserve">                            </w:t>
      </w:r>
    </w:p>
    <w:p w14:paraId="257FF48D">
      <w:pPr>
        <w:snapToGrid w:val="0"/>
        <w:spacing w:before="50" w:after="50" w:line="360" w:lineRule="auto"/>
        <w:rPr>
          <w:rFonts w:ascii="宋体"/>
          <w:b/>
          <w:color w:val="auto"/>
          <w:sz w:val="28"/>
        </w:rPr>
      </w:pPr>
    </w:p>
    <w:p w14:paraId="7E5C914E">
      <w:pPr>
        <w:snapToGrid w:val="0"/>
        <w:spacing w:before="50" w:after="50" w:line="360" w:lineRule="auto"/>
        <w:rPr>
          <w:rFonts w:ascii="宋体"/>
          <w:b/>
          <w:color w:val="auto"/>
          <w:sz w:val="28"/>
        </w:rPr>
      </w:pPr>
    </w:p>
    <w:p w14:paraId="6C6F9DEF">
      <w:pPr>
        <w:snapToGrid w:val="0"/>
        <w:spacing w:before="50" w:after="50" w:line="360" w:lineRule="auto"/>
        <w:rPr>
          <w:rFonts w:ascii="宋体"/>
          <w:b/>
          <w:color w:val="auto"/>
          <w:sz w:val="28"/>
        </w:rPr>
      </w:pPr>
    </w:p>
    <w:p w14:paraId="7CC7CEC1">
      <w:pPr>
        <w:snapToGrid w:val="0"/>
        <w:spacing w:before="50" w:after="50" w:line="360" w:lineRule="auto"/>
        <w:rPr>
          <w:rFonts w:ascii="宋体"/>
          <w:b/>
          <w:color w:val="auto"/>
          <w:sz w:val="28"/>
        </w:rPr>
      </w:pPr>
    </w:p>
    <w:p w14:paraId="74F8D71B">
      <w:pPr>
        <w:snapToGrid w:val="0"/>
        <w:spacing w:before="50" w:after="50" w:line="360" w:lineRule="auto"/>
        <w:rPr>
          <w:rFonts w:hint="eastAsia" w:ascii="宋体"/>
          <w:b/>
          <w:color w:val="auto"/>
          <w:sz w:val="28"/>
        </w:rPr>
      </w:pPr>
    </w:p>
    <w:p w14:paraId="4B67FC19">
      <w:pPr>
        <w:snapToGrid w:val="0"/>
        <w:spacing w:before="50" w:after="50" w:line="360" w:lineRule="auto"/>
        <w:rPr>
          <w:rFonts w:hint="eastAsia" w:ascii="宋体" w:hAnsi="宋体"/>
          <w:b/>
          <w:color w:val="auto"/>
          <w:szCs w:val="21"/>
        </w:rPr>
      </w:pPr>
    </w:p>
    <w:p w14:paraId="13748135">
      <w:pPr>
        <w:snapToGrid w:val="0"/>
        <w:spacing w:before="50" w:after="50" w:line="360" w:lineRule="auto"/>
        <w:rPr>
          <w:rFonts w:hint="default" w:ascii="宋体" w:eastAsia="宋体"/>
          <w:b/>
          <w:color w:val="auto"/>
          <w:szCs w:val="21"/>
          <w:lang w:val="en-US" w:eastAsia="zh-CN"/>
        </w:rPr>
      </w:pPr>
      <w:r>
        <w:rPr>
          <w:rFonts w:hint="eastAsia" w:ascii="宋体" w:hAnsi="宋体"/>
          <w:b/>
          <w:color w:val="auto"/>
          <w:szCs w:val="21"/>
        </w:rPr>
        <w:t>附件</w:t>
      </w:r>
      <w:r>
        <w:rPr>
          <w:rFonts w:hint="eastAsia" w:ascii="宋体" w:hAnsi="宋体"/>
          <w:b/>
          <w:color w:val="auto"/>
          <w:szCs w:val="21"/>
          <w:lang w:val="en-US" w:eastAsia="zh-CN"/>
        </w:rPr>
        <w:t>11</w:t>
      </w:r>
    </w:p>
    <w:p w14:paraId="0AF6997B">
      <w:pPr>
        <w:spacing w:line="360" w:lineRule="auto"/>
        <w:ind w:firstLine="3600" w:firstLineChars="1200"/>
        <w:rPr>
          <w:rFonts w:ascii="宋体"/>
          <w:b/>
          <w:color w:val="auto"/>
          <w:sz w:val="30"/>
          <w:szCs w:val="30"/>
        </w:rPr>
      </w:pPr>
      <w:r>
        <w:rPr>
          <w:rFonts w:hint="eastAsia" w:ascii="宋体" w:hAnsi="宋体"/>
          <w:color w:val="auto"/>
          <w:kern w:val="0"/>
          <w:sz w:val="30"/>
          <w:szCs w:val="30"/>
        </w:rPr>
        <w:t>技术需求响应表</w:t>
      </w:r>
    </w:p>
    <w:p w14:paraId="56EB573E">
      <w:pPr>
        <w:spacing w:line="360" w:lineRule="auto"/>
        <w:rPr>
          <w:rFonts w:ascii="宋体"/>
          <w:color w:val="auto"/>
          <w:sz w:val="24"/>
        </w:rPr>
      </w:pPr>
    </w:p>
    <w:tbl>
      <w:tblPr>
        <w:tblStyle w:val="22"/>
        <w:tblW w:w="968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2757"/>
      </w:tblGrid>
      <w:tr w14:paraId="5CF2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noWrap w:val="0"/>
            <w:vAlign w:val="center"/>
          </w:tcPr>
          <w:p w14:paraId="7FB39A66">
            <w:pPr>
              <w:spacing w:line="360" w:lineRule="auto"/>
              <w:rPr>
                <w:rFonts w:ascii="宋体"/>
                <w:b/>
                <w:color w:val="auto"/>
                <w:szCs w:val="21"/>
              </w:rPr>
            </w:pPr>
            <w:r>
              <w:rPr>
                <w:rFonts w:hint="eastAsia" w:ascii="宋体" w:hAnsi="宋体"/>
                <w:b/>
                <w:color w:val="auto"/>
                <w:szCs w:val="21"/>
              </w:rPr>
              <w:t>序号</w:t>
            </w:r>
          </w:p>
        </w:tc>
        <w:tc>
          <w:tcPr>
            <w:tcW w:w="1785" w:type="dxa"/>
            <w:noWrap w:val="0"/>
            <w:vAlign w:val="center"/>
          </w:tcPr>
          <w:p w14:paraId="26A52E27">
            <w:pPr>
              <w:spacing w:line="360" w:lineRule="auto"/>
              <w:ind w:left="13" w:leftChars="6" w:firstLine="422" w:firstLineChars="200"/>
              <w:rPr>
                <w:rFonts w:ascii="宋体"/>
                <w:b/>
                <w:color w:val="auto"/>
                <w:szCs w:val="21"/>
              </w:rPr>
            </w:pPr>
            <w:r>
              <w:rPr>
                <w:rFonts w:hint="eastAsia" w:ascii="宋体" w:hAnsi="宋体"/>
                <w:b/>
                <w:color w:val="auto"/>
                <w:szCs w:val="21"/>
              </w:rPr>
              <w:t>名称</w:t>
            </w:r>
          </w:p>
        </w:tc>
        <w:tc>
          <w:tcPr>
            <w:tcW w:w="1449" w:type="dxa"/>
            <w:noWrap w:val="0"/>
            <w:vAlign w:val="center"/>
          </w:tcPr>
          <w:p w14:paraId="77D83CCE">
            <w:pPr>
              <w:spacing w:line="360" w:lineRule="auto"/>
              <w:ind w:left="52" w:firstLine="211" w:firstLineChars="100"/>
              <w:rPr>
                <w:rFonts w:ascii="宋体"/>
                <w:b/>
                <w:color w:val="auto"/>
                <w:szCs w:val="21"/>
              </w:rPr>
            </w:pPr>
            <w:r>
              <w:rPr>
                <w:rFonts w:hint="eastAsia" w:ascii="宋体" w:hAnsi="宋体"/>
                <w:b/>
                <w:color w:val="auto"/>
                <w:szCs w:val="21"/>
              </w:rPr>
              <w:t>规格型号</w:t>
            </w:r>
          </w:p>
        </w:tc>
        <w:tc>
          <w:tcPr>
            <w:tcW w:w="1560" w:type="dxa"/>
            <w:noWrap w:val="0"/>
            <w:vAlign w:val="center"/>
          </w:tcPr>
          <w:p w14:paraId="3356495D">
            <w:pPr>
              <w:spacing w:line="360" w:lineRule="auto"/>
              <w:ind w:left="152"/>
              <w:rPr>
                <w:rFonts w:ascii="宋体"/>
                <w:b/>
                <w:color w:val="auto"/>
                <w:szCs w:val="21"/>
              </w:rPr>
            </w:pPr>
            <w:r>
              <w:rPr>
                <w:rFonts w:hint="eastAsia" w:ascii="宋体" w:hAnsi="宋体"/>
                <w:b/>
                <w:color w:val="auto"/>
                <w:szCs w:val="21"/>
              </w:rPr>
              <w:t>招标参数</w:t>
            </w:r>
          </w:p>
        </w:tc>
        <w:tc>
          <w:tcPr>
            <w:tcW w:w="1401" w:type="dxa"/>
            <w:noWrap w:val="0"/>
            <w:vAlign w:val="center"/>
          </w:tcPr>
          <w:p w14:paraId="21BE0F02">
            <w:pPr>
              <w:spacing w:line="360" w:lineRule="auto"/>
              <w:ind w:firstLine="211" w:firstLineChars="100"/>
              <w:rPr>
                <w:rFonts w:ascii="宋体"/>
                <w:b/>
                <w:color w:val="auto"/>
                <w:szCs w:val="21"/>
              </w:rPr>
            </w:pPr>
            <w:r>
              <w:rPr>
                <w:rFonts w:hint="eastAsia" w:ascii="宋体" w:hAnsi="宋体"/>
                <w:b/>
                <w:color w:val="auto"/>
                <w:szCs w:val="21"/>
              </w:rPr>
              <w:t>投标参数</w:t>
            </w:r>
          </w:p>
        </w:tc>
        <w:tc>
          <w:tcPr>
            <w:tcW w:w="2757" w:type="dxa"/>
            <w:noWrap w:val="0"/>
            <w:vAlign w:val="center"/>
          </w:tcPr>
          <w:p w14:paraId="2DF95B49">
            <w:pPr>
              <w:spacing w:line="360" w:lineRule="auto"/>
              <w:ind w:firstLine="843" w:firstLineChars="400"/>
              <w:rPr>
                <w:rFonts w:ascii="宋体"/>
                <w:b/>
                <w:color w:val="auto"/>
                <w:szCs w:val="21"/>
              </w:rPr>
            </w:pPr>
            <w:r>
              <w:rPr>
                <w:rFonts w:hint="eastAsia" w:ascii="宋体" w:hAnsi="宋体"/>
                <w:b/>
                <w:color w:val="auto"/>
                <w:szCs w:val="21"/>
              </w:rPr>
              <w:t>偏离说明</w:t>
            </w:r>
          </w:p>
        </w:tc>
      </w:tr>
      <w:tr w14:paraId="11C5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noWrap w:val="0"/>
            <w:vAlign w:val="center"/>
          </w:tcPr>
          <w:p w14:paraId="371F3381">
            <w:pPr>
              <w:spacing w:line="360" w:lineRule="auto"/>
              <w:rPr>
                <w:rFonts w:ascii="宋体"/>
                <w:color w:val="auto"/>
                <w:sz w:val="24"/>
              </w:rPr>
            </w:pPr>
          </w:p>
        </w:tc>
        <w:tc>
          <w:tcPr>
            <w:tcW w:w="1785" w:type="dxa"/>
            <w:noWrap w:val="0"/>
            <w:vAlign w:val="center"/>
          </w:tcPr>
          <w:p w14:paraId="3927780C">
            <w:pPr>
              <w:spacing w:line="360" w:lineRule="auto"/>
              <w:rPr>
                <w:rFonts w:ascii="宋体"/>
                <w:color w:val="auto"/>
                <w:sz w:val="24"/>
              </w:rPr>
            </w:pPr>
          </w:p>
        </w:tc>
        <w:tc>
          <w:tcPr>
            <w:tcW w:w="1449" w:type="dxa"/>
            <w:noWrap w:val="0"/>
            <w:vAlign w:val="center"/>
          </w:tcPr>
          <w:p w14:paraId="5BA0C95D">
            <w:pPr>
              <w:spacing w:line="360" w:lineRule="auto"/>
              <w:rPr>
                <w:rFonts w:ascii="宋体"/>
                <w:color w:val="auto"/>
                <w:sz w:val="24"/>
              </w:rPr>
            </w:pPr>
          </w:p>
        </w:tc>
        <w:tc>
          <w:tcPr>
            <w:tcW w:w="1560" w:type="dxa"/>
            <w:noWrap w:val="0"/>
            <w:vAlign w:val="center"/>
          </w:tcPr>
          <w:p w14:paraId="2F5ECD70">
            <w:pPr>
              <w:spacing w:line="360" w:lineRule="auto"/>
              <w:rPr>
                <w:rFonts w:ascii="宋体"/>
                <w:color w:val="auto"/>
                <w:sz w:val="24"/>
              </w:rPr>
            </w:pPr>
          </w:p>
        </w:tc>
        <w:tc>
          <w:tcPr>
            <w:tcW w:w="1401" w:type="dxa"/>
            <w:noWrap w:val="0"/>
            <w:vAlign w:val="center"/>
          </w:tcPr>
          <w:p w14:paraId="6F076306">
            <w:pPr>
              <w:spacing w:line="360" w:lineRule="auto"/>
              <w:rPr>
                <w:rFonts w:ascii="宋体"/>
                <w:color w:val="auto"/>
                <w:sz w:val="24"/>
              </w:rPr>
            </w:pPr>
          </w:p>
        </w:tc>
        <w:tc>
          <w:tcPr>
            <w:tcW w:w="2757" w:type="dxa"/>
            <w:noWrap w:val="0"/>
            <w:vAlign w:val="center"/>
          </w:tcPr>
          <w:p w14:paraId="11C5A07C">
            <w:pPr>
              <w:spacing w:line="360" w:lineRule="auto"/>
              <w:rPr>
                <w:rFonts w:ascii="宋体"/>
                <w:color w:val="auto"/>
                <w:sz w:val="24"/>
              </w:rPr>
            </w:pPr>
          </w:p>
        </w:tc>
      </w:tr>
      <w:tr w14:paraId="2237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noWrap w:val="0"/>
            <w:vAlign w:val="center"/>
          </w:tcPr>
          <w:p w14:paraId="5281205E">
            <w:pPr>
              <w:spacing w:line="360" w:lineRule="auto"/>
              <w:rPr>
                <w:rFonts w:ascii="宋体"/>
                <w:color w:val="auto"/>
                <w:sz w:val="24"/>
              </w:rPr>
            </w:pPr>
          </w:p>
        </w:tc>
        <w:tc>
          <w:tcPr>
            <w:tcW w:w="1785" w:type="dxa"/>
            <w:noWrap w:val="0"/>
            <w:vAlign w:val="center"/>
          </w:tcPr>
          <w:p w14:paraId="6625DAD8">
            <w:pPr>
              <w:spacing w:line="360" w:lineRule="auto"/>
              <w:rPr>
                <w:rFonts w:ascii="宋体"/>
                <w:color w:val="auto"/>
                <w:sz w:val="24"/>
              </w:rPr>
            </w:pPr>
          </w:p>
        </w:tc>
        <w:tc>
          <w:tcPr>
            <w:tcW w:w="1449" w:type="dxa"/>
            <w:noWrap w:val="0"/>
            <w:vAlign w:val="center"/>
          </w:tcPr>
          <w:p w14:paraId="459A0AA8">
            <w:pPr>
              <w:spacing w:line="360" w:lineRule="auto"/>
              <w:rPr>
                <w:rFonts w:ascii="宋体"/>
                <w:color w:val="auto"/>
                <w:sz w:val="24"/>
              </w:rPr>
            </w:pPr>
          </w:p>
        </w:tc>
        <w:tc>
          <w:tcPr>
            <w:tcW w:w="1560" w:type="dxa"/>
            <w:noWrap w:val="0"/>
            <w:vAlign w:val="center"/>
          </w:tcPr>
          <w:p w14:paraId="037861BB">
            <w:pPr>
              <w:spacing w:line="360" w:lineRule="auto"/>
              <w:rPr>
                <w:rFonts w:ascii="宋体"/>
                <w:color w:val="auto"/>
                <w:sz w:val="24"/>
              </w:rPr>
            </w:pPr>
          </w:p>
        </w:tc>
        <w:tc>
          <w:tcPr>
            <w:tcW w:w="1401" w:type="dxa"/>
            <w:noWrap w:val="0"/>
            <w:vAlign w:val="center"/>
          </w:tcPr>
          <w:p w14:paraId="56C8904E">
            <w:pPr>
              <w:spacing w:line="360" w:lineRule="auto"/>
              <w:rPr>
                <w:rFonts w:ascii="宋体"/>
                <w:color w:val="auto"/>
                <w:sz w:val="24"/>
              </w:rPr>
            </w:pPr>
          </w:p>
        </w:tc>
        <w:tc>
          <w:tcPr>
            <w:tcW w:w="2757" w:type="dxa"/>
            <w:noWrap w:val="0"/>
            <w:vAlign w:val="center"/>
          </w:tcPr>
          <w:p w14:paraId="6C2AE95A">
            <w:pPr>
              <w:spacing w:line="360" w:lineRule="auto"/>
              <w:rPr>
                <w:rFonts w:ascii="宋体"/>
                <w:color w:val="auto"/>
                <w:sz w:val="24"/>
              </w:rPr>
            </w:pPr>
          </w:p>
        </w:tc>
      </w:tr>
      <w:tr w14:paraId="10D2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noWrap w:val="0"/>
            <w:vAlign w:val="center"/>
          </w:tcPr>
          <w:p w14:paraId="27CA1FBA">
            <w:pPr>
              <w:spacing w:line="360" w:lineRule="auto"/>
              <w:rPr>
                <w:rFonts w:ascii="宋体"/>
                <w:color w:val="auto"/>
                <w:sz w:val="24"/>
              </w:rPr>
            </w:pPr>
          </w:p>
        </w:tc>
        <w:tc>
          <w:tcPr>
            <w:tcW w:w="1785" w:type="dxa"/>
            <w:noWrap w:val="0"/>
            <w:vAlign w:val="center"/>
          </w:tcPr>
          <w:p w14:paraId="29E9C596">
            <w:pPr>
              <w:spacing w:line="360" w:lineRule="auto"/>
              <w:rPr>
                <w:rFonts w:ascii="宋体"/>
                <w:color w:val="auto"/>
                <w:sz w:val="24"/>
              </w:rPr>
            </w:pPr>
          </w:p>
        </w:tc>
        <w:tc>
          <w:tcPr>
            <w:tcW w:w="1449" w:type="dxa"/>
            <w:noWrap w:val="0"/>
            <w:vAlign w:val="center"/>
          </w:tcPr>
          <w:p w14:paraId="5A66DB2F">
            <w:pPr>
              <w:spacing w:line="360" w:lineRule="auto"/>
              <w:rPr>
                <w:rFonts w:ascii="宋体"/>
                <w:color w:val="auto"/>
                <w:sz w:val="24"/>
              </w:rPr>
            </w:pPr>
          </w:p>
        </w:tc>
        <w:tc>
          <w:tcPr>
            <w:tcW w:w="1560" w:type="dxa"/>
            <w:noWrap w:val="0"/>
            <w:vAlign w:val="center"/>
          </w:tcPr>
          <w:p w14:paraId="66231303">
            <w:pPr>
              <w:spacing w:line="360" w:lineRule="auto"/>
              <w:rPr>
                <w:rFonts w:ascii="宋体"/>
                <w:color w:val="auto"/>
                <w:sz w:val="24"/>
              </w:rPr>
            </w:pPr>
          </w:p>
        </w:tc>
        <w:tc>
          <w:tcPr>
            <w:tcW w:w="1401" w:type="dxa"/>
            <w:noWrap w:val="0"/>
            <w:vAlign w:val="center"/>
          </w:tcPr>
          <w:p w14:paraId="50851973">
            <w:pPr>
              <w:spacing w:line="360" w:lineRule="auto"/>
              <w:rPr>
                <w:rFonts w:ascii="宋体"/>
                <w:color w:val="auto"/>
                <w:sz w:val="24"/>
              </w:rPr>
            </w:pPr>
          </w:p>
        </w:tc>
        <w:tc>
          <w:tcPr>
            <w:tcW w:w="2757" w:type="dxa"/>
            <w:noWrap w:val="0"/>
            <w:vAlign w:val="center"/>
          </w:tcPr>
          <w:p w14:paraId="6B4FC35C">
            <w:pPr>
              <w:spacing w:line="360" w:lineRule="auto"/>
              <w:rPr>
                <w:rFonts w:ascii="宋体"/>
                <w:color w:val="auto"/>
                <w:sz w:val="24"/>
              </w:rPr>
            </w:pPr>
          </w:p>
        </w:tc>
      </w:tr>
      <w:tr w14:paraId="2BC6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noWrap w:val="0"/>
            <w:vAlign w:val="center"/>
          </w:tcPr>
          <w:p w14:paraId="646B292C">
            <w:pPr>
              <w:spacing w:line="360" w:lineRule="auto"/>
              <w:rPr>
                <w:rFonts w:ascii="宋体"/>
                <w:color w:val="auto"/>
                <w:sz w:val="24"/>
              </w:rPr>
            </w:pPr>
          </w:p>
        </w:tc>
        <w:tc>
          <w:tcPr>
            <w:tcW w:w="1785" w:type="dxa"/>
            <w:noWrap w:val="0"/>
            <w:vAlign w:val="center"/>
          </w:tcPr>
          <w:p w14:paraId="4E52A921">
            <w:pPr>
              <w:spacing w:line="360" w:lineRule="auto"/>
              <w:rPr>
                <w:rFonts w:ascii="宋体"/>
                <w:color w:val="auto"/>
                <w:sz w:val="24"/>
              </w:rPr>
            </w:pPr>
          </w:p>
        </w:tc>
        <w:tc>
          <w:tcPr>
            <w:tcW w:w="1449" w:type="dxa"/>
            <w:noWrap w:val="0"/>
            <w:vAlign w:val="center"/>
          </w:tcPr>
          <w:p w14:paraId="69101911">
            <w:pPr>
              <w:spacing w:line="360" w:lineRule="auto"/>
              <w:rPr>
                <w:rFonts w:ascii="宋体"/>
                <w:color w:val="auto"/>
                <w:sz w:val="24"/>
              </w:rPr>
            </w:pPr>
          </w:p>
        </w:tc>
        <w:tc>
          <w:tcPr>
            <w:tcW w:w="1560" w:type="dxa"/>
            <w:noWrap w:val="0"/>
            <w:vAlign w:val="center"/>
          </w:tcPr>
          <w:p w14:paraId="57C94911">
            <w:pPr>
              <w:spacing w:line="360" w:lineRule="auto"/>
              <w:rPr>
                <w:rFonts w:ascii="宋体"/>
                <w:color w:val="auto"/>
                <w:sz w:val="24"/>
              </w:rPr>
            </w:pPr>
          </w:p>
        </w:tc>
        <w:tc>
          <w:tcPr>
            <w:tcW w:w="1401" w:type="dxa"/>
            <w:noWrap w:val="0"/>
            <w:vAlign w:val="center"/>
          </w:tcPr>
          <w:p w14:paraId="249C0359">
            <w:pPr>
              <w:spacing w:line="360" w:lineRule="auto"/>
              <w:rPr>
                <w:rFonts w:ascii="宋体"/>
                <w:color w:val="auto"/>
                <w:sz w:val="24"/>
              </w:rPr>
            </w:pPr>
          </w:p>
        </w:tc>
        <w:tc>
          <w:tcPr>
            <w:tcW w:w="2757" w:type="dxa"/>
            <w:noWrap w:val="0"/>
            <w:vAlign w:val="center"/>
          </w:tcPr>
          <w:p w14:paraId="54BBBDBD">
            <w:pPr>
              <w:spacing w:line="360" w:lineRule="auto"/>
              <w:rPr>
                <w:rFonts w:ascii="宋体"/>
                <w:color w:val="auto"/>
                <w:sz w:val="24"/>
              </w:rPr>
            </w:pPr>
          </w:p>
        </w:tc>
      </w:tr>
      <w:tr w14:paraId="6E30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noWrap w:val="0"/>
            <w:vAlign w:val="center"/>
          </w:tcPr>
          <w:p w14:paraId="22ED801E">
            <w:pPr>
              <w:spacing w:line="360" w:lineRule="auto"/>
              <w:rPr>
                <w:rFonts w:ascii="宋体"/>
                <w:color w:val="auto"/>
                <w:sz w:val="24"/>
              </w:rPr>
            </w:pPr>
          </w:p>
        </w:tc>
        <w:tc>
          <w:tcPr>
            <w:tcW w:w="1785" w:type="dxa"/>
            <w:noWrap w:val="0"/>
            <w:vAlign w:val="center"/>
          </w:tcPr>
          <w:p w14:paraId="25B94341">
            <w:pPr>
              <w:spacing w:line="360" w:lineRule="auto"/>
              <w:rPr>
                <w:rFonts w:ascii="宋体"/>
                <w:color w:val="auto"/>
                <w:sz w:val="24"/>
              </w:rPr>
            </w:pPr>
          </w:p>
        </w:tc>
        <w:tc>
          <w:tcPr>
            <w:tcW w:w="1449" w:type="dxa"/>
            <w:noWrap w:val="0"/>
            <w:vAlign w:val="center"/>
          </w:tcPr>
          <w:p w14:paraId="057FEDF8">
            <w:pPr>
              <w:spacing w:line="360" w:lineRule="auto"/>
              <w:rPr>
                <w:rFonts w:ascii="宋体"/>
                <w:color w:val="auto"/>
                <w:sz w:val="24"/>
              </w:rPr>
            </w:pPr>
          </w:p>
        </w:tc>
        <w:tc>
          <w:tcPr>
            <w:tcW w:w="1560" w:type="dxa"/>
            <w:noWrap w:val="0"/>
            <w:vAlign w:val="center"/>
          </w:tcPr>
          <w:p w14:paraId="682216B7">
            <w:pPr>
              <w:spacing w:line="360" w:lineRule="auto"/>
              <w:rPr>
                <w:rFonts w:ascii="宋体"/>
                <w:color w:val="auto"/>
                <w:sz w:val="24"/>
              </w:rPr>
            </w:pPr>
          </w:p>
        </w:tc>
        <w:tc>
          <w:tcPr>
            <w:tcW w:w="1401" w:type="dxa"/>
            <w:noWrap w:val="0"/>
            <w:vAlign w:val="center"/>
          </w:tcPr>
          <w:p w14:paraId="045053DC">
            <w:pPr>
              <w:spacing w:line="360" w:lineRule="auto"/>
              <w:rPr>
                <w:rFonts w:ascii="宋体"/>
                <w:color w:val="auto"/>
                <w:sz w:val="24"/>
              </w:rPr>
            </w:pPr>
          </w:p>
        </w:tc>
        <w:tc>
          <w:tcPr>
            <w:tcW w:w="2757" w:type="dxa"/>
            <w:noWrap w:val="0"/>
            <w:vAlign w:val="center"/>
          </w:tcPr>
          <w:p w14:paraId="076CFF3C">
            <w:pPr>
              <w:spacing w:line="360" w:lineRule="auto"/>
              <w:rPr>
                <w:rFonts w:ascii="宋体"/>
                <w:color w:val="auto"/>
                <w:sz w:val="24"/>
              </w:rPr>
            </w:pPr>
          </w:p>
        </w:tc>
      </w:tr>
      <w:tr w14:paraId="7D5A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noWrap w:val="0"/>
            <w:vAlign w:val="center"/>
          </w:tcPr>
          <w:p w14:paraId="0F4B42FC">
            <w:pPr>
              <w:spacing w:line="360" w:lineRule="auto"/>
              <w:rPr>
                <w:rFonts w:ascii="宋体"/>
                <w:color w:val="auto"/>
                <w:sz w:val="24"/>
              </w:rPr>
            </w:pPr>
          </w:p>
        </w:tc>
        <w:tc>
          <w:tcPr>
            <w:tcW w:w="1785" w:type="dxa"/>
            <w:noWrap w:val="0"/>
            <w:vAlign w:val="center"/>
          </w:tcPr>
          <w:p w14:paraId="4FC59EBD">
            <w:pPr>
              <w:spacing w:line="360" w:lineRule="auto"/>
              <w:rPr>
                <w:rFonts w:ascii="宋体"/>
                <w:color w:val="auto"/>
                <w:sz w:val="24"/>
              </w:rPr>
            </w:pPr>
          </w:p>
        </w:tc>
        <w:tc>
          <w:tcPr>
            <w:tcW w:w="1449" w:type="dxa"/>
            <w:noWrap w:val="0"/>
            <w:vAlign w:val="center"/>
          </w:tcPr>
          <w:p w14:paraId="60B9616A">
            <w:pPr>
              <w:spacing w:line="360" w:lineRule="auto"/>
              <w:rPr>
                <w:rFonts w:ascii="宋体"/>
                <w:color w:val="auto"/>
                <w:sz w:val="24"/>
              </w:rPr>
            </w:pPr>
          </w:p>
        </w:tc>
        <w:tc>
          <w:tcPr>
            <w:tcW w:w="1560" w:type="dxa"/>
            <w:noWrap w:val="0"/>
            <w:vAlign w:val="center"/>
          </w:tcPr>
          <w:p w14:paraId="292CD205">
            <w:pPr>
              <w:spacing w:line="360" w:lineRule="auto"/>
              <w:rPr>
                <w:rFonts w:ascii="宋体"/>
                <w:color w:val="auto"/>
                <w:sz w:val="24"/>
              </w:rPr>
            </w:pPr>
          </w:p>
        </w:tc>
        <w:tc>
          <w:tcPr>
            <w:tcW w:w="1401" w:type="dxa"/>
            <w:noWrap w:val="0"/>
            <w:vAlign w:val="center"/>
          </w:tcPr>
          <w:p w14:paraId="526136EB">
            <w:pPr>
              <w:spacing w:line="360" w:lineRule="auto"/>
              <w:rPr>
                <w:rFonts w:ascii="宋体"/>
                <w:color w:val="auto"/>
                <w:sz w:val="24"/>
              </w:rPr>
            </w:pPr>
          </w:p>
        </w:tc>
        <w:tc>
          <w:tcPr>
            <w:tcW w:w="2757" w:type="dxa"/>
            <w:noWrap w:val="0"/>
            <w:vAlign w:val="center"/>
          </w:tcPr>
          <w:p w14:paraId="58037666">
            <w:pPr>
              <w:spacing w:line="360" w:lineRule="auto"/>
              <w:rPr>
                <w:rFonts w:ascii="宋体"/>
                <w:color w:val="auto"/>
                <w:sz w:val="24"/>
              </w:rPr>
            </w:pPr>
          </w:p>
        </w:tc>
      </w:tr>
      <w:tr w14:paraId="5EDD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noWrap w:val="0"/>
            <w:vAlign w:val="center"/>
          </w:tcPr>
          <w:p w14:paraId="1157FB72">
            <w:pPr>
              <w:spacing w:line="360" w:lineRule="auto"/>
              <w:rPr>
                <w:rFonts w:ascii="宋体"/>
                <w:color w:val="auto"/>
                <w:sz w:val="24"/>
              </w:rPr>
            </w:pPr>
          </w:p>
        </w:tc>
        <w:tc>
          <w:tcPr>
            <w:tcW w:w="1785" w:type="dxa"/>
            <w:noWrap w:val="0"/>
            <w:vAlign w:val="center"/>
          </w:tcPr>
          <w:p w14:paraId="0B38C992">
            <w:pPr>
              <w:spacing w:line="360" w:lineRule="auto"/>
              <w:rPr>
                <w:rFonts w:ascii="宋体"/>
                <w:color w:val="auto"/>
                <w:sz w:val="24"/>
              </w:rPr>
            </w:pPr>
          </w:p>
        </w:tc>
        <w:tc>
          <w:tcPr>
            <w:tcW w:w="1449" w:type="dxa"/>
            <w:noWrap w:val="0"/>
            <w:vAlign w:val="center"/>
          </w:tcPr>
          <w:p w14:paraId="22B25270">
            <w:pPr>
              <w:spacing w:line="360" w:lineRule="auto"/>
              <w:rPr>
                <w:rFonts w:ascii="宋体"/>
                <w:color w:val="auto"/>
                <w:sz w:val="24"/>
              </w:rPr>
            </w:pPr>
          </w:p>
        </w:tc>
        <w:tc>
          <w:tcPr>
            <w:tcW w:w="1560" w:type="dxa"/>
            <w:noWrap w:val="0"/>
            <w:vAlign w:val="center"/>
          </w:tcPr>
          <w:p w14:paraId="1394F5B1">
            <w:pPr>
              <w:spacing w:line="360" w:lineRule="auto"/>
              <w:rPr>
                <w:rFonts w:ascii="宋体"/>
                <w:color w:val="auto"/>
                <w:sz w:val="24"/>
              </w:rPr>
            </w:pPr>
          </w:p>
        </w:tc>
        <w:tc>
          <w:tcPr>
            <w:tcW w:w="1401" w:type="dxa"/>
            <w:noWrap w:val="0"/>
            <w:vAlign w:val="center"/>
          </w:tcPr>
          <w:p w14:paraId="621E2F4E">
            <w:pPr>
              <w:spacing w:line="360" w:lineRule="auto"/>
              <w:rPr>
                <w:rFonts w:ascii="宋体"/>
                <w:color w:val="auto"/>
                <w:sz w:val="24"/>
              </w:rPr>
            </w:pPr>
          </w:p>
        </w:tc>
        <w:tc>
          <w:tcPr>
            <w:tcW w:w="2757" w:type="dxa"/>
            <w:noWrap w:val="0"/>
            <w:vAlign w:val="center"/>
          </w:tcPr>
          <w:p w14:paraId="54DECE3A">
            <w:pPr>
              <w:spacing w:line="360" w:lineRule="auto"/>
              <w:rPr>
                <w:rFonts w:ascii="宋体"/>
                <w:color w:val="auto"/>
                <w:sz w:val="24"/>
              </w:rPr>
            </w:pPr>
          </w:p>
        </w:tc>
      </w:tr>
    </w:tbl>
    <w:p w14:paraId="140EDBCC">
      <w:pPr>
        <w:pStyle w:val="55"/>
        <w:tabs>
          <w:tab w:val="left" w:pos="360"/>
        </w:tabs>
        <w:spacing w:line="360" w:lineRule="auto"/>
        <w:ind w:right="84" w:rightChars="40"/>
        <w:rPr>
          <w:rFonts w:ascii="宋体"/>
          <w:b/>
          <w:color w:val="auto"/>
          <w:szCs w:val="21"/>
        </w:rPr>
      </w:pPr>
      <w:r>
        <w:rPr>
          <w:rFonts w:hint="eastAsia" w:ascii="宋体"/>
          <w:b/>
          <w:color w:val="auto"/>
          <w:szCs w:val="21"/>
        </w:rPr>
        <w:t>要求：</w:t>
      </w:r>
    </w:p>
    <w:p w14:paraId="7241616C">
      <w:pPr>
        <w:pStyle w:val="55"/>
        <w:tabs>
          <w:tab w:val="left" w:pos="360"/>
        </w:tabs>
        <w:spacing w:line="360" w:lineRule="auto"/>
        <w:ind w:right="84" w:rightChars="40" w:firstLine="420" w:firstLineChars="200"/>
        <w:rPr>
          <w:rFonts w:ascii="宋体"/>
          <w:color w:val="auto"/>
          <w:szCs w:val="21"/>
        </w:rPr>
      </w:pPr>
      <w:r>
        <w:rPr>
          <w:rFonts w:ascii="宋体"/>
          <w:color w:val="auto"/>
          <w:szCs w:val="21"/>
        </w:rPr>
        <w:t xml:space="preserve">1. </w:t>
      </w:r>
      <w:r>
        <w:rPr>
          <w:rFonts w:hint="eastAsia" w:ascii="宋体"/>
          <w:color w:val="auto"/>
          <w:szCs w:val="21"/>
        </w:rPr>
        <w:t>本表的名称须与《报价明细表》一致。</w:t>
      </w:r>
    </w:p>
    <w:p w14:paraId="3826ED00">
      <w:pPr>
        <w:pStyle w:val="55"/>
        <w:spacing w:line="360" w:lineRule="auto"/>
        <w:ind w:right="84" w:rightChars="40" w:firstLine="420" w:firstLineChars="200"/>
        <w:rPr>
          <w:rFonts w:ascii="宋体"/>
          <w:color w:val="auto"/>
          <w:szCs w:val="21"/>
        </w:rPr>
      </w:pPr>
      <w:r>
        <w:rPr>
          <w:rFonts w:ascii="宋体"/>
          <w:color w:val="auto"/>
          <w:szCs w:val="21"/>
        </w:rPr>
        <w:t>2.</w:t>
      </w:r>
      <w:r>
        <w:rPr>
          <w:rFonts w:hint="eastAsia" w:ascii="宋体"/>
          <w:color w:val="auto"/>
          <w:szCs w:val="21"/>
        </w:rPr>
        <w:t>本表参照本招标文件第四章“公开招标需求”填制，投标人应根据投标设备的性能指标、服务指标，对照招标文件要求在“偏离情况”栏注明“正偏离”、“负偏离”或“无偏离”。</w:t>
      </w:r>
    </w:p>
    <w:p w14:paraId="3711BC4F">
      <w:pPr>
        <w:pStyle w:val="55"/>
        <w:spacing w:line="360" w:lineRule="auto"/>
        <w:ind w:right="84" w:rightChars="40" w:firstLine="420" w:firstLineChars="200"/>
        <w:rPr>
          <w:rFonts w:ascii="宋体"/>
          <w:color w:val="auto"/>
          <w:szCs w:val="21"/>
        </w:rPr>
      </w:pPr>
      <w:r>
        <w:rPr>
          <w:rFonts w:ascii="宋体"/>
          <w:color w:val="auto"/>
          <w:szCs w:val="21"/>
        </w:rPr>
        <w:t>3.</w:t>
      </w:r>
      <w:r>
        <w:rPr>
          <w:rFonts w:hint="eastAsia" w:ascii="宋体"/>
          <w:color w:val="auto"/>
          <w:szCs w:val="21"/>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14:paraId="47F2A062">
      <w:pPr>
        <w:spacing w:line="360" w:lineRule="auto"/>
        <w:rPr>
          <w:rFonts w:ascii="宋体"/>
          <w:color w:val="auto"/>
          <w:szCs w:val="21"/>
        </w:rPr>
      </w:pPr>
    </w:p>
    <w:p w14:paraId="6DC5C20C">
      <w:pPr>
        <w:ind w:left="420"/>
        <w:rPr>
          <w:rFonts w:ascii="宋体"/>
          <w:color w:val="auto"/>
          <w:szCs w:val="21"/>
          <w:u w:val="single"/>
        </w:rPr>
      </w:pPr>
      <w:r>
        <w:rPr>
          <w:rFonts w:hint="eastAsia" w:ascii="宋体" w:hAnsi="宋体"/>
          <w:color w:val="auto"/>
          <w:szCs w:val="21"/>
        </w:rPr>
        <w:t>投标人名称（盖章）：</w:t>
      </w:r>
    </w:p>
    <w:p w14:paraId="7B0F8FA6">
      <w:pPr>
        <w:ind w:left="420"/>
        <w:rPr>
          <w:rFonts w:ascii="宋体"/>
          <w:color w:val="auto"/>
          <w:szCs w:val="21"/>
        </w:rPr>
      </w:pPr>
    </w:p>
    <w:p w14:paraId="2AEA56AC">
      <w:pPr>
        <w:ind w:firstLine="435"/>
        <w:rPr>
          <w:rFonts w:ascii="宋体"/>
          <w:color w:val="auto"/>
          <w:szCs w:val="21"/>
        </w:rPr>
      </w:pPr>
      <w:r>
        <w:rPr>
          <w:rFonts w:hint="eastAsia" w:ascii="宋体" w:hAnsi="宋体"/>
          <w:color w:val="auto"/>
          <w:szCs w:val="21"/>
        </w:rPr>
        <w:t>投标人代表签字或盖章：</w:t>
      </w:r>
    </w:p>
    <w:p w14:paraId="3FF881EB">
      <w:pPr>
        <w:ind w:firstLine="435"/>
        <w:rPr>
          <w:rFonts w:ascii="宋体"/>
          <w:color w:val="auto"/>
          <w:szCs w:val="21"/>
        </w:rPr>
      </w:pPr>
    </w:p>
    <w:p w14:paraId="4A3B6A1C">
      <w:pPr>
        <w:ind w:firstLine="435"/>
        <w:rPr>
          <w:rFonts w:ascii="宋体"/>
          <w:color w:val="auto"/>
          <w:szCs w:val="21"/>
          <w:u w:val="single"/>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06C1DA41">
      <w:pPr>
        <w:rPr>
          <w:rFonts w:ascii="宋体"/>
          <w:color w:val="auto"/>
          <w:szCs w:val="21"/>
        </w:rPr>
      </w:pPr>
    </w:p>
    <w:p w14:paraId="735AFA89">
      <w:pPr>
        <w:ind w:firstLine="435"/>
        <w:rPr>
          <w:rFonts w:ascii="宋体"/>
          <w:color w:val="auto"/>
          <w:szCs w:val="21"/>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p>
    <w:p w14:paraId="1B088190">
      <w:pPr>
        <w:ind w:firstLine="435"/>
        <w:rPr>
          <w:rFonts w:ascii="宋体"/>
          <w:color w:val="auto"/>
          <w:szCs w:val="21"/>
        </w:rPr>
      </w:pPr>
    </w:p>
    <w:p w14:paraId="060D5D80">
      <w:pPr>
        <w:ind w:firstLine="435"/>
        <w:rPr>
          <w:rFonts w:ascii="宋体"/>
          <w:color w:val="auto"/>
          <w:szCs w:val="21"/>
        </w:rPr>
      </w:pPr>
    </w:p>
    <w:p w14:paraId="2A362A8D">
      <w:pPr>
        <w:ind w:firstLine="435"/>
        <w:rPr>
          <w:rFonts w:ascii="宋体"/>
          <w:color w:val="auto"/>
          <w:szCs w:val="21"/>
        </w:rPr>
      </w:pPr>
    </w:p>
    <w:p w14:paraId="67D57EFE">
      <w:pPr>
        <w:pStyle w:val="60"/>
        <w:spacing w:line="360" w:lineRule="auto"/>
        <w:jc w:val="left"/>
        <w:rPr>
          <w:rFonts w:hint="eastAsia" w:ascii="宋体" w:hAnsi="宋体"/>
          <w:b/>
          <w:color w:val="auto"/>
          <w:szCs w:val="21"/>
        </w:rPr>
      </w:pPr>
    </w:p>
    <w:p w14:paraId="395F3493">
      <w:pPr>
        <w:pStyle w:val="60"/>
        <w:spacing w:line="360" w:lineRule="auto"/>
        <w:jc w:val="left"/>
        <w:rPr>
          <w:rFonts w:hint="eastAsia" w:ascii="宋体" w:hAnsi="宋体"/>
          <w:b/>
          <w:color w:val="auto"/>
          <w:szCs w:val="21"/>
        </w:rPr>
      </w:pPr>
    </w:p>
    <w:p w14:paraId="5E42ECE3">
      <w:pPr>
        <w:pStyle w:val="60"/>
        <w:spacing w:line="360" w:lineRule="auto"/>
        <w:jc w:val="left"/>
        <w:rPr>
          <w:rFonts w:hint="default" w:ascii="宋体" w:eastAsia="宋体"/>
          <w:b/>
          <w:color w:val="auto"/>
          <w:szCs w:val="21"/>
          <w:lang w:val="en-US" w:eastAsia="zh-CN"/>
        </w:rPr>
      </w:pPr>
      <w:r>
        <w:rPr>
          <w:rFonts w:hint="eastAsia" w:ascii="宋体" w:hAnsi="宋体"/>
          <w:b/>
          <w:color w:val="auto"/>
          <w:szCs w:val="21"/>
        </w:rPr>
        <w:t>附件</w:t>
      </w:r>
      <w:r>
        <w:rPr>
          <w:rFonts w:hint="eastAsia" w:ascii="宋体" w:hAnsi="宋体"/>
          <w:b/>
          <w:color w:val="auto"/>
          <w:szCs w:val="21"/>
          <w:lang w:val="en-US" w:eastAsia="zh-CN"/>
        </w:rPr>
        <w:t>12</w:t>
      </w:r>
    </w:p>
    <w:p w14:paraId="67178249">
      <w:pPr>
        <w:pStyle w:val="66"/>
        <w:spacing w:line="360" w:lineRule="auto"/>
        <w:jc w:val="center"/>
        <w:rPr>
          <w:rFonts w:ascii="宋体"/>
          <w:b/>
          <w:color w:val="auto"/>
          <w:sz w:val="30"/>
          <w:szCs w:val="30"/>
        </w:rPr>
      </w:pPr>
      <w:r>
        <w:rPr>
          <w:rFonts w:hint="eastAsia" w:ascii="宋体" w:hAnsi="宋体"/>
          <w:b/>
          <w:color w:val="auto"/>
          <w:sz w:val="30"/>
          <w:szCs w:val="30"/>
        </w:rPr>
        <w:t>证书一览表</w:t>
      </w:r>
    </w:p>
    <w:p w14:paraId="53169E46">
      <w:pPr>
        <w:pStyle w:val="66"/>
        <w:spacing w:line="360" w:lineRule="auto"/>
        <w:jc w:val="center"/>
        <w:rPr>
          <w:rFonts w:ascii="宋体" w:cs="Arial"/>
          <w:color w:val="auto"/>
          <w:sz w:val="28"/>
          <w:szCs w:val="28"/>
        </w:rPr>
      </w:pPr>
    </w:p>
    <w:tbl>
      <w:tblPr>
        <w:tblStyle w:val="22"/>
        <w:tblW w:w="954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2258"/>
        <w:gridCol w:w="2260"/>
        <w:gridCol w:w="2699"/>
      </w:tblGrid>
      <w:tr w14:paraId="18FD82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324" w:type="dxa"/>
            <w:tcBorders>
              <w:top w:val="double" w:color="auto" w:sz="4" w:space="0"/>
              <w:left w:val="single" w:color="auto" w:sz="4" w:space="0"/>
            </w:tcBorders>
            <w:noWrap w:val="0"/>
            <w:vAlign w:val="top"/>
          </w:tcPr>
          <w:p w14:paraId="330CB356">
            <w:pPr>
              <w:pStyle w:val="66"/>
              <w:spacing w:line="360" w:lineRule="auto"/>
              <w:jc w:val="center"/>
              <w:rPr>
                <w:rFonts w:ascii="宋体" w:cs="Arial"/>
                <w:b/>
                <w:bCs/>
                <w:color w:val="auto"/>
                <w:szCs w:val="21"/>
              </w:rPr>
            </w:pPr>
            <w:r>
              <w:rPr>
                <w:rFonts w:hint="eastAsia" w:ascii="宋体" w:hAnsi="宋体" w:cs="Arial"/>
                <w:b/>
                <w:bCs/>
                <w:color w:val="auto"/>
                <w:szCs w:val="21"/>
              </w:rPr>
              <w:t>证书名称</w:t>
            </w:r>
          </w:p>
        </w:tc>
        <w:tc>
          <w:tcPr>
            <w:tcW w:w="2258" w:type="dxa"/>
            <w:tcBorders>
              <w:top w:val="double" w:color="auto" w:sz="4" w:space="0"/>
            </w:tcBorders>
            <w:noWrap w:val="0"/>
            <w:vAlign w:val="top"/>
          </w:tcPr>
          <w:p w14:paraId="6CE3A8A4">
            <w:pPr>
              <w:pStyle w:val="66"/>
              <w:spacing w:line="360" w:lineRule="auto"/>
              <w:jc w:val="center"/>
              <w:rPr>
                <w:rFonts w:ascii="宋体" w:cs="Arial"/>
                <w:b/>
                <w:bCs/>
                <w:color w:val="auto"/>
                <w:szCs w:val="21"/>
              </w:rPr>
            </w:pPr>
            <w:r>
              <w:rPr>
                <w:rFonts w:hint="eastAsia" w:ascii="宋体" w:hAnsi="宋体" w:cs="Arial"/>
                <w:b/>
                <w:bCs/>
                <w:color w:val="auto"/>
                <w:szCs w:val="21"/>
              </w:rPr>
              <w:t>发证单位</w:t>
            </w:r>
          </w:p>
        </w:tc>
        <w:tc>
          <w:tcPr>
            <w:tcW w:w="2260" w:type="dxa"/>
            <w:tcBorders>
              <w:top w:val="double" w:color="auto" w:sz="4" w:space="0"/>
            </w:tcBorders>
            <w:noWrap w:val="0"/>
            <w:vAlign w:val="top"/>
          </w:tcPr>
          <w:p w14:paraId="0C634F47">
            <w:pPr>
              <w:pStyle w:val="66"/>
              <w:spacing w:line="360" w:lineRule="auto"/>
              <w:jc w:val="center"/>
              <w:rPr>
                <w:rFonts w:ascii="宋体" w:cs="Arial"/>
                <w:b/>
                <w:bCs/>
                <w:color w:val="auto"/>
                <w:szCs w:val="21"/>
              </w:rPr>
            </w:pPr>
            <w:r>
              <w:rPr>
                <w:rFonts w:hint="eastAsia" w:ascii="宋体" w:hAnsi="宋体" w:cs="Arial"/>
                <w:b/>
                <w:bCs/>
                <w:color w:val="auto"/>
                <w:szCs w:val="21"/>
              </w:rPr>
              <w:t>证书等级</w:t>
            </w:r>
          </w:p>
        </w:tc>
        <w:tc>
          <w:tcPr>
            <w:tcW w:w="2699" w:type="dxa"/>
            <w:tcBorders>
              <w:top w:val="double" w:color="auto" w:sz="4" w:space="0"/>
              <w:right w:val="single" w:color="auto" w:sz="4" w:space="0"/>
            </w:tcBorders>
            <w:noWrap w:val="0"/>
            <w:vAlign w:val="top"/>
          </w:tcPr>
          <w:p w14:paraId="180F383C">
            <w:pPr>
              <w:pStyle w:val="66"/>
              <w:spacing w:line="360" w:lineRule="auto"/>
              <w:jc w:val="center"/>
              <w:rPr>
                <w:rFonts w:ascii="宋体" w:cs="Arial"/>
                <w:b/>
                <w:bCs/>
                <w:color w:val="auto"/>
                <w:szCs w:val="21"/>
              </w:rPr>
            </w:pPr>
            <w:r>
              <w:rPr>
                <w:rFonts w:hint="eastAsia" w:ascii="宋体" w:hAnsi="宋体" w:cs="Arial"/>
                <w:b/>
                <w:bCs/>
                <w:color w:val="auto"/>
                <w:szCs w:val="21"/>
              </w:rPr>
              <w:t>证书有效期</w:t>
            </w:r>
          </w:p>
        </w:tc>
      </w:tr>
      <w:tr w14:paraId="147645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tcBorders>
              <w:left w:val="single" w:color="auto" w:sz="4" w:space="0"/>
            </w:tcBorders>
            <w:noWrap w:val="0"/>
            <w:vAlign w:val="top"/>
          </w:tcPr>
          <w:p w14:paraId="790D6B22">
            <w:pPr>
              <w:pStyle w:val="66"/>
              <w:spacing w:line="360" w:lineRule="auto"/>
              <w:jc w:val="center"/>
              <w:rPr>
                <w:rFonts w:ascii="宋体" w:cs="Arial"/>
                <w:color w:val="auto"/>
                <w:szCs w:val="21"/>
              </w:rPr>
            </w:pPr>
          </w:p>
        </w:tc>
        <w:tc>
          <w:tcPr>
            <w:tcW w:w="2258" w:type="dxa"/>
            <w:noWrap w:val="0"/>
            <w:vAlign w:val="top"/>
          </w:tcPr>
          <w:p w14:paraId="475B45AC">
            <w:pPr>
              <w:pStyle w:val="66"/>
              <w:spacing w:line="360" w:lineRule="auto"/>
              <w:jc w:val="center"/>
              <w:rPr>
                <w:rFonts w:ascii="宋体" w:cs="Arial"/>
                <w:color w:val="auto"/>
                <w:szCs w:val="21"/>
              </w:rPr>
            </w:pPr>
          </w:p>
        </w:tc>
        <w:tc>
          <w:tcPr>
            <w:tcW w:w="2260" w:type="dxa"/>
            <w:noWrap w:val="0"/>
            <w:vAlign w:val="top"/>
          </w:tcPr>
          <w:p w14:paraId="2CD2AE2B">
            <w:pPr>
              <w:pStyle w:val="66"/>
              <w:spacing w:line="360" w:lineRule="auto"/>
              <w:jc w:val="center"/>
              <w:rPr>
                <w:rFonts w:ascii="宋体" w:cs="Arial"/>
                <w:color w:val="auto"/>
                <w:szCs w:val="21"/>
              </w:rPr>
            </w:pPr>
          </w:p>
        </w:tc>
        <w:tc>
          <w:tcPr>
            <w:tcW w:w="2699" w:type="dxa"/>
            <w:tcBorders>
              <w:right w:val="single" w:color="auto" w:sz="4" w:space="0"/>
            </w:tcBorders>
            <w:noWrap w:val="0"/>
            <w:vAlign w:val="top"/>
          </w:tcPr>
          <w:p w14:paraId="46D8E1D2">
            <w:pPr>
              <w:pStyle w:val="66"/>
              <w:spacing w:line="360" w:lineRule="auto"/>
              <w:jc w:val="center"/>
              <w:rPr>
                <w:rFonts w:ascii="宋体" w:cs="Arial"/>
                <w:color w:val="auto"/>
                <w:szCs w:val="21"/>
              </w:rPr>
            </w:pPr>
          </w:p>
        </w:tc>
      </w:tr>
      <w:tr w14:paraId="673184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tcBorders>
              <w:left w:val="single" w:color="auto" w:sz="4" w:space="0"/>
            </w:tcBorders>
            <w:noWrap w:val="0"/>
            <w:vAlign w:val="top"/>
          </w:tcPr>
          <w:p w14:paraId="087F6C14">
            <w:pPr>
              <w:pStyle w:val="66"/>
              <w:spacing w:line="360" w:lineRule="auto"/>
              <w:jc w:val="center"/>
              <w:rPr>
                <w:rFonts w:ascii="宋体" w:cs="Arial"/>
                <w:color w:val="auto"/>
                <w:szCs w:val="21"/>
              </w:rPr>
            </w:pPr>
          </w:p>
        </w:tc>
        <w:tc>
          <w:tcPr>
            <w:tcW w:w="2258" w:type="dxa"/>
            <w:noWrap w:val="0"/>
            <w:vAlign w:val="top"/>
          </w:tcPr>
          <w:p w14:paraId="53D5290A">
            <w:pPr>
              <w:pStyle w:val="66"/>
              <w:spacing w:line="360" w:lineRule="auto"/>
              <w:jc w:val="center"/>
              <w:rPr>
                <w:rFonts w:ascii="宋体" w:cs="Arial"/>
                <w:color w:val="auto"/>
                <w:szCs w:val="21"/>
              </w:rPr>
            </w:pPr>
          </w:p>
        </w:tc>
        <w:tc>
          <w:tcPr>
            <w:tcW w:w="2260" w:type="dxa"/>
            <w:noWrap w:val="0"/>
            <w:vAlign w:val="top"/>
          </w:tcPr>
          <w:p w14:paraId="7F9E3C3A">
            <w:pPr>
              <w:pStyle w:val="66"/>
              <w:spacing w:line="360" w:lineRule="auto"/>
              <w:jc w:val="center"/>
              <w:rPr>
                <w:rFonts w:ascii="宋体" w:cs="Arial"/>
                <w:color w:val="auto"/>
                <w:szCs w:val="21"/>
              </w:rPr>
            </w:pPr>
          </w:p>
        </w:tc>
        <w:tc>
          <w:tcPr>
            <w:tcW w:w="2699" w:type="dxa"/>
            <w:tcBorders>
              <w:right w:val="single" w:color="auto" w:sz="4" w:space="0"/>
            </w:tcBorders>
            <w:noWrap w:val="0"/>
            <w:vAlign w:val="top"/>
          </w:tcPr>
          <w:p w14:paraId="55E989D9">
            <w:pPr>
              <w:pStyle w:val="66"/>
              <w:spacing w:line="360" w:lineRule="auto"/>
              <w:jc w:val="center"/>
              <w:rPr>
                <w:rFonts w:ascii="宋体" w:cs="Arial"/>
                <w:color w:val="auto"/>
                <w:szCs w:val="21"/>
              </w:rPr>
            </w:pPr>
          </w:p>
        </w:tc>
      </w:tr>
      <w:tr w14:paraId="599966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tcBorders>
              <w:left w:val="single" w:color="auto" w:sz="4" w:space="0"/>
            </w:tcBorders>
            <w:noWrap w:val="0"/>
            <w:vAlign w:val="top"/>
          </w:tcPr>
          <w:p w14:paraId="2C20EF7B">
            <w:pPr>
              <w:pStyle w:val="66"/>
              <w:spacing w:line="360" w:lineRule="auto"/>
              <w:jc w:val="center"/>
              <w:rPr>
                <w:rFonts w:ascii="宋体" w:cs="Arial"/>
                <w:color w:val="auto"/>
                <w:szCs w:val="21"/>
              </w:rPr>
            </w:pPr>
          </w:p>
        </w:tc>
        <w:tc>
          <w:tcPr>
            <w:tcW w:w="2258" w:type="dxa"/>
            <w:noWrap w:val="0"/>
            <w:vAlign w:val="top"/>
          </w:tcPr>
          <w:p w14:paraId="54B80D37">
            <w:pPr>
              <w:pStyle w:val="66"/>
              <w:spacing w:line="360" w:lineRule="auto"/>
              <w:jc w:val="center"/>
              <w:rPr>
                <w:rFonts w:ascii="宋体" w:cs="Arial"/>
                <w:color w:val="auto"/>
                <w:szCs w:val="21"/>
              </w:rPr>
            </w:pPr>
          </w:p>
        </w:tc>
        <w:tc>
          <w:tcPr>
            <w:tcW w:w="2260" w:type="dxa"/>
            <w:noWrap w:val="0"/>
            <w:vAlign w:val="top"/>
          </w:tcPr>
          <w:p w14:paraId="516601D5">
            <w:pPr>
              <w:pStyle w:val="66"/>
              <w:spacing w:line="360" w:lineRule="auto"/>
              <w:jc w:val="center"/>
              <w:rPr>
                <w:rFonts w:ascii="宋体" w:cs="Arial"/>
                <w:color w:val="auto"/>
                <w:szCs w:val="21"/>
              </w:rPr>
            </w:pPr>
          </w:p>
        </w:tc>
        <w:tc>
          <w:tcPr>
            <w:tcW w:w="2699" w:type="dxa"/>
            <w:tcBorders>
              <w:right w:val="single" w:color="auto" w:sz="4" w:space="0"/>
            </w:tcBorders>
            <w:noWrap w:val="0"/>
            <w:vAlign w:val="top"/>
          </w:tcPr>
          <w:p w14:paraId="7A6680E3">
            <w:pPr>
              <w:pStyle w:val="66"/>
              <w:spacing w:line="360" w:lineRule="auto"/>
              <w:jc w:val="center"/>
              <w:rPr>
                <w:rFonts w:ascii="宋体" w:cs="Arial"/>
                <w:color w:val="auto"/>
                <w:szCs w:val="21"/>
              </w:rPr>
            </w:pPr>
          </w:p>
        </w:tc>
      </w:tr>
      <w:tr w14:paraId="72E2E2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tcBorders>
              <w:left w:val="single" w:color="auto" w:sz="4" w:space="0"/>
            </w:tcBorders>
            <w:noWrap w:val="0"/>
            <w:vAlign w:val="top"/>
          </w:tcPr>
          <w:p w14:paraId="228D4005">
            <w:pPr>
              <w:pStyle w:val="66"/>
              <w:spacing w:line="360" w:lineRule="auto"/>
              <w:jc w:val="center"/>
              <w:rPr>
                <w:rFonts w:ascii="宋体" w:cs="Arial"/>
                <w:color w:val="auto"/>
                <w:szCs w:val="21"/>
              </w:rPr>
            </w:pPr>
          </w:p>
        </w:tc>
        <w:tc>
          <w:tcPr>
            <w:tcW w:w="2258" w:type="dxa"/>
            <w:noWrap w:val="0"/>
            <w:vAlign w:val="top"/>
          </w:tcPr>
          <w:p w14:paraId="3B956D92">
            <w:pPr>
              <w:pStyle w:val="66"/>
              <w:spacing w:line="360" w:lineRule="auto"/>
              <w:jc w:val="center"/>
              <w:rPr>
                <w:rFonts w:ascii="宋体" w:cs="Arial"/>
                <w:color w:val="auto"/>
                <w:szCs w:val="21"/>
              </w:rPr>
            </w:pPr>
          </w:p>
        </w:tc>
        <w:tc>
          <w:tcPr>
            <w:tcW w:w="2260" w:type="dxa"/>
            <w:noWrap w:val="0"/>
            <w:vAlign w:val="top"/>
          </w:tcPr>
          <w:p w14:paraId="3C74FE99">
            <w:pPr>
              <w:pStyle w:val="66"/>
              <w:spacing w:line="360" w:lineRule="auto"/>
              <w:jc w:val="center"/>
              <w:rPr>
                <w:rFonts w:ascii="宋体" w:cs="Arial"/>
                <w:color w:val="auto"/>
                <w:szCs w:val="21"/>
              </w:rPr>
            </w:pPr>
          </w:p>
        </w:tc>
        <w:tc>
          <w:tcPr>
            <w:tcW w:w="2699" w:type="dxa"/>
            <w:tcBorders>
              <w:right w:val="single" w:color="auto" w:sz="4" w:space="0"/>
            </w:tcBorders>
            <w:noWrap w:val="0"/>
            <w:vAlign w:val="top"/>
          </w:tcPr>
          <w:p w14:paraId="671BFE78">
            <w:pPr>
              <w:pStyle w:val="66"/>
              <w:spacing w:line="360" w:lineRule="auto"/>
              <w:jc w:val="center"/>
              <w:rPr>
                <w:rFonts w:ascii="宋体" w:cs="Arial"/>
                <w:color w:val="auto"/>
                <w:szCs w:val="21"/>
              </w:rPr>
            </w:pPr>
          </w:p>
        </w:tc>
      </w:tr>
      <w:tr w14:paraId="3DFBA8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tcBorders>
              <w:left w:val="single" w:color="auto" w:sz="4" w:space="0"/>
            </w:tcBorders>
            <w:noWrap w:val="0"/>
            <w:vAlign w:val="top"/>
          </w:tcPr>
          <w:p w14:paraId="3B93C186">
            <w:pPr>
              <w:pStyle w:val="66"/>
              <w:spacing w:line="360" w:lineRule="auto"/>
              <w:jc w:val="center"/>
              <w:rPr>
                <w:rFonts w:ascii="宋体" w:cs="Arial"/>
                <w:color w:val="auto"/>
                <w:szCs w:val="21"/>
              </w:rPr>
            </w:pPr>
          </w:p>
        </w:tc>
        <w:tc>
          <w:tcPr>
            <w:tcW w:w="2258" w:type="dxa"/>
            <w:noWrap w:val="0"/>
            <w:vAlign w:val="top"/>
          </w:tcPr>
          <w:p w14:paraId="4CC2CA4A">
            <w:pPr>
              <w:pStyle w:val="66"/>
              <w:spacing w:line="360" w:lineRule="auto"/>
              <w:jc w:val="center"/>
              <w:rPr>
                <w:rFonts w:ascii="宋体" w:cs="Arial"/>
                <w:color w:val="auto"/>
                <w:szCs w:val="21"/>
              </w:rPr>
            </w:pPr>
          </w:p>
        </w:tc>
        <w:tc>
          <w:tcPr>
            <w:tcW w:w="2260" w:type="dxa"/>
            <w:noWrap w:val="0"/>
            <w:vAlign w:val="top"/>
          </w:tcPr>
          <w:p w14:paraId="326DB139">
            <w:pPr>
              <w:pStyle w:val="66"/>
              <w:spacing w:line="360" w:lineRule="auto"/>
              <w:jc w:val="center"/>
              <w:rPr>
                <w:rFonts w:ascii="宋体" w:cs="Arial"/>
                <w:color w:val="auto"/>
                <w:szCs w:val="21"/>
              </w:rPr>
            </w:pPr>
          </w:p>
        </w:tc>
        <w:tc>
          <w:tcPr>
            <w:tcW w:w="2699" w:type="dxa"/>
            <w:tcBorders>
              <w:right w:val="single" w:color="auto" w:sz="4" w:space="0"/>
            </w:tcBorders>
            <w:noWrap w:val="0"/>
            <w:vAlign w:val="top"/>
          </w:tcPr>
          <w:p w14:paraId="388AAAF7">
            <w:pPr>
              <w:pStyle w:val="66"/>
              <w:spacing w:line="360" w:lineRule="auto"/>
              <w:jc w:val="center"/>
              <w:rPr>
                <w:rFonts w:ascii="宋体" w:cs="Arial"/>
                <w:color w:val="auto"/>
                <w:szCs w:val="21"/>
              </w:rPr>
            </w:pPr>
          </w:p>
        </w:tc>
      </w:tr>
      <w:tr w14:paraId="1BF7AF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tcBorders>
              <w:left w:val="single" w:color="auto" w:sz="4" w:space="0"/>
            </w:tcBorders>
            <w:noWrap w:val="0"/>
            <w:vAlign w:val="top"/>
          </w:tcPr>
          <w:p w14:paraId="61C8C2FB">
            <w:pPr>
              <w:pStyle w:val="66"/>
              <w:spacing w:line="360" w:lineRule="auto"/>
              <w:jc w:val="center"/>
              <w:rPr>
                <w:rFonts w:ascii="宋体" w:cs="Arial"/>
                <w:color w:val="auto"/>
                <w:szCs w:val="21"/>
              </w:rPr>
            </w:pPr>
          </w:p>
        </w:tc>
        <w:tc>
          <w:tcPr>
            <w:tcW w:w="2258" w:type="dxa"/>
            <w:noWrap w:val="0"/>
            <w:vAlign w:val="top"/>
          </w:tcPr>
          <w:p w14:paraId="26092EFC">
            <w:pPr>
              <w:pStyle w:val="66"/>
              <w:spacing w:line="360" w:lineRule="auto"/>
              <w:jc w:val="center"/>
              <w:rPr>
                <w:rFonts w:ascii="宋体" w:cs="Arial"/>
                <w:color w:val="auto"/>
                <w:szCs w:val="21"/>
              </w:rPr>
            </w:pPr>
          </w:p>
        </w:tc>
        <w:tc>
          <w:tcPr>
            <w:tcW w:w="2260" w:type="dxa"/>
            <w:noWrap w:val="0"/>
            <w:vAlign w:val="top"/>
          </w:tcPr>
          <w:p w14:paraId="2DDAB671">
            <w:pPr>
              <w:pStyle w:val="66"/>
              <w:spacing w:line="360" w:lineRule="auto"/>
              <w:jc w:val="center"/>
              <w:rPr>
                <w:rFonts w:ascii="宋体" w:cs="Arial"/>
                <w:color w:val="auto"/>
                <w:szCs w:val="21"/>
              </w:rPr>
            </w:pPr>
          </w:p>
        </w:tc>
        <w:tc>
          <w:tcPr>
            <w:tcW w:w="2699" w:type="dxa"/>
            <w:tcBorders>
              <w:right w:val="single" w:color="auto" w:sz="4" w:space="0"/>
            </w:tcBorders>
            <w:noWrap w:val="0"/>
            <w:vAlign w:val="top"/>
          </w:tcPr>
          <w:p w14:paraId="4D438E23">
            <w:pPr>
              <w:pStyle w:val="66"/>
              <w:spacing w:line="360" w:lineRule="auto"/>
              <w:jc w:val="center"/>
              <w:rPr>
                <w:rFonts w:ascii="宋体" w:cs="Arial"/>
                <w:color w:val="auto"/>
                <w:szCs w:val="21"/>
              </w:rPr>
            </w:pPr>
          </w:p>
        </w:tc>
      </w:tr>
      <w:tr w14:paraId="1B9DCE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tcBorders>
              <w:left w:val="single" w:color="auto" w:sz="4" w:space="0"/>
              <w:bottom w:val="double" w:color="auto" w:sz="4" w:space="0"/>
            </w:tcBorders>
            <w:noWrap w:val="0"/>
            <w:vAlign w:val="top"/>
          </w:tcPr>
          <w:p w14:paraId="6F3C6F9C">
            <w:pPr>
              <w:pStyle w:val="66"/>
              <w:spacing w:line="360" w:lineRule="auto"/>
              <w:jc w:val="center"/>
              <w:rPr>
                <w:rFonts w:ascii="宋体" w:cs="Arial"/>
                <w:color w:val="auto"/>
                <w:szCs w:val="21"/>
              </w:rPr>
            </w:pPr>
          </w:p>
        </w:tc>
        <w:tc>
          <w:tcPr>
            <w:tcW w:w="2258" w:type="dxa"/>
            <w:tcBorders>
              <w:bottom w:val="double" w:color="auto" w:sz="4" w:space="0"/>
            </w:tcBorders>
            <w:noWrap w:val="0"/>
            <w:vAlign w:val="top"/>
          </w:tcPr>
          <w:p w14:paraId="19CE9FCF">
            <w:pPr>
              <w:pStyle w:val="66"/>
              <w:spacing w:line="360" w:lineRule="auto"/>
              <w:jc w:val="center"/>
              <w:rPr>
                <w:rFonts w:ascii="宋体" w:cs="Arial"/>
                <w:color w:val="auto"/>
                <w:szCs w:val="21"/>
              </w:rPr>
            </w:pPr>
          </w:p>
        </w:tc>
        <w:tc>
          <w:tcPr>
            <w:tcW w:w="2260" w:type="dxa"/>
            <w:tcBorders>
              <w:bottom w:val="double" w:color="auto" w:sz="4" w:space="0"/>
            </w:tcBorders>
            <w:noWrap w:val="0"/>
            <w:vAlign w:val="top"/>
          </w:tcPr>
          <w:p w14:paraId="7957117D">
            <w:pPr>
              <w:pStyle w:val="66"/>
              <w:spacing w:line="360" w:lineRule="auto"/>
              <w:jc w:val="center"/>
              <w:rPr>
                <w:rFonts w:ascii="宋体" w:cs="Arial"/>
                <w:color w:val="auto"/>
                <w:szCs w:val="21"/>
              </w:rPr>
            </w:pPr>
          </w:p>
        </w:tc>
        <w:tc>
          <w:tcPr>
            <w:tcW w:w="2699" w:type="dxa"/>
            <w:tcBorders>
              <w:bottom w:val="double" w:color="auto" w:sz="4" w:space="0"/>
              <w:right w:val="single" w:color="auto" w:sz="4" w:space="0"/>
            </w:tcBorders>
            <w:noWrap w:val="0"/>
            <w:vAlign w:val="top"/>
          </w:tcPr>
          <w:p w14:paraId="17A2192F">
            <w:pPr>
              <w:pStyle w:val="66"/>
              <w:spacing w:line="360" w:lineRule="auto"/>
              <w:jc w:val="center"/>
              <w:rPr>
                <w:rFonts w:ascii="宋体" w:cs="Arial"/>
                <w:color w:val="auto"/>
                <w:szCs w:val="21"/>
              </w:rPr>
            </w:pPr>
          </w:p>
        </w:tc>
      </w:tr>
    </w:tbl>
    <w:p w14:paraId="7436D75C">
      <w:pPr>
        <w:pStyle w:val="66"/>
        <w:tabs>
          <w:tab w:val="left" w:pos="1050"/>
        </w:tabs>
        <w:spacing w:line="360" w:lineRule="auto"/>
        <w:rPr>
          <w:rFonts w:ascii="仿宋_GB2312" w:hAnsi="宋体" w:eastAsia="仿宋_GB2312"/>
          <w:color w:val="auto"/>
          <w:sz w:val="24"/>
        </w:rPr>
      </w:pPr>
    </w:p>
    <w:p w14:paraId="74198AB1">
      <w:pPr>
        <w:pStyle w:val="66"/>
        <w:tabs>
          <w:tab w:val="left" w:pos="1050"/>
        </w:tabs>
        <w:spacing w:line="360" w:lineRule="auto"/>
        <w:rPr>
          <w:rFonts w:ascii="宋体"/>
          <w:color w:val="auto"/>
          <w:szCs w:val="21"/>
        </w:rPr>
      </w:pPr>
      <w:r>
        <w:rPr>
          <w:rFonts w:hint="eastAsia" w:ascii="宋体" w:hAnsi="宋体"/>
          <w:b/>
          <w:color w:val="auto"/>
          <w:szCs w:val="21"/>
        </w:rPr>
        <w:t>要求：</w:t>
      </w:r>
    </w:p>
    <w:p w14:paraId="1A8D44A6">
      <w:pPr>
        <w:pStyle w:val="66"/>
        <w:tabs>
          <w:tab w:val="left" w:pos="1050"/>
        </w:tabs>
        <w:spacing w:line="360" w:lineRule="auto"/>
        <w:ind w:firstLine="424" w:firstLineChars="202"/>
        <w:rPr>
          <w:rFonts w:ascii="宋体"/>
          <w:color w:val="auto"/>
          <w:szCs w:val="21"/>
        </w:rPr>
      </w:pPr>
      <w:r>
        <w:rPr>
          <w:rFonts w:ascii="宋体" w:hAnsi="宋体"/>
          <w:color w:val="auto"/>
          <w:szCs w:val="21"/>
        </w:rPr>
        <w:t>1.</w:t>
      </w:r>
      <w:r>
        <w:rPr>
          <w:rFonts w:hint="eastAsia" w:ascii="宋体" w:hAnsi="宋体"/>
          <w:color w:val="auto"/>
          <w:szCs w:val="21"/>
        </w:rPr>
        <w:t>填写投标人获得资质、认证或企业信誉证书；</w:t>
      </w:r>
    </w:p>
    <w:p w14:paraId="61C9EBAD">
      <w:pPr>
        <w:pStyle w:val="66"/>
        <w:tabs>
          <w:tab w:val="left" w:pos="1050"/>
        </w:tabs>
        <w:spacing w:line="360" w:lineRule="auto"/>
        <w:ind w:firstLine="424" w:firstLineChars="202"/>
        <w:rPr>
          <w:rFonts w:ascii="宋体"/>
          <w:color w:val="auto"/>
          <w:szCs w:val="21"/>
        </w:rPr>
      </w:pPr>
      <w:r>
        <w:rPr>
          <w:rFonts w:ascii="宋体" w:hAnsi="宋体"/>
          <w:color w:val="auto"/>
          <w:szCs w:val="21"/>
        </w:rPr>
        <w:t>2.</w:t>
      </w:r>
      <w:r>
        <w:rPr>
          <w:rFonts w:hint="eastAsia" w:ascii="宋体" w:hAnsi="宋体"/>
          <w:color w:val="auto"/>
          <w:szCs w:val="21"/>
        </w:rPr>
        <w:t>附所列证书复印件或其他证明材料。</w:t>
      </w:r>
    </w:p>
    <w:p w14:paraId="4EC9DCE0">
      <w:pPr>
        <w:pStyle w:val="66"/>
        <w:tabs>
          <w:tab w:val="left" w:pos="1050"/>
        </w:tabs>
        <w:spacing w:line="360" w:lineRule="auto"/>
        <w:ind w:firstLine="720" w:firstLineChars="300"/>
        <w:rPr>
          <w:rFonts w:ascii="仿宋_GB2312" w:hAnsi="宋体" w:eastAsia="仿宋_GB2312"/>
          <w:color w:val="auto"/>
          <w:sz w:val="24"/>
        </w:rPr>
      </w:pPr>
    </w:p>
    <w:p w14:paraId="2F6AA97E">
      <w:pPr>
        <w:pStyle w:val="66"/>
        <w:tabs>
          <w:tab w:val="left" w:pos="1050"/>
        </w:tabs>
        <w:spacing w:line="360" w:lineRule="auto"/>
        <w:ind w:firstLine="720" w:firstLineChars="300"/>
        <w:rPr>
          <w:rFonts w:ascii="仿宋_GB2312" w:hAnsi="宋体" w:eastAsia="仿宋_GB2312"/>
          <w:color w:val="auto"/>
          <w:sz w:val="24"/>
        </w:rPr>
      </w:pPr>
    </w:p>
    <w:p w14:paraId="6E581616">
      <w:pPr>
        <w:pStyle w:val="66"/>
        <w:tabs>
          <w:tab w:val="left" w:pos="1050"/>
        </w:tabs>
        <w:spacing w:line="360" w:lineRule="auto"/>
        <w:ind w:firstLine="720" w:firstLineChars="300"/>
        <w:rPr>
          <w:rFonts w:ascii="仿宋_GB2312" w:hAnsi="宋体" w:eastAsia="仿宋_GB2312"/>
          <w:color w:val="auto"/>
          <w:sz w:val="24"/>
        </w:rPr>
      </w:pPr>
    </w:p>
    <w:p w14:paraId="47E4B0AC">
      <w:pPr>
        <w:ind w:firstLine="371" w:firstLineChars="177"/>
        <w:rPr>
          <w:rFonts w:ascii="宋体"/>
          <w:color w:val="auto"/>
          <w:szCs w:val="21"/>
          <w:u w:val="single"/>
        </w:rPr>
      </w:pPr>
      <w:r>
        <w:rPr>
          <w:rFonts w:hint="eastAsia" w:ascii="宋体" w:hAnsi="宋体"/>
          <w:color w:val="auto"/>
          <w:szCs w:val="21"/>
        </w:rPr>
        <w:t>投标人名称（盖章）：</w:t>
      </w:r>
    </w:p>
    <w:p w14:paraId="65EE8924">
      <w:pPr>
        <w:ind w:left="420"/>
        <w:rPr>
          <w:rFonts w:ascii="宋体"/>
          <w:color w:val="auto"/>
          <w:szCs w:val="21"/>
        </w:rPr>
      </w:pPr>
    </w:p>
    <w:p w14:paraId="175ED857">
      <w:pPr>
        <w:ind w:firstLine="371" w:firstLineChars="177"/>
        <w:rPr>
          <w:rFonts w:ascii="宋体"/>
          <w:color w:val="auto"/>
          <w:szCs w:val="21"/>
        </w:rPr>
      </w:pPr>
      <w:r>
        <w:rPr>
          <w:rFonts w:hint="eastAsia" w:ascii="宋体" w:hAnsi="宋体"/>
          <w:color w:val="auto"/>
          <w:szCs w:val="21"/>
        </w:rPr>
        <w:t>投标人代表签字或盖章：</w:t>
      </w:r>
    </w:p>
    <w:p w14:paraId="2535A6C8">
      <w:pPr>
        <w:ind w:firstLine="435"/>
        <w:rPr>
          <w:rFonts w:ascii="宋体"/>
          <w:color w:val="auto"/>
          <w:szCs w:val="21"/>
        </w:rPr>
      </w:pPr>
    </w:p>
    <w:p w14:paraId="51998086">
      <w:pPr>
        <w:ind w:firstLine="371" w:firstLineChars="177"/>
        <w:rPr>
          <w:rFonts w:ascii="宋体"/>
          <w:color w:val="auto"/>
          <w:szCs w:val="21"/>
          <w:u w:val="single"/>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05109882">
      <w:pPr>
        <w:rPr>
          <w:rFonts w:ascii="宋体"/>
          <w:color w:val="auto"/>
          <w:szCs w:val="21"/>
        </w:rPr>
      </w:pPr>
    </w:p>
    <w:p w14:paraId="18FB0E15">
      <w:pPr>
        <w:pStyle w:val="61"/>
        <w:shd w:val="clear" w:color="auto" w:fill="FFFFFF"/>
        <w:spacing w:before="0" w:beforeAutospacing="0" w:after="0" w:afterAutospacing="0"/>
        <w:ind w:firstLine="371" w:firstLineChars="177"/>
        <w:rPr>
          <w:rFonts w:hint="eastAsia"/>
          <w:color w:val="auto"/>
          <w:sz w:val="21"/>
          <w:szCs w:val="21"/>
        </w:rPr>
      </w:pPr>
      <w:r>
        <w:rPr>
          <w:rFonts w:hint="eastAsia"/>
          <w:color w:val="auto"/>
          <w:sz w:val="21"/>
          <w:szCs w:val="21"/>
        </w:rPr>
        <w:t>日</w:t>
      </w:r>
      <w:r>
        <w:rPr>
          <w:color w:val="auto"/>
          <w:sz w:val="21"/>
          <w:szCs w:val="21"/>
        </w:rPr>
        <w:t xml:space="preserve">        </w:t>
      </w:r>
      <w:r>
        <w:rPr>
          <w:rFonts w:hint="eastAsia"/>
          <w:color w:val="auto"/>
          <w:sz w:val="21"/>
          <w:szCs w:val="21"/>
        </w:rPr>
        <w:t>期：</w:t>
      </w:r>
    </w:p>
    <w:p w14:paraId="744F117F">
      <w:pPr>
        <w:pStyle w:val="61"/>
        <w:shd w:val="clear" w:color="auto" w:fill="FFFFFF"/>
        <w:spacing w:before="0" w:beforeAutospacing="0" w:after="0" w:afterAutospacing="0"/>
        <w:ind w:firstLine="371" w:firstLineChars="177"/>
        <w:rPr>
          <w:rFonts w:hint="eastAsia"/>
          <w:color w:val="auto"/>
          <w:sz w:val="21"/>
          <w:szCs w:val="21"/>
        </w:rPr>
      </w:pPr>
    </w:p>
    <w:p w14:paraId="63891B27">
      <w:pPr>
        <w:spacing w:line="360" w:lineRule="auto"/>
        <w:rPr>
          <w:rFonts w:ascii="宋体"/>
          <w:b/>
          <w:color w:val="auto"/>
          <w:sz w:val="28"/>
        </w:rPr>
      </w:pPr>
    </w:p>
    <w:p w14:paraId="6A1003A0">
      <w:pPr>
        <w:spacing w:line="360" w:lineRule="auto"/>
        <w:rPr>
          <w:rFonts w:ascii="宋体"/>
          <w:b/>
          <w:color w:val="auto"/>
          <w:sz w:val="28"/>
        </w:rPr>
      </w:pPr>
    </w:p>
    <w:p w14:paraId="1A983371">
      <w:pPr>
        <w:spacing w:line="360" w:lineRule="auto"/>
        <w:rPr>
          <w:rFonts w:ascii="宋体"/>
          <w:b/>
          <w:color w:val="auto"/>
          <w:sz w:val="28"/>
        </w:rPr>
      </w:pPr>
    </w:p>
    <w:p w14:paraId="0201384A">
      <w:pPr>
        <w:spacing w:line="360" w:lineRule="auto"/>
        <w:rPr>
          <w:rFonts w:ascii="宋体"/>
          <w:b/>
          <w:color w:val="auto"/>
          <w:sz w:val="28"/>
        </w:rPr>
      </w:pPr>
    </w:p>
    <w:p w14:paraId="18355DAF">
      <w:pPr>
        <w:spacing w:line="360" w:lineRule="auto"/>
        <w:rPr>
          <w:rFonts w:hint="eastAsia" w:ascii="宋体" w:eastAsia="宋体"/>
          <w:b/>
          <w:color w:val="auto"/>
          <w:szCs w:val="21"/>
          <w:lang w:eastAsia="zh-CN"/>
        </w:rPr>
      </w:pPr>
      <w:r>
        <w:rPr>
          <w:rFonts w:hint="eastAsia" w:ascii="宋体" w:hAnsi="宋体"/>
          <w:b/>
          <w:color w:val="auto"/>
          <w:szCs w:val="21"/>
        </w:rPr>
        <w:t>附件</w:t>
      </w:r>
      <w:r>
        <w:rPr>
          <w:rFonts w:ascii="宋体" w:hAnsi="宋体"/>
          <w:b/>
          <w:color w:val="auto"/>
          <w:szCs w:val="21"/>
        </w:rPr>
        <w:t>1</w:t>
      </w:r>
      <w:r>
        <w:rPr>
          <w:rFonts w:hint="eastAsia" w:ascii="宋体" w:hAnsi="宋体"/>
          <w:b/>
          <w:color w:val="auto"/>
          <w:szCs w:val="21"/>
          <w:lang w:val="en-US" w:eastAsia="zh-CN"/>
        </w:rPr>
        <w:t>3</w:t>
      </w:r>
    </w:p>
    <w:p w14:paraId="00BD5EEC">
      <w:pPr>
        <w:pStyle w:val="60"/>
        <w:spacing w:line="360" w:lineRule="auto"/>
        <w:jc w:val="center"/>
        <w:rPr>
          <w:rFonts w:ascii="宋体"/>
          <w:b/>
          <w:color w:val="auto"/>
          <w:sz w:val="30"/>
          <w:szCs w:val="30"/>
        </w:rPr>
      </w:pPr>
      <w:r>
        <w:rPr>
          <w:rFonts w:hint="eastAsia" w:ascii="宋体" w:hAnsi="宋体"/>
          <w:b/>
          <w:color w:val="auto"/>
          <w:sz w:val="30"/>
          <w:szCs w:val="30"/>
        </w:rPr>
        <w:t>投标人类似项目实施情况一览表</w:t>
      </w:r>
    </w:p>
    <w:p w14:paraId="42FC0625">
      <w:pPr>
        <w:pStyle w:val="60"/>
        <w:spacing w:line="360" w:lineRule="auto"/>
        <w:jc w:val="center"/>
        <w:rPr>
          <w:rFonts w:ascii="仿宋_GB2312" w:eastAsia="仿宋_GB2312"/>
          <w:b/>
          <w:color w:val="auto"/>
          <w:sz w:val="28"/>
          <w:szCs w:val="28"/>
        </w:rPr>
      </w:pPr>
    </w:p>
    <w:tbl>
      <w:tblPr>
        <w:tblStyle w:val="22"/>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14:paraId="36DA14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14:paraId="15EAA982">
            <w:pPr>
              <w:pStyle w:val="60"/>
              <w:spacing w:line="360" w:lineRule="auto"/>
              <w:jc w:val="center"/>
              <w:rPr>
                <w:rFonts w:ascii="宋体" w:cs="Arial"/>
                <w:b/>
                <w:bCs/>
                <w:color w:val="auto"/>
                <w:szCs w:val="21"/>
              </w:rPr>
            </w:pPr>
            <w:r>
              <w:rPr>
                <w:rFonts w:hint="eastAsia" w:ascii="宋体" w:hAnsi="宋体" w:cs="Arial"/>
                <w:b/>
                <w:bCs/>
                <w:color w:val="auto"/>
                <w:szCs w:val="21"/>
              </w:rPr>
              <w:t>序号</w:t>
            </w:r>
          </w:p>
        </w:tc>
        <w:tc>
          <w:tcPr>
            <w:tcW w:w="1293" w:type="dxa"/>
            <w:tcBorders>
              <w:top w:val="single" w:color="auto" w:sz="6" w:space="0"/>
              <w:left w:val="single" w:color="auto" w:sz="6" w:space="0"/>
              <w:bottom w:val="single" w:color="auto" w:sz="6" w:space="0"/>
              <w:right w:val="single" w:color="auto" w:sz="6" w:space="0"/>
            </w:tcBorders>
            <w:noWrap w:val="0"/>
            <w:vAlign w:val="center"/>
          </w:tcPr>
          <w:p w14:paraId="601677CB">
            <w:pPr>
              <w:pStyle w:val="60"/>
              <w:spacing w:line="360" w:lineRule="auto"/>
              <w:jc w:val="center"/>
              <w:rPr>
                <w:rFonts w:ascii="宋体" w:cs="Arial"/>
                <w:b/>
                <w:bCs/>
                <w:color w:val="auto"/>
                <w:szCs w:val="21"/>
              </w:rPr>
            </w:pPr>
            <w:r>
              <w:rPr>
                <w:rFonts w:hint="eastAsia" w:ascii="宋体" w:hAnsi="宋体" w:cs="Arial"/>
                <w:b/>
                <w:bCs/>
                <w:color w:val="auto"/>
                <w:szCs w:val="21"/>
              </w:rPr>
              <w:t>项目名称</w:t>
            </w:r>
          </w:p>
        </w:tc>
        <w:tc>
          <w:tcPr>
            <w:tcW w:w="1575" w:type="dxa"/>
            <w:tcBorders>
              <w:top w:val="single" w:color="auto" w:sz="6" w:space="0"/>
              <w:left w:val="single" w:color="auto" w:sz="6" w:space="0"/>
              <w:bottom w:val="single" w:color="auto" w:sz="6" w:space="0"/>
              <w:right w:val="single" w:color="auto" w:sz="6" w:space="0"/>
            </w:tcBorders>
            <w:noWrap w:val="0"/>
            <w:vAlign w:val="center"/>
          </w:tcPr>
          <w:p w14:paraId="0D17F13D">
            <w:pPr>
              <w:pStyle w:val="60"/>
              <w:spacing w:line="360" w:lineRule="auto"/>
              <w:jc w:val="center"/>
              <w:rPr>
                <w:rFonts w:ascii="宋体" w:cs="Arial"/>
                <w:b/>
                <w:bCs/>
                <w:color w:val="auto"/>
                <w:szCs w:val="21"/>
              </w:rPr>
            </w:pPr>
            <w:r>
              <w:rPr>
                <w:rFonts w:hint="eastAsia" w:ascii="宋体" w:hAnsi="宋体" w:cs="Arial"/>
                <w:b/>
                <w:bCs/>
                <w:color w:val="auto"/>
                <w:szCs w:val="21"/>
              </w:rPr>
              <w:t>项目地址</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91F281B">
            <w:pPr>
              <w:pStyle w:val="60"/>
              <w:spacing w:line="360" w:lineRule="auto"/>
              <w:jc w:val="center"/>
              <w:rPr>
                <w:rFonts w:ascii="宋体" w:cs="Arial"/>
                <w:b/>
                <w:bCs/>
                <w:color w:val="auto"/>
                <w:szCs w:val="21"/>
              </w:rPr>
            </w:pPr>
            <w:r>
              <w:rPr>
                <w:rFonts w:hint="eastAsia" w:ascii="宋体" w:hAnsi="宋体" w:cs="Arial"/>
                <w:b/>
                <w:bCs/>
                <w:color w:val="auto"/>
                <w:szCs w:val="21"/>
              </w:rPr>
              <w:t>合同总价</w:t>
            </w:r>
          </w:p>
        </w:tc>
        <w:tc>
          <w:tcPr>
            <w:tcW w:w="1452" w:type="dxa"/>
            <w:tcBorders>
              <w:top w:val="single" w:color="auto" w:sz="6" w:space="0"/>
              <w:left w:val="single" w:color="auto" w:sz="6" w:space="0"/>
              <w:bottom w:val="single" w:color="auto" w:sz="6" w:space="0"/>
              <w:right w:val="single" w:color="auto" w:sz="6" w:space="0"/>
            </w:tcBorders>
            <w:noWrap w:val="0"/>
            <w:vAlign w:val="center"/>
          </w:tcPr>
          <w:p w14:paraId="2DFBF1E6">
            <w:pPr>
              <w:pStyle w:val="60"/>
              <w:spacing w:line="360" w:lineRule="auto"/>
              <w:jc w:val="center"/>
              <w:rPr>
                <w:rFonts w:ascii="宋体" w:cs="Arial"/>
                <w:b/>
                <w:bCs/>
                <w:color w:val="auto"/>
                <w:szCs w:val="21"/>
              </w:rPr>
            </w:pPr>
            <w:r>
              <w:rPr>
                <w:rFonts w:hint="eastAsia" w:ascii="宋体" w:hAnsi="宋体" w:cs="Arial"/>
                <w:b/>
                <w:bCs/>
                <w:color w:val="auto"/>
                <w:szCs w:val="21"/>
              </w:rPr>
              <w:t>实施时间</w:t>
            </w:r>
          </w:p>
        </w:tc>
        <w:tc>
          <w:tcPr>
            <w:tcW w:w="1383" w:type="dxa"/>
            <w:tcBorders>
              <w:top w:val="single" w:color="auto" w:sz="6" w:space="0"/>
              <w:left w:val="single" w:color="auto" w:sz="6" w:space="0"/>
              <w:bottom w:val="single" w:color="auto" w:sz="6" w:space="0"/>
              <w:right w:val="single" w:color="auto" w:sz="6" w:space="0"/>
            </w:tcBorders>
            <w:noWrap w:val="0"/>
            <w:vAlign w:val="center"/>
          </w:tcPr>
          <w:p w14:paraId="5D0E85D9">
            <w:pPr>
              <w:pStyle w:val="60"/>
              <w:spacing w:line="360" w:lineRule="auto"/>
              <w:jc w:val="center"/>
              <w:rPr>
                <w:rFonts w:ascii="宋体" w:cs="Arial"/>
                <w:b/>
                <w:bCs/>
                <w:color w:val="auto"/>
                <w:szCs w:val="21"/>
              </w:rPr>
            </w:pPr>
            <w:r>
              <w:rPr>
                <w:rFonts w:hint="eastAsia" w:ascii="宋体" w:hAnsi="宋体" w:cs="Arial"/>
                <w:b/>
                <w:bCs/>
                <w:color w:val="auto"/>
                <w:szCs w:val="21"/>
              </w:rPr>
              <w:t>项目质量</w:t>
            </w:r>
          </w:p>
        </w:tc>
        <w:tc>
          <w:tcPr>
            <w:tcW w:w="2037" w:type="dxa"/>
            <w:tcBorders>
              <w:top w:val="single" w:color="auto" w:sz="6" w:space="0"/>
              <w:left w:val="single" w:color="auto" w:sz="6" w:space="0"/>
              <w:bottom w:val="single" w:color="auto" w:sz="6" w:space="0"/>
              <w:right w:val="single" w:color="auto" w:sz="6" w:space="0"/>
            </w:tcBorders>
            <w:noWrap w:val="0"/>
            <w:vAlign w:val="center"/>
          </w:tcPr>
          <w:p w14:paraId="6682788D">
            <w:pPr>
              <w:pStyle w:val="60"/>
              <w:spacing w:line="360" w:lineRule="auto"/>
              <w:jc w:val="center"/>
              <w:rPr>
                <w:rFonts w:ascii="宋体" w:cs="Arial"/>
                <w:b/>
                <w:bCs/>
                <w:color w:val="auto"/>
                <w:szCs w:val="21"/>
              </w:rPr>
            </w:pPr>
            <w:r>
              <w:rPr>
                <w:rFonts w:hint="eastAsia" w:ascii="宋体" w:hAnsi="宋体" w:cs="Arial"/>
                <w:b/>
                <w:bCs/>
                <w:color w:val="auto"/>
                <w:szCs w:val="21"/>
              </w:rPr>
              <w:t>项目单位名称及其联系人电话</w:t>
            </w:r>
          </w:p>
        </w:tc>
      </w:tr>
      <w:tr w14:paraId="109C2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14:paraId="135264F7">
            <w:pPr>
              <w:pStyle w:val="60"/>
              <w:spacing w:line="360" w:lineRule="auto"/>
              <w:jc w:val="center"/>
              <w:rPr>
                <w:rFonts w:ascii="宋体" w:cs="Arial"/>
                <w:color w:val="auto"/>
                <w:szCs w:val="21"/>
              </w:rPr>
            </w:pPr>
            <w:r>
              <w:rPr>
                <w:rFonts w:ascii="宋体" w:hAnsi="宋体" w:cs="Arial"/>
                <w:color w:val="auto"/>
                <w:szCs w:val="21"/>
              </w:rPr>
              <w:t>1</w:t>
            </w:r>
          </w:p>
        </w:tc>
        <w:tc>
          <w:tcPr>
            <w:tcW w:w="1293" w:type="dxa"/>
            <w:tcBorders>
              <w:top w:val="single" w:color="auto" w:sz="6" w:space="0"/>
              <w:left w:val="single" w:color="auto" w:sz="6" w:space="0"/>
              <w:bottom w:val="single" w:color="auto" w:sz="6" w:space="0"/>
              <w:right w:val="single" w:color="auto" w:sz="6" w:space="0"/>
            </w:tcBorders>
            <w:noWrap w:val="0"/>
            <w:vAlign w:val="top"/>
          </w:tcPr>
          <w:p w14:paraId="3781302A">
            <w:pPr>
              <w:pStyle w:val="60"/>
              <w:spacing w:line="360" w:lineRule="auto"/>
              <w:rPr>
                <w:rFonts w:ascii="宋体" w:cs="Arial"/>
                <w:color w:val="auto"/>
                <w:szCs w:val="21"/>
              </w:rPr>
            </w:pPr>
          </w:p>
        </w:tc>
        <w:tc>
          <w:tcPr>
            <w:tcW w:w="1575" w:type="dxa"/>
            <w:tcBorders>
              <w:top w:val="single" w:color="auto" w:sz="6" w:space="0"/>
              <w:left w:val="single" w:color="auto" w:sz="6" w:space="0"/>
              <w:bottom w:val="single" w:color="auto" w:sz="6" w:space="0"/>
              <w:right w:val="single" w:color="auto" w:sz="6" w:space="0"/>
            </w:tcBorders>
            <w:noWrap w:val="0"/>
            <w:vAlign w:val="top"/>
          </w:tcPr>
          <w:p w14:paraId="4EE16EE3">
            <w:pPr>
              <w:pStyle w:val="60"/>
              <w:spacing w:line="360" w:lineRule="auto"/>
              <w:rPr>
                <w:rFonts w:ascii="宋体" w:cs="Arial"/>
                <w:color w:val="auto"/>
                <w:szCs w:val="21"/>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EA9CC27">
            <w:pPr>
              <w:pStyle w:val="60"/>
              <w:spacing w:line="360" w:lineRule="auto"/>
              <w:rPr>
                <w:rFonts w:ascii="宋体" w:cs="Arial"/>
                <w:color w:val="auto"/>
                <w:szCs w:val="21"/>
              </w:rPr>
            </w:pPr>
          </w:p>
        </w:tc>
        <w:tc>
          <w:tcPr>
            <w:tcW w:w="1452" w:type="dxa"/>
            <w:tcBorders>
              <w:top w:val="single" w:color="auto" w:sz="6" w:space="0"/>
              <w:left w:val="single" w:color="auto" w:sz="6" w:space="0"/>
              <w:bottom w:val="single" w:color="auto" w:sz="6" w:space="0"/>
              <w:right w:val="single" w:color="auto" w:sz="6" w:space="0"/>
            </w:tcBorders>
            <w:noWrap w:val="0"/>
            <w:vAlign w:val="top"/>
          </w:tcPr>
          <w:p w14:paraId="73CB4F34">
            <w:pPr>
              <w:pStyle w:val="60"/>
              <w:spacing w:line="360" w:lineRule="auto"/>
              <w:rPr>
                <w:rFonts w:ascii="宋体" w:cs="Arial"/>
                <w:color w:val="auto"/>
                <w:szCs w:val="21"/>
              </w:rPr>
            </w:pPr>
          </w:p>
        </w:tc>
        <w:tc>
          <w:tcPr>
            <w:tcW w:w="1383" w:type="dxa"/>
            <w:tcBorders>
              <w:top w:val="single" w:color="auto" w:sz="6" w:space="0"/>
              <w:left w:val="single" w:color="auto" w:sz="6" w:space="0"/>
              <w:bottom w:val="single" w:color="auto" w:sz="6" w:space="0"/>
              <w:right w:val="single" w:color="auto" w:sz="6" w:space="0"/>
            </w:tcBorders>
            <w:noWrap w:val="0"/>
            <w:vAlign w:val="top"/>
          </w:tcPr>
          <w:p w14:paraId="60E648F9">
            <w:pPr>
              <w:pStyle w:val="60"/>
              <w:spacing w:line="360" w:lineRule="auto"/>
              <w:rPr>
                <w:rFonts w:ascii="宋体" w:cs="Arial"/>
                <w:color w:val="auto"/>
                <w:szCs w:val="21"/>
              </w:rPr>
            </w:pPr>
          </w:p>
        </w:tc>
        <w:tc>
          <w:tcPr>
            <w:tcW w:w="2037" w:type="dxa"/>
            <w:tcBorders>
              <w:top w:val="single" w:color="auto" w:sz="6" w:space="0"/>
              <w:left w:val="single" w:color="auto" w:sz="6" w:space="0"/>
              <w:bottom w:val="single" w:color="auto" w:sz="6" w:space="0"/>
              <w:right w:val="single" w:color="auto" w:sz="6" w:space="0"/>
            </w:tcBorders>
            <w:noWrap w:val="0"/>
            <w:vAlign w:val="top"/>
          </w:tcPr>
          <w:p w14:paraId="776D46B8">
            <w:pPr>
              <w:pStyle w:val="60"/>
              <w:spacing w:line="360" w:lineRule="auto"/>
              <w:rPr>
                <w:rFonts w:ascii="宋体" w:cs="Arial"/>
                <w:color w:val="auto"/>
                <w:szCs w:val="21"/>
              </w:rPr>
            </w:pPr>
          </w:p>
        </w:tc>
      </w:tr>
      <w:tr w14:paraId="5D5F2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14:paraId="764DA406">
            <w:pPr>
              <w:pStyle w:val="60"/>
              <w:spacing w:line="360" w:lineRule="auto"/>
              <w:jc w:val="center"/>
              <w:rPr>
                <w:rFonts w:ascii="宋体" w:cs="Arial"/>
                <w:color w:val="auto"/>
                <w:szCs w:val="21"/>
              </w:rPr>
            </w:pPr>
            <w:r>
              <w:rPr>
                <w:rFonts w:ascii="宋体" w:hAnsi="宋体" w:cs="Arial"/>
                <w:color w:val="auto"/>
                <w:szCs w:val="21"/>
              </w:rPr>
              <w:t>2</w:t>
            </w:r>
          </w:p>
        </w:tc>
        <w:tc>
          <w:tcPr>
            <w:tcW w:w="1293" w:type="dxa"/>
            <w:tcBorders>
              <w:top w:val="single" w:color="auto" w:sz="6" w:space="0"/>
              <w:left w:val="single" w:color="auto" w:sz="6" w:space="0"/>
              <w:bottom w:val="single" w:color="auto" w:sz="6" w:space="0"/>
              <w:right w:val="single" w:color="auto" w:sz="6" w:space="0"/>
            </w:tcBorders>
            <w:noWrap w:val="0"/>
            <w:vAlign w:val="top"/>
          </w:tcPr>
          <w:p w14:paraId="5D1DCA14">
            <w:pPr>
              <w:pStyle w:val="60"/>
              <w:spacing w:line="360" w:lineRule="auto"/>
              <w:rPr>
                <w:rFonts w:ascii="宋体" w:cs="Arial"/>
                <w:color w:val="auto"/>
                <w:szCs w:val="21"/>
              </w:rPr>
            </w:pPr>
          </w:p>
        </w:tc>
        <w:tc>
          <w:tcPr>
            <w:tcW w:w="1575" w:type="dxa"/>
            <w:tcBorders>
              <w:top w:val="single" w:color="auto" w:sz="6" w:space="0"/>
              <w:left w:val="single" w:color="auto" w:sz="6" w:space="0"/>
              <w:bottom w:val="single" w:color="auto" w:sz="6" w:space="0"/>
              <w:right w:val="single" w:color="auto" w:sz="6" w:space="0"/>
            </w:tcBorders>
            <w:noWrap w:val="0"/>
            <w:vAlign w:val="top"/>
          </w:tcPr>
          <w:p w14:paraId="7485FDCA">
            <w:pPr>
              <w:pStyle w:val="60"/>
              <w:spacing w:line="360" w:lineRule="auto"/>
              <w:rPr>
                <w:rFonts w:ascii="宋体" w:cs="Arial"/>
                <w:color w:val="auto"/>
                <w:szCs w:val="21"/>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68FB2E2">
            <w:pPr>
              <w:pStyle w:val="60"/>
              <w:spacing w:line="360" w:lineRule="auto"/>
              <w:rPr>
                <w:rFonts w:ascii="宋体" w:cs="Arial"/>
                <w:color w:val="auto"/>
                <w:szCs w:val="21"/>
              </w:rPr>
            </w:pPr>
          </w:p>
        </w:tc>
        <w:tc>
          <w:tcPr>
            <w:tcW w:w="1452" w:type="dxa"/>
            <w:tcBorders>
              <w:top w:val="single" w:color="auto" w:sz="6" w:space="0"/>
              <w:left w:val="single" w:color="auto" w:sz="6" w:space="0"/>
              <w:bottom w:val="single" w:color="auto" w:sz="6" w:space="0"/>
              <w:right w:val="single" w:color="auto" w:sz="6" w:space="0"/>
            </w:tcBorders>
            <w:noWrap w:val="0"/>
            <w:vAlign w:val="top"/>
          </w:tcPr>
          <w:p w14:paraId="642FAD0E">
            <w:pPr>
              <w:pStyle w:val="60"/>
              <w:spacing w:line="360" w:lineRule="auto"/>
              <w:rPr>
                <w:rFonts w:ascii="宋体" w:cs="Arial"/>
                <w:color w:val="auto"/>
                <w:szCs w:val="21"/>
              </w:rPr>
            </w:pPr>
          </w:p>
        </w:tc>
        <w:tc>
          <w:tcPr>
            <w:tcW w:w="1383" w:type="dxa"/>
            <w:tcBorders>
              <w:top w:val="single" w:color="auto" w:sz="6" w:space="0"/>
              <w:left w:val="single" w:color="auto" w:sz="6" w:space="0"/>
              <w:bottom w:val="single" w:color="auto" w:sz="6" w:space="0"/>
              <w:right w:val="single" w:color="auto" w:sz="6" w:space="0"/>
            </w:tcBorders>
            <w:noWrap w:val="0"/>
            <w:vAlign w:val="top"/>
          </w:tcPr>
          <w:p w14:paraId="72161326">
            <w:pPr>
              <w:pStyle w:val="60"/>
              <w:spacing w:line="360" w:lineRule="auto"/>
              <w:rPr>
                <w:rFonts w:ascii="宋体" w:cs="Arial"/>
                <w:color w:val="auto"/>
                <w:szCs w:val="21"/>
              </w:rPr>
            </w:pPr>
          </w:p>
        </w:tc>
        <w:tc>
          <w:tcPr>
            <w:tcW w:w="2037" w:type="dxa"/>
            <w:tcBorders>
              <w:top w:val="single" w:color="auto" w:sz="6" w:space="0"/>
              <w:left w:val="single" w:color="auto" w:sz="6" w:space="0"/>
              <w:bottom w:val="single" w:color="auto" w:sz="6" w:space="0"/>
              <w:right w:val="single" w:color="auto" w:sz="6" w:space="0"/>
            </w:tcBorders>
            <w:noWrap w:val="0"/>
            <w:vAlign w:val="top"/>
          </w:tcPr>
          <w:p w14:paraId="636CBA03">
            <w:pPr>
              <w:pStyle w:val="60"/>
              <w:spacing w:line="360" w:lineRule="auto"/>
              <w:rPr>
                <w:rFonts w:ascii="宋体" w:cs="Arial"/>
                <w:color w:val="auto"/>
                <w:szCs w:val="21"/>
              </w:rPr>
            </w:pPr>
          </w:p>
        </w:tc>
      </w:tr>
      <w:tr w14:paraId="48DFC0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14:paraId="691B71B1">
            <w:pPr>
              <w:pStyle w:val="60"/>
              <w:spacing w:line="360" w:lineRule="auto"/>
              <w:jc w:val="center"/>
              <w:rPr>
                <w:rFonts w:ascii="宋体" w:cs="Arial"/>
                <w:color w:val="auto"/>
                <w:szCs w:val="21"/>
              </w:rPr>
            </w:pPr>
            <w:r>
              <w:rPr>
                <w:rFonts w:ascii="宋体" w:hAnsi="宋体" w:cs="Arial"/>
                <w:color w:val="auto"/>
                <w:szCs w:val="21"/>
              </w:rPr>
              <w:t>3</w:t>
            </w:r>
          </w:p>
        </w:tc>
        <w:tc>
          <w:tcPr>
            <w:tcW w:w="1293" w:type="dxa"/>
            <w:tcBorders>
              <w:top w:val="single" w:color="auto" w:sz="6" w:space="0"/>
              <w:left w:val="single" w:color="auto" w:sz="6" w:space="0"/>
              <w:bottom w:val="single" w:color="auto" w:sz="6" w:space="0"/>
              <w:right w:val="single" w:color="auto" w:sz="6" w:space="0"/>
            </w:tcBorders>
            <w:noWrap w:val="0"/>
            <w:vAlign w:val="top"/>
          </w:tcPr>
          <w:p w14:paraId="67FC009C">
            <w:pPr>
              <w:pStyle w:val="60"/>
              <w:spacing w:line="360" w:lineRule="auto"/>
              <w:rPr>
                <w:rFonts w:ascii="宋体" w:cs="Arial"/>
                <w:color w:val="auto"/>
                <w:szCs w:val="21"/>
              </w:rPr>
            </w:pPr>
          </w:p>
        </w:tc>
        <w:tc>
          <w:tcPr>
            <w:tcW w:w="1575" w:type="dxa"/>
            <w:tcBorders>
              <w:top w:val="single" w:color="auto" w:sz="6" w:space="0"/>
              <w:left w:val="single" w:color="auto" w:sz="6" w:space="0"/>
              <w:bottom w:val="single" w:color="auto" w:sz="6" w:space="0"/>
              <w:right w:val="single" w:color="auto" w:sz="6" w:space="0"/>
            </w:tcBorders>
            <w:noWrap w:val="0"/>
            <w:vAlign w:val="top"/>
          </w:tcPr>
          <w:p w14:paraId="707610CE">
            <w:pPr>
              <w:pStyle w:val="60"/>
              <w:spacing w:line="360" w:lineRule="auto"/>
              <w:rPr>
                <w:rFonts w:ascii="宋体" w:cs="Arial"/>
                <w:color w:val="auto"/>
                <w:szCs w:val="21"/>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EE715C6">
            <w:pPr>
              <w:pStyle w:val="60"/>
              <w:spacing w:line="360" w:lineRule="auto"/>
              <w:rPr>
                <w:rFonts w:ascii="宋体" w:cs="Arial"/>
                <w:color w:val="auto"/>
                <w:szCs w:val="21"/>
              </w:rPr>
            </w:pPr>
          </w:p>
        </w:tc>
        <w:tc>
          <w:tcPr>
            <w:tcW w:w="1452" w:type="dxa"/>
            <w:tcBorders>
              <w:top w:val="single" w:color="auto" w:sz="6" w:space="0"/>
              <w:left w:val="single" w:color="auto" w:sz="6" w:space="0"/>
              <w:bottom w:val="single" w:color="auto" w:sz="6" w:space="0"/>
              <w:right w:val="single" w:color="auto" w:sz="6" w:space="0"/>
            </w:tcBorders>
            <w:noWrap w:val="0"/>
            <w:vAlign w:val="top"/>
          </w:tcPr>
          <w:p w14:paraId="5A72DF75">
            <w:pPr>
              <w:pStyle w:val="60"/>
              <w:spacing w:line="360" w:lineRule="auto"/>
              <w:rPr>
                <w:rFonts w:ascii="宋体" w:cs="Arial"/>
                <w:color w:val="auto"/>
                <w:szCs w:val="21"/>
              </w:rPr>
            </w:pPr>
          </w:p>
        </w:tc>
        <w:tc>
          <w:tcPr>
            <w:tcW w:w="1383" w:type="dxa"/>
            <w:tcBorders>
              <w:top w:val="single" w:color="auto" w:sz="6" w:space="0"/>
              <w:left w:val="single" w:color="auto" w:sz="6" w:space="0"/>
              <w:bottom w:val="single" w:color="auto" w:sz="6" w:space="0"/>
              <w:right w:val="single" w:color="auto" w:sz="6" w:space="0"/>
            </w:tcBorders>
            <w:noWrap w:val="0"/>
            <w:vAlign w:val="top"/>
          </w:tcPr>
          <w:p w14:paraId="25193CE9">
            <w:pPr>
              <w:pStyle w:val="60"/>
              <w:spacing w:line="360" w:lineRule="auto"/>
              <w:rPr>
                <w:rFonts w:ascii="宋体" w:cs="Arial"/>
                <w:color w:val="auto"/>
                <w:szCs w:val="21"/>
              </w:rPr>
            </w:pPr>
          </w:p>
        </w:tc>
        <w:tc>
          <w:tcPr>
            <w:tcW w:w="2037" w:type="dxa"/>
            <w:tcBorders>
              <w:top w:val="single" w:color="auto" w:sz="6" w:space="0"/>
              <w:left w:val="single" w:color="auto" w:sz="6" w:space="0"/>
              <w:bottom w:val="single" w:color="auto" w:sz="6" w:space="0"/>
              <w:right w:val="single" w:color="auto" w:sz="6" w:space="0"/>
            </w:tcBorders>
            <w:noWrap w:val="0"/>
            <w:vAlign w:val="top"/>
          </w:tcPr>
          <w:p w14:paraId="73436F60">
            <w:pPr>
              <w:pStyle w:val="60"/>
              <w:spacing w:line="360" w:lineRule="auto"/>
              <w:rPr>
                <w:rFonts w:ascii="宋体" w:cs="Arial"/>
                <w:color w:val="auto"/>
                <w:szCs w:val="21"/>
              </w:rPr>
            </w:pPr>
          </w:p>
        </w:tc>
      </w:tr>
      <w:tr w14:paraId="11110C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14:paraId="664C2B80">
            <w:pPr>
              <w:pStyle w:val="60"/>
              <w:spacing w:line="360" w:lineRule="auto"/>
              <w:rPr>
                <w:rFonts w:ascii="宋体" w:cs="Arial"/>
                <w:color w:val="auto"/>
                <w:szCs w:val="21"/>
              </w:rPr>
            </w:pPr>
            <w:r>
              <w:rPr>
                <w:rFonts w:hint="eastAsia" w:ascii="宋体" w:hAnsi="宋体" w:cs="Arial"/>
                <w:color w:val="auto"/>
                <w:szCs w:val="21"/>
              </w:rPr>
              <w:t>…</w:t>
            </w:r>
          </w:p>
        </w:tc>
        <w:tc>
          <w:tcPr>
            <w:tcW w:w="1293" w:type="dxa"/>
            <w:tcBorders>
              <w:top w:val="single" w:color="auto" w:sz="6" w:space="0"/>
              <w:left w:val="single" w:color="auto" w:sz="6" w:space="0"/>
              <w:bottom w:val="single" w:color="auto" w:sz="6" w:space="0"/>
              <w:right w:val="single" w:color="auto" w:sz="6" w:space="0"/>
            </w:tcBorders>
            <w:noWrap w:val="0"/>
            <w:vAlign w:val="top"/>
          </w:tcPr>
          <w:p w14:paraId="490F5379">
            <w:pPr>
              <w:pStyle w:val="60"/>
              <w:spacing w:line="360" w:lineRule="auto"/>
              <w:rPr>
                <w:rFonts w:ascii="宋体" w:cs="Arial"/>
                <w:color w:val="auto"/>
                <w:szCs w:val="21"/>
              </w:rPr>
            </w:pPr>
          </w:p>
        </w:tc>
        <w:tc>
          <w:tcPr>
            <w:tcW w:w="1575" w:type="dxa"/>
            <w:tcBorders>
              <w:top w:val="single" w:color="auto" w:sz="6" w:space="0"/>
              <w:left w:val="single" w:color="auto" w:sz="6" w:space="0"/>
              <w:bottom w:val="single" w:color="auto" w:sz="6" w:space="0"/>
              <w:right w:val="single" w:color="auto" w:sz="6" w:space="0"/>
            </w:tcBorders>
            <w:noWrap w:val="0"/>
            <w:vAlign w:val="top"/>
          </w:tcPr>
          <w:p w14:paraId="7B66D538">
            <w:pPr>
              <w:pStyle w:val="60"/>
              <w:spacing w:line="360" w:lineRule="auto"/>
              <w:rPr>
                <w:rFonts w:ascii="宋体" w:cs="Arial"/>
                <w:color w:val="auto"/>
                <w:szCs w:val="21"/>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DC6E71">
            <w:pPr>
              <w:pStyle w:val="60"/>
              <w:spacing w:line="360" w:lineRule="auto"/>
              <w:rPr>
                <w:rFonts w:ascii="宋体" w:cs="Arial"/>
                <w:color w:val="auto"/>
                <w:szCs w:val="21"/>
              </w:rPr>
            </w:pPr>
          </w:p>
        </w:tc>
        <w:tc>
          <w:tcPr>
            <w:tcW w:w="1452" w:type="dxa"/>
            <w:tcBorders>
              <w:top w:val="single" w:color="auto" w:sz="6" w:space="0"/>
              <w:left w:val="single" w:color="auto" w:sz="6" w:space="0"/>
              <w:bottom w:val="single" w:color="auto" w:sz="6" w:space="0"/>
              <w:right w:val="single" w:color="auto" w:sz="6" w:space="0"/>
            </w:tcBorders>
            <w:noWrap w:val="0"/>
            <w:vAlign w:val="top"/>
          </w:tcPr>
          <w:p w14:paraId="6771321F">
            <w:pPr>
              <w:pStyle w:val="60"/>
              <w:spacing w:line="360" w:lineRule="auto"/>
              <w:rPr>
                <w:rFonts w:ascii="宋体" w:cs="Arial"/>
                <w:color w:val="auto"/>
                <w:szCs w:val="21"/>
              </w:rPr>
            </w:pPr>
          </w:p>
        </w:tc>
        <w:tc>
          <w:tcPr>
            <w:tcW w:w="1383" w:type="dxa"/>
            <w:tcBorders>
              <w:top w:val="single" w:color="auto" w:sz="6" w:space="0"/>
              <w:left w:val="single" w:color="auto" w:sz="6" w:space="0"/>
              <w:bottom w:val="single" w:color="auto" w:sz="6" w:space="0"/>
              <w:right w:val="single" w:color="auto" w:sz="6" w:space="0"/>
            </w:tcBorders>
            <w:noWrap w:val="0"/>
            <w:vAlign w:val="top"/>
          </w:tcPr>
          <w:p w14:paraId="51578EF0">
            <w:pPr>
              <w:pStyle w:val="60"/>
              <w:spacing w:line="360" w:lineRule="auto"/>
              <w:rPr>
                <w:rFonts w:ascii="宋体" w:cs="Arial"/>
                <w:color w:val="auto"/>
                <w:szCs w:val="21"/>
              </w:rPr>
            </w:pPr>
          </w:p>
        </w:tc>
        <w:tc>
          <w:tcPr>
            <w:tcW w:w="2037" w:type="dxa"/>
            <w:tcBorders>
              <w:top w:val="single" w:color="auto" w:sz="6" w:space="0"/>
              <w:left w:val="single" w:color="auto" w:sz="6" w:space="0"/>
              <w:bottom w:val="single" w:color="auto" w:sz="6" w:space="0"/>
              <w:right w:val="single" w:color="auto" w:sz="6" w:space="0"/>
            </w:tcBorders>
            <w:noWrap w:val="0"/>
            <w:vAlign w:val="top"/>
          </w:tcPr>
          <w:p w14:paraId="3ADCDDD5">
            <w:pPr>
              <w:pStyle w:val="60"/>
              <w:spacing w:line="360" w:lineRule="auto"/>
              <w:rPr>
                <w:rFonts w:ascii="宋体" w:cs="Arial"/>
                <w:color w:val="auto"/>
                <w:szCs w:val="21"/>
              </w:rPr>
            </w:pPr>
          </w:p>
        </w:tc>
      </w:tr>
      <w:tr w14:paraId="4B4FF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14:paraId="42FE532E">
            <w:pPr>
              <w:pStyle w:val="60"/>
              <w:spacing w:line="360" w:lineRule="auto"/>
              <w:rPr>
                <w:rFonts w:ascii="宋体" w:cs="Arial"/>
                <w:color w:val="auto"/>
                <w:szCs w:val="21"/>
              </w:rPr>
            </w:pPr>
          </w:p>
        </w:tc>
        <w:tc>
          <w:tcPr>
            <w:tcW w:w="1293" w:type="dxa"/>
            <w:tcBorders>
              <w:top w:val="single" w:color="auto" w:sz="6" w:space="0"/>
              <w:left w:val="single" w:color="auto" w:sz="6" w:space="0"/>
              <w:bottom w:val="single" w:color="auto" w:sz="6" w:space="0"/>
              <w:right w:val="single" w:color="auto" w:sz="6" w:space="0"/>
            </w:tcBorders>
            <w:noWrap w:val="0"/>
            <w:vAlign w:val="top"/>
          </w:tcPr>
          <w:p w14:paraId="21B884C1">
            <w:pPr>
              <w:pStyle w:val="60"/>
              <w:spacing w:line="360" w:lineRule="auto"/>
              <w:rPr>
                <w:rFonts w:ascii="宋体" w:cs="Arial"/>
                <w:color w:val="auto"/>
                <w:szCs w:val="21"/>
              </w:rPr>
            </w:pPr>
          </w:p>
        </w:tc>
        <w:tc>
          <w:tcPr>
            <w:tcW w:w="1575" w:type="dxa"/>
            <w:tcBorders>
              <w:top w:val="single" w:color="auto" w:sz="6" w:space="0"/>
              <w:left w:val="single" w:color="auto" w:sz="6" w:space="0"/>
              <w:bottom w:val="single" w:color="auto" w:sz="6" w:space="0"/>
              <w:right w:val="single" w:color="auto" w:sz="6" w:space="0"/>
            </w:tcBorders>
            <w:noWrap w:val="0"/>
            <w:vAlign w:val="top"/>
          </w:tcPr>
          <w:p w14:paraId="5B98D6F5">
            <w:pPr>
              <w:pStyle w:val="60"/>
              <w:spacing w:line="360" w:lineRule="auto"/>
              <w:rPr>
                <w:rFonts w:ascii="宋体" w:cs="Arial"/>
                <w:color w:val="auto"/>
                <w:szCs w:val="21"/>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B233938">
            <w:pPr>
              <w:pStyle w:val="60"/>
              <w:spacing w:line="360" w:lineRule="auto"/>
              <w:rPr>
                <w:rFonts w:ascii="宋体" w:cs="Arial"/>
                <w:color w:val="auto"/>
                <w:szCs w:val="21"/>
              </w:rPr>
            </w:pPr>
          </w:p>
        </w:tc>
        <w:tc>
          <w:tcPr>
            <w:tcW w:w="1452" w:type="dxa"/>
            <w:tcBorders>
              <w:top w:val="single" w:color="auto" w:sz="6" w:space="0"/>
              <w:left w:val="single" w:color="auto" w:sz="6" w:space="0"/>
              <w:bottom w:val="single" w:color="auto" w:sz="6" w:space="0"/>
              <w:right w:val="single" w:color="auto" w:sz="6" w:space="0"/>
            </w:tcBorders>
            <w:noWrap w:val="0"/>
            <w:vAlign w:val="top"/>
          </w:tcPr>
          <w:p w14:paraId="547FE164">
            <w:pPr>
              <w:pStyle w:val="60"/>
              <w:spacing w:line="360" w:lineRule="auto"/>
              <w:rPr>
                <w:rFonts w:ascii="宋体" w:cs="Arial"/>
                <w:color w:val="auto"/>
                <w:szCs w:val="21"/>
              </w:rPr>
            </w:pPr>
          </w:p>
        </w:tc>
        <w:tc>
          <w:tcPr>
            <w:tcW w:w="1383" w:type="dxa"/>
            <w:tcBorders>
              <w:top w:val="single" w:color="auto" w:sz="6" w:space="0"/>
              <w:left w:val="single" w:color="auto" w:sz="6" w:space="0"/>
              <w:bottom w:val="single" w:color="auto" w:sz="6" w:space="0"/>
              <w:right w:val="single" w:color="auto" w:sz="6" w:space="0"/>
            </w:tcBorders>
            <w:noWrap w:val="0"/>
            <w:vAlign w:val="top"/>
          </w:tcPr>
          <w:p w14:paraId="4BAD46EA">
            <w:pPr>
              <w:pStyle w:val="60"/>
              <w:spacing w:line="360" w:lineRule="auto"/>
              <w:rPr>
                <w:rFonts w:ascii="宋体" w:cs="Arial"/>
                <w:color w:val="auto"/>
                <w:szCs w:val="21"/>
              </w:rPr>
            </w:pPr>
          </w:p>
        </w:tc>
        <w:tc>
          <w:tcPr>
            <w:tcW w:w="2037" w:type="dxa"/>
            <w:tcBorders>
              <w:top w:val="single" w:color="auto" w:sz="6" w:space="0"/>
              <w:left w:val="single" w:color="auto" w:sz="6" w:space="0"/>
              <w:bottom w:val="single" w:color="auto" w:sz="6" w:space="0"/>
              <w:right w:val="single" w:color="auto" w:sz="6" w:space="0"/>
            </w:tcBorders>
            <w:noWrap w:val="0"/>
            <w:vAlign w:val="top"/>
          </w:tcPr>
          <w:p w14:paraId="7E5B169B">
            <w:pPr>
              <w:pStyle w:val="60"/>
              <w:spacing w:line="360" w:lineRule="auto"/>
              <w:rPr>
                <w:rFonts w:ascii="宋体" w:cs="Arial"/>
                <w:color w:val="auto"/>
                <w:szCs w:val="21"/>
              </w:rPr>
            </w:pPr>
          </w:p>
        </w:tc>
      </w:tr>
      <w:tr w14:paraId="782076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14:paraId="65F22627">
            <w:pPr>
              <w:pStyle w:val="60"/>
              <w:spacing w:line="360" w:lineRule="auto"/>
              <w:rPr>
                <w:rFonts w:asci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noWrap w:val="0"/>
            <w:vAlign w:val="top"/>
          </w:tcPr>
          <w:p w14:paraId="284A5096">
            <w:pPr>
              <w:pStyle w:val="60"/>
              <w:spacing w:line="360" w:lineRule="auto"/>
              <w:rPr>
                <w:rFonts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noWrap w:val="0"/>
            <w:vAlign w:val="top"/>
          </w:tcPr>
          <w:p w14:paraId="73AFE2DB">
            <w:pPr>
              <w:pStyle w:val="60"/>
              <w:spacing w:line="360" w:lineRule="auto"/>
              <w:rPr>
                <w:rFonts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F5651E4">
            <w:pPr>
              <w:pStyle w:val="60"/>
              <w:spacing w:line="360" w:lineRule="auto"/>
              <w:rPr>
                <w:rFonts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noWrap w:val="0"/>
            <w:vAlign w:val="top"/>
          </w:tcPr>
          <w:p w14:paraId="1BE65E08">
            <w:pPr>
              <w:pStyle w:val="60"/>
              <w:spacing w:line="360" w:lineRule="auto"/>
              <w:rPr>
                <w:rFonts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noWrap w:val="0"/>
            <w:vAlign w:val="top"/>
          </w:tcPr>
          <w:p w14:paraId="3E9DF777">
            <w:pPr>
              <w:pStyle w:val="60"/>
              <w:spacing w:line="360" w:lineRule="auto"/>
              <w:rPr>
                <w:rFonts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noWrap w:val="0"/>
            <w:vAlign w:val="top"/>
          </w:tcPr>
          <w:p w14:paraId="2ADDA80A">
            <w:pPr>
              <w:pStyle w:val="60"/>
              <w:spacing w:line="360" w:lineRule="auto"/>
              <w:rPr>
                <w:rFonts w:ascii="宋体" w:cs="Arial"/>
                <w:color w:val="auto"/>
                <w:sz w:val="24"/>
              </w:rPr>
            </w:pPr>
          </w:p>
        </w:tc>
      </w:tr>
      <w:tr w14:paraId="5D252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14:paraId="3985A486">
            <w:pPr>
              <w:pStyle w:val="60"/>
              <w:spacing w:line="360" w:lineRule="auto"/>
              <w:rPr>
                <w:rFonts w:asci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noWrap w:val="0"/>
            <w:vAlign w:val="top"/>
          </w:tcPr>
          <w:p w14:paraId="7BCCD024">
            <w:pPr>
              <w:pStyle w:val="60"/>
              <w:spacing w:line="360" w:lineRule="auto"/>
              <w:rPr>
                <w:rFonts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noWrap w:val="0"/>
            <w:vAlign w:val="top"/>
          </w:tcPr>
          <w:p w14:paraId="6C153562">
            <w:pPr>
              <w:pStyle w:val="60"/>
              <w:spacing w:line="360" w:lineRule="auto"/>
              <w:rPr>
                <w:rFonts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3CD17C3">
            <w:pPr>
              <w:pStyle w:val="60"/>
              <w:spacing w:line="360" w:lineRule="auto"/>
              <w:rPr>
                <w:rFonts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noWrap w:val="0"/>
            <w:vAlign w:val="top"/>
          </w:tcPr>
          <w:p w14:paraId="6C390AA1">
            <w:pPr>
              <w:pStyle w:val="60"/>
              <w:spacing w:line="360" w:lineRule="auto"/>
              <w:rPr>
                <w:rFonts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noWrap w:val="0"/>
            <w:vAlign w:val="top"/>
          </w:tcPr>
          <w:p w14:paraId="5FDA515F">
            <w:pPr>
              <w:pStyle w:val="60"/>
              <w:spacing w:line="360" w:lineRule="auto"/>
              <w:rPr>
                <w:rFonts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noWrap w:val="0"/>
            <w:vAlign w:val="top"/>
          </w:tcPr>
          <w:p w14:paraId="092AA72A">
            <w:pPr>
              <w:pStyle w:val="60"/>
              <w:spacing w:line="360" w:lineRule="auto"/>
              <w:rPr>
                <w:rFonts w:ascii="宋体" w:cs="Arial"/>
                <w:color w:val="auto"/>
                <w:sz w:val="24"/>
              </w:rPr>
            </w:pPr>
          </w:p>
        </w:tc>
      </w:tr>
    </w:tbl>
    <w:p w14:paraId="7BAB0F3A">
      <w:pPr>
        <w:autoSpaceDE w:val="0"/>
        <w:autoSpaceDN w:val="0"/>
        <w:adjustRightInd w:val="0"/>
        <w:spacing w:before="156" w:beforeLines="50" w:line="360" w:lineRule="auto"/>
        <w:rPr>
          <w:rFonts w:ascii="宋体" w:cs="Arial"/>
          <w:b/>
          <w:color w:val="auto"/>
          <w:szCs w:val="21"/>
        </w:rPr>
      </w:pPr>
      <w:r>
        <w:rPr>
          <w:rFonts w:hint="eastAsia" w:ascii="宋体" w:hAnsi="宋体" w:cs="Arial"/>
          <w:b/>
          <w:color w:val="auto"/>
          <w:szCs w:val="21"/>
        </w:rPr>
        <w:t>要求：</w:t>
      </w:r>
    </w:p>
    <w:p w14:paraId="596D1A51">
      <w:pPr>
        <w:autoSpaceDE w:val="0"/>
        <w:autoSpaceDN w:val="0"/>
        <w:adjustRightInd w:val="0"/>
        <w:spacing w:before="156" w:beforeLines="50" w:line="360" w:lineRule="auto"/>
        <w:ind w:firstLine="424" w:firstLineChars="202"/>
        <w:rPr>
          <w:rFonts w:ascii="宋体" w:cs="Arial"/>
          <w:b/>
          <w:color w:val="auto"/>
          <w:szCs w:val="21"/>
        </w:rPr>
      </w:pPr>
      <w:r>
        <w:rPr>
          <w:rFonts w:ascii="宋体" w:hAnsi="宋体" w:cs="Arial"/>
          <w:color w:val="auto"/>
          <w:szCs w:val="21"/>
        </w:rPr>
        <w:t>1</w:t>
      </w:r>
      <w:r>
        <w:rPr>
          <w:rFonts w:ascii="宋体" w:cs="Arial"/>
          <w:color w:val="auto"/>
          <w:szCs w:val="21"/>
        </w:rPr>
        <w:t>.</w:t>
      </w:r>
      <w:r>
        <w:rPr>
          <w:rFonts w:hint="eastAsia" w:ascii="宋体" w:hAnsi="宋体" w:cs="Arial"/>
          <w:color w:val="auto"/>
          <w:szCs w:val="21"/>
        </w:rPr>
        <w:t>业绩证明应提供证明材料（合同复印件可只提供首页、含金额页、盖章页并加盖投标人公章）；</w:t>
      </w:r>
    </w:p>
    <w:p w14:paraId="7E7D6850">
      <w:pPr>
        <w:spacing w:line="360" w:lineRule="auto"/>
        <w:ind w:firstLine="424" w:firstLineChars="202"/>
        <w:jc w:val="left"/>
        <w:rPr>
          <w:rFonts w:ascii="宋体" w:cs="Arial"/>
          <w:color w:val="auto"/>
          <w:szCs w:val="21"/>
        </w:rPr>
      </w:pPr>
      <w:r>
        <w:rPr>
          <w:rFonts w:ascii="宋体" w:hAnsi="宋体" w:cs="Arial"/>
          <w:color w:val="auto"/>
          <w:szCs w:val="21"/>
        </w:rPr>
        <w:t>2</w:t>
      </w:r>
      <w:r>
        <w:rPr>
          <w:rFonts w:ascii="宋体" w:cs="Arial"/>
          <w:color w:val="auto"/>
          <w:szCs w:val="21"/>
        </w:rPr>
        <w:t>.</w:t>
      </w:r>
      <w:r>
        <w:rPr>
          <w:rFonts w:hint="eastAsia" w:ascii="宋体" w:hAnsi="宋体" w:cs="Arial"/>
          <w:color w:val="auto"/>
          <w:szCs w:val="21"/>
        </w:rPr>
        <w:t>报价供应商可按此表格式复制。</w:t>
      </w:r>
    </w:p>
    <w:p w14:paraId="12F4B71A">
      <w:pPr>
        <w:spacing w:line="360" w:lineRule="auto"/>
        <w:rPr>
          <w:rFonts w:ascii="宋体"/>
          <w:color w:val="auto"/>
          <w:szCs w:val="21"/>
        </w:rPr>
      </w:pPr>
    </w:p>
    <w:p w14:paraId="70ADA7C7">
      <w:pPr>
        <w:spacing w:line="360" w:lineRule="auto"/>
        <w:rPr>
          <w:rFonts w:ascii="宋体"/>
          <w:color w:val="auto"/>
          <w:szCs w:val="21"/>
        </w:rPr>
      </w:pPr>
    </w:p>
    <w:p w14:paraId="3ED467E9">
      <w:pPr>
        <w:ind w:left="420"/>
        <w:rPr>
          <w:rFonts w:ascii="宋体"/>
          <w:color w:val="auto"/>
          <w:szCs w:val="21"/>
          <w:u w:val="single"/>
        </w:rPr>
      </w:pPr>
      <w:r>
        <w:rPr>
          <w:rFonts w:hint="eastAsia" w:ascii="宋体" w:hAnsi="宋体"/>
          <w:color w:val="auto"/>
          <w:szCs w:val="21"/>
        </w:rPr>
        <w:t>投标人名称（盖章）：</w:t>
      </w:r>
    </w:p>
    <w:p w14:paraId="383FFB58">
      <w:pPr>
        <w:ind w:left="420"/>
        <w:rPr>
          <w:rFonts w:ascii="宋体"/>
          <w:color w:val="auto"/>
          <w:szCs w:val="21"/>
        </w:rPr>
      </w:pPr>
    </w:p>
    <w:p w14:paraId="3A596102">
      <w:pPr>
        <w:ind w:firstLine="435"/>
        <w:rPr>
          <w:rFonts w:ascii="宋体"/>
          <w:color w:val="auto"/>
          <w:szCs w:val="21"/>
        </w:rPr>
      </w:pPr>
      <w:r>
        <w:rPr>
          <w:rFonts w:hint="eastAsia" w:ascii="宋体" w:hAnsi="宋体"/>
          <w:color w:val="auto"/>
          <w:szCs w:val="21"/>
        </w:rPr>
        <w:t>投标人代表签字或盖章：</w:t>
      </w:r>
    </w:p>
    <w:p w14:paraId="0B7C0461">
      <w:pPr>
        <w:ind w:firstLine="435"/>
        <w:rPr>
          <w:rFonts w:ascii="宋体"/>
          <w:color w:val="auto"/>
          <w:szCs w:val="21"/>
        </w:rPr>
      </w:pPr>
    </w:p>
    <w:p w14:paraId="6529AC27">
      <w:pPr>
        <w:ind w:firstLine="435"/>
        <w:rPr>
          <w:rFonts w:ascii="宋体"/>
          <w:color w:val="auto"/>
          <w:szCs w:val="21"/>
          <w:u w:val="single"/>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4770FEB4">
      <w:pPr>
        <w:rPr>
          <w:rFonts w:ascii="宋体"/>
          <w:color w:val="auto"/>
          <w:szCs w:val="21"/>
        </w:rPr>
      </w:pPr>
    </w:p>
    <w:p w14:paraId="7A41AB60">
      <w:pPr>
        <w:ind w:firstLine="435"/>
        <w:rPr>
          <w:rFonts w:hint="eastAsia" w:ascii="宋体" w:hAnsi="宋体"/>
          <w:color w:val="auto"/>
          <w:szCs w:val="21"/>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p>
    <w:p w14:paraId="4BDAC697">
      <w:pPr>
        <w:ind w:firstLine="435"/>
        <w:rPr>
          <w:rFonts w:hint="eastAsia" w:ascii="宋体" w:hAnsi="宋体"/>
          <w:color w:val="auto"/>
          <w:szCs w:val="21"/>
        </w:rPr>
      </w:pPr>
    </w:p>
    <w:p w14:paraId="355F156C">
      <w:pPr>
        <w:ind w:firstLine="435"/>
        <w:rPr>
          <w:rFonts w:hint="eastAsia" w:ascii="宋体" w:hAnsi="宋体"/>
          <w:color w:val="auto"/>
          <w:szCs w:val="21"/>
        </w:rPr>
      </w:pPr>
    </w:p>
    <w:p w14:paraId="5A4ACA90">
      <w:pPr>
        <w:ind w:firstLine="435"/>
        <w:rPr>
          <w:rFonts w:hint="eastAsia" w:ascii="宋体" w:hAnsi="宋体"/>
          <w:color w:val="auto"/>
          <w:szCs w:val="21"/>
        </w:rPr>
      </w:pPr>
    </w:p>
    <w:p w14:paraId="4A0DB829">
      <w:pPr>
        <w:ind w:firstLine="435"/>
        <w:rPr>
          <w:rFonts w:hint="eastAsia" w:ascii="宋体" w:hAnsi="宋体"/>
          <w:color w:val="auto"/>
          <w:szCs w:val="21"/>
        </w:rPr>
      </w:pPr>
    </w:p>
    <w:p w14:paraId="7ED45CB8">
      <w:pPr>
        <w:jc w:val="center"/>
        <w:rPr>
          <w:rFonts w:ascii="仿宋" w:hAnsi="仿宋" w:eastAsia="仿宋"/>
          <w:snapToGrid w:val="0"/>
          <w:color w:val="auto"/>
          <w:kern w:val="0"/>
          <w:sz w:val="24"/>
        </w:rPr>
      </w:pPr>
    </w:p>
    <w:p w14:paraId="2BEC2C05">
      <w:pPr>
        <w:pStyle w:val="66"/>
        <w:tabs>
          <w:tab w:val="left" w:pos="1050"/>
        </w:tabs>
        <w:spacing w:line="360" w:lineRule="auto"/>
        <w:rPr>
          <w:rFonts w:ascii="宋体"/>
          <w:b/>
          <w:color w:val="auto"/>
          <w:sz w:val="28"/>
        </w:rPr>
      </w:pPr>
    </w:p>
    <w:p w14:paraId="15F724F6">
      <w:pPr>
        <w:pStyle w:val="66"/>
        <w:tabs>
          <w:tab w:val="left" w:pos="1050"/>
        </w:tabs>
        <w:spacing w:line="360" w:lineRule="auto"/>
        <w:rPr>
          <w:rFonts w:hint="eastAsia" w:ascii="仿宋_GB2312" w:hAnsi="宋体" w:eastAsia="宋体"/>
          <w:color w:val="auto"/>
          <w:szCs w:val="21"/>
          <w:lang w:eastAsia="zh-CN"/>
        </w:rPr>
      </w:pPr>
      <w:r>
        <w:rPr>
          <w:rFonts w:hint="eastAsia" w:ascii="宋体" w:hAnsi="宋体"/>
          <w:b/>
          <w:color w:val="auto"/>
          <w:szCs w:val="21"/>
        </w:rPr>
        <w:t>附件</w:t>
      </w:r>
      <w:r>
        <w:rPr>
          <w:rFonts w:ascii="宋体" w:hAnsi="宋体"/>
          <w:b/>
          <w:color w:val="auto"/>
          <w:szCs w:val="21"/>
        </w:rPr>
        <w:t>1</w:t>
      </w:r>
      <w:r>
        <w:rPr>
          <w:rFonts w:hint="eastAsia" w:ascii="宋体" w:hAnsi="宋体"/>
          <w:b/>
          <w:color w:val="auto"/>
          <w:szCs w:val="21"/>
          <w:lang w:val="en-US" w:eastAsia="zh-CN"/>
        </w:rPr>
        <w:t>4</w:t>
      </w:r>
    </w:p>
    <w:p w14:paraId="4FC469A9">
      <w:pPr>
        <w:spacing w:line="360" w:lineRule="auto"/>
        <w:ind w:left="515" w:hanging="515" w:hangingChars="171"/>
        <w:jc w:val="center"/>
        <w:rPr>
          <w:rFonts w:ascii="宋体"/>
          <w:b/>
          <w:color w:val="auto"/>
          <w:sz w:val="30"/>
          <w:szCs w:val="30"/>
        </w:rPr>
      </w:pPr>
      <w:r>
        <w:rPr>
          <w:rFonts w:hint="eastAsia" w:ascii="宋体" w:hAnsi="宋体"/>
          <w:b/>
          <w:color w:val="auto"/>
          <w:sz w:val="30"/>
          <w:szCs w:val="30"/>
        </w:rPr>
        <w:t>资信及商务需求响应表</w:t>
      </w:r>
    </w:p>
    <w:p w14:paraId="687B6D9E">
      <w:pPr>
        <w:spacing w:line="360" w:lineRule="auto"/>
        <w:ind w:left="481" w:leftChars="229" w:firstLine="813" w:firstLineChars="450"/>
        <w:rPr>
          <w:rFonts w:ascii="宋体"/>
          <w:b/>
          <w:color w:val="auto"/>
          <w:sz w:val="18"/>
          <w:szCs w:val="18"/>
        </w:rPr>
      </w:pPr>
    </w:p>
    <w:tbl>
      <w:tblPr>
        <w:tblStyle w:val="22"/>
        <w:tblW w:w="96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3994"/>
      </w:tblGrid>
      <w:tr w14:paraId="6A14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noWrap w:val="0"/>
            <w:vAlign w:val="center"/>
          </w:tcPr>
          <w:p w14:paraId="6E744B4D">
            <w:pPr>
              <w:rPr>
                <w:rFonts w:ascii="宋体"/>
                <w:b/>
                <w:color w:val="auto"/>
                <w:szCs w:val="21"/>
              </w:rPr>
            </w:pPr>
            <w:r>
              <w:rPr>
                <w:rFonts w:hint="eastAsia" w:ascii="宋体" w:hAnsi="宋体"/>
                <w:b/>
                <w:color w:val="auto"/>
                <w:szCs w:val="21"/>
              </w:rPr>
              <w:t>序号</w:t>
            </w:r>
          </w:p>
        </w:tc>
        <w:tc>
          <w:tcPr>
            <w:tcW w:w="1785" w:type="dxa"/>
            <w:noWrap w:val="0"/>
            <w:vAlign w:val="center"/>
          </w:tcPr>
          <w:p w14:paraId="4416FC59">
            <w:pPr>
              <w:rPr>
                <w:rFonts w:ascii="宋体"/>
                <w:b/>
                <w:color w:val="auto"/>
                <w:szCs w:val="21"/>
              </w:rPr>
            </w:pPr>
            <w:r>
              <w:rPr>
                <w:rFonts w:ascii="宋体" w:hAnsi="宋体"/>
                <w:b/>
                <w:color w:val="auto"/>
                <w:szCs w:val="21"/>
              </w:rPr>
              <w:t xml:space="preserve">   </w:t>
            </w:r>
            <w:r>
              <w:rPr>
                <w:rFonts w:hint="eastAsia" w:ascii="宋体" w:hAnsi="宋体"/>
                <w:b/>
                <w:color w:val="auto"/>
                <w:szCs w:val="21"/>
              </w:rPr>
              <w:t>内容</w:t>
            </w:r>
          </w:p>
        </w:tc>
        <w:tc>
          <w:tcPr>
            <w:tcW w:w="1785" w:type="dxa"/>
            <w:noWrap w:val="0"/>
            <w:vAlign w:val="center"/>
          </w:tcPr>
          <w:p w14:paraId="78D93367">
            <w:pPr>
              <w:ind w:left="53" w:leftChars="25" w:firstLine="211" w:firstLineChars="100"/>
              <w:rPr>
                <w:rFonts w:ascii="宋体"/>
                <w:b/>
                <w:color w:val="auto"/>
                <w:szCs w:val="21"/>
              </w:rPr>
            </w:pPr>
            <w:r>
              <w:rPr>
                <w:rFonts w:hint="eastAsia" w:ascii="宋体" w:hAnsi="宋体"/>
                <w:b/>
                <w:color w:val="auto"/>
                <w:szCs w:val="21"/>
              </w:rPr>
              <w:t>招标需求</w:t>
            </w:r>
          </w:p>
        </w:tc>
        <w:tc>
          <w:tcPr>
            <w:tcW w:w="1365" w:type="dxa"/>
            <w:noWrap w:val="0"/>
            <w:vAlign w:val="center"/>
          </w:tcPr>
          <w:p w14:paraId="289AA284">
            <w:pPr>
              <w:ind w:left="152"/>
              <w:rPr>
                <w:rFonts w:ascii="宋体"/>
                <w:b/>
                <w:color w:val="auto"/>
                <w:szCs w:val="21"/>
              </w:rPr>
            </w:pPr>
            <w:r>
              <w:rPr>
                <w:rFonts w:hint="eastAsia" w:ascii="宋体" w:hAnsi="宋体"/>
                <w:b/>
                <w:color w:val="auto"/>
                <w:szCs w:val="21"/>
              </w:rPr>
              <w:t>是否响应</w:t>
            </w:r>
          </w:p>
        </w:tc>
        <w:tc>
          <w:tcPr>
            <w:tcW w:w="3994" w:type="dxa"/>
            <w:noWrap w:val="0"/>
            <w:vAlign w:val="center"/>
          </w:tcPr>
          <w:p w14:paraId="56A795C6">
            <w:pPr>
              <w:jc w:val="center"/>
              <w:rPr>
                <w:rFonts w:ascii="宋体"/>
                <w:b/>
                <w:color w:val="auto"/>
                <w:szCs w:val="21"/>
              </w:rPr>
            </w:pPr>
            <w:r>
              <w:rPr>
                <w:rFonts w:hint="eastAsia" w:ascii="宋体" w:hAnsi="宋体"/>
                <w:b/>
                <w:color w:val="auto"/>
                <w:szCs w:val="21"/>
              </w:rPr>
              <w:t>投标人的承诺或说明</w:t>
            </w:r>
          </w:p>
        </w:tc>
      </w:tr>
      <w:tr w14:paraId="3FB1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noWrap w:val="0"/>
            <w:vAlign w:val="center"/>
          </w:tcPr>
          <w:p w14:paraId="2CA275C0">
            <w:pPr>
              <w:rPr>
                <w:rFonts w:ascii="宋体"/>
                <w:color w:val="auto"/>
                <w:szCs w:val="21"/>
              </w:rPr>
            </w:pPr>
          </w:p>
        </w:tc>
        <w:tc>
          <w:tcPr>
            <w:tcW w:w="1785" w:type="dxa"/>
            <w:noWrap w:val="0"/>
            <w:vAlign w:val="center"/>
          </w:tcPr>
          <w:p w14:paraId="6040E32A">
            <w:pPr>
              <w:snapToGrid w:val="0"/>
              <w:rPr>
                <w:rFonts w:ascii="宋体"/>
                <w:color w:val="auto"/>
                <w:szCs w:val="21"/>
              </w:rPr>
            </w:pPr>
            <w:r>
              <w:rPr>
                <w:rFonts w:hint="eastAsia" w:ascii="宋体" w:hAnsi="宋体"/>
                <w:color w:val="auto"/>
                <w:szCs w:val="21"/>
              </w:rPr>
              <w:t>售后服务保障要求</w:t>
            </w:r>
          </w:p>
        </w:tc>
        <w:tc>
          <w:tcPr>
            <w:tcW w:w="1785" w:type="dxa"/>
            <w:noWrap w:val="0"/>
            <w:vAlign w:val="center"/>
          </w:tcPr>
          <w:p w14:paraId="3F0ADEB4">
            <w:pPr>
              <w:rPr>
                <w:rFonts w:ascii="宋体"/>
                <w:color w:val="auto"/>
                <w:szCs w:val="21"/>
              </w:rPr>
            </w:pPr>
          </w:p>
        </w:tc>
        <w:tc>
          <w:tcPr>
            <w:tcW w:w="1365" w:type="dxa"/>
            <w:noWrap w:val="0"/>
            <w:vAlign w:val="center"/>
          </w:tcPr>
          <w:p w14:paraId="0D36CC83">
            <w:pPr>
              <w:rPr>
                <w:rFonts w:ascii="宋体"/>
                <w:color w:val="auto"/>
                <w:szCs w:val="21"/>
              </w:rPr>
            </w:pPr>
          </w:p>
        </w:tc>
        <w:tc>
          <w:tcPr>
            <w:tcW w:w="3994" w:type="dxa"/>
            <w:noWrap w:val="0"/>
            <w:vAlign w:val="center"/>
          </w:tcPr>
          <w:p w14:paraId="61836798">
            <w:pPr>
              <w:rPr>
                <w:rFonts w:ascii="宋体"/>
                <w:color w:val="auto"/>
                <w:szCs w:val="21"/>
              </w:rPr>
            </w:pPr>
          </w:p>
        </w:tc>
      </w:tr>
      <w:tr w14:paraId="57C0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noWrap w:val="0"/>
            <w:vAlign w:val="center"/>
          </w:tcPr>
          <w:p w14:paraId="115CCED3">
            <w:pPr>
              <w:rPr>
                <w:rFonts w:ascii="宋体"/>
                <w:color w:val="auto"/>
                <w:szCs w:val="21"/>
              </w:rPr>
            </w:pPr>
          </w:p>
        </w:tc>
        <w:tc>
          <w:tcPr>
            <w:tcW w:w="1785" w:type="dxa"/>
            <w:noWrap w:val="0"/>
            <w:vAlign w:val="center"/>
          </w:tcPr>
          <w:p w14:paraId="47DC6B37">
            <w:pPr>
              <w:snapToGrid w:val="0"/>
              <w:rPr>
                <w:rFonts w:ascii="宋体"/>
                <w:color w:val="auto"/>
                <w:szCs w:val="21"/>
              </w:rPr>
            </w:pPr>
            <w:r>
              <w:rPr>
                <w:rFonts w:hint="eastAsia" w:ascii="宋体" w:hAnsi="宋体"/>
                <w:color w:val="auto"/>
                <w:szCs w:val="21"/>
              </w:rPr>
              <w:t>备品备件及耗材等要求</w:t>
            </w:r>
          </w:p>
        </w:tc>
        <w:tc>
          <w:tcPr>
            <w:tcW w:w="1785" w:type="dxa"/>
            <w:noWrap w:val="0"/>
            <w:vAlign w:val="center"/>
          </w:tcPr>
          <w:p w14:paraId="1DF63B3F">
            <w:pPr>
              <w:rPr>
                <w:rFonts w:ascii="宋体"/>
                <w:color w:val="auto"/>
                <w:szCs w:val="21"/>
              </w:rPr>
            </w:pPr>
          </w:p>
        </w:tc>
        <w:tc>
          <w:tcPr>
            <w:tcW w:w="1365" w:type="dxa"/>
            <w:noWrap w:val="0"/>
            <w:vAlign w:val="center"/>
          </w:tcPr>
          <w:p w14:paraId="23A84718">
            <w:pPr>
              <w:rPr>
                <w:rFonts w:ascii="宋体"/>
                <w:color w:val="auto"/>
                <w:szCs w:val="21"/>
              </w:rPr>
            </w:pPr>
          </w:p>
        </w:tc>
        <w:tc>
          <w:tcPr>
            <w:tcW w:w="3994" w:type="dxa"/>
            <w:noWrap w:val="0"/>
            <w:vAlign w:val="center"/>
          </w:tcPr>
          <w:p w14:paraId="4678E510">
            <w:pPr>
              <w:rPr>
                <w:rFonts w:ascii="宋体"/>
                <w:color w:val="auto"/>
                <w:szCs w:val="21"/>
              </w:rPr>
            </w:pPr>
          </w:p>
        </w:tc>
      </w:tr>
      <w:tr w14:paraId="4CEA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noWrap w:val="0"/>
            <w:vAlign w:val="center"/>
          </w:tcPr>
          <w:p w14:paraId="603349C7">
            <w:pPr>
              <w:rPr>
                <w:rFonts w:ascii="宋体"/>
                <w:color w:val="auto"/>
                <w:szCs w:val="21"/>
              </w:rPr>
            </w:pPr>
          </w:p>
        </w:tc>
        <w:tc>
          <w:tcPr>
            <w:tcW w:w="1785" w:type="dxa"/>
            <w:noWrap w:val="0"/>
            <w:vAlign w:val="center"/>
          </w:tcPr>
          <w:p w14:paraId="3F0966AC">
            <w:pPr>
              <w:snapToGrid w:val="0"/>
              <w:rPr>
                <w:rFonts w:ascii="宋体"/>
                <w:color w:val="auto"/>
                <w:szCs w:val="21"/>
              </w:rPr>
            </w:pPr>
            <w:r>
              <w:rPr>
                <w:rFonts w:hint="eastAsia" w:ascii="宋体" w:hAnsi="宋体"/>
                <w:color w:val="auto"/>
                <w:szCs w:val="21"/>
              </w:rPr>
              <w:t>质保期</w:t>
            </w:r>
          </w:p>
        </w:tc>
        <w:tc>
          <w:tcPr>
            <w:tcW w:w="1785" w:type="dxa"/>
            <w:noWrap w:val="0"/>
            <w:vAlign w:val="center"/>
          </w:tcPr>
          <w:p w14:paraId="5388C3F9">
            <w:pPr>
              <w:rPr>
                <w:rFonts w:ascii="宋体"/>
                <w:color w:val="auto"/>
                <w:szCs w:val="21"/>
              </w:rPr>
            </w:pPr>
          </w:p>
        </w:tc>
        <w:tc>
          <w:tcPr>
            <w:tcW w:w="1365" w:type="dxa"/>
            <w:noWrap w:val="0"/>
            <w:vAlign w:val="center"/>
          </w:tcPr>
          <w:p w14:paraId="3D867EC3">
            <w:pPr>
              <w:rPr>
                <w:rFonts w:ascii="宋体"/>
                <w:color w:val="auto"/>
                <w:szCs w:val="21"/>
              </w:rPr>
            </w:pPr>
          </w:p>
        </w:tc>
        <w:tc>
          <w:tcPr>
            <w:tcW w:w="3994" w:type="dxa"/>
            <w:noWrap w:val="0"/>
            <w:vAlign w:val="center"/>
          </w:tcPr>
          <w:p w14:paraId="7094E980">
            <w:pPr>
              <w:rPr>
                <w:rFonts w:ascii="宋体"/>
                <w:color w:val="auto"/>
                <w:szCs w:val="21"/>
              </w:rPr>
            </w:pPr>
          </w:p>
        </w:tc>
      </w:tr>
      <w:tr w14:paraId="5727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noWrap w:val="0"/>
            <w:vAlign w:val="center"/>
          </w:tcPr>
          <w:p w14:paraId="13F11F20">
            <w:pPr>
              <w:rPr>
                <w:rFonts w:ascii="宋体"/>
                <w:color w:val="auto"/>
                <w:szCs w:val="21"/>
              </w:rPr>
            </w:pPr>
          </w:p>
        </w:tc>
        <w:tc>
          <w:tcPr>
            <w:tcW w:w="1785" w:type="dxa"/>
            <w:noWrap w:val="0"/>
            <w:vAlign w:val="center"/>
          </w:tcPr>
          <w:p w14:paraId="6B2CDC41">
            <w:pPr>
              <w:snapToGrid w:val="0"/>
              <w:rPr>
                <w:rFonts w:ascii="宋体"/>
                <w:color w:val="auto"/>
                <w:szCs w:val="21"/>
              </w:rPr>
            </w:pPr>
            <w:r>
              <w:rPr>
                <w:rFonts w:hint="eastAsia" w:ascii="宋体" w:hAnsi="宋体"/>
                <w:color w:val="auto"/>
                <w:szCs w:val="21"/>
              </w:rPr>
              <w:t>交货和服务</w:t>
            </w:r>
          </w:p>
          <w:p w14:paraId="2D75A42B">
            <w:pPr>
              <w:snapToGrid w:val="0"/>
              <w:rPr>
                <w:rFonts w:ascii="宋体"/>
                <w:color w:val="auto"/>
                <w:szCs w:val="21"/>
              </w:rPr>
            </w:pPr>
            <w:r>
              <w:rPr>
                <w:rFonts w:hint="eastAsia" w:ascii="宋体" w:hAnsi="宋体"/>
                <w:color w:val="auto"/>
                <w:szCs w:val="21"/>
              </w:rPr>
              <w:t>时间及地点</w:t>
            </w:r>
          </w:p>
        </w:tc>
        <w:tc>
          <w:tcPr>
            <w:tcW w:w="1785" w:type="dxa"/>
            <w:noWrap w:val="0"/>
            <w:vAlign w:val="center"/>
          </w:tcPr>
          <w:p w14:paraId="00666783">
            <w:pPr>
              <w:rPr>
                <w:rFonts w:ascii="宋体"/>
                <w:color w:val="auto"/>
                <w:szCs w:val="21"/>
              </w:rPr>
            </w:pPr>
          </w:p>
        </w:tc>
        <w:tc>
          <w:tcPr>
            <w:tcW w:w="1365" w:type="dxa"/>
            <w:noWrap w:val="0"/>
            <w:vAlign w:val="center"/>
          </w:tcPr>
          <w:p w14:paraId="66A3F07C">
            <w:pPr>
              <w:rPr>
                <w:rFonts w:ascii="宋体"/>
                <w:color w:val="auto"/>
                <w:szCs w:val="21"/>
              </w:rPr>
            </w:pPr>
          </w:p>
        </w:tc>
        <w:tc>
          <w:tcPr>
            <w:tcW w:w="3994" w:type="dxa"/>
            <w:noWrap w:val="0"/>
            <w:vAlign w:val="center"/>
          </w:tcPr>
          <w:p w14:paraId="7A6FC348">
            <w:pPr>
              <w:rPr>
                <w:rFonts w:ascii="宋体"/>
                <w:color w:val="auto"/>
                <w:szCs w:val="21"/>
              </w:rPr>
            </w:pPr>
          </w:p>
        </w:tc>
      </w:tr>
      <w:tr w14:paraId="4721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noWrap w:val="0"/>
            <w:vAlign w:val="center"/>
          </w:tcPr>
          <w:p w14:paraId="7F46F17D">
            <w:pPr>
              <w:rPr>
                <w:rFonts w:ascii="宋体"/>
                <w:color w:val="auto"/>
                <w:szCs w:val="21"/>
              </w:rPr>
            </w:pPr>
          </w:p>
        </w:tc>
        <w:tc>
          <w:tcPr>
            <w:tcW w:w="1785" w:type="dxa"/>
            <w:noWrap w:val="0"/>
            <w:vAlign w:val="center"/>
          </w:tcPr>
          <w:p w14:paraId="68F984D4">
            <w:pPr>
              <w:snapToGrid w:val="0"/>
              <w:rPr>
                <w:rFonts w:ascii="宋体"/>
                <w:color w:val="auto"/>
                <w:szCs w:val="21"/>
              </w:rPr>
            </w:pPr>
            <w:r>
              <w:rPr>
                <w:rFonts w:hint="eastAsia" w:ascii="宋体" w:hAnsi="宋体"/>
                <w:color w:val="auto"/>
                <w:szCs w:val="21"/>
              </w:rPr>
              <w:t>付款条件</w:t>
            </w:r>
          </w:p>
        </w:tc>
        <w:tc>
          <w:tcPr>
            <w:tcW w:w="1785" w:type="dxa"/>
            <w:noWrap w:val="0"/>
            <w:vAlign w:val="center"/>
          </w:tcPr>
          <w:p w14:paraId="1BE58248">
            <w:pPr>
              <w:rPr>
                <w:rFonts w:ascii="宋体"/>
                <w:color w:val="auto"/>
                <w:szCs w:val="21"/>
              </w:rPr>
            </w:pPr>
          </w:p>
        </w:tc>
        <w:tc>
          <w:tcPr>
            <w:tcW w:w="1365" w:type="dxa"/>
            <w:noWrap w:val="0"/>
            <w:vAlign w:val="center"/>
          </w:tcPr>
          <w:p w14:paraId="3EDBC3AC">
            <w:pPr>
              <w:rPr>
                <w:rFonts w:ascii="宋体"/>
                <w:color w:val="auto"/>
                <w:szCs w:val="21"/>
              </w:rPr>
            </w:pPr>
          </w:p>
        </w:tc>
        <w:tc>
          <w:tcPr>
            <w:tcW w:w="3994" w:type="dxa"/>
            <w:noWrap w:val="0"/>
            <w:vAlign w:val="center"/>
          </w:tcPr>
          <w:p w14:paraId="4DA33EB9">
            <w:pPr>
              <w:rPr>
                <w:rFonts w:ascii="宋体"/>
                <w:color w:val="auto"/>
                <w:szCs w:val="21"/>
              </w:rPr>
            </w:pPr>
          </w:p>
        </w:tc>
      </w:tr>
      <w:tr w14:paraId="7495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noWrap w:val="0"/>
            <w:vAlign w:val="center"/>
          </w:tcPr>
          <w:p w14:paraId="032BDBE7">
            <w:pPr>
              <w:rPr>
                <w:rFonts w:ascii="宋体"/>
                <w:color w:val="auto"/>
                <w:szCs w:val="21"/>
              </w:rPr>
            </w:pPr>
          </w:p>
        </w:tc>
        <w:tc>
          <w:tcPr>
            <w:tcW w:w="1785" w:type="dxa"/>
            <w:noWrap w:val="0"/>
            <w:vAlign w:val="top"/>
          </w:tcPr>
          <w:p w14:paraId="086E808E">
            <w:pPr>
              <w:snapToGrid w:val="0"/>
              <w:rPr>
                <w:rFonts w:ascii="宋体"/>
                <w:color w:val="auto"/>
                <w:szCs w:val="21"/>
              </w:rPr>
            </w:pPr>
            <w:r>
              <w:rPr>
                <w:rFonts w:hint="eastAsia" w:ascii="宋体" w:hAnsi="宋体"/>
                <w:color w:val="auto"/>
                <w:szCs w:val="21"/>
              </w:rPr>
              <w:t>……</w:t>
            </w:r>
          </w:p>
        </w:tc>
        <w:tc>
          <w:tcPr>
            <w:tcW w:w="1785" w:type="dxa"/>
            <w:noWrap w:val="0"/>
            <w:vAlign w:val="center"/>
          </w:tcPr>
          <w:p w14:paraId="3CF817F3">
            <w:pPr>
              <w:rPr>
                <w:rFonts w:ascii="宋体"/>
                <w:color w:val="auto"/>
                <w:szCs w:val="21"/>
              </w:rPr>
            </w:pPr>
          </w:p>
        </w:tc>
        <w:tc>
          <w:tcPr>
            <w:tcW w:w="1365" w:type="dxa"/>
            <w:noWrap w:val="0"/>
            <w:vAlign w:val="center"/>
          </w:tcPr>
          <w:p w14:paraId="3FA76A30">
            <w:pPr>
              <w:rPr>
                <w:rFonts w:ascii="宋体"/>
                <w:color w:val="auto"/>
                <w:szCs w:val="21"/>
              </w:rPr>
            </w:pPr>
          </w:p>
        </w:tc>
        <w:tc>
          <w:tcPr>
            <w:tcW w:w="3994" w:type="dxa"/>
            <w:noWrap w:val="0"/>
            <w:vAlign w:val="center"/>
          </w:tcPr>
          <w:p w14:paraId="6EF6A40C">
            <w:pPr>
              <w:rPr>
                <w:rFonts w:ascii="宋体"/>
                <w:color w:val="auto"/>
                <w:szCs w:val="21"/>
              </w:rPr>
            </w:pPr>
          </w:p>
        </w:tc>
      </w:tr>
      <w:tr w14:paraId="166E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noWrap w:val="0"/>
            <w:vAlign w:val="center"/>
          </w:tcPr>
          <w:p w14:paraId="7295E7AC">
            <w:pPr>
              <w:rPr>
                <w:rFonts w:ascii="宋体"/>
                <w:color w:val="auto"/>
                <w:sz w:val="24"/>
              </w:rPr>
            </w:pPr>
          </w:p>
        </w:tc>
        <w:tc>
          <w:tcPr>
            <w:tcW w:w="1785" w:type="dxa"/>
            <w:noWrap w:val="0"/>
            <w:vAlign w:val="top"/>
          </w:tcPr>
          <w:p w14:paraId="787CAA68">
            <w:pPr>
              <w:snapToGrid w:val="0"/>
              <w:rPr>
                <w:rFonts w:ascii="宋体"/>
                <w:color w:val="auto"/>
                <w:sz w:val="24"/>
              </w:rPr>
            </w:pPr>
          </w:p>
        </w:tc>
        <w:tc>
          <w:tcPr>
            <w:tcW w:w="1785" w:type="dxa"/>
            <w:noWrap w:val="0"/>
            <w:vAlign w:val="center"/>
          </w:tcPr>
          <w:p w14:paraId="05DF48F2">
            <w:pPr>
              <w:rPr>
                <w:rFonts w:ascii="宋体"/>
                <w:color w:val="auto"/>
                <w:sz w:val="24"/>
              </w:rPr>
            </w:pPr>
          </w:p>
        </w:tc>
        <w:tc>
          <w:tcPr>
            <w:tcW w:w="1365" w:type="dxa"/>
            <w:noWrap w:val="0"/>
            <w:vAlign w:val="center"/>
          </w:tcPr>
          <w:p w14:paraId="36B5FB7A">
            <w:pPr>
              <w:rPr>
                <w:rFonts w:ascii="宋体"/>
                <w:color w:val="auto"/>
                <w:sz w:val="24"/>
              </w:rPr>
            </w:pPr>
          </w:p>
        </w:tc>
        <w:tc>
          <w:tcPr>
            <w:tcW w:w="3994" w:type="dxa"/>
            <w:noWrap w:val="0"/>
            <w:vAlign w:val="center"/>
          </w:tcPr>
          <w:p w14:paraId="3A113950">
            <w:pPr>
              <w:rPr>
                <w:rFonts w:ascii="宋体"/>
                <w:color w:val="auto"/>
                <w:sz w:val="24"/>
              </w:rPr>
            </w:pPr>
          </w:p>
        </w:tc>
      </w:tr>
      <w:tr w14:paraId="12B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noWrap w:val="0"/>
            <w:vAlign w:val="center"/>
          </w:tcPr>
          <w:p w14:paraId="3F45B670">
            <w:pPr>
              <w:rPr>
                <w:rFonts w:ascii="宋体"/>
                <w:color w:val="auto"/>
                <w:sz w:val="24"/>
              </w:rPr>
            </w:pPr>
          </w:p>
        </w:tc>
        <w:tc>
          <w:tcPr>
            <w:tcW w:w="1785" w:type="dxa"/>
            <w:noWrap w:val="0"/>
            <w:vAlign w:val="top"/>
          </w:tcPr>
          <w:p w14:paraId="003BCC40">
            <w:pPr>
              <w:snapToGrid w:val="0"/>
              <w:rPr>
                <w:rFonts w:ascii="宋体"/>
                <w:color w:val="auto"/>
                <w:sz w:val="24"/>
              </w:rPr>
            </w:pPr>
          </w:p>
        </w:tc>
        <w:tc>
          <w:tcPr>
            <w:tcW w:w="1785" w:type="dxa"/>
            <w:noWrap w:val="0"/>
            <w:vAlign w:val="center"/>
          </w:tcPr>
          <w:p w14:paraId="10364D62">
            <w:pPr>
              <w:rPr>
                <w:rFonts w:ascii="宋体"/>
                <w:color w:val="auto"/>
                <w:sz w:val="24"/>
              </w:rPr>
            </w:pPr>
          </w:p>
        </w:tc>
        <w:tc>
          <w:tcPr>
            <w:tcW w:w="1365" w:type="dxa"/>
            <w:noWrap w:val="0"/>
            <w:vAlign w:val="center"/>
          </w:tcPr>
          <w:p w14:paraId="25565ABD">
            <w:pPr>
              <w:rPr>
                <w:rFonts w:ascii="宋体"/>
                <w:color w:val="auto"/>
                <w:sz w:val="24"/>
              </w:rPr>
            </w:pPr>
          </w:p>
        </w:tc>
        <w:tc>
          <w:tcPr>
            <w:tcW w:w="3994" w:type="dxa"/>
            <w:noWrap w:val="0"/>
            <w:vAlign w:val="center"/>
          </w:tcPr>
          <w:p w14:paraId="75949357">
            <w:pPr>
              <w:rPr>
                <w:rFonts w:ascii="宋体"/>
                <w:color w:val="auto"/>
                <w:sz w:val="24"/>
              </w:rPr>
            </w:pPr>
          </w:p>
        </w:tc>
      </w:tr>
    </w:tbl>
    <w:p w14:paraId="238C569C">
      <w:pPr>
        <w:spacing w:line="360" w:lineRule="auto"/>
        <w:rPr>
          <w:rFonts w:ascii="宋体"/>
          <w:color w:val="auto"/>
          <w:sz w:val="24"/>
        </w:rPr>
      </w:pPr>
    </w:p>
    <w:p w14:paraId="50E3E1CE">
      <w:pPr>
        <w:ind w:left="420"/>
        <w:rPr>
          <w:rFonts w:ascii="宋体"/>
          <w:color w:val="auto"/>
          <w:szCs w:val="21"/>
          <w:u w:val="single"/>
        </w:rPr>
      </w:pPr>
      <w:r>
        <w:rPr>
          <w:rFonts w:hint="eastAsia" w:ascii="宋体" w:hAnsi="宋体"/>
          <w:color w:val="auto"/>
          <w:szCs w:val="21"/>
        </w:rPr>
        <w:t>投标人名称（盖章）：</w:t>
      </w:r>
    </w:p>
    <w:p w14:paraId="259FA140">
      <w:pPr>
        <w:ind w:left="420"/>
        <w:rPr>
          <w:rFonts w:ascii="宋体"/>
          <w:color w:val="auto"/>
          <w:szCs w:val="21"/>
        </w:rPr>
      </w:pPr>
    </w:p>
    <w:p w14:paraId="3641D205">
      <w:pPr>
        <w:ind w:firstLine="435"/>
        <w:rPr>
          <w:rFonts w:ascii="宋体"/>
          <w:color w:val="auto"/>
          <w:szCs w:val="21"/>
        </w:rPr>
      </w:pPr>
      <w:r>
        <w:rPr>
          <w:rFonts w:hint="eastAsia" w:ascii="宋体" w:hAnsi="宋体"/>
          <w:color w:val="auto"/>
          <w:szCs w:val="21"/>
        </w:rPr>
        <w:t>投标人代表签字或盖章：</w:t>
      </w:r>
    </w:p>
    <w:p w14:paraId="15034738">
      <w:pPr>
        <w:ind w:firstLine="435"/>
        <w:rPr>
          <w:rFonts w:ascii="宋体"/>
          <w:color w:val="auto"/>
          <w:szCs w:val="21"/>
        </w:rPr>
      </w:pPr>
    </w:p>
    <w:p w14:paraId="75DEB7F9">
      <w:pPr>
        <w:ind w:firstLine="435"/>
        <w:rPr>
          <w:rFonts w:ascii="宋体"/>
          <w:color w:val="auto"/>
          <w:szCs w:val="21"/>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7CCF4792">
      <w:pPr>
        <w:ind w:firstLine="435"/>
        <w:rPr>
          <w:rFonts w:ascii="宋体"/>
          <w:color w:val="auto"/>
          <w:szCs w:val="21"/>
        </w:rPr>
      </w:pPr>
    </w:p>
    <w:p w14:paraId="50118A07">
      <w:pPr>
        <w:ind w:firstLine="435"/>
        <w:rPr>
          <w:rFonts w:ascii="宋体"/>
          <w:color w:val="auto"/>
          <w:szCs w:val="21"/>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p>
    <w:p w14:paraId="0B976771">
      <w:pPr>
        <w:ind w:firstLine="435"/>
        <w:rPr>
          <w:rFonts w:ascii="宋体"/>
          <w:color w:val="auto"/>
          <w:szCs w:val="21"/>
        </w:rPr>
      </w:pPr>
    </w:p>
    <w:p w14:paraId="3164592C">
      <w:pPr>
        <w:ind w:firstLine="435"/>
        <w:rPr>
          <w:rFonts w:ascii="宋体"/>
          <w:color w:val="auto"/>
          <w:szCs w:val="21"/>
        </w:rPr>
      </w:pPr>
    </w:p>
    <w:p w14:paraId="40D1AFD1">
      <w:pPr>
        <w:ind w:firstLine="435"/>
        <w:rPr>
          <w:rFonts w:ascii="宋体"/>
          <w:color w:val="auto"/>
          <w:szCs w:val="21"/>
        </w:rPr>
      </w:pPr>
    </w:p>
    <w:p w14:paraId="73CE84AD">
      <w:pPr>
        <w:ind w:firstLine="435"/>
        <w:rPr>
          <w:rFonts w:ascii="宋体"/>
          <w:color w:val="auto"/>
          <w:szCs w:val="21"/>
        </w:rPr>
      </w:pPr>
    </w:p>
    <w:p w14:paraId="4158A406">
      <w:pPr>
        <w:ind w:firstLine="435"/>
        <w:rPr>
          <w:rFonts w:ascii="宋体"/>
          <w:color w:val="auto"/>
          <w:szCs w:val="21"/>
        </w:rPr>
      </w:pPr>
    </w:p>
    <w:p w14:paraId="459EB850">
      <w:pPr>
        <w:ind w:firstLine="435"/>
        <w:rPr>
          <w:rFonts w:ascii="宋体"/>
          <w:color w:val="auto"/>
          <w:szCs w:val="21"/>
        </w:rPr>
      </w:pPr>
    </w:p>
    <w:p w14:paraId="0CE86C04">
      <w:pPr>
        <w:ind w:firstLine="435"/>
        <w:rPr>
          <w:rFonts w:ascii="宋体"/>
          <w:color w:val="auto"/>
          <w:szCs w:val="21"/>
        </w:rPr>
      </w:pPr>
    </w:p>
    <w:p w14:paraId="6343DFDF">
      <w:pPr>
        <w:ind w:firstLine="435"/>
        <w:rPr>
          <w:rFonts w:ascii="宋体"/>
          <w:color w:val="auto"/>
          <w:szCs w:val="21"/>
        </w:rPr>
      </w:pPr>
    </w:p>
    <w:p w14:paraId="03983953">
      <w:pPr>
        <w:ind w:firstLine="435"/>
        <w:rPr>
          <w:rFonts w:ascii="宋体"/>
          <w:color w:val="auto"/>
          <w:szCs w:val="21"/>
        </w:rPr>
      </w:pPr>
    </w:p>
    <w:p w14:paraId="243AFF9C">
      <w:pPr>
        <w:ind w:firstLine="435"/>
        <w:rPr>
          <w:rFonts w:ascii="宋体"/>
          <w:color w:val="auto"/>
          <w:szCs w:val="21"/>
        </w:rPr>
      </w:pPr>
    </w:p>
    <w:p w14:paraId="2611930E">
      <w:pPr>
        <w:ind w:firstLine="435"/>
        <w:rPr>
          <w:rFonts w:ascii="宋体"/>
          <w:color w:val="auto"/>
          <w:szCs w:val="21"/>
        </w:rPr>
      </w:pPr>
    </w:p>
    <w:p w14:paraId="6B43B4AB">
      <w:pPr>
        <w:ind w:firstLine="435"/>
        <w:rPr>
          <w:rFonts w:ascii="宋体"/>
          <w:color w:val="auto"/>
          <w:szCs w:val="21"/>
        </w:rPr>
      </w:pPr>
    </w:p>
    <w:p w14:paraId="4EBB485F">
      <w:pPr>
        <w:ind w:firstLine="435"/>
        <w:rPr>
          <w:rFonts w:ascii="宋体"/>
          <w:color w:val="auto"/>
          <w:szCs w:val="21"/>
          <w:u w:val="single"/>
        </w:rPr>
      </w:pPr>
    </w:p>
    <w:p w14:paraId="22B7B6B1">
      <w:pPr>
        <w:tabs>
          <w:tab w:val="left" w:pos="2460"/>
        </w:tabs>
        <w:spacing w:line="360" w:lineRule="auto"/>
        <w:rPr>
          <w:rFonts w:ascii="宋体"/>
          <w:b/>
          <w:color w:val="auto"/>
          <w:szCs w:val="21"/>
        </w:rPr>
      </w:pPr>
      <w:r>
        <w:rPr>
          <w:rFonts w:hint="eastAsia" w:ascii="宋体" w:hAnsi="宋体"/>
          <w:b/>
          <w:color w:val="auto"/>
          <w:szCs w:val="21"/>
        </w:rPr>
        <w:t>附件</w:t>
      </w:r>
      <w:r>
        <w:rPr>
          <w:rFonts w:hint="eastAsia" w:ascii="宋体" w:hAnsi="宋体"/>
          <w:b/>
          <w:color w:val="auto"/>
          <w:szCs w:val="21"/>
          <w:lang w:val="en-US" w:eastAsia="zh-CN"/>
        </w:rPr>
        <w:t>15</w:t>
      </w:r>
      <w:r>
        <w:rPr>
          <w:rFonts w:ascii="宋体"/>
          <w:b/>
          <w:color w:val="auto"/>
          <w:szCs w:val="21"/>
        </w:rPr>
        <w:tab/>
      </w:r>
    </w:p>
    <w:p w14:paraId="33DDB691">
      <w:pPr>
        <w:spacing w:line="360" w:lineRule="auto"/>
        <w:ind w:firstLine="435"/>
        <w:jc w:val="center"/>
        <w:rPr>
          <w:rFonts w:ascii="宋体"/>
          <w:b/>
          <w:color w:val="auto"/>
          <w:sz w:val="30"/>
          <w:szCs w:val="30"/>
        </w:rPr>
      </w:pPr>
      <w:r>
        <w:rPr>
          <w:rFonts w:hint="eastAsia" w:ascii="宋体" w:hAnsi="宋体"/>
          <w:b/>
          <w:color w:val="auto"/>
          <w:sz w:val="30"/>
          <w:szCs w:val="30"/>
        </w:rPr>
        <w:t>售后服务情况表</w:t>
      </w:r>
    </w:p>
    <w:p w14:paraId="56E3B8FD">
      <w:pPr>
        <w:spacing w:line="360" w:lineRule="auto"/>
        <w:ind w:firstLine="435"/>
        <w:jc w:val="center"/>
        <w:rPr>
          <w:rFonts w:ascii="宋体"/>
          <w:b/>
          <w:color w:val="auto"/>
          <w:sz w:val="36"/>
          <w:szCs w:val="36"/>
        </w:rPr>
      </w:pPr>
    </w:p>
    <w:tbl>
      <w:tblPr>
        <w:tblStyle w:val="22"/>
        <w:tblW w:w="91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999"/>
      </w:tblGrid>
      <w:tr w14:paraId="3036D3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Borders>
              <w:top w:val="single" w:color="auto" w:sz="4" w:space="0"/>
            </w:tcBorders>
            <w:noWrap w:val="0"/>
            <w:vAlign w:val="center"/>
          </w:tcPr>
          <w:p w14:paraId="0BE1B7F5">
            <w:pPr>
              <w:pStyle w:val="53"/>
              <w:spacing w:line="360" w:lineRule="auto"/>
              <w:jc w:val="both"/>
              <w:rPr>
                <w:rFonts w:ascii="宋体" w:cs="Arial"/>
                <w:b/>
                <w:color w:val="auto"/>
                <w:szCs w:val="21"/>
              </w:rPr>
            </w:pPr>
            <w:r>
              <w:rPr>
                <w:rFonts w:hint="eastAsia" w:ascii="宋体" w:hAnsi="宋体" w:cs="Arial"/>
                <w:b/>
                <w:color w:val="auto"/>
                <w:szCs w:val="21"/>
              </w:rPr>
              <w:t>序号</w:t>
            </w:r>
          </w:p>
        </w:tc>
        <w:tc>
          <w:tcPr>
            <w:tcW w:w="2355" w:type="dxa"/>
            <w:tcBorders>
              <w:top w:val="single" w:color="auto" w:sz="4" w:space="0"/>
            </w:tcBorders>
            <w:noWrap w:val="0"/>
            <w:vAlign w:val="center"/>
          </w:tcPr>
          <w:p w14:paraId="352242CA">
            <w:pPr>
              <w:pStyle w:val="53"/>
              <w:spacing w:line="360" w:lineRule="auto"/>
              <w:ind w:firstLine="482"/>
              <w:jc w:val="center"/>
              <w:rPr>
                <w:rFonts w:ascii="宋体" w:cs="Arial"/>
                <w:b/>
                <w:color w:val="auto"/>
                <w:szCs w:val="21"/>
              </w:rPr>
            </w:pPr>
            <w:r>
              <w:rPr>
                <w:rFonts w:hint="eastAsia" w:ascii="宋体" w:hAnsi="宋体" w:cs="Arial"/>
                <w:b/>
                <w:color w:val="auto"/>
                <w:szCs w:val="21"/>
              </w:rPr>
              <w:t>项目</w:t>
            </w:r>
          </w:p>
        </w:tc>
        <w:tc>
          <w:tcPr>
            <w:tcW w:w="4061" w:type="dxa"/>
            <w:tcBorders>
              <w:top w:val="single" w:color="auto" w:sz="4" w:space="0"/>
            </w:tcBorders>
            <w:noWrap w:val="0"/>
            <w:vAlign w:val="center"/>
          </w:tcPr>
          <w:p w14:paraId="3BCD7A13">
            <w:pPr>
              <w:pStyle w:val="53"/>
              <w:spacing w:line="360" w:lineRule="auto"/>
              <w:ind w:firstLine="482"/>
              <w:jc w:val="center"/>
              <w:rPr>
                <w:rFonts w:ascii="宋体" w:cs="Arial"/>
                <w:b/>
                <w:color w:val="auto"/>
                <w:szCs w:val="21"/>
              </w:rPr>
            </w:pPr>
            <w:r>
              <w:rPr>
                <w:rFonts w:hint="eastAsia" w:ascii="宋体" w:hAnsi="宋体" w:cs="Arial"/>
                <w:b/>
                <w:color w:val="auto"/>
                <w:szCs w:val="21"/>
              </w:rPr>
              <w:t>投标人情况</w:t>
            </w:r>
          </w:p>
        </w:tc>
        <w:tc>
          <w:tcPr>
            <w:tcW w:w="1999" w:type="dxa"/>
            <w:tcBorders>
              <w:top w:val="single" w:color="auto" w:sz="4" w:space="0"/>
            </w:tcBorders>
            <w:noWrap w:val="0"/>
            <w:vAlign w:val="center"/>
          </w:tcPr>
          <w:p w14:paraId="1AF7CC51">
            <w:pPr>
              <w:pStyle w:val="53"/>
              <w:spacing w:line="360" w:lineRule="auto"/>
              <w:ind w:firstLine="482"/>
              <w:jc w:val="center"/>
              <w:rPr>
                <w:rFonts w:ascii="宋体" w:cs="Arial"/>
                <w:b/>
                <w:color w:val="auto"/>
                <w:szCs w:val="21"/>
              </w:rPr>
            </w:pPr>
            <w:r>
              <w:rPr>
                <w:rFonts w:hint="eastAsia" w:ascii="宋体" w:hAnsi="宋体" w:cs="Arial"/>
                <w:b/>
                <w:color w:val="auto"/>
                <w:szCs w:val="21"/>
              </w:rPr>
              <w:t>备注</w:t>
            </w:r>
          </w:p>
        </w:tc>
      </w:tr>
      <w:tr w14:paraId="31EE0B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noWrap w:val="0"/>
            <w:vAlign w:val="center"/>
          </w:tcPr>
          <w:p w14:paraId="4B411214">
            <w:pPr>
              <w:pStyle w:val="53"/>
              <w:spacing w:line="360" w:lineRule="auto"/>
              <w:jc w:val="center"/>
              <w:rPr>
                <w:rFonts w:ascii="宋体" w:cs="Arial"/>
                <w:bCs/>
                <w:color w:val="auto"/>
                <w:szCs w:val="21"/>
              </w:rPr>
            </w:pPr>
            <w:r>
              <w:rPr>
                <w:rFonts w:ascii="宋体" w:hAnsi="宋体" w:cs="Arial"/>
                <w:bCs/>
                <w:color w:val="auto"/>
                <w:szCs w:val="21"/>
              </w:rPr>
              <w:t>1</w:t>
            </w:r>
          </w:p>
        </w:tc>
        <w:tc>
          <w:tcPr>
            <w:tcW w:w="2355" w:type="dxa"/>
            <w:vMerge w:val="restart"/>
            <w:noWrap w:val="0"/>
            <w:vAlign w:val="center"/>
          </w:tcPr>
          <w:p w14:paraId="65CA2352">
            <w:pPr>
              <w:pStyle w:val="53"/>
              <w:widowControl/>
              <w:spacing w:line="360" w:lineRule="auto"/>
              <w:jc w:val="left"/>
              <w:rPr>
                <w:rFonts w:ascii="宋体" w:cs="Arial"/>
                <w:bCs/>
                <w:color w:val="auto"/>
                <w:szCs w:val="21"/>
              </w:rPr>
            </w:pPr>
            <w:r>
              <w:rPr>
                <w:rFonts w:hint="eastAsia" w:ascii="宋体" w:hAnsi="宋体" w:cs="Arial"/>
                <w:bCs/>
                <w:color w:val="auto"/>
                <w:szCs w:val="21"/>
              </w:rPr>
              <w:t>保修期内售后服务情况</w:t>
            </w:r>
            <w:r>
              <w:rPr>
                <w:rFonts w:ascii="宋体" w:hAnsi="宋体" w:cs="Arial"/>
                <w:bCs/>
                <w:color w:val="auto"/>
                <w:szCs w:val="21"/>
              </w:rPr>
              <w:t>(</w:t>
            </w:r>
            <w:r>
              <w:rPr>
                <w:rFonts w:hint="eastAsia" w:ascii="宋体" w:hAnsi="宋体" w:cs="Arial"/>
                <w:bCs/>
                <w:color w:val="auto"/>
                <w:szCs w:val="21"/>
              </w:rPr>
              <w:t>服务方式、服务网点、售后服务的内容和措施等等，可用附页和宣传材料</w:t>
            </w:r>
            <w:r>
              <w:rPr>
                <w:rFonts w:ascii="宋体" w:hAnsi="宋体" w:cs="Arial"/>
                <w:bCs/>
                <w:color w:val="auto"/>
                <w:szCs w:val="21"/>
              </w:rPr>
              <w:t>)</w:t>
            </w:r>
          </w:p>
        </w:tc>
        <w:tc>
          <w:tcPr>
            <w:tcW w:w="4061" w:type="dxa"/>
            <w:noWrap w:val="0"/>
            <w:vAlign w:val="top"/>
          </w:tcPr>
          <w:p w14:paraId="3F1DF91B">
            <w:pPr>
              <w:pStyle w:val="53"/>
              <w:spacing w:line="360" w:lineRule="auto"/>
              <w:rPr>
                <w:rFonts w:ascii="宋体" w:cs="Arial"/>
                <w:bCs/>
                <w:color w:val="auto"/>
                <w:szCs w:val="21"/>
              </w:rPr>
            </w:pPr>
            <w:r>
              <w:rPr>
                <w:rFonts w:hint="eastAsia" w:ascii="宋体" w:hAnsi="宋体" w:cs="Arial"/>
                <w:bCs/>
                <w:color w:val="auto"/>
                <w:szCs w:val="21"/>
              </w:rPr>
              <w:t>生产厂商售后服务情况：</w:t>
            </w:r>
          </w:p>
        </w:tc>
        <w:tc>
          <w:tcPr>
            <w:tcW w:w="1999" w:type="dxa"/>
            <w:noWrap w:val="0"/>
            <w:vAlign w:val="top"/>
          </w:tcPr>
          <w:p w14:paraId="6BBDAC64">
            <w:pPr>
              <w:pStyle w:val="53"/>
              <w:spacing w:line="360" w:lineRule="auto"/>
              <w:rPr>
                <w:rFonts w:ascii="宋体" w:cs="Arial"/>
                <w:bCs/>
                <w:color w:val="auto"/>
                <w:szCs w:val="21"/>
              </w:rPr>
            </w:pPr>
          </w:p>
        </w:tc>
      </w:tr>
      <w:tr w14:paraId="31DCF8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noWrap w:val="0"/>
            <w:vAlign w:val="center"/>
          </w:tcPr>
          <w:p w14:paraId="63104D11">
            <w:pPr>
              <w:pStyle w:val="53"/>
              <w:widowControl/>
              <w:spacing w:line="360" w:lineRule="auto"/>
              <w:jc w:val="left"/>
              <w:rPr>
                <w:rFonts w:ascii="宋体" w:cs="Arial"/>
                <w:bCs/>
                <w:color w:val="auto"/>
                <w:szCs w:val="21"/>
              </w:rPr>
            </w:pPr>
          </w:p>
        </w:tc>
        <w:tc>
          <w:tcPr>
            <w:tcW w:w="2355" w:type="dxa"/>
            <w:vMerge w:val="continue"/>
            <w:noWrap w:val="0"/>
            <w:vAlign w:val="center"/>
          </w:tcPr>
          <w:p w14:paraId="4E40B57A">
            <w:pPr>
              <w:pStyle w:val="53"/>
              <w:widowControl/>
              <w:spacing w:line="360" w:lineRule="auto"/>
              <w:jc w:val="left"/>
              <w:rPr>
                <w:rFonts w:ascii="宋体" w:cs="Arial"/>
                <w:bCs/>
                <w:color w:val="auto"/>
                <w:szCs w:val="21"/>
              </w:rPr>
            </w:pPr>
          </w:p>
        </w:tc>
        <w:tc>
          <w:tcPr>
            <w:tcW w:w="4061" w:type="dxa"/>
            <w:noWrap w:val="0"/>
            <w:vAlign w:val="top"/>
          </w:tcPr>
          <w:p w14:paraId="20C0D8C8">
            <w:pPr>
              <w:pStyle w:val="53"/>
              <w:spacing w:line="360" w:lineRule="auto"/>
              <w:rPr>
                <w:rFonts w:ascii="宋体" w:cs="Arial"/>
                <w:bCs/>
                <w:color w:val="auto"/>
                <w:szCs w:val="21"/>
              </w:rPr>
            </w:pPr>
            <w:r>
              <w:rPr>
                <w:rFonts w:hint="eastAsia" w:ascii="宋体" w:hAnsi="宋体" w:cs="Arial"/>
                <w:bCs/>
                <w:color w:val="auto"/>
                <w:szCs w:val="21"/>
              </w:rPr>
              <w:t>投标人售后服务情况：</w:t>
            </w:r>
          </w:p>
        </w:tc>
        <w:tc>
          <w:tcPr>
            <w:tcW w:w="1999" w:type="dxa"/>
            <w:noWrap w:val="0"/>
            <w:vAlign w:val="top"/>
          </w:tcPr>
          <w:p w14:paraId="42B0A37F">
            <w:pPr>
              <w:pStyle w:val="53"/>
              <w:spacing w:line="360" w:lineRule="auto"/>
              <w:jc w:val="left"/>
              <w:rPr>
                <w:rFonts w:ascii="宋体" w:cs="Arial"/>
                <w:bCs/>
                <w:color w:val="auto"/>
                <w:szCs w:val="21"/>
              </w:rPr>
            </w:pPr>
          </w:p>
        </w:tc>
      </w:tr>
      <w:tr w14:paraId="7CBE92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39" w:type="dxa"/>
            <w:noWrap w:val="0"/>
            <w:vAlign w:val="center"/>
          </w:tcPr>
          <w:p w14:paraId="0381959C">
            <w:pPr>
              <w:pStyle w:val="53"/>
              <w:spacing w:line="360" w:lineRule="auto"/>
              <w:jc w:val="center"/>
              <w:rPr>
                <w:rFonts w:ascii="宋体" w:cs="Arial"/>
                <w:bCs/>
                <w:color w:val="auto"/>
                <w:szCs w:val="21"/>
              </w:rPr>
            </w:pPr>
            <w:r>
              <w:rPr>
                <w:rFonts w:ascii="宋体" w:hAnsi="宋体" w:cs="Arial"/>
                <w:bCs/>
                <w:color w:val="auto"/>
                <w:szCs w:val="21"/>
              </w:rPr>
              <w:t>2</w:t>
            </w:r>
          </w:p>
        </w:tc>
        <w:tc>
          <w:tcPr>
            <w:tcW w:w="2355" w:type="dxa"/>
            <w:noWrap w:val="0"/>
            <w:vAlign w:val="center"/>
          </w:tcPr>
          <w:p w14:paraId="0590823E">
            <w:pPr>
              <w:pStyle w:val="53"/>
              <w:spacing w:line="360" w:lineRule="auto"/>
              <w:rPr>
                <w:rFonts w:ascii="宋体" w:cs="Arial"/>
                <w:bCs/>
                <w:color w:val="auto"/>
                <w:szCs w:val="21"/>
              </w:rPr>
            </w:pPr>
            <w:r>
              <w:rPr>
                <w:rFonts w:hint="eastAsia" w:ascii="宋体" w:hAnsi="宋体" w:cs="Arial"/>
                <w:bCs/>
                <w:color w:val="auto"/>
                <w:szCs w:val="21"/>
              </w:rPr>
              <w:t>保修期后售后服务</w:t>
            </w:r>
          </w:p>
        </w:tc>
        <w:tc>
          <w:tcPr>
            <w:tcW w:w="4061" w:type="dxa"/>
            <w:noWrap w:val="0"/>
            <w:vAlign w:val="top"/>
          </w:tcPr>
          <w:p w14:paraId="2532C373">
            <w:pPr>
              <w:pStyle w:val="53"/>
              <w:widowControl/>
              <w:spacing w:line="360" w:lineRule="auto"/>
              <w:jc w:val="left"/>
              <w:rPr>
                <w:rFonts w:ascii="宋体" w:cs="Arial"/>
                <w:bCs/>
                <w:color w:val="auto"/>
                <w:szCs w:val="21"/>
              </w:rPr>
            </w:pPr>
          </w:p>
          <w:p w14:paraId="14576396">
            <w:pPr>
              <w:pStyle w:val="53"/>
              <w:widowControl/>
              <w:spacing w:line="360" w:lineRule="auto"/>
              <w:jc w:val="left"/>
              <w:rPr>
                <w:rFonts w:ascii="宋体" w:cs="Arial"/>
                <w:bCs/>
                <w:color w:val="auto"/>
                <w:szCs w:val="21"/>
              </w:rPr>
            </w:pPr>
          </w:p>
          <w:p w14:paraId="55972C67">
            <w:pPr>
              <w:pStyle w:val="53"/>
              <w:spacing w:line="360" w:lineRule="auto"/>
              <w:rPr>
                <w:rFonts w:ascii="宋体" w:cs="Arial"/>
                <w:bCs/>
                <w:color w:val="auto"/>
                <w:szCs w:val="21"/>
              </w:rPr>
            </w:pPr>
          </w:p>
        </w:tc>
        <w:tc>
          <w:tcPr>
            <w:tcW w:w="1999" w:type="dxa"/>
            <w:noWrap w:val="0"/>
            <w:vAlign w:val="top"/>
          </w:tcPr>
          <w:p w14:paraId="1477AB24">
            <w:pPr>
              <w:pStyle w:val="53"/>
              <w:widowControl/>
              <w:spacing w:line="360" w:lineRule="auto"/>
              <w:jc w:val="left"/>
              <w:rPr>
                <w:rFonts w:ascii="宋体" w:cs="Arial"/>
                <w:bCs/>
                <w:color w:val="auto"/>
                <w:szCs w:val="21"/>
              </w:rPr>
            </w:pPr>
          </w:p>
          <w:p w14:paraId="6FCD2025">
            <w:pPr>
              <w:pStyle w:val="53"/>
              <w:widowControl/>
              <w:spacing w:line="360" w:lineRule="auto"/>
              <w:jc w:val="left"/>
              <w:rPr>
                <w:rFonts w:ascii="宋体" w:cs="Arial"/>
                <w:bCs/>
                <w:color w:val="auto"/>
                <w:szCs w:val="21"/>
              </w:rPr>
            </w:pPr>
          </w:p>
          <w:p w14:paraId="280C54BB">
            <w:pPr>
              <w:pStyle w:val="53"/>
              <w:spacing w:line="360" w:lineRule="auto"/>
              <w:rPr>
                <w:rFonts w:ascii="宋体" w:cs="Arial"/>
                <w:bCs/>
                <w:color w:val="auto"/>
                <w:szCs w:val="21"/>
              </w:rPr>
            </w:pPr>
          </w:p>
        </w:tc>
      </w:tr>
      <w:tr w14:paraId="717ECC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exact"/>
          <w:jc w:val="center"/>
        </w:trPr>
        <w:tc>
          <w:tcPr>
            <w:tcW w:w="739" w:type="dxa"/>
            <w:noWrap w:val="0"/>
            <w:vAlign w:val="center"/>
          </w:tcPr>
          <w:p w14:paraId="65692838">
            <w:pPr>
              <w:pStyle w:val="53"/>
              <w:widowControl/>
              <w:spacing w:line="360" w:lineRule="auto"/>
              <w:jc w:val="left"/>
              <w:rPr>
                <w:rFonts w:ascii="宋体" w:cs="Arial"/>
                <w:bCs/>
                <w:color w:val="auto"/>
                <w:szCs w:val="21"/>
              </w:rPr>
            </w:pPr>
            <w:r>
              <w:rPr>
                <w:rFonts w:ascii="宋体" w:hAnsi="宋体" w:cs="Arial"/>
                <w:bCs/>
                <w:color w:val="auto"/>
                <w:szCs w:val="21"/>
              </w:rPr>
              <w:t xml:space="preserve"> 3</w:t>
            </w:r>
          </w:p>
        </w:tc>
        <w:tc>
          <w:tcPr>
            <w:tcW w:w="2355" w:type="dxa"/>
            <w:noWrap w:val="0"/>
            <w:vAlign w:val="center"/>
          </w:tcPr>
          <w:p w14:paraId="61B2476E">
            <w:pPr>
              <w:pStyle w:val="53"/>
              <w:widowControl/>
              <w:spacing w:line="360" w:lineRule="auto"/>
              <w:jc w:val="left"/>
              <w:rPr>
                <w:rFonts w:ascii="宋体" w:cs="Arial"/>
                <w:bCs/>
                <w:color w:val="auto"/>
                <w:szCs w:val="21"/>
              </w:rPr>
            </w:pPr>
            <w:r>
              <w:rPr>
                <w:rFonts w:hint="eastAsia" w:ascii="宋体" w:hAnsi="宋体" w:cs="Arial"/>
                <w:bCs/>
                <w:color w:val="auto"/>
                <w:szCs w:val="21"/>
              </w:rPr>
              <w:t>培训方案（可用附页）</w:t>
            </w:r>
          </w:p>
        </w:tc>
        <w:tc>
          <w:tcPr>
            <w:tcW w:w="4061" w:type="dxa"/>
            <w:noWrap w:val="0"/>
            <w:vAlign w:val="top"/>
          </w:tcPr>
          <w:p w14:paraId="6920032B">
            <w:pPr>
              <w:pStyle w:val="53"/>
              <w:widowControl/>
              <w:spacing w:line="360" w:lineRule="auto"/>
              <w:jc w:val="left"/>
              <w:rPr>
                <w:rFonts w:ascii="宋体" w:cs="Arial"/>
                <w:bCs/>
                <w:i/>
                <w:color w:val="auto"/>
                <w:szCs w:val="21"/>
              </w:rPr>
            </w:pPr>
          </w:p>
          <w:p w14:paraId="075ED34F">
            <w:pPr>
              <w:pStyle w:val="53"/>
              <w:widowControl/>
              <w:spacing w:line="360" w:lineRule="auto"/>
              <w:jc w:val="left"/>
              <w:rPr>
                <w:rFonts w:ascii="宋体" w:cs="Arial"/>
                <w:bCs/>
                <w:i/>
                <w:color w:val="auto"/>
                <w:szCs w:val="21"/>
              </w:rPr>
            </w:pPr>
          </w:p>
        </w:tc>
        <w:tc>
          <w:tcPr>
            <w:tcW w:w="1999" w:type="dxa"/>
            <w:noWrap w:val="0"/>
            <w:vAlign w:val="top"/>
          </w:tcPr>
          <w:p w14:paraId="51CBBA18">
            <w:pPr>
              <w:pStyle w:val="53"/>
              <w:widowControl/>
              <w:spacing w:line="360" w:lineRule="auto"/>
              <w:jc w:val="left"/>
              <w:rPr>
                <w:rFonts w:ascii="宋体" w:cs="Arial"/>
                <w:bCs/>
                <w:i/>
                <w:color w:val="auto"/>
                <w:szCs w:val="21"/>
              </w:rPr>
            </w:pPr>
          </w:p>
          <w:p w14:paraId="71DD3590">
            <w:pPr>
              <w:pStyle w:val="53"/>
              <w:widowControl/>
              <w:spacing w:line="360" w:lineRule="auto"/>
              <w:jc w:val="left"/>
              <w:rPr>
                <w:rFonts w:ascii="宋体" w:cs="Arial"/>
                <w:bCs/>
                <w:i/>
                <w:color w:val="auto"/>
                <w:szCs w:val="21"/>
              </w:rPr>
            </w:pPr>
          </w:p>
          <w:p w14:paraId="7F31BB44">
            <w:pPr>
              <w:pStyle w:val="53"/>
              <w:widowControl/>
              <w:spacing w:line="360" w:lineRule="auto"/>
              <w:jc w:val="left"/>
              <w:rPr>
                <w:rFonts w:ascii="宋体" w:cs="Arial"/>
                <w:bCs/>
                <w:i/>
                <w:color w:val="auto"/>
                <w:szCs w:val="21"/>
              </w:rPr>
            </w:pPr>
          </w:p>
        </w:tc>
      </w:tr>
      <w:tr w14:paraId="59A50A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Borders>
              <w:bottom w:val="single" w:color="auto" w:sz="4" w:space="0"/>
            </w:tcBorders>
            <w:noWrap w:val="0"/>
            <w:vAlign w:val="center"/>
          </w:tcPr>
          <w:p w14:paraId="2A63988D">
            <w:pPr>
              <w:pStyle w:val="53"/>
              <w:widowControl/>
              <w:spacing w:line="360" w:lineRule="auto"/>
              <w:jc w:val="left"/>
              <w:rPr>
                <w:rFonts w:ascii="宋体" w:cs="Arial"/>
                <w:bCs/>
                <w:color w:val="auto"/>
                <w:szCs w:val="21"/>
              </w:rPr>
            </w:pPr>
            <w:r>
              <w:rPr>
                <w:rFonts w:hint="eastAsia" w:ascii="宋体" w:cs="Arial"/>
                <w:bCs/>
                <w:color w:val="auto"/>
                <w:szCs w:val="21"/>
              </w:rPr>
              <w:t>……</w:t>
            </w:r>
          </w:p>
        </w:tc>
        <w:tc>
          <w:tcPr>
            <w:tcW w:w="2355" w:type="dxa"/>
            <w:tcBorders>
              <w:bottom w:val="single" w:color="auto" w:sz="4" w:space="0"/>
            </w:tcBorders>
            <w:noWrap w:val="0"/>
            <w:vAlign w:val="center"/>
          </w:tcPr>
          <w:p w14:paraId="644A00BF">
            <w:pPr>
              <w:pStyle w:val="53"/>
              <w:widowControl/>
              <w:spacing w:line="360" w:lineRule="auto"/>
              <w:jc w:val="left"/>
              <w:rPr>
                <w:rFonts w:ascii="宋体" w:cs="Arial"/>
                <w:bCs/>
                <w:color w:val="auto"/>
                <w:szCs w:val="21"/>
              </w:rPr>
            </w:pPr>
            <w:r>
              <w:rPr>
                <w:rFonts w:hint="eastAsia" w:ascii="宋体" w:cs="Arial"/>
                <w:bCs/>
                <w:color w:val="auto"/>
                <w:szCs w:val="21"/>
              </w:rPr>
              <w:t>……</w:t>
            </w:r>
          </w:p>
        </w:tc>
        <w:tc>
          <w:tcPr>
            <w:tcW w:w="4061" w:type="dxa"/>
            <w:tcBorders>
              <w:bottom w:val="single" w:color="auto" w:sz="4" w:space="0"/>
            </w:tcBorders>
            <w:noWrap w:val="0"/>
            <w:vAlign w:val="top"/>
          </w:tcPr>
          <w:p w14:paraId="22D5BDFB">
            <w:pPr>
              <w:pStyle w:val="53"/>
              <w:widowControl/>
              <w:spacing w:line="360" w:lineRule="auto"/>
              <w:jc w:val="left"/>
              <w:rPr>
                <w:rFonts w:ascii="宋体" w:cs="Arial"/>
                <w:bCs/>
                <w:color w:val="auto"/>
                <w:szCs w:val="21"/>
              </w:rPr>
            </w:pPr>
          </w:p>
        </w:tc>
        <w:tc>
          <w:tcPr>
            <w:tcW w:w="1999" w:type="dxa"/>
            <w:tcBorders>
              <w:bottom w:val="single" w:color="auto" w:sz="4" w:space="0"/>
            </w:tcBorders>
            <w:noWrap w:val="0"/>
            <w:vAlign w:val="top"/>
          </w:tcPr>
          <w:p w14:paraId="38A0C1F9">
            <w:pPr>
              <w:pStyle w:val="53"/>
              <w:widowControl/>
              <w:spacing w:line="360" w:lineRule="auto"/>
              <w:jc w:val="left"/>
              <w:rPr>
                <w:rFonts w:ascii="宋体" w:cs="Arial"/>
                <w:bCs/>
                <w:color w:val="auto"/>
                <w:szCs w:val="21"/>
              </w:rPr>
            </w:pPr>
          </w:p>
        </w:tc>
      </w:tr>
    </w:tbl>
    <w:p w14:paraId="4D260203">
      <w:pPr>
        <w:spacing w:line="360" w:lineRule="auto"/>
        <w:ind w:left="420"/>
        <w:rPr>
          <w:rFonts w:ascii="宋体"/>
          <w:color w:val="auto"/>
          <w:sz w:val="24"/>
        </w:rPr>
      </w:pPr>
    </w:p>
    <w:p w14:paraId="6A2D3202">
      <w:pPr>
        <w:spacing w:line="360" w:lineRule="auto"/>
        <w:ind w:left="420"/>
        <w:rPr>
          <w:rFonts w:ascii="宋体"/>
          <w:color w:val="auto"/>
          <w:sz w:val="24"/>
        </w:rPr>
      </w:pPr>
    </w:p>
    <w:p w14:paraId="7A43D7BA">
      <w:pPr>
        <w:spacing w:line="360" w:lineRule="auto"/>
        <w:ind w:left="420"/>
        <w:rPr>
          <w:rFonts w:ascii="宋体"/>
          <w:color w:val="auto"/>
          <w:sz w:val="24"/>
        </w:rPr>
      </w:pPr>
    </w:p>
    <w:p w14:paraId="404EF7EB">
      <w:pPr>
        <w:spacing w:line="360" w:lineRule="auto"/>
        <w:ind w:left="420"/>
        <w:rPr>
          <w:rFonts w:ascii="宋体"/>
          <w:color w:val="auto"/>
          <w:sz w:val="24"/>
        </w:rPr>
      </w:pPr>
    </w:p>
    <w:p w14:paraId="3388025F">
      <w:pPr>
        <w:spacing w:line="360" w:lineRule="auto"/>
        <w:ind w:left="420"/>
        <w:rPr>
          <w:rFonts w:ascii="宋体"/>
          <w:color w:val="auto"/>
          <w:sz w:val="24"/>
        </w:rPr>
      </w:pPr>
    </w:p>
    <w:p w14:paraId="1739947E">
      <w:pPr>
        <w:ind w:left="420"/>
        <w:rPr>
          <w:rFonts w:ascii="宋体"/>
          <w:color w:val="auto"/>
          <w:szCs w:val="21"/>
          <w:u w:val="single"/>
        </w:rPr>
      </w:pPr>
      <w:r>
        <w:rPr>
          <w:rFonts w:hint="eastAsia" w:ascii="宋体" w:hAnsi="宋体"/>
          <w:color w:val="auto"/>
          <w:szCs w:val="21"/>
        </w:rPr>
        <w:t>投标人名称（盖章）：</w:t>
      </w:r>
    </w:p>
    <w:p w14:paraId="592C1C0D">
      <w:pPr>
        <w:ind w:left="420"/>
        <w:rPr>
          <w:rFonts w:ascii="宋体"/>
          <w:color w:val="auto"/>
          <w:szCs w:val="21"/>
        </w:rPr>
      </w:pPr>
    </w:p>
    <w:p w14:paraId="16E3BFCC">
      <w:pPr>
        <w:ind w:firstLine="435"/>
        <w:rPr>
          <w:rFonts w:ascii="宋体"/>
          <w:color w:val="auto"/>
          <w:szCs w:val="21"/>
        </w:rPr>
      </w:pPr>
      <w:r>
        <w:rPr>
          <w:rFonts w:hint="eastAsia" w:ascii="宋体" w:hAnsi="宋体"/>
          <w:color w:val="auto"/>
          <w:szCs w:val="21"/>
        </w:rPr>
        <w:t>投标人代表签字或盖章：</w:t>
      </w:r>
    </w:p>
    <w:p w14:paraId="525FCC95">
      <w:pPr>
        <w:ind w:firstLine="435"/>
        <w:rPr>
          <w:rFonts w:ascii="宋体"/>
          <w:color w:val="auto"/>
          <w:szCs w:val="21"/>
        </w:rPr>
      </w:pPr>
    </w:p>
    <w:p w14:paraId="48F50058">
      <w:pPr>
        <w:ind w:firstLine="435"/>
        <w:rPr>
          <w:rFonts w:ascii="宋体"/>
          <w:color w:val="auto"/>
          <w:szCs w:val="21"/>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1DE2B08E">
      <w:pPr>
        <w:ind w:firstLine="435"/>
        <w:rPr>
          <w:rFonts w:ascii="宋体"/>
          <w:color w:val="auto"/>
          <w:szCs w:val="21"/>
        </w:rPr>
      </w:pPr>
    </w:p>
    <w:p w14:paraId="03654D07">
      <w:pPr>
        <w:ind w:firstLine="435"/>
        <w:rPr>
          <w:rFonts w:ascii="宋体"/>
          <w:color w:val="auto"/>
          <w:szCs w:val="21"/>
          <w:u w:val="single"/>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p>
    <w:p w14:paraId="5C3F6626">
      <w:pPr>
        <w:spacing w:line="360" w:lineRule="auto"/>
        <w:ind w:firstLine="435"/>
        <w:rPr>
          <w:rFonts w:ascii="宋体"/>
          <w:color w:val="auto"/>
          <w:sz w:val="24"/>
          <w:u w:val="single"/>
        </w:rPr>
      </w:pPr>
    </w:p>
    <w:p w14:paraId="4147841C">
      <w:pPr>
        <w:spacing w:line="360" w:lineRule="auto"/>
        <w:ind w:firstLine="435"/>
        <w:rPr>
          <w:rFonts w:ascii="宋体"/>
          <w:color w:val="auto"/>
          <w:sz w:val="24"/>
          <w:u w:val="single"/>
        </w:rPr>
      </w:pPr>
    </w:p>
    <w:p w14:paraId="22B18ACC">
      <w:pPr>
        <w:spacing w:line="360" w:lineRule="auto"/>
        <w:ind w:firstLine="435"/>
        <w:rPr>
          <w:rFonts w:ascii="宋体"/>
          <w:color w:val="auto"/>
          <w:sz w:val="24"/>
          <w:u w:val="single"/>
        </w:rPr>
      </w:pPr>
    </w:p>
    <w:p w14:paraId="11B36E90">
      <w:pPr>
        <w:spacing w:line="360" w:lineRule="auto"/>
        <w:ind w:firstLine="435"/>
        <w:rPr>
          <w:rFonts w:ascii="宋体"/>
          <w:color w:val="auto"/>
          <w:sz w:val="24"/>
          <w:u w:val="single"/>
        </w:rPr>
      </w:pPr>
    </w:p>
    <w:p w14:paraId="1BA3FC54">
      <w:pPr>
        <w:pStyle w:val="52"/>
        <w:spacing w:line="360" w:lineRule="auto"/>
        <w:rPr>
          <w:rFonts w:hint="default" w:hAnsi="宋体" w:eastAsia="宋体"/>
          <w:b/>
          <w:color w:val="auto"/>
          <w:lang w:val="en-US" w:eastAsia="zh-CN"/>
        </w:rPr>
      </w:pPr>
      <w:r>
        <w:rPr>
          <w:rFonts w:hint="eastAsia" w:hAnsi="宋体"/>
          <w:b/>
          <w:color w:val="auto"/>
        </w:rPr>
        <w:t>附件</w:t>
      </w:r>
      <w:r>
        <w:rPr>
          <w:rFonts w:hint="eastAsia" w:hAnsi="宋体"/>
          <w:b/>
          <w:color w:val="auto"/>
          <w:lang w:val="en-US" w:eastAsia="zh-CN"/>
        </w:rPr>
        <w:t>16</w:t>
      </w:r>
    </w:p>
    <w:p w14:paraId="70E95053">
      <w:pPr>
        <w:pStyle w:val="52"/>
        <w:spacing w:line="360" w:lineRule="auto"/>
        <w:jc w:val="center"/>
        <w:rPr>
          <w:rFonts w:hAnsi="宋体"/>
          <w:b/>
          <w:color w:val="auto"/>
          <w:sz w:val="30"/>
          <w:szCs w:val="30"/>
          <w:lang w:val="en-GB"/>
        </w:rPr>
      </w:pPr>
      <w:r>
        <w:rPr>
          <w:rFonts w:hint="eastAsia" w:hAnsi="宋体"/>
          <w:b/>
          <w:color w:val="auto"/>
          <w:sz w:val="30"/>
          <w:szCs w:val="30"/>
        </w:rPr>
        <w:t>主要货物用材响应表</w:t>
      </w:r>
    </w:p>
    <w:tbl>
      <w:tblPr>
        <w:tblStyle w:val="22"/>
        <w:tblW w:w="9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387"/>
        <w:gridCol w:w="1020"/>
        <w:gridCol w:w="1320"/>
        <w:gridCol w:w="1065"/>
        <w:gridCol w:w="975"/>
        <w:gridCol w:w="1095"/>
        <w:gridCol w:w="1005"/>
        <w:gridCol w:w="1086"/>
      </w:tblGrid>
      <w:tr w14:paraId="027E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noWrap w:val="0"/>
            <w:vAlign w:val="top"/>
          </w:tcPr>
          <w:p w14:paraId="2DC0B8A0">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序号</w:t>
            </w:r>
          </w:p>
        </w:tc>
        <w:tc>
          <w:tcPr>
            <w:tcW w:w="1387" w:type="dxa"/>
            <w:vMerge w:val="restart"/>
            <w:noWrap w:val="0"/>
            <w:vAlign w:val="center"/>
          </w:tcPr>
          <w:p w14:paraId="75EBF284">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货物名称</w:t>
            </w:r>
          </w:p>
        </w:tc>
        <w:tc>
          <w:tcPr>
            <w:tcW w:w="1020" w:type="dxa"/>
            <w:vMerge w:val="restart"/>
            <w:noWrap w:val="0"/>
            <w:vAlign w:val="top"/>
          </w:tcPr>
          <w:p w14:paraId="589F965B">
            <w:pPr>
              <w:pStyle w:val="53"/>
              <w:autoSpaceDE w:val="0"/>
              <w:autoSpaceDN w:val="0"/>
              <w:adjustRightInd w:val="0"/>
              <w:spacing w:line="360" w:lineRule="auto"/>
              <w:ind w:right="84" w:rightChars="40"/>
              <w:jc w:val="center"/>
              <w:rPr>
                <w:rFonts w:hint="eastAsia" w:ascii="宋体" w:hAnsi="宋体"/>
                <w:color w:val="auto"/>
                <w:szCs w:val="21"/>
              </w:rPr>
            </w:pPr>
            <w:r>
              <w:rPr>
                <w:rFonts w:hint="eastAsia" w:ascii="宋体" w:hAnsi="宋体"/>
                <w:color w:val="auto"/>
                <w:szCs w:val="21"/>
              </w:rPr>
              <w:t>产品</w:t>
            </w:r>
          </w:p>
          <w:p w14:paraId="57316652">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配置</w:t>
            </w:r>
          </w:p>
        </w:tc>
        <w:tc>
          <w:tcPr>
            <w:tcW w:w="6546" w:type="dxa"/>
            <w:gridSpan w:val="6"/>
            <w:noWrap w:val="0"/>
            <w:vAlign w:val="top"/>
          </w:tcPr>
          <w:p w14:paraId="1FDE91F9">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产品主要用材</w:t>
            </w:r>
          </w:p>
        </w:tc>
      </w:tr>
      <w:tr w14:paraId="2F00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noWrap w:val="0"/>
            <w:vAlign w:val="center"/>
          </w:tcPr>
          <w:p w14:paraId="295ADC8B">
            <w:pPr>
              <w:pStyle w:val="53"/>
              <w:spacing w:line="360" w:lineRule="auto"/>
              <w:rPr>
                <w:rFonts w:ascii="宋体"/>
                <w:color w:val="auto"/>
                <w:szCs w:val="21"/>
              </w:rPr>
            </w:pPr>
          </w:p>
        </w:tc>
        <w:tc>
          <w:tcPr>
            <w:tcW w:w="1387" w:type="dxa"/>
            <w:vMerge w:val="continue"/>
            <w:noWrap w:val="0"/>
            <w:vAlign w:val="center"/>
          </w:tcPr>
          <w:p w14:paraId="6E6E6703">
            <w:pPr>
              <w:pStyle w:val="53"/>
              <w:spacing w:line="360" w:lineRule="auto"/>
              <w:rPr>
                <w:rFonts w:ascii="宋体"/>
                <w:color w:val="auto"/>
                <w:szCs w:val="21"/>
              </w:rPr>
            </w:pPr>
          </w:p>
        </w:tc>
        <w:tc>
          <w:tcPr>
            <w:tcW w:w="1020" w:type="dxa"/>
            <w:vMerge w:val="continue"/>
            <w:noWrap w:val="0"/>
            <w:vAlign w:val="center"/>
          </w:tcPr>
          <w:p w14:paraId="6E9E6306">
            <w:pPr>
              <w:pStyle w:val="53"/>
              <w:spacing w:line="360" w:lineRule="auto"/>
              <w:rPr>
                <w:rFonts w:ascii="宋体"/>
                <w:color w:val="auto"/>
                <w:szCs w:val="21"/>
              </w:rPr>
            </w:pPr>
          </w:p>
        </w:tc>
        <w:tc>
          <w:tcPr>
            <w:tcW w:w="1320" w:type="dxa"/>
            <w:noWrap w:val="0"/>
            <w:vAlign w:val="top"/>
          </w:tcPr>
          <w:p w14:paraId="73A2E246">
            <w:pPr>
              <w:pStyle w:val="53"/>
              <w:autoSpaceDE w:val="0"/>
              <w:autoSpaceDN w:val="0"/>
              <w:adjustRightInd w:val="0"/>
              <w:spacing w:line="360" w:lineRule="auto"/>
              <w:ind w:right="84" w:rightChars="40"/>
              <w:jc w:val="center"/>
              <w:rPr>
                <w:rFonts w:ascii="宋体"/>
                <w:color w:val="auto"/>
                <w:szCs w:val="21"/>
              </w:rPr>
            </w:pPr>
            <w:r>
              <w:rPr>
                <w:rFonts w:hint="eastAsia" w:ascii="宋体" w:hAnsi="宋体" w:cs="宋体"/>
                <w:bCs/>
                <w:color w:val="auto"/>
                <w:szCs w:val="21"/>
              </w:rPr>
              <w:t>材料规格及参数</w:t>
            </w:r>
          </w:p>
        </w:tc>
        <w:tc>
          <w:tcPr>
            <w:tcW w:w="1065" w:type="dxa"/>
            <w:noWrap w:val="0"/>
            <w:vAlign w:val="top"/>
          </w:tcPr>
          <w:p w14:paraId="31A5A459">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品牌</w:t>
            </w:r>
          </w:p>
          <w:p w14:paraId="2EEB55AC">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商标</w:t>
            </w:r>
          </w:p>
        </w:tc>
        <w:tc>
          <w:tcPr>
            <w:tcW w:w="975" w:type="dxa"/>
            <w:noWrap w:val="0"/>
            <w:vAlign w:val="top"/>
          </w:tcPr>
          <w:p w14:paraId="1EEABE96">
            <w:pPr>
              <w:pStyle w:val="53"/>
              <w:autoSpaceDE w:val="0"/>
              <w:autoSpaceDN w:val="0"/>
              <w:adjustRightInd w:val="0"/>
              <w:spacing w:line="360" w:lineRule="auto"/>
              <w:ind w:right="84" w:rightChars="40"/>
              <w:jc w:val="center"/>
              <w:rPr>
                <w:rFonts w:hint="eastAsia" w:ascii="宋体" w:hAnsi="宋体"/>
                <w:color w:val="auto"/>
                <w:szCs w:val="21"/>
              </w:rPr>
            </w:pPr>
            <w:r>
              <w:rPr>
                <w:rFonts w:hint="eastAsia" w:ascii="宋体" w:hAnsi="宋体"/>
                <w:color w:val="auto"/>
                <w:szCs w:val="21"/>
              </w:rPr>
              <w:t>生产</w:t>
            </w:r>
          </w:p>
          <w:p w14:paraId="271D13DD">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厂家</w:t>
            </w:r>
          </w:p>
        </w:tc>
        <w:tc>
          <w:tcPr>
            <w:tcW w:w="1095" w:type="dxa"/>
            <w:noWrap w:val="0"/>
            <w:vAlign w:val="top"/>
          </w:tcPr>
          <w:p w14:paraId="17DD9EC9">
            <w:pPr>
              <w:pStyle w:val="53"/>
              <w:autoSpaceDE w:val="0"/>
              <w:autoSpaceDN w:val="0"/>
              <w:adjustRightInd w:val="0"/>
              <w:spacing w:line="360" w:lineRule="auto"/>
              <w:ind w:right="84" w:rightChars="40"/>
              <w:jc w:val="center"/>
              <w:rPr>
                <w:rFonts w:hint="eastAsia" w:ascii="宋体" w:hAnsi="宋体"/>
                <w:color w:val="auto"/>
                <w:szCs w:val="21"/>
              </w:rPr>
            </w:pPr>
            <w:r>
              <w:rPr>
                <w:rFonts w:hint="eastAsia" w:ascii="宋体" w:hAnsi="宋体"/>
                <w:color w:val="auto"/>
                <w:szCs w:val="21"/>
              </w:rPr>
              <w:t>符合</w:t>
            </w:r>
          </w:p>
          <w:p w14:paraId="3E482D31">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标准</w:t>
            </w:r>
          </w:p>
        </w:tc>
        <w:tc>
          <w:tcPr>
            <w:tcW w:w="1005" w:type="dxa"/>
            <w:noWrap w:val="0"/>
            <w:vAlign w:val="top"/>
          </w:tcPr>
          <w:p w14:paraId="4914A6D7">
            <w:pPr>
              <w:pStyle w:val="53"/>
              <w:autoSpaceDE w:val="0"/>
              <w:autoSpaceDN w:val="0"/>
              <w:adjustRightInd w:val="0"/>
              <w:spacing w:line="360" w:lineRule="auto"/>
              <w:ind w:right="84" w:rightChars="40"/>
              <w:jc w:val="center"/>
              <w:rPr>
                <w:rFonts w:hint="eastAsia" w:ascii="宋体" w:hAnsi="宋体"/>
                <w:color w:val="auto"/>
                <w:szCs w:val="21"/>
              </w:rPr>
            </w:pPr>
            <w:r>
              <w:rPr>
                <w:rFonts w:hint="eastAsia" w:ascii="宋体" w:hAnsi="宋体"/>
                <w:color w:val="auto"/>
                <w:szCs w:val="21"/>
              </w:rPr>
              <w:t>性能</w:t>
            </w:r>
          </w:p>
          <w:p w14:paraId="66488863">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说明</w:t>
            </w:r>
          </w:p>
        </w:tc>
        <w:tc>
          <w:tcPr>
            <w:tcW w:w="1086" w:type="dxa"/>
            <w:noWrap w:val="0"/>
            <w:vAlign w:val="top"/>
          </w:tcPr>
          <w:p w14:paraId="0D75581C">
            <w:pPr>
              <w:pStyle w:val="53"/>
              <w:autoSpaceDE w:val="0"/>
              <w:autoSpaceDN w:val="0"/>
              <w:adjustRightInd w:val="0"/>
              <w:spacing w:line="360" w:lineRule="auto"/>
              <w:ind w:right="84" w:rightChars="40"/>
              <w:jc w:val="center"/>
              <w:rPr>
                <w:rFonts w:ascii="宋体"/>
                <w:color w:val="auto"/>
                <w:szCs w:val="21"/>
              </w:rPr>
            </w:pPr>
            <w:r>
              <w:rPr>
                <w:rFonts w:hint="eastAsia" w:ascii="宋体" w:hAnsi="宋体"/>
                <w:color w:val="auto"/>
                <w:szCs w:val="21"/>
              </w:rPr>
              <w:t>备注</w:t>
            </w:r>
          </w:p>
        </w:tc>
      </w:tr>
      <w:tr w14:paraId="3011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noWrap w:val="0"/>
            <w:vAlign w:val="center"/>
          </w:tcPr>
          <w:p w14:paraId="42ACF889">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387" w:type="dxa"/>
            <w:vMerge w:val="restart"/>
            <w:noWrap w:val="0"/>
            <w:vAlign w:val="center"/>
          </w:tcPr>
          <w:p w14:paraId="603A8710">
            <w:pPr>
              <w:pStyle w:val="53"/>
              <w:spacing w:line="360" w:lineRule="auto"/>
              <w:jc w:val="center"/>
              <w:rPr>
                <w:rFonts w:ascii="仿宋_GB2312" w:hAnsi="宋体" w:eastAsia="仿宋_GB2312"/>
                <w:color w:val="auto"/>
                <w:sz w:val="24"/>
              </w:rPr>
            </w:pPr>
          </w:p>
        </w:tc>
        <w:tc>
          <w:tcPr>
            <w:tcW w:w="1020" w:type="dxa"/>
            <w:noWrap w:val="0"/>
            <w:vAlign w:val="top"/>
          </w:tcPr>
          <w:p w14:paraId="32E9CBAF">
            <w:pPr>
              <w:pStyle w:val="53"/>
              <w:spacing w:line="360" w:lineRule="auto"/>
              <w:jc w:val="center"/>
              <w:rPr>
                <w:rFonts w:ascii="仿宋_GB2312" w:hAnsi="宋体" w:eastAsia="仿宋_GB2312"/>
                <w:color w:val="auto"/>
                <w:sz w:val="24"/>
              </w:rPr>
            </w:pPr>
          </w:p>
        </w:tc>
        <w:tc>
          <w:tcPr>
            <w:tcW w:w="1320" w:type="dxa"/>
            <w:noWrap w:val="0"/>
            <w:vAlign w:val="top"/>
          </w:tcPr>
          <w:p w14:paraId="3124AF53">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1DDF0B57">
            <w:pPr>
              <w:pStyle w:val="53"/>
              <w:spacing w:line="360" w:lineRule="auto"/>
              <w:jc w:val="center"/>
              <w:rPr>
                <w:rFonts w:ascii="仿宋_GB2312" w:hAnsi="宋体" w:eastAsia="仿宋_GB2312" w:cs="宋体"/>
                <w:color w:val="auto"/>
                <w:sz w:val="24"/>
              </w:rPr>
            </w:pPr>
          </w:p>
        </w:tc>
        <w:tc>
          <w:tcPr>
            <w:tcW w:w="975" w:type="dxa"/>
            <w:noWrap w:val="0"/>
            <w:vAlign w:val="top"/>
          </w:tcPr>
          <w:p w14:paraId="45B7D786">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20966932">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62C68DA2">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6BCC6377">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395A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noWrap w:val="0"/>
            <w:vAlign w:val="center"/>
          </w:tcPr>
          <w:p w14:paraId="33A3CD82">
            <w:pPr>
              <w:pStyle w:val="53"/>
              <w:spacing w:line="360" w:lineRule="auto"/>
              <w:rPr>
                <w:rFonts w:ascii="仿宋_GB2312" w:hAnsi="宋体" w:eastAsia="仿宋_GB2312"/>
                <w:color w:val="auto"/>
                <w:sz w:val="24"/>
              </w:rPr>
            </w:pPr>
          </w:p>
        </w:tc>
        <w:tc>
          <w:tcPr>
            <w:tcW w:w="1387" w:type="dxa"/>
            <w:vMerge w:val="continue"/>
            <w:noWrap w:val="0"/>
            <w:vAlign w:val="center"/>
          </w:tcPr>
          <w:p w14:paraId="00388FEB">
            <w:pPr>
              <w:pStyle w:val="53"/>
              <w:spacing w:line="360" w:lineRule="auto"/>
              <w:rPr>
                <w:rFonts w:ascii="仿宋_GB2312" w:hAnsi="宋体" w:eastAsia="仿宋_GB2312"/>
                <w:color w:val="auto"/>
                <w:sz w:val="24"/>
              </w:rPr>
            </w:pPr>
          </w:p>
        </w:tc>
        <w:tc>
          <w:tcPr>
            <w:tcW w:w="1020" w:type="dxa"/>
            <w:noWrap w:val="0"/>
            <w:vAlign w:val="top"/>
          </w:tcPr>
          <w:p w14:paraId="6B32EB34">
            <w:pPr>
              <w:pStyle w:val="53"/>
              <w:spacing w:line="360" w:lineRule="auto"/>
              <w:jc w:val="center"/>
              <w:rPr>
                <w:rFonts w:ascii="仿宋_GB2312" w:hAnsi="宋体" w:eastAsia="仿宋_GB2312"/>
                <w:color w:val="auto"/>
                <w:sz w:val="24"/>
              </w:rPr>
            </w:pPr>
          </w:p>
        </w:tc>
        <w:tc>
          <w:tcPr>
            <w:tcW w:w="1320" w:type="dxa"/>
            <w:noWrap w:val="0"/>
            <w:vAlign w:val="top"/>
          </w:tcPr>
          <w:p w14:paraId="3246C60F">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5AB0D74F">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576D8B27">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2579F45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4C81BA26">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3570FBEB">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175D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noWrap w:val="0"/>
            <w:vAlign w:val="center"/>
          </w:tcPr>
          <w:p w14:paraId="672FF36E">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387" w:type="dxa"/>
            <w:vMerge w:val="restart"/>
            <w:noWrap w:val="0"/>
            <w:vAlign w:val="center"/>
          </w:tcPr>
          <w:p w14:paraId="1D653D88">
            <w:pPr>
              <w:pStyle w:val="53"/>
              <w:spacing w:line="360" w:lineRule="auto"/>
              <w:ind w:right="84" w:rightChars="40"/>
              <w:jc w:val="center"/>
              <w:rPr>
                <w:rFonts w:ascii="仿宋_GB2312" w:hAnsi="宋体" w:eastAsia="仿宋_GB2312"/>
                <w:color w:val="auto"/>
                <w:sz w:val="24"/>
              </w:rPr>
            </w:pPr>
          </w:p>
        </w:tc>
        <w:tc>
          <w:tcPr>
            <w:tcW w:w="1020" w:type="dxa"/>
            <w:noWrap w:val="0"/>
            <w:vAlign w:val="top"/>
          </w:tcPr>
          <w:p w14:paraId="6E8667A5">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2FAB2FE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0A2AB4AA">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631E9226">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7B72D174">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3D24C8F4">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2C388D66">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1931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noWrap w:val="0"/>
            <w:vAlign w:val="center"/>
          </w:tcPr>
          <w:p w14:paraId="55C670BE">
            <w:pPr>
              <w:pStyle w:val="53"/>
              <w:spacing w:line="360" w:lineRule="auto"/>
              <w:rPr>
                <w:rFonts w:ascii="仿宋_GB2312" w:hAnsi="宋体" w:eastAsia="仿宋_GB2312"/>
                <w:color w:val="auto"/>
                <w:sz w:val="24"/>
              </w:rPr>
            </w:pPr>
          </w:p>
        </w:tc>
        <w:tc>
          <w:tcPr>
            <w:tcW w:w="1387" w:type="dxa"/>
            <w:vMerge w:val="continue"/>
            <w:noWrap w:val="0"/>
            <w:vAlign w:val="center"/>
          </w:tcPr>
          <w:p w14:paraId="6DF4120C">
            <w:pPr>
              <w:pStyle w:val="53"/>
              <w:spacing w:line="360" w:lineRule="auto"/>
              <w:rPr>
                <w:rFonts w:ascii="仿宋_GB2312" w:hAnsi="宋体" w:eastAsia="仿宋_GB2312"/>
                <w:color w:val="auto"/>
                <w:sz w:val="24"/>
              </w:rPr>
            </w:pPr>
          </w:p>
        </w:tc>
        <w:tc>
          <w:tcPr>
            <w:tcW w:w="1020" w:type="dxa"/>
            <w:noWrap w:val="0"/>
            <w:vAlign w:val="top"/>
          </w:tcPr>
          <w:p w14:paraId="129B3316">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796422AF">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2BE9FAEA">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4FCA1496">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60E328A8">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485587B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4E627561">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31B1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noWrap w:val="0"/>
            <w:vAlign w:val="center"/>
          </w:tcPr>
          <w:p w14:paraId="7A86B760">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387" w:type="dxa"/>
            <w:vMerge w:val="restart"/>
            <w:noWrap w:val="0"/>
            <w:vAlign w:val="center"/>
          </w:tcPr>
          <w:p w14:paraId="61DB5AA5">
            <w:pPr>
              <w:pStyle w:val="53"/>
              <w:spacing w:line="360" w:lineRule="auto"/>
              <w:ind w:right="84" w:rightChars="40"/>
              <w:jc w:val="center"/>
              <w:rPr>
                <w:rFonts w:ascii="仿宋_GB2312" w:hAnsi="宋体" w:eastAsia="仿宋_GB2312"/>
                <w:color w:val="auto"/>
                <w:sz w:val="24"/>
              </w:rPr>
            </w:pPr>
          </w:p>
        </w:tc>
        <w:tc>
          <w:tcPr>
            <w:tcW w:w="1020" w:type="dxa"/>
            <w:noWrap w:val="0"/>
            <w:vAlign w:val="top"/>
          </w:tcPr>
          <w:p w14:paraId="259A5035">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68B3ECE8">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7B421464">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723C76E3">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2C45C1EB">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7391B5C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19A9D81D">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38AA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noWrap w:val="0"/>
            <w:vAlign w:val="center"/>
          </w:tcPr>
          <w:p w14:paraId="6F3397C6">
            <w:pPr>
              <w:pStyle w:val="53"/>
              <w:spacing w:line="360" w:lineRule="auto"/>
              <w:rPr>
                <w:rFonts w:ascii="仿宋_GB2312" w:hAnsi="宋体" w:eastAsia="仿宋_GB2312"/>
                <w:color w:val="auto"/>
                <w:sz w:val="24"/>
              </w:rPr>
            </w:pPr>
          </w:p>
        </w:tc>
        <w:tc>
          <w:tcPr>
            <w:tcW w:w="1387" w:type="dxa"/>
            <w:vMerge w:val="continue"/>
            <w:noWrap w:val="0"/>
            <w:vAlign w:val="center"/>
          </w:tcPr>
          <w:p w14:paraId="10FDFCEF">
            <w:pPr>
              <w:pStyle w:val="53"/>
              <w:spacing w:line="360" w:lineRule="auto"/>
              <w:rPr>
                <w:rFonts w:ascii="仿宋_GB2312" w:hAnsi="宋体" w:eastAsia="仿宋_GB2312"/>
                <w:color w:val="auto"/>
                <w:sz w:val="24"/>
              </w:rPr>
            </w:pPr>
          </w:p>
        </w:tc>
        <w:tc>
          <w:tcPr>
            <w:tcW w:w="1020" w:type="dxa"/>
            <w:noWrap w:val="0"/>
            <w:vAlign w:val="top"/>
          </w:tcPr>
          <w:p w14:paraId="126E16CD">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3F45DC86">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61833A1B">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79C25E69">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51D0C892">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6D282615">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3B2EE804">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6AAD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noWrap w:val="0"/>
            <w:vAlign w:val="center"/>
          </w:tcPr>
          <w:p w14:paraId="38E44967">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387" w:type="dxa"/>
            <w:vMerge w:val="restart"/>
            <w:noWrap w:val="0"/>
            <w:vAlign w:val="center"/>
          </w:tcPr>
          <w:p w14:paraId="1AC9CA22">
            <w:pPr>
              <w:pStyle w:val="53"/>
              <w:spacing w:line="360" w:lineRule="auto"/>
              <w:ind w:right="84" w:rightChars="40"/>
              <w:jc w:val="center"/>
              <w:rPr>
                <w:rFonts w:ascii="仿宋_GB2312" w:hAnsi="宋体" w:eastAsia="仿宋_GB2312"/>
                <w:color w:val="auto"/>
                <w:sz w:val="24"/>
              </w:rPr>
            </w:pPr>
          </w:p>
        </w:tc>
        <w:tc>
          <w:tcPr>
            <w:tcW w:w="1020" w:type="dxa"/>
            <w:noWrap w:val="0"/>
            <w:vAlign w:val="top"/>
          </w:tcPr>
          <w:p w14:paraId="5E42CA78">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3C7ABE7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4014E37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1E260E1A">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7D93F6D8">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61A219AB">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53D7307C">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19CD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noWrap w:val="0"/>
            <w:vAlign w:val="center"/>
          </w:tcPr>
          <w:p w14:paraId="2968D64D">
            <w:pPr>
              <w:pStyle w:val="53"/>
              <w:spacing w:line="360" w:lineRule="auto"/>
              <w:rPr>
                <w:rFonts w:ascii="仿宋_GB2312" w:hAnsi="宋体" w:eastAsia="仿宋_GB2312"/>
                <w:color w:val="auto"/>
                <w:sz w:val="24"/>
              </w:rPr>
            </w:pPr>
          </w:p>
        </w:tc>
        <w:tc>
          <w:tcPr>
            <w:tcW w:w="1387" w:type="dxa"/>
            <w:vMerge w:val="continue"/>
            <w:noWrap w:val="0"/>
            <w:vAlign w:val="center"/>
          </w:tcPr>
          <w:p w14:paraId="48AA32CD">
            <w:pPr>
              <w:pStyle w:val="53"/>
              <w:spacing w:line="360" w:lineRule="auto"/>
              <w:rPr>
                <w:rFonts w:ascii="仿宋_GB2312" w:hAnsi="宋体" w:eastAsia="仿宋_GB2312"/>
                <w:color w:val="auto"/>
                <w:sz w:val="24"/>
              </w:rPr>
            </w:pPr>
          </w:p>
        </w:tc>
        <w:tc>
          <w:tcPr>
            <w:tcW w:w="1020" w:type="dxa"/>
            <w:noWrap w:val="0"/>
            <w:vAlign w:val="top"/>
          </w:tcPr>
          <w:p w14:paraId="640E743E">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6A824F8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7F8AC5D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46235960">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62C7297E">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2A277D34">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07FB669C">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30E5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noWrap w:val="0"/>
            <w:vAlign w:val="center"/>
          </w:tcPr>
          <w:p w14:paraId="75DAEEB8">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387" w:type="dxa"/>
            <w:vMerge w:val="restart"/>
            <w:noWrap w:val="0"/>
            <w:vAlign w:val="center"/>
          </w:tcPr>
          <w:p w14:paraId="60E844D2">
            <w:pPr>
              <w:pStyle w:val="53"/>
              <w:spacing w:line="360" w:lineRule="auto"/>
              <w:ind w:right="84" w:rightChars="40"/>
              <w:jc w:val="center"/>
              <w:rPr>
                <w:rFonts w:ascii="仿宋_GB2312" w:hAnsi="宋体" w:eastAsia="仿宋_GB2312"/>
                <w:color w:val="auto"/>
                <w:sz w:val="24"/>
              </w:rPr>
            </w:pPr>
          </w:p>
        </w:tc>
        <w:tc>
          <w:tcPr>
            <w:tcW w:w="1020" w:type="dxa"/>
            <w:noWrap w:val="0"/>
            <w:vAlign w:val="top"/>
          </w:tcPr>
          <w:p w14:paraId="28769E02">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201D53A0">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2F003AD0">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75D98F34">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0F9BAF6E">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0E26E00C">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4BE503CB">
            <w:pPr>
              <w:pStyle w:val="53"/>
              <w:autoSpaceDE w:val="0"/>
              <w:autoSpaceDN w:val="0"/>
              <w:adjustRightInd w:val="0"/>
              <w:spacing w:line="360" w:lineRule="auto"/>
              <w:ind w:right="84" w:rightChars="40"/>
              <w:jc w:val="center"/>
              <w:rPr>
                <w:rFonts w:ascii="仿宋_GB2312" w:hAnsi="宋体" w:eastAsia="仿宋_GB2312"/>
                <w:color w:val="auto"/>
                <w:sz w:val="24"/>
              </w:rPr>
            </w:pPr>
          </w:p>
        </w:tc>
      </w:tr>
      <w:tr w14:paraId="4172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noWrap w:val="0"/>
            <w:vAlign w:val="center"/>
          </w:tcPr>
          <w:p w14:paraId="67B3B34D">
            <w:pPr>
              <w:pStyle w:val="53"/>
              <w:spacing w:line="360" w:lineRule="auto"/>
              <w:rPr>
                <w:rFonts w:ascii="仿宋_GB2312" w:hAnsi="宋体" w:eastAsia="仿宋_GB2312"/>
                <w:color w:val="auto"/>
                <w:sz w:val="24"/>
              </w:rPr>
            </w:pPr>
          </w:p>
        </w:tc>
        <w:tc>
          <w:tcPr>
            <w:tcW w:w="1387" w:type="dxa"/>
            <w:vMerge w:val="continue"/>
            <w:noWrap w:val="0"/>
            <w:vAlign w:val="center"/>
          </w:tcPr>
          <w:p w14:paraId="6ADBC2B4">
            <w:pPr>
              <w:pStyle w:val="53"/>
              <w:spacing w:line="360" w:lineRule="auto"/>
              <w:rPr>
                <w:rFonts w:ascii="仿宋_GB2312" w:hAnsi="宋体" w:eastAsia="仿宋_GB2312"/>
                <w:color w:val="auto"/>
                <w:sz w:val="24"/>
              </w:rPr>
            </w:pPr>
          </w:p>
        </w:tc>
        <w:tc>
          <w:tcPr>
            <w:tcW w:w="1020" w:type="dxa"/>
            <w:noWrap w:val="0"/>
            <w:vAlign w:val="top"/>
          </w:tcPr>
          <w:p w14:paraId="7E805A88">
            <w:pPr>
              <w:pStyle w:val="53"/>
              <w:spacing w:line="360" w:lineRule="auto"/>
              <w:ind w:right="84" w:rightChars="40"/>
              <w:jc w:val="center"/>
              <w:rPr>
                <w:rFonts w:ascii="仿宋_GB2312" w:hAnsi="宋体" w:eastAsia="仿宋_GB2312"/>
                <w:color w:val="auto"/>
                <w:sz w:val="24"/>
              </w:rPr>
            </w:pPr>
          </w:p>
        </w:tc>
        <w:tc>
          <w:tcPr>
            <w:tcW w:w="1320" w:type="dxa"/>
            <w:noWrap w:val="0"/>
            <w:vAlign w:val="top"/>
          </w:tcPr>
          <w:p w14:paraId="2EF88650">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65" w:type="dxa"/>
            <w:noWrap w:val="0"/>
            <w:vAlign w:val="top"/>
          </w:tcPr>
          <w:p w14:paraId="7399C73B">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975" w:type="dxa"/>
            <w:noWrap w:val="0"/>
            <w:vAlign w:val="top"/>
          </w:tcPr>
          <w:p w14:paraId="05BC33C7">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95" w:type="dxa"/>
            <w:noWrap w:val="0"/>
            <w:vAlign w:val="top"/>
          </w:tcPr>
          <w:p w14:paraId="4D97EB87">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05" w:type="dxa"/>
            <w:noWrap w:val="0"/>
            <w:vAlign w:val="top"/>
          </w:tcPr>
          <w:p w14:paraId="31DB429D">
            <w:pPr>
              <w:pStyle w:val="53"/>
              <w:autoSpaceDE w:val="0"/>
              <w:autoSpaceDN w:val="0"/>
              <w:adjustRightInd w:val="0"/>
              <w:spacing w:line="360" w:lineRule="auto"/>
              <w:ind w:right="84" w:rightChars="40"/>
              <w:jc w:val="center"/>
              <w:rPr>
                <w:rFonts w:ascii="仿宋_GB2312" w:hAnsi="宋体" w:eastAsia="仿宋_GB2312"/>
                <w:color w:val="auto"/>
                <w:sz w:val="24"/>
              </w:rPr>
            </w:pPr>
          </w:p>
        </w:tc>
        <w:tc>
          <w:tcPr>
            <w:tcW w:w="1086" w:type="dxa"/>
            <w:noWrap w:val="0"/>
            <w:vAlign w:val="top"/>
          </w:tcPr>
          <w:p w14:paraId="24604AB3">
            <w:pPr>
              <w:pStyle w:val="53"/>
              <w:autoSpaceDE w:val="0"/>
              <w:autoSpaceDN w:val="0"/>
              <w:adjustRightInd w:val="0"/>
              <w:spacing w:line="360" w:lineRule="auto"/>
              <w:ind w:right="84" w:rightChars="40"/>
              <w:jc w:val="center"/>
              <w:rPr>
                <w:rFonts w:ascii="仿宋_GB2312" w:hAnsi="宋体" w:eastAsia="仿宋_GB2312"/>
                <w:color w:val="auto"/>
                <w:sz w:val="24"/>
              </w:rPr>
            </w:pPr>
          </w:p>
        </w:tc>
      </w:tr>
    </w:tbl>
    <w:p w14:paraId="06EFA573">
      <w:pPr>
        <w:spacing w:line="360" w:lineRule="auto"/>
        <w:rPr>
          <w:rFonts w:ascii="宋体"/>
          <w:b/>
          <w:color w:val="auto"/>
          <w:szCs w:val="21"/>
        </w:rPr>
      </w:pPr>
      <w:r>
        <w:rPr>
          <w:rFonts w:hint="eastAsia" w:ascii="宋体" w:hAnsi="宋体"/>
          <w:b/>
          <w:color w:val="auto"/>
          <w:szCs w:val="21"/>
        </w:rPr>
        <w:t>要求：</w:t>
      </w:r>
    </w:p>
    <w:p w14:paraId="326D6301">
      <w:pPr>
        <w:pStyle w:val="53"/>
        <w:spacing w:line="360" w:lineRule="auto"/>
        <w:ind w:left="689" w:leftChars="228" w:hanging="210" w:hangingChars="100"/>
        <w:rPr>
          <w:rFonts w:ascii="宋体"/>
          <w:color w:val="auto"/>
          <w:szCs w:val="21"/>
        </w:rPr>
      </w:pPr>
      <w:r>
        <w:rPr>
          <w:rFonts w:ascii="宋体" w:hAnsi="宋体"/>
          <w:color w:val="auto"/>
          <w:szCs w:val="21"/>
        </w:rPr>
        <w:t>1.</w:t>
      </w:r>
      <w:r>
        <w:rPr>
          <w:rFonts w:hint="eastAsia" w:ascii="宋体" w:hAnsi="宋体"/>
          <w:color w:val="auto"/>
          <w:szCs w:val="21"/>
        </w:rPr>
        <w:t>请列出以上产品的各项主要用材、辅料、油漆、五金件等。</w:t>
      </w:r>
    </w:p>
    <w:p w14:paraId="55C0672E">
      <w:pPr>
        <w:pStyle w:val="53"/>
        <w:spacing w:line="360" w:lineRule="auto"/>
        <w:ind w:firstLine="420" w:firstLineChars="200"/>
        <w:rPr>
          <w:rFonts w:ascii="宋体"/>
          <w:color w:val="auto"/>
          <w:szCs w:val="21"/>
        </w:rPr>
      </w:pPr>
      <w:r>
        <w:rPr>
          <w:rFonts w:ascii="宋体" w:hAnsi="宋体"/>
          <w:color w:val="auto"/>
          <w:szCs w:val="21"/>
        </w:rPr>
        <w:t>2.</w:t>
      </w:r>
      <w:r>
        <w:rPr>
          <w:rFonts w:hint="eastAsia" w:ascii="宋体" w:hAnsi="宋体"/>
          <w:color w:val="auto"/>
          <w:szCs w:val="21"/>
        </w:rPr>
        <w:t>本表所列产品主要用材均为采购人抽样送检的范围。</w:t>
      </w:r>
    </w:p>
    <w:p w14:paraId="4A1BA7A4">
      <w:pPr>
        <w:ind w:firstLine="420" w:firstLineChars="200"/>
        <w:rPr>
          <w:rFonts w:ascii="宋体"/>
          <w:color w:val="auto"/>
          <w:szCs w:val="21"/>
        </w:rPr>
      </w:pPr>
    </w:p>
    <w:p w14:paraId="5B916972">
      <w:pPr>
        <w:ind w:firstLine="420" w:firstLineChars="200"/>
        <w:rPr>
          <w:rFonts w:ascii="宋体"/>
          <w:color w:val="auto"/>
          <w:szCs w:val="21"/>
          <w:u w:val="single"/>
        </w:rPr>
      </w:pPr>
      <w:r>
        <w:rPr>
          <w:rFonts w:hint="eastAsia" w:ascii="宋体" w:hAnsi="宋体"/>
          <w:color w:val="auto"/>
          <w:szCs w:val="21"/>
        </w:rPr>
        <w:t>投标人名称（盖章）：</w:t>
      </w:r>
    </w:p>
    <w:p w14:paraId="05B3F76B">
      <w:pPr>
        <w:ind w:left="420"/>
        <w:rPr>
          <w:rFonts w:ascii="宋体"/>
          <w:color w:val="auto"/>
          <w:szCs w:val="21"/>
        </w:rPr>
      </w:pPr>
    </w:p>
    <w:p w14:paraId="0264721A">
      <w:pPr>
        <w:ind w:firstLine="420" w:firstLineChars="200"/>
        <w:rPr>
          <w:rFonts w:ascii="宋体"/>
          <w:color w:val="auto"/>
          <w:szCs w:val="21"/>
        </w:rPr>
      </w:pPr>
      <w:r>
        <w:rPr>
          <w:rFonts w:hint="eastAsia" w:ascii="宋体" w:hAnsi="宋体"/>
          <w:color w:val="auto"/>
          <w:szCs w:val="21"/>
        </w:rPr>
        <w:t>投标人代表签字或盖章：</w:t>
      </w:r>
    </w:p>
    <w:p w14:paraId="4B239F24">
      <w:pPr>
        <w:ind w:firstLine="435"/>
        <w:rPr>
          <w:rFonts w:ascii="宋体"/>
          <w:color w:val="auto"/>
          <w:szCs w:val="21"/>
        </w:rPr>
      </w:pPr>
    </w:p>
    <w:p w14:paraId="06B9A7B6">
      <w:pPr>
        <w:ind w:firstLine="420" w:firstLineChars="200"/>
        <w:rPr>
          <w:rFonts w:ascii="宋体"/>
          <w:color w:val="auto"/>
          <w:szCs w:val="21"/>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5D563470">
      <w:pPr>
        <w:ind w:firstLine="435"/>
        <w:rPr>
          <w:rFonts w:ascii="宋体"/>
          <w:color w:val="auto"/>
          <w:szCs w:val="21"/>
        </w:rPr>
      </w:pPr>
    </w:p>
    <w:p w14:paraId="741A51D9">
      <w:pPr>
        <w:ind w:firstLine="420" w:firstLineChars="200"/>
        <w:rPr>
          <w:rFonts w:hint="eastAsia" w:ascii="宋体" w:hAnsi="宋体"/>
          <w:color w:val="auto"/>
          <w:szCs w:val="21"/>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p>
    <w:p w14:paraId="0C5EEE3C">
      <w:pPr>
        <w:ind w:firstLine="420" w:firstLineChars="200"/>
        <w:rPr>
          <w:rFonts w:hint="eastAsia" w:ascii="宋体" w:hAnsi="宋体"/>
          <w:color w:val="auto"/>
          <w:szCs w:val="21"/>
        </w:rPr>
      </w:pPr>
    </w:p>
    <w:p w14:paraId="1BE7E05E">
      <w:pPr>
        <w:ind w:firstLine="435"/>
        <w:rPr>
          <w:rFonts w:hint="eastAsia" w:ascii="宋体"/>
          <w:color w:val="auto"/>
          <w:szCs w:val="21"/>
          <w:u w:val="single"/>
        </w:rPr>
      </w:pPr>
    </w:p>
    <w:p w14:paraId="57EFE883">
      <w:pPr>
        <w:ind w:firstLine="435"/>
        <w:rPr>
          <w:rFonts w:hint="eastAsia" w:ascii="宋体"/>
          <w:color w:val="auto"/>
          <w:szCs w:val="21"/>
          <w:u w:val="single"/>
        </w:rPr>
      </w:pPr>
    </w:p>
    <w:p w14:paraId="0C4AAAAB">
      <w:pPr>
        <w:ind w:firstLine="435"/>
        <w:rPr>
          <w:rFonts w:hint="eastAsia" w:ascii="宋体"/>
          <w:color w:val="auto"/>
          <w:szCs w:val="21"/>
          <w:u w:val="single"/>
        </w:rPr>
      </w:pPr>
    </w:p>
    <w:p w14:paraId="66CB0AFE">
      <w:pPr>
        <w:ind w:firstLine="435"/>
        <w:rPr>
          <w:rFonts w:hint="eastAsia" w:ascii="宋体"/>
          <w:color w:val="auto"/>
          <w:szCs w:val="21"/>
          <w:u w:val="single"/>
        </w:rPr>
      </w:pPr>
    </w:p>
    <w:p w14:paraId="2881A562">
      <w:pPr>
        <w:ind w:firstLine="435"/>
        <w:rPr>
          <w:rFonts w:hint="eastAsia" w:ascii="宋体"/>
          <w:color w:val="auto"/>
          <w:szCs w:val="21"/>
          <w:u w:val="single"/>
        </w:rPr>
      </w:pPr>
    </w:p>
    <w:p w14:paraId="0A5F959E">
      <w:pPr>
        <w:pStyle w:val="21"/>
        <w:rPr>
          <w:rFonts w:hint="eastAsia"/>
          <w:color w:val="auto"/>
        </w:rPr>
      </w:pPr>
    </w:p>
    <w:p w14:paraId="3B661988">
      <w:pPr>
        <w:ind w:firstLine="435"/>
        <w:rPr>
          <w:rFonts w:ascii="宋体"/>
          <w:color w:val="auto"/>
          <w:szCs w:val="21"/>
          <w:u w:val="single"/>
        </w:rPr>
      </w:pPr>
    </w:p>
    <w:p w14:paraId="777AE6E3">
      <w:pPr>
        <w:spacing w:line="360" w:lineRule="auto"/>
        <w:ind w:right="-110"/>
        <w:jc w:val="left"/>
        <w:rPr>
          <w:rFonts w:hint="default" w:ascii="宋体" w:eastAsia="宋体"/>
          <w:color w:val="auto"/>
          <w:spacing w:val="40"/>
          <w:szCs w:val="21"/>
          <w:lang w:val="en-US" w:eastAsia="zh-CN"/>
        </w:rPr>
      </w:pPr>
      <w:r>
        <w:rPr>
          <w:rFonts w:hint="eastAsia" w:ascii="宋体" w:hAnsi="宋体"/>
          <w:b/>
          <w:color w:val="auto"/>
          <w:szCs w:val="21"/>
        </w:rPr>
        <w:t>附件</w:t>
      </w:r>
      <w:r>
        <w:rPr>
          <w:rFonts w:hint="eastAsia" w:ascii="宋体" w:hAnsi="宋体"/>
          <w:b/>
          <w:color w:val="auto"/>
          <w:szCs w:val="21"/>
          <w:lang w:val="en-US" w:eastAsia="zh-CN"/>
        </w:rPr>
        <w:t>17</w:t>
      </w:r>
    </w:p>
    <w:p w14:paraId="1A220B59">
      <w:pPr>
        <w:spacing w:line="360" w:lineRule="auto"/>
        <w:ind w:right="-110"/>
        <w:jc w:val="center"/>
        <w:rPr>
          <w:rFonts w:ascii="宋体"/>
          <w:color w:val="auto"/>
          <w:spacing w:val="40"/>
          <w:sz w:val="52"/>
          <w:szCs w:val="52"/>
        </w:rPr>
      </w:pPr>
      <w:r>
        <w:rPr>
          <w:rFonts w:hint="eastAsia" w:ascii="宋体" w:hAnsi="宋体"/>
          <w:color w:val="auto"/>
          <w:spacing w:val="40"/>
          <w:sz w:val="52"/>
          <w:szCs w:val="52"/>
        </w:rPr>
        <w:t>项目名称</w:t>
      </w:r>
    </w:p>
    <w:p w14:paraId="57F3916C">
      <w:pPr>
        <w:spacing w:before="312" w:beforeLines="100" w:line="360" w:lineRule="auto"/>
        <w:ind w:right="-108" w:firstLine="3360" w:firstLineChars="1200"/>
        <w:rPr>
          <w:rFonts w:ascii="宋体"/>
          <w:color w:val="auto"/>
          <w:sz w:val="28"/>
          <w:szCs w:val="28"/>
        </w:rPr>
      </w:pPr>
      <w:r>
        <w:rPr>
          <w:rFonts w:hint="eastAsia" w:ascii="宋体" w:hAnsi="宋体"/>
          <w:color w:val="auto"/>
          <w:sz w:val="28"/>
          <w:szCs w:val="28"/>
        </w:rPr>
        <w:t>项目编号：</w:t>
      </w:r>
    </w:p>
    <w:p w14:paraId="1DCC2765">
      <w:pPr>
        <w:spacing w:after="100" w:afterAutospacing="1" w:line="360" w:lineRule="auto"/>
        <w:ind w:right="-108"/>
        <w:jc w:val="center"/>
        <w:rPr>
          <w:rFonts w:ascii="宋体"/>
          <w:b/>
          <w:color w:val="auto"/>
          <w:spacing w:val="40"/>
          <w:sz w:val="84"/>
          <w:szCs w:val="84"/>
        </w:rPr>
      </w:pPr>
    </w:p>
    <w:p w14:paraId="76F76F3D">
      <w:pPr>
        <w:spacing w:after="100" w:afterAutospacing="1" w:line="360" w:lineRule="auto"/>
        <w:ind w:right="-108"/>
        <w:jc w:val="center"/>
        <w:rPr>
          <w:rFonts w:ascii="宋体"/>
          <w:b/>
          <w:color w:val="auto"/>
          <w:spacing w:val="40"/>
          <w:sz w:val="52"/>
          <w:szCs w:val="52"/>
        </w:rPr>
      </w:pPr>
      <w:r>
        <w:rPr>
          <w:rFonts w:hint="eastAsia" w:ascii="宋体" w:hAnsi="宋体"/>
          <w:b/>
          <w:color w:val="auto"/>
          <w:spacing w:val="40"/>
          <w:sz w:val="52"/>
          <w:szCs w:val="52"/>
        </w:rPr>
        <w:t>报</w:t>
      </w:r>
    </w:p>
    <w:p w14:paraId="30423CD3">
      <w:pPr>
        <w:spacing w:after="100" w:afterAutospacing="1" w:line="360" w:lineRule="auto"/>
        <w:ind w:right="-108"/>
        <w:jc w:val="center"/>
        <w:rPr>
          <w:rFonts w:ascii="宋体"/>
          <w:b/>
          <w:color w:val="auto"/>
          <w:spacing w:val="40"/>
          <w:sz w:val="52"/>
          <w:szCs w:val="52"/>
        </w:rPr>
      </w:pPr>
      <w:r>
        <w:rPr>
          <w:rFonts w:hint="eastAsia" w:ascii="宋体" w:hAnsi="宋体"/>
          <w:b/>
          <w:color w:val="auto"/>
          <w:spacing w:val="40"/>
          <w:sz w:val="52"/>
          <w:szCs w:val="52"/>
        </w:rPr>
        <w:t>价</w:t>
      </w:r>
    </w:p>
    <w:p w14:paraId="604E1BAD">
      <w:pPr>
        <w:spacing w:after="100" w:afterAutospacing="1" w:line="360" w:lineRule="auto"/>
        <w:ind w:right="-108"/>
        <w:jc w:val="center"/>
        <w:rPr>
          <w:rFonts w:ascii="宋体"/>
          <w:b/>
          <w:color w:val="auto"/>
          <w:spacing w:val="40"/>
          <w:sz w:val="52"/>
          <w:szCs w:val="52"/>
        </w:rPr>
      </w:pPr>
      <w:r>
        <w:rPr>
          <w:rFonts w:hint="eastAsia" w:ascii="宋体" w:hAnsi="宋体"/>
          <w:b/>
          <w:color w:val="auto"/>
          <w:spacing w:val="40"/>
          <w:sz w:val="52"/>
          <w:szCs w:val="52"/>
        </w:rPr>
        <w:t>文</w:t>
      </w:r>
    </w:p>
    <w:p w14:paraId="205F35C6">
      <w:pPr>
        <w:spacing w:after="100" w:afterAutospacing="1" w:line="360" w:lineRule="auto"/>
        <w:ind w:right="-108"/>
        <w:jc w:val="center"/>
        <w:rPr>
          <w:rFonts w:ascii="宋体"/>
          <w:b/>
          <w:color w:val="auto"/>
          <w:spacing w:val="40"/>
          <w:sz w:val="52"/>
          <w:szCs w:val="52"/>
        </w:rPr>
      </w:pPr>
      <w:r>
        <w:rPr>
          <w:rFonts w:hint="eastAsia" w:ascii="宋体" w:hAnsi="宋体"/>
          <w:b/>
          <w:color w:val="auto"/>
          <w:spacing w:val="40"/>
          <w:sz w:val="52"/>
          <w:szCs w:val="52"/>
        </w:rPr>
        <w:t>件</w:t>
      </w:r>
    </w:p>
    <w:p w14:paraId="112D165E">
      <w:pPr>
        <w:spacing w:line="360" w:lineRule="auto"/>
        <w:ind w:right="532"/>
        <w:jc w:val="center"/>
        <w:rPr>
          <w:rFonts w:ascii="宋体"/>
          <w:color w:val="auto"/>
          <w:sz w:val="36"/>
          <w:szCs w:val="36"/>
        </w:rPr>
      </w:pPr>
    </w:p>
    <w:p w14:paraId="2EF8FA90">
      <w:pPr>
        <w:spacing w:line="360" w:lineRule="auto"/>
        <w:ind w:right="532"/>
        <w:rPr>
          <w:rFonts w:ascii="宋体"/>
          <w:color w:val="auto"/>
          <w:sz w:val="36"/>
          <w:szCs w:val="36"/>
        </w:rPr>
      </w:pPr>
    </w:p>
    <w:p w14:paraId="20C63692">
      <w:pPr>
        <w:spacing w:line="360" w:lineRule="auto"/>
        <w:ind w:right="532"/>
        <w:jc w:val="center"/>
        <w:rPr>
          <w:rFonts w:ascii="宋体"/>
          <w:color w:val="auto"/>
          <w:sz w:val="36"/>
          <w:szCs w:val="36"/>
        </w:rPr>
      </w:pPr>
    </w:p>
    <w:p w14:paraId="49BEB322">
      <w:pPr>
        <w:spacing w:line="360" w:lineRule="auto"/>
        <w:ind w:right="532" w:firstLine="560" w:firstLineChars="200"/>
        <w:rPr>
          <w:rFonts w:ascii="宋体"/>
          <w:color w:val="auto"/>
          <w:sz w:val="28"/>
          <w:szCs w:val="28"/>
        </w:rPr>
      </w:pPr>
      <w:r>
        <w:rPr>
          <w:rFonts w:hint="eastAsia" w:ascii="宋体" w:hAnsi="宋体"/>
          <w:color w:val="auto"/>
          <w:sz w:val="28"/>
          <w:szCs w:val="28"/>
        </w:rPr>
        <w:t>供应商全称（公章）：</w:t>
      </w:r>
    </w:p>
    <w:p w14:paraId="68905E7D">
      <w:pPr>
        <w:spacing w:line="360" w:lineRule="auto"/>
        <w:ind w:right="-108" w:firstLine="560" w:firstLineChars="200"/>
        <w:rPr>
          <w:rFonts w:ascii="宋体"/>
          <w:color w:val="auto"/>
          <w:sz w:val="28"/>
          <w:szCs w:val="28"/>
        </w:rPr>
      </w:pPr>
      <w:r>
        <w:rPr>
          <w:rFonts w:hint="eastAsia" w:ascii="宋体" w:hAnsi="宋体"/>
          <w:color w:val="auto"/>
          <w:sz w:val="28"/>
          <w:szCs w:val="28"/>
        </w:rPr>
        <w:t>地</w:t>
      </w:r>
      <w:r>
        <w:rPr>
          <w:rFonts w:ascii="宋体" w:hAnsi="宋体"/>
          <w:color w:val="auto"/>
          <w:sz w:val="28"/>
          <w:szCs w:val="28"/>
        </w:rPr>
        <w:t xml:space="preserve">    </w:t>
      </w:r>
      <w:r>
        <w:rPr>
          <w:rFonts w:hint="eastAsia" w:ascii="宋体" w:hAnsi="宋体"/>
          <w:color w:val="auto"/>
          <w:sz w:val="28"/>
          <w:szCs w:val="28"/>
        </w:rPr>
        <w:t>址：</w:t>
      </w:r>
    </w:p>
    <w:p w14:paraId="1A2E821B">
      <w:pPr>
        <w:spacing w:line="360" w:lineRule="auto"/>
        <w:ind w:right="-108" w:firstLine="560" w:firstLineChars="200"/>
        <w:rPr>
          <w:rFonts w:hint="eastAsia" w:ascii="宋体" w:hAnsi="宋体"/>
          <w:color w:val="auto"/>
          <w:sz w:val="28"/>
          <w:szCs w:val="28"/>
        </w:rPr>
      </w:pPr>
      <w:r>
        <w:rPr>
          <w:rFonts w:hint="eastAsia" w:ascii="宋体" w:hAnsi="宋体"/>
          <w:color w:val="auto"/>
          <w:sz w:val="28"/>
          <w:szCs w:val="28"/>
        </w:rPr>
        <w:t>时</w:t>
      </w:r>
      <w:r>
        <w:rPr>
          <w:rFonts w:ascii="宋体" w:hAnsi="宋体"/>
          <w:color w:val="auto"/>
          <w:sz w:val="28"/>
          <w:szCs w:val="28"/>
        </w:rPr>
        <w:t xml:space="preserve">    </w:t>
      </w:r>
      <w:r>
        <w:rPr>
          <w:rFonts w:hint="eastAsia" w:ascii="宋体" w:hAnsi="宋体"/>
          <w:color w:val="auto"/>
          <w:sz w:val="28"/>
          <w:szCs w:val="28"/>
        </w:rPr>
        <w:t>间：</w:t>
      </w:r>
    </w:p>
    <w:p w14:paraId="76C18757">
      <w:pPr>
        <w:spacing w:line="360" w:lineRule="auto"/>
        <w:ind w:right="-108" w:firstLine="560" w:firstLineChars="200"/>
        <w:rPr>
          <w:rFonts w:hint="eastAsia" w:ascii="宋体" w:hAnsi="宋体"/>
          <w:color w:val="auto"/>
          <w:sz w:val="28"/>
          <w:szCs w:val="28"/>
        </w:rPr>
      </w:pPr>
    </w:p>
    <w:p w14:paraId="5A2009B0">
      <w:pPr>
        <w:spacing w:line="360" w:lineRule="auto"/>
        <w:ind w:right="-108"/>
        <w:jc w:val="center"/>
        <w:rPr>
          <w:rFonts w:hint="eastAsia" w:ascii="仿宋_GB2312" w:hAnsi="宋体" w:eastAsia="仿宋_GB2312"/>
          <w:b/>
          <w:color w:val="auto"/>
          <w:sz w:val="36"/>
          <w:szCs w:val="36"/>
        </w:rPr>
      </w:pPr>
    </w:p>
    <w:p w14:paraId="2F0DF14B">
      <w:pPr>
        <w:spacing w:line="360" w:lineRule="auto"/>
        <w:ind w:right="-108"/>
        <w:jc w:val="center"/>
        <w:rPr>
          <w:rFonts w:ascii="仿宋_GB2312" w:hAnsi="宋体" w:eastAsia="仿宋_GB2312"/>
          <w:b/>
          <w:color w:val="auto"/>
          <w:sz w:val="36"/>
          <w:szCs w:val="36"/>
        </w:rPr>
      </w:pPr>
    </w:p>
    <w:p w14:paraId="1C7BD8F7">
      <w:pPr>
        <w:spacing w:line="360" w:lineRule="auto"/>
        <w:ind w:right="-108"/>
        <w:jc w:val="center"/>
        <w:rPr>
          <w:rFonts w:ascii="宋体"/>
          <w:b/>
          <w:color w:val="auto"/>
          <w:sz w:val="30"/>
          <w:szCs w:val="30"/>
        </w:rPr>
      </w:pPr>
      <w:r>
        <w:rPr>
          <w:rFonts w:hint="eastAsia" w:ascii="宋体" w:hAnsi="宋体"/>
          <w:b/>
          <w:color w:val="auto"/>
          <w:sz w:val="30"/>
          <w:szCs w:val="30"/>
        </w:rPr>
        <w:t>报价文件目录</w:t>
      </w:r>
    </w:p>
    <w:p w14:paraId="56443C34">
      <w:pPr>
        <w:spacing w:line="360" w:lineRule="auto"/>
        <w:ind w:right="-108"/>
        <w:jc w:val="center"/>
        <w:rPr>
          <w:rFonts w:ascii="仿宋_GB2312" w:hAnsi="宋体" w:eastAsia="仿宋_GB2312"/>
          <w:b/>
          <w:color w:val="auto"/>
          <w:sz w:val="36"/>
          <w:szCs w:val="36"/>
        </w:rPr>
      </w:pPr>
    </w:p>
    <w:p w14:paraId="646995DC">
      <w:pPr>
        <w:spacing w:line="360" w:lineRule="auto"/>
        <w:rPr>
          <w:rFonts w:ascii="宋体"/>
          <w:color w:val="auto"/>
          <w:sz w:val="24"/>
        </w:rPr>
      </w:pPr>
    </w:p>
    <w:p w14:paraId="33752721">
      <w:pPr>
        <w:snapToGrid w:val="0"/>
        <w:spacing w:line="360" w:lineRule="auto"/>
        <w:jc w:val="left"/>
        <w:rPr>
          <w:rFonts w:ascii="宋体" w:hAnsi="宋体"/>
          <w:color w:val="auto"/>
          <w:szCs w:val="21"/>
        </w:rPr>
      </w:pPr>
      <w:r>
        <w:rPr>
          <w:rFonts w:ascii="宋体" w:hAnsi="宋体"/>
          <w:color w:val="auto"/>
          <w:szCs w:val="21"/>
        </w:rPr>
        <w:t>1</w:t>
      </w:r>
      <w:r>
        <w:rPr>
          <w:rFonts w:hint="eastAsia" w:ascii="宋体" w:hAnsi="宋体"/>
          <w:color w:val="auto"/>
          <w:szCs w:val="21"/>
        </w:rPr>
        <w:t>.开标一览表（附件</w:t>
      </w:r>
      <w:r>
        <w:rPr>
          <w:rFonts w:hint="eastAsia" w:ascii="宋体" w:hAnsi="宋体"/>
          <w:color w:val="auto"/>
          <w:szCs w:val="21"/>
          <w:lang w:val="en-US" w:eastAsia="zh-CN"/>
        </w:rPr>
        <w:t>18</w:t>
      </w:r>
      <w:r>
        <w:rPr>
          <w:rFonts w:hint="eastAsia" w:ascii="宋体" w:hAnsi="宋体"/>
          <w:color w:val="auto"/>
          <w:szCs w:val="21"/>
        </w:rPr>
        <w:t>）；</w:t>
      </w:r>
    </w:p>
    <w:p w14:paraId="54F590F5">
      <w:pPr>
        <w:pStyle w:val="13"/>
        <w:snapToGrid w:val="0"/>
        <w:spacing w:line="360" w:lineRule="auto"/>
        <w:ind w:left="0" w:leftChars="0"/>
        <w:rPr>
          <w:rFonts w:ascii="宋体" w:hAnsi="宋体" w:eastAsia="宋体"/>
          <w:color w:val="auto"/>
          <w:sz w:val="21"/>
          <w:szCs w:val="21"/>
        </w:rPr>
      </w:pPr>
      <w:r>
        <w:rPr>
          <w:rFonts w:ascii="宋体" w:hAnsi="宋体" w:eastAsia="宋体"/>
          <w:color w:val="auto"/>
          <w:sz w:val="21"/>
          <w:szCs w:val="21"/>
        </w:rPr>
        <w:t>2</w:t>
      </w:r>
      <w:r>
        <w:rPr>
          <w:rFonts w:hint="eastAsia" w:ascii="宋体" w:hAnsi="宋体" w:eastAsia="宋体"/>
          <w:color w:val="auto"/>
          <w:sz w:val="21"/>
          <w:szCs w:val="21"/>
        </w:rPr>
        <w:t>.报价明细表（附件</w:t>
      </w:r>
      <w:r>
        <w:rPr>
          <w:rFonts w:hint="eastAsia" w:ascii="宋体" w:hAnsi="宋体" w:eastAsia="宋体"/>
          <w:color w:val="auto"/>
          <w:sz w:val="21"/>
          <w:szCs w:val="21"/>
          <w:lang w:val="en-US" w:eastAsia="zh-CN"/>
        </w:rPr>
        <w:t>19</w:t>
      </w:r>
      <w:r>
        <w:rPr>
          <w:rFonts w:hint="eastAsia" w:ascii="宋体" w:hAnsi="宋体" w:eastAsia="宋体"/>
          <w:color w:val="auto"/>
          <w:sz w:val="21"/>
          <w:szCs w:val="21"/>
        </w:rPr>
        <w:t>）；</w:t>
      </w:r>
    </w:p>
    <w:p w14:paraId="7A154C77">
      <w:pPr>
        <w:snapToGrid w:val="0"/>
        <w:spacing w:line="360" w:lineRule="auto"/>
        <w:rPr>
          <w:rFonts w:ascii="宋体" w:hAnsi="宋体"/>
          <w:color w:val="auto"/>
          <w:szCs w:val="21"/>
        </w:rPr>
      </w:pPr>
      <w:r>
        <w:rPr>
          <w:rFonts w:ascii="宋体" w:hAnsi="宋体"/>
          <w:color w:val="auto"/>
          <w:szCs w:val="21"/>
        </w:rPr>
        <w:t>3</w:t>
      </w:r>
      <w:r>
        <w:rPr>
          <w:rFonts w:hint="eastAsia" w:ascii="宋体" w:hAnsi="宋体"/>
          <w:color w:val="auto"/>
          <w:szCs w:val="21"/>
        </w:rPr>
        <w:t>.针对报价投标人认为其他需要说明的；</w:t>
      </w:r>
    </w:p>
    <w:p w14:paraId="13FAFBF8">
      <w:pPr>
        <w:spacing w:line="360" w:lineRule="auto"/>
        <w:rPr>
          <w:rFonts w:ascii="宋体"/>
          <w:b/>
          <w:color w:val="auto"/>
          <w:sz w:val="28"/>
        </w:rPr>
      </w:pPr>
    </w:p>
    <w:p w14:paraId="0090EC61">
      <w:pPr>
        <w:spacing w:line="360" w:lineRule="auto"/>
        <w:ind w:left="480"/>
        <w:rPr>
          <w:rFonts w:ascii="宋体"/>
          <w:b/>
          <w:color w:val="auto"/>
          <w:sz w:val="28"/>
        </w:rPr>
      </w:pPr>
    </w:p>
    <w:p w14:paraId="0987CBFC">
      <w:pPr>
        <w:spacing w:line="360" w:lineRule="auto"/>
        <w:ind w:left="480"/>
        <w:rPr>
          <w:rFonts w:ascii="宋体"/>
          <w:b/>
          <w:color w:val="auto"/>
          <w:sz w:val="28"/>
        </w:rPr>
      </w:pPr>
    </w:p>
    <w:p w14:paraId="573630FC">
      <w:pPr>
        <w:spacing w:line="360" w:lineRule="auto"/>
        <w:ind w:left="480"/>
        <w:rPr>
          <w:rFonts w:ascii="宋体"/>
          <w:b/>
          <w:color w:val="auto"/>
          <w:sz w:val="28"/>
        </w:rPr>
      </w:pPr>
    </w:p>
    <w:p w14:paraId="502DED13">
      <w:pPr>
        <w:spacing w:line="360" w:lineRule="auto"/>
        <w:ind w:left="480"/>
        <w:rPr>
          <w:rFonts w:ascii="宋体"/>
          <w:b/>
          <w:color w:val="auto"/>
          <w:sz w:val="28"/>
        </w:rPr>
      </w:pPr>
    </w:p>
    <w:p w14:paraId="1454B9EC">
      <w:pPr>
        <w:spacing w:line="360" w:lineRule="auto"/>
        <w:ind w:left="480"/>
        <w:rPr>
          <w:rFonts w:ascii="宋体"/>
          <w:b/>
          <w:color w:val="auto"/>
          <w:sz w:val="28"/>
        </w:rPr>
      </w:pPr>
    </w:p>
    <w:p w14:paraId="6705695F">
      <w:pPr>
        <w:spacing w:line="360" w:lineRule="auto"/>
        <w:ind w:left="480"/>
        <w:rPr>
          <w:rFonts w:ascii="宋体"/>
          <w:b/>
          <w:color w:val="auto"/>
          <w:sz w:val="28"/>
        </w:rPr>
      </w:pPr>
    </w:p>
    <w:p w14:paraId="12EDEAA1">
      <w:pPr>
        <w:spacing w:line="360" w:lineRule="auto"/>
        <w:ind w:left="480"/>
        <w:rPr>
          <w:rFonts w:ascii="宋体"/>
          <w:b/>
          <w:color w:val="auto"/>
          <w:sz w:val="28"/>
        </w:rPr>
      </w:pPr>
    </w:p>
    <w:p w14:paraId="4A60EC67">
      <w:pPr>
        <w:spacing w:line="360" w:lineRule="auto"/>
        <w:ind w:left="480"/>
        <w:rPr>
          <w:rFonts w:ascii="宋体"/>
          <w:b/>
          <w:color w:val="auto"/>
          <w:sz w:val="28"/>
        </w:rPr>
      </w:pPr>
    </w:p>
    <w:p w14:paraId="3501289D">
      <w:pPr>
        <w:spacing w:line="360" w:lineRule="auto"/>
        <w:ind w:left="480"/>
        <w:rPr>
          <w:rFonts w:ascii="宋体"/>
          <w:b/>
          <w:color w:val="auto"/>
          <w:sz w:val="28"/>
        </w:rPr>
      </w:pPr>
    </w:p>
    <w:p w14:paraId="4D6DA1F3">
      <w:pPr>
        <w:spacing w:line="360" w:lineRule="auto"/>
        <w:ind w:left="480"/>
        <w:rPr>
          <w:rFonts w:ascii="宋体"/>
          <w:b/>
          <w:color w:val="auto"/>
          <w:sz w:val="28"/>
        </w:rPr>
      </w:pPr>
    </w:p>
    <w:p w14:paraId="3F1EFED9">
      <w:pPr>
        <w:spacing w:line="360" w:lineRule="auto"/>
        <w:ind w:left="480"/>
        <w:rPr>
          <w:rFonts w:ascii="宋体"/>
          <w:b/>
          <w:color w:val="auto"/>
          <w:sz w:val="28"/>
        </w:rPr>
      </w:pPr>
    </w:p>
    <w:p w14:paraId="73288387">
      <w:pPr>
        <w:spacing w:line="360" w:lineRule="auto"/>
        <w:ind w:left="480"/>
        <w:rPr>
          <w:rFonts w:ascii="宋体"/>
          <w:b/>
          <w:color w:val="auto"/>
          <w:sz w:val="28"/>
        </w:rPr>
      </w:pPr>
    </w:p>
    <w:p w14:paraId="1D9047A6">
      <w:pPr>
        <w:spacing w:line="360" w:lineRule="auto"/>
        <w:ind w:left="480"/>
        <w:rPr>
          <w:rFonts w:hint="eastAsia" w:ascii="宋体"/>
          <w:b/>
          <w:color w:val="auto"/>
          <w:sz w:val="28"/>
        </w:rPr>
      </w:pPr>
    </w:p>
    <w:p w14:paraId="1FC00862">
      <w:pPr>
        <w:spacing w:line="360" w:lineRule="auto"/>
        <w:ind w:left="480"/>
        <w:rPr>
          <w:rFonts w:hint="eastAsia" w:ascii="宋体"/>
          <w:b/>
          <w:color w:val="auto"/>
          <w:sz w:val="28"/>
        </w:rPr>
      </w:pPr>
    </w:p>
    <w:p w14:paraId="26C6D566">
      <w:pPr>
        <w:spacing w:line="360" w:lineRule="auto"/>
        <w:ind w:left="480"/>
        <w:rPr>
          <w:rFonts w:ascii="宋体"/>
          <w:b/>
          <w:color w:val="auto"/>
          <w:sz w:val="28"/>
        </w:rPr>
      </w:pPr>
    </w:p>
    <w:p w14:paraId="5CF8E5AF">
      <w:pPr>
        <w:spacing w:line="360" w:lineRule="auto"/>
        <w:rPr>
          <w:rFonts w:hint="eastAsia" w:ascii="宋体" w:hAnsi="宋体"/>
          <w:b/>
          <w:color w:val="auto"/>
          <w:szCs w:val="21"/>
        </w:rPr>
      </w:pPr>
    </w:p>
    <w:p w14:paraId="00CB688C">
      <w:pPr>
        <w:spacing w:line="360" w:lineRule="auto"/>
        <w:rPr>
          <w:rFonts w:hint="default" w:ascii="宋体" w:eastAsia="宋体"/>
          <w:b/>
          <w:color w:val="auto"/>
          <w:szCs w:val="21"/>
          <w:lang w:val="en-US" w:eastAsia="zh-CN"/>
        </w:rPr>
      </w:pPr>
      <w:r>
        <w:rPr>
          <w:rFonts w:hint="eastAsia" w:ascii="宋体" w:hAnsi="宋体"/>
          <w:b/>
          <w:color w:val="auto"/>
          <w:szCs w:val="21"/>
        </w:rPr>
        <w:t>附件</w:t>
      </w:r>
      <w:r>
        <w:rPr>
          <w:rFonts w:hint="eastAsia" w:ascii="宋体" w:hAnsi="宋体"/>
          <w:b/>
          <w:color w:val="auto"/>
          <w:szCs w:val="21"/>
          <w:lang w:val="en-US" w:eastAsia="zh-CN"/>
        </w:rPr>
        <w:t>18</w:t>
      </w:r>
    </w:p>
    <w:p w14:paraId="09E59DA2">
      <w:pPr>
        <w:spacing w:line="360" w:lineRule="auto"/>
        <w:ind w:left="-2" w:hanging="2"/>
        <w:jc w:val="center"/>
        <w:rPr>
          <w:rFonts w:ascii="宋体"/>
          <w:b/>
          <w:color w:val="auto"/>
          <w:sz w:val="30"/>
          <w:szCs w:val="30"/>
        </w:rPr>
      </w:pPr>
      <w:r>
        <w:rPr>
          <w:rFonts w:hint="eastAsia" w:ascii="宋体" w:hAnsi="宋体"/>
          <w:b/>
          <w:color w:val="auto"/>
          <w:sz w:val="30"/>
          <w:szCs w:val="30"/>
        </w:rPr>
        <w:t>开标一览表</w:t>
      </w:r>
      <w:r>
        <w:rPr>
          <w:rFonts w:ascii="宋体" w:hAnsi="宋体"/>
          <w:b/>
          <w:color w:val="auto"/>
          <w:sz w:val="30"/>
          <w:szCs w:val="30"/>
        </w:rPr>
        <w:t xml:space="preserve"> </w:t>
      </w:r>
    </w:p>
    <w:p w14:paraId="7C67FCD1">
      <w:pPr>
        <w:spacing w:line="360" w:lineRule="auto"/>
        <w:ind w:left="-2" w:hanging="2"/>
        <w:jc w:val="center"/>
        <w:rPr>
          <w:rFonts w:ascii="宋体"/>
          <w:b/>
          <w:color w:val="auto"/>
          <w:sz w:val="32"/>
          <w:szCs w:val="32"/>
        </w:rPr>
      </w:pPr>
    </w:p>
    <w:p w14:paraId="70BA8F15">
      <w:pPr>
        <w:pStyle w:val="12"/>
        <w:spacing w:line="320" w:lineRule="exact"/>
        <w:rPr>
          <w:rFonts w:hAnsi="宋体"/>
          <w:b/>
          <w:color w:val="auto"/>
          <w:szCs w:val="21"/>
        </w:rPr>
      </w:pPr>
      <w:r>
        <w:rPr>
          <w:rFonts w:hint="eastAsia" w:hAnsi="宋体"/>
          <w:b/>
          <w:color w:val="auto"/>
          <w:szCs w:val="21"/>
        </w:rPr>
        <w:t>项目编号：</w:t>
      </w:r>
    </w:p>
    <w:p w14:paraId="2E46A049">
      <w:pPr>
        <w:pStyle w:val="63"/>
        <w:spacing w:line="360" w:lineRule="auto"/>
        <w:ind w:right="480"/>
        <w:jc w:val="left"/>
        <w:rPr>
          <w:rFonts w:hAnsi="宋体"/>
          <w:color w:val="auto"/>
          <w:szCs w:val="21"/>
        </w:rPr>
      </w:pPr>
      <w:r>
        <w:rPr>
          <w:rFonts w:hint="eastAsia" w:hAnsi="宋体"/>
          <w:b/>
          <w:color w:val="auto"/>
          <w:szCs w:val="21"/>
        </w:rPr>
        <w:t>项目名称：</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货币单位：人民币元</w:t>
      </w:r>
      <w:r>
        <w:rPr>
          <w:rFonts w:ascii="宋体" w:hAnsi="宋体"/>
          <w:color w:val="auto"/>
          <w:szCs w:val="21"/>
        </w:rPr>
        <w:t>]</w:t>
      </w:r>
    </w:p>
    <w:tbl>
      <w:tblPr>
        <w:tblStyle w:val="22"/>
        <w:tblW w:w="943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733"/>
        <w:gridCol w:w="1440"/>
        <w:gridCol w:w="5259"/>
      </w:tblGrid>
      <w:tr w14:paraId="24F3295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733" w:type="dxa"/>
            <w:vMerge w:val="restart"/>
            <w:tcBorders>
              <w:top w:val="single" w:color="auto" w:sz="12" w:space="0"/>
              <w:bottom w:val="single" w:color="auto" w:sz="4" w:space="0"/>
              <w:right w:val="single" w:color="auto" w:sz="4" w:space="0"/>
            </w:tcBorders>
            <w:noWrap w:val="0"/>
            <w:vAlign w:val="center"/>
          </w:tcPr>
          <w:p w14:paraId="5CDB9F1B">
            <w:pPr>
              <w:autoSpaceDE w:val="0"/>
              <w:autoSpaceDN w:val="0"/>
              <w:spacing w:line="450" w:lineRule="exact"/>
              <w:jc w:val="center"/>
              <w:textAlignment w:val="bottom"/>
              <w:rPr>
                <w:rFonts w:ascii="宋体"/>
                <w:color w:val="auto"/>
                <w:szCs w:val="21"/>
              </w:rPr>
            </w:pPr>
            <w:r>
              <w:rPr>
                <w:rFonts w:hint="eastAsia" w:ascii="宋体" w:hAnsi="宋体"/>
                <w:color w:val="auto"/>
                <w:szCs w:val="21"/>
              </w:rPr>
              <w:t>投标总报价</w:t>
            </w:r>
            <w:r>
              <w:rPr>
                <w:rFonts w:ascii="宋体" w:hAnsi="宋体"/>
                <w:color w:val="auto"/>
                <w:szCs w:val="21"/>
              </w:rPr>
              <w:t>(</w:t>
            </w:r>
            <w:r>
              <w:rPr>
                <w:rFonts w:hint="eastAsia" w:ascii="宋体" w:hAnsi="宋体"/>
                <w:color w:val="auto"/>
                <w:szCs w:val="21"/>
              </w:rPr>
              <w:t>元</w:t>
            </w:r>
            <w:r>
              <w:rPr>
                <w:rFonts w:ascii="宋体" w:hAnsi="宋体"/>
                <w:color w:val="auto"/>
                <w:szCs w:val="21"/>
              </w:rPr>
              <w:t>)</w:t>
            </w:r>
          </w:p>
        </w:tc>
        <w:tc>
          <w:tcPr>
            <w:tcW w:w="1440" w:type="dxa"/>
            <w:tcBorders>
              <w:top w:val="single" w:color="auto" w:sz="12" w:space="0"/>
              <w:left w:val="single" w:color="auto" w:sz="4" w:space="0"/>
              <w:bottom w:val="single" w:color="auto" w:sz="4" w:space="0"/>
              <w:right w:val="single" w:color="auto" w:sz="4" w:space="0"/>
            </w:tcBorders>
            <w:noWrap w:val="0"/>
            <w:vAlign w:val="center"/>
          </w:tcPr>
          <w:p w14:paraId="5AA8B5C1">
            <w:pPr>
              <w:autoSpaceDE w:val="0"/>
              <w:autoSpaceDN w:val="0"/>
              <w:spacing w:line="450" w:lineRule="exact"/>
              <w:jc w:val="center"/>
              <w:textAlignment w:val="bottom"/>
              <w:rPr>
                <w:rFonts w:ascii="宋体"/>
                <w:color w:val="auto"/>
                <w:szCs w:val="21"/>
              </w:rPr>
            </w:pPr>
            <w:r>
              <w:rPr>
                <w:rFonts w:hint="eastAsia" w:ascii="宋体" w:hAnsi="宋体"/>
                <w:color w:val="auto"/>
                <w:szCs w:val="21"/>
              </w:rPr>
              <w:t>大写</w:t>
            </w:r>
          </w:p>
        </w:tc>
        <w:tc>
          <w:tcPr>
            <w:tcW w:w="5259" w:type="dxa"/>
            <w:tcBorders>
              <w:top w:val="single" w:color="auto" w:sz="12" w:space="0"/>
              <w:left w:val="single" w:color="auto" w:sz="4" w:space="0"/>
              <w:bottom w:val="single" w:color="auto" w:sz="4" w:space="0"/>
            </w:tcBorders>
            <w:noWrap w:val="0"/>
            <w:vAlign w:val="center"/>
          </w:tcPr>
          <w:p w14:paraId="7F128DED">
            <w:pPr>
              <w:autoSpaceDE w:val="0"/>
              <w:autoSpaceDN w:val="0"/>
              <w:spacing w:line="450" w:lineRule="exact"/>
              <w:textAlignment w:val="bottom"/>
              <w:rPr>
                <w:rFonts w:hint="eastAsia" w:ascii="宋体"/>
                <w:color w:val="auto"/>
                <w:szCs w:val="21"/>
              </w:rPr>
            </w:pPr>
          </w:p>
        </w:tc>
      </w:tr>
      <w:tr w14:paraId="73BC5DB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733" w:type="dxa"/>
            <w:vMerge w:val="continue"/>
            <w:tcBorders>
              <w:top w:val="single" w:color="auto" w:sz="12" w:space="0"/>
              <w:bottom w:val="single" w:color="auto" w:sz="4" w:space="0"/>
              <w:right w:val="single" w:color="auto" w:sz="4" w:space="0"/>
            </w:tcBorders>
            <w:noWrap w:val="0"/>
            <w:vAlign w:val="center"/>
          </w:tcPr>
          <w:p w14:paraId="0E9BCD85">
            <w:pPr>
              <w:rPr>
                <w:rFonts w:ascii="宋体"/>
                <w:color w:val="auto"/>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E5C6328">
            <w:pPr>
              <w:autoSpaceDE w:val="0"/>
              <w:autoSpaceDN w:val="0"/>
              <w:spacing w:line="450" w:lineRule="exact"/>
              <w:jc w:val="center"/>
              <w:textAlignment w:val="bottom"/>
              <w:rPr>
                <w:rFonts w:ascii="宋体"/>
                <w:color w:val="auto"/>
                <w:szCs w:val="21"/>
              </w:rPr>
            </w:pPr>
            <w:r>
              <w:rPr>
                <w:rFonts w:hint="eastAsia" w:ascii="宋体" w:hAnsi="宋体"/>
                <w:color w:val="auto"/>
                <w:szCs w:val="21"/>
              </w:rPr>
              <w:t>小写</w:t>
            </w:r>
          </w:p>
        </w:tc>
        <w:tc>
          <w:tcPr>
            <w:tcW w:w="5259" w:type="dxa"/>
            <w:tcBorders>
              <w:top w:val="single" w:color="auto" w:sz="4" w:space="0"/>
              <w:left w:val="single" w:color="auto" w:sz="4" w:space="0"/>
              <w:bottom w:val="single" w:color="auto" w:sz="4" w:space="0"/>
            </w:tcBorders>
            <w:noWrap w:val="0"/>
            <w:vAlign w:val="center"/>
          </w:tcPr>
          <w:p w14:paraId="3480474C">
            <w:pPr>
              <w:autoSpaceDE w:val="0"/>
              <w:autoSpaceDN w:val="0"/>
              <w:spacing w:line="450" w:lineRule="exact"/>
              <w:ind w:firstLine="1680" w:firstLineChars="800"/>
              <w:textAlignment w:val="bottom"/>
              <w:rPr>
                <w:rFonts w:ascii="宋体"/>
                <w:color w:val="auto"/>
                <w:szCs w:val="21"/>
              </w:rPr>
            </w:pPr>
          </w:p>
        </w:tc>
      </w:tr>
    </w:tbl>
    <w:p w14:paraId="1ECA6FE6">
      <w:pPr>
        <w:spacing w:line="360" w:lineRule="auto"/>
        <w:ind w:left="480"/>
        <w:rPr>
          <w:rFonts w:ascii="宋体"/>
          <w:b/>
          <w:color w:val="auto"/>
          <w:sz w:val="30"/>
        </w:rPr>
      </w:pPr>
    </w:p>
    <w:p w14:paraId="45311ACF">
      <w:pPr>
        <w:spacing w:line="360" w:lineRule="auto"/>
        <w:rPr>
          <w:rFonts w:ascii="宋体"/>
          <w:color w:val="auto"/>
          <w:sz w:val="24"/>
        </w:rPr>
      </w:pPr>
      <w:r>
        <w:rPr>
          <w:rFonts w:hint="eastAsia" w:ascii="宋体" w:hAnsi="宋体"/>
          <w:b/>
          <w:color w:val="auto"/>
          <w:szCs w:val="21"/>
        </w:rPr>
        <w:t>填报要求：</w:t>
      </w:r>
    </w:p>
    <w:p w14:paraId="442460A4">
      <w:pPr>
        <w:pStyle w:val="6"/>
        <w:spacing w:line="360" w:lineRule="auto"/>
        <w:ind w:firstLineChars="200"/>
        <w:rPr>
          <w:rFonts w:ascii="宋体"/>
          <w:color w:val="auto"/>
          <w:kern w:val="0"/>
          <w:szCs w:val="21"/>
        </w:rPr>
      </w:pPr>
      <w:r>
        <w:rPr>
          <w:rFonts w:ascii="宋体" w:hAnsi="宋体"/>
          <w:color w:val="auto"/>
          <w:kern w:val="0"/>
          <w:szCs w:val="21"/>
        </w:rPr>
        <w:t>1.</w:t>
      </w:r>
      <w:r>
        <w:rPr>
          <w:rFonts w:hint="eastAsia" w:ascii="宋体" w:hAnsi="宋体"/>
          <w:color w:val="auto"/>
          <w:kern w:val="0"/>
          <w:szCs w:val="21"/>
        </w:rPr>
        <w:t>投标总报价是包括货款、标准附件、备品备件、专用工具、包装、运输、装卸、保险、税金、货到就位以及安装、调试、培训、保修、合同包含的所有风险责任等各项费用及不可预见费等所需的全部费用。</w:t>
      </w:r>
    </w:p>
    <w:p w14:paraId="688885E2">
      <w:pPr>
        <w:spacing w:line="360" w:lineRule="auto"/>
        <w:ind w:firstLine="420" w:firstLineChars="200"/>
        <w:rPr>
          <w:rFonts w:ascii="宋体"/>
          <w:b/>
          <w:i/>
          <w:color w:val="auto"/>
          <w:szCs w:val="21"/>
          <w:u w:val="single"/>
        </w:rPr>
      </w:pPr>
      <w:r>
        <w:rPr>
          <w:rFonts w:ascii="宋体" w:hAnsi="宋体"/>
          <w:color w:val="auto"/>
          <w:kern w:val="0"/>
          <w:szCs w:val="21"/>
        </w:rPr>
        <w:t>2.</w:t>
      </w:r>
      <w:r>
        <w:rPr>
          <w:rFonts w:hint="eastAsia" w:ascii="宋体" w:hAnsi="宋体"/>
          <w:color w:val="auto"/>
          <w:kern w:val="0"/>
          <w:szCs w:val="21"/>
        </w:rPr>
        <w:t>报价一经涂改，应在涂改处加盖单位公章，或者由法定代表人或全权代表签字或盖章，否则其投标作无效标处理。</w:t>
      </w:r>
    </w:p>
    <w:p w14:paraId="38B040C0">
      <w:pPr>
        <w:spacing w:line="360" w:lineRule="auto"/>
        <w:ind w:left="420"/>
        <w:rPr>
          <w:rFonts w:ascii="宋体"/>
          <w:color w:val="auto"/>
          <w:sz w:val="24"/>
        </w:rPr>
      </w:pPr>
    </w:p>
    <w:p w14:paraId="60EA6DB1">
      <w:pPr>
        <w:spacing w:line="360" w:lineRule="auto"/>
        <w:rPr>
          <w:rFonts w:ascii="宋体"/>
          <w:color w:val="auto"/>
          <w:sz w:val="24"/>
        </w:rPr>
      </w:pPr>
    </w:p>
    <w:p w14:paraId="1B10DC94">
      <w:pPr>
        <w:ind w:left="420"/>
        <w:rPr>
          <w:rFonts w:ascii="宋体"/>
          <w:color w:val="auto"/>
          <w:szCs w:val="21"/>
          <w:u w:val="single"/>
        </w:rPr>
      </w:pPr>
      <w:r>
        <w:rPr>
          <w:rFonts w:hint="eastAsia" w:ascii="宋体" w:hAnsi="宋体"/>
          <w:color w:val="auto"/>
          <w:szCs w:val="21"/>
        </w:rPr>
        <w:t>投标人名称（盖章）：</w:t>
      </w:r>
    </w:p>
    <w:p w14:paraId="2D8810AD">
      <w:pPr>
        <w:ind w:left="420"/>
        <w:rPr>
          <w:rFonts w:ascii="宋体"/>
          <w:color w:val="auto"/>
          <w:szCs w:val="21"/>
        </w:rPr>
      </w:pPr>
    </w:p>
    <w:p w14:paraId="05410692">
      <w:pPr>
        <w:ind w:firstLine="435"/>
        <w:rPr>
          <w:rFonts w:ascii="宋体"/>
          <w:color w:val="auto"/>
          <w:szCs w:val="21"/>
        </w:rPr>
      </w:pPr>
      <w:r>
        <w:rPr>
          <w:rFonts w:hint="eastAsia" w:ascii="宋体" w:hAnsi="宋体"/>
          <w:color w:val="auto"/>
          <w:szCs w:val="21"/>
        </w:rPr>
        <w:t>投标人代表签字或盖章：</w:t>
      </w:r>
    </w:p>
    <w:p w14:paraId="4489EECA">
      <w:pPr>
        <w:ind w:firstLine="435"/>
        <w:rPr>
          <w:rFonts w:ascii="宋体"/>
          <w:color w:val="auto"/>
          <w:szCs w:val="21"/>
        </w:rPr>
      </w:pPr>
    </w:p>
    <w:p w14:paraId="12442F39">
      <w:pPr>
        <w:ind w:firstLine="435"/>
        <w:rPr>
          <w:rFonts w:ascii="宋体"/>
          <w:color w:val="auto"/>
          <w:szCs w:val="21"/>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7A6F57B8">
      <w:pPr>
        <w:rPr>
          <w:rFonts w:ascii="宋体"/>
          <w:color w:val="auto"/>
          <w:szCs w:val="21"/>
        </w:rPr>
      </w:pPr>
    </w:p>
    <w:p w14:paraId="1B7A003F">
      <w:pPr>
        <w:ind w:firstLine="435"/>
        <w:rPr>
          <w:rFonts w:ascii="宋体"/>
          <w:color w:val="auto"/>
          <w:szCs w:val="21"/>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p>
    <w:p w14:paraId="5C843116">
      <w:pPr>
        <w:ind w:firstLine="435"/>
        <w:rPr>
          <w:rFonts w:ascii="宋体"/>
          <w:color w:val="auto"/>
          <w:szCs w:val="21"/>
        </w:rPr>
      </w:pPr>
    </w:p>
    <w:p w14:paraId="36F097B5">
      <w:pPr>
        <w:ind w:firstLine="435"/>
        <w:rPr>
          <w:rFonts w:ascii="宋体"/>
          <w:color w:val="auto"/>
          <w:szCs w:val="21"/>
        </w:rPr>
      </w:pPr>
    </w:p>
    <w:p w14:paraId="362F50FE">
      <w:pPr>
        <w:ind w:firstLine="435"/>
        <w:rPr>
          <w:rFonts w:ascii="宋体"/>
          <w:color w:val="auto"/>
          <w:szCs w:val="21"/>
        </w:rPr>
      </w:pPr>
    </w:p>
    <w:p w14:paraId="1ECA6E99">
      <w:pPr>
        <w:ind w:firstLine="435"/>
        <w:rPr>
          <w:rFonts w:hint="eastAsia" w:ascii="宋体"/>
          <w:color w:val="auto"/>
          <w:szCs w:val="21"/>
        </w:rPr>
      </w:pPr>
    </w:p>
    <w:p w14:paraId="27612E5D">
      <w:pPr>
        <w:ind w:firstLine="435"/>
        <w:rPr>
          <w:rFonts w:hint="eastAsia" w:ascii="宋体"/>
          <w:color w:val="auto"/>
          <w:szCs w:val="21"/>
        </w:rPr>
      </w:pPr>
    </w:p>
    <w:p w14:paraId="60E15DA2">
      <w:pPr>
        <w:spacing w:line="360" w:lineRule="auto"/>
        <w:rPr>
          <w:rFonts w:hint="eastAsia" w:ascii="宋体" w:hAnsi="宋体"/>
          <w:b/>
          <w:color w:val="auto"/>
          <w:szCs w:val="21"/>
        </w:rPr>
      </w:pPr>
    </w:p>
    <w:p w14:paraId="19A7B6C1">
      <w:pPr>
        <w:spacing w:line="360" w:lineRule="auto"/>
        <w:rPr>
          <w:rFonts w:hint="default" w:ascii="宋体" w:eastAsia="宋体"/>
          <w:b/>
          <w:color w:val="auto"/>
          <w:szCs w:val="21"/>
          <w:lang w:val="en-US" w:eastAsia="zh-CN"/>
        </w:rPr>
      </w:pPr>
      <w:r>
        <w:rPr>
          <w:rFonts w:hint="eastAsia" w:ascii="宋体" w:hAnsi="宋体"/>
          <w:b/>
          <w:color w:val="auto"/>
          <w:szCs w:val="21"/>
        </w:rPr>
        <w:t>附件</w:t>
      </w:r>
      <w:r>
        <w:rPr>
          <w:rFonts w:hint="eastAsia" w:ascii="宋体" w:hAnsi="宋体"/>
          <w:b/>
          <w:color w:val="auto"/>
          <w:szCs w:val="21"/>
          <w:lang w:val="en-US" w:eastAsia="zh-CN"/>
        </w:rPr>
        <w:t>19</w:t>
      </w:r>
    </w:p>
    <w:p w14:paraId="105DC112">
      <w:pPr>
        <w:spacing w:line="360" w:lineRule="auto"/>
        <w:ind w:left="480" w:firstLine="3012" w:firstLineChars="1000"/>
        <w:rPr>
          <w:rFonts w:ascii="宋体"/>
          <w:color w:val="auto"/>
          <w:sz w:val="30"/>
          <w:szCs w:val="30"/>
        </w:rPr>
      </w:pPr>
      <w:r>
        <w:rPr>
          <w:rFonts w:hint="eastAsia" w:ascii="宋体" w:hAnsi="宋体"/>
          <w:b/>
          <w:color w:val="auto"/>
          <w:sz w:val="30"/>
          <w:szCs w:val="30"/>
        </w:rPr>
        <w:t>报价明细表</w:t>
      </w:r>
    </w:p>
    <w:p w14:paraId="58A55E57">
      <w:pPr>
        <w:spacing w:line="360" w:lineRule="auto"/>
        <w:rPr>
          <w:rFonts w:ascii="宋体"/>
          <w:color w:val="auto"/>
          <w:szCs w:val="21"/>
        </w:rPr>
      </w:pPr>
      <w:r>
        <w:rPr>
          <w:rFonts w:ascii="宋体" w:hAnsi="宋体"/>
          <w:color w:val="auto"/>
          <w:sz w:val="24"/>
        </w:rPr>
        <w:t xml:space="preserve">  </w:t>
      </w:r>
      <w:r>
        <w:rPr>
          <w:rFonts w:hint="eastAsia" w:ascii="宋体" w:hAnsi="宋体"/>
          <w:color w:val="auto"/>
          <w:szCs w:val="21"/>
        </w:rPr>
        <w:t>项目编号：</w:t>
      </w:r>
      <w:r>
        <w:rPr>
          <w:rFonts w:ascii="宋体" w:hAnsi="宋体"/>
          <w:color w:val="auto"/>
          <w:szCs w:val="21"/>
        </w:rPr>
        <w:t xml:space="preserve">                                    [</w:t>
      </w:r>
      <w:r>
        <w:rPr>
          <w:rFonts w:hint="eastAsia" w:ascii="宋体" w:hAnsi="宋体"/>
          <w:color w:val="auto"/>
          <w:szCs w:val="21"/>
        </w:rPr>
        <w:t>货币单位：人民币元</w:t>
      </w:r>
      <w:r>
        <w:rPr>
          <w:rFonts w:ascii="宋体" w:hAnsi="宋体"/>
          <w:color w:val="auto"/>
          <w:szCs w:val="21"/>
        </w:rPr>
        <w:t>]</w:t>
      </w:r>
    </w:p>
    <w:tbl>
      <w:tblPr>
        <w:tblStyle w:val="22"/>
        <w:tblW w:w="970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150"/>
        <w:gridCol w:w="1003"/>
        <w:gridCol w:w="1276"/>
        <w:gridCol w:w="992"/>
        <w:gridCol w:w="992"/>
        <w:gridCol w:w="1764"/>
      </w:tblGrid>
      <w:tr w14:paraId="4FC6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noWrap w:val="0"/>
            <w:vAlign w:val="center"/>
          </w:tcPr>
          <w:p w14:paraId="4851C70B">
            <w:pPr>
              <w:spacing w:line="360" w:lineRule="auto"/>
              <w:rPr>
                <w:rFonts w:ascii="宋体"/>
                <w:b/>
                <w:color w:val="auto"/>
                <w:szCs w:val="21"/>
              </w:rPr>
            </w:pPr>
            <w:r>
              <w:rPr>
                <w:rFonts w:hint="eastAsia" w:ascii="宋体" w:hAnsi="宋体"/>
                <w:b/>
                <w:color w:val="auto"/>
                <w:szCs w:val="21"/>
              </w:rPr>
              <w:t>序号</w:t>
            </w:r>
          </w:p>
        </w:tc>
        <w:tc>
          <w:tcPr>
            <w:tcW w:w="3150" w:type="dxa"/>
            <w:noWrap w:val="0"/>
            <w:vAlign w:val="center"/>
          </w:tcPr>
          <w:p w14:paraId="47DE80BD">
            <w:pPr>
              <w:spacing w:line="360" w:lineRule="auto"/>
              <w:ind w:left="52"/>
              <w:jc w:val="center"/>
              <w:rPr>
                <w:rFonts w:ascii="宋体"/>
                <w:b/>
                <w:color w:val="auto"/>
                <w:szCs w:val="21"/>
              </w:rPr>
            </w:pPr>
            <w:r>
              <w:rPr>
                <w:rFonts w:hint="eastAsia" w:ascii="宋体" w:hAnsi="宋体"/>
                <w:b/>
                <w:color w:val="auto"/>
                <w:szCs w:val="21"/>
              </w:rPr>
              <w:t>报价项目</w:t>
            </w:r>
          </w:p>
        </w:tc>
        <w:tc>
          <w:tcPr>
            <w:tcW w:w="1003" w:type="dxa"/>
            <w:noWrap w:val="0"/>
            <w:vAlign w:val="center"/>
          </w:tcPr>
          <w:p w14:paraId="4B816585">
            <w:pPr>
              <w:spacing w:line="360" w:lineRule="auto"/>
              <w:jc w:val="center"/>
              <w:rPr>
                <w:rFonts w:ascii="宋体"/>
                <w:b/>
                <w:color w:val="auto"/>
                <w:szCs w:val="21"/>
              </w:rPr>
            </w:pPr>
            <w:r>
              <w:rPr>
                <w:rFonts w:ascii="宋体"/>
                <w:b/>
                <w:color w:val="auto"/>
                <w:szCs w:val="21"/>
              </w:rPr>
              <w:t>数量</w:t>
            </w:r>
          </w:p>
        </w:tc>
        <w:tc>
          <w:tcPr>
            <w:tcW w:w="1276" w:type="dxa"/>
            <w:noWrap w:val="0"/>
            <w:vAlign w:val="center"/>
          </w:tcPr>
          <w:p w14:paraId="134D824D">
            <w:pPr>
              <w:spacing w:line="360" w:lineRule="auto"/>
              <w:ind w:left="152"/>
              <w:jc w:val="center"/>
              <w:rPr>
                <w:rFonts w:ascii="宋体"/>
                <w:b/>
                <w:color w:val="auto"/>
                <w:szCs w:val="21"/>
              </w:rPr>
            </w:pPr>
            <w:r>
              <w:rPr>
                <w:rFonts w:hint="eastAsia" w:ascii="宋体" w:hAnsi="宋体"/>
                <w:b/>
                <w:color w:val="auto"/>
                <w:szCs w:val="21"/>
              </w:rPr>
              <w:t>单位</w:t>
            </w:r>
          </w:p>
        </w:tc>
        <w:tc>
          <w:tcPr>
            <w:tcW w:w="992" w:type="dxa"/>
            <w:noWrap w:val="0"/>
            <w:vAlign w:val="center"/>
          </w:tcPr>
          <w:p w14:paraId="74C36500">
            <w:pPr>
              <w:spacing w:line="360" w:lineRule="auto"/>
              <w:jc w:val="center"/>
              <w:rPr>
                <w:rFonts w:ascii="宋体"/>
                <w:b/>
                <w:color w:val="auto"/>
                <w:szCs w:val="21"/>
              </w:rPr>
            </w:pPr>
            <w:r>
              <w:rPr>
                <w:rFonts w:hint="eastAsia" w:ascii="宋体" w:hAnsi="宋体"/>
                <w:b/>
                <w:color w:val="auto"/>
                <w:szCs w:val="21"/>
              </w:rPr>
              <w:t>单价（元）</w:t>
            </w:r>
          </w:p>
        </w:tc>
        <w:tc>
          <w:tcPr>
            <w:tcW w:w="992" w:type="dxa"/>
            <w:noWrap w:val="0"/>
            <w:vAlign w:val="center"/>
          </w:tcPr>
          <w:p w14:paraId="1660F04D">
            <w:pPr>
              <w:spacing w:line="360" w:lineRule="auto"/>
              <w:jc w:val="center"/>
              <w:rPr>
                <w:rFonts w:ascii="宋体"/>
                <w:b/>
                <w:color w:val="auto"/>
                <w:szCs w:val="21"/>
              </w:rPr>
            </w:pPr>
            <w:r>
              <w:rPr>
                <w:rFonts w:hint="eastAsia" w:ascii="宋体" w:hAnsi="宋体"/>
                <w:b/>
                <w:color w:val="auto"/>
                <w:szCs w:val="21"/>
              </w:rPr>
              <w:t>小计</w:t>
            </w:r>
          </w:p>
        </w:tc>
        <w:tc>
          <w:tcPr>
            <w:tcW w:w="1764" w:type="dxa"/>
            <w:noWrap w:val="0"/>
            <w:vAlign w:val="center"/>
          </w:tcPr>
          <w:p w14:paraId="07B1336A">
            <w:pPr>
              <w:spacing w:line="360" w:lineRule="auto"/>
              <w:jc w:val="center"/>
              <w:rPr>
                <w:rFonts w:ascii="宋体"/>
                <w:b/>
                <w:color w:val="auto"/>
                <w:szCs w:val="21"/>
              </w:rPr>
            </w:pPr>
            <w:r>
              <w:rPr>
                <w:rFonts w:hint="eastAsia" w:ascii="宋体" w:hAnsi="宋体"/>
                <w:b/>
                <w:color w:val="auto"/>
                <w:szCs w:val="21"/>
              </w:rPr>
              <w:t>备注</w:t>
            </w:r>
          </w:p>
        </w:tc>
      </w:tr>
      <w:tr w14:paraId="59C8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noWrap w:val="0"/>
            <w:vAlign w:val="center"/>
          </w:tcPr>
          <w:p w14:paraId="6FD7761C">
            <w:pPr>
              <w:spacing w:line="360" w:lineRule="auto"/>
              <w:rPr>
                <w:rFonts w:ascii="宋体"/>
                <w:color w:val="auto"/>
                <w:szCs w:val="21"/>
              </w:rPr>
            </w:pPr>
          </w:p>
        </w:tc>
        <w:tc>
          <w:tcPr>
            <w:tcW w:w="3150" w:type="dxa"/>
            <w:noWrap w:val="0"/>
            <w:vAlign w:val="center"/>
          </w:tcPr>
          <w:p w14:paraId="367CBAA4">
            <w:pPr>
              <w:spacing w:line="360" w:lineRule="auto"/>
              <w:rPr>
                <w:rFonts w:ascii="宋体"/>
                <w:color w:val="auto"/>
                <w:szCs w:val="21"/>
              </w:rPr>
            </w:pPr>
          </w:p>
        </w:tc>
        <w:tc>
          <w:tcPr>
            <w:tcW w:w="1003" w:type="dxa"/>
            <w:noWrap w:val="0"/>
            <w:vAlign w:val="center"/>
          </w:tcPr>
          <w:p w14:paraId="6CE98CAF">
            <w:pPr>
              <w:spacing w:line="360" w:lineRule="auto"/>
              <w:ind w:firstLine="420" w:firstLineChars="200"/>
              <w:rPr>
                <w:rFonts w:ascii="宋体"/>
                <w:color w:val="auto"/>
                <w:szCs w:val="21"/>
              </w:rPr>
            </w:pPr>
          </w:p>
        </w:tc>
        <w:tc>
          <w:tcPr>
            <w:tcW w:w="1276" w:type="dxa"/>
            <w:noWrap w:val="0"/>
            <w:vAlign w:val="center"/>
          </w:tcPr>
          <w:p w14:paraId="6C0C229E">
            <w:pPr>
              <w:spacing w:line="360" w:lineRule="auto"/>
              <w:ind w:firstLine="210" w:firstLineChars="100"/>
              <w:rPr>
                <w:rFonts w:ascii="宋体"/>
                <w:color w:val="auto"/>
                <w:szCs w:val="21"/>
              </w:rPr>
            </w:pPr>
          </w:p>
        </w:tc>
        <w:tc>
          <w:tcPr>
            <w:tcW w:w="992" w:type="dxa"/>
            <w:noWrap w:val="0"/>
            <w:vAlign w:val="center"/>
          </w:tcPr>
          <w:p w14:paraId="5DEED149">
            <w:pPr>
              <w:spacing w:line="360" w:lineRule="auto"/>
              <w:rPr>
                <w:rFonts w:ascii="宋体"/>
                <w:color w:val="auto"/>
                <w:szCs w:val="21"/>
              </w:rPr>
            </w:pPr>
          </w:p>
        </w:tc>
        <w:tc>
          <w:tcPr>
            <w:tcW w:w="992" w:type="dxa"/>
            <w:noWrap w:val="0"/>
            <w:vAlign w:val="center"/>
          </w:tcPr>
          <w:p w14:paraId="1FDE0FFD">
            <w:pPr>
              <w:spacing w:line="360" w:lineRule="auto"/>
              <w:rPr>
                <w:rFonts w:ascii="宋体"/>
                <w:color w:val="auto"/>
                <w:szCs w:val="21"/>
              </w:rPr>
            </w:pPr>
          </w:p>
        </w:tc>
        <w:tc>
          <w:tcPr>
            <w:tcW w:w="1764" w:type="dxa"/>
            <w:noWrap w:val="0"/>
            <w:vAlign w:val="center"/>
          </w:tcPr>
          <w:p w14:paraId="5ECDD0DB">
            <w:pPr>
              <w:spacing w:line="360" w:lineRule="auto"/>
              <w:rPr>
                <w:rFonts w:ascii="宋体"/>
                <w:color w:val="auto"/>
                <w:szCs w:val="21"/>
              </w:rPr>
            </w:pPr>
          </w:p>
        </w:tc>
      </w:tr>
      <w:tr w14:paraId="2989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noWrap w:val="0"/>
            <w:vAlign w:val="center"/>
          </w:tcPr>
          <w:p w14:paraId="26403BEE">
            <w:pPr>
              <w:spacing w:line="360" w:lineRule="auto"/>
              <w:rPr>
                <w:rFonts w:hint="eastAsia" w:ascii="宋体"/>
                <w:color w:val="auto"/>
                <w:szCs w:val="21"/>
              </w:rPr>
            </w:pPr>
          </w:p>
        </w:tc>
        <w:tc>
          <w:tcPr>
            <w:tcW w:w="3150" w:type="dxa"/>
            <w:noWrap w:val="0"/>
            <w:vAlign w:val="center"/>
          </w:tcPr>
          <w:p w14:paraId="0F1CA5D9">
            <w:pPr>
              <w:spacing w:line="360" w:lineRule="auto"/>
              <w:rPr>
                <w:rFonts w:ascii="宋体"/>
                <w:color w:val="auto"/>
                <w:szCs w:val="21"/>
              </w:rPr>
            </w:pPr>
          </w:p>
        </w:tc>
        <w:tc>
          <w:tcPr>
            <w:tcW w:w="1003" w:type="dxa"/>
            <w:noWrap w:val="0"/>
            <w:vAlign w:val="center"/>
          </w:tcPr>
          <w:p w14:paraId="72EB3857">
            <w:pPr>
              <w:spacing w:line="360" w:lineRule="auto"/>
              <w:rPr>
                <w:rFonts w:ascii="宋体"/>
                <w:color w:val="auto"/>
                <w:szCs w:val="21"/>
              </w:rPr>
            </w:pPr>
          </w:p>
        </w:tc>
        <w:tc>
          <w:tcPr>
            <w:tcW w:w="1276" w:type="dxa"/>
            <w:noWrap w:val="0"/>
            <w:vAlign w:val="center"/>
          </w:tcPr>
          <w:p w14:paraId="7FF462E1">
            <w:pPr>
              <w:spacing w:line="360" w:lineRule="auto"/>
              <w:rPr>
                <w:rFonts w:ascii="宋体"/>
                <w:color w:val="auto"/>
                <w:szCs w:val="21"/>
              </w:rPr>
            </w:pPr>
          </w:p>
        </w:tc>
        <w:tc>
          <w:tcPr>
            <w:tcW w:w="992" w:type="dxa"/>
            <w:noWrap w:val="0"/>
            <w:vAlign w:val="center"/>
          </w:tcPr>
          <w:p w14:paraId="4D7DD25D">
            <w:pPr>
              <w:spacing w:line="360" w:lineRule="auto"/>
              <w:rPr>
                <w:rFonts w:ascii="宋体"/>
                <w:color w:val="auto"/>
                <w:szCs w:val="21"/>
              </w:rPr>
            </w:pPr>
          </w:p>
        </w:tc>
        <w:tc>
          <w:tcPr>
            <w:tcW w:w="992" w:type="dxa"/>
            <w:noWrap w:val="0"/>
            <w:vAlign w:val="center"/>
          </w:tcPr>
          <w:p w14:paraId="2BEF0864">
            <w:pPr>
              <w:spacing w:line="360" w:lineRule="auto"/>
              <w:rPr>
                <w:rFonts w:ascii="宋体"/>
                <w:color w:val="auto"/>
                <w:szCs w:val="21"/>
              </w:rPr>
            </w:pPr>
          </w:p>
        </w:tc>
        <w:tc>
          <w:tcPr>
            <w:tcW w:w="1764" w:type="dxa"/>
            <w:noWrap w:val="0"/>
            <w:vAlign w:val="center"/>
          </w:tcPr>
          <w:p w14:paraId="2AA6243E">
            <w:pPr>
              <w:spacing w:line="360" w:lineRule="auto"/>
              <w:rPr>
                <w:rFonts w:ascii="宋体"/>
                <w:color w:val="auto"/>
                <w:szCs w:val="21"/>
              </w:rPr>
            </w:pPr>
          </w:p>
        </w:tc>
      </w:tr>
      <w:tr w14:paraId="02E7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noWrap w:val="0"/>
            <w:vAlign w:val="center"/>
          </w:tcPr>
          <w:p w14:paraId="7DFD2B87">
            <w:pPr>
              <w:spacing w:line="360" w:lineRule="auto"/>
              <w:rPr>
                <w:rFonts w:hint="eastAsia" w:ascii="宋体"/>
                <w:color w:val="auto"/>
                <w:szCs w:val="21"/>
              </w:rPr>
            </w:pPr>
          </w:p>
        </w:tc>
        <w:tc>
          <w:tcPr>
            <w:tcW w:w="3150" w:type="dxa"/>
            <w:noWrap w:val="0"/>
            <w:vAlign w:val="center"/>
          </w:tcPr>
          <w:p w14:paraId="45593173">
            <w:pPr>
              <w:spacing w:line="360" w:lineRule="auto"/>
              <w:rPr>
                <w:rFonts w:ascii="宋体"/>
                <w:color w:val="auto"/>
                <w:szCs w:val="21"/>
              </w:rPr>
            </w:pPr>
          </w:p>
        </w:tc>
        <w:tc>
          <w:tcPr>
            <w:tcW w:w="1003" w:type="dxa"/>
            <w:noWrap w:val="0"/>
            <w:vAlign w:val="center"/>
          </w:tcPr>
          <w:p w14:paraId="2B13F1FB">
            <w:pPr>
              <w:spacing w:line="360" w:lineRule="auto"/>
              <w:rPr>
                <w:rFonts w:ascii="宋体"/>
                <w:color w:val="auto"/>
                <w:szCs w:val="21"/>
              </w:rPr>
            </w:pPr>
          </w:p>
        </w:tc>
        <w:tc>
          <w:tcPr>
            <w:tcW w:w="1276" w:type="dxa"/>
            <w:noWrap w:val="0"/>
            <w:vAlign w:val="center"/>
          </w:tcPr>
          <w:p w14:paraId="586B854A">
            <w:pPr>
              <w:spacing w:line="360" w:lineRule="auto"/>
              <w:rPr>
                <w:rFonts w:ascii="宋体"/>
                <w:color w:val="auto"/>
                <w:szCs w:val="21"/>
              </w:rPr>
            </w:pPr>
          </w:p>
        </w:tc>
        <w:tc>
          <w:tcPr>
            <w:tcW w:w="992" w:type="dxa"/>
            <w:noWrap w:val="0"/>
            <w:vAlign w:val="center"/>
          </w:tcPr>
          <w:p w14:paraId="72921AC7">
            <w:pPr>
              <w:spacing w:line="360" w:lineRule="auto"/>
              <w:rPr>
                <w:rFonts w:ascii="宋体"/>
                <w:color w:val="auto"/>
                <w:szCs w:val="21"/>
              </w:rPr>
            </w:pPr>
          </w:p>
        </w:tc>
        <w:tc>
          <w:tcPr>
            <w:tcW w:w="992" w:type="dxa"/>
            <w:noWrap w:val="0"/>
            <w:vAlign w:val="center"/>
          </w:tcPr>
          <w:p w14:paraId="2EF26E93">
            <w:pPr>
              <w:spacing w:line="360" w:lineRule="auto"/>
              <w:rPr>
                <w:rFonts w:ascii="宋体"/>
                <w:color w:val="auto"/>
                <w:szCs w:val="21"/>
              </w:rPr>
            </w:pPr>
          </w:p>
        </w:tc>
        <w:tc>
          <w:tcPr>
            <w:tcW w:w="1764" w:type="dxa"/>
            <w:noWrap w:val="0"/>
            <w:vAlign w:val="center"/>
          </w:tcPr>
          <w:p w14:paraId="69892A42">
            <w:pPr>
              <w:spacing w:line="360" w:lineRule="auto"/>
              <w:rPr>
                <w:rFonts w:ascii="宋体"/>
                <w:color w:val="auto"/>
                <w:szCs w:val="21"/>
              </w:rPr>
            </w:pPr>
          </w:p>
        </w:tc>
      </w:tr>
      <w:tr w14:paraId="291B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noWrap w:val="0"/>
            <w:vAlign w:val="center"/>
          </w:tcPr>
          <w:p w14:paraId="2B1FA526">
            <w:pPr>
              <w:spacing w:line="360" w:lineRule="auto"/>
              <w:rPr>
                <w:rFonts w:hint="eastAsia" w:ascii="宋体"/>
                <w:color w:val="auto"/>
                <w:szCs w:val="21"/>
              </w:rPr>
            </w:pPr>
          </w:p>
        </w:tc>
        <w:tc>
          <w:tcPr>
            <w:tcW w:w="3150" w:type="dxa"/>
            <w:noWrap w:val="0"/>
            <w:vAlign w:val="center"/>
          </w:tcPr>
          <w:p w14:paraId="175B5C6F">
            <w:pPr>
              <w:spacing w:line="360" w:lineRule="auto"/>
              <w:rPr>
                <w:rFonts w:ascii="宋体"/>
                <w:color w:val="auto"/>
                <w:szCs w:val="21"/>
              </w:rPr>
            </w:pPr>
          </w:p>
        </w:tc>
        <w:tc>
          <w:tcPr>
            <w:tcW w:w="1003" w:type="dxa"/>
            <w:noWrap w:val="0"/>
            <w:vAlign w:val="center"/>
          </w:tcPr>
          <w:p w14:paraId="61648B6D">
            <w:pPr>
              <w:spacing w:line="360" w:lineRule="auto"/>
              <w:rPr>
                <w:rFonts w:ascii="宋体"/>
                <w:color w:val="auto"/>
                <w:szCs w:val="21"/>
              </w:rPr>
            </w:pPr>
          </w:p>
        </w:tc>
        <w:tc>
          <w:tcPr>
            <w:tcW w:w="1276" w:type="dxa"/>
            <w:noWrap w:val="0"/>
            <w:vAlign w:val="center"/>
          </w:tcPr>
          <w:p w14:paraId="0C667318">
            <w:pPr>
              <w:spacing w:line="360" w:lineRule="auto"/>
              <w:rPr>
                <w:rFonts w:ascii="宋体"/>
                <w:color w:val="auto"/>
                <w:szCs w:val="21"/>
              </w:rPr>
            </w:pPr>
          </w:p>
        </w:tc>
        <w:tc>
          <w:tcPr>
            <w:tcW w:w="992" w:type="dxa"/>
            <w:noWrap w:val="0"/>
            <w:vAlign w:val="center"/>
          </w:tcPr>
          <w:p w14:paraId="04813C43">
            <w:pPr>
              <w:spacing w:line="360" w:lineRule="auto"/>
              <w:rPr>
                <w:rFonts w:ascii="宋体"/>
                <w:color w:val="auto"/>
                <w:szCs w:val="21"/>
              </w:rPr>
            </w:pPr>
          </w:p>
        </w:tc>
        <w:tc>
          <w:tcPr>
            <w:tcW w:w="992" w:type="dxa"/>
            <w:noWrap w:val="0"/>
            <w:vAlign w:val="center"/>
          </w:tcPr>
          <w:p w14:paraId="0C4AC29E">
            <w:pPr>
              <w:spacing w:line="360" w:lineRule="auto"/>
              <w:rPr>
                <w:rFonts w:ascii="宋体"/>
                <w:color w:val="auto"/>
                <w:szCs w:val="21"/>
              </w:rPr>
            </w:pPr>
          </w:p>
        </w:tc>
        <w:tc>
          <w:tcPr>
            <w:tcW w:w="1764" w:type="dxa"/>
            <w:noWrap w:val="0"/>
            <w:vAlign w:val="center"/>
          </w:tcPr>
          <w:p w14:paraId="7DCEE162">
            <w:pPr>
              <w:spacing w:line="360" w:lineRule="auto"/>
              <w:rPr>
                <w:rFonts w:ascii="宋体"/>
                <w:color w:val="auto"/>
                <w:szCs w:val="21"/>
              </w:rPr>
            </w:pPr>
          </w:p>
        </w:tc>
      </w:tr>
      <w:tr w14:paraId="44A9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noWrap w:val="0"/>
            <w:vAlign w:val="center"/>
          </w:tcPr>
          <w:p w14:paraId="596DE1E5">
            <w:pPr>
              <w:spacing w:line="360" w:lineRule="auto"/>
              <w:rPr>
                <w:rFonts w:hint="eastAsia" w:ascii="宋体"/>
                <w:color w:val="auto"/>
                <w:szCs w:val="21"/>
              </w:rPr>
            </w:pPr>
          </w:p>
        </w:tc>
        <w:tc>
          <w:tcPr>
            <w:tcW w:w="3150" w:type="dxa"/>
            <w:noWrap w:val="0"/>
            <w:vAlign w:val="center"/>
          </w:tcPr>
          <w:p w14:paraId="4F4F4A10">
            <w:pPr>
              <w:spacing w:line="360" w:lineRule="auto"/>
              <w:rPr>
                <w:rFonts w:ascii="宋体"/>
                <w:color w:val="auto"/>
                <w:szCs w:val="21"/>
              </w:rPr>
            </w:pPr>
          </w:p>
        </w:tc>
        <w:tc>
          <w:tcPr>
            <w:tcW w:w="1003" w:type="dxa"/>
            <w:noWrap w:val="0"/>
            <w:vAlign w:val="center"/>
          </w:tcPr>
          <w:p w14:paraId="4727A888">
            <w:pPr>
              <w:spacing w:line="360" w:lineRule="auto"/>
              <w:rPr>
                <w:rFonts w:ascii="宋体"/>
                <w:color w:val="auto"/>
                <w:szCs w:val="21"/>
              </w:rPr>
            </w:pPr>
          </w:p>
        </w:tc>
        <w:tc>
          <w:tcPr>
            <w:tcW w:w="1276" w:type="dxa"/>
            <w:noWrap w:val="0"/>
            <w:vAlign w:val="center"/>
          </w:tcPr>
          <w:p w14:paraId="545B44B9">
            <w:pPr>
              <w:spacing w:line="360" w:lineRule="auto"/>
              <w:rPr>
                <w:rFonts w:ascii="宋体"/>
                <w:color w:val="auto"/>
                <w:szCs w:val="21"/>
              </w:rPr>
            </w:pPr>
          </w:p>
        </w:tc>
        <w:tc>
          <w:tcPr>
            <w:tcW w:w="992" w:type="dxa"/>
            <w:noWrap w:val="0"/>
            <w:vAlign w:val="center"/>
          </w:tcPr>
          <w:p w14:paraId="406B753A">
            <w:pPr>
              <w:spacing w:line="360" w:lineRule="auto"/>
              <w:rPr>
                <w:rFonts w:ascii="宋体"/>
                <w:color w:val="auto"/>
                <w:szCs w:val="21"/>
              </w:rPr>
            </w:pPr>
          </w:p>
        </w:tc>
        <w:tc>
          <w:tcPr>
            <w:tcW w:w="992" w:type="dxa"/>
            <w:noWrap w:val="0"/>
            <w:vAlign w:val="center"/>
          </w:tcPr>
          <w:p w14:paraId="3A038F51">
            <w:pPr>
              <w:spacing w:line="360" w:lineRule="auto"/>
              <w:rPr>
                <w:rFonts w:ascii="宋体"/>
                <w:color w:val="auto"/>
                <w:szCs w:val="21"/>
              </w:rPr>
            </w:pPr>
          </w:p>
        </w:tc>
        <w:tc>
          <w:tcPr>
            <w:tcW w:w="1764" w:type="dxa"/>
            <w:noWrap w:val="0"/>
            <w:vAlign w:val="center"/>
          </w:tcPr>
          <w:p w14:paraId="31CF1B86">
            <w:pPr>
              <w:spacing w:line="360" w:lineRule="auto"/>
              <w:rPr>
                <w:rFonts w:ascii="宋体"/>
                <w:color w:val="auto"/>
                <w:szCs w:val="21"/>
              </w:rPr>
            </w:pPr>
          </w:p>
        </w:tc>
      </w:tr>
      <w:tr w14:paraId="4CCE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9702" w:type="dxa"/>
            <w:gridSpan w:val="7"/>
            <w:noWrap w:val="0"/>
            <w:vAlign w:val="center"/>
          </w:tcPr>
          <w:p w14:paraId="543E754E">
            <w:pPr>
              <w:spacing w:line="360" w:lineRule="auto"/>
              <w:rPr>
                <w:rFonts w:ascii="宋体"/>
                <w:b/>
                <w:color w:val="auto"/>
                <w:szCs w:val="21"/>
              </w:rPr>
            </w:pPr>
            <w:r>
              <w:rPr>
                <w:rFonts w:hint="eastAsia" w:ascii="宋体" w:hAnsi="宋体"/>
                <w:b/>
                <w:color w:val="auto"/>
                <w:szCs w:val="21"/>
              </w:rPr>
              <w:t>合计人民币：</w:t>
            </w:r>
            <w:r>
              <w:rPr>
                <w:rFonts w:ascii="宋体"/>
                <w:b/>
                <w:color w:val="auto"/>
                <w:szCs w:val="21"/>
              </w:rPr>
              <w:t xml:space="preserve"> </w:t>
            </w:r>
          </w:p>
        </w:tc>
      </w:tr>
    </w:tbl>
    <w:p w14:paraId="1D72C95A">
      <w:pPr>
        <w:spacing w:line="360" w:lineRule="auto"/>
        <w:rPr>
          <w:rFonts w:ascii="宋体"/>
          <w:b/>
          <w:color w:val="auto"/>
          <w:szCs w:val="21"/>
        </w:rPr>
      </w:pPr>
      <w:r>
        <w:rPr>
          <w:rFonts w:hint="eastAsia" w:ascii="宋体" w:hAnsi="宋体"/>
          <w:b/>
          <w:color w:val="auto"/>
          <w:szCs w:val="21"/>
        </w:rPr>
        <w:t>要求：</w:t>
      </w:r>
    </w:p>
    <w:p w14:paraId="6D0B6470">
      <w:pPr>
        <w:numPr>
          <w:ilvl w:val="0"/>
          <w:numId w:val="8"/>
        </w:numPr>
        <w:spacing w:line="360" w:lineRule="auto"/>
        <w:ind w:left="435"/>
        <w:rPr>
          <w:rFonts w:hint="eastAsia" w:ascii="宋体" w:hAnsi="宋体"/>
          <w:color w:val="auto"/>
          <w:szCs w:val="21"/>
        </w:rPr>
      </w:pPr>
      <w:r>
        <w:rPr>
          <w:rFonts w:hint="eastAsia" w:ascii="宋体" w:hAnsi="宋体"/>
          <w:color w:val="auto"/>
          <w:szCs w:val="21"/>
        </w:rPr>
        <w:t>本表为《开标一览表》的报价明细表，如有缺项、漏项，视为投标报价中已包含相关费用，采购</w:t>
      </w:r>
    </w:p>
    <w:p w14:paraId="4A9ACD4C">
      <w:pPr>
        <w:spacing w:line="360" w:lineRule="auto"/>
        <w:rPr>
          <w:rFonts w:ascii="宋体"/>
          <w:color w:val="auto"/>
          <w:szCs w:val="21"/>
        </w:rPr>
      </w:pPr>
      <w:r>
        <w:rPr>
          <w:rFonts w:hint="eastAsia" w:ascii="宋体" w:hAnsi="宋体"/>
          <w:color w:val="auto"/>
          <w:szCs w:val="21"/>
        </w:rPr>
        <w:t>人无需另外支付任何费用。</w:t>
      </w:r>
    </w:p>
    <w:p w14:paraId="29F6BA74">
      <w:pPr>
        <w:numPr>
          <w:ilvl w:val="0"/>
          <w:numId w:val="8"/>
        </w:numPr>
        <w:spacing w:line="360" w:lineRule="auto"/>
        <w:ind w:left="435"/>
        <w:rPr>
          <w:rFonts w:ascii="宋体"/>
          <w:color w:val="auto"/>
          <w:szCs w:val="21"/>
          <w:lang w:val="zh-CN"/>
        </w:rPr>
      </w:pPr>
      <w:r>
        <w:rPr>
          <w:rFonts w:hint="eastAsia" w:ascii="宋体"/>
          <w:color w:val="auto"/>
          <w:szCs w:val="21"/>
          <w:lang w:val="zh-CN"/>
        </w:rPr>
        <w:t>“报价明细表”中的报价合计应与“开标一览表”中的投标总报价相一致，不一致时，以开标一</w:t>
      </w:r>
    </w:p>
    <w:p w14:paraId="6A62151A">
      <w:pPr>
        <w:spacing w:line="360" w:lineRule="auto"/>
        <w:rPr>
          <w:rFonts w:ascii="宋体"/>
          <w:color w:val="auto"/>
          <w:szCs w:val="21"/>
          <w:lang w:val="zh-CN"/>
        </w:rPr>
      </w:pPr>
      <w:r>
        <w:rPr>
          <w:rFonts w:hint="eastAsia" w:ascii="宋体"/>
          <w:color w:val="auto"/>
          <w:szCs w:val="21"/>
          <w:lang w:val="zh-CN"/>
        </w:rPr>
        <w:t>览表为准。</w:t>
      </w:r>
    </w:p>
    <w:p w14:paraId="5E2F47C2">
      <w:pPr>
        <w:numPr>
          <w:ilvl w:val="0"/>
          <w:numId w:val="8"/>
        </w:numPr>
        <w:spacing w:line="360" w:lineRule="auto"/>
        <w:ind w:left="435"/>
        <w:rPr>
          <w:rFonts w:ascii="宋体"/>
          <w:color w:val="auto"/>
          <w:szCs w:val="21"/>
          <w:lang w:val="zh-CN"/>
        </w:rPr>
      </w:pPr>
      <w:r>
        <w:rPr>
          <w:rFonts w:hint="eastAsia" w:ascii="宋体"/>
          <w:color w:val="auto"/>
          <w:szCs w:val="21"/>
          <w:lang w:val="zh-CN"/>
        </w:rPr>
        <w:t>投标报价明细表所填内容按招标文件采购设备清单要求为准。如有漏报的，视同已包含在投标总</w:t>
      </w:r>
    </w:p>
    <w:p w14:paraId="77D3D52E">
      <w:pPr>
        <w:spacing w:line="360" w:lineRule="auto"/>
        <w:rPr>
          <w:rFonts w:ascii="宋体"/>
          <w:color w:val="auto"/>
          <w:szCs w:val="21"/>
          <w:lang w:val="zh-CN"/>
        </w:rPr>
      </w:pPr>
      <w:r>
        <w:rPr>
          <w:rFonts w:hint="eastAsia" w:ascii="宋体"/>
          <w:color w:val="auto"/>
          <w:szCs w:val="21"/>
          <w:lang w:val="zh-CN"/>
        </w:rPr>
        <w:t>价内或已作优惠处理。有重大缺项的将作无效标处理。</w:t>
      </w:r>
    </w:p>
    <w:p w14:paraId="39B5D255">
      <w:pPr>
        <w:ind w:left="420"/>
        <w:rPr>
          <w:rFonts w:ascii="宋体"/>
          <w:color w:val="auto"/>
          <w:szCs w:val="21"/>
        </w:rPr>
      </w:pPr>
    </w:p>
    <w:p w14:paraId="77AB86DB">
      <w:pPr>
        <w:ind w:left="420"/>
        <w:rPr>
          <w:rFonts w:ascii="宋体"/>
          <w:color w:val="auto"/>
          <w:szCs w:val="21"/>
          <w:u w:val="single"/>
        </w:rPr>
      </w:pPr>
      <w:r>
        <w:rPr>
          <w:rFonts w:hint="eastAsia" w:ascii="宋体" w:hAnsi="宋体"/>
          <w:color w:val="auto"/>
          <w:szCs w:val="21"/>
        </w:rPr>
        <w:t>投标人名称（盖章）：</w:t>
      </w:r>
    </w:p>
    <w:p w14:paraId="554EA4E0">
      <w:pPr>
        <w:ind w:left="420"/>
        <w:rPr>
          <w:rFonts w:ascii="宋体"/>
          <w:color w:val="auto"/>
          <w:szCs w:val="21"/>
        </w:rPr>
      </w:pPr>
    </w:p>
    <w:p w14:paraId="2494B925">
      <w:pPr>
        <w:ind w:firstLine="435"/>
        <w:rPr>
          <w:rFonts w:ascii="宋体"/>
          <w:color w:val="auto"/>
          <w:szCs w:val="21"/>
        </w:rPr>
      </w:pPr>
      <w:r>
        <w:rPr>
          <w:rFonts w:hint="eastAsia" w:ascii="宋体" w:hAnsi="宋体"/>
          <w:color w:val="auto"/>
          <w:szCs w:val="21"/>
        </w:rPr>
        <w:t>投标人代表签字或盖章：</w:t>
      </w:r>
    </w:p>
    <w:p w14:paraId="4FF9CE06">
      <w:pPr>
        <w:ind w:firstLine="435"/>
        <w:rPr>
          <w:rFonts w:ascii="宋体"/>
          <w:color w:val="auto"/>
          <w:szCs w:val="21"/>
        </w:rPr>
      </w:pPr>
    </w:p>
    <w:p w14:paraId="2B85F822">
      <w:pPr>
        <w:ind w:firstLine="435"/>
        <w:rPr>
          <w:rFonts w:ascii="宋体"/>
          <w:color w:val="auto"/>
          <w:szCs w:val="21"/>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p>
    <w:p w14:paraId="5D1AF3C0">
      <w:pPr>
        <w:ind w:firstLine="435"/>
        <w:rPr>
          <w:rFonts w:ascii="宋体"/>
          <w:color w:val="auto"/>
          <w:szCs w:val="21"/>
        </w:rPr>
      </w:pPr>
    </w:p>
    <w:p w14:paraId="6532F4D9">
      <w:pPr>
        <w:ind w:firstLine="435"/>
        <w:rPr>
          <w:rFonts w:hint="eastAsia" w:ascii="宋体" w:hAnsi="宋体"/>
          <w:color w:val="auto"/>
          <w:szCs w:val="21"/>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p>
    <w:p w14:paraId="6559C6E0">
      <w:pPr>
        <w:ind w:firstLine="435"/>
        <w:rPr>
          <w:rFonts w:hint="eastAsia" w:ascii="宋体" w:hAnsi="宋体"/>
          <w:color w:val="auto"/>
          <w:szCs w:val="21"/>
        </w:rPr>
      </w:pPr>
    </w:p>
    <w:p w14:paraId="32BD2DEE">
      <w:pPr>
        <w:ind w:firstLine="435"/>
        <w:rPr>
          <w:rFonts w:hint="eastAsia" w:ascii="宋体" w:hAnsi="宋体"/>
          <w:color w:val="auto"/>
          <w:szCs w:val="21"/>
        </w:rPr>
      </w:pPr>
    </w:p>
    <w:p w14:paraId="5921F4CC">
      <w:pPr>
        <w:ind w:firstLine="435"/>
        <w:rPr>
          <w:rFonts w:hint="eastAsia" w:ascii="宋体" w:hAnsi="宋体"/>
          <w:color w:val="auto"/>
          <w:szCs w:val="21"/>
        </w:rPr>
      </w:pPr>
    </w:p>
    <w:p w14:paraId="21E7CEA8">
      <w:pPr>
        <w:ind w:firstLine="435"/>
        <w:rPr>
          <w:rFonts w:hint="eastAsia" w:ascii="宋体" w:hAnsi="宋体"/>
          <w:color w:val="auto"/>
          <w:szCs w:val="21"/>
        </w:rPr>
      </w:pPr>
    </w:p>
    <w:sectPr>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249D2">
    <w:pPr>
      <w:pStyle w:val="15"/>
      <w:framePr w:wrap="around" w:vAnchor="text" w:hAnchor="margin" w:xAlign="center" w:y="1"/>
      <w:rPr>
        <w:rStyle w:val="25"/>
      </w:rPr>
    </w:pPr>
    <w:r>
      <w:fldChar w:fldCharType="begin"/>
    </w:r>
    <w:r>
      <w:rPr>
        <w:rStyle w:val="25"/>
      </w:rPr>
      <w:instrText xml:space="preserve">PAGE  </w:instrText>
    </w:r>
    <w:r>
      <w:fldChar w:fldCharType="end"/>
    </w:r>
  </w:p>
  <w:p w14:paraId="32358A6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C235E">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35BACF">
                          <w:pPr>
                            <w:pStyle w:val="15"/>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F35BACF">
                    <w:pPr>
                      <w:pStyle w:val="1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E6B09">
    <w:pPr>
      <w:pStyle w:val="16"/>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0C9D8">
    <w:pPr>
      <w:pStyle w:val="16"/>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6EA1E">
    <w:pPr>
      <w:pStyle w:val="16"/>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0731E"/>
    <w:multiLevelType w:val="singleLevel"/>
    <w:tmpl w:val="8F00731E"/>
    <w:lvl w:ilvl="0" w:tentative="0">
      <w:start w:val="1"/>
      <w:numFmt w:val="decimal"/>
      <w:suff w:val="space"/>
      <w:lvlText w:val="%1."/>
      <w:lvlJc w:val="left"/>
    </w:lvl>
  </w:abstractNum>
  <w:abstractNum w:abstractNumId="1">
    <w:nsid w:val="A5411661"/>
    <w:multiLevelType w:val="singleLevel"/>
    <w:tmpl w:val="A5411661"/>
    <w:lvl w:ilvl="0" w:tentative="0">
      <w:start w:val="1"/>
      <w:numFmt w:val="decimal"/>
      <w:lvlText w:val="%1."/>
      <w:lvlJc w:val="left"/>
      <w:pPr>
        <w:tabs>
          <w:tab w:val="left" w:pos="312"/>
        </w:tabs>
      </w:pPr>
    </w:lvl>
  </w:abstractNum>
  <w:abstractNum w:abstractNumId="2">
    <w:nsid w:val="AE2D8F7B"/>
    <w:multiLevelType w:val="singleLevel"/>
    <w:tmpl w:val="AE2D8F7B"/>
    <w:lvl w:ilvl="0" w:tentative="0">
      <w:start w:val="1"/>
      <w:numFmt w:val="decimal"/>
      <w:pStyle w:val="5"/>
      <w:lvlText w:val="%1."/>
      <w:lvlJc w:val="left"/>
      <w:pPr>
        <w:tabs>
          <w:tab w:val="left" w:pos="360"/>
        </w:tabs>
        <w:ind w:left="360" w:hanging="360"/>
      </w:pPr>
      <w:rPr>
        <w:rFonts w:cs="Times New Roman"/>
      </w:rPr>
    </w:lvl>
  </w:abstractNum>
  <w:abstractNum w:abstractNumId="3">
    <w:nsid w:val="C8A3F0D0"/>
    <w:multiLevelType w:val="singleLevel"/>
    <w:tmpl w:val="C8A3F0D0"/>
    <w:lvl w:ilvl="0" w:tentative="0">
      <w:start w:val="2"/>
      <w:numFmt w:val="chineseCounting"/>
      <w:suff w:val="nothing"/>
      <w:lvlText w:val="（%1）"/>
      <w:lvlJc w:val="left"/>
      <w:pPr>
        <w:ind w:left="140"/>
      </w:pPr>
      <w:rPr>
        <w:rFonts w:hint="eastAsia" w:cs="Times New Roman"/>
      </w:rPr>
    </w:lvl>
  </w:abstractNum>
  <w:abstractNum w:abstractNumId="4">
    <w:nsid w:val="D92BDCE4"/>
    <w:multiLevelType w:val="singleLevel"/>
    <w:tmpl w:val="D92BDCE4"/>
    <w:lvl w:ilvl="0" w:tentative="0">
      <w:start w:val="1"/>
      <w:numFmt w:val="decimal"/>
      <w:lvlText w:val="%1."/>
      <w:lvlJc w:val="left"/>
      <w:pPr>
        <w:tabs>
          <w:tab w:val="left" w:pos="312"/>
        </w:tabs>
      </w:pPr>
    </w:lvl>
  </w:abstractNum>
  <w:abstractNum w:abstractNumId="5">
    <w:nsid w:val="471E06A1"/>
    <w:multiLevelType w:val="singleLevel"/>
    <w:tmpl w:val="471E06A1"/>
    <w:lvl w:ilvl="0" w:tentative="0">
      <w:start w:val="1"/>
      <w:numFmt w:val="japaneseCounting"/>
      <w:lvlText w:val="%1、"/>
      <w:lvlJc w:val="left"/>
      <w:pPr>
        <w:tabs>
          <w:tab w:val="left" w:pos="960"/>
        </w:tabs>
        <w:ind w:left="960" w:hanging="600"/>
      </w:pPr>
      <w:rPr>
        <w:rFonts w:hint="eastAsia" w:cs="Times New Roman"/>
      </w:rPr>
    </w:lvl>
  </w:abstractNum>
  <w:abstractNum w:abstractNumId="6">
    <w:nsid w:val="64A31BD8"/>
    <w:multiLevelType w:val="multilevel"/>
    <w:tmpl w:val="64A31BD8"/>
    <w:lvl w:ilvl="0" w:tentative="0">
      <w:start w:val="1"/>
      <w:numFmt w:val="decimal"/>
      <w:pStyle w:val="2"/>
      <w:lvlText w:val="%1"/>
      <w:lvlJc w:val="left"/>
      <w:pPr>
        <w:tabs>
          <w:tab w:val="left" w:pos="360"/>
        </w:tabs>
        <w:ind w:left="0" w:firstLine="0"/>
      </w:pPr>
      <w:rPr>
        <w:rFonts w:hint="eastAsia"/>
      </w:rPr>
    </w:lvl>
    <w:lvl w:ilvl="1" w:tentative="0">
      <w:start w:val="1"/>
      <w:numFmt w:val="decimal"/>
      <w:isLgl/>
      <w:lvlText w:val="%1.%2"/>
      <w:lvlJc w:val="left"/>
      <w:pPr>
        <w:tabs>
          <w:tab w:val="left" w:pos="0"/>
        </w:tabs>
        <w:ind w:left="591" w:hanging="576"/>
      </w:pPr>
      <w:rPr>
        <w:rFonts w:hint="default" w:ascii="宋体" w:hAnsi="宋体" w:eastAsia="宋体" w:cs="宋体"/>
      </w:rPr>
    </w:lvl>
    <w:lvl w:ilvl="2" w:tentative="0">
      <w:start w:val="1"/>
      <w:numFmt w:val="decimal"/>
      <w:isLgl/>
      <w:lvlText w:val="%1.%2.%3"/>
      <w:lvlJc w:val="left"/>
      <w:pPr>
        <w:tabs>
          <w:tab w:val="left" w:pos="0"/>
        </w:tabs>
        <w:ind w:left="591" w:hanging="576"/>
      </w:pPr>
      <w:rPr>
        <w:rFonts w:hint="default" w:ascii="宋体" w:hAnsi="宋体" w:eastAsia="宋体" w:cs="宋体"/>
      </w:rPr>
    </w:lvl>
    <w:lvl w:ilvl="3" w:tentative="0">
      <w:start w:val="1"/>
      <w:numFmt w:val="decimal"/>
      <w:isLgl/>
      <w:lvlText w:val="%1.%2.%3.%4"/>
      <w:lvlJc w:val="left"/>
      <w:pPr>
        <w:ind w:left="1225" w:hanging="864"/>
      </w:pPr>
      <w:rPr>
        <w:rFonts w:hint="default" w:ascii="宋体" w:hAnsi="宋体" w:eastAsia="宋体" w:cs="宋体"/>
      </w:rPr>
    </w:lvl>
    <w:lvl w:ilvl="4" w:tentative="0">
      <w:start w:val="1"/>
      <w:numFmt w:val="decimal"/>
      <w:isLgl/>
      <w:suff w:val="space"/>
      <w:lvlText w:val="%1.%2.%3.%4.%5"/>
      <w:lvlJc w:val="left"/>
      <w:pPr>
        <w:ind w:left="1008" w:hanging="1008"/>
      </w:pPr>
      <w:rPr>
        <w:rFonts w:hint="default" w:ascii="宋体" w:hAnsi="宋体" w:eastAsia="宋体" w:cs="宋体"/>
      </w:rPr>
    </w:lvl>
    <w:lvl w:ilvl="5" w:tentative="0">
      <w:start w:val="1"/>
      <w:numFmt w:val="decimal"/>
      <w:isLgl/>
      <w:lvlText w:val="%1.%2.%3.%4.%5.%6"/>
      <w:lvlJc w:val="left"/>
      <w:pPr>
        <w:ind w:left="1167" w:hanging="1152"/>
      </w:pPr>
      <w:rPr>
        <w:rFonts w:hint="eastAsia"/>
        <w:lang w:val="en-US"/>
      </w:rPr>
    </w:lvl>
    <w:lvl w:ilvl="6" w:tentative="0">
      <w:start w:val="1"/>
      <w:numFmt w:val="decimal"/>
      <w:lvlText w:val="%1.%2.%3.%4.%5.%6.%7"/>
      <w:lvlJc w:val="left"/>
      <w:pPr>
        <w:ind w:left="1311" w:hanging="1296"/>
      </w:pPr>
      <w:rPr>
        <w:rFonts w:hint="eastAsia"/>
      </w:rPr>
    </w:lvl>
    <w:lvl w:ilvl="7" w:tentative="0">
      <w:start w:val="1"/>
      <w:numFmt w:val="decimal"/>
      <w:lvlText w:val="%1.%2.%3.%4.%5.%6.%7.%8"/>
      <w:lvlJc w:val="left"/>
      <w:pPr>
        <w:ind w:left="1455" w:hanging="1440"/>
      </w:pPr>
      <w:rPr>
        <w:rFonts w:hint="eastAsia"/>
      </w:rPr>
    </w:lvl>
    <w:lvl w:ilvl="8" w:tentative="0">
      <w:start w:val="1"/>
      <w:numFmt w:val="decimal"/>
      <w:lvlText w:val="%1.%2.%3.%4.%5.%6.%7.%8.%9"/>
      <w:lvlJc w:val="left"/>
      <w:pPr>
        <w:ind w:left="1599" w:hanging="1584"/>
      </w:pPr>
      <w:rPr>
        <w:rFonts w:hint="eastAsia"/>
      </w:rPr>
    </w:lvl>
  </w:abstractNum>
  <w:abstractNum w:abstractNumId="7">
    <w:nsid w:val="68135DD0"/>
    <w:multiLevelType w:val="singleLevel"/>
    <w:tmpl w:val="68135DD0"/>
    <w:lvl w:ilvl="0" w:tentative="0">
      <w:start w:val="1"/>
      <w:numFmt w:val="decimal"/>
      <w:lvlText w:val="%1."/>
      <w:lvlJc w:val="left"/>
      <w:pPr>
        <w:tabs>
          <w:tab w:val="left" w:pos="312"/>
        </w:tabs>
      </w:pPr>
    </w:lvl>
  </w:abstractNum>
  <w:num w:numId="1">
    <w:abstractNumId w:val="6"/>
  </w:num>
  <w:num w:numId="2">
    <w:abstractNumId w:val="2"/>
  </w:num>
  <w:num w:numId="3">
    <w:abstractNumId w:val="5"/>
  </w:num>
  <w:num w:numId="4">
    <w:abstractNumId w:val="3"/>
  </w:num>
  <w:num w:numId="5">
    <w:abstractNumId w:val="7"/>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yMTA0YzVmNTI1ZjIxODlkZmI0YjY2OGExYTI4ZDkifQ=="/>
  </w:docVars>
  <w:rsids>
    <w:rsidRoot w:val="0E970358"/>
    <w:rsid w:val="00000A9C"/>
    <w:rsid w:val="00001AD2"/>
    <w:rsid w:val="000046E6"/>
    <w:rsid w:val="00010F5F"/>
    <w:rsid w:val="0001276F"/>
    <w:rsid w:val="00013045"/>
    <w:rsid w:val="00015572"/>
    <w:rsid w:val="00016C02"/>
    <w:rsid w:val="0001784F"/>
    <w:rsid w:val="0002069D"/>
    <w:rsid w:val="00022ED5"/>
    <w:rsid w:val="000231F9"/>
    <w:rsid w:val="00024010"/>
    <w:rsid w:val="000260DA"/>
    <w:rsid w:val="00026CDB"/>
    <w:rsid w:val="000279FE"/>
    <w:rsid w:val="00032678"/>
    <w:rsid w:val="00032BCF"/>
    <w:rsid w:val="000339DF"/>
    <w:rsid w:val="00034856"/>
    <w:rsid w:val="00036132"/>
    <w:rsid w:val="00037393"/>
    <w:rsid w:val="0004196C"/>
    <w:rsid w:val="00042EAA"/>
    <w:rsid w:val="0004325E"/>
    <w:rsid w:val="00044E52"/>
    <w:rsid w:val="0005167C"/>
    <w:rsid w:val="00052475"/>
    <w:rsid w:val="00052756"/>
    <w:rsid w:val="000539EB"/>
    <w:rsid w:val="00054039"/>
    <w:rsid w:val="00060332"/>
    <w:rsid w:val="0006294D"/>
    <w:rsid w:val="00062AB3"/>
    <w:rsid w:val="00067AE1"/>
    <w:rsid w:val="00071552"/>
    <w:rsid w:val="00074A7D"/>
    <w:rsid w:val="00080479"/>
    <w:rsid w:val="0008066E"/>
    <w:rsid w:val="00080BFD"/>
    <w:rsid w:val="000817D0"/>
    <w:rsid w:val="00086CF9"/>
    <w:rsid w:val="000872E1"/>
    <w:rsid w:val="00087C79"/>
    <w:rsid w:val="000935F2"/>
    <w:rsid w:val="00096684"/>
    <w:rsid w:val="000A252B"/>
    <w:rsid w:val="000A3CD7"/>
    <w:rsid w:val="000A5E35"/>
    <w:rsid w:val="000A6008"/>
    <w:rsid w:val="000A6382"/>
    <w:rsid w:val="000A6A88"/>
    <w:rsid w:val="000A6F4C"/>
    <w:rsid w:val="000A74A3"/>
    <w:rsid w:val="000B056C"/>
    <w:rsid w:val="000B1011"/>
    <w:rsid w:val="000B18E0"/>
    <w:rsid w:val="000B2124"/>
    <w:rsid w:val="000B2186"/>
    <w:rsid w:val="000B3617"/>
    <w:rsid w:val="000B4E11"/>
    <w:rsid w:val="000B5660"/>
    <w:rsid w:val="000C045F"/>
    <w:rsid w:val="000C3E82"/>
    <w:rsid w:val="000C52B5"/>
    <w:rsid w:val="000C5A9A"/>
    <w:rsid w:val="000C72CD"/>
    <w:rsid w:val="000D1455"/>
    <w:rsid w:val="000D2CA5"/>
    <w:rsid w:val="000E2260"/>
    <w:rsid w:val="000E2276"/>
    <w:rsid w:val="000E4009"/>
    <w:rsid w:val="000E7CC5"/>
    <w:rsid w:val="000E7E04"/>
    <w:rsid w:val="000F19E9"/>
    <w:rsid w:val="000F1DA2"/>
    <w:rsid w:val="000F2F59"/>
    <w:rsid w:val="000F4E4A"/>
    <w:rsid w:val="000F6646"/>
    <w:rsid w:val="00100DB4"/>
    <w:rsid w:val="001033B0"/>
    <w:rsid w:val="001041A5"/>
    <w:rsid w:val="00104444"/>
    <w:rsid w:val="00106CC8"/>
    <w:rsid w:val="00107BF6"/>
    <w:rsid w:val="00110595"/>
    <w:rsid w:val="00111FB0"/>
    <w:rsid w:val="00112424"/>
    <w:rsid w:val="001129EB"/>
    <w:rsid w:val="00120628"/>
    <w:rsid w:val="00122000"/>
    <w:rsid w:val="001220FF"/>
    <w:rsid w:val="001229A8"/>
    <w:rsid w:val="00122CAB"/>
    <w:rsid w:val="0012310D"/>
    <w:rsid w:val="0012479F"/>
    <w:rsid w:val="00125A1D"/>
    <w:rsid w:val="00127396"/>
    <w:rsid w:val="00131DEC"/>
    <w:rsid w:val="0013309D"/>
    <w:rsid w:val="001337D8"/>
    <w:rsid w:val="00134725"/>
    <w:rsid w:val="00134F37"/>
    <w:rsid w:val="00136F92"/>
    <w:rsid w:val="00137820"/>
    <w:rsid w:val="00140892"/>
    <w:rsid w:val="00142467"/>
    <w:rsid w:val="00146912"/>
    <w:rsid w:val="00146CA6"/>
    <w:rsid w:val="0015021D"/>
    <w:rsid w:val="0015098F"/>
    <w:rsid w:val="00151640"/>
    <w:rsid w:val="00154850"/>
    <w:rsid w:val="0015525A"/>
    <w:rsid w:val="0015599F"/>
    <w:rsid w:val="0015614C"/>
    <w:rsid w:val="0016122A"/>
    <w:rsid w:val="00161B7A"/>
    <w:rsid w:val="0016279C"/>
    <w:rsid w:val="00162A4B"/>
    <w:rsid w:val="00165F2A"/>
    <w:rsid w:val="00166E6A"/>
    <w:rsid w:val="00176670"/>
    <w:rsid w:val="001768EA"/>
    <w:rsid w:val="00181D68"/>
    <w:rsid w:val="00181E65"/>
    <w:rsid w:val="001827F7"/>
    <w:rsid w:val="00182C5B"/>
    <w:rsid w:val="00182D9A"/>
    <w:rsid w:val="0018342F"/>
    <w:rsid w:val="001845F7"/>
    <w:rsid w:val="0018602A"/>
    <w:rsid w:val="00190802"/>
    <w:rsid w:val="00196AA8"/>
    <w:rsid w:val="00197081"/>
    <w:rsid w:val="001971AE"/>
    <w:rsid w:val="001A64FD"/>
    <w:rsid w:val="001A6657"/>
    <w:rsid w:val="001A6B1A"/>
    <w:rsid w:val="001A716A"/>
    <w:rsid w:val="001B24B5"/>
    <w:rsid w:val="001B2686"/>
    <w:rsid w:val="001B2B73"/>
    <w:rsid w:val="001B38AA"/>
    <w:rsid w:val="001B408C"/>
    <w:rsid w:val="001B425A"/>
    <w:rsid w:val="001B4B7E"/>
    <w:rsid w:val="001B52A5"/>
    <w:rsid w:val="001B7F52"/>
    <w:rsid w:val="001C0DAE"/>
    <w:rsid w:val="001C38D2"/>
    <w:rsid w:val="001C64D9"/>
    <w:rsid w:val="001C696D"/>
    <w:rsid w:val="001D2731"/>
    <w:rsid w:val="001D2C20"/>
    <w:rsid w:val="001D2FF7"/>
    <w:rsid w:val="001D3B79"/>
    <w:rsid w:val="001D4318"/>
    <w:rsid w:val="001E0041"/>
    <w:rsid w:val="001E07DF"/>
    <w:rsid w:val="001E1541"/>
    <w:rsid w:val="001E1566"/>
    <w:rsid w:val="001E209B"/>
    <w:rsid w:val="001E2F58"/>
    <w:rsid w:val="001E40A1"/>
    <w:rsid w:val="001E4463"/>
    <w:rsid w:val="001E733C"/>
    <w:rsid w:val="001F04FC"/>
    <w:rsid w:val="001F0BB5"/>
    <w:rsid w:val="001F12B0"/>
    <w:rsid w:val="001F24CB"/>
    <w:rsid w:val="001F2914"/>
    <w:rsid w:val="001F2BE0"/>
    <w:rsid w:val="001F634D"/>
    <w:rsid w:val="001F768D"/>
    <w:rsid w:val="001F7EAF"/>
    <w:rsid w:val="00201AB1"/>
    <w:rsid w:val="00201D62"/>
    <w:rsid w:val="00202ACA"/>
    <w:rsid w:val="00205E75"/>
    <w:rsid w:val="002071DC"/>
    <w:rsid w:val="0021318F"/>
    <w:rsid w:val="00214493"/>
    <w:rsid w:val="00221097"/>
    <w:rsid w:val="00230285"/>
    <w:rsid w:val="00230B46"/>
    <w:rsid w:val="00233805"/>
    <w:rsid w:val="00240F1B"/>
    <w:rsid w:val="00242777"/>
    <w:rsid w:val="00245E48"/>
    <w:rsid w:val="00252038"/>
    <w:rsid w:val="002530E1"/>
    <w:rsid w:val="0025356C"/>
    <w:rsid w:val="0025365F"/>
    <w:rsid w:val="00256FEC"/>
    <w:rsid w:val="002579A2"/>
    <w:rsid w:val="00262E90"/>
    <w:rsid w:val="00263210"/>
    <w:rsid w:val="00263ADA"/>
    <w:rsid w:val="00267EFB"/>
    <w:rsid w:val="002719FD"/>
    <w:rsid w:val="00273CEC"/>
    <w:rsid w:val="00274972"/>
    <w:rsid w:val="00275F73"/>
    <w:rsid w:val="00281D3D"/>
    <w:rsid w:val="00282DF5"/>
    <w:rsid w:val="00284874"/>
    <w:rsid w:val="00285904"/>
    <w:rsid w:val="00286F6A"/>
    <w:rsid w:val="00287255"/>
    <w:rsid w:val="00294745"/>
    <w:rsid w:val="002A1620"/>
    <w:rsid w:val="002A459A"/>
    <w:rsid w:val="002A48EB"/>
    <w:rsid w:val="002A5509"/>
    <w:rsid w:val="002B21AB"/>
    <w:rsid w:val="002B522F"/>
    <w:rsid w:val="002C101E"/>
    <w:rsid w:val="002C7A4E"/>
    <w:rsid w:val="002D1E53"/>
    <w:rsid w:val="002D2119"/>
    <w:rsid w:val="002D582F"/>
    <w:rsid w:val="002D668E"/>
    <w:rsid w:val="002E0F2A"/>
    <w:rsid w:val="002E1851"/>
    <w:rsid w:val="002E220D"/>
    <w:rsid w:val="002E3A99"/>
    <w:rsid w:val="002E42EE"/>
    <w:rsid w:val="002E4E1A"/>
    <w:rsid w:val="002E4F77"/>
    <w:rsid w:val="002E50BF"/>
    <w:rsid w:val="002E5DFB"/>
    <w:rsid w:val="002F182B"/>
    <w:rsid w:val="002F3190"/>
    <w:rsid w:val="002F31EA"/>
    <w:rsid w:val="002F6B8B"/>
    <w:rsid w:val="002F6BC3"/>
    <w:rsid w:val="00300F18"/>
    <w:rsid w:val="003024CC"/>
    <w:rsid w:val="00305709"/>
    <w:rsid w:val="003062E0"/>
    <w:rsid w:val="003102FB"/>
    <w:rsid w:val="003147B9"/>
    <w:rsid w:val="00315255"/>
    <w:rsid w:val="00316DE2"/>
    <w:rsid w:val="0031716D"/>
    <w:rsid w:val="00323ECC"/>
    <w:rsid w:val="003242CD"/>
    <w:rsid w:val="003249D3"/>
    <w:rsid w:val="00327517"/>
    <w:rsid w:val="00327B65"/>
    <w:rsid w:val="00331589"/>
    <w:rsid w:val="003317FA"/>
    <w:rsid w:val="0033219C"/>
    <w:rsid w:val="00332E30"/>
    <w:rsid w:val="003350AD"/>
    <w:rsid w:val="00335DD0"/>
    <w:rsid w:val="003379FB"/>
    <w:rsid w:val="00342FFA"/>
    <w:rsid w:val="00344FD5"/>
    <w:rsid w:val="00347437"/>
    <w:rsid w:val="00351353"/>
    <w:rsid w:val="00355CDC"/>
    <w:rsid w:val="00356377"/>
    <w:rsid w:val="00361E65"/>
    <w:rsid w:val="00361F71"/>
    <w:rsid w:val="003650F1"/>
    <w:rsid w:val="003675F3"/>
    <w:rsid w:val="00367CF2"/>
    <w:rsid w:val="003701A6"/>
    <w:rsid w:val="00372977"/>
    <w:rsid w:val="0037339B"/>
    <w:rsid w:val="0037413D"/>
    <w:rsid w:val="00377A7D"/>
    <w:rsid w:val="00382566"/>
    <w:rsid w:val="00382A09"/>
    <w:rsid w:val="00382C5C"/>
    <w:rsid w:val="00383C3A"/>
    <w:rsid w:val="00383D09"/>
    <w:rsid w:val="0038403F"/>
    <w:rsid w:val="00385600"/>
    <w:rsid w:val="00386AAA"/>
    <w:rsid w:val="00387F99"/>
    <w:rsid w:val="00392EF6"/>
    <w:rsid w:val="003A297F"/>
    <w:rsid w:val="003A37EE"/>
    <w:rsid w:val="003B0E81"/>
    <w:rsid w:val="003B513F"/>
    <w:rsid w:val="003B55B2"/>
    <w:rsid w:val="003B60DF"/>
    <w:rsid w:val="003B6BCA"/>
    <w:rsid w:val="003C0280"/>
    <w:rsid w:val="003C13F9"/>
    <w:rsid w:val="003C2182"/>
    <w:rsid w:val="003C2CE9"/>
    <w:rsid w:val="003C5A28"/>
    <w:rsid w:val="003C5E00"/>
    <w:rsid w:val="003D0672"/>
    <w:rsid w:val="003D0A8E"/>
    <w:rsid w:val="003D28CA"/>
    <w:rsid w:val="003D28D9"/>
    <w:rsid w:val="003D2AC9"/>
    <w:rsid w:val="003D43BB"/>
    <w:rsid w:val="003D480D"/>
    <w:rsid w:val="003D583B"/>
    <w:rsid w:val="003D602B"/>
    <w:rsid w:val="003D7C30"/>
    <w:rsid w:val="003E0F33"/>
    <w:rsid w:val="003E1182"/>
    <w:rsid w:val="003E1373"/>
    <w:rsid w:val="003E2159"/>
    <w:rsid w:val="003E24C3"/>
    <w:rsid w:val="003E5F17"/>
    <w:rsid w:val="003E6A37"/>
    <w:rsid w:val="003F3B25"/>
    <w:rsid w:val="003F4754"/>
    <w:rsid w:val="003F541D"/>
    <w:rsid w:val="003F595C"/>
    <w:rsid w:val="003F5C56"/>
    <w:rsid w:val="003F78E0"/>
    <w:rsid w:val="003F7C14"/>
    <w:rsid w:val="00401225"/>
    <w:rsid w:val="004029EC"/>
    <w:rsid w:val="004051CA"/>
    <w:rsid w:val="00411A71"/>
    <w:rsid w:val="00413F81"/>
    <w:rsid w:val="00416AB7"/>
    <w:rsid w:val="004170A8"/>
    <w:rsid w:val="004260AE"/>
    <w:rsid w:val="00426B8E"/>
    <w:rsid w:val="004271DC"/>
    <w:rsid w:val="004275A8"/>
    <w:rsid w:val="00430CF1"/>
    <w:rsid w:val="0043122F"/>
    <w:rsid w:val="00432AB1"/>
    <w:rsid w:val="00435C6B"/>
    <w:rsid w:val="00437A18"/>
    <w:rsid w:val="00441FAE"/>
    <w:rsid w:val="00446CEF"/>
    <w:rsid w:val="00447DD0"/>
    <w:rsid w:val="004517B3"/>
    <w:rsid w:val="00451DB2"/>
    <w:rsid w:val="0045605C"/>
    <w:rsid w:val="00457A5B"/>
    <w:rsid w:val="00457B83"/>
    <w:rsid w:val="00460C88"/>
    <w:rsid w:val="00463A80"/>
    <w:rsid w:val="00473311"/>
    <w:rsid w:val="00473F6A"/>
    <w:rsid w:val="00474EE0"/>
    <w:rsid w:val="0047558B"/>
    <w:rsid w:val="00485434"/>
    <w:rsid w:val="00487D47"/>
    <w:rsid w:val="00490ABF"/>
    <w:rsid w:val="00491AFB"/>
    <w:rsid w:val="00491BDF"/>
    <w:rsid w:val="00495EFB"/>
    <w:rsid w:val="004A232F"/>
    <w:rsid w:val="004A61FB"/>
    <w:rsid w:val="004A769E"/>
    <w:rsid w:val="004B0E07"/>
    <w:rsid w:val="004B4165"/>
    <w:rsid w:val="004B436C"/>
    <w:rsid w:val="004C1F59"/>
    <w:rsid w:val="004C2324"/>
    <w:rsid w:val="004C261E"/>
    <w:rsid w:val="004C2E44"/>
    <w:rsid w:val="004C3297"/>
    <w:rsid w:val="004C5B17"/>
    <w:rsid w:val="004C70BA"/>
    <w:rsid w:val="004D0976"/>
    <w:rsid w:val="004D1216"/>
    <w:rsid w:val="004D75DB"/>
    <w:rsid w:val="004D7D9D"/>
    <w:rsid w:val="004D7ED1"/>
    <w:rsid w:val="004E07C3"/>
    <w:rsid w:val="004E07F7"/>
    <w:rsid w:val="004E5F69"/>
    <w:rsid w:val="004F0639"/>
    <w:rsid w:val="004F1A13"/>
    <w:rsid w:val="004F1FB6"/>
    <w:rsid w:val="004F46C8"/>
    <w:rsid w:val="004F6A8B"/>
    <w:rsid w:val="004F703E"/>
    <w:rsid w:val="004F727C"/>
    <w:rsid w:val="005024BE"/>
    <w:rsid w:val="00503604"/>
    <w:rsid w:val="00504B34"/>
    <w:rsid w:val="00505B34"/>
    <w:rsid w:val="00505F24"/>
    <w:rsid w:val="00511438"/>
    <w:rsid w:val="0051324F"/>
    <w:rsid w:val="00515ED6"/>
    <w:rsid w:val="00516944"/>
    <w:rsid w:val="00520EA4"/>
    <w:rsid w:val="00521A44"/>
    <w:rsid w:val="005229DA"/>
    <w:rsid w:val="00522F17"/>
    <w:rsid w:val="0052360E"/>
    <w:rsid w:val="00524AAF"/>
    <w:rsid w:val="00524D7B"/>
    <w:rsid w:val="005260EA"/>
    <w:rsid w:val="00527F50"/>
    <w:rsid w:val="0053020A"/>
    <w:rsid w:val="0053162C"/>
    <w:rsid w:val="00531C77"/>
    <w:rsid w:val="00535CB9"/>
    <w:rsid w:val="00535E12"/>
    <w:rsid w:val="00537163"/>
    <w:rsid w:val="005375FE"/>
    <w:rsid w:val="0054001D"/>
    <w:rsid w:val="00542833"/>
    <w:rsid w:val="005430DA"/>
    <w:rsid w:val="00544918"/>
    <w:rsid w:val="00546389"/>
    <w:rsid w:val="00547AB9"/>
    <w:rsid w:val="00550C22"/>
    <w:rsid w:val="005535AF"/>
    <w:rsid w:val="00553B57"/>
    <w:rsid w:val="00554AB8"/>
    <w:rsid w:val="00554C90"/>
    <w:rsid w:val="00560999"/>
    <w:rsid w:val="005649B4"/>
    <w:rsid w:val="005667BC"/>
    <w:rsid w:val="00573146"/>
    <w:rsid w:val="00573D67"/>
    <w:rsid w:val="00574CD5"/>
    <w:rsid w:val="005769D1"/>
    <w:rsid w:val="00582F15"/>
    <w:rsid w:val="005838DE"/>
    <w:rsid w:val="00583EDC"/>
    <w:rsid w:val="00586BFD"/>
    <w:rsid w:val="00586CC6"/>
    <w:rsid w:val="0058743C"/>
    <w:rsid w:val="00591422"/>
    <w:rsid w:val="005946C5"/>
    <w:rsid w:val="0059677F"/>
    <w:rsid w:val="0059718E"/>
    <w:rsid w:val="005A0A92"/>
    <w:rsid w:val="005A1C2F"/>
    <w:rsid w:val="005A47CA"/>
    <w:rsid w:val="005A5CC9"/>
    <w:rsid w:val="005A7D1D"/>
    <w:rsid w:val="005C284D"/>
    <w:rsid w:val="005C6055"/>
    <w:rsid w:val="005C7EB7"/>
    <w:rsid w:val="005D25EF"/>
    <w:rsid w:val="005D3FBD"/>
    <w:rsid w:val="005D61C0"/>
    <w:rsid w:val="005D6590"/>
    <w:rsid w:val="005D71CA"/>
    <w:rsid w:val="005D73CF"/>
    <w:rsid w:val="005E048A"/>
    <w:rsid w:val="005E0D8B"/>
    <w:rsid w:val="005E1E0B"/>
    <w:rsid w:val="005E3CD4"/>
    <w:rsid w:val="005E418F"/>
    <w:rsid w:val="005E4D78"/>
    <w:rsid w:val="005E4FD3"/>
    <w:rsid w:val="005E7582"/>
    <w:rsid w:val="005E781F"/>
    <w:rsid w:val="005E79A4"/>
    <w:rsid w:val="005F1066"/>
    <w:rsid w:val="005F2B8C"/>
    <w:rsid w:val="005F33B1"/>
    <w:rsid w:val="005F7791"/>
    <w:rsid w:val="00600176"/>
    <w:rsid w:val="006011E3"/>
    <w:rsid w:val="006030F2"/>
    <w:rsid w:val="00604F08"/>
    <w:rsid w:val="00606DB6"/>
    <w:rsid w:val="0060726F"/>
    <w:rsid w:val="006115B4"/>
    <w:rsid w:val="006129AF"/>
    <w:rsid w:val="00616E31"/>
    <w:rsid w:val="006176FF"/>
    <w:rsid w:val="006202BD"/>
    <w:rsid w:val="00620FA7"/>
    <w:rsid w:val="00621D0E"/>
    <w:rsid w:val="00623F14"/>
    <w:rsid w:val="0062438B"/>
    <w:rsid w:val="00624A14"/>
    <w:rsid w:val="00627476"/>
    <w:rsid w:val="006307D3"/>
    <w:rsid w:val="006348F8"/>
    <w:rsid w:val="00635AF1"/>
    <w:rsid w:val="00637763"/>
    <w:rsid w:val="0064042C"/>
    <w:rsid w:val="00640E59"/>
    <w:rsid w:val="00642402"/>
    <w:rsid w:val="006432A2"/>
    <w:rsid w:val="00643C20"/>
    <w:rsid w:val="006456B0"/>
    <w:rsid w:val="00645BD2"/>
    <w:rsid w:val="00646426"/>
    <w:rsid w:val="00651001"/>
    <w:rsid w:val="00651263"/>
    <w:rsid w:val="00652033"/>
    <w:rsid w:val="00652AE6"/>
    <w:rsid w:val="0065407A"/>
    <w:rsid w:val="00655BE7"/>
    <w:rsid w:val="00655E3C"/>
    <w:rsid w:val="006561F9"/>
    <w:rsid w:val="00656AE1"/>
    <w:rsid w:val="00656B81"/>
    <w:rsid w:val="00657014"/>
    <w:rsid w:val="00661479"/>
    <w:rsid w:val="00661D97"/>
    <w:rsid w:val="00664633"/>
    <w:rsid w:val="00666C12"/>
    <w:rsid w:val="006742BD"/>
    <w:rsid w:val="00674B88"/>
    <w:rsid w:val="00674C42"/>
    <w:rsid w:val="006755EB"/>
    <w:rsid w:val="00677359"/>
    <w:rsid w:val="00677AAD"/>
    <w:rsid w:val="006824B0"/>
    <w:rsid w:val="00685566"/>
    <w:rsid w:val="00687C8B"/>
    <w:rsid w:val="00687FF7"/>
    <w:rsid w:val="006903F3"/>
    <w:rsid w:val="00691A34"/>
    <w:rsid w:val="00692324"/>
    <w:rsid w:val="00692E06"/>
    <w:rsid w:val="00694447"/>
    <w:rsid w:val="0069574B"/>
    <w:rsid w:val="006969D8"/>
    <w:rsid w:val="006976C9"/>
    <w:rsid w:val="006A25FC"/>
    <w:rsid w:val="006A4309"/>
    <w:rsid w:val="006A7A35"/>
    <w:rsid w:val="006B3C88"/>
    <w:rsid w:val="006B453D"/>
    <w:rsid w:val="006C3FA6"/>
    <w:rsid w:val="006C485F"/>
    <w:rsid w:val="006C6510"/>
    <w:rsid w:val="006C7514"/>
    <w:rsid w:val="006D08C1"/>
    <w:rsid w:val="006D1539"/>
    <w:rsid w:val="006D2A9C"/>
    <w:rsid w:val="006D3358"/>
    <w:rsid w:val="006D4BAA"/>
    <w:rsid w:val="006D7195"/>
    <w:rsid w:val="006D781E"/>
    <w:rsid w:val="006E1AEA"/>
    <w:rsid w:val="006E1EEC"/>
    <w:rsid w:val="006E2AA6"/>
    <w:rsid w:val="006E4D6A"/>
    <w:rsid w:val="006F11C1"/>
    <w:rsid w:val="006F1CF3"/>
    <w:rsid w:val="006F1EFA"/>
    <w:rsid w:val="006F4DFE"/>
    <w:rsid w:val="006F5F1C"/>
    <w:rsid w:val="006F77EB"/>
    <w:rsid w:val="00700927"/>
    <w:rsid w:val="007017C6"/>
    <w:rsid w:val="007038C8"/>
    <w:rsid w:val="007113BF"/>
    <w:rsid w:val="00711475"/>
    <w:rsid w:val="00711C7F"/>
    <w:rsid w:val="00711DB9"/>
    <w:rsid w:val="00713924"/>
    <w:rsid w:val="00714368"/>
    <w:rsid w:val="00715C5E"/>
    <w:rsid w:val="007171FD"/>
    <w:rsid w:val="0072151B"/>
    <w:rsid w:val="00721FFA"/>
    <w:rsid w:val="00722616"/>
    <w:rsid w:val="00722915"/>
    <w:rsid w:val="00723549"/>
    <w:rsid w:val="00731C37"/>
    <w:rsid w:val="00732545"/>
    <w:rsid w:val="00732BF4"/>
    <w:rsid w:val="00736A12"/>
    <w:rsid w:val="00736B89"/>
    <w:rsid w:val="00742296"/>
    <w:rsid w:val="00744136"/>
    <w:rsid w:val="00747457"/>
    <w:rsid w:val="00753C66"/>
    <w:rsid w:val="0075430C"/>
    <w:rsid w:val="00763086"/>
    <w:rsid w:val="00763CC2"/>
    <w:rsid w:val="00765025"/>
    <w:rsid w:val="0076599F"/>
    <w:rsid w:val="00770131"/>
    <w:rsid w:val="00770C35"/>
    <w:rsid w:val="00772AE3"/>
    <w:rsid w:val="00775195"/>
    <w:rsid w:val="0077788F"/>
    <w:rsid w:val="00780F95"/>
    <w:rsid w:val="007834AF"/>
    <w:rsid w:val="00786219"/>
    <w:rsid w:val="00787648"/>
    <w:rsid w:val="00790D0E"/>
    <w:rsid w:val="0079245F"/>
    <w:rsid w:val="007938C2"/>
    <w:rsid w:val="00797720"/>
    <w:rsid w:val="00797CAD"/>
    <w:rsid w:val="007A0728"/>
    <w:rsid w:val="007A2629"/>
    <w:rsid w:val="007A4990"/>
    <w:rsid w:val="007B388C"/>
    <w:rsid w:val="007B3BFF"/>
    <w:rsid w:val="007B6336"/>
    <w:rsid w:val="007B6912"/>
    <w:rsid w:val="007B7C8D"/>
    <w:rsid w:val="007C0A46"/>
    <w:rsid w:val="007C1005"/>
    <w:rsid w:val="007C383F"/>
    <w:rsid w:val="007C4518"/>
    <w:rsid w:val="007C6E1D"/>
    <w:rsid w:val="007D08AE"/>
    <w:rsid w:val="007D0EA6"/>
    <w:rsid w:val="007D14B0"/>
    <w:rsid w:val="007D2A34"/>
    <w:rsid w:val="007D2ABD"/>
    <w:rsid w:val="007D3547"/>
    <w:rsid w:val="007D4AB5"/>
    <w:rsid w:val="007D5402"/>
    <w:rsid w:val="007D5C25"/>
    <w:rsid w:val="007E0CFA"/>
    <w:rsid w:val="007E69EF"/>
    <w:rsid w:val="007F1B86"/>
    <w:rsid w:val="007F1F48"/>
    <w:rsid w:val="007F27CC"/>
    <w:rsid w:val="007F2A23"/>
    <w:rsid w:val="007F2CF6"/>
    <w:rsid w:val="007F3E6A"/>
    <w:rsid w:val="007F63BA"/>
    <w:rsid w:val="007F6FF9"/>
    <w:rsid w:val="00802325"/>
    <w:rsid w:val="0080376D"/>
    <w:rsid w:val="0080493C"/>
    <w:rsid w:val="00804AB3"/>
    <w:rsid w:val="00806AA7"/>
    <w:rsid w:val="00806DDC"/>
    <w:rsid w:val="00807C4C"/>
    <w:rsid w:val="00810134"/>
    <w:rsid w:val="00810BCF"/>
    <w:rsid w:val="00812233"/>
    <w:rsid w:val="00821B0F"/>
    <w:rsid w:val="00825DBD"/>
    <w:rsid w:val="00826588"/>
    <w:rsid w:val="0082698E"/>
    <w:rsid w:val="00827CC8"/>
    <w:rsid w:val="00830C41"/>
    <w:rsid w:val="0083309E"/>
    <w:rsid w:val="00834438"/>
    <w:rsid w:val="008359DD"/>
    <w:rsid w:val="0083664E"/>
    <w:rsid w:val="00837474"/>
    <w:rsid w:val="00842A4C"/>
    <w:rsid w:val="00843BDE"/>
    <w:rsid w:val="008449CC"/>
    <w:rsid w:val="00847BE5"/>
    <w:rsid w:val="00850347"/>
    <w:rsid w:val="008510F2"/>
    <w:rsid w:val="00852DFD"/>
    <w:rsid w:val="00853F0B"/>
    <w:rsid w:val="0085546E"/>
    <w:rsid w:val="00856727"/>
    <w:rsid w:val="00864C49"/>
    <w:rsid w:val="00864F42"/>
    <w:rsid w:val="00866124"/>
    <w:rsid w:val="00873C43"/>
    <w:rsid w:val="00874F50"/>
    <w:rsid w:val="00875261"/>
    <w:rsid w:val="0088066B"/>
    <w:rsid w:val="008835F7"/>
    <w:rsid w:val="0089085B"/>
    <w:rsid w:val="00891825"/>
    <w:rsid w:val="00897498"/>
    <w:rsid w:val="008A10DC"/>
    <w:rsid w:val="008A1270"/>
    <w:rsid w:val="008A1358"/>
    <w:rsid w:val="008A220A"/>
    <w:rsid w:val="008A2E78"/>
    <w:rsid w:val="008A583C"/>
    <w:rsid w:val="008A5F1F"/>
    <w:rsid w:val="008A6708"/>
    <w:rsid w:val="008A7632"/>
    <w:rsid w:val="008B3433"/>
    <w:rsid w:val="008B3DEB"/>
    <w:rsid w:val="008B45EA"/>
    <w:rsid w:val="008B6EE6"/>
    <w:rsid w:val="008C0EC1"/>
    <w:rsid w:val="008C124C"/>
    <w:rsid w:val="008C1C2A"/>
    <w:rsid w:val="008C1DA3"/>
    <w:rsid w:val="008C74B4"/>
    <w:rsid w:val="008D0E2B"/>
    <w:rsid w:val="008D1CD1"/>
    <w:rsid w:val="008D29EC"/>
    <w:rsid w:val="008D2BAB"/>
    <w:rsid w:val="008D6BBA"/>
    <w:rsid w:val="008D6FF4"/>
    <w:rsid w:val="008D7D21"/>
    <w:rsid w:val="008E0F6B"/>
    <w:rsid w:val="008E2DA0"/>
    <w:rsid w:val="008E6A6E"/>
    <w:rsid w:val="008E7122"/>
    <w:rsid w:val="008E7190"/>
    <w:rsid w:val="008F1F90"/>
    <w:rsid w:val="008F32E4"/>
    <w:rsid w:val="008F6EF6"/>
    <w:rsid w:val="0090115C"/>
    <w:rsid w:val="00903F8B"/>
    <w:rsid w:val="009071CA"/>
    <w:rsid w:val="00907371"/>
    <w:rsid w:val="00912983"/>
    <w:rsid w:val="009144F1"/>
    <w:rsid w:val="009153E2"/>
    <w:rsid w:val="00923B53"/>
    <w:rsid w:val="0092417B"/>
    <w:rsid w:val="00924CF7"/>
    <w:rsid w:val="009254C1"/>
    <w:rsid w:val="00930B4C"/>
    <w:rsid w:val="0093131D"/>
    <w:rsid w:val="00932297"/>
    <w:rsid w:val="009337C4"/>
    <w:rsid w:val="0093408C"/>
    <w:rsid w:val="00934D61"/>
    <w:rsid w:val="00936987"/>
    <w:rsid w:val="00937A3A"/>
    <w:rsid w:val="00937B96"/>
    <w:rsid w:val="00937C39"/>
    <w:rsid w:val="009450C9"/>
    <w:rsid w:val="009459C3"/>
    <w:rsid w:val="0095275A"/>
    <w:rsid w:val="009527CB"/>
    <w:rsid w:val="009528D3"/>
    <w:rsid w:val="00952929"/>
    <w:rsid w:val="00954BFB"/>
    <w:rsid w:val="00955C9A"/>
    <w:rsid w:val="0095683F"/>
    <w:rsid w:val="00956AC7"/>
    <w:rsid w:val="0095765F"/>
    <w:rsid w:val="00961C3B"/>
    <w:rsid w:val="0096258D"/>
    <w:rsid w:val="00963FF4"/>
    <w:rsid w:val="00965DA9"/>
    <w:rsid w:val="0096675E"/>
    <w:rsid w:val="009706F8"/>
    <w:rsid w:val="00970B24"/>
    <w:rsid w:val="00970EDE"/>
    <w:rsid w:val="00971528"/>
    <w:rsid w:val="00975EDD"/>
    <w:rsid w:val="0097797B"/>
    <w:rsid w:val="00982F0B"/>
    <w:rsid w:val="00984C91"/>
    <w:rsid w:val="00986FD1"/>
    <w:rsid w:val="009975C5"/>
    <w:rsid w:val="009A5083"/>
    <w:rsid w:val="009A7892"/>
    <w:rsid w:val="009B07FC"/>
    <w:rsid w:val="009B08B3"/>
    <w:rsid w:val="009B0A45"/>
    <w:rsid w:val="009B23CB"/>
    <w:rsid w:val="009B2861"/>
    <w:rsid w:val="009B329F"/>
    <w:rsid w:val="009B3E22"/>
    <w:rsid w:val="009B6B71"/>
    <w:rsid w:val="009C0298"/>
    <w:rsid w:val="009C0912"/>
    <w:rsid w:val="009C188B"/>
    <w:rsid w:val="009C3F50"/>
    <w:rsid w:val="009C52A6"/>
    <w:rsid w:val="009C72F7"/>
    <w:rsid w:val="009D0B38"/>
    <w:rsid w:val="009D0F09"/>
    <w:rsid w:val="009D25A8"/>
    <w:rsid w:val="009D3529"/>
    <w:rsid w:val="009D41AB"/>
    <w:rsid w:val="009D4B6D"/>
    <w:rsid w:val="009D5051"/>
    <w:rsid w:val="009D5411"/>
    <w:rsid w:val="009D76E5"/>
    <w:rsid w:val="009E0AD4"/>
    <w:rsid w:val="009E257C"/>
    <w:rsid w:val="009E3ECC"/>
    <w:rsid w:val="009E562D"/>
    <w:rsid w:val="009E5DF4"/>
    <w:rsid w:val="009E768C"/>
    <w:rsid w:val="009F0BEF"/>
    <w:rsid w:val="009F1097"/>
    <w:rsid w:val="009F3459"/>
    <w:rsid w:val="009F7C6B"/>
    <w:rsid w:val="00A0061F"/>
    <w:rsid w:val="00A01822"/>
    <w:rsid w:val="00A02CA0"/>
    <w:rsid w:val="00A041CD"/>
    <w:rsid w:val="00A07410"/>
    <w:rsid w:val="00A10FFC"/>
    <w:rsid w:val="00A123AE"/>
    <w:rsid w:val="00A14D02"/>
    <w:rsid w:val="00A157FB"/>
    <w:rsid w:val="00A2077B"/>
    <w:rsid w:val="00A211C0"/>
    <w:rsid w:val="00A21E75"/>
    <w:rsid w:val="00A21FC1"/>
    <w:rsid w:val="00A228A7"/>
    <w:rsid w:val="00A2441B"/>
    <w:rsid w:val="00A253AD"/>
    <w:rsid w:val="00A26065"/>
    <w:rsid w:val="00A2687B"/>
    <w:rsid w:val="00A30B44"/>
    <w:rsid w:val="00A30B75"/>
    <w:rsid w:val="00A32AFA"/>
    <w:rsid w:val="00A32C8E"/>
    <w:rsid w:val="00A33507"/>
    <w:rsid w:val="00A340F0"/>
    <w:rsid w:val="00A36E99"/>
    <w:rsid w:val="00A41394"/>
    <w:rsid w:val="00A427E7"/>
    <w:rsid w:val="00A44903"/>
    <w:rsid w:val="00A44EBA"/>
    <w:rsid w:val="00A46247"/>
    <w:rsid w:val="00A477E3"/>
    <w:rsid w:val="00A5111A"/>
    <w:rsid w:val="00A53E71"/>
    <w:rsid w:val="00A602B8"/>
    <w:rsid w:val="00A609EC"/>
    <w:rsid w:val="00A62D5F"/>
    <w:rsid w:val="00A64793"/>
    <w:rsid w:val="00A71316"/>
    <w:rsid w:val="00A730CA"/>
    <w:rsid w:val="00A74E95"/>
    <w:rsid w:val="00A76B5E"/>
    <w:rsid w:val="00A81ADD"/>
    <w:rsid w:val="00A834EA"/>
    <w:rsid w:val="00A852FD"/>
    <w:rsid w:val="00A855CF"/>
    <w:rsid w:val="00A857DE"/>
    <w:rsid w:val="00A87EEC"/>
    <w:rsid w:val="00A92F68"/>
    <w:rsid w:val="00A93A8E"/>
    <w:rsid w:val="00A9460F"/>
    <w:rsid w:val="00A94D97"/>
    <w:rsid w:val="00A96CEB"/>
    <w:rsid w:val="00AA09E5"/>
    <w:rsid w:val="00AA0EC7"/>
    <w:rsid w:val="00AA3DF8"/>
    <w:rsid w:val="00AB04BD"/>
    <w:rsid w:val="00AB0803"/>
    <w:rsid w:val="00AB2A7A"/>
    <w:rsid w:val="00AB2E30"/>
    <w:rsid w:val="00AB3210"/>
    <w:rsid w:val="00AB750C"/>
    <w:rsid w:val="00AC1A56"/>
    <w:rsid w:val="00AC3AAA"/>
    <w:rsid w:val="00AC6AD5"/>
    <w:rsid w:val="00AC79C6"/>
    <w:rsid w:val="00AD2B99"/>
    <w:rsid w:val="00AD385C"/>
    <w:rsid w:val="00AD470F"/>
    <w:rsid w:val="00AD6FAB"/>
    <w:rsid w:val="00AE3D6D"/>
    <w:rsid w:val="00AE7FDD"/>
    <w:rsid w:val="00AF1BEB"/>
    <w:rsid w:val="00AF2B51"/>
    <w:rsid w:val="00AF38F1"/>
    <w:rsid w:val="00AF48E8"/>
    <w:rsid w:val="00AF6AA6"/>
    <w:rsid w:val="00AF6C81"/>
    <w:rsid w:val="00AF6CB1"/>
    <w:rsid w:val="00B00102"/>
    <w:rsid w:val="00B0482C"/>
    <w:rsid w:val="00B06A4B"/>
    <w:rsid w:val="00B113A6"/>
    <w:rsid w:val="00B13793"/>
    <w:rsid w:val="00B14943"/>
    <w:rsid w:val="00B16623"/>
    <w:rsid w:val="00B16B56"/>
    <w:rsid w:val="00B20A28"/>
    <w:rsid w:val="00B218F6"/>
    <w:rsid w:val="00B228D3"/>
    <w:rsid w:val="00B237DD"/>
    <w:rsid w:val="00B24543"/>
    <w:rsid w:val="00B27748"/>
    <w:rsid w:val="00B27B1F"/>
    <w:rsid w:val="00B30981"/>
    <w:rsid w:val="00B331FA"/>
    <w:rsid w:val="00B40E73"/>
    <w:rsid w:val="00B40EBD"/>
    <w:rsid w:val="00B40F80"/>
    <w:rsid w:val="00B41492"/>
    <w:rsid w:val="00B4214E"/>
    <w:rsid w:val="00B42352"/>
    <w:rsid w:val="00B44805"/>
    <w:rsid w:val="00B44E9F"/>
    <w:rsid w:val="00B4683B"/>
    <w:rsid w:val="00B46D96"/>
    <w:rsid w:val="00B470A1"/>
    <w:rsid w:val="00B507F1"/>
    <w:rsid w:val="00B512C3"/>
    <w:rsid w:val="00B51995"/>
    <w:rsid w:val="00B5247E"/>
    <w:rsid w:val="00B52EC9"/>
    <w:rsid w:val="00B60C62"/>
    <w:rsid w:val="00B60E0D"/>
    <w:rsid w:val="00B6126C"/>
    <w:rsid w:val="00B63F32"/>
    <w:rsid w:val="00B7051A"/>
    <w:rsid w:val="00B71B72"/>
    <w:rsid w:val="00B71F1C"/>
    <w:rsid w:val="00B7400E"/>
    <w:rsid w:val="00B76571"/>
    <w:rsid w:val="00B76625"/>
    <w:rsid w:val="00B778E4"/>
    <w:rsid w:val="00B80F68"/>
    <w:rsid w:val="00B835B2"/>
    <w:rsid w:val="00B84D0E"/>
    <w:rsid w:val="00B8687A"/>
    <w:rsid w:val="00B8719E"/>
    <w:rsid w:val="00B90B76"/>
    <w:rsid w:val="00B961BF"/>
    <w:rsid w:val="00BA44FF"/>
    <w:rsid w:val="00BA709A"/>
    <w:rsid w:val="00BA7463"/>
    <w:rsid w:val="00BB26D7"/>
    <w:rsid w:val="00BB3762"/>
    <w:rsid w:val="00BB39EA"/>
    <w:rsid w:val="00BB3AED"/>
    <w:rsid w:val="00BB7718"/>
    <w:rsid w:val="00BC1DE7"/>
    <w:rsid w:val="00BC2201"/>
    <w:rsid w:val="00BC416F"/>
    <w:rsid w:val="00BC7E13"/>
    <w:rsid w:val="00BC7FDA"/>
    <w:rsid w:val="00BD0B8C"/>
    <w:rsid w:val="00BD4AF7"/>
    <w:rsid w:val="00BD505C"/>
    <w:rsid w:val="00BD7C2A"/>
    <w:rsid w:val="00BE4ACA"/>
    <w:rsid w:val="00BE70EE"/>
    <w:rsid w:val="00BF3E60"/>
    <w:rsid w:val="00BF401B"/>
    <w:rsid w:val="00BF4195"/>
    <w:rsid w:val="00BF5FD0"/>
    <w:rsid w:val="00BF7DAA"/>
    <w:rsid w:val="00C03E48"/>
    <w:rsid w:val="00C07881"/>
    <w:rsid w:val="00C10637"/>
    <w:rsid w:val="00C11930"/>
    <w:rsid w:val="00C141F4"/>
    <w:rsid w:val="00C149AF"/>
    <w:rsid w:val="00C14A4E"/>
    <w:rsid w:val="00C216F1"/>
    <w:rsid w:val="00C21FC2"/>
    <w:rsid w:val="00C22A42"/>
    <w:rsid w:val="00C22C99"/>
    <w:rsid w:val="00C26765"/>
    <w:rsid w:val="00C272E2"/>
    <w:rsid w:val="00C34149"/>
    <w:rsid w:val="00C352BD"/>
    <w:rsid w:val="00C36A93"/>
    <w:rsid w:val="00C36F83"/>
    <w:rsid w:val="00C40E86"/>
    <w:rsid w:val="00C43C37"/>
    <w:rsid w:val="00C45C28"/>
    <w:rsid w:val="00C52E14"/>
    <w:rsid w:val="00C53E14"/>
    <w:rsid w:val="00C54A89"/>
    <w:rsid w:val="00C572A7"/>
    <w:rsid w:val="00C65BCD"/>
    <w:rsid w:val="00C65CD7"/>
    <w:rsid w:val="00C665D2"/>
    <w:rsid w:val="00C73F90"/>
    <w:rsid w:val="00C756C1"/>
    <w:rsid w:val="00C767D4"/>
    <w:rsid w:val="00C768C4"/>
    <w:rsid w:val="00C7690D"/>
    <w:rsid w:val="00C77A0E"/>
    <w:rsid w:val="00C80C0E"/>
    <w:rsid w:val="00C81DD3"/>
    <w:rsid w:val="00C844DD"/>
    <w:rsid w:val="00C845E7"/>
    <w:rsid w:val="00C84D7F"/>
    <w:rsid w:val="00C8512E"/>
    <w:rsid w:val="00C85A15"/>
    <w:rsid w:val="00C8664E"/>
    <w:rsid w:val="00C86EB9"/>
    <w:rsid w:val="00C91707"/>
    <w:rsid w:val="00C9579F"/>
    <w:rsid w:val="00C96461"/>
    <w:rsid w:val="00C97295"/>
    <w:rsid w:val="00CA0FC1"/>
    <w:rsid w:val="00CA4DC3"/>
    <w:rsid w:val="00CA6286"/>
    <w:rsid w:val="00CB4560"/>
    <w:rsid w:val="00CB4E93"/>
    <w:rsid w:val="00CB630D"/>
    <w:rsid w:val="00CB631B"/>
    <w:rsid w:val="00CB6AB6"/>
    <w:rsid w:val="00CB7DE2"/>
    <w:rsid w:val="00CC079B"/>
    <w:rsid w:val="00CC1454"/>
    <w:rsid w:val="00CC232E"/>
    <w:rsid w:val="00CC64E4"/>
    <w:rsid w:val="00CC67C0"/>
    <w:rsid w:val="00CC7762"/>
    <w:rsid w:val="00CD052C"/>
    <w:rsid w:val="00CD1465"/>
    <w:rsid w:val="00CD1804"/>
    <w:rsid w:val="00CD28A5"/>
    <w:rsid w:val="00CD3CC2"/>
    <w:rsid w:val="00CD5F68"/>
    <w:rsid w:val="00CE05A0"/>
    <w:rsid w:val="00CE0C5C"/>
    <w:rsid w:val="00CE3A6B"/>
    <w:rsid w:val="00CE567C"/>
    <w:rsid w:val="00CF4538"/>
    <w:rsid w:val="00CF47BA"/>
    <w:rsid w:val="00CF4845"/>
    <w:rsid w:val="00CF569C"/>
    <w:rsid w:val="00CF651C"/>
    <w:rsid w:val="00D02083"/>
    <w:rsid w:val="00D029D3"/>
    <w:rsid w:val="00D05126"/>
    <w:rsid w:val="00D05F22"/>
    <w:rsid w:val="00D061A2"/>
    <w:rsid w:val="00D10E78"/>
    <w:rsid w:val="00D110B8"/>
    <w:rsid w:val="00D1221A"/>
    <w:rsid w:val="00D13206"/>
    <w:rsid w:val="00D139C1"/>
    <w:rsid w:val="00D14E46"/>
    <w:rsid w:val="00D17FC2"/>
    <w:rsid w:val="00D2291F"/>
    <w:rsid w:val="00D229EC"/>
    <w:rsid w:val="00D236B3"/>
    <w:rsid w:val="00D23C16"/>
    <w:rsid w:val="00D2432F"/>
    <w:rsid w:val="00D261E2"/>
    <w:rsid w:val="00D268B5"/>
    <w:rsid w:val="00D27CAE"/>
    <w:rsid w:val="00D3362C"/>
    <w:rsid w:val="00D348F4"/>
    <w:rsid w:val="00D359B8"/>
    <w:rsid w:val="00D35A31"/>
    <w:rsid w:val="00D35E9A"/>
    <w:rsid w:val="00D37F92"/>
    <w:rsid w:val="00D41511"/>
    <w:rsid w:val="00D4156E"/>
    <w:rsid w:val="00D42288"/>
    <w:rsid w:val="00D433AA"/>
    <w:rsid w:val="00D43B28"/>
    <w:rsid w:val="00D445CA"/>
    <w:rsid w:val="00D44C1E"/>
    <w:rsid w:val="00D44F75"/>
    <w:rsid w:val="00D4562A"/>
    <w:rsid w:val="00D4784A"/>
    <w:rsid w:val="00D47C4E"/>
    <w:rsid w:val="00D505F9"/>
    <w:rsid w:val="00D51068"/>
    <w:rsid w:val="00D55A49"/>
    <w:rsid w:val="00D5601F"/>
    <w:rsid w:val="00D638F4"/>
    <w:rsid w:val="00D64518"/>
    <w:rsid w:val="00D675ED"/>
    <w:rsid w:val="00D67A8C"/>
    <w:rsid w:val="00D70F50"/>
    <w:rsid w:val="00D72505"/>
    <w:rsid w:val="00D72597"/>
    <w:rsid w:val="00D75E46"/>
    <w:rsid w:val="00D7767C"/>
    <w:rsid w:val="00D77D9D"/>
    <w:rsid w:val="00D8019F"/>
    <w:rsid w:val="00D8195F"/>
    <w:rsid w:val="00D8324A"/>
    <w:rsid w:val="00D835E7"/>
    <w:rsid w:val="00D85222"/>
    <w:rsid w:val="00D856CF"/>
    <w:rsid w:val="00D85A62"/>
    <w:rsid w:val="00D860AC"/>
    <w:rsid w:val="00D86567"/>
    <w:rsid w:val="00D926FB"/>
    <w:rsid w:val="00D92C0A"/>
    <w:rsid w:val="00D9593F"/>
    <w:rsid w:val="00D97E4E"/>
    <w:rsid w:val="00DA1DDA"/>
    <w:rsid w:val="00DA663E"/>
    <w:rsid w:val="00DA67F4"/>
    <w:rsid w:val="00DB0F67"/>
    <w:rsid w:val="00DB2060"/>
    <w:rsid w:val="00DB43A8"/>
    <w:rsid w:val="00DB4A51"/>
    <w:rsid w:val="00DB55CC"/>
    <w:rsid w:val="00DB60D2"/>
    <w:rsid w:val="00DB6A19"/>
    <w:rsid w:val="00DB7A87"/>
    <w:rsid w:val="00DC31BA"/>
    <w:rsid w:val="00DC35FF"/>
    <w:rsid w:val="00DC363D"/>
    <w:rsid w:val="00DC38F2"/>
    <w:rsid w:val="00DC7A4F"/>
    <w:rsid w:val="00DD05E4"/>
    <w:rsid w:val="00DD0749"/>
    <w:rsid w:val="00DD2863"/>
    <w:rsid w:val="00DD31EA"/>
    <w:rsid w:val="00DD3364"/>
    <w:rsid w:val="00DD46B5"/>
    <w:rsid w:val="00DD5078"/>
    <w:rsid w:val="00DD56A0"/>
    <w:rsid w:val="00DE0A53"/>
    <w:rsid w:val="00DE0E1A"/>
    <w:rsid w:val="00DE2006"/>
    <w:rsid w:val="00DE2FC5"/>
    <w:rsid w:val="00DE63AC"/>
    <w:rsid w:val="00DF2DD6"/>
    <w:rsid w:val="00DF2E8D"/>
    <w:rsid w:val="00DF4430"/>
    <w:rsid w:val="00DF4AE9"/>
    <w:rsid w:val="00DF4E71"/>
    <w:rsid w:val="00E020B8"/>
    <w:rsid w:val="00E02C36"/>
    <w:rsid w:val="00E03235"/>
    <w:rsid w:val="00E03CE8"/>
    <w:rsid w:val="00E04D11"/>
    <w:rsid w:val="00E058D5"/>
    <w:rsid w:val="00E067AF"/>
    <w:rsid w:val="00E07B08"/>
    <w:rsid w:val="00E10CC3"/>
    <w:rsid w:val="00E1484D"/>
    <w:rsid w:val="00E14C53"/>
    <w:rsid w:val="00E15723"/>
    <w:rsid w:val="00E200F6"/>
    <w:rsid w:val="00E232BD"/>
    <w:rsid w:val="00E27687"/>
    <w:rsid w:val="00E27902"/>
    <w:rsid w:val="00E319E7"/>
    <w:rsid w:val="00E33579"/>
    <w:rsid w:val="00E34511"/>
    <w:rsid w:val="00E37248"/>
    <w:rsid w:val="00E40570"/>
    <w:rsid w:val="00E41D6B"/>
    <w:rsid w:val="00E4220E"/>
    <w:rsid w:val="00E42AF8"/>
    <w:rsid w:val="00E42BD1"/>
    <w:rsid w:val="00E44F6A"/>
    <w:rsid w:val="00E456E5"/>
    <w:rsid w:val="00E4592A"/>
    <w:rsid w:val="00E52E60"/>
    <w:rsid w:val="00E554A8"/>
    <w:rsid w:val="00E556F7"/>
    <w:rsid w:val="00E563E1"/>
    <w:rsid w:val="00E564F6"/>
    <w:rsid w:val="00E64CE7"/>
    <w:rsid w:val="00E67065"/>
    <w:rsid w:val="00E70660"/>
    <w:rsid w:val="00E70834"/>
    <w:rsid w:val="00E7282B"/>
    <w:rsid w:val="00E735C0"/>
    <w:rsid w:val="00E73CEE"/>
    <w:rsid w:val="00E75A71"/>
    <w:rsid w:val="00E7620A"/>
    <w:rsid w:val="00E8297A"/>
    <w:rsid w:val="00E82B03"/>
    <w:rsid w:val="00E9491B"/>
    <w:rsid w:val="00E94A13"/>
    <w:rsid w:val="00E95F4A"/>
    <w:rsid w:val="00E9660B"/>
    <w:rsid w:val="00E97CAC"/>
    <w:rsid w:val="00EA1878"/>
    <w:rsid w:val="00EA2A98"/>
    <w:rsid w:val="00EA3429"/>
    <w:rsid w:val="00EA3960"/>
    <w:rsid w:val="00EA6AD7"/>
    <w:rsid w:val="00EA7302"/>
    <w:rsid w:val="00EB0D18"/>
    <w:rsid w:val="00EB1CFE"/>
    <w:rsid w:val="00EB2958"/>
    <w:rsid w:val="00EB45A1"/>
    <w:rsid w:val="00EB46CB"/>
    <w:rsid w:val="00EC03CB"/>
    <w:rsid w:val="00EC0A19"/>
    <w:rsid w:val="00EC3166"/>
    <w:rsid w:val="00EC3531"/>
    <w:rsid w:val="00EC42B0"/>
    <w:rsid w:val="00EC4379"/>
    <w:rsid w:val="00EC5042"/>
    <w:rsid w:val="00ED0FA5"/>
    <w:rsid w:val="00ED268B"/>
    <w:rsid w:val="00ED32A7"/>
    <w:rsid w:val="00ED3A4A"/>
    <w:rsid w:val="00ED43E6"/>
    <w:rsid w:val="00ED5100"/>
    <w:rsid w:val="00ED6D52"/>
    <w:rsid w:val="00EE05F4"/>
    <w:rsid w:val="00EE0C38"/>
    <w:rsid w:val="00EE242A"/>
    <w:rsid w:val="00EE50F5"/>
    <w:rsid w:val="00EF0D1E"/>
    <w:rsid w:val="00EF2797"/>
    <w:rsid w:val="00EF2B3E"/>
    <w:rsid w:val="00EF3256"/>
    <w:rsid w:val="00EF37A4"/>
    <w:rsid w:val="00F03E4A"/>
    <w:rsid w:val="00F059B9"/>
    <w:rsid w:val="00F05A1D"/>
    <w:rsid w:val="00F123CA"/>
    <w:rsid w:val="00F127FF"/>
    <w:rsid w:val="00F13BFA"/>
    <w:rsid w:val="00F15D54"/>
    <w:rsid w:val="00F2056C"/>
    <w:rsid w:val="00F21BF4"/>
    <w:rsid w:val="00F239CE"/>
    <w:rsid w:val="00F261CB"/>
    <w:rsid w:val="00F26C34"/>
    <w:rsid w:val="00F27E27"/>
    <w:rsid w:val="00F30A64"/>
    <w:rsid w:val="00F31930"/>
    <w:rsid w:val="00F31C1F"/>
    <w:rsid w:val="00F31F71"/>
    <w:rsid w:val="00F343B3"/>
    <w:rsid w:val="00F34D52"/>
    <w:rsid w:val="00F40805"/>
    <w:rsid w:val="00F41330"/>
    <w:rsid w:val="00F41EFA"/>
    <w:rsid w:val="00F42C61"/>
    <w:rsid w:val="00F43D73"/>
    <w:rsid w:val="00F50026"/>
    <w:rsid w:val="00F50168"/>
    <w:rsid w:val="00F50C4F"/>
    <w:rsid w:val="00F50DF8"/>
    <w:rsid w:val="00F51381"/>
    <w:rsid w:val="00F5359C"/>
    <w:rsid w:val="00F55194"/>
    <w:rsid w:val="00F6084C"/>
    <w:rsid w:val="00F61E29"/>
    <w:rsid w:val="00F64333"/>
    <w:rsid w:val="00F64AB1"/>
    <w:rsid w:val="00F65ABD"/>
    <w:rsid w:val="00F67D86"/>
    <w:rsid w:val="00F70EBB"/>
    <w:rsid w:val="00F71063"/>
    <w:rsid w:val="00F71791"/>
    <w:rsid w:val="00F72BB9"/>
    <w:rsid w:val="00F7492B"/>
    <w:rsid w:val="00F74BFA"/>
    <w:rsid w:val="00F76392"/>
    <w:rsid w:val="00F8291B"/>
    <w:rsid w:val="00F83553"/>
    <w:rsid w:val="00F856CA"/>
    <w:rsid w:val="00F92E74"/>
    <w:rsid w:val="00F93251"/>
    <w:rsid w:val="00F94DA9"/>
    <w:rsid w:val="00F970E0"/>
    <w:rsid w:val="00F97124"/>
    <w:rsid w:val="00F97A28"/>
    <w:rsid w:val="00F97F99"/>
    <w:rsid w:val="00FA14B1"/>
    <w:rsid w:val="00FA14CD"/>
    <w:rsid w:val="00FA65DE"/>
    <w:rsid w:val="00FA6CB5"/>
    <w:rsid w:val="00FB040D"/>
    <w:rsid w:val="00FB09FC"/>
    <w:rsid w:val="00FB10E3"/>
    <w:rsid w:val="00FB12D1"/>
    <w:rsid w:val="00FB6A11"/>
    <w:rsid w:val="00FB77D4"/>
    <w:rsid w:val="00FC0233"/>
    <w:rsid w:val="00FC3D35"/>
    <w:rsid w:val="00FC4E27"/>
    <w:rsid w:val="00FC6E46"/>
    <w:rsid w:val="00FD2017"/>
    <w:rsid w:val="00FD41A8"/>
    <w:rsid w:val="00FD5084"/>
    <w:rsid w:val="00FD5A67"/>
    <w:rsid w:val="00FE58A7"/>
    <w:rsid w:val="00FE779E"/>
    <w:rsid w:val="00FF1246"/>
    <w:rsid w:val="00FF2227"/>
    <w:rsid w:val="00FF31BF"/>
    <w:rsid w:val="00FF6270"/>
    <w:rsid w:val="00FF7815"/>
    <w:rsid w:val="00FF7DD4"/>
    <w:rsid w:val="013753CC"/>
    <w:rsid w:val="01935887"/>
    <w:rsid w:val="01A22C15"/>
    <w:rsid w:val="01BD17FD"/>
    <w:rsid w:val="01CA4716"/>
    <w:rsid w:val="020C36AE"/>
    <w:rsid w:val="02757670"/>
    <w:rsid w:val="03652A85"/>
    <w:rsid w:val="03D32BD3"/>
    <w:rsid w:val="047564C3"/>
    <w:rsid w:val="048B7F3E"/>
    <w:rsid w:val="049E4908"/>
    <w:rsid w:val="04CC341D"/>
    <w:rsid w:val="04EB48D3"/>
    <w:rsid w:val="04FD1BBC"/>
    <w:rsid w:val="05137CD7"/>
    <w:rsid w:val="05594AD8"/>
    <w:rsid w:val="05704821"/>
    <w:rsid w:val="05ED2BE6"/>
    <w:rsid w:val="060B26E0"/>
    <w:rsid w:val="068F0425"/>
    <w:rsid w:val="06AC7876"/>
    <w:rsid w:val="0710753F"/>
    <w:rsid w:val="07706573"/>
    <w:rsid w:val="07A1396F"/>
    <w:rsid w:val="084566B4"/>
    <w:rsid w:val="08493353"/>
    <w:rsid w:val="08626E34"/>
    <w:rsid w:val="08AE4838"/>
    <w:rsid w:val="090123EF"/>
    <w:rsid w:val="09EE4ED3"/>
    <w:rsid w:val="09F47D86"/>
    <w:rsid w:val="0A0C0104"/>
    <w:rsid w:val="0A7228E6"/>
    <w:rsid w:val="0AED156D"/>
    <w:rsid w:val="0AEE6A7D"/>
    <w:rsid w:val="0B0F5994"/>
    <w:rsid w:val="0B10118F"/>
    <w:rsid w:val="0B7926ED"/>
    <w:rsid w:val="0B8F6316"/>
    <w:rsid w:val="0B9A44B2"/>
    <w:rsid w:val="0BCB720C"/>
    <w:rsid w:val="0BEF2EFA"/>
    <w:rsid w:val="0BFC73C5"/>
    <w:rsid w:val="0C1E2BA0"/>
    <w:rsid w:val="0C57284E"/>
    <w:rsid w:val="0C765CB2"/>
    <w:rsid w:val="0C774C9E"/>
    <w:rsid w:val="0C822209"/>
    <w:rsid w:val="0CA41166"/>
    <w:rsid w:val="0CA72335"/>
    <w:rsid w:val="0CE82647"/>
    <w:rsid w:val="0CE9189A"/>
    <w:rsid w:val="0CFC67F1"/>
    <w:rsid w:val="0D044CC3"/>
    <w:rsid w:val="0D501777"/>
    <w:rsid w:val="0D5B011C"/>
    <w:rsid w:val="0D9C6CA3"/>
    <w:rsid w:val="0DAB2E51"/>
    <w:rsid w:val="0DC9562E"/>
    <w:rsid w:val="0E016F15"/>
    <w:rsid w:val="0E323F1F"/>
    <w:rsid w:val="0E39330B"/>
    <w:rsid w:val="0E765097"/>
    <w:rsid w:val="0E970358"/>
    <w:rsid w:val="0EA457CF"/>
    <w:rsid w:val="0F222CCA"/>
    <w:rsid w:val="0F4D2FB0"/>
    <w:rsid w:val="0F543075"/>
    <w:rsid w:val="0FC63F72"/>
    <w:rsid w:val="0FD5018E"/>
    <w:rsid w:val="10196674"/>
    <w:rsid w:val="10343C25"/>
    <w:rsid w:val="10392EAE"/>
    <w:rsid w:val="10427581"/>
    <w:rsid w:val="10463305"/>
    <w:rsid w:val="10512B21"/>
    <w:rsid w:val="10706EC2"/>
    <w:rsid w:val="107A78F7"/>
    <w:rsid w:val="11027CDF"/>
    <w:rsid w:val="11302AA6"/>
    <w:rsid w:val="114C44D7"/>
    <w:rsid w:val="119A23D5"/>
    <w:rsid w:val="11A9358C"/>
    <w:rsid w:val="11B148A6"/>
    <w:rsid w:val="11E80927"/>
    <w:rsid w:val="11F00FCA"/>
    <w:rsid w:val="12807280"/>
    <w:rsid w:val="128F747C"/>
    <w:rsid w:val="13497394"/>
    <w:rsid w:val="13A806A2"/>
    <w:rsid w:val="13C57D8F"/>
    <w:rsid w:val="13E4006A"/>
    <w:rsid w:val="142B0848"/>
    <w:rsid w:val="146855F8"/>
    <w:rsid w:val="148461AA"/>
    <w:rsid w:val="148463E6"/>
    <w:rsid w:val="14877923"/>
    <w:rsid w:val="14D20D9B"/>
    <w:rsid w:val="14DC7D94"/>
    <w:rsid w:val="150056CA"/>
    <w:rsid w:val="154C1402"/>
    <w:rsid w:val="155B4089"/>
    <w:rsid w:val="1573543F"/>
    <w:rsid w:val="15A72BED"/>
    <w:rsid w:val="15E9009E"/>
    <w:rsid w:val="160B0931"/>
    <w:rsid w:val="1621170E"/>
    <w:rsid w:val="16340DB5"/>
    <w:rsid w:val="166B5B25"/>
    <w:rsid w:val="175260F8"/>
    <w:rsid w:val="17A57C3D"/>
    <w:rsid w:val="17A90F8D"/>
    <w:rsid w:val="17C949BE"/>
    <w:rsid w:val="17EB6C6C"/>
    <w:rsid w:val="18414ADE"/>
    <w:rsid w:val="18B91D2B"/>
    <w:rsid w:val="18C40414"/>
    <w:rsid w:val="19147050"/>
    <w:rsid w:val="19892EAC"/>
    <w:rsid w:val="19FC3DB8"/>
    <w:rsid w:val="1A09212D"/>
    <w:rsid w:val="1A311F87"/>
    <w:rsid w:val="1A5B1D0B"/>
    <w:rsid w:val="1A645309"/>
    <w:rsid w:val="1A6A6D44"/>
    <w:rsid w:val="1A73269A"/>
    <w:rsid w:val="1A817123"/>
    <w:rsid w:val="1AE63AF4"/>
    <w:rsid w:val="1AF3213D"/>
    <w:rsid w:val="1B577BEC"/>
    <w:rsid w:val="1B836D49"/>
    <w:rsid w:val="1B843F93"/>
    <w:rsid w:val="1B876171"/>
    <w:rsid w:val="1BE11015"/>
    <w:rsid w:val="1C0707D5"/>
    <w:rsid w:val="1C093ECB"/>
    <w:rsid w:val="1C4A5F2B"/>
    <w:rsid w:val="1C5055DA"/>
    <w:rsid w:val="1C623E1B"/>
    <w:rsid w:val="1C6F0E4C"/>
    <w:rsid w:val="1C777C19"/>
    <w:rsid w:val="1C964CCC"/>
    <w:rsid w:val="1C9A3AD9"/>
    <w:rsid w:val="1CE4433A"/>
    <w:rsid w:val="1CEB7466"/>
    <w:rsid w:val="1CFE21F4"/>
    <w:rsid w:val="1D494FEE"/>
    <w:rsid w:val="1DA10A8E"/>
    <w:rsid w:val="1DFC4F05"/>
    <w:rsid w:val="1E1322EE"/>
    <w:rsid w:val="1E2E4B09"/>
    <w:rsid w:val="1EE84AA8"/>
    <w:rsid w:val="1F672950"/>
    <w:rsid w:val="1FB6261F"/>
    <w:rsid w:val="200E28C0"/>
    <w:rsid w:val="20177E63"/>
    <w:rsid w:val="20A92BF7"/>
    <w:rsid w:val="20EB1A8B"/>
    <w:rsid w:val="213D7E0C"/>
    <w:rsid w:val="218C3E6E"/>
    <w:rsid w:val="21F0700C"/>
    <w:rsid w:val="220F736D"/>
    <w:rsid w:val="2240400F"/>
    <w:rsid w:val="225464D8"/>
    <w:rsid w:val="228447E5"/>
    <w:rsid w:val="22F72F53"/>
    <w:rsid w:val="231748C4"/>
    <w:rsid w:val="23243032"/>
    <w:rsid w:val="233274A8"/>
    <w:rsid w:val="23424F53"/>
    <w:rsid w:val="236E14E2"/>
    <w:rsid w:val="238B2D47"/>
    <w:rsid w:val="23B15197"/>
    <w:rsid w:val="23D000D7"/>
    <w:rsid w:val="241148CA"/>
    <w:rsid w:val="24AA5E8C"/>
    <w:rsid w:val="24B91ED9"/>
    <w:rsid w:val="24CD73D4"/>
    <w:rsid w:val="24D36C65"/>
    <w:rsid w:val="25A10C48"/>
    <w:rsid w:val="25AA522C"/>
    <w:rsid w:val="25D845A8"/>
    <w:rsid w:val="25DE7E96"/>
    <w:rsid w:val="264A37A1"/>
    <w:rsid w:val="266A51AE"/>
    <w:rsid w:val="26702B51"/>
    <w:rsid w:val="26776149"/>
    <w:rsid w:val="26A5448A"/>
    <w:rsid w:val="26BC535F"/>
    <w:rsid w:val="26C568DA"/>
    <w:rsid w:val="276B2AFB"/>
    <w:rsid w:val="27BB5942"/>
    <w:rsid w:val="27F81643"/>
    <w:rsid w:val="28044A40"/>
    <w:rsid w:val="282D2989"/>
    <w:rsid w:val="28573B25"/>
    <w:rsid w:val="285C13AA"/>
    <w:rsid w:val="28B40744"/>
    <w:rsid w:val="29D148D0"/>
    <w:rsid w:val="29E912AC"/>
    <w:rsid w:val="2A58320D"/>
    <w:rsid w:val="2A834AE2"/>
    <w:rsid w:val="2A9154ED"/>
    <w:rsid w:val="2AAA3E5D"/>
    <w:rsid w:val="2AC803DC"/>
    <w:rsid w:val="2B4A3835"/>
    <w:rsid w:val="2B583E5F"/>
    <w:rsid w:val="2B604E23"/>
    <w:rsid w:val="2B70070F"/>
    <w:rsid w:val="2C0D220F"/>
    <w:rsid w:val="2C684B43"/>
    <w:rsid w:val="2C7C160C"/>
    <w:rsid w:val="2D5B4EDB"/>
    <w:rsid w:val="2DD3075D"/>
    <w:rsid w:val="2E132621"/>
    <w:rsid w:val="2E177519"/>
    <w:rsid w:val="2EB77031"/>
    <w:rsid w:val="2F136293"/>
    <w:rsid w:val="2F195BC6"/>
    <w:rsid w:val="2F3F2801"/>
    <w:rsid w:val="2F6756CF"/>
    <w:rsid w:val="2F9F238D"/>
    <w:rsid w:val="2FA10FC4"/>
    <w:rsid w:val="2FC833D9"/>
    <w:rsid w:val="30143D85"/>
    <w:rsid w:val="30684234"/>
    <w:rsid w:val="307B07BC"/>
    <w:rsid w:val="3095556F"/>
    <w:rsid w:val="3098505F"/>
    <w:rsid w:val="30A43F6E"/>
    <w:rsid w:val="312B5ED3"/>
    <w:rsid w:val="31752B09"/>
    <w:rsid w:val="31A04819"/>
    <w:rsid w:val="31D16A3A"/>
    <w:rsid w:val="320A7897"/>
    <w:rsid w:val="322377C7"/>
    <w:rsid w:val="324E2BA1"/>
    <w:rsid w:val="33096800"/>
    <w:rsid w:val="33204F3D"/>
    <w:rsid w:val="333662B6"/>
    <w:rsid w:val="336B0809"/>
    <w:rsid w:val="33837901"/>
    <w:rsid w:val="339A4C4A"/>
    <w:rsid w:val="33E12879"/>
    <w:rsid w:val="341548E3"/>
    <w:rsid w:val="341B3FDD"/>
    <w:rsid w:val="34B62F66"/>
    <w:rsid w:val="34C76150"/>
    <w:rsid w:val="34FB1589"/>
    <w:rsid w:val="355C61D4"/>
    <w:rsid w:val="35B71AE4"/>
    <w:rsid w:val="35D5147A"/>
    <w:rsid w:val="35D808BB"/>
    <w:rsid w:val="3682482C"/>
    <w:rsid w:val="36825FEF"/>
    <w:rsid w:val="36857E34"/>
    <w:rsid w:val="36AB4259"/>
    <w:rsid w:val="36B718D0"/>
    <w:rsid w:val="36BB3856"/>
    <w:rsid w:val="36FE3EBB"/>
    <w:rsid w:val="371D62BE"/>
    <w:rsid w:val="37604154"/>
    <w:rsid w:val="37712A39"/>
    <w:rsid w:val="38907B06"/>
    <w:rsid w:val="389D555A"/>
    <w:rsid w:val="391060DB"/>
    <w:rsid w:val="393020AF"/>
    <w:rsid w:val="39653AC8"/>
    <w:rsid w:val="39EE4B7F"/>
    <w:rsid w:val="39FB2E26"/>
    <w:rsid w:val="3A12378C"/>
    <w:rsid w:val="3A695377"/>
    <w:rsid w:val="3A905360"/>
    <w:rsid w:val="3AE50133"/>
    <w:rsid w:val="3B345EA5"/>
    <w:rsid w:val="3B5878C5"/>
    <w:rsid w:val="3B893F22"/>
    <w:rsid w:val="3BB52F69"/>
    <w:rsid w:val="3BD85E01"/>
    <w:rsid w:val="3C3F1934"/>
    <w:rsid w:val="3C771791"/>
    <w:rsid w:val="3C823306"/>
    <w:rsid w:val="3D3544E2"/>
    <w:rsid w:val="3D675627"/>
    <w:rsid w:val="3D6E33D0"/>
    <w:rsid w:val="3DB531EC"/>
    <w:rsid w:val="3DBA472C"/>
    <w:rsid w:val="3DEE38C5"/>
    <w:rsid w:val="3E570308"/>
    <w:rsid w:val="3E68614F"/>
    <w:rsid w:val="3E780CCC"/>
    <w:rsid w:val="3E7F6C81"/>
    <w:rsid w:val="3F026C46"/>
    <w:rsid w:val="3F2504E6"/>
    <w:rsid w:val="3F32553B"/>
    <w:rsid w:val="3F391B44"/>
    <w:rsid w:val="3F81094E"/>
    <w:rsid w:val="400E16D7"/>
    <w:rsid w:val="400E35CF"/>
    <w:rsid w:val="4033445D"/>
    <w:rsid w:val="4039669A"/>
    <w:rsid w:val="408F4464"/>
    <w:rsid w:val="40980764"/>
    <w:rsid w:val="40A84E4B"/>
    <w:rsid w:val="40AD7079"/>
    <w:rsid w:val="40E318C7"/>
    <w:rsid w:val="40E65973"/>
    <w:rsid w:val="41395AA3"/>
    <w:rsid w:val="41962EED"/>
    <w:rsid w:val="41CC707C"/>
    <w:rsid w:val="420C7213"/>
    <w:rsid w:val="4218760A"/>
    <w:rsid w:val="423C6701"/>
    <w:rsid w:val="42817701"/>
    <w:rsid w:val="42C14D2C"/>
    <w:rsid w:val="42E3216A"/>
    <w:rsid w:val="42E5528F"/>
    <w:rsid w:val="43036342"/>
    <w:rsid w:val="43135248"/>
    <w:rsid w:val="43A415F3"/>
    <w:rsid w:val="43D21D7E"/>
    <w:rsid w:val="44290050"/>
    <w:rsid w:val="44371DD1"/>
    <w:rsid w:val="448636F5"/>
    <w:rsid w:val="44B527E3"/>
    <w:rsid w:val="44BA6EFA"/>
    <w:rsid w:val="44EF65C4"/>
    <w:rsid w:val="450E74D1"/>
    <w:rsid w:val="4517027C"/>
    <w:rsid w:val="45264590"/>
    <w:rsid w:val="45620D3F"/>
    <w:rsid w:val="4563730C"/>
    <w:rsid w:val="45A12EC7"/>
    <w:rsid w:val="45B2387B"/>
    <w:rsid w:val="48694FA0"/>
    <w:rsid w:val="488C5052"/>
    <w:rsid w:val="488E1265"/>
    <w:rsid w:val="488E768B"/>
    <w:rsid w:val="49CC7DFC"/>
    <w:rsid w:val="49DE368B"/>
    <w:rsid w:val="49F41D5E"/>
    <w:rsid w:val="4A4F2030"/>
    <w:rsid w:val="4A575EC9"/>
    <w:rsid w:val="4A980693"/>
    <w:rsid w:val="4AAF6DD6"/>
    <w:rsid w:val="4AB21733"/>
    <w:rsid w:val="4AC45B44"/>
    <w:rsid w:val="4ADE3731"/>
    <w:rsid w:val="4B1E31F7"/>
    <w:rsid w:val="4B506C82"/>
    <w:rsid w:val="4BCB3573"/>
    <w:rsid w:val="4BD96800"/>
    <w:rsid w:val="4C26098E"/>
    <w:rsid w:val="4C38540B"/>
    <w:rsid w:val="4CA30ABF"/>
    <w:rsid w:val="4CDF561F"/>
    <w:rsid w:val="4CE75373"/>
    <w:rsid w:val="4CEF7E02"/>
    <w:rsid w:val="4D0F5CA3"/>
    <w:rsid w:val="4D1473C4"/>
    <w:rsid w:val="4D622645"/>
    <w:rsid w:val="4D7A4DB6"/>
    <w:rsid w:val="4D825DF2"/>
    <w:rsid w:val="4DB30E95"/>
    <w:rsid w:val="4DED3E9B"/>
    <w:rsid w:val="4E5719AF"/>
    <w:rsid w:val="4EBA3CA2"/>
    <w:rsid w:val="4F1710D5"/>
    <w:rsid w:val="4F49497A"/>
    <w:rsid w:val="4FA82C97"/>
    <w:rsid w:val="4FF23BD8"/>
    <w:rsid w:val="502E6463"/>
    <w:rsid w:val="50546455"/>
    <w:rsid w:val="506A6326"/>
    <w:rsid w:val="50BB64D4"/>
    <w:rsid w:val="50F75181"/>
    <w:rsid w:val="511C58BD"/>
    <w:rsid w:val="5142769C"/>
    <w:rsid w:val="514C730E"/>
    <w:rsid w:val="516D7724"/>
    <w:rsid w:val="51907961"/>
    <w:rsid w:val="51C642E5"/>
    <w:rsid w:val="520E5D83"/>
    <w:rsid w:val="52285DEB"/>
    <w:rsid w:val="528B637A"/>
    <w:rsid w:val="52B61649"/>
    <w:rsid w:val="52D67922"/>
    <w:rsid w:val="53083527"/>
    <w:rsid w:val="537332FB"/>
    <w:rsid w:val="53C50AE1"/>
    <w:rsid w:val="53C82DAC"/>
    <w:rsid w:val="53DE71A0"/>
    <w:rsid w:val="544E765F"/>
    <w:rsid w:val="54901280"/>
    <w:rsid w:val="54BE5B4C"/>
    <w:rsid w:val="552F56E3"/>
    <w:rsid w:val="552F5B33"/>
    <w:rsid w:val="555A755E"/>
    <w:rsid w:val="558C6567"/>
    <w:rsid w:val="55BD2CEE"/>
    <w:rsid w:val="55E87AE4"/>
    <w:rsid w:val="55F8652D"/>
    <w:rsid w:val="563B3C13"/>
    <w:rsid w:val="565212BD"/>
    <w:rsid w:val="566D4B95"/>
    <w:rsid w:val="567C3035"/>
    <w:rsid w:val="56C03835"/>
    <w:rsid w:val="56F52153"/>
    <w:rsid w:val="57011019"/>
    <w:rsid w:val="571B48BE"/>
    <w:rsid w:val="572656D4"/>
    <w:rsid w:val="576269A1"/>
    <w:rsid w:val="57773142"/>
    <w:rsid w:val="577D0987"/>
    <w:rsid w:val="5780664F"/>
    <w:rsid w:val="57B123DF"/>
    <w:rsid w:val="57F8000E"/>
    <w:rsid w:val="58022C3B"/>
    <w:rsid w:val="582F100E"/>
    <w:rsid w:val="583152CE"/>
    <w:rsid w:val="58816905"/>
    <w:rsid w:val="589028C8"/>
    <w:rsid w:val="58C223CA"/>
    <w:rsid w:val="58C56AF2"/>
    <w:rsid w:val="58FB698C"/>
    <w:rsid w:val="596B1A25"/>
    <w:rsid w:val="597A16CF"/>
    <w:rsid w:val="59A57D21"/>
    <w:rsid w:val="59AD06A4"/>
    <w:rsid w:val="59EB3B4C"/>
    <w:rsid w:val="59F51608"/>
    <w:rsid w:val="5A273691"/>
    <w:rsid w:val="5A307F33"/>
    <w:rsid w:val="5A4A6560"/>
    <w:rsid w:val="5A4D586D"/>
    <w:rsid w:val="5A6249B0"/>
    <w:rsid w:val="5AA91AF1"/>
    <w:rsid w:val="5AB83A84"/>
    <w:rsid w:val="5ABF6477"/>
    <w:rsid w:val="5AFB3B65"/>
    <w:rsid w:val="5AFC7E15"/>
    <w:rsid w:val="5B0836B8"/>
    <w:rsid w:val="5B12588A"/>
    <w:rsid w:val="5B1769FD"/>
    <w:rsid w:val="5B1B3A04"/>
    <w:rsid w:val="5B6D5999"/>
    <w:rsid w:val="5BBA55DA"/>
    <w:rsid w:val="5BC546AB"/>
    <w:rsid w:val="5C902F79"/>
    <w:rsid w:val="5CDF045E"/>
    <w:rsid w:val="5D123920"/>
    <w:rsid w:val="5D1D22C5"/>
    <w:rsid w:val="5D3A4C25"/>
    <w:rsid w:val="5D6A39F2"/>
    <w:rsid w:val="5D7B4C11"/>
    <w:rsid w:val="5DD9443E"/>
    <w:rsid w:val="5ED65CE8"/>
    <w:rsid w:val="5EE84C68"/>
    <w:rsid w:val="5EFD415C"/>
    <w:rsid w:val="5F4914FA"/>
    <w:rsid w:val="5F773F0E"/>
    <w:rsid w:val="5F84250C"/>
    <w:rsid w:val="60076C16"/>
    <w:rsid w:val="60620F67"/>
    <w:rsid w:val="606C0B7E"/>
    <w:rsid w:val="60B77B70"/>
    <w:rsid w:val="61185346"/>
    <w:rsid w:val="61215AAC"/>
    <w:rsid w:val="613168DF"/>
    <w:rsid w:val="61330309"/>
    <w:rsid w:val="6139157D"/>
    <w:rsid w:val="61961819"/>
    <w:rsid w:val="61DE0274"/>
    <w:rsid w:val="621D5BA4"/>
    <w:rsid w:val="622D30DE"/>
    <w:rsid w:val="62585D40"/>
    <w:rsid w:val="627B1F67"/>
    <w:rsid w:val="6280132C"/>
    <w:rsid w:val="62A41F1F"/>
    <w:rsid w:val="62BF6607"/>
    <w:rsid w:val="62DD263A"/>
    <w:rsid w:val="63046C2C"/>
    <w:rsid w:val="63276A8B"/>
    <w:rsid w:val="63506F50"/>
    <w:rsid w:val="635B6748"/>
    <w:rsid w:val="6388670C"/>
    <w:rsid w:val="63947A95"/>
    <w:rsid w:val="63A44570"/>
    <w:rsid w:val="642248D0"/>
    <w:rsid w:val="645F3B8E"/>
    <w:rsid w:val="646E1B9A"/>
    <w:rsid w:val="64721148"/>
    <w:rsid w:val="64A062F3"/>
    <w:rsid w:val="64FF001A"/>
    <w:rsid w:val="65046244"/>
    <w:rsid w:val="651F6085"/>
    <w:rsid w:val="661A06AB"/>
    <w:rsid w:val="661C23E0"/>
    <w:rsid w:val="664E1583"/>
    <w:rsid w:val="668F2F5B"/>
    <w:rsid w:val="66F46047"/>
    <w:rsid w:val="67172A81"/>
    <w:rsid w:val="673E5311"/>
    <w:rsid w:val="67B167D1"/>
    <w:rsid w:val="67C57160"/>
    <w:rsid w:val="67FD4AC7"/>
    <w:rsid w:val="68463C77"/>
    <w:rsid w:val="685F1C50"/>
    <w:rsid w:val="687374C4"/>
    <w:rsid w:val="68792AA5"/>
    <w:rsid w:val="68DB4042"/>
    <w:rsid w:val="699022E9"/>
    <w:rsid w:val="69BE3E37"/>
    <w:rsid w:val="69D72179"/>
    <w:rsid w:val="6A5C21BD"/>
    <w:rsid w:val="6A6409AB"/>
    <w:rsid w:val="6A714498"/>
    <w:rsid w:val="6AB361E8"/>
    <w:rsid w:val="6AFA64C2"/>
    <w:rsid w:val="6AFB3C45"/>
    <w:rsid w:val="6B064398"/>
    <w:rsid w:val="6B255062"/>
    <w:rsid w:val="6B3E7635"/>
    <w:rsid w:val="6B3F2001"/>
    <w:rsid w:val="6B44161C"/>
    <w:rsid w:val="6B9B0F84"/>
    <w:rsid w:val="6C005CE7"/>
    <w:rsid w:val="6C2C190C"/>
    <w:rsid w:val="6C4E6E90"/>
    <w:rsid w:val="6D1E00BF"/>
    <w:rsid w:val="6D374CDD"/>
    <w:rsid w:val="6D77747F"/>
    <w:rsid w:val="6DAC2FA4"/>
    <w:rsid w:val="6E077824"/>
    <w:rsid w:val="6E10402A"/>
    <w:rsid w:val="6E2735D2"/>
    <w:rsid w:val="6E4062BF"/>
    <w:rsid w:val="6EB30FC0"/>
    <w:rsid w:val="6F0926A9"/>
    <w:rsid w:val="6F131AC6"/>
    <w:rsid w:val="6F1866F2"/>
    <w:rsid w:val="6F3621B1"/>
    <w:rsid w:val="6F7B0B94"/>
    <w:rsid w:val="6F9D39F9"/>
    <w:rsid w:val="701B4928"/>
    <w:rsid w:val="704A2F79"/>
    <w:rsid w:val="70A61026"/>
    <w:rsid w:val="70BD7BC2"/>
    <w:rsid w:val="71131B33"/>
    <w:rsid w:val="71592325"/>
    <w:rsid w:val="71807A85"/>
    <w:rsid w:val="71CE6F08"/>
    <w:rsid w:val="71F57420"/>
    <w:rsid w:val="722F0678"/>
    <w:rsid w:val="72434242"/>
    <w:rsid w:val="729624A5"/>
    <w:rsid w:val="72BB3CBA"/>
    <w:rsid w:val="732B52E4"/>
    <w:rsid w:val="73833EA2"/>
    <w:rsid w:val="73836E38"/>
    <w:rsid w:val="744E46AB"/>
    <w:rsid w:val="745919C6"/>
    <w:rsid w:val="74631A63"/>
    <w:rsid w:val="74702A9A"/>
    <w:rsid w:val="74C4779E"/>
    <w:rsid w:val="75531F6B"/>
    <w:rsid w:val="75567F48"/>
    <w:rsid w:val="75720710"/>
    <w:rsid w:val="75864A53"/>
    <w:rsid w:val="75F55093"/>
    <w:rsid w:val="761C2BBB"/>
    <w:rsid w:val="76205AA0"/>
    <w:rsid w:val="766F21D5"/>
    <w:rsid w:val="77125633"/>
    <w:rsid w:val="77370D3A"/>
    <w:rsid w:val="773C547C"/>
    <w:rsid w:val="7758241F"/>
    <w:rsid w:val="776A1DE8"/>
    <w:rsid w:val="777B478D"/>
    <w:rsid w:val="778356EE"/>
    <w:rsid w:val="778B26A3"/>
    <w:rsid w:val="779C1BB9"/>
    <w:rsid w:val="77C13C41"/>
    <w:rsid w:val="77C74B13"/>
    <w:rsid w:val="785D00CA"/>
    <w:rsid w:val="787F665A"/>
    <w:rsid w:val="78967FA3"/>
    <w:rsid w:val="790E01BF"/>
    <w:rsid w:val="793C4953"/>
    <w:rsid w:val="79623020"/>
    <w:rsid w:val="79740C89"/>
    <w:rsid w:val="79775984"/>
    <w:rsid w:val="79792AA8"/>
    <w:rsid w:val="79E82083"/>
    <w:rsid w:val="79F0693F"/>
    <w:rsid w:val="7A10621B"/>
    <w:rsid w:val="7A8B1D37"/>
    <w:rsid w:val="7ABE4C8F"/>
    <w:rsid w:val="7AE55F97"/>
    <w:rsid w:val="7AF83CFD"/>
    <w:rsid w:val="7B156D78"/>
    <w:rsid w:val="7B1C4E34"/>
    <w:rsid w:val="7B361291"/>
    <w:rsid w:val="7B551CEF"/>
    <w:rsid w:val="7BE146E8"/>
    <w:rsid w:val="7C091EA2"/>
    <w:rsid w:val="7C3E72B8"/>
    <w:rsid w:val="7C5C4760"/>
    <w:rsid w:val="7C9611A1"/>
    <w:rsid w:val="7D4154A9"/>
    <w:rsid w:val="7DB62DFE"/>
    <w:rsid w:val="7DC72620"/>
    <w:rsid w:val="7DDD6CEA"/>
    <w:rsid w:val="7E0E6C5F"/>
    <w:rsid w:val="7E2117BD"/>
    <w:rsid w:val="7E3152E3"/>
    <w:rsid w:val="7E4875FD"/>
    <w:rsid w:val="7E5F5E41"/>
    <w:rsid w:val="7E636E14"/>
    <w:rsid w:val="7EAF2175"/>
    <w:rsid w:val="7F127358"/>
    <w:rsid w:val="7F8152E6"/>
    <w:rsid w:val="7FB0284A"/>
    <w:rsid w:val="7FD24933"/>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iPriority="39" w:semiHidden="0" w:name="toc 1" w:locked="1"/>
    <w:lsdException w:uiPriority="39" w:name="toc 2" w:locked="1"/>
    <w:lsdException w:uiPriority="39" w:name="toc 3" w:locked="1"/>
    <w:lsdException w:uiPriority="39" w:name="toc 4" w:locked="1"/>
    <w:lsdException w:uiPriority="39" w:name="toc 5" w:locked="1"/>
    <w:lsdException w:qFormat="1" w:unhideWhenUsed="0" w:uiPriority="39" w:semiHidden="0" w:name="toc 6" w:locked="1"/>
    <w:lsdException w:uiPriority="39" w:name="toc 7" w:locked="1"/>
    <w:lsdException w:qFormat="1" w:uiPriority="39" w:semiHidden="0" w:name="toc 8" w:locked="1"/>
    <w:lsdException w:uiPriority="39" w:name="toc 9" w:locked="1"/>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35"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iPriority="99"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numPr>
        <w:ilvl w:val="0"/>
        <w:numId w:val="1"/>
      </w:numPr>
      <w:tabs>
        <w:tab w:val="left" w:pos="0"/>
      </w:tabs>
      <w:ind w:firstLineChars="0"/>
      <w:jc w:val="center"/>
      <w:outlineLvl w:val="0"/>
    </w:pPr>
    <w:rPr>
      <w:b/>
      <w:kern w:val="28"/>
      <w:sz w:val="32"/>
    </w:rPr>
  </w:style>
  <w:style w:type="paragraph" w:styleId="3">
    <w:name w:val="heading 2"/>
    <w:basedOn w:val="1"/>
    <w:next w:val="1"/>
    <w:link w:val="28"/>
    <w:qFormat/>
    <w:locked/>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9"/>
    <w:qFormat/>
    <w:uiPriority w:val="99"/>
    <w:pPr>
      <w:keepNext/>
      <w:keepLines/>
      <w:spacing w:before="260" w:after="260" w:line="416" w:lineRule="auto"/>
      <w:outlineLvl w:val="2"/>
    </w:pPr>
    <w:rPr>
      <w:b/>
      <w:bCs/>
      <w:sz w:val="32"/>
      <w:szCs w:val="32"/>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5">
    <w:name w:val="List Number"/>
    <w:basedOn w:val="1"/>
    <w:qFormat/>
    <w:uiPriority w:val="99"/>
    <w:pPr>
      <w:numPr>
        <w:ilvl w:val="0"/>
        <w:numId w:val="2"/>
      </w:numPr>
    </w:pPr>
  </w:style>
  <w:style w:type="paragraph" w:styleId="6">
    <w:name w:val="Normal Indent"/>
    <w:basedOn w:val="1"/>
    <w:qFormat/>
    <w:uiPriority w:val="99"/>
    <w:pPr>
      <w:ind w:firstLine="420"/>
    </w:pPr>
    <w:rPr>
      <w:szCs w:val="20"/>
    </w:rPr>
  </w:style>
  <w:style w:type="paragraph" w:styleId="7">
    <w:name w:val="caption"/>
    <w:basedOn w:val="1"/>
    <w:next w:val="1"/>
    <w:qFormat/>
    <w:locked/>
    <w:uiPriority w:val="35"/>
    <w:rPr>
      <w:rFonts w:ascii="Arial" w:hAnsi="Arial" w:eastAsia="黑体" w:cs="Arial"/>
      <w:sz w:val="20"/>
    </w:rPr>
  </w:style>
  <w:style w:type="paragraph" w:styleId="8">
    <w:name w:val="annotation text"/>
    <w:basedOn w:val="1"/>
    <w:link w:val="30"/>
    <w:qFormat/>
    <w:uiPriority w:val="99"/>
    <w:pPr>
      <w:jc w:val="left"/>
    </w:pPr>
  </w:style>
  <w:style w:type="paragraph" w:styleId="9">
    <w:name w:val="Body Text"/>
    <w:basedOn w:val="1"/>
    <w:next w:val="10"/>
    <w:link w:val="31"/>
    <w:qFormat/>
    <w:uiPriority w:val="99"/>
    <w:pPr>
      <w:spacing w:line="360" w:lineRule="exact"/>
    </w:pPr>
    <w:rPr>
      <w:sz w:val="24"/>
    </w:rPr>
  </w:style>
  <w:style w:type="paragraph" w:styleId="10">
    <w:name w:val="toc 8"/>
    <w:basedOn w:val="1"/>
    <w:next w:val="1"/>
    <w:unhideWhenUsed/>
    <w:qFormat/>
    <w:locked/>
    <w:uiPriority w:val="39"/>
    <w:pPr>
      <w:ind w:left="2940" w:leftChars="1400"/>
    </w:pPr>
    <w:rPr>
      <w:rFonts w:ascii="Calibri" w:hAnsi="Calibri"/>
      <w:szCs w:val="22"/>
    </w:rPr>
  </w:style>
  <w:style w:type="paragraph" w:styleId="11">
    <w:name w:val="Body Text Indent"/>
    <w:basedOn w:val="1"/>
    <w:link w:val="33"/>
    <w:qFormat/>
    <w:uiPriority w:val="99"/>
    <w:pPr>
      <w:spacing w:after="120"/>
      <w:ind w:left="420" w:leftChars="200"/>
    </w:pPr>
  </w:style>
  <w:style w:type="paragraph" w:styleId="12">
    <w:name w:val="Plain Text"/>
    <w:basedOn w:val="1"/>
    <w:link w:val="34"/>
    <w:qFormat/>
    <w:uiPriority w:val="99"/>
    <w:rPr>
      <w:rFonts w:ascii="宋体" w:hAnsi="Courier New"/>
    </w:rPr>
  </w:style>
  <w:style w:type="paragraph" w:styleId="13">
    <w:name w:val="Date"/>
    <w:basedOn w:val="1"/>
    <w:next w:val="1"/>
    <w:link w:val="35"/>
    <w:qFormat/>
    <w:uiPriority w:val="99"/>
    <w:pPr>
      <w:ind w:left="2500" w:leftChars="2500"/>
    </w:pPr>
    <w:rPr>
      <w:rFonts w:ascii="Calibri" w:hAnsi="Calibri" w:eastAsia="楷体_GB2312"/>
      <w:sz w:val="32"/>
      <w:szCs w:val="22"/>
    </w:rPr>
  </w:style>
  <w:style w:type="paragraph" w:styleId="14">
    <w:name w:val="Balloon Text"/>
    <w:basedOn w:val="1"/>
    <w:link w:val="36"/>
    <w:qFormat/>
    <w:uiPriority w:val="99"/>
    <w:rPr>
      <w:sz w:val="18"/>
      <w:szCs w:val="18"/>
    </w:rPr>
  </w:style>
  <w:style w:type="paragraph" w:styleId="15">
    <w:name w:val="footer"/>
    <w:basedOn w:val="1"/>
    <w:link w:val="37"/>
    <w:qFormat/>
    <w:uiPriority w:val="99"/>
    <w:pPr>
      <w:tabs>
        <w:tab w:val="center" w:pos="4153"/>
        <w:tab w:val="right" w:pos="8306"/>
      </w:tabs>
      <w:snapToGrid w:val="0"/>
      <w:jc w:val="left"/>
    </w:pPr>
    <w:rPr>
      <w:sz w:val="18"/>
    </w:rPr>
  </w:style>
  <w:style w:type="paragraph" w:styleId="16">
    <w:name w:val="header"/>
    <w:basedOn w:val="1"/>
    <w:link w:val="3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unhideWhenUsed/>
    <w:qFormat/>
    <w:locked/>
    <w:uiPriority w:val="39"/>
  </w:style>
  <w:style w:type="paragraph" w:styleId="18">
    <w:name w:val="toc 6"/>
    <w:basedOn w:val="1"/>
    <w:next w:val="1"/>
    <w:qFormat/>
    <w:locked/>
    <w:uiPriority w:val="39"/>
    <w:pPr>
      <w:widowControl/>
      <w:ind w:left="1000"/>
      <w:jc w:val="left"/>
    </w:pPr>
    <w:rPr>
      <w:rFonts w:ascii="Calibri" w:hAnsi="Calibri" w:eastAsia="宋体" w:cs="Times New Roman"/>
      <w:kern w:val="0"/>
      <w:sz w:val="18"/>
      <w:szCs w:val="20"/>
    </w:rPr>
  </w:style>
  <w:style w:type="paragraph" w:styleId="19">
    <w:name w:val="Normal (Web)"/>
    <w:basedOn w:val="1"/>
    <w:qFormat/>
    <w:uiPriority w:val="99"/>
    <w:pPr>
      <w:widowControl/>
      <w:spacing w:before="100" w:beforeAutospacing="1" w:after="100" w:afterAutospacing="1"/>
      <w:jc w:val="left"/>
    </w:pPr>
    <w:rPr>
      <w:rFonts w:ascii="宋体" w:hAnsi="宋体"/>
      <w:kern w:val="0"/>
      <w:sz w:val="24"/>
    </w:rPr>
  </w:style>
  <w:style w:type="paragraph" w:styleId="20">
    <w:name w:val="annotation subject"/>
    <w:basedOn w:val="8"/>
    <w:next w:val="8"/>
    <w:link w:val="39"/>
    <w:qFormat/>
    <w:uiPriority w:val="99"/>
    <w:rPr>
      <w:b/>
      <w:bCs/>
    </w:rPr>
  </w:style>
  <w:style w:type="paragraph" w:styleId="21">
    <w:name w:val="Body Text First Indent"/>
    <w:basedOn w:val="9"/>
    <w:next w:val="18"/>
    <w:link w:val="32"/>
    <w:unhideWhenUsed/>
    <w:qFormat/>
    <w:locked/>
    <w:uiPriority w:val="99"/>
    <w:pPr>
      <w:spacing w:after="120" w:line="240" w:lineRule="auto"/>
      <w:ind w:firstLine="420" w:firstLineChars="100"/>
    </w:pPr>
    <w:rPr>
      <w:sz w:val="21"/>
    </w:rPr>
  </w:style>
  <w:style w:type="table" w:styleId="23">
    <w:name w:val="Table Grid"/>
    <w:basedOn w:val="2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locked/>
    <w:uiPriority w:val="99"/>
    <w:rPr>
      <w:rFonts w:cs="Times New Roman"/>
    </w:rPr>
  </w:style>
  <w:style w:type="character" w:styleId="26">
    <w:name w:val="Hyperlink"/>
    <w:unhideWhenUsed/>
    <w:qFormat/>
    <w:locked/>
    <w:uiPriority w:val="99"/>
    <w:rPr>
      <w:color w:val="0000FF"/>
      <w:u w:val="single"/>
    </w:rPr>
  </w:style>
  <w:style w:type="character" w:styleId="27">
    <w:name w:val="annotation reference"/>
    <w:qFormat/>
    <w:uiPriority w:val="99"/>
    <w:rPr>
      <w:rFonts w:cs="Times New Roman"/>
      <w:sz w:val="21"/>
      <w:szCs w:val="21"/>
    </w:rPr>
  </w:style>
  <w:style w:type="character" w:customStyle="1" w:styleId="28">
    <w:name w:val="标题 2 Char"/>
    <w:link w:val="3"/>
    <w:semiHidden/>
    <w:qFormat/>
    <w:uiPriority w:val="9"/>
    <w:rPr>
      <w:rFonts w:ascii="Cambria" w:hAnsi="Cambria" w:eastAsia="宋体" w:cs="Times New Roman"/>
      <w:b/>
      <w:bCs/>
      <w:kern w:val="2"/>
      <w:sz w:val="32"/>
      <w:szCs w:val="32"/>
    </w:rPr>
  </w:style>
  <w:style w:type="character" w:customStyle="1" w:styleId="29">
    <w:name w:val="标题 3 Char"/>
    <w:link w:val="4"/>
    <w:semiHidden/>
    <w:qFormat/>
    <w:locked/>
    <w:uiPriority w:val="99"/>
    <w:rPr>
      <w:rFonts w:cs="Times New Roman"/>
      <w:b/>
      <w:bCs/>
      <w:sz w:val="32"/>
      <w:szCs w:val="32"/>
    </w:rPr>
  </w:style>
  <w:style w:type="character" w:customStyle="1" w:styleId="30">
    <w:name w:val="批注文字 Char"/>
    <w:link w:val="8"/>
    <w:qFormat/>
    <w:locked/>
    <w:uiPriority w:val="99"/>
    <w:rPr>
      <w:rFonts w:ascii="Times New Roman" w:hAnsi="Times New Roman" w:eastAsia="宋体" w:cs="Times New Roman"/>
      <w:kern w:val="2"/>
      <w:sz w:val="24"/>
      <w:szCs w:val="24"/>
    </w:rPr>
  </w:style>
  <w:style w:type="character" w:customStyle="1" w:styleId="31">
    <w:name w:val="正文文本 Char1"/>
    <w:link w:val="9"/>
    <w:semiHidden/>
    <w:qFormat/>
    <w:locked/>
    <w:uiPriority w:val="99"/>
    <w:rPr>
      <w:rFonts w:cs="Times New Roman"/>
      <w:sz w:val="24"/>
      <w:szCs w:val="24"/>
    </w:rPr>
  </w:style>
  <w:style w:type="character" w:customStyle="1" w:styleId="32">
    <w:name w:val="正文首行缩进 Char"/>
    <w:link w:val="21"/>
    <w:semiHidden/>
    <w:qFormat/>
    <w:uiPriority w:val="99"/>
    <w:rPr>
      <w:rFonts w:cs="Times New Roman"/>
      <w:kern w:val="2"/>
      <w:sz w:val="21"/>
      <w:szCs w:val="24"/>
    </w:rPr>
  </w:style>
  <w:style w:type="character" w:customStyle="1" w:styleId="33">
    <w:name w:val="正文文本缩进 Char"/>
    <w:link w:val="11"/>
    <w:qFormat/>
    <w:locked/>
    <w:uiPriority w:val="99"/>
    <w:rPr>
      <w:rFonts w:cs="Times New Roman"/>
      <w:kern w:val="2"/>
      <w:sz w:val="24"/>
      <w:szCs w:val="24"/>
    </w:rPr>
  </w:style>
  <w:style w:type="character" w:customStyle="1" w:styleId="34">
    <w:name w:val="纯文本 Char2"/>
    <w:link w:val="12"/>
    <w:semiHidden/>
    <w:qFormat/>
    <w:locked/>
    <w:uiPriority w:val="99"/>
    <w:rPr>
      <w:rFonts w:ascii="宋体" w:hAnsi="Courier New" w:cs="Courier New"/>
      <w:sz w:val="21"/>
      <w:szCs w:val="21"/>
    </w:rPr>
  </w:style>
  <w:style w:type="character" w:customStyle="1" w:styleId="35">
    <w:name w:val="日期 Char1"/>
    <w:link w:val="13"/>
    <w:semiHidden/>
    <w:qFormat/>
    <w:locked/>
    <w:uiPriority w:val="99"/>
    <w:rPr>
      <w:rFonts w:cs="Times New Roman"/>
      <w:sz w:val="24"/>
      <w:szCs w:val="24"/>
    </w:rPr>
  </w:style>
  <w:style w:type="character" w:customStyle="1" w:styleId="36">
    <w:name w:val="批注框文本 Char"/>
    <w:link w:val="14"/>
    <w:qFormat/>
    <w:locked/>
    <w:uiPriority w:val="99"/>
    <w:rPr>
      <w:rFonts w:ascii="Times New Roman" w:hAnsi="Times New Roman" w:eastAsia="宋体" w:cs="Times New Roman"/>
      <w:kern w:val="2"/>
      <w:sz w:val="18"/>
      <w:szCs w:val="18"/>
    </w:rPr>
  </w:style>
  <w:style w:type="character" w:customStyle="1" w:styleId="37">
    <w:name w:val="页脚 Char"/>
    <w:link w:val="15"/>
    <w:semiHidden/>
    <w:qFormat/>
    <w:locked/>
    <w:uiPriority w:val="99"/>
    <w:rPr>
      <w:rFonts w:cs="Times New Roman"/>
      <w:sz w:val="18"/>
      <w:szCs w:val="18"/>
    </w:rPr>
  </w:style>
  <w:style w:type="character" w:customStyle="1" w:styleId="38">
    <w:name w:val="页眉 Char"/>
    <w:link w:val="16"/>
    <w:semiHidden/>
    <w:qFormat/>
    <w:locked/>
    <w:uiPriority w:val="99"/>
    <w:rPr>
      <w:rFonts w:cs="Times New Roman"/>
      <w:sz w:val="18"/>
      <w:szCs w:val="18"/>
    </w:rPr>
  </w:style>
  <w:style w:type="character" w:customStyle="1" w:styleId="39">
    <w:name w:val="批注主题 Char"/>
    <w:link w:val="20"/>
    <w:qFormat/>
    <w:locked/>
    <w:uiPriority w:val="99"/>
    <w:rPr>
      <w:rFonts w:ascii="Times New Roman" w:hAnsi="Times New Roman" w:eastAsia="宋体" w:cs="Times New Roman"/>
      <w:b/>
      <w:bCs/>
      <w:kern w:val="2"/>
      <w:sz w:val="24"/>
      <w:szCs w:val="24"/>
    </w:rPr>
  </w:style>
  <w:style w:type="character" w:customStyle="1" w:styleId="40">
    <w:name w:val="bookmark-item uuid-1536114769643 code-00021"/>
    <w:qFormat/>
    <w:uiPriority w:val="99"/>
    <w:rPr>
      <w:rFonts w:cs="Times New Roman"/>
    </w:rPr>
  </w:style>
  <w:style w:type="character" w:customStyle="1" w:styleId="41">
    <w:name w:val="font81"/>
    <w:qFormat/>
    <w:uiPriority w:val="0"/>
    <w:rPr>
      <w:rFonts w:ascii="Arial" w:hAnsi="Arial" w:cs="Arial"/>
      <w:color w:val="000000"/>
      <w:sz w:val="22"/>
      <w:szCs w:val="22"/>
      <w:u w:val="none"/>
    </w:rPr>
  </w:style>
  <w:style w:type="character" w:customStyle="1" w:styleId="42">
    <w:name w:val="普通文字 Char Char11"/>
    <w:qFormat/>
    <w:uiPriority w:val="99"/>
    <w:rPr>
      <w:rFonts w:ascii="宋体" w:hAnsi="Courier New" w:eastAsia="宋体" w:cs="Times New Roman"/>
      <w:kern w:val="2"/>
      <w:sz w:val="21"/>
      <w:lang w:val="en-US" w:eastAsia="zh-CN" w:bidi="ar-SA"/>
    </w:rPr>
  </w:style>
  <w:style w:type="character" w:customStyle="1" w:styleId="43">
    <w:name w:val="bookmark-item uuid-1536127070068 code-23009 multi-line-text-input-box-cls"/>
    <w:qFormat/>
    <w:uiPriority w:val="99"/>
    <w:rPr>
      <w:rFonts w:cs="Times New Roman"/>
    </w:rPr>
  </w:style>
  <w:style w:type="character" w:customStyle="1" w:styleId="44">
    <w:name w:val="font71"/>
    <w:qFormat/>
    <w:uiPriority w:val="0"/>
    <w:rPr>
      <w:rFonts w:ascii="宋体" w:hAnsi="宋体" w:eastAsia="宋体" w:cs="宋体"/>
      <w:color w:val="000000"/>
      <w:sz w:val="22"/>
      <w:szCs w:val="22"/>
      <w:u w:val="none"/>
    </w:rPr>
  </w:style>
  <w:style w:type="character" w:customStyle="1" w:styleId="45">
    <w:name w:val="font41"/>
    <w:qFormat/>
    <w:uiPriority w:val="0"/>
    <w:rPr>
      <w:rFonts w:ascii="微软雅黑" w:hAnsi="微软雅黑" w:eastAsia="微软雅黑" w:cs="微软雅黑"/>
      <w:color w:val="000000"/>
      <w:sz w:val="22"/>
      <w:szCs w:val="22"/>
      <w:u w:val="none"/>
    </w:rPr>
  </w:style>
  <w:style w:type="character" w:customStyle="1" w:styleId="46">
    <w:name w:val="bookmark-item uuid-1541991291870 code-00023"/>
    <w:qFormat/>
    <w:uiPriority w:val="99"/>
    <w:rPr>
      <w:rFonts w:cs="Times New Roman"/>
    </w:rPr>
  </w:style>
  <w:style w:type="character" w:customStyle="1" w:styleId="47">
    <w:name w:val="bookmark-item uuid-1536114752958 code-00019"/>
    <w:qFormat/>
    <w:uiPriority w:val="99"/>
    <w:rPr>
      <w:rFonts w:cs="Times New Roman"/>
    </w:rPr>
  </w:style>
  <w:style w:type="paragraph" w:customStyle="1" w:styleId="48">
    <w:name w:val="正文_3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6"/>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列出段落1"/>
    <w:basedOn w:val="1"/>
    <w:qFormat/>
    <w:uiPriority w:val="99"/>
    <w:pPr>
      <w:ind w:firstLine="420" w:firstLineChars="200"/>
    </w:pPr>
    <w:rPr>
      <w:rFonts w:ascii="Calibri" w:hAnsi="Calibri"/>
      <w:kern w:val="0"/>
      <w:szCs w:val="20"/>
    </w:rPr>
  </w:style>
  <w:style w:type="paragraph" w:customStyle="1" w:styleId="51">
    <w:name w:val="zw"/>
    <w:basedOn w:val="1"/>
    <w:qFormat/>
    <w:uiPriority w:val="99"/>
    <w:pPr>
      <w:widowControl/>
      <w:spacing w:before="30"/>
      <w:ind w:left="100" w:right="100"/>
    </w:pPr>
    <w:rPr>
      <w:rFonts w:ascii="方正书宋简体" w:hAnsi="宋体" w:eastAsia="方正书宋简体"/>
      <w:color w:val="000000"/>
      <w:kern w:val="0"/>
      <w:szCs w:val="21"/>
    </w:rPr>
  </w:style>
  <w:style w:type="paragraph" w:customStyle="1" w:styleId="52">
    <w:name w:val="纯文本_3"/>
    <w:basedOn w:val="53"/>
    <w:qFormat/>
    <w:uiPriority w:val="99"/>
    <w:pPr>
      <w:widowControl/>
      <w:jc w:val="left"/>
    </w:pPr>
    <w:rPr>
      <w:rFonts w:ascii="宋体" w:hAnsi="Courier New"/>
      <w:szCs w:val="21"/>
    </w:rPr>
  </w:style>
  <w:style w:type="paragraph" w:customStyle="1" w:styleId="53">
    <w:name w:val="正文_1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首行缩进"/>
    <w:basedOn w:val="1"/>
    <w:qFormat/>
    <w:uiPriority w:val="0"/>
    <w:pPr>
      <w:spacing w:line="360" w:lineRule="auto"/>
      <w:ind w:firstLine="480" w:firstLineChars="200"/>
    </w:pPr>
    <w:rPr>
      <w:rFonts w:ascii="Calibri" w:hAnsi="Calibri"/>
      <w:sz w:val="24"/>
      <w:lang w:val="zh-CN"/>
    </w:rPr>
  </w:style>
  <w:style w:type="paragraph" w:customStyle="1" w:styleId="55">
    <w:name w:val="正文_14"/>
    <w:qFormat/>
    <w:uiPriority w:val="99"/>
    <w:rPr>
      <w:rFonts w:ascii="Times New Roman" w:hAnsi="Times New Roman" w:eastAsia="宋体" w:cs="Times New Roman"/>
      <w:sz w:val="21"/>
      <w:szCs w:val="22"/>
      <w:lang w:val="en-US" w:eastAsia="zh-CN" w:bidi="ar-SA"/>
    </w:rPr>
  </w:style>
  <w:style w:type="paragraph" w:customStyle="1" w:styleId="56">
    <w:name w:val="Normal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
    <w:name w:val="Fließtext"/>
    <w:basedOn w:val="1"/>
    <w:qFormat/>
    <w:uiPriority w:val="0"/>
    <w:pPr>
      <w:overflowPunct w:val="0"/>
      <w:autoSpaceDE w:val="0"/>
      <w:autoSpaceDN w:val="0"/>
      <w:adjustRightInd w:val="0"/>
      <w:textAlignment w:val="baseline"/>
    </w:pPr>
    <w:rPr>
      <w:kern w:val="28"/>
      <w:szCs w:val="20"/>
    </w:rPr>
  </w:style>
  <w:style w:type="paragraph" w:customStyle="1" w:styleId="58">
    <w:name w:val="正文_17"/>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无间隔11"/>
    <w:qFormat/>
    <w:uiPriority w:val="99"/>
    <w:pPr>
      <w:adjustRightInd w:val="0"/>
      <w:snapToGrid w:val="0"/>
    </w:pPr>
    <w:rPr>
      <w:rFonts w:ascii="Tahoma" w:hAnsi="Tahoma" w:eastAsia="微软雅黑" w:cs="Times New Roman"/>
      <w:sz w:val="22"/>
      <w:szCs w:val="22"/>
      <w:lang w:val="en-US" w:eastAsia="zh-CN" w:bidi="ar-SA"/>
    </w:rPr>
  </w:style>
  <w:style w:type="paragraph" w:customStyle="1" w:styleId="60">
    <w:name w:val="正文_4"/>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62">
    <w:name w:val="纯文本_0_1"/>
    <w:basedOn w:val="1"/>
    <w:qFormat/>
    <w:uiPriority w:val="99"/>
    <w:pPr>
      <w:widowControl/>
      <w:jc w:val="left"/>
    </w:pPr>
    <w:rPr>
      <w:rFonts w:ascii="宋体" w:hAnsi="Courier New"/>
      <w:szCs w:val="21"/>
    </w:rPr>
  </w:style>
  <w:style w:type="paragraph" w:customStyle="1" w:styleId="63">
    <w:name w:val="正文_2_0"/>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64">
    <w:name w:val="List Paragraph"/>
    <w:basedOn w:val="1"/>
    <w:qFormat/>
    <w:uiPriority w:val="99"/>
    <w:pPr>
      <w:ind w:firstLine="420" w:firstLineChars="200"/>
    </w:pPr>
    <w:rPr>
      <w:rFonts w:ascii="Calibri" w:hAnsi="Calibri"/>
      <w:szCs w:val="22"/>
    </w:rPr>
  </w:style>
  <w:style w:type="paragraph" w:customStyle="1" w:styleId="65">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66">
    <w:name w:val="正文_5"/>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67">
    <w:name w:val="纯文本 Char1"/>
    <w:qFormat/>
    <w:uiPriority w:val="0"/>
    <w:rPr>
      <w:rFonts w:hint="eastAsia" w:ascii="宋体" w:hAnsi="Courier New" w:eastAsia="宋体" w:cs="宋体"/>
      <w:b/>
      <w:kern w:val="2"/>
      <w:sz w:val="24"/>
      <w:szCs w:val="24"/>
      <w:lang w:val="en-GB"/>
    </w:rPr>
  </w:style>
  <w:style w:type="character" w:customStyle="1" w:styleId="68">
    <w:name w:val="未处理的提及"/>
    <w:unhideWhenUsed/>
    <w:qFormat/>
    <w:uiPriority w:val="99"/>
    <w:rPr>
      <w:color w:val="605E5C"/>
      <w:shd w:val="clear" w:color="auto" w:fill="E1DFDD"/>
    </w:rPr>
  </w:style>
  <w:style w:type="character" w:customStyle="1" w:styleId="69">
    <w:name w:val="纯文本 Char"/>
    <w:semiHidden/>
    <w:qFormat/>
    <w:locked/>
    <w:uiPriority w:val="99"/>
    <w:rPr>
      <w:rFonts w:ascii="宋体" w:hAnsi="Courier New" w:cs="Courier New"/>
      <w:sz w:val="21"/>
      <w:szCs w:val="21"/>
    </w:rPr>
  </w:style>
  <w:style w:type="character" w:customStyle="1" w:styleId="70">
    <w:name w:val="日期 Char"/>
    <w:semiHidden/>
    <w:qFormat/>
    <w:locked/>
    <w:uiPriority w:val="99"/>
    <w:rPr>
      <w:rFonts w:cs="Times New Roman"/>
      <w:sz w:val="24"/>
      <w:szCs w:val="24"/>
    </w:rPr>
  </w:style>
  <w:style w:type="character" w:customStyle="1" w:styleId="71">
    <w:name w:val="正文文本 Char"/>
    <w:semiHidden/>
    <w:qFormat/>
    <w:locked/>
    <w:uiPriority w:val="99"/>
    <w:rPr>
      <w:rFonts w:cs="Times New Roman"/>
      <w:sz w:val="24"/>
      <w:szCs w:val="24"/>
    </w:rPr>
  </w:style>
  <w:style w:type="character" w:customStyle="1" w:styleId="72">
    <w:name w:val="bookmark-item"/>
    <w:qFormat/>
    <w:uiPriority w:val="0"/>
  </w:style>
  <w:style w:type="paragraph" w:customStyle="1" w:styleId="73">
    <w:name w:val="表格文字"/>
    <w:basedOn w:val="1"/>
    <w:next w:val="9"/>
    <w:qFormat/>
    <w:uiPriority w:val="0"/>
    <w:pPr>
      <w:adjustRightInd w:val="0"/>
      <w:spacing w:line="420" w:lineRule="atLeast"/>
      <w:jc w:val="left"/>
    </w:pPr>
    <w:rPr>
      <w:kern w:val="0"/>
    </w:rPr>
  </w:style>
  <w:style w:type="paragraph" w:customStyle="1" w:styleId="74">
    <w:name w:val="Table Paragraph"/>
    <w:basedOn w:val="1"/>
    <w:qFormat/>
    <w:uiPriority w:val="1"/>
    <w:pPr>
      <w:widowControl w:val="0"/>
      <w:jc w:val="both"/>
    </w:pPr>
    <w:rPr>
      <w:rFonts w:ascii="宋体" w:hAnsi="宋体" w:cs="宋体"/>
      <w:kern w:val="2"/>
      <w:sz w:val="21"/>
    </w:rPr>
  </w:style>
  <w:style w:type="paragraph" w:customStyle="1" w:styleId="75">
    <w:name w:val="标准正文"/>
    <w:basedOn w:val="1"/>
    <w:qFormat/>
    <w:uiPriority w:val="0"/>
    <w:pPr>
      <w:adjustRightInd w:val="0"/>
      <w:snapToGrid w:val="0"/>
      <w:spacing w:line="400" w:lineRule="atLeast"/>
    </w:pPr>
    <w:rPr>
      <w:rFonts w:ascii="宋体" w:hAnsi="宋体"/>
      <w:sz w:val="24"/>
      <w:szCs w:val="24"/>
    </w:rPr>
  </w:style>
  <w:style w:type="paragraph" w:customStyle="1" w:styleId="76">
    <w:name w:val="样式5"/>
    <w:basedOn w:val="6"/>
    <w:unhideWhenUsed/>
    <w:qFormat/>
    <w:uiPriority w:val="0"/>
    <w:pPr>
      <w:spacing w:line="360" w:lineRule="auto"/>
    </w:pPr>
    <w:rPr>
      <w:sz w:val="24"/>
    </w:rPr>
  </w:style>
  <w:style w:type="paragraph" w:customStyle="1" w:styleId="77">
    <w:name w:val="文字"/>
    <w:basedOn w:val="1"/>
    <w:qFormat/>
    <w:uiPriority w:val="0"/>
    <w:pPr>
      <w:spacing w:beforeLines="100" w:afterLines="100" w:line="360" w:lineRule="auto"/>
      <w:textAlignment w:val="auto"/>
    </w:pPr>
    <w:rPr>
      <w:rFonts w:ascii="Tahoma" w:hAnsi="Tahoma"/>
      <w:szCs w:val="24"/>
    </w:rPr>
  </w:style>
  <w:style w:type="paragraph" w:customStyle="1" w:styleId="78">
    <w:name w:val="正文表标题"/>
    <w:next w:val="79"/>
    <w:qFormat/>
    <w:uiPriority w:val="0"/>
    <w:pPr>
      <w:tabs>
        <w:tab w:val="left" w:pos="360"/>
      </w:tabs>
      <w:jc w:val="center"/>
    </w:pPr>
    <w:rPr>
      <w:rFonts w:ascii="黑体" w:hAnsi="Times New Roman" w:eastAsia="黑体" w:cs="Times New Roman"/>
      <w:sz w:val="21"/>
      <w:lang w:val="en-US" w:eastAsia="zh-CN" w:bidi="ar-SA"/>
    </w:rPr>
  </w:style>
  <w:style w:type="paragraph" w:customStyle="1" w:styleId="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80">
    <w:name w:val="font51"/>
    <w:basedOn w:val="2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1.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1" Type="http://schemas.openxmlformats.org/officeDocument/2006/relationships/fontTable" Target="fontTable.xml"/><Relationship Id="rId300" Type="http://schemas.openxmlformats.org/officeDocument/2006/relationships/numbering" Target="numbering.xml"/><Relationship Id="rId30" Type="http://schemas.openxmlformats.org/officeDocument/2006/relationships/image" Target="media/image22.png"/><Relationship Id="rId3" Type="http://schemas.openxmlformats.org/officeDocument/2006/relationships/header" Target="header1.xml"/><Relationship Id="rId299" Type="http://schemas.openxmlformats.org/officeDocument/2006/relationships/customXml" Target="../customXml/item1.xml"/><Relationship Id="rId298" Type="http://schemas.openxmlformats.org/officeDocument/2006/relationships/image" Target="media/image290.png"/><Relationship Id="rId297" Type="http://schemas.openxmlformats.org/officeDocument/2006/relationships/image" Target="media/image289.png"/><Relationship Id="rId296" Type="http://schemas.openxmlformats.org/officeDocument/2006/relationships/image" Target="media/image288.png"/><Relationship Id="rId295" Type="http://schemas.openxmlformats.org/officeDocument/2006/relationships/image" Target="media/image287.png"/><Relationship Id="rId294" Type="http://schemas.openxmlformats.org/officeDocument/2006/relationships/image" Target="media/image286.png"/><Relationship Id="rId293" Type="http://schemas.openxmlformats.org/officeDocument/2006/relationships/image" Target="media/image285.png"/><Relationship Id="rId292" Type="http://schemas.openxmlformats.org/officeDocument/2006/relationships/image" Target="media/image284.png"/><Relationship Id="rId291" Type="http://schemas.openxmlformats.org/officeDocument/2006/relationships/image" Target="media/image283.png"/><Relationship Id="rId290" Type="http://schemas.openxmlformats.org/officeDocument/2006/relationships/image" Target="media/image282.png"/><Relationship Id="rId29" Type="http://schemas.openxmlformats.org/officeDocument/2006/relationships/image" Target="media/image21.png"/><Relationship Id="rId289" Type="http://schemas.openxmlformats.org/officeDocument/2006/relationships/image" Target="media/image281.png"/><Relationship Id="rId288" Type="http://schemas.openxmlformats.org/officeDocument/2006/relationships/image" Target="media/image280.png"/><Relationship Id="rId287" Type="http://schemas.openxmlformats.org/officeDocument/2006/relationships/image" Target="media/image279.png"/><Relationship Id="rId286" Type="http://schemas.openxmlformats.org/officeDocument/2006/relationships/image" Target="media/image278.png"/><Relationship Id="rId285" Type="http://schemas.openxmlformats.org/officeDocument/2006/relationships/image" Target="media/image277.png"/><Relationship Id="rId284" Type="http://schemas.openxmlformats.org/officeDocument/2006/relationships/image" Target="media/image276.png"/><Relationship Id="rId283" Type="http://schemas.openxmlformats.org/officeDocument/2006/relationships/image" Target="media/image275.png"/><Relationship Id="rId282" Type="http://schemas.openxmlformats.org/officeDocument/2006/relationships/image" Target="media/image274.png"/><Relationship Id="rId281" Type="http://schemas.openxmlformats.org/officeDocument/2006/relationships/image" Target="media/image273.png"/><Relationship Id="rId280" Type="http://schemas.openxmlformats.org/officeDocument/2006/relationships/image" Target="media/image272.png"/><Relationship Id="rId28" Type="http://schemas.openxmlformats.org/officeDocument/2006/relationships/image" Target="media/image20.png"/><Relationship Id="rId279" Type="http://schemas.openxmlformats.org/officeDocument/2006/relationships/image" Target="media/image271.png"/><Relationship Id="rId278" Type="http://schemas.openxmlformats.org/officeDocument/2006/relationships/image" Target="media/image270.png"/><Relationship Id="rId277" Type="http://schemas.openxmlformats.org/officeDocument/2006/relationships/image" Target="media/image269.png"/><Relationship Id="rId276" Type="http://schemas.openxmlformats.org/officeDocument/2006/relationships/image" Target="media/image268.png"/><Relationship Id="rId275" Type="http://schemas.openxmlformats.org/officeDocument/2006/relationships/image" Target="media/image267.png"/><Relationship Id="rId274" Type="http://schemas.openxmlformats.org/officeDocument/2006/relationships/image" Target="media/image266.png"/><Relationship Id="rId273" Type="http://schemas.openxmlformats.org/officeDocument/2006/relationships/image" Target="media/image265.png"/><Relationship Id="rId272" Type="http://schemas.openxmlformats.org/officeDocument/2006/relationships/image" Target="media/image264.png"/><Relationship Id="rId271" Type="http://schemas.openxmlformats.org/officeDocument/2006/relationships/image" Target="media/image263.png"/><Relationship Id="rId270" Type="http://schemas.openxmlformats.org/officeDocument/2006/relationships/image" Target="media/image262.png"/><Relationship Id="rId27" Type="http://schemas.openxmlformats.org/officeDocument/2006/relationships/image" Target="media/image19.png"/><Relationship Id="rId269" Type="http://schemas.openxmlformats.org/officeDocument/2006/relationships/image" Target="media/image261.png"/><Relationship Id="rId268" Type="http://schemas.openxmlformats.org/officeDocument/2006/relationships/image" Target="media/image260.png"/><Relationship Id="rId267" Type="http://schemas.openxmlformats.org/officeDocument/2006/relationships/image" Target="media/image259.png"/><Relationship Id="rId266" Type="http://schemas.openxmlformats.org/officeDocument/2006/relationships/image" Target="media/image258.png"/><Relationship Id="rId265" Type="http://schemas.openxmlformats.org/officeDocument/2006/relationships/image" Target="media/image257.png"/><Relationship Id="rId264" Type="http://schemas.openxmlformats.org/officeDocument/2006/relationships/image" Target="media/image256.png"/><Relationship Id="rId263" Type="http://schemas.openxmlformats.org/officeDocument/2006/relationships/image" Target="media/image255.png"/><Relationship Id="rId262" Type="http://schemas.openxmlformats.org/officeDocument/2006/relationships/image" Target="media/image254.png"/><Relationship Id="rId261" Type="http://schemas.openxmlformats.org/officeDocument/2006/relationships/image" Target="media/image253.png"/><Relationship Id="rId260" Type="http://schemas.openxmlformats.org/officeDocument/2006/relationships/image" Target="media/image252.png"/><Relationship Id="rId26" Type="http://schemas.openxmlformats.org/officeDocument/2006/relationships/image" Target="media/image18.png"/><Relationship Id="rId259" Type="http://schemas.openxmlformats.org/officeDocument/2006/relationships/image" Target="media/image251.png"/><Relationship Id="rId258" Type="http://schemas.openxmlformats.org/officeDocument/2006/relationships/image" Target="media/image250.png"/><Relationship Id="rId257" Type="http://schemas.openxmlformats.org/officeDocument/2006/relationships/image" Target="media/image249.png"/><Relationship Id="rId256" Type="http://schemas.openxmlformats.org/officeDocument/2006/relationships/image" Target="media/image248.png"/><Relationship Id="rId255" Type="http://schemas.openxmlformats.org/officeDocument/2006/relationships/image" Target="media/image247.png"/><Relationship Id="rId254" Type="http://schemas.openxmlformats.org/officeDocument/2006/relationships/image" Target="media/image246.png"/><Relationship Id="rId253" Type="http://schemas.openxmlformats.org/officeDocument/2006/relationships/image" Target="media/image245.png"/><Relationship Id="rId252" Type="http://schemas.openxmlformats.org/officeDocument/2006/relationships/image" Target="media/image244.png"/><Relationship Id="rId251" Type="http://schemas.openxmlformats.org/officeDocument/2006/relationships/image" Target="media/image243.png"/><Relationship Id="rId250" Type="http://schemas.openxmlformats.org/officeDocument/2006/relationships/image" Target="media/image242.png"/><Relationship Id="rId25" Type="http://schemas.openxmlformats.org/officeDocument/2006/relationships/image" Target="media/image17.png"/><Relationship Id="rId249" Type="http://schemas.openxmlformats.org/officeDocument/2006/relationships/image" Target="media/image241.png"/><Relationship Id="rId248" Type="http://schemas.openxmlformats.org/officeDocument/2006/relationships/image" Target="media/image240.png"/><Relationship Id="rId247" Type="http://schemas.openxmlformats.org/officeDocument/2006/relationships/image" Target="media/image239.png"/><Relationship Id="rId246" Type="http://schemas.openxmlformats.org/officeDocument/2006/relationships/image" Target="media/image238.png"/><Relationship Id="rId245" Type="http://schemas.openxmlformats.org/officeDocument/2006/relationships/image" Target="media/image237.png"/><Relationship Id="rId244" Type="http://schemas.openxmlformats.org/officeDocument/2006/relationships/image" Target="media/image236.png"/><Relationship Id="rId243" Type="http://schemas.openxmlformats.org/officeDocument/2006/relationships/image" Target="media/image235.png"/><Relationship Id="rId242" Type="http://schemas.openxmlformats.org/officeDocument/2006/relationships/image" Target="media/image234.png"/><Relationship Id="rId241" Type="http://schemas.openxmlformats.org/officeDocument/2006/relationships/image" Target="media/image233.png"/><Relationship Id="rId240" Type="http://schemas.openxmlformats.org/officeDocument/2006/relationships/image" Target="media/image232.png"/><Relationship Id="rId24" Type="http://schemas.openxmlformats.org/officeDocument/2006/relationships/image" Target="media/image16.png"/><Relationship Id="rId239" Type="http://schemas.openxmlformats.org/officeDocument/2006/relationships/image" Target="media/image231.png"/><Relationship Id="rId238" Type="http://schemas.openxmlformats.org/officeDocument/2006/relationships/image" Target="media/image230.png"/><Relationship Id="rId237" Type="http://schemas.openxmlformats.org/officeDocument/2006/relationships/image" Target="media/image229.png"/><Relationship Id="rId236" Type="http://schemas.openxmlformats.org/officeDocument/2006/relationships/image" Target="media/image228.png"/><Relationship Id="rId235" Type="http://schemas.openxmlformats.org/officeDocument/2006/relationships/image" Target="media/image227.png"/><Relationship Id="rId234" Type="http://schemas.openxmlformats.org/officeDocument/2006/relationships/image" Target="media/image226.png"/><Relationship Id="rId233" Type="http://schemas.openxmlformats.org/officeDocument/2006/relationships/image" Target="media/image225.png"/><Relationship Id="rId232" Type="http://schemas.openxmlformats.org/officeDocument/2006/relationships/image" Target="media/image224.png"/><Relationship Id="rId231" Type="http://schemas.openxmlformats.org/officeDocument/2006/relationships/image" Target="media/image223.png"/><Relationship Id="rId230" Type="http://schemas.openxmlformats.org/officeDocument/2006/relationships/image" Target="media/image222.png"/><Relationship Id="rId23" Type="http://schemas.openxmlformats.org/officeDocument/2006/relationships/image" Target="media/image15.png"/><Relationship Id="rId229" Type="http://schemas.openxmlformats.org/officeDocument/2006/relationships/image" Target="media/image221.png"/><Relationship Id="rId228" Type="http://schemas.openxmlformats.org/officeDocument/2006/relationships/image" Target="media/image220.png"/><Relationship Id="rId227" Type="http://schemas.openxmlformats.org/officeDocument/2006/relationships/image" Target="media/image219.png"/><Relationship Id="rId226" Type="http://schemas.openxmlformats.org/officeDocument/2006/relationships/image" Target="media/image218.png"/><Relationship Id="rId225" Type="http://schemas.openxmlformats.org/officeDocument/2006/relationships/image" Target="media/image217.png"/><Relationship Id="rId224" Type="http://schemas.openxmlformats.org/officeDocument/2006/relationships/image" Target="media/image216.png"/><Relationship Id="rId223" Type="http://schemas.openxmlformats.org/officeDocument/2006/relationships/image" Target="media/image215.png"/><Relationship Id="rId222" Type="http://schemas.openxmlformats.org/officeDocument/2006/relationships/image" Target="media/image214.png"/><Relationship Id="rId221" Type="http://schemas.openxmlformats.org/officeDocument/2006/relationships/image" Target="media/image213.png"/><Relationship Id="rId220" Type="http://schemas.openxmlformats.org/officeDocument/2006/relationships/image" Target="media/image212.png"/><Relationship Id="rId22" Type="http://schemas.openxmlformats.org/officeDocument/2006/relationships/image" Target="media/image14.png"/><Relationship Id="rId219" Type="http://schemas.openxmlformats.org/officeDocument/2006/relationships/image" Target="media/image211.png"/><Relationship Id="rId218" Type="http://schemas.openxmlformats.org/officeDocument/2006/relationships/image" Target="media/image210.png"/><Relationship Id="rId217" Type="http://schemas.openxmlformats.org/officeDocument/2006/relationships/image" Target="media/image209.png"/><Relationship Id="rId216" Type="http://schemas.openxmlformats.org/officeDocument/2006/relationships/image" Target="media/image208.png"/><Relationship Id="rId215" Type="http://schemas.openxmlformats.org/officeDocument/2006/relationships/image" Target="media/image207.png"/><Relationship Id="rId214" Type="http://schemas.openxmlformats.org/officeDocument/2006/relationships/image" Target="media/image206.png"/><Relationship Id="rId213" Type="http://schemas.openxmlformats.org/officeDocument/2006/relationships/image" Target="media/image205.png"/><Relationship Id="rId212" Type="http://schemas.openxmlformats.org/officeDocument/2006/relationships/image" Target="media/image204.png"/><Relationship Id="rId211" Type="http://schemas.openxmlformats.org/officeDocument/2006/relationships/image" Target="media/image203.png"/><Relationship Id="rId210" Type="http://schemas.openxmlformats.org/officeDocument/2006/relationships/image" Target="media/image202.png"/><Relationship Id="rId21" Type="http://schemas.openxmlformats.org/officeDocument/2006/relationships/image" Target="media/image13.png"/><Relationship Id="rId209" Type="http://schemas.openxmlformats.org/officeDocument/2006/relationships/image" Target="media/image201.png"/><Relationship Id="rId208" Type="http://schemas.openxmlformats.org/officeDocument/2006/relationships/image" Target="media/image200.png"/><Relationship Id="rId207" Type="http://schemas.openxmlformats.org/officeDocument/2006/relationships/image" Target="media/image199.png"/><Relationship Id="rId206" Type="http://schemas.openxmlformats.org/officeDocument/2006/relationships/image" Target="media/image198.png"/><Relationship Id="rId205" Type="http://schemas.openxmlformats.org/officeDocument/2006/relationships/image" Target="media/image197.png"/><Relationship Id="rId204" Type="http://schemas.openxmlformats.org/officeDocument/2006/relationships/image" Target="media/image196.png"/><Relationship Id="rId203" Type="http://schemas.openxmlformats.org/officeDocument/2006/relationships/image" Target="media/image195.png"/><Relationship Id="rId202" Type="http://schemas.openxmlformats.org/officeDocument/2006/relationships/image" Target="media/image194.png"/><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1.png"/><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0.png"/><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9.png"/><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8.png"/><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7.png"/><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6.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Sky123.Org</Company>
  <Pages>151</Pages>
  <Words>23868</Words>
  <Characters>26559</Characters>
  <Lines>324</Lines>
  <Paragraphs>91</Paragraphs>
  <TotalTime>22</TotalTime>
  <ScaleCrop>false</ScaleCrop>
  <LinksUpToDate>false</LinksUpToDate>
  <CharactersWithSpaces>26928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2021-04-02T17:09:00Z</dcterms:created>
  <dc:creator>S-mile</dc:creator>
  <cp:lastModifiedBy>xy</cp:lastModifiedBy>
  <cp:lastPrinted>2025-05-21T06:28:00Z</cp:lastPrinted>
  <dcterms:modified xsi:type="dcterms:W3CDTF">2025-07-16T07:59:20Z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2BF6117482934BBFAB17CB81E2DD4D5A_13</vt:lpwstr>
  </property>
  <property fmtid="{D5CDD505-2E9C-101B-9397-08002B2CF9AE}" pid="4" name="KSOTemplateDocerSaveRecord">
    <vt:lpwstr>eyJoZGlkIjoiZjQwZjQyOTk1NmRhNDY3N2EwODMwOGZjY2UwYWViZDEiLCJ1c2VySWQiOiIxNTIzNjEyMjYzIn0=</vt:lpwstr>
  </property>
</Properties>
</file>