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ascii="宋体" w:hAnsi="宋体"/>
          <w:color w:val="auto"/>
          <w:sz w:val="52"/>
          <w:szCs w:val="52"/>
          <w:highlight w:val="none"/>
        </w:rPr>
      </w:pPr>
    </w:p>
    <w:p>
      <w:pPr>
        <w:widowControl w:val="0"/>
        <w:jc w:val="center"/>
        <w:rPr>
          <w:rFonts w:ascii="宋体" w:hAnsi="宋体"/>
          <w:color w:val="auto"/>
          <w:sz w:val="52"/>
          <w:szCs w:val="52"/>
          <w:highlight w:val="none"/>
        </w:rPr>
      </w:pPr>
    </w:p>
    <w:p>
      <w:pPr>
        <w:widowControl w:val="0"/>
        <w:spacing w:after="312"/>
        <w:jc w:val="center"/>
        <w:textAlignment w:val="baseline"/>
        <w:rPr>
          <w:rFonts w:ascii="方正小标宋简体" w:hAnsi="方正小标宋简体" w:eastAsia="方正小标宋简体"/>
          <w:color w:val="auto"/>
          <w:sz w:val="52"/>
          <w:szCs w:val="52"/>
          <w:highlight w:val="none"/>
        </w:rPr>
      </w:pPr>
      <w:r>
        <w:rPr>
          <w:rFonts w:hint="eastAsia" w:ascii="方正小标宋简体" w:hAnsi="方正小标宋简体" w:eastAsia="方正小标宋简体"/>
          <w:color w:val="auto"/>
          <w:sz w:val="52"/>
          <w:szCs w:val="52"/>
          <w:highlight w:val="none"/>
          <w:lang w:eastAsia="zh-CN"/>
        </w:rPr>
        <w:t>台州市</w:t>
      </w:r>
      <w:r>
        <w:rPr>
          <w:rFonts w:hint="eastAsia" w:ascii="方正小标宋简体" w:hAnsi="方正小标宋简体" w:eastAsia="方正小标宋简体"/>
          <w:color w:val="auto"/>
          <w:sz w:val="52"/>
          <w:szCs w:val="52"/>
          <w:highlight w:val="none"/>
        </w:rPr>
        <w:t>路桥区政府采购招标文件</w:t>
      </w:r>
    </w:p>
    <w:p>
      <w:pPr>
        <w:widowControl w:val="0"/>
        <w:jc w:val="center"/>
        <w:rPr>
          <w:rFonts w:ascii="宋体" w:hAnsi="宋体"/>
          <w:b/>
          <w:color w:val="auto"/>
          <w:sz w:val="32"/>
          <w:szCs w:val="32"/>
          <w:highlight w:val="none"/>
        </w:rPr>
      </w:pPr>
      <w:r>
        <w:rPr>
          <w:rFonts w:hint="eastAsia" w:ascii="宋体" w:hAnsi="宋体"/>
          <w:b/>
          <w:color w:val="auto"/>
          <w:sz w:val="32"/>
          <w:szCs w:val="32"/>
          <w:highlight w:val="none"/>
          <w:lang w:eastAsia="zh-CN"/>
        </w:rPr>
        <w:t>LQCG-2023-GK023号</w:t>
      </w:r>
    </w:p>
    <w:p>
      <w:pPr>
        <w:widowControl w:val="0"/>
        <w:jc w:val="center"/>
        <w:rPr>
          <w:rFonts w:ascii="宋体" w:hAnsi="宋体"/>
          <w:b/>
          <w:color w:val="auto"/>
          <w:sz w:val="28"/>
          <w:szCs w:val="28"/>
          <w:highlight w:val="none"/>
        </w:rPr>
      </w:pPr>
    </w:p>
    <w:p>
      <w:pPr>
        <w:widowControl w:val="0"/>
        <w:ind w:firstLine="1546" w:firstLineChars="550"/>
        <w:rPr>
          <w:rFonts w:ascii="宋体" w:hAnsi="宋体"/>
          <w:b/>
          <w:color w:val="auto"/>
          <w:sz w:val="28"/>
          <w:szCs w:val="28"/>
          <w:highlight w:val="none"/>
        </w:rPr>
      </w:pPr>
    </w:p>
    <w:p>
      <w:pPr>
        <w:widowControl w:val="0"/>
        <w:ind w:firstLine="1546" w:firstLineChars="550"/>
        <w:rPr>
          <w:rFonts w:ascii="宋体" w:hAnsi="宋体"/>
          <w:b/>
          <w:color w:val="auto"/>
          <w:sz w:val="28"/>
          <w:szCs w:val="28"/>
          <w:highlight w:val="none"/>
        </w:rPr>
      </w:pPr>
    </w:p>
    <w:p>
      <w:pPr>
        <w:widowControl w:val="0"/>
        <w:ind w:firstLine="1546" w:firstLineChars="550"/>
        <w:rPr>
          <w:rFonts w:ascii="宋体" w:hAnsi="宋体"/>
          <w:b/>
          <w:color w:val="auto"/>
          <w:sz w:val="28"/>
          <w:szCs w:val="28"/>
          <w:highlight w:val="none"/>
        </w:rPr>
      </w:pPr>
    </w:p>
    <w:p>
      <w:pPr>
        <w:widowControl w:val="0"/>
        <w:ind w:firstLine="1546" w:firstLineChars="550"/>
        <w:rPr>
          <w:rFonts w:ascii="宋体" w:hAnsi="宋体"/>
          <w:b/>
          <w:color w:val="auto"/>
          <w:sz w:val="28"/>
          <w:szCs w:val="28"/>
          <w:highlight w:val="none"/>
        </w:rPr>
      </w:pPr>
    </w:p>
    <w:p>
      <w:pPr>
        <w:widowControl w:val="0"/>
        <w:ind w:firstLine="1546" w:firstLineChars="550"/>
        <w:rPr>
          <w:rFonts w:ascii="宋体" w:hAnsi="宋体"/>
          <w:b/>
          <w:color w:val="auto"/>
          <w:sz w:val="28"/>
          <w:szCs w:val="28"/>
          <w:highlight w:val="none"/>
        </w:rPr>
      </w:pPr>
    </w:p>
    <w:p>
      <w:pPr>
        <w:widowControl w:val="0"/>
        <w:adjustRightInd w:val="0"/>
        <w:snapToGrid w:val="0"/>
        <w:spacing w:line="360" w:lineRule="auto"/>
        <w:rPr>
          <w:rFonts w:hint="eastAsia" w:ascii="宋体" w:hAnsi="宋体"/>
          <w:color w:val="auto"/>
          <w:sz w:val="28"/>
          <w:szCs w:val="28"/>
          <w:highlight w:val="none"/>
          <w:lang w:val="en-US" w:eastAsia="zh-CN"/>
        </w:rPr>
      </w:pPr>
      <w:r>
        <w:rPr>
          <w:rFonts w:ascii="宋体" w:hAnsi="宋体"/>
          <w:color w:val="auto"/>
          <w:sz w:val="28"/>
          <w:szCs w:val="28"/>
          <w:highlight w:val="none"/>
        </w:rPr>
        <w:t xml:space="preserve">     </w:t>
      </w:r>
      <w:r>
        <w:rPr>
          <w:rFonts w:hint="eastAsia" w:ascii="宋体" w:hAnsi="宋体"/>
          <w:color w:val="auto"/>
          <w:sz w:val="28"/>
          <w:szCs w:val="28"/>
          <w:highlight w:val="none"/>
        </w:rPr>
        <w:t xml:space="preserve">    </w:t>
      </w:r>
      <w:r>
        <w:rPr>
          <w:rFonts w:hint="eastAsia" w:ascii="宋体" w:hAnsi="宋体"/>
          <w:color w:val="auto"/>
          <w:sz w:val="28"/>
          <w:szCs w:val="28"/>
          <w:highlight w:val="none"/>
          <w:lang w:val="en-US" w:eastAsia="zh-CN"/>
        </w:rPr>
        <w:t xml:space="preserve"> </w:t>
      </w:r>
    </w:p>
    <w:p>
      <w:pPr>
        <w:widowControl w:val="0"/>
        <w:adjustRightInd w:val="0"/>
        <w:snapToGrid w:val="0"/>
        <w:spacing w:line="360" w:lineRule="auto"/>
        <w:ind w:firstLine="1960" w:firstLineChars="700"/>
        <w:jc w:val="both"/>
        <w:rPr>
          <w:rFonts w:hint="eastAsia" w:ascii="宋体" w:hAnsi="宋体"/>
          <w:color w:val="auto"/>
          <w:sz w:val="28"/>
          <w:szCs w:val="28"/>
          <w:highlight w:val="none"/>
        </w:rPr>
      </w:pPr>
      <w:r>
        <w:rPr>
          <w:rFonts w:hint="eastAsia" w:ascii="宋体" w:hAnsi="宋体"/>
          <w:color w:val="auto"/>
          <w:sz w:val="28"/>
          <w:szCs w:val="28"/>
          <w:highlight w:val="none"/>
        </w:rPr>
        <w:t>采购项目：2023-2025年</w:t>
      </w:r>
      <w:r>
        <w:rPr>
          <w:rFonts w:hint="eastAsia" w:ascii="宋体" w:hAnsi="宋体"/>
          <w:color w:val="auto"/>
          <w:sz w:val="28"/>
          <w:szCs w:val="28"/>
          <w:highlight w:val="none"/>
          <w:lang w:eastAsia="zh-CN"/>
        </w:rPr>
        <w:t>路桥区</w:t>
      </w:r>
      <w:r>
        <w:rPr>
          <w:rFonts w:hint="eastAsia" w:ascii="宋体" w:hAnsi="宋体"/>
          <w:color w:val="auto"/>
          <w:sz w:val="28"/>
          <w:szCs w:val="28"/>
          <w:highlight w:val="none"/>
        </w:rPr>
        <w:t>地方教材及</w:t>
      </w:r>
    </w:p>
    <w:p>
      <w:pPr>
        <w:widowControl w:val="0"/>
        <w:adjustRightInd w:val="0"/>
        <w:snapToGrid w:val="0"/>
        <w:spacing w:line="360" w:lineRule="auto"/>
        <w:ind w:firstLine="3360" w:firstLineChars="1200"/>
        <w:jc w:val="both"/>
        <w:rPr>
          <w:rFonts w:hint="eastAsia" w:ascii="宋体" w:hAnsi="宋体" w:eastAsia="宋体"/>
          <w:color w:val="auto"/>
          <w:sz w:val="28"/>
          <w:szCs w:val="28"/>
          <w:highlight w:val="none"/>
          <w:lang w:val="en-US" w:eastAsia="zh-CN"/>
        </w:rPr>
      </w:pPr>
      <w:r>
        <w:rPr>
          <w:rFonts w:hint="eastAsia" w:ascii="宋体" w:hAnsi="宋体"/>
          <w:color w:val="auto"/>
          <w:sz w:val="28"/>
          <w:szCs w:val="28"/>
          <w:highlight w:val="none"/>
        </w:rPr>
        <w:t>配套作业本采</w:t>
      </w:r>
      <w:r>
        <w:rPr>
          <w:rFonts w:hint="eastAsia" w:ascii="宋体" w:hAnsi="宋体"/>
          <w:color w:val="auto"/>
          <w:sz w:val="28"/>
          <w:szCs w:val="28"/>
          <w:highlight w:val="none"/>
          <w:lang w:eastAsia="zh-CN"/>
        </w:rPr>
        <w:t>购项目</w:t>
      </w:r>
    </w:p>
    <w:p>
      <w:pPr>
        <w:widowControl w:val="0"/>
        <w:adjustRightInd w:val="0"/>
        <w:snapToGrid w:val="0"/>
        <w:spacing w:line="360" w:lineRule="auto"/>
        <w:ind w:firstLine="1960" w:firstLineChars="700"/>
        <w:jc w:val="both"/>
        <w:rPr>
          <w:rFonts w:hint="eastAsia" w:ascii="宋体" w:hAnsi="宋体" w:eastAsia="宋体" w:cs="宋体"/>
          <w:kern w:val="0"/>
          <w:sz w:val="28"/>
          <w:lang w:eastAsia="zh-CN"/>
        </w:rPr>
      </w:pPr>
      <w:r>
        <w:rPr>
          <w:rFonts w:hint="eastAsia" w:ascii="宋体" w:hAnsi="宋体"/>
          <w:color w:val="auto"/>
          <w:sz w:val="28"/>
          <w:szCs w:val="28"/>
          <w:highlight w:val="none"/>
        </w:rPr>
        <w:t>采 购 人：</w:t>
      </w:r>
      <w:r>
        <w:rPr>
          <w:rFonts w:hint="eastAsia" w:ascii="宋体" w:hAnsi="宋体" w:cs="宋体"/>
          <w:kern w:val="0"/>
          <w:sz w:val="28"/>
          <w:lang w:eastAsia="zh-CN"/>
        </w:rPr>
        <w:t>台州市路桥区教育局</w:t>
      </w:r>
    </w:p>
    <w:p>
      <w:pPr>
        <w:pStyle w:val="45"/>
        <w:rPr>
          <w:rFonts w:hint="default" w:eastAsia="宋体"/>
          <w:lang w:val="en-US" w:eastAsia="zh-CN"/>
        </w:rPr>
      </w:pPr>
      <w:r>
        <w:rPr>
          <w:rFonts w:hint="eastAsia" w:ascii="宋体" w:hAnsi="宋体" w:cs="宋体"/>
          <w:kern w:val="0"/>
          <w:sz w:val="28"/>
          <w:lang w:val="en-US" w:eastAsia="zh-CN"/>
        </w:rPr>
        <w:t xml:space="preserve"> </w:t>
      </w:r>
    </w:p>
    <w:p>
      <w:pPr>
        <w:widowControl w:val="0"/>
        <w:spacing w:line="360" w:lineRule="auto"/>
        <w:ind w:firstLine="2231" w:firstLineChars="797"/>
        <w:rPr>
          <w:rFonts w:ascii="宋体" w:hAnsi="宋体"/>
          <w:color w:val="auto"/>
          <w:sz w:val="28"/>
          <w:szCs w:val="28"/>
          <w:highlight w:val="none"/>
        </w:rPr>
      </w:pPr>
    </w:p>
    <w:p>
      <w:pPr>
        <w:widowControl w:val="0"/>
        <w:rPr>
          <w:rFonts w:ascii="宋体" w:hAnsi="宋体"/>
          <w:color w:val="auto"/>
          <w:sz w:val="28"/>
          <w:szCs w:val="28"/>
          <w:highlight w:val="none"/>
        </w:rPr>
      </w:pPr>
    </w:p>
    <w:p>
      <w:pPr>
        <w:widowControl w:val="0"/>
        <w:rPr>
          <w:rFonts w:ascii="宋体" w:hAnsi="宋体"/>
          <w:color w:val="auto"/>
          <w:sz w:val="28"/>
          <w:szCs w:val="28"/>
          <w:highlight w:val="none"/>
        </w:rPr>
      </w:pPr>
    </w:p>
    <w:p>
      <w:pPr>
        <w:widowControl w:val="0"/>
        <w:rPr>
          <w:rFonts w:ascii="宋体" w:hAnsi="宋体"/>
          <w:color w:val="auto"/>
          <w:sz w:val="28"/>
          <w:szCs w:val="28"/>
          <w:highlight w:val="none"/>
        </w:rPr>
      </w:pPr>
    </w:p>
    <w:p>
      <w:pPr>
        <w:widowControl w:val="0"/>
        <w:rPr>
          <w:rFonts w:ascii="宋体" w:hAnsi="宋体"/>
          <w:color w:val="auto"/>
          <w:sz w:val="28"/>
          <w:szCs w:val="28"/>
          <w:highlight w:val="none"/>
        </w:rPr>
      </w:pPr>
    </w:p>
    <w:p>
      <w:pPr>
        <w:widowControl w:val="0"/>
        <w:rPr>
          <w:rFonts w:ascii="宋体" w:hAnsi="宋体"/>
          <w:color w:val="auto"/>
          <w:sz w:val="28"/>
          <w:szCs w:val="28"/>
          <w:highlight w:val="none"/>
        </w:rPr>
      </w:pPr>
    </w:p>
    <w:p>
      <w:pPr>
        <w:widowControl w:val="0"/>
        <w:rPr>
          <w:rFonts w:ascii="宋体" w:hAnsi="宋体"/>
          <w:color w:val="auto"/>
          <w:sz w:val="28"/>
          <w:szCs w:val="28"/>
          <w:highlight w:val="none"/>
        </w:rPr>
      </w:pPr>
    </w:p>
    <w:p>
      <w:pPr>
        <w:widowControl w:val="0"/>
        <w:rPr>
          <w:rFonts w:ascii="宋体" w:hAnsi="宋体"/>
          <w:color w:val="auto"/>
          <w:sz w:val="28"/>
          <w:szCs w:val="28"/>
          <w:highlight w:val="none"/>
        </w:rPr>
      </w:pPr>
    </w:p>
    <w:p>
      <w:pPr>
        <w:widowControl w:val="0"/>
        <w:rPr>
          <w:rFonts w:ascii="宋体" w:hAnsi="宋体"/>
          <w:color w:val="auto"/>
          <w:sz w:val="28"/>
          <w:szCs w:val="28"/>
          <w:highlight w:val="none"/>
        </w:rPr>
      </w:pPr>
    </w:p>
    <w:p>
      <w:pPr>
        <w:widowControl w:val="0"/>
        <w:rPr>
          <w:rFonts w:ascii="宋体" w:hAnsi="宋体"/>
          <w:color w:val="auto"/>
          <w:sz w:val="28"/>
          <w:szCs w:val="28"/>
          <w:highlight w:val="none"/>
        </w:rPr>
      </w:pPr>
    </w:p>
    <w:p>
      <w:pPr>
        <w:widowControl w:val="0"/>
        <w:rPr>
          <w:rFonts w:ascii="宋体" w:hAnsi="宋体"/>
          <w:color w:val="auto"/>
          <w:sz w:val="28"/>
          <w:szCs w:val="28"/>
          <w:highlight w:val="none"/>
        </w:rPr>
      </w:pPr>
    </w:p>
    <w:p>
      <w:pPr>
        <w:widowControl w:val="0"/>
        <w:jc w:val="center"/>
        <w:rPr>
          <w:rFonts w:ascii="宋体" w:hAnsi="宋体"/>
          <w:color w:val="auto"/>
          <w:sz w:val="28"/>
          <w:szCs w:val="28"/>
          <w:highlight w:val="none"/>
        </w:rPr>
      </w:pPr>
      <w:r>
        <w:rPr>
          <w:rFonts w:hint="eastAsia" w:ascii="宋体" w:hAnsi="宋体"/>
          <w:color w:val="auto"/>
          <w:sz w:val="28"/>
          <w:szCs w:val="28"/>
          <w:highlight w:val="none"/>
        </w:rPr>
        <w:t>集中采购机构：</w:t>
      </w:r>
      <w:r>
        <w:rPr>
          <w:rFonts w:hint="eastAsia" w:ascii="宋体" w:hAnsi="宋体"/>
          <w:color w:val="auto"/>
          <w:sz w:val="28"/>
          <w:szCs w:val="28"/>
          <w:highlight w:val="none"/>
          <w:lang w:eastAsia="zh-CN"/>
        </w:rPr>
        <w:t>台州市</w:t>
      </w:r>
      <w:r>
        <w:rPr>
          <w:rFonts w:hint="eastAsia" w:ascii="宋体" w:hAnsi="宋体"/>
          <w:color w:val="auto"/>
          <w:sz w:val="28"/>
          <w:szCs w:val="28"/>
          <w:highlight w:val="none"/>
        </w:rPr>
        <w:t>路桥区政府采购中心</w:t>
      </w:r>
    </w:p>
    <w:p>
      <w:pPr>
        <w:widowControl w:val="0"/>
        <w:jc w:val="center"/>
        <w:rPr>
          <w:rFonts w:ascii="宋体" w:hAnsi="宋体"/>
          <w:color w:val="auto"/>
          <w:sz w:val="28"/>
          <w:szCs w:val="28"/>
          <w:highlight w:val="none"/>
        </w:rPr>
      </w:pPr>
      <w:r>
        <w:rPr>
          <w:rFonts w:hint="eastAsia" w:ascii="宋体" w:hAnsi="宋体"/>
          <w:color w:val="auto"/>
          <w:sz w:val="28"/>
          <w:szCs w:val="28"/>
          <w:highlight w:val="none"/>
          <w:lang w:eastAsia="zh-CN"/>
        </w:rPr>
        <w:t>202</w:t>
      </w:r>
      <w:r>
        <w:rPr>
          <w:rFonts w:hint="eastAsia" w:ascii="宋体" w:hAnsi="宋体"/>
          <w:color w:val="auto"/>
          <w:sz w:val="28"/>
          <w:szCs w:val="28"/>
          <w:highlight w:val="none"/>
          <w:lang w:val="en-US" w:eastAsia="zh-CN"/>
        </w:rPr>
        <w:t>3</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11</w:t>
      </w:r>
      <w:r>
        <w:rPr>
          <w:rFonts w:hint="eastAsia" w:ascii="宋体" w:hAnsi="宋体"/>
          <w:color w:val="auto"/>
          <w:sz w:val="28"/>
          <w:szCs w:val="28"/>
          <w:highlight w:val="none"/>
        </w:rPr>
        <w:t>月</w:t>
      </w:r>
    </w:p>
    <w:p>
      <w:pPr>
        <w:widowControl w:val="0"/>
        <w:spacing w:line="440" w:lineRule="exact"/>
        <w:jc w:val="center"/>
        <w:textAlignment w:val="bottom"/>
        <w:rPr>
          <w:rFonts w:ascii="宋体" w:hAnsi="宋体"/>
          <w:b/>
          <w:color w:val="auto"/>
          <w:sz w:val="36"/>
          <w:highlight w:val="none"/>
        </w:rPr>
        <w:sectPr>
          <w:headerReference r:id="rId4" w:type="first"/>
          <w:headerReference r:id="rId3" w:type="default"/>
          <w:footerReference r:id="rId5" w:type="default"/>
          <w:footerReference r:id="rId6" w:type="even"/>
          <w:pgSz w:w="11907" w:h="16840"/>
          <w:pgMar w:top="1984" w:right="1474" w:bottom="1927" w:left="1474" w:header="851" w:footer="992" w:gutter="0"/>
          <w:pgBorders>
            <w:top w:val="none" w:sz="0" w:space="0"/>
            <w:left w:val="none" w:sz="0" w:space="0"/>
            <w:bottom w:val="none" w:sz="0" w:space="0"/>
            <w:right w:val="none" w:sz="0" w:space="0"/>
          </w:pgBorders>
          <w:cols w:space="720" w:num="1"/>
          <w:docGrid w:linePitch="312" w:charSpace="0"/>
        </w:sectPr>
      </w:pPr>
    </w:p>
    <w:p>
      <w:pPr>
        <w:widowControl w:val="0"/>
        <w:spacing w:before="100" w:beforeAutospacing="1" w:line="580" w:lineRule="exact"/>
        <w:jc w:val="center"/>
        <w:textAlignment w:val="bottom"/>
        <w:rPr>
          <w:rFonts w:ascii="方正小标宋简体" w:hAnsi="方正小标宋简体" w:eastAsia="方正小标宋简体"/>
          <w:color w:val="auto"/>
          <w:sz w:val="44"/>
          <w:highlight w:val="none"/>
        </w:rPr>
      </w:pPr>
    </w:p>
    <w:p>
      <w:pPr>
        <w:widowControl w:val="0"/>
        <w:spacing w:before="100" w:beforeAutospacing="1" w:line="580" w:lineRule="exact"/>
        <w:jc w:val="center"/>
        <w:textAlignment w:val="bottom"/>
        <w:rPr>
          <w:rFonts w:ascii="方正小标宋简体" w:hAnsi="方正小标宋简体" w:eastAsia="方正小标宋简体"/>
          <w:b/>
          <w:color w:val="auto"/>
          <w:sz w:val="44"/>
          <w:highlight w:val="none"/>
        </w:rPr>
      </w:pPr>
      <w:r>
        <w:rPr>
          <w:rFonts w:hint="eastAsia" w:ascii="方正小标宋简体" w:hAnsi="方正小标宋简体" w:eastAsia="方正小标宋简体"/>
          <w:color w:val="auto"/>
          <w:sz w:val="44"/>
          <w:highlight w:val="none"/>
        </w:rPr>
        <w:t>目      录</w:t>
      </w:r>
    </w:p>
    <w:p>
      <w:pPr>
        <w:pStyle w:val="26"/>
        <w:widowControl w:val="0"/>
        <w:tabs>
          <w:tab w:val="right" w:leader="dot" w:pos="8494"/>
        </w:tabs>
        <w:spacing w:before="0" w:after="0"/>
        <w:ind w:firstLine="560" w:firstLineChars="200"/>
        <w:jc w:val="both"/>
        <w:textAlignment w:val="baseline"/>
        <w:rPr>
          <w:rFonts w:ascii="宋体" w:hAnsi="宋体"/>
          <w:b w:val="0"/>
          <w:color w:val="auto"/>
          <w:sz w:val="28"/>
          <w:szCs w:val="28"/>
          <w:highlight w:val="none"/>
        </w:rPr>
      </w:pPr>
    </w:p>
    <w:p>
      <w:pPr>
        <w:rPr>
          <w:color w:val="auto"/>
          <w:sz w:val="28"/>
          <w:szCs w:val="28"/>
          <w:highlight w:val="none"/>
        </w:rPr>
      </w:pPr>
    </w:p>
    <w:p>
      <w:pPr>
        <w:rPr>
          <w:color w:val="auto"/>
          <w:sz w:val="28"/>
          <w:szCs w:val="28"/>
          <w:highlight w:val="none"/>
        </w:rPr>
      </w:pPr>
    </w:p>
    <w:p>
      <w:pPr>
        <w:widowControl w:val="0"/>
        <w:numPr>
          <w:ilvl w:val="0"/>
          <w:numId w:val="3"/>
        </w:numPr>
        <w:spacing w:line="360" w:lineRule="auto"/>
        <w:ind w:firstLine="562" w:firstLineChars="200"/>
        <w:jc w:val="both"/>
        <w:textAlignment w:val="baseline"/>
        <w:rPr>
          <w:rFonts w:ascii="宋体" w:hAnsi="宋体" w:eastAsia="宋体"/>
          <w:b/>
          <w:color w:val="auto"/>
          <w:sz w:val="28"/>
          <w:szCs w:val="28"/>
          <w:highlight w:val="none"/>
        </w:rPr>
      </w:pPr>
      <w:r>
        <w:rPr>
          <w:rFonts w:hint="eastAsia" w:ascii="宋体" w:hAnsi="宋体" w:eastAsia="宋体"/>
          <w:b/>
          <w:color w:val="auto"/>
          <w:sz w:val="28"/>
          <w:szCs w:val="28"/>
          <w:highlight w:val="none"/>
        </w:rPr>
        <w:t>公开招标采购公告</w:t>
      </w:r>
    </w:p>
    <w:p>
      <w:pPr>
        <w:widowControl w:val="0"/>
        <w:spacing w:line="360" w:lineRule="auto"/>
        <w:ind w:firstLine="562" w:firstLineChars="200"/>
        <w:jc w:val="both"/>
        <w:textAlignment w:val="baseline"/>
        <w:rPr>
          <w:rFonts w:ascii="宋体" w:hAnsi="宋体"/>
          <w:b/>
          <w:color w:val="auto"/>
          <w:sz w:val="28"/>
          <w:szCs w:val="28"/>
          <w:highlight w:val="none"/>
        </w:rPr>
      </w:pPr>
      <w:r>
        <w:rPr>
          <w:rFonts w:hint="eastAsia" w:ascii="宋体" w:hAnsi="宋体"/>
          <w:b/>
          <w:color w:val="auto"/>
          <w:sz w:val="28"/>
          <w:szCs w:val="28"/>
          <w:highlight w:val="none"/>
        </w:rPr>
        <w:t>二、投标人须知</w:t>
      </w:r>
    </w:p>
    <w:p>
      <w:pPr>
        <w:widowControl w:val="0"/>
        <w:spacing w:line="360" w:lineRule="auto"/>
        <w:ind w:firstLine="562" w:firstLineChars="200"/>
        <w:jc w:val="both"/>
        <w:textAlignment w:val="baseline"/>
        <w:rPr>
          <w:rFonts w:ascii="宋体" w:hAnsi="宋体"/>
          <w:b/>
          <w:color w:val="auto"/>
          <w:sz w:val="28"/>
          <w:szCs w:val="28"/>
          <w:highlight w:val="none"/>
        </w:rPr>
      </w:pPr>
      <w:r>
        <w:rPr>
          <w:rFonts w:hint="eastAsia" w:ascii="宋体" w:hAnsi="宋体"/>
          <w:b/>
          <w:color w:val="auto"/>
          <w:sz w:val="28"/>
          <w:szCs w:val="28"/>
          <w:highlight w:val="none"/>
        </w:rPr>
        <w:t>三、评标办法及评分标准</w:t>
      </w:r>
    </w:p>
    <w:p>
      <w:pPr>
        <w:widowControl w:val="0"/>
        <w:spacing w:line="360" w:lineRule="auto"/>
        <w:ind w:firstLine="562" w:firstLineChars="200"/>
        <w:jc w:val="both"/>
        <w:textAlignment w:val="baseline"/>
        <w:rPr>
          <w:rFonts w:ascii="宋体" w:hAnsi="宋体"/>
          <w:b/>
          <w:color w:val="auto"/>
          <w:sz w:val="28"/>
          <w:szCs w:val="28"/>
          <w:highlight w:val="none"/>
        </w:rPr>
      </w:pPr>
      <w:r>
        <w:rPr>
          <w:rFonts w:hint="eastAsia" w:ascii="宋体" w:hAnsi="宋体"/>
          <w:b/>
          <w:color w:val="auto"/>
          <w:sz w:val="28"/>
          <w:szCs w:val="28"/>
          <w:highlight w:val="none"/>
        </w:rPr>
        <w:t>四、公开招标需求</w:t>
      </w:r>
    </w:p>
    <w:p>
      <w:pPr>
        <w:widowControl w:val="0"/>
        <w:spacing w:line="360" w:lineRule="auto"/>
        <w:ind w:firstLine="562" w:firstLineChars="200"/>
        <w:jc w:val="both"/>
        <w:textAlignment w:val="baseline"/>
        <w:rPr>
          <w:rFonts w:ascii="宋体" w:hAnsi="宋体"/>
          <w:b/>
          <w:color w:val="auto"/>
          <w:sz w:val="28"/>
          <w:szCs w:val="28"/>
          <w:highlight w:val="none"/>
        </w:rPr>
      </w:pPr>
      <w:r>
        <w:rPr>
          <w:rFonts w:hint="eastAsia" w:ascii="宋体" w:hAnsi="宋体"/>
          <w:b/>
          <w:color w:val="auto"/>
          <w:sz w:val="28"/>
          <w:szCs w:val="28"/>
          <w:highlight w:val="none"/>
        </w:rPr>
        <w:t>五、</w:t>
      </w:r>
      <w:r>
        <w:rPr>
          <w:rFonts w:hint="eastAsia" w:ascii="宋体" w:hAnsi="宋体" w:eastAsia="宋体"/>
          <w:b/>
          <w:color w:val="auto"/>
          <w:sz w:val="28"/>
          <w:szCs w:val="28"/>
          <w:highlight w:val="none"/>
        </w:rPr>
        <w:t>政府采购合同主要条款指引</w:t>
      </w:r>
    </w:p>
    <w:p>
      <w:pPr>
        <w:widowControl w:val="0"/>
        <w:spacing w:line="360" w:lineRule="auto"/>
        <w:ind w:firstLine="562" w:firstLineChars="200"/>
        <w:jc w:val="both"/>
        <w:textAlignment w:val="baseline"/>
        <w:rPr>
          <w:rFonts w:ascii="宋体" w:hAnsi="宋体"/>
          <w:b/>
          <w:color w:val="auto"/>
          <w:sz w:val="28"/>
          <w:szCs w:val="28"/>
          <w:highlight w:val="none"/>
        </w:rPr>
      </w:pPr>
      <w:r>
        <w:rPr>
          <w:rFonts w:hint="eastAsia" w:ascii="宋体" w:hAnsi="宋体"/>
          <w:b/>
          <w:color w:val="auto"/>
          <w:sz w:val="28"/>
          <w:szCs w:val="28"/>
          <w:highlight w:val="none"/>
        </w:rPr>
        <w:t>六、投标文件格式附件</w:t>
      </w:r>
    </w:p>
    <w:p>
      <w:pPr>
        <w:widowControl w:val="0"/>
        <w:spacing w:line="360" w:lineRule="auto"/>
        <w:ind w:firstLine="480" w:firstLineChars="200"/>
        <w:jc w:val="both"/>
        <w:textAlignment w:val="baseline"/>
        <w:rPr>
          <w:rFonts w:ascii="宋体" w:hAnsi="宋体"/>
          <w:color w:val="auto"/>
          <w:sz w:val="24"/>
          <w:highlight w:val="none"/>
        </w:rPr>
      </w:pPr>
    </w:p>
    <w:p>
      <w:pPr>
        <w:widowControl w:val="0"/>
        <w:spacing w:line="360" w:lineRule="auto"/>
        <w:ind w:firstLine="480" w:firstLineChars="200"/>
        <w:jc w:val="both"/>
        <w:textAlignment w:val="baseline"/>
        <w:rPr>
          <w:rFonts w:ascii="宋体" w:hAnsi="宋体"/>
          <w:color w:val="auto"/>
          <w:sz w:val="24"/>
          <w:highlight w:val="none"/>
        </w:rPr>
      </w:pPr>
    </w:p>
    <w:p>
      <w:pPr>
        <w:widowControl w:val="0"/>
        <w:spacing w:line="360" w:lineRule="auto"/>
        <w:ind w:firstLine="480" w:firstLineChars="200"/>
        <w:jc w:val="both"/>
        <w:textAlignment w:val="baseline"/>
        <w:rPr>
          <w:rFonts w:ascii="宋体" w:hAnsi="宋体"/>
          <w:color w:val="auto"/>
          <w:sz w:val="24"/>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方正小标宋简体" w:hAnsi="宋体" w:eastAsia="方正小标宋简体"/>
          <w:color w:val="auto"/>
          <w:sz w:val="44"/>
          <w:szCs w:val="44"/>
          <w:highlight w:val="none"/>
        </w:rPr>
      </w:pPr>
      <w:bookmarkStart w:id="0" w:name="_Toc202235403"/>
      <w:r>
        <w:rPr>
          <w:color w:val="auto"/>
          <w:highlight w:val="none"/>
        </w:rPr>
        <w:br w:type="page"/>
      </w:r>
      <w:r>
        <w:rPr>
          <w:rFonts w:hint="eastAsia" w:ascii="方正小标宋简体" w:hAnsi="宋体" w:eastAsia="方正小标宋简体"/>
          <w:color w:val="auto"/>
          <w:sz w:val="40"/>
          <w:szCs w:val="40"/>
          <w:highlight w:val="none"/>
        </w:rPr>
        <w:t>第一章  公开招标采购公告</w:t>
      </w:r>
    </w:p>
    <w:p>
      <w:pPr>
        <w:pStyle w:val="3"/>
        <w:tabs>
          <w:tab w:val="left" w:pos="0"/>
          <w:tab w:val="left" w:pos="3165"/>
          <w:tab w:val="center" w:pos="4153"/>
        </w:tabs>
        <w:autoSpaceDE w:val="0"/>
        <w:autoSpaceDN w:val="0"/>
        <w:adjustRightInd w:val="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参加台州市路桥区教育局</w:t>
      </w:r>
      <w:r>
        <w:rPr>
          <w:rFonts w:hint="eastAsia" w:ascii="宋体" w:hAnsi="宋体" w:cs="宋体"/>
          <w:kern w:val="0"/>
          <w:sz w:val="24"/>
          <w:highlight w:val="none"/>
          <w:lang w:eastAsia="zh-CN"/>
        </w:rPr>
        <w:t>2023-2025年路桥区地方教材及配套作业本采购项目</w:t>
      </w:r>
      <w:r>
        <w:rPr>
          <w:rFonts w:hint="eastAsia" w:ascii="宋体" w:hAnsi="宋体" w:cs="宋体"/>
          <w:color w:val="auto"/>
          <w:sz w:val="24"/>
          <w:szCs w:val="24"/>
          <w:highlight w:val="none"/>
        </w:rPr>
        <w:t xml:space="preserve">的潜在投标人应在“浙江省政府采购网”（http:// </w:t>
      </w:r>
      <w:r>
        <w:rPr>
          <w:rFonts w:hint="eastAsia" w:ascii="宋体" w:hAnsi="宋体" w:cs="宋体"/>
          <w:color w:val="auto"/>
          <w:sz w:val="24"/>
          <w:szCs w:val="24"/>
          <w:highlight w:val="none"/>
          <w:u w:val="none"/>
        </w:rPr>
        <w:fldChar w:fldCharType="begin"/>
      </w:r>
      <w:r>
        <w:rPr>
          <w:rFonts w:hint="eastAsia" w:ascii="宋体" w:hAnsi="宋体" w:cs="宋体"/>
          <w:color w:val="auto"/>
          <w:sz w:val="24"/>
          <w:szCs w:val="24"/>
          <w:highlight w:val="none"/>
          <w:u w:val="none"/>
        </w:rPr>
        <w:instrText xml:space="preserve"> HYPERLINK "http://www.zjzfcg.gov.cn）获取招标文件，并于2022年12月" </w:instrText>
      </w:r>
      <w:r>
        <w:rPr>
          <w:rFonts w:hint="eastAsia" w:ascii="宋体" w:hAnsi="宋体" w:cs="宋体"/>
          <w:color w:val="auto"/>
          <w:sz w:val="24"/>
          <w:szCs w:val="24"/>
          <w:highlight w:val="none"/>
          <w:u w:val="none"/>
        </w:rPr>
        <w:fldChar w:fldCharType="separate"/>
      </w:r>
      <w:r>
        <w:rPr>
          <w:rStyle w:val="43"/>
          <w:rFonts w:hint="eastAsia" w:ascii="宋体" w:hAnsi="宋体" w:cs="宋体"/>
          <w:color w:val="auto"/>
          <w:sz w:val="24"/>
          <w:szCs w:val="24"/>
          <w:highlight w:val="none"/>
          <w:u w:val="none"/>
        </w:rPr>
        <w:t>www.zjzfcg.gov.cn）获取招标文件，并于</w:t>
      </w:r>
      <w:r>
        <w:rPr>
          <w:rStyle w:val="43"/>
          <w:rFonts w:hint="eastAsia" w:ascii="宋体" w:hAnsi="宋体" w:cs="宋体"/>
          <w:color w:val="auto"/>
          <w:sz w:val="24"/>
          <w:szCs w:val="24"/>
          <w:highlight w:val="yellow"/>
          <w:u w:val="none"/>
          <w:lang w:eastAsia="zh-CN"/>
        </w:rPr>
        <w:t>2023</w:t>
      </w:r>
      <w:r>
        <w:rPr>
          <w:rStyle w:val="43"/>
          <w:rFonts w:hint="eastAsia" w:ascii="宋体" w:hAnsi="宋体" w:cs="宋体"/>
          <w:color w:val="auto"/>
          <w:sz w:val="24"/>
          <w:szCs w:val="24"/>
          <w:highlight w:val="yellow"/>
          <w:u w:val="none"/>
        </w:rPr>
        <w:t>年</w:t>
      </w:r>
      <w:r>
        <w:rPr>
          <w:rStyle w:val="43"/>
          <w:rFonts w:hint="eastAsia" w:ascii="宋体" w:hAnsi="宋体" w:cs="宋体"/>
          <w:color w:val="auto"/>
          <w:sz w:val="24"/>
          <w:szCs w:val="24"/>
          <w:highlight w:val="yellow"/>
          <w:u w:val="none"/>
          <w:lang w:val="en-US" w:eastAsia="zh-CN"/>
        </w:rPr>
        <w:t>12</w:t>
      </w:r>
      <w:r>
        <w:rPr>
          <w:rStyle w:val="43"/>
          <w:rFonts w:hint="eastAsia" w:ascii="宋体" w:hAnsi="宋体" w:cs="宋体"/>
          <w:color w:val="auto"/>
          <w:sz w:val="24"/>
          <w:szCs w:val="24"/>
          <w:highlight w:val="yellow"/>
          <w:u w:val="none"/>
        </w:rPr>
        <w:t>月</w:t>
      </w:r>
      <w:r>
        <w:rPr>
          <w:rFonts w:hint="eastAsia" w:ascii="宋体" w:hAnsi="宋体" w:cs="宋体"/>
          <w:color w:val="auto"/>
          <w:sz w:val="24"/>
          <w:szCs w:val="24"/>
          <w:highlight w:val="none"/>
          <w:u w:val="none"/>
        </w:rPr>
        <w:fldChar w:fldCharType="end"/>
      </w:r>
      <w:r>
        <w:rPr>
          <w:rFonts w:hint="eastAsia" w:ascii="宋体" w:hAnsi="宋体" w:cs="宋体"/>
          <w:color w:val="auto"/>
          <w:sz w:val="24"/>
          <w:szCs w:val="24"/>
          <w:highlight w:val="yellow"/>
          <w:u w:val="none"/>
          <w:lang w:val="en-US" w:eastAsia="zh-CN"/>
        </w:rPr>
        <w:t>14</w:t>
      </w:r>
      <w:r>
        <w:rPr>
          <w:rFonts w:hint="eastAsia" w:ascii="宋体" w:hAnsi="宋体" w:cs="宋体"/>
          <w:color w:val="auto"/>
          <w:sz w:val="24"/>
          <w:szCs w:val="24"/>
          <w:highlight w:val="yellow"/>
        </w:rPr>
        <w:t>日9</w:t>
      </w:r>
      <w:r>
        <w:rPr>
          <w:rFonts w:hint="eastAsia" w:ascii="宋体" w:hAnsi="宋体" w:cs="宋体"/>
          <w:color w:val="auto"/>
          <w:sz w:val="24"/>
          <w:szCs w:val="24"/>
          <w:highlight w:val="yellow"/>
          <w:lang w:eastAsia="zh-CN"/>
        </w:rPr>
        <w:t>时</w:t>
      </w:r>
      <w:r>
        <w:rPr>
          <w:rFonts w:hint="eastAsia" w:ascii="宋体" w:hAnsi="宋体" w:cs="宋体"/>
          <w:color w:val="auto"/>
          <w:sz w:val="24"/>
          <w:szCs w:val="24"/>
          <w:highlight w:val="yellow"/>
        </w:rPr>
        <w:t>整</w:t>
      </w:r>
      <w:r>
        <w:rPr>
          <w:rFonts w:hint="eastAsia" w:ascii="宋体" w:hAnsi="宋体" w:cs="宋体"/>
          <w:color w:val="auto"/>
          <w:sz w:val="24"/>
          <w:szCs w:val="24"/>
          <w:highlight w:val="none"/>
        </w:rPr>
        <w:t>（北京时间）前在浙江政府采购云平台递交电子投标文件。</w:t>
      </w:r>
    </w:p>
    <w:p>
      <w:pPr>
        <w:numPr>
          <w:ilvl w:val="0"/>
          <w:numId w:val="4"/>
        </w:numPr>
        <w:tabs>
          <w:tab w:val="left" w:pos="180"/>
          <w:tab w:val="left" w:pos="360"/>
          <w:tab w:val="left" w:pos="540"/>
          <w:tab w:val="left" w:pos="8280"/>
        </w:tabs>
        <w:autoSpaceDE w:val="0"/>
        <w:autoSpaceDN w:val="0"/>
        <w:adjustRightInd w:val="0"/>
        <w:spacing w:line="440" w:lineRule="exact"/>
        <w:ind w:right="23" w:firstLine="482" w:firstLineChars="200"/>
        <w:rPr>
          <w:rFonts w:ascii="宋体" w:hAnsi="宋体"/>
          <w:color w:val="auto"/>
          <w:sz w:val="24"/>
          <w:szCs w:val="24"/>
          <w:highlight w:val="none"/>
        </w:rPr>
      </w:pPr>
      <w:r>
        <w:rPr>
          <w:rFonts w:hint="eastAsia" w:ascii="宋体" w:hAnsi="宋体"/>
          <w:b/>
          <w:color w:val="auto"/>
          <w:sz w:val="24"/>
          <w:szCs w:val="24"/>
          <w:highlight w:val="none"/>
        </w:rPr>
        <w:t>项目基本情况</w:t>
      </w:r>
    </w:p>
    <w:p>
      <w:pPr>
        <w:tabs>
          <w:tab w:val="left" w:pos="180"/>
          <w:tab w:val="left" w:pos="360"/>
          <w:tab w:val="left" w:pos="540"/>
          <w:tab w:val="left" w:pos="8280"/>
        </w:tabs>
        <w:autoSpaceDE w:val="0"/>
        <w:autoSpaceDN w:val="0"/>
        <w:adjustRightInd w:val="0"/>
        <w:spacing w:line="440" w:lineRule="exact"/>
        <w:ind w:right="23" w:firstLine="723" w:firstLineChars="300"/>
        <w:rPr>
          <w:rFonts w:ascii="宋体" w:hAnsi="宋体"/>
          <w:b/>
          <w:bCs w:val="0"/>
          <w:color w:val="auto"/>
          <w:sz w:val="24"/>
          <w:szCs w:val="24"/>
          <w:highlight w:val="none"/>
        </w:rPr>
      </w:pPr>
      <w:r>
        <w:rPr>
          <w:rFonts w:hint="eastAsia" w:ascii="宋体" w:hAnsi="宋体"/>
          <w:b/>
          <w:bCs w:val="0"/>
          <w:color w:val="auto"/>
          <w:sz w:val="24"/>
          <w:szCs w:val="24"/>
          <w:highlight w:val="none"/>
        </w:rPr>
        <w:t>项目编号：</w:t>
      </w:r>
      <w:r>
        <w:rPr>
          <w:rFonts w:hint="eastAsia" w:ascii="宋体" w:hAnsi="宋体"/>
          <w:b/>
          <w:bCs w:val="0"/>
          <w:color w:val="auto"/>
          <w:sz w:val="24"/>
          <w:szCs w:val="24"/>
          <w:highlight w:val="none"/>
          <w:lang w:eastAsia="zh-CN"/>
        </w:rPr>
        <w:t>LQCG-2023-GK023号</w:t>
      </w:r>
    </w:p>
    <w:tbl>
      <w:tblPr>
        <w:tblStyle w:val="37"/>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973"/>
        <w:gridCol w:w="1566"/>
        <w:gridCol w:w="839"/>
        <w:gridCol w:w="772"/>
        <w:gridCol w:w="1220"/>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658" w:type="dxa"/>
            <w:noWrap w:val="0"/>
            <w:vAlign w:val="center"/>
          </w:tcPr>
          <w:p>
            <w:pPr>
              <w:tabs>
                <w:tab w:val="left" w:pos="8280"/>
              </w:tabs>
              <w:autoSpaceDE w:val="0"/>
              <w:autoSpaceDN w:val="0"/>
              <w:adjustRightInd w:val="0"/>
              <w:ind w:right="25"/>
              <w:jc w:val="center"/>
              <w:rPr>
                <w:rFonts w:ascii="宋体" w:hAnsi="宋体"/>
                <w:b/>
                <w:color w:val="000000"/>
                <w:sz w:val="24"/>
                <w:szCs w:val="24"/>
              </w:rPr>
            </w:pPr>
            <w:r>
              <w:rPr>
                <w:rFonts w:hint="eastAsia" w:ascii="宋体" w:hAnsi="宋体"/>
                <w:b/>
                <w:color w:val="000000"/>
                <w:sz w:val="24"/>
                <w:szCs w:val="24"/>
              </w:rPr>
              <w:t>标项</w:t>
            </w:r>
          </w:p>
        </w:tc>
        <w:tc>
          <w:tcPr>
            <w:tcW w:w="1973" w:type="dxa"/>
            <w:noWrap w:val="0"/>
            <w:vAlign w:val="center"/>
          </w:tcPr>
          <w:p>
            <w:pPr>
              <w:tabs>
                <w:tab w:val="left" w:pos="8280"/>
              </w:tabs>
              <w:autoSpaceDE w:val="0"/>
              <w:autoSpaceDN w:val="0"/>
              <w:adjustRightInd w:val="0"/>
              <w:ind w:right="25" w:firstLine="120" w:firstLineChars="50"/>
              <w:jc w:val="center"/>
              <w:rPr>
                <w:rFonts w:ascii="宋体" w:hAnsi="宋体"/>
                <w:b/>
                <w:color w:val="000000"/>
                <w:sz w:val="24"/>
                <w:szCs w:val="24"/>
              </w:rPr>
            </w:pPr>
            <w:r>
              <w:rPr>
                <w:rFonts w:hint="eastAsia" w:ascii="宋体" w:hAnsi="宋体"/>
                <w:b/>
                <w:color w:val="000000"/>
                <w:sz w:val="24"/>
                <w:szCs w:val="24"/>
                <w:lang w:eastAsia="zh-CN"/>
              </w:rPr>
              <w:t>项目</w:t>
            </w:r>
            <w:r>
              <w:rPr>
                <w:rFonts w:hint="eastAsia" w:ascii="宋体" w:hAnsi="宋体"/>
                <w:b/>
                <w:color w:val="000000"/>
                <w:sz w:val="24"/>
                <w:szCs w:val="24"/>
              </w:rPr>
              <w:t>名称</w:t>
            </w:r>
          </w:p>
        </w:tc>
        <w:tc>
          <w:tcPr>
            <w:tcW w:w="1566" w:type="dxa"/>
            <w:noWrap w:val="0"/>
            <w:vAlign w:val="center"/>
          </w:tcPr>
          <w:p>
            <w:pPr>
              <w:tabs>
                <w:tab w:val="left" w:pos="8280"/>
              </w:tabs>
              <w:autoSpaceDE w:val="0"/>
              <w:autoSpaceDN w:val="0"/>
              <w:adjustRightInd w:val="0"/>
              <w:ind w:right="25"/>
              <w:jc w:val="center"/>
              <w:rPr>
                <w:rFonts w:ascii="宋体" w:hAnsi="宋体"/>
                <w:b/>
                <w:color w:val="000000"/>
                <w:sz w:val="24"/>
                <w:szCs w:val="24"/>
              </w:rPr>
            </w:pPr>
            <w:r>
              <w:rPr>
                <w:rFonts w:hint="eastAsia" w:ascii="宋体" w:hAnsi="宋体" w:cs="宋体"/>
                <w:b/>
                <w:color w:val="000000"/>
                <w:sz w:val="24"/>
                <w:szCs w:val="24"/>
              </w:rPr>
              <w:t>简要技术要求</w:t>
            </w:r>
          </w:p>
        </w:tc>
        <w:tc>
          <w:tcPr>
            <w:tcW w:w="839" w:type="dxa"/>
            <w:noWrap w:val="0"/>
            <w:vAlign w:val="center"/>
          </w:tcPr>
          <w:p>
            <w:pPr>
              <w:tabs>
                <w:tab w:val="left" w:pos="8280"/>
              </w:tabs>
              <w:autoSpaceDE w:val="0"/>
              <w:autoSpaceDN w:val="0"/>
              <w:adjustRightInd w:val="0"/>
              <w:ind w:right="25"/>
              <w:jc w:val="center"/>
              <w:rPr>
                <w:rFonts w:ascii="宋体" w:hAnsi="宋体"/>
                <w:b/>
                <w:color w:val="000000"/>
                <w:sz w:val="24"/>
                <w:szCs w:val="24"/>
              </w:rPr>
            </w:pPr>
            <w:r>
              <w:rPr>
                <w:rFonts w:hint="eastAsia" w:ascii="宋体" w:hAnsi="宋体"/>
                <w:b/>
                <w:color w:val="000000"/>
                <w:sz w:val="24"/>
                <w:szCs w:val="24"/>
              </w:rPr>
              <w:t>数量</w:t>
            </w:r>
          </w:p>
        </w:tc>
        <w:tc>
          <w:tcPr>
            <w:tcW w:w="772" w:type="dxa"/>
            <w:noWrap w:val="0"/>
            <w:vAlign w:val="center"/>
          </w:tcPr>
          <w:p>
            <w:pPr>
              <w:tabs>
                <w:tab w:val="left" w:pos="8280"/>
              </w:tabs>
              <w:autoSpaceDE w:val="0"/>
              <w:autoSpaceDN w:val="0"/>
              <w:adjustRightInd w:val="0"/>
              <w:ind w:right="25"/>
              <w:jc w:val="center"/>
              <w:rPr>
                <w:rFonts w:ascii="宋体" w:hAnsi="宋体"/>
                <w:b/>
                <w:color w:val="000000"/>
                <w:sz w:val="24"/>
                <w:szCs w:val="24"/>
              </w:rPr>
            </w:pPr>
            <w:r>
              <w:rPr>
                <w:rFonts w:hint="eastAsia" w:ascii="宋体" w:hAnsi="宋体"/>
                <w:b/>
                <w:color w:val="000000"/>
                <w:sz w:val="24"/>
                <w:szCs w:val="24"/>
              </w:rPr>
              <w:t>单位</w:t>
            </w:r>
          </w:p>
        </w:tc>
        <w:tc>
          <w:tcPr>
            <w:tcW w:w="1220" w:type="dxa"/>
            <w:noWrap w:val="0"/>
            <w:vAlign w:val="center"/>
          </w:tcPr>
          <w:p>
            <w:pPr>
              <w:tabs>
                <w:tab w:val="left" w:pos="8280"/>
              </w:tabs>
              <w:autoSpaceDE w:val="0"/>
              <w:autoSpaceDN w:val="0"/>
              <w:adjustRightInd w:val="0"/>
              <w:ind w:right="25"/>
              <w:jc w:val="center"/>
              <w:rPr>
                <w:rFonts w:hint="eastAsia" w:ascii="宋体" w:hAnsi="宋体" w:eastAsia="宋体"/>
                <w:b/>
                <w:sz w:val="24"/>
                <w:szCs w:val="24"/>
                <w:lang w:eastAsia="zh-CN"/>
              </w:rPr>
            </w:pPr>
            <w:r>
              <w:rPr>
                <w:rFonts w:hint="eastAsia" w:ascii="宋体" w:hAnsi="宋体"/>
                <w:b/>
                <w:sz w:val="24"/>
                <w:szCs w:val="24"/>
                <w:lang w:eastAsia="zh-CN"/>
              </w:rPr>
              <w:t>总预算（</w:t>
            </w:r>
            <w:r>
              <w:rPr>
                <w:rFonts w:hint="eastAsia" w:ascii="宋体" w:hAnsi="宋体"/>
                <w:b/>
                <w:sz w:val="24"/>
                <w:szCs w:val="24"/>
                <w:lang w:val="en-US" w:eastAsia="zh-CN"/>
              </w:rPr>
              <w:t>万元）</w:t>
            </w:r>
          </w:p>
        </w:tc>
        <w:tc>
          <w:tcPr>
            <w:tcW w:w="2228" w:type="dxa"/>
            <w:noWrap w:val="0"/>
            <w:vAlign w:val="center"/>
          </w:tcPr>
          <w:p>
            <w:pPr>
              <w:tabs>
                <w:tab w:val="left" w:pos="8280"/>
              </w:tabs>
              <w:autoSpaceDE w:val="0"/>
              <w:autoSpaceDN w:val="0"/>
              <w:adjustRightInd w:val="0"/>
              <w:spacing w:after="0" w:line="360" w:lineRule="auto"/>
              <w:jc w:val="center"/>
              <w:rPr>
                <w:rFonts w:hint="eastAsia" w:ascii="宋体" w:hAnsi="宋体" w:eastAsia="宋体"/>
                <w:b/>
                <w:sz w:val="24"/>
                <w:szCs w:val="24"/>
                <w:lang w:val="en-US" w:eastAsia="zh-CN"/>
              </w:rPr>
            </w:pPr>
            <w:r>
              <w:rPr>
                <w:rFonts w:hint="eastAsia" w:ascii="宋体" w:hAnsi="宋体" w:cs="宋体"/>
                <w:b/>
                <w:color w:val="000000"/>
                <w:sz w:val="24"/>
                <w:szCs w:val="20"/>
                <w:lang w:eastAsia="zh-CN"/>
              </w:rPr>
              <w:t>合同履约期限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exact"/>
          <w:jc w:val="center"/>
        </w:trPr>
        <w:tc>
          <w:tcPr>
            <w:tcW w:w="658" w:type="dxa"/>
            <w:noWrap w:val="0"/>
            <w:vAlign w:val="center"/>
          </w:tcPr>
          <w:p>
            <w:pPr>
              <w:tabs>
                <w:tab w:val="left" w:pos="8280"/>
              </w:tabs>
              <w:autoSpaceDE w:val="0"/>
              <w:autoSpaceDN w:val="0"/>
              <w:adjustRightInd w:val="0"/>
              <w:ind w:right="25"/>
              <w:jc w:val="center"/>
              <w:rPr>
                <w:rFonts w:hint="eastAsia" w:ascii="宋体" w:hAnsi="宋体"/>
                <w:sz w:val="24"/>
                <w:szCs w:val="24"/>
              </w:rPr>
            </w:pPr>
            <w:r>
              <w:rPr>
                <w:rFonts w:hint="eastAsia" w:ascii="宋体" w:hAnsi="宋体"/>
                <w:sz w:val="24"/>
                <w:szCs w:val="24"/>
              </w:rPr>
              <w:t>一</w:t>
            </w:r>
          </w:p>
        </w:tc>
        <w:tc>
          <w:tcPr>
            <w:tcW w:w="1973" w:type="dxa"/>
            <w:noWrap w:val="0"/>
            <w:vAlign w:val="center"/>
          </w:tcPr>
          <w:p>
            <w:pPr>
              <w:tabs>
                <w:tab w:val="left" w:pos="8280"/>
              </w:tabs>
              <w:autoSpaceDE w:val="0"/>
              <w:autoSpaceDN w:val="0"/>
              <w:adjustRightInd w:val="0"/>
              <w:ind w:right="25"/>
              <w:jc w:val="center"/>
              <w:rPr>
                <w:rFonts w:hint="eastAsia" w:ascii="宋体" w:hAnsi="宋体" w:eastAsia="宋体"/>
                <w:sz w:val="24"/>
                <w:szCs w:val="24"/>
                <w:lang w:eastAsia="zh-CN"/>
              </w:rPr>
            </w:pPr>
            <w:r>
              <w:rPr>
                <w:rFonts w:hint="eastAsia" w:ascii="宋体" w:hAnsi="宋体" w:cs="宋体"/>
                <w:kern w:val="0"/>
                <w:sz w:val="24"/>
                <w:highlight w:val="none"/>
                <w:lang w:eastAsia="zh-CN"/>
              </w:rPr>
              <w:t>2023-2025年路桥区地方教材及配套作业本采购</w:t>
            </w:r>
          </w:p>
        </w:tc>
        <w:tc>
          <w:tcPr>
            <w:tcW w:w="1566" w:type="dxa"/>
            <w:noWrap w:val="0"/>
            <w:vAlign w:val="center"/>
          </w:tcPr>
          <w:p>
            <w:pPr>
              <w:jc w:val="center"/>
              <w:rPr>
                <w:rFonts w:hint="eastAsia" w:ascii="宋体" w:hAnsi="宋体" w:cs="宋体"/>
                <w:color w:val="auto"/>
                <w:sz w:val="24"/>
                <w:szCs w:val="24"/>
                <w:highlight w:val="none"/>
                <w:lang w:eastAsia="zh-CN"/>
              </w:rPr>
            </w:pPr>
            <w:r>
              <w:rPr>
                <w:rFonts w:hint="eastAsia" w:ascii="宋体" w:hAnsi="宋体"/>
                <w:sz w:val="24"/>
                <w:szCs w:val="24"/>
              </w:rPr>
              <w:t>具体内容见第四章招标需求</w:t>
            </w:r>
          </w:p>
        </w:tc>
        <w:tc>
          <w:tcPr>
            <w:tcW w:w="839" w:type="dxa"/>
            <w:noWrap w:val="0"/>
            <w:vAlign w:val="center"/>
          </w:tcPr>
          <w:p>
            <w:pPr>
              <w:tabs>
                <w:tab w:val="left" w:pos="8280"/>
              </w:tabs>
              <w:autoSpaceDE w:val="0"/>
              <w:autoSpaceDN w:val="0"/>
              <w:adjustRightInd w:val="0"/>
              <w:ind w:right="25"/>
              <w:jc w:val="center"/>
              <w:rPr>
                <w:rFonts w:hint="default" w:ascii="宋体" w:hAnsi="宋体" w:eastAsia="宋体"/>
                <w:sz w:val="24"/>
                <w:szCs w:val="24"/>
                <w:lang w:val="en-US" w:eastAsia="zh-CN"/>
              </w:rPr>
            </w:pPr>
            <w:r>
              <w:rPr>
                <w:rFonts w:hint="eastAsia" w:ascii="宋体" w:hAnsi="宋体"/>
                <w:sz w:val="24"/>
                <w:szCs w:val="24"/>
                <w:lang w:val="en-US" w:eastAsia="zh-CN"/>
              </w:rPr>
              <w:t>1</w:t>
            </w:r>
          </w:p>
        </w:tc>
        <w:tc>
          <w:tcPr>
            <w:tcW w:w="772" w:type="dxa"/>
            <w:noWrap w:val="0"/>
            <w:vAlign w:val="center"/>
          </w:tcPr>
          <w:p>
            <w:pPr>
              <w:tabs>
                <w:tab w:val="left" w:pos="8280"/>
              </w:tabs>
              <w:autoSpaceDE w:val="0"/>
              <w:autoSpaceDN w:val="0"/>
              <w:adjustRightInd w:val="0"/>
              <w:ind w:right="25"/>
              <w:jc w:val="center"/>
              <w:rPr>
                <w:rFonts w:hint="eastAsia" w:ascii="宋体" w:hAnsi="宋体" w:eastAsia="宋体"/>
                <w:sz w:val="24"/>
                <w:szCs w:val="24"/>
                <w:lang w:val="en-US" w:eastAsia="zh-CN"/>
              </w:rPr>
            </w:pPr>
            <w:r>
              <w:rPr>
                <w:rFonts w:hint="eastAsia" w:ascii="宋体" w:hAnsi="宋体"/>
                <w:sz w:val="24"/>
                <w:szCs w:val="24"/>
                <w:lang w:val="en-US" w:eastAsia="zh-CN"/>
              </w:rPr>
              <w:t>批</w:t>
            </w:r>
          </w:p>
        </w:tc>
        <w:tc>
          <w:tcPr>
            <w:tcW w:w="1220" w:type="dxa"/>
            <w:noWrap w:val="0"/>
            <w:vAlign w:val="center"/>
          </w:tcPr>
          <w:p>
            <w:pPr>
              <w:tabs>
                <w:tab w:val="left" w:pos="8280"/>
              </w:tabs>
              <w:autoSpaceDE w:val="0"/>
              <w:autoSpaceDN w:val="0"/>
              <w:adjustRightInd w:val="0"/>
              <w:ind w:right="25"/>
              <w:jc w:val="center"/>
              <w:rPr>
                <w:rFonts w:hint="default" w:ascii="宋体" w:hAnsi="宋体"/>
                <w:kern w:val="2"/>
                <w:sz w:val="24"/>
                <w:szCs w:val="24"/>
                <w:lang w:val="en-US" w:eastAsia="zh-CN"/>
              </w:rPr>
            </w:pPr>
            <w:r>
              <w:rPr>
                <w:rFonts w:hint="eastAsia" w:ascii="宋体" w:hAnsi="宋体"/>
                <w:kern w:val="2"/>
                <w:sz w:val="24"/>
                <w:szCs w:val="24"/>
                <w:lang w:val="en-US" w:eastAsia="zh-CN"/>
              </w:rPr>
              <w:t>2627.0445</w:t>
            </w:r>
          </w:p>
        </w:tc>
        <w:tc>
          <w:tcPr>
            <w:tcW w:w="2228" w:type="dxa"/>
            <w:noWrap w:val="0"/>
            <w:vAlign w:val="center"/>
          </w:tcPr>
          <w:p>
            <w:pPr>
              <w:tabs>
                <w:tab w:val="left" w:pos="8280"/>
              </w:tabs>
              <w:autoSpaceDE w:val="0"/>
              <w:autoSpaceDN w:val="0"/>
              <w:adjustRightInd w:val="0"/>
              <w:spacing w:after="0" w:line="240" w:lineRule="auto"/>
              <w:jc w:val="center"/>
              <w:rPr>
                <w:rFonts w:hint="eastAsia" w:ascii="宋体" w:hAnsi="宋体" w:eastAsia="宋体"/>
                <w:kern w:val="2"/>
                <w:sz w:val="24"/>
                <w:szCs w:val="24"/>
                <w:lang w:val="en-US" w:eastAsia="zh-CN"/>
              </w:rPr>
            </w:pPr>
            <w:r>
              <w:rPr>
                <w:rFonts w:hint="eastAsia" w:hAnsi="宋体"/>
                <w:color w:val="000000"/>
                <w:sz w:val="24"/>
              </w:rPr>
              <w:t>合同签订后，接采购单位通知15个工作日内。</w:t>
            </w:r>
          </w:p>
        </w:tc>
      </w:tr>
    </w:tbl>
    <w:p>
      <w:pPr>
        <w:tabs>
          <w:tab w:val="left" w:pos="180"/>
          <w:tab w:val="left" w:pos="360"/>
          <w:tab w:val="left" w:pos="540"/>
          <w:tab w:val="left" w:pos="8280"/>
        </w:tabs>
        <w:autoSpaceDE w:val="0"/>
        <w:autoSpaceDN w:val="0"/>
        <w:adjustRightInd w:val="0"/>
        <w:spacing w:line="440" w:lineRule="exact"/>
        <w:ind w:right="23" w:firstLine="482" w:firstLineChars="200"/>
        <w:rPr>
          <w:rFonts w:ascii="宋体" w:hAnsi="宋体"/>
          <w:b/>
          <w:color w:val="auto"/>
          <w:sz w:val="24"/>
          <w:szCs w:val="24"/>
          <w:highlight w:val="none"/>
        </w:rPr>
      </w:pPr>
      <w:r>
        <w:rPr>
          <w:rFonts w:hint="eastAsia" w:ascii="宋体" w:hAnsi="宋体"/>
          <w:b/>
          <w:color w:val="auto"/>
          <w:sz w:val="24"/>
          <w:szCs w:val="24"/>
          <w:highlight w:val="none"/>
        </w:rPr>
        <w:t>二、申请人的资格要求：</w:t>
      </w:r>
    </w:p>
    <w:p>
      <w:pPr>
        <w:pStyle w:val="72"/>
        <w:adjustRightInd w:val="0"/>
        <w:snapToGrid w:val="0"/>
        <w:spacing w:before="0" w:line="440" w:lineRule="exact"/>
        <w:ind w:left="0" w:right="0" w:firstLine="480" w:firstLineChars="200"/>
        <w:rPr>
          <w:rFonts w:ascii="宋体" w:eastAsia="宋体"/>
          <w:color w:val="auto"/>
          <w:sz w:val="24"/>
          <w:szCs w:val="24"/>
          <w:highlight w:val="none"/>
        </w:rPr>
      </w:pPr>
      <w:r>
        <w:rPr>
          <w:rFonts w:hint="eastAsia" w:ascii="宋体" w:eastAsia="宋体"/>
          <w:color w:val="auto"/>
          <w:sz w:val="24"/>
          <w:szCs w:val="24"/>
          <w:highlight w:val="none"/>
        </w:rPr>
        <w:t>1、满足《中华人民共和国政府采购法》第二十二条规定的投标人资格条件。</w:t>
      </w:r>
    </w:p>
    <w:p>
      <w:pPr>
        <w:pStyle w:val="73"/>
        <w:spacing w:line="440" w:lineRule="exact"/>
        <w:rPr>
          <w:color w:val="auto"/>
          <w:highlight w:val="none"/>
        </w:rPr>
      </w:pPr>
      <w:r>
        <w:rPr>
          <w:color w:val="auto"/>
          <w:highlight w:val="none"/>
        </w:rPr>
        <w:t>窗体底端</w:t>
      </w:r>
    </w:p>
    <w:p>
      <w:pPr>
        <w:adjustRightInd w:val="0"/>
        <w:snapToGrid w:val="0"/>
        <w:spacing w:line="440" w:lineRule="exact"/>
        <w:ind w:firstLine="480" w:firstLineChars="200"/>
        <w:rPr>
          <w:rFonts w:ascii="Arial" w:hAnsi="宋体" w:cs="Arial"/>
          <w:color w:val="auto"/>
          <w:sz w:val="24"/>
          <w:highlight w:val="none"/>
        </w:rPr>
      </w:pPr>
      <w:r>
        <w:rPr>
          <w:rFonts w:hint="eastAsia" w:ascii="宋体" w:hAnsi="宋体" w:cs="宋体"/>
          <w:color w:val="auto"/>
          <w:sz w:val="24"/>
          <w:highlight w:val="none"/>
        </w:rPr>
        <w:t>2、</w:t>
      </w:r>
      <w:r>
        <w:rPr>
          <w:rFonts w:hint="eastAsia" w:ascii="Arial" w:hAnsi="宋体" w:cs="Arial"/>
          <w:color w:val="auto"/>
          <w:sz w:val="24"/>
          <w:highlight w:val="none"/>
        </w:rPr>
        <w:t>供应商未被“信用中国”（www.creditchina.gov.cn)、中国政府采购网（www.ccgp.gov.cn）列入失信被执行人、重大税收违法案件当事人名单、政府采购严重违法失信行为记录名单。</w:t>
      </w:r>
    </w:p>
    <w:p>
      <w:pPr>
        <w:shd w:val="clear" w:color="auto" w:fill="auto"/>
        <w:spacing w:line="360" w:lineRule="auto"/>
        <w:ind w:firstLine="480" w:firstLineChars="200"/>
        <w:rPr>
          <w:rFonts w:hint="eastAsia" w:ascii="宋体" w:hAnsi="宋体" w:eastAsia="宋体" w:cs="宋体"/>
          <w:b/>
          <w:bCs/>
          <w:color w:val="000000"/>
          <w:sz w:val="24"/>
          <w:highlight w:val="none"/>
          <w:lang w:val="en-US" w:eastAsia="zh-CN"/>
        </w:rPr>
      </w:pPr>
      <w:r>
        <w:rPr>
          <w:rFonts w:hint="eastAsia"/>
          <w:sz w:val="24"/>
          <w:szCs w:val="18"/>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hAnsi="宋体" w:cs="宋体"/>
          <w:b/>
          <w:bCs/>
          <w:color w:val="000000"/>
          <w:sz w:val="24"/>
          <w:szCs w:val="24"/>
          <w:highlight w:val="none"/>
          <w:lang w:eastAsia="zh-CN"/>
        </w:rPr>
        <w:t>本项目为专门面向中小企业采购，采购货物制造商应为中小微企业（监狱企业及残疾人福利性单位视同小型、微型企业）</w:t>
      </w:r>
      <w:r>
        <w:rPr>
          <w:rFonts w:hint="eastAsia" w:ascii="宋体" w:hAnsi="宋体" w:eastAsia="宋体" w:cs="宋体"/>
          <w:b/>
          <w:bCs/>
          <w:color w:val="000000"/>
          <w:sz w:val="24"/>
          <w:highlight w:val="none"/>
          <w:lang w:val="en-US" w:eastAsia="zh-CN"/>
        </w:rPr>
        <w:t>。</w:t>
      </w:r>
    </w:p>
    <w:p>
      <w:pPr>
        <w:shd w:val="clear" w:color="auto" w:fill="auto"/>
        <w:spacing w:line="360" w:lineRule="auto"/>
        <w:ind w:firstLine="480" w:firstLineChars="200"/>
        <w:rPr>
          <w:rFonts w:hint="eastAsia" w:ascii="Arial" w:hAnsi="宋体" w:cs="Arial"/>
          <w:color w:val="auto"/>
          <w:sz w:val="24"/>
          <w:highlight w:val="none"/>
          <w:lang w:eastAsia="zh-CN"/>
        </w:rPr>
      </w:pP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w:t>
      </w:r>
      <w:r>
        <w:rPr>
          <w:rFonts w:hint="eastAsia" w:ascii="Arial" w:hAnsi="宋体" w:cs="Arial"/>
          <w:color w:val="auto"/>
          <w:sz w:val="24"/>
          <w:highlight w:val="none"/>
        </w:rPr>
        <w:t>投标供应商特定资格条件：投标供应商需</w:t>
      </w:r>
      <w:r>
        <w:rPr>
          <w:rFonts w:hint="eastAsia" w:ascii="Arial" w:hAnsi="宋体" w:cs="Arial"/>
          <w:color w:val="auto"/>
          <w:sz w:val="24"/>
          <w:highlight w:val="none"/>
          <w:lang w:val="en-US" w:eastAsia="zh-CN"/>
        </w:rPr>
        <w:t>提供</w:t>
      </w:r>
      <w:r>
        <w:rPr>
          <w:rFonts w:hint="eastAsia" w:ascii="Arial" w:hAnsi="宋体" w:cs="Arial"/>
          <w:b/>
          <w:bCs/>
          <w:color w:val="auto"/>
          <w:sz w:val="24"/>
          <w:highlight w:val="none"/>
          <w:lang w:val="en-US" w:eastAsia="zh-CN"/>
        </w:rPr>
        <w:t>《</w:t>
      </w:r>
      <w:r>
        <w:rPr>
          <w:rFonts w:hint="eastAsia" w:ascii="Arial" w:hAnsi="宋体" w:cs="Arial"/>
          <w:b/>
          <w:bCs/>
          <w:color w:val="auto"/>
          <w:sz w:val="24"/>
          <w:highlight w:val="none"/>
        </w:rPr>
        <w:t>出版物经营许可证</w:t>
      </w:r>
      <w:r>
        <w:rPr>
          <w:rFonts w:hint="eastAsia" w:ascii="Arial" w:hAnsi="宋体" w:cs="Arial"/>
          <w:b/>
          <w:bCs/>
          <w:color w:val="auto"/>
          <w:sz w:val="24"/>
          <w:highlight w:val="none"/>
          <w:lang w:val="en-US" w:eastAsia="zh-CN"/>
        </w:rPr>
        <w:t>》</w:t>
      </w:r>
      <w:r>
        <w:rPr>
          <w:rFonts w:hint="eastAsia" w:ascii="Arial" w:hAnsi="宋体" w:cs="Arial"/>
          <w:color w:val="auto"/>
          <w:sz w:val="24"/>
          <w:highlight w:val="none"/>
        </w:rPr>
        <w:t>，该特定条件的法律法规依据：</w:t>
      </w:r>
      <w:r>
        <w:rPr>
          <w:rFonts w:hint="eastAsia" w:ascii="Arial" w:hAnsi="宋体" w:cs="Arial"/>
          <w:color w:val="auto"/>
          <w:sz w:val="24"/>
          <w:highlight w:val="none"/>
        </w:rPr>
        <w:fldChar w:fldCharType="begin"/>
      </w:r>
      <w:r>
        <w:rPr>
          <w:rFonts w:hint="eastAsia" w:ascii="Arial" w:hAnsi="宋体" w:cs="Arial"/>
          <w:color w:val="auto"/>
          <w:sz w:val="24"/>
          <w:highlight w:val="none"/>
        </w:rPr>
        <w:instrText xml:space="preserve"> HYPERLINK "https://baike.baidu.com/item/%E4%B8%AD%E5%8D%8E%E4%BA%BA%E6%B0%91%E5%85%B1%E5%92%8C%E5%9B%BD%E5%9B%BD%E5%8A%A1%E9%99%A2%E4%BB%A4/1614689?fromModule=lemma_inlink" \t "https://baike.baidu.com/item/%E5%87%BA%E7%89%88%E7%AE%A1%E7%90%86%E6%9D%A1%E4%BE%8B/_blank" </w:instrText>
      </w:r>
      <w:r>
        <w:rPr>
          <w:rFonts w:hint="eastAsia" w:ascii="Arial" w:hAnsi="宋体" w:cs="Arial"/>
          <w:color w:val="auto"/>
          <w:sz w:val="24"/>
          <w:highlight w:val="none"/>
        </w:rPr>
        <w:fldChar w:fldCharType="separate"/>
      </w:r>
      <w:r>
        <w:rPr>
          <w:rFonts w:hint="eastAsia" w:ascii="Arial" w:hAnsi="宋体" w:cs="Arial"/>
          <w:color w:val="auto"/>
          <w:sz w:val="24"/>
          <w:highlight w:val="none"/>
        </w:rPr>
        <w:t>中华人民共和国国务院令</w:t>
      </w:r>
      <w:r>
        <w:rPr>
          <w:rFonts w:hint="eastAsia" w:ascii="Arial" w:hAnsi="宋体" w:cs="Arial"/>
          <w:color w:val="auto"/>
          <w:sz w:val="24"/>
          <w:highlight w:val="none"/>
        </w:rPr>
        <w:fldChar w:fldCharType="end"/>
      </w:r>
      <w:r>
        <w:rPr>
          <w:rFonts w:hint="eastAsia" w:ascii="Arial" w:hAnsi="宋体" w:cs="Arial"/>
          <w:color w:val="auto"/>
          <w:sz w:val="24"/>
          <w:highlight w:val="none"/>
        </w:rPr>
        <w:t>第343号《出版管理条例》</w:t>
      </w:r>
      <w:r>
        <w:rPr>
          <w:rFonts w:hint="eastAsia" w:ascii="Arial" w:hAnsi="宋体" w:cs="Arial"/>
          <w:color w:val="auto"/>
          <w:sz w:val="24"/>
          <w:highlight w:val="none"/>
          <w:lang w:val="en-US" w:eastAsia="zh-CN"/>
        </w:rPr>
        <w:t xml:space="preserve"> </w:t>
      </w:r>
      <w:r>
        <w:rPr>
          <w:rFonts w:hint="eastAsia" w:ascii="Arial" w:hAnsi="宋体" w:cs="Arial"/>
          <w:color w:val="auto"/>
          <w:sz w:val="24"/>
          <w:highlight w:val="none"/>
        </w:rPr>
        <w:t>第三十五条</w:t>
      </w:r>
      <w:r>
        <w:rPr>
          <w:rFonts w:hint="eastAsia" w:ascii="Arial" w:hAnsi="宋体" w:cs="Arial"/>
          <w:color w:val="auto"/>
          <w:sz w:val="24"/>
          <w:highlight w:val="none"/>
          <w:lang w:val="en-US" w:eastAsia="zh-CN"/>
        </w:rPr>
        <w:t xml:space="preserve"> </w:t>
      </w:r>
      <w:r>
        <w:rPr>
          <w:rFonts w:hint="eastAsia" w:ascii="Arial" w:hAnsi="宋体" w:cs="Arial"/>
          <w:color w:val="auto"/>
          <w:sz w:val="24"/>
          <w:highlight w:val="none"/>
        </w:rPr>
        <w:t>单位从事出版物批发业务的，须经省、自治区、直辖市人民政府出版行政主管部门审核许可，取得《出版物经营许可证》。</w:t>
      </w:r>
    </w:p>
    <w:p>
      <w:pPr>
        <w:tabs>
          <w:tab w:val="left" w:pos="180"/>
          <w:tab w:val="left" w:pos="360"/>
          <w:tab w:val="left" w:pos="540"/>
          <w:tab w:val="left" w:pos="8280"/>
        </w:tabs>
        <w:autoSpaceDE w:val="0"/>
        <w:autoSpaceDN w:val="0"/>
        <w:adjustRightInd w:val="0"/>
        <w:spacing w:line="440" w:lineRule="exact"/>
        <w:ind w:firstLine="480" w:firstLineChars="200"/>
        <w:rPr>
          <w:rFonts w:hint="eastAsia" w:eastAsia="宋体"/>
          <w:lang w:val="en-US" w:eastAsia="zh-CN"/>
        </w:rPr>
      </w:pP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w:t>
      </w:r>
      <w:r>
        <w:rPr>
          <w:rFonts w:hint="eastAsia" w:ascii="宋体" w:hAnsi="宋体" w:cs="宋体"/>
          <w:color w:val="auto"/>
          <w:sz w:val="24"/>
          <w:highlight w:val="none"/>
        </w:rPr>
        <w:t>本项目</w:t>
      </w:r>
      <w:r>
        <w:rPr>
          <w:rFonts w:hint="eastAsia" w:ascii="宋体" w:hAnsi="宋体" w:cs="宋体"/>
          <w:color w:val="auto"/>
          <w:sz w:val="24"/>
          <w:highlight w:val="none"/>
          <w:lang w:eastAsia="zh-CN"/>
        </w:rPr>
        <w:t>不</w:t>
      </w:r>
      <w:r>
        <w:rPr>
          <w:rFonts w:hint="eastAsia" w:ascii="宋体" w:hAnsi="宋体" w:cs="宋体"/>
          <w:color w:val="auto"/>
          <w:sz w:val="24"/>
          <w:highlight w:val="none"/>
        </w:rPr>
        <w:t>接受联合体投标</w:t>
      </w:r>
      <w:r>
        <w:rPr>
          <w:rFonts w:hint="eastAsia" w:ascii="宋体" w:hAnsi="宋体" w:cs="宋体"/>
          <w:color w:val="auto"/>
          <w:sz w:val="24"/>
          <w:highlight w:val="none"/>
          <w:lang w:eastAsia="zh-CN"/>
        </w:rPr>
        <w:t>。</w:t>
      </w:r>
    </w:p>
    <w:p>
      <w:pPr>
        <w:tabs>
          <w:tab w:val="left" w:pos="180"/>
          <w:tab w:val="left" w:pos="360"/>
          <w:tab w:val="left" w:pos="540"/>
          <w:tab w:val="left" w:pos="8280"/>
        </w:tabs>
        <w:autoSpaceDE w:val="0"/>
        <w:autoSpaceDN w:val="0"/>
        <w:adjustRightInd w:val="0"/>
        <w:spacing w:line="44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三、获取招标文件</w:t>
      </w:r>
    </w:p>
    <w:p>
      <w:pPr>
        <w:tabs>
          <w:tab w:val="left" w:pos="180"/>
          <w:tab w:val="left" w:pos="360"/>
          <w:tab w:val="left" w:pos="540"/>
          <w:tab w:val="left" w:pos="8280"/>
        </w:tabs>
        <w:autoSpaceDE w:val="0"/>
        <w:autoSpaceDN w:val="0"/>
        <w:adjustRightInd w:val="0"/>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获取</w:t>
      </w:r>
      <w:r>
        <w:rPr>
          <w:rFonts w:hint="eastAsia" w:ascii="宋体" w:hAnsi="宋体"/>
          <w:color w:val="auto"/>
          <w:sz w:val="24"/>
          <w:szCs w:val="24"/>
          <w:highlight w:val="none"/>
        </w:rPr>
        <w:t>时间：</w:t>
      </w:r>
      <w:r>
        <w:rPr>
          <w:rFonts w:hint="eastAsia" w:ascii="宋体" w:hAnsi="宋体"/>
          <w:color w:val="auto"/>
          <w:sz w:val="24"/>
          <w:szCs w:val="24"/>
          <w:highlight w:val="none"/>
          <w:lang w:eastAsia="zh-CN"/>
        </w:rPr>
        <w:t>公告发布</w:t>
      </w:r>
      <w:r>
        <w:rPr>
          <w:rFonts w:hint="eastAsia" w:ascii="宋体" w:hAnsi="宋体"/>
          <w:color w:val="auto"/>
          <w:sz w:val="24"/>
          <w:szCs w:val="24"/>
          <w:highlight w:val="none"/>
        </w:rPr>
        <w:t>至</w:t>
      </w:r>
      <w:r>
        <w:rPr>
          <w:rFonts w:hint="eastAsia" w:ascii="宋体" w:hAnsi="宋体"/>
          <w:color w:val="auto"/>
          <w:sz w:val="24"/>
          <w:szCs w:val="24"/>
          <w:highlight w:val="yellow"/>
          <w:lang w:val="en-US" w:eastAsia="zh-CN"/>
        </w:rPr>
        <w:t>2023</w:t>
      </w:r>
      <w:r>
        <w:rPr>
          <w:rFonts w:hint="eastAsia" w:ascii="宋体" w:hAnsi="宋体"/>
          <w:color w:val="auto"/>
          <w:sz w:val="24"/>
          <w:szCs w:val="24"/>
          <w:highlight w:val="yellow"/>
        </w:rPr>
        <w:t>年</w:t>
      </w:r>
      <w:r>
        <w:rPr>
          <w:rFonts w:hint="eastAsia" w:ascii="宋体" w:hAnsi="宋体"/>
          <w:color w:val="auto"/>
          <w:sz w:val="24"/>
          <w:szCs w:val="24"/>
          <w:highlight w:val="yellow"/>
          <w:lang w:val="en-US" w:eastAsia="zh-CN"/>
        </w:rPr>
        <w:t>12</w:t>
      </w:r>
      <w:r>
        <w:rPr>
          <w:rFonts w:hint="eastAsia" w:ascii="宋体" w:hAnsi="宋体"/>
          <w:color w:val="auto"/>
          <w:sz w:val="24"/>
          <w:szCs w:val="24"/>
          <w:highlight w:val="yellow"/>
        </w:rPr>
        <w:t>月</w:t>
      </w:r>
      <w:r>
        <w:rPr>
          <w:rFonts w:hint="eastAsia" w:ascii="宋体" w:hAnsi="宋体"/>
          <w:color w:val="auto"/>
          <w:sz w:val="24"/>
          <w:szCs w:val="24"/>
          <w:highlight w:val="yellow"/>
          <w:lang w:val="en-US" w:eastAsia="zh-CN"/>
        </w:rPr>
        <w:t>14</w:t>
      </w:r>
      <w:r>
        <w:rPr>
          <w:rFonts w:hint="eastAsia" w:ascii="宋体" w:hAnsi="宋体"/>
          <w:color w:val="auto"/>
          <w:sz w:val="24"/>
          <w:szCs w:val="24"/>
          <w:highlight w:val="yellow"/>
        </w:rPr>
        <w:t>日9时</w:t>
      </w:r>
      <w:r>
        <w:rPr>
          <w:rFonts w:hint="eastAsia" w:ascii="宋体" w:hAnsi="宋体"/>
          <w:color w:val="auto"/>
          <w:sz w:val="24"/>
          <w:szCs w:val="24"/>
          <w:highlight w:val="yellow"/>
          <w:lang w:eastAsia="zh-CN"/>
        </w:rPr>
        <w:t>整</w:t>
      </w:r>
    </w:p>
    <w:p>
      <w:pPr>
        <w:tabs>
          <w:tab w:val="left" w:pos="180"/>
          <w:tab w:val="left" w:pos="360"/>
          <w:tab w:val="left" w:pos="540"/>
          <w:tab w:val="left" w:pos="8280"/>
        </w:tabs>
        <w:autoSpaceDE w:val="0"/>
        <w:autoSpaceDN w:val="0"/>
        <w:adjustRightInd w:val="0"/>
        <w:spacing w:line="440" w:lineRule="exact"/>
        <w:ind w:firstLine="480" w:firstLineChars="200"/>
        <w:rPr>
          <w:rFonts w:ascii="宋体" w:hAnsi="宋体" w:cs="宋体"/>
          <w:bCs/>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获取</w:t>
      </w:r>
      <w:r>
        <w:rPr>
          <w:rFonts w:hint="eastAsia" w:ascii="宋体" w:hAnsi="宋体"/>
          <w:color w:val="auto"/>
          <w:sz w:val="24"/>
          <w:szCs w:val="24"/>
          <w:highlight w:val="none"/>
        </w:rPr>
        <w:t>方式：浙江政府采购网（https://zfcg.czt.zj.gov.cn）</w:t>
      </w:r>
      <w:r>
        <w:rPr>
          <w:rFonts w:ascii="宋体" w:hAnsi="宋体" w:cs="宋体"/>
          <w:bCs/>
          <w:color w:val="auto"/>
          <w:sz w:val="24"/>
          <w:szCs w:val="24"/>
          <w:highlight w:val="none"/>
        </w:rPr>
        <w:t>在线</w:t>
      </w:r>
      <w:r>
        <w:rPr>
          <w:rFonts w:hint="eastAsia" w:ascii="宋体" w:hAnsi="宋体" w:cs="宋体"/>
          <w:bCs/>
          <w:color w:val="auto"/>
          <w:sz w:val="24"/>
          <w:szCs w:val="24"/>
          <w:highlight w:val="none"/>
          <w:lang w:eastAsia="zh-CN"/>
        </w:rPr>
        <w:t>报名</w:t>
      </w:r>
      <w:r>
        <w:rPr>
          <w:rFonts w:hint="eastAsia" w:ascii="宋体" w:hAnsi="宋体" w:cs="宋体"/>
          <w:bCs/>
          <w:color w:val="auto"/>
          <w:sz w:val="24"/>
          <w:szCs w:val="24"/>
          <w:highlight w:val="none"/>
        </w:rPr>
        <w:t>免费</w:t>
      </w:r>
      <w:r>
        <w:rPr>
          <w:rFonts w:ascii="宋体" w:hAnsi="宋体" w:cs="宋体"/>
          <w:bCs/>
          <w:color w:val="auto"/>
          <w:sz w:val="24"/>
          <w:szCs w:val="24"/>
          <w:highlight w:val="none"/>
        </w:rPr>
        <w:t>获取，不提供</w:t>
      </w:r>
      <w:r>
        <w:rPr>
          <w:rFonts w:hint="eastAsia" w:ascii="宋体" w:hAnsi="宋体" w:cs="宋体"/>
          <w:bCs/>
          <w:color w:val="auto"/>
          <w:sz w:val="24"/>
          <w:szCs w:val="24"/>
          <w:highlight w:val="none"/>
        </w:rPr>
        <w:t>采购</w:t>
      </w:r>
      <w:r>
        <w:rPr>
          <w:rFonts w:ascii="宋体" w:hAnsi="宋体" w:cs="宋体"/>
          <w:bCs/>
          <w:color w:val="auto"/>
          <w:sz w:val="24"/>
          <w:szCs w:val="24"/>
          <w:highlight w:val="none"/>
        </w:rPr>
        <w:t>文件纸质版。</w:t>
      </w:r>
    </w:p>
    <w:p>
      <w:pPr>
        <w:tabs>
          <w:tab w:val="left" w:pos="180"/>
          <w:tab w:val="left" w:pos="360"/>
          <w:tab w:val="left" w:pos="540"/>
          <w:tab w:val="left" w:pos="8280"/>
        </w:tabs>
        <w:autoSpaceDE w:val="0"/>
        <w:autoSpaceDN w:val="0"/>
        <w:adjustRightInd w:val="0"/>
        <w:spacing w:line="440" w:lineRule="exact"/>
        <w:ind w:right="23" w:firstLine="539"/>
        <w:rPr>
          <w:rFonts w:hint="eastAsia" w:ascii="宋体" w:hAnsi="宋体" w:eastAsia="宋体"/>
          <w:color w:val="auto"/>
          <w:sz w:val="24"/>
          <w:szCs w:val="24"/>
          <w:highlight w:val="none"/>
          <w:lang w:eastAsia="zh-CN"/>
        </w:rPr>
      </w:pP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eastAsia="zh-CN"/>
        </w:rPr>
        <w:t>）</w:t>
      </w:r>
      <w:r>
        <w:rPr>
          <w:rFonts w:hint="eastAsia" w:ascii="宋体" w:hAnsi="宋体"/>
          <w:color w:val="auto"/>
          <w:sz w:val="24"/>
          <w:szCs w:val="24"/>
          <w:highlight w:val="none"/>
        </w:rPr>
        <w:t>免费注册：</w:t>
      </w:r>
      <w:r>
        <w:rPr>
          <w:rFonts w:hint="eastAsia" w:ascii="宋体" w:hAnsi="宋体" w:cs="宋体"/>
          <w:bCs/>
          <w:color w:val="auto"/>
          <w:sz w:val="24"/>
          <w:szCs w:val="24"/>
          <w:highlight w:val="none"/>
        </w:rPr>
        <w:t>投标人</w:t>
      </w:r>
      <w:r>
        <w:rPr>
          <w:rFonts w:hint="eastAsia" w:ascii="宋体" w:hAnsi="宋体" w:cs="宋体"/>
          <w:bCs/>
          <w:color w:val="auto"/>
          <w:sz w:val="24"/>
          <w:szCs w:val="24"/>
          <w:highlight w:val="none"/>
          <w:lang w:eastAsia="zh-CN"/>
        </w:rPr>
        <w:t>报名</w:t>
      </w:r>
      <w:r>
        <w:rPr>
          <w:rFonts w:ascii="宋体" w:hAnsi="宋体" w:cs="宋体"/>
          <w:bCs/>
          <w:color w:val="auto"/>
          <w:sz w:val="24"/>
          <w:szCs w:val="24"/>
          <w:highlight w:val="none"/>
        </w:rPr>
        <w:t>获取</w:t>
      </w:r>
      <w:r>
        <w:rPr>
          <w:rFonts w:hint="eastAsia" w:ascii="宋体" w:hAnsi="宋体" w:cs="宋体"/>
          <w:bCs/>
          <w:color w:val="auto"/>
          <w:sz w:val="24"/>
          <w:szCs w:val="24"/>
          <w:highlight w:val="none"/>
        </w:rPr>
        <w:t>采购</w:t>
      </w:r>
      <w:r>
        <w:rPr>
          <w:rFonts w:ascii="宋体" w:hAnsi="宋体" w:cs="宋体"/>
          <w:bCs/>
          <w:color w:val="auto"/>
          <w:sz w:val="24"/>
          <w:szCs w:val="24"/>
          <w:highlight w:val="none"/>
        </w:rPr>
        <w:t>文件前应先完成</w:t>
      </w:r>
      <w:r>
        <w:rPr>
          <w:rFonts w:hint="eastAsia" w:ascii="宋体" w:hAnsi="宋体" w:cs="宋体"/>
          <w:bCs/>
          <w:color w:val="auto"/>
          <w:sz w:val="24"/>
          <w:szCs w:val="24"/>
          <w:highlight w:val="none"/>
          <w:lang w:eastAsia="zh-CN"/>
        </w:rPr>
        <w:t>浙江政府采购网（</w:t>
      </w:r>
      <w:r>
        <w:rPr>
          <w:rFonts w:hint="eastAsia" w:ascii="宋体" w:hAnsi="宋体" w:cs="宋体"/>
          <w:sz w:val="24"/>
        </w:rPr>
        <w:t>https://zfcg.czt.zj.gov.cn/）</w:t>
      </w:r>
      <w:r>
        <w:rPr>
          <w:rFonts w:hint="eastAsia" w:ascii="宋体" w:hAnsi="宋体" w:cs="宋体"/>
          <w:sz w:val="24"/>
          <w:lang w:eastAsia="zh-CN"/>
        </w:rPr>
        <w:t>帐号</w:t>
      </w:r>
      <w:r>
        <w:rPr>
          <w:rFonts w:hint="eastAsia" w:ascii="宋体" w:hAnsi="宋体"/>
          <w:color w:val="auto"/>
          <w:sz w:val="24"/>
          <w:szCs w:val="24"/>
          <w:highlight w:val="none"/>
        </w:rPr>
        <w:t>注册</w:t>
      </w:r>
      <w:r>
        <w:rPr>
          <w:rFonts w:hint="eastAsia" w:ascii="宋体" w:hAnsi="宋体"/>
          <w:color w:val="auto"/>
          <w:sz w:val="24"/>
          <w:szCs w:val="24"/>
          <w:highlight w:val="none"/>
          <w:lang w:eastAsia="zh-CN"/>
        </w:rPr>
        <w:t>。</w:t>
      </w:r>
    </w:p>
    <w:p>
      <w:pPr>
        <w:tabs>
          <w:tab w:val="left" w:pos="180"/>
          <w:tab w:val="left" w:pos="360"/>
          <w:tab w:val="left" w:pos="540"/>
          <w:tab w:val="left" w:pos="8280"/>
        </w:tabs>
        <w:autoSpaceDE w:val="0"/>
        <w:autoSpaceDN w:val="0"/>
        <w:adjustRightInd w:val="0"/>
        <w:spacing w:line="44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）潜在投标人获取采购文件</w:t>
      </w:r>
      <w:r>
        <w:rPr>
          <w:rFonts w:hint="eastAsia" w:ascii="宋体" w:hAnsi="宋体"/>
          <w:color w:val="auto"/>
          <w:sz w:val="24"/>
          <w:szCs w:val="24"/>
          <w:highlight w:val="none"/>
          <w:lang w:eastAsia="zh-CN"/>
        </w:rPr>
        <w:t>：</w:t>
      </w:r>
      <w:r>
        <w:rPr>
          <w:rFonts w:hint="eastAsia" w:ascii="宋体" w:hAnsi="宋体"/>
          <w:color w:val="auto"/>
          <w:sz w:val="24"/>
          <w:szCs w:val="24"/>
          <w:highlight w:val="none"/>
        </w:rPr>
        <w:t>浙江政府采购网采购公告下方“游客浏览采购文件”内公告的采购文件仅供社会公众查阅使用，潜在投标人只有通过“政府采购云平台”在线</w:t>
      </w:r>
      <w:r>
        <w:rPr>
          <w:rFonts w:hint="eastAsia" w:ascii="宋体" w:hAnsi="宋体"/>
          <w:color w:val="auto"/>
          <w:sz w:val="24"/>
          <w:szCs w:val="24"/>
          <w:highlight w:val="none"/>
          <w:lang w:eastAsia="zh-CN"/>
        </w:rPr>
        <w:t>报名</w:t>
      </w:r>
      <w:r>
        <w:rPr>
          <w:rFonts w:hint="eastAsia" w:ascii="宋体" w:hAnsi="宋体"/>
          <w:color w:val="auto"/>
          <w:sz w:val="24"/>
          <w:szCs w:val="24"/>
          <w:highlight w:val="none"/>
        </w:rPr>
        <w:t>并获取了采购文件后才被视作“</w:t>
      </w:r>
      <w:r>
        <w:rPr>
          <w:rFonts w:hint="eastAsia" w:ascii="宋体" w:hAnsi="宋体"/>
          <w:color w:val="auto"/>
          <w:sz w:val="24"/>
          <w:szCs w:val="24"/>
          <w:highlight w:val="none"/>
          <w:lang w:val="en-US" w:eastAsia="zh-CN"/>
        </w:rPr>
        <w:t>依法</w:t>
      </w:r>
      <w:r>
        <w:rPr>
          <w:rFonts w:hint="eastAsia" w:ascii="宋体" w:hAnsi="宋体"/>
          <w:color w:val="auto"/>
          <w:sz w:val="24"/>
          <w:szCs w:val="24"/>
          <w:highlight w:val="none"/>
        </w:rPr>
        <w:t>获取采购文件”。</w:t>
      </w:r>
      <w:r>
        <w:rPr>
          <w:rFonts w:hint="eastAsia" w:ascii="宋体" w:hAnsi="宋体"/>
          <w:color w:val="auto"/>
          <w:sz w:val="24"/>
          <w:szCs w:val="24"/>
          <w:highlight w:val="none"/>
          <w:lang w:val="en-US" w:eastAsia="zh-CN"/>
        </w:rPr>
        <w:t>(</w:t>
      </w:r>
      <w:r>
        <w:rPr>
          <w:rFonts w:hint="eastAsia" w:ascii="宋体" w:hAnsi="宋体"/>
          <w:sz w:val="24"/>
          <w:szCs w:val="24"/>
        </w:rPr>
        <w:t>法律法规所指的投标人获取采购文件时间以投标人通过“政府采购云平台”在线</w:t>
      </w:r>
      <w:r>
        <w:rPr>
          <w:rFonts w:hint="eastAsia" w:ascii="宋体" w:hAnsi="宋体"/>
          <w:sz w:val="24"/>
          <w:szCs w:val="24"/>
          <w:lang w:eastAsia="zh-CN"/>
        </w:rPr>
        <w:t>报名并</w:t>
      </w:r>
      <w:r>
        <w:rPr>
          <w:rFonts w:hint="eastAsia" w:ascii="宋体" w:hAnsi="宋体"/>
          <w:sz w:val="24"/>
          <w:szCs w:val="24"/>
        </w:rPr>
        <w:t>获取采购文件的时间为准。</w:t>
      </w:r>
      <w:r>
        <w:rPr>
          <w:rFonts w:hint="eastAsia" w:ascii="宋体" w:hAnsi="宋体"/>
          <w:sz w:val="24"/>
          <w:szCs w:val="24"/>
          <w:lang w:val="en-US" w:eastAsia="zh-CN"/>
        </w:rPr>
        <w:t>)</w:t>
      </w:r>
    </w:p>
    <w:p>
      <w:pPr>
        <w:tabs>
          <w:tab w:val="left" w:pos="180"/>
          <w:tab w:val="left" w:pos="360"/>
          <w:tab w:val="left" w:pos="540"/>
          <w:tab w:val="left" w:pos="8280"/>
        </w:tabs>
        <w:autoSpaceDE w:val="0"/>
        <w:autoSpaceDN w:val="0"/>
        <w:adjustRightInd w:val="0"/>
        <w:spacing w:line="440" w:lineRule="exact"/>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四、提交投标文件截止时间、开标时间和地点</w:t>
      </w:r>
    </w:p>
    <w:p>
      <w:pPr>
        <w:tabs>
          <w:tab w:val="left" w:pos="180"/>
          <w:tab w:val="left" w:pos="360"/>
          <w:tab w:val="left" w:pos="540"/>
          <w:tab w:val="left" w:pos="8280"/>
        </w:tabs>
        <w:autoSpaceDE w:val="0"/>
        <w:autoSpaceDN w:val="0"/>
        <w:adjustRightInd w:val="0"/>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1、提交投标文件截止时间：</w:t>
      </w:r>
      <w:r>
        <w:rPr>
          <w:rFonts w:hint="eastAsia" w:ascii="宋体" w:hAnsi="宋体"/>
          <w:color w:val="auto"/>
          <w:sz w:val="24"/>
          <w:szCs w:val="24"/>
          <w:highlight w:val="yellow"/>
          <w:lang w:eastAsia="zh-CN"/>
        </w:rPr>
        <w:t>202</w:t>
      </w:r>
      <w:r>
        <w:rPr>
          <w:rFonts w:hint="eastAsia" w:ascii="宋体" w:hAnsi="宋体"/>
          <w:color w:val="auto"/>
          <w:sz w:val="24"/>
          <w:szCs w:val="24"/>
          <w:highlight w:val="yellow"/>
          <w:lang w:val="en-US" w:eastAsia="zh-CN"/>
        </w:rPr>
        <w:t>3</w:t>
      </w:r>
      <w:r>
        <w:rPr>
          <w:rFonts w:hint="eastAsia" w:ascii="宋体" w:hAnsi="宋体"/>
          <w:color w:val="auto"/>
          <w:sz w:val="24"/>
          <w:szCs w:val="24"/>
          <w:highlight w:val="yellow"/>
        </w:rPr>
        <w:t>年</w:t>
      </w:r>
      <w:r>
        <w:rPr>
          <w:rFonts w:hint="eastAsia" w:ascii="宋体" w:hAnsi="宋体"/>
          <w:color w:val="auto"/>
          <w:sz w:val="24"/>
          <w:szCs w:val="24"/>
          <w:highlight w:val="yellow"/>
          <w:lang w:val="en-US" w:eastAsia="zh-CN"/>
        </w:rPr>
        <w:t>12</w:t>
      </w:r>
      <w:r>
        <w:rPr>
          <w:rFonts w:hint="eastAsia" w:ascii="宋体" w:hAnsi="宋体"/>
          <w:color w:val="auto"/>
          <w:sz w:val="24"/>
          <w:szCs w:val="24"/>
          <w:highlight w:val="yellow"/>
        </w:rPr>
        <w:t>月</w:t>
      </w:r>
      <w:r>
        <w:rPr>
          <w:rFonts w:hint="eastAsia" w:ascii="宋体" w:hAnsi="宋体"/>
          <w:color w:val="auto"/>
          <w:sz w:val="24"/>
          <w:szCs w:val="24"/>
          <w:highlight w:val="yellow"/>
          <w:lang w:val="en-US" w:eastAsia="zh-CN"/>
        </w:rPr>
        <w:t>14</w:t>
      </w:r>
      <w:r>
        <w:rPr>
          <w:rFonts w:hint="eastAsia" w:ascii="宋体" w:hAnsi="宋体"/>
          <w:color w:val="auto"/>
          <w:sz w:val="24"/>
          <w:szCs w:val="24"/>
          <w:highlight w:val="yellow"/>
        </w:rPr>
        <w:t>日9时00分</w:t>
      </w:r>
      <w:r>
        <w:rPr>
          <w:rFonts w:hint="eastAsia" w:ascii="宋体" w:hAnsi="宋体"/>
          <w:color w:val="auto"/>
          <w:sz w:val="24"/>
          <w:szCs w:val="24"/>
          <w:highlight w:val="none"/>
        </w:rPr>
        <w:t>（北京时间）</w:t>
      </w:r>
    </w:p>
    <w:p>
      <w:pPr>
        <w:tabs>
          <w:tab w:val="left" w:pos="180"/>
          <w:tab w:val="left" w:pos="360"/>
          <w:tab w:val="left" w:pos="540"/>
          <w:tab w:val="left" w:pos="8280"/>
        </w:tabs>
        <w:autoSpaceDE w:val="0"/>
        <w:autoSpaceDN w:val="0"/>
        <w:adjustRightInd w:val="0"/>
        <w:spacing w:line="440" w:lineRule="exact"/>
        <w:ind w:left="479" w:leftChars="228"/>
        <w:rPr>
          <w:rFonts w:ascii="宋体" w:hAnsi="宋体"/>
          <w:color w:val="auto"/>
          <w:sz w:val="24"/>
          <w:szCs w:val="24"/>
          <w:highlight w:val="none"/>
        </w:rPr>
      </w:pPr>
      <w:r>
        <w:rPr>
          <w:rFonts w:hint="eastAsia" w:ascii="宋体" w:hAnsi="宋体"/>
          <w:color w:val="auto"/>
          <w:sz w:val="24"/>
          <w:szCs w:val="24"/>
          <w:highlight w:val="none"/>
        </w:rPr>
        <w:t>2、投标地点（网址）：浙江政府采购云平台（http://www.zcygov.cn）</w:t>
      </w:r>
      <w:r>
        <w:rPr>
          <w:rFonts w:hint="eastAsia" w:ascii="宋体" w:hAnsi="宋体"/>
          <w:color w:val="auto"/>
          <w:sz w:val="24"/>
          <w:szCs w:val="24"/>
          <w:highlight w:val="none"/>
          <w:lang w:eastAsia="zh-CN"/>
        </w:rPr>
        <w:t>请登录政采云投标客户端进行投标</w:t>
      </w:r>
      <w:r>
        <w:rPr>
          <w:rFonts w:hint="eastAsia" w:ascii="宋体" w:hAnsi="宋体"/>
          <w:color w:val="auto"/>
          <w:sz w:val="24"/>
          <w:szCs w:val="24"/>
          <w:highlight w:val="none"/>
        </w:rPr>
        <w:t>。本项目只接受电子投标文件，具体操作要求见前附表。</w:t>
      </w:r>
    </w:p>
    <w:p>
      <w:pPr>
        <w:tabs>
          <w:tab w:val="left" w:pos="180"/>
          <w:tab w:val="left" w:pos="360"/>
          <w:tab w:val="left" w:pos="540"/>
          <w:tab w:val="left" w:pos="8280"/>
        </w:tabs>
        <w:autoSpaceDE w:val="0"/>
        <w:autoSpaceDN w:val="0"/>
        <w:adjustRightInd w:val="0"/>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3、开标时间：</w:t>
      </w:r>
      <w:r>
        <w:rPr>
          <w:rFonts w:hint="eastAsia" w:ascii="宋体" w:hAnsi="宋体"/>
          <w:color w:val="auto"/>
          <w:sz w:val="24"/>
          <w:szCs w:val="24"/>
          <w:highlight w:val="yellow"/>
          <w:lang w:eastAsia="zh-CN"/>
        </w:rPr>
        <w:t>202</w:t>
      </w:r>
      <w:r>
        <w:rPr>
          <w:rFonts w:hint="eastAsia" w:ascii="宋体" w:hAnsi="宋体"/>
          <w:color w:val="auto"/>
          <w:sz w:val="24"/>
          <w:szCs w:val="24"/>
          <w:highlight w:val="yellow"/>
          <w:lang w:val="en-US" w:eastAsia="zh-CN"/>
        </w:rPr>
        <w:t>3</w:t>
      </w:r>
      <w:r>
        <w:rPr>
          <w:rFonts w:hint="eastAsia" w:ascii="宋体" w:hAnsi="宋体"/>
          <w:color w:val="auto"/>
          <w:sz w:val="24"/>
          <w:szCs w:val="24"/>
          <w:highlight w:val="yellow"/>
        </w:rPr>
        <w:t>年</w:t>
      </w:r>
      <w:r>
        <w:rPr>
          <w:rFonts w:hint="eastAsia" w:ascii="宋体" w:hAnsi="宋体"/>
          <w:color w:val="auto"/>
          <w:sz w:val="24"/>
          <w:szCs w:val="24"/>
          <w:highlight w:val="yellow"/>
          <w:lang w:val="en-US" w:eastAsia="zh-CN"/>
        </w:rPr>
        <w:t>12</w:t>
      </w:r>
      <w:r>
        <w:rPr>
          <w:rFonts w:hint="eastAsia" w:ascii="宋体" w:hAnsi="宋体"/>
          <w:color w:val="auto"/>
          <w:sz w:val="24"/>
          <w:szCs w:val="24"/>
          <w:highlight w:val="yellow"/>
        </w:rPr>
        <w:t>月</w:t>
      </w:r>
      <w:r>
        <w:rPr>
          <w:rFonts w:hint="eastAsia" w:ascii="宋体" w:hAnsi="宋体"/>
          <w:color w:val="auto"/>
          <w:sz w:val="24"/>
          <w:szCs w:val="24"/>
          <w:highlight w:val="yellow"/>
          <w:lang w:val="en-US" w:eastAsia="zh-CN"/>
        </w:rPr>
        <w:t>14</w:t>
      </w:r>
      <w:r>
        <w:rPr>
          <w:rFonts w:hint="eastAsia" w:ascii="宋体" w:hAnsi="宋体"/>
          <w:color w:val="auto"/>
          <w:sz w:val="24"/>
          <w:szCs w:val="24"/>
          <w:highlight w:val="yellow"/>
        </w:rPr>
        <w:t>日9时00分</w:t>
      </w:r>
      <w:r>
        <w:rPr>
          <w:rFonts w:hint="eastAsia" w:ascii="宋体" w:hAnsi="宋体"/>
          <w:color w:val="auto"/>
          <w:sz w:val="24"/>
          <w:szCs w:val="24"/>
          <w:highlight w:val="none"/>
        </w:rPr>
        <w:t>（北京时间）</w:t>
      </w:r>
    </w:p>
    <w:p>
      <w:pPr>
        <w:tabs>
          <w:tab w:val="left" w:pos="180"/>
          <w:tab w:val="left" w:pos="360"/>
          <w:tab w:val="left" w:pos="540"/>
          <w:tab w:val="left" w:pos="8280"/>
        </w:tabs>
        <w:autoSpaceDE w:val="0"/>
        <w:autoSpaceDN w:val="0"/>
        <w:adjustRightInd w:val="0"/>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4、开标地点：</w:t>
      </w:r>
      <w:r>
        <w:rPr>
          <w:rFonts w:hint="eastAsia" w:ascii="宋体" w:hAnsi="宋体"/>
          <w:color w:val="auto"/>
          <w:sz w:val="24"/>
          <w:highlight w:val="none"/>
        </w:rPr>
        <w:t>台州市</w:t>
      </w:r>
      <w:r>
        <w:rPr>
          <w:rFonts w:hint="eastAsia"/>
          <w:color w:val="auto"/>
          <w:sz w:val="24"/>
          <w:highlight w:val="none"/>
        </w:rPr>
        <w:t>路桥区财富大道999号区政府商城办公区（商城国际）五楼政府采购中心开标室</w:t>
      </w:r>
      <w:r>
        <w:rPr>
          <w:rFonts w:hint="eastAsia"/>
          <w:color w:val="auto"/>
          <w:sz w:val="24"/>
          <w:highlight w:val="none"/>
          <w:lang w:eastAsia="zh-CN"/>
        </w:rPr>
        <w:t>（二）</w:t>
      </w:r>
    </w:p>
    <w:p>
      <w:pPr>
        <w:tabs>
          <w:tab w:val="left" w:pos="180"/>
          <w:tab w:val="left" w:pos="360"/>
          <w:tab w:val="left" w:pos="540"/>
          <w:tab w:val="left" w:pos="8280"/>
        </w:tabs>
        <w:autoSpaceDE w:val="0"/>
        <w:autoSpaceDN w:val="0"/>
        <w:adjustRightInd w:val="0"/>
        <w:spacing w:line="440" w:lineRule="exact"/>
        <w:ind w:firstLine="482" w:firstLineChars="200"/>
        <w:rPr>
          <w:rFonts w:ascii="宋体" w:hAnsi="宋体"/>
          <w:color w:val="auto"/>
          <w:sz w:val="24"/>
          <w:szCs w:val="24"/>
          <w:highlight w:val="none"/>
        </w:rPr>
      </w:pPr>
      <w:r>
        <w:rPr>
          <w:rFonts w:hint="eastAsia" w:ascii="宋体" w:hAnsi="宋体"/>
          <w:b/>
          <w:color w:val="auto"/>
          <w:sz w:val="24"/>
          <w:szCs w:val="24"/>
          <w:highlight w:val="none"/>
        </w:rPr>
        <w:t>五、公告期限：</w:t>
      </w:r>
      <w:r>
        <w:rPr>
          <w:rFonts w:hint="eastAsia" w:ascii="宋体" w:hAnsi="宋体"/>
          <w:color w:val="auto"/>
          <w:sz w:val="24"/>
          <w:szCs w:val="24"/>
          <w:highlight w:val="none"/>
        </w:rPr>
        <w:t>自本公告发布之日起5个工作日。</w:t>
      </w:r>
    </w:p>
    <w:p>
      <w:pPr>
        <w:tabs>
          <w:tab w:val="left" w:pos="180"/>
          <w:tab w:val="left" w:pos="360"/>
          <w:tab w:val="left" w:pos="540"/>
          <w:tab w:val="left" w:pos="8280"/>
        </w:tabs>
        <w:autoSpaceDE w:val="0"/>
        <w:autoSpaceDN w:val="0"/>
        <w:adjustRightInd w:val="0"/>
        <w:spacing w:line="440" w:lineRule="exact"/>
        <w:ind w:firstLine="482" w:firstLineChars="200"/>
        <w:rPr>
          <w:rFonts w:ascii="宋体" w:hAnsi="宋体"/>
          <w:b/>
          <w:color w:val="auto"/>
          <w:sz w:val="24"/>
          <w:szCs w:val="24"/>
          <w:highlight w:val="none"/>
        </w:rPr>
      </w:pPr>
      <w:bookmarkStart w:id="1" w:name="_Toc35393626"/>
      <w:bookmarkStart w:id="2" w:name="_Toc35393795"/>
      <w:r>
        <w:rPr>
          <w:rFonts w:hint="eastAsia" w:ascii="宋体" w:hAnsi="宋体"/>
          <w:b/>
          <w:color w:val="auto"/>
          <w:sz w:val="24"/>
          <w:szCs w:val="24"/>
          <w:highlight w:val="none"/>
        </w:rPr>
        <w:t>六、其他补充事宜</w:t>
      </w:r>
      <w:bookmarkEnd w:id="1"/>
      <w:bookmarkEnd w:id="2"/>
      <w:r>
        <w:rPr>
          <w:rFonts w:hint="eastAsia" w:ascii="宋体" w:hAnsi="宋体"/>
          <w:b/>
          <w:color w:val="auto"/>
          <w:sz w:val="24"/>
          <w:szCs w:val="24"/>
          <w:highlight w:val="none"/>
        </w:rPr>
        <w:t>：</w:t>
      </w:r>
    </w:p>
    <w:p>
      <w:pPr>
        <w:tabs>
          <w:tab w:val="left" w:pos="180"/>
          <w:tab w:val="left" w:pos="360"/>
          <w:tab w:val="left" w:pos="540"/>
          <w:tab w:val="left" w:pos="8280"/>
        </w:tabs>
        <w:autoSpaceDE w:val="0"/>
        <w:autoSpaceDN w:val="0"/>
        <w:adjustRightInd w:val="0"/>
        <w:spacing w:line="44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1、供应商认为采购文件使自己的权益受到损害的，可以自收到采购文件之日（获取截止日之后收到采购文件的，以获取截止日为准）起7个工作日内且应当在采购投标截止时间之前，以书面形式一次性向采购人和集中采构机构提出同一环节的质疑。否则，被质疑人可不予接受。质疑供应商对采购人、集中采构机构的答复不满意或者采购人、集中采构机构未在规定的时间内作出答复的，可以在答复期满后十五个工作日内向同级政府采购监督管理部门投诉。</w:t>
      </w:r>
    </w:p>
    <w:p>
      <w:pPr>
        <w:tabs>
          <w:tab w:val="left" w:pos="180"/>
          <w:tab w:val="left" w:pos="360"/>
          <w:tab w:val="left" w:pos="540"/>
          <w:tab w:val="left" w:pos="8280"/>
        </w:tabs>
        <w:autoSpaceDE w:val="0"/>
        <w:autoSpaceDN w:val="0"/>
        <w:adjustRightInd w:val="0"/>
        <w:spacing w:line="44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2、根据《浙江省政府采购供应商注册及诚信管理暂行办法》浙财采监【2009】28号文件，请各投标供应商及时办理浙江政府采购网“政府采购供应商注册”入库手续。</w:t>
      </w:r>
    </w:p>
    <w:p>
      <w:pPr>
        <w:tabs>
          <w:tab w:val="left" w:pos="180"/>
          <w:tab w:val="left" w:pos="360"/>
          <w:tab w:val="left" w:pos="540"/>
          <w:tab w:val="left" w:pos="8280"/>
        </w:tabs>
        <w:autoSpaceDE w:val="0"/>
        <w:autoSpaceDN w:val="0"/>
        <w:adjustRightInd w:val="0"/>
        <w:spacing w:line="440" w:lineRule="exact"/>
        <w:ind w:firstLine="482" w:firstLineChars="200"/>
        <w:rPr>
          <w:rFonts w:ascii="宋体" w:hAnsi="宋体"/>
          <w:b/>
          <w:color w:val="auto"/>
          <w:sz w:val="24"/>
          <w:szCs w:val="24"/>
          <w:highlight w:val="none"/>
        </w:rPr>
      </w:pPr>
      <w:bookmarkStart w:id="3" w:name="_Toc35393796"/>
      <w:bookmarkStart w:id="4" w:name="_Toc35393627"/>
      <w:bookmarkStart w:id="5" w:name="_Toc28359085"/>
      <w:bookmarkStart w:id="6" w:name="_Toc28359008"/>
      <w:r>
        <w:rPr>
          <w:rFonts w:hint="eastAsia" w:ascii="宋体" w:hAnsi="宋体"/>
          <w:b/>
          <w:color w:val="auto"/>
          <w:sz w:val="24"/>
          <w:szCs w:val="24"/>
          <w:highlight w:val="none"/>
        </w:rPr>
        <w:t>七、对本次采购提出询问、质疑、投诉，请按以下方式联系</w:t>
      </w:r>
      <w:bookmarkEnd w:id="3"/>
      <w:bookmarkEnd w:id="4"/>
      <w:bookmarkEnd w:id="5"/>
      <w:bookmarkEnd w:id="6"/>
      <w:r>
        <w:rPr>
          <w:rFonts w:hint="eastAsia" w:ascii="宋体" w:hAnsi="宋体"/>
          <w:b/>
          <w:color w:val="auto"/>
          <w:sz w:val="24"/>
          <w:szCs w:val="24"/>
          <w:highlight w:val="none"/>
        </w:rPr>
        <w:t>：</w:t>
      </w:r>
    </w:p>
    <w:p>
      <w:pPr>
        <w:snapToGrid w:val="0"/>
        <w:spacing w:line="44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1、采购人</w:t>
      </w:r>
    </w:p>
    <w:p>
      <w:pPr>
        <w:snapToGrid w:val="0"/>
        <w:spacing w:line="440" w:lineRule="exact"/>
        <w:ind w:firstLine="480" w:firstLineChars="200"/>
        <w:rPr>
          <w:rFonts w:hint="eastAsia" w:ascii="宋体" w:hAnsi="宋体" w:eastAsia="宋体" w:cs="Arial"/>
          <w:color w:val="auto"/>
          <w:sz w:val="24"/>
          <w:szCs w:val="24"/>
          <w:highlight w:val="none"/>
          <w:lang w:eastAsia="zh-CN"/>
        </w:rPr>
      </w:pPr>
      <w:r>
        <w:rPr>
          <w:rFonts w:hint="eastAsia" w:ascii="宋体" w:hAnsi="宋体" w:cs="Arial"/>
          <w:color w:val="auto"/>
          <w:sz w:val="24"/>
          <w:szCs w:val="24"/>
          <w:highlight w:val="none"/>
        </w:rPr>
        <w:t> 名称：</w:t>
      </w:r>
      <w:r>
        <w:rPr>
          <w:rFonts w:hint="eastAsia" w:ascii="宋体" w:hAnsi="宋体" w:cs="宋体"/>
          <w:kern w:val="0"/>
          <w:sz w:val="24"/>
          <w:lang w:eastAsia="zh-CN"/>
        </w:rPr>
        <w:t>台州市路桥区教育局</w:t>
      </w:r>
    </w:p>
    <w:p>
      <w:pPr>
        <w:snapToGrid w:val="0"/>
        <w:spacing w:line="440" w:lineRule="exact"/>
        <w:ind w:firstLine="480" w:firstLineChars="200"/>
        <w:rPr>
          <w:rFonts w:hint="eastAsia" w:ascii="宋体" w:hAnsi="宋体" w:cs="宋体"/>
          <w:sz w:val="24"/>
          <w:szCs w:val="32"/>
          <w:lang w:val="en-US" w:eastAsia="zh-CN"/>
        </w:rPr>
      </w:pPr>
      <w:r>
        <w:rPr>
          <w:rFonts w:hint="eastAsia" w:ascii="宋体" w:hAnsi="宋体" w:cs="Arial"/>
          <w:color w:val="auto"/>
          <w:sz w:val="24"/>
          <w:szCs w:val="24"/>
          <w:highlight w:val="none"/>
        </w:rPr>
        <w:t> 地址：</w:t>
      </w:r>
      <w:r>
        <w:rPr>
          <w:rFonts w:hint="eastAsia" w:ascii="宋体" w:hAnsi="宋体" w:eastAsia="宋体" w:cs="宋体"/>
          <w:sz w:val="24"/>
          <w:szCs w:val="32"/>
        </w:rPr>
        <w:t>台州市路桥区</w:t>
      </w:r>
      <w:r>
        <w:rPr>
          <w:rFonts w:hint="eastAsia" w:ascii="宋体" w:hAnsi="宋体" w:cs="宋体"/>
          <w:sz w:val="24"/>
          <w:szCs w:val="32"/>
          <w:lang w:eastAsia="zh-CN"/>
        </w:rPr>
        <w:t>桐屿街道财富大道</w:t>
      </w:r>
      <w:r>
        <w:rPr>
          <w:rFonts w:hint="eastAsia" w:ascii="宋体" w:hAnsi="宋体" w:cs="宋体"/>
          <w:sz w:val="24"/>
          <w:szCs w:val="32"/>
          <w:lang w:val="en-US" w:eastAsia="zh-CN"/>
        </w:rPr>
        <w:t>999号</w:t>
      </w:r>
    </w:p>
    <w:p>
      <w:pPr>
        <w:snapToGrid w:val="0"/>
        <w:spacing w:line="440" w:lineRule="exact"/>
        <w:ind w:firstLine="480" w:firstLineChars="200"/>
        <w:rPr>
          <w:rFonts w:hint="eastAsia" w:ascii="宋体" w:hAnsi="宋体" w:eastAsia="宋体" w:cs="Arial"/>
          <w:color w:val="auto"/>
          <w:sz w:val="24"/>
          <w:szCs w:val="24"/>
          <w:highlight w:val="none"/>
          <w:lang w:val="en-US" w:eastAsia="zh-CN"/>
        </w:rPr>
      </w:pPr>
      <w:r>
        <w:rPr>
          <w:rFonts w:hint="eastAsia" w:ascii="宋体" w:hAnsi="宋体" w:cs="Arial"/>
          <w:color w:val="auto"/>
          <w:sz w:val="24"/>
          <w:szCs w:val="24"/>
          <w:highlight w:val="none"/>
        </w:rPr>
        <w:t> 项目联系人（询问）：</w:t>
      </w:r>
      <w:r>
        <w:rPr>
          <w:rFonts w:hint="eastAsia" w:ascii="宋体" w:hAnsi="宋体" w:cs="Arial"/>
          <w:color w:val="auto"/>
          <w:sz w:val="24"/>
          <w:szCs w:val="24"/>
          <w:highlight w:val="none"/>
          <w:lang w:eastAsia="zh-CN"/>
        </w:rPr>
        <w:t>潘老师</w:t>
      </w:r>
    </w:p>
    <w:p>
      <w:pPr>
        <w:snapToGrid w:val="0"/>
        <w:spacing w:line="440" w:lineRule="exact"/>
        <w:ind w:firstLine="480" w:firstLineChars="200"/>
        <w:rPr>
          <w:rFonts w:hint="default" w:ascii="宋体" w:hAnsi="宋体" w:eastAsia="宋体" w:cs="Arial"/>
          <w:color w:val="auto"/>
          <w:sz w:val="24"/>
          <w:szCs w:val="24"/>
          <w:highlight w:val="none"/>
          <w:lang w:val="en-US" w:eastAsia="zh-CN"/>
        </w:rPr>
      </w:pPr>
      <w:r>
        <w:rPr>
          <w:rFonts w:hint="eastAsia" w:ascii="宋体" w:hAnsi="宋体" w:cs="Arial"/>
          <w:color w:val="auto"/>
          <w:sz w:val="24"/>
          <w:szCs w:val="24"/>
          <w:highlight w:val="none"/>
        </w:rPr>
        <w:t> 项目联系方式（询问）：0576-89210979</w:t>
      </w:r>
      <w:r>
        <w:rPr>
          <w:rFonts w:hint="eastAsia" w:ascii="宋体" w:hAnsi="宋体" w:cs="Arial"/>
          <w:color w:val="auto"/>
          <w:sz w:val="24"/>
          <w:szCs w:val="24"/>
          <w:highlight w:val="none"/>
          <w:lang w:val="en-US" w:eastAsia="zh-CN"/>
        </w:rPr>
        <w:t xml:space="preserve"> </w:t>
      </w:r>
    </w:p>
    <w:p>
      <w:pPr>
        <w:snapToGrid w:val="0"/>
        <w:spacing w:line="440" w:lineRule="exact"/>
        <w:ind w:firstLine="720" w:firstLineChars="300"/>
        <w:rPr>
          <w:rFonts w:ascii="宋体" w:hAnsi="宋体" w:cs="Arial"/>
          <w:color w:val="auto"/>
          <w:sz w:val="24"/>
          <w:szCs w:val="24"/>
          <w:highlight w:val="none"/>
        </w:rPr>
      </w:pPr>
      <w:r>
        <w:rPr>
          <w:rFonts w:hint="eastAsia" w:ascii="宋体" w:hAnsi="宋体" w:cs="Arial"/>
          <w:color w:val="auto"/>
          <w:sz w:val="24"/>
          <w:szCs w:val="24"/>
          <w:highlight w:val="none"/>
        </w:rPr>
        <w:t>质疑联系人：</w:t>
      </w:r>
      <w:r>
        <w:rPr>
          <w:rFonts w:hint="eastAsia" w:ascii="宋体" w:hAnsi="宋体" w:cs="Arial"/>
          <w:color w:val="auto"/>
          <w:sz w:val="24"/>
          <w:szCs w:val="24"/>
          <w:highlight w:val="none"/>
          <w:lang w:eastAsia="zh-CN"/>
        </w:rPr>
        <w:t>徐老师</w:t>
      </w:r>
      <w:r>
        <w:rPr>
          <w:rFonts w:hint="eastAsia" w:ascii="宋体" w:hAnsi="宋体" w:cs="Arial"/>
          <w:color w:val="auto"/>
          <w:sz w:val="24"/>
          <w:szCs w:val="24"/>
          <w:highlight w:val="none"/>
          <w:lang w:val="en-US" w:eastAsia="zh-CN"/>
        </w:rPr>
        <w:t xml:space="preserve"> </w:t>
      </w:r>
      <w:r>
        <w:rPr>
          <w:rFonts w:hint="eastAsia" w:ascii="宋体" w:hAnsi="宋体" w:cs="Arial"/>
          <w:color w:val="auto"/>
          <w:sz w:val="24"/>
          <w:szCs w:val="24"/>
          <w:highlight w:val="none"/>
        </w:rPr>
        <w:t>   </w:t>
      </w:r>
    </w:p>
    <w:p>
      <w:pPr>
        <w:spacing w:line="440" w:lineRule="exact"/>
        <w:ind w:firstLine="480" w:firstLineChars="200"/>
        <w:rPr>
          <w:rFonts w:hint="eastAsia" w:ascii="宋体" w:hAnsi="宋体" w:eastAsia="宋体" w:cs="Arial"/>
          <w:color w:val="auto"/>
          <w:sz w:val="24"/>
          <w:szCs w:val="24"/>
          <w:highlight w:val="none"/>
          <w:lang w:eastAsia="zh-CN"/>
        </w:rPr>
      </w:pPr>
      <w:r>
        <w:rPr>
          <w:rFonts w:hint="eastAsia" w:ascii="宋体" w:hAnsi="宋体" w:cs="Arial"/>
          <w:color w:val="auto"/>
          <w:sz w:val="24"/>
          <w:szCs w:val="24"/>
          <w:highlight w:val="none"/>
        </w:rPr>
        <w:t> 质疑联系方式：0576-89210988</w:t>
      </w:r>
      <w:r>
        <w:rPr>
          <w:rFonts w:hint="eastAsia" w:ascii="宋体" w:hAnsi="宋体" w:cs="Arial"/>
          <w:color w:val="auto"/>
          <w:sz w:val="24"/>
          <w:szCs w:val="24"/>
          <w:highlight w:val="none"/>
          <w:lang w:val="en-US" w:eastAsia="zh-CN"/>
        </w:rPr>
        <w:t xml:space="preserve"> </w:t>
      </w:r>
    </w:p>
    <w:p>
      <w:pPr>
        <w:spacing w:line="44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2、集中采购机构</w:t>
      </w:r>
    </w:p>
    <w:p>
      <w:pPr>
        <w:snapToGrid w:val="0"/>
        <w:spacing w:line="440" w:lineRule="exact"/>
        <w:ind w:firstLine="720" w:firstLineChars="300"/>
        <w:rPr>
          <w:rFonts w:ascii="宋体" w:hAnsi="宋体"/>
          <w:color w:val="auto"/>
          <w:kern w:val="2"/>
          <w:sz w:val="24"/>
          <w:highlight w:val="none"/>
        </w:rPr>
      </w:pPr>
      <w:r>
        <w:rPr>
          <w:rFonts w:hint="eastAsia" w:ascii="宋体" w:hAnsi="宋体"/>
          <w:color w:val="auto"/>
          <w:kern w:val="2"/>
          <w:sz w:val="24"/>
          <w:highlight w:val="none"/>
        </w:rPr>
        <w:t>名称：台州市路桥区政府采购中心</w:t>
      </w:r>
    </w:p>
    <w:p>
      <w:pPr>
        <w:snapToGrid w:val="0"/>
        <w:spacing w:line="440" w:lineRule="exact"/>
        <w:ind w:firstLine="720" w:firstLineChars="300"/>
        <w:rPr>
          <w:rFonts w:ascii="宋体" w:hAnsi="宋体"/>
          <w:color w:val="auto"/>
          <w:kern w:val="2"/>
          <w:sz w:val="24"/>
          <w:highlight w:val="none"/>
        </w:rPr>
      </w:pPr>
      <w:r>
        <w:rPr>
          <w:rFonts w:hint="eastAsia" w:ascii="宋体" w:hAnsi="宋体"/>
          <w:color w:val="auto"/>
          <w:kern w:val="2"/>
          <w:sz w:val="24"/>
          <w:highlight w:val="none"/>
        </w:rPr>
        <w:t>地点：</w:t>
      </w:r>
      <w:r>
        <w:rPr>
          <w:rFonts w:ascii="宋体" w:hAnsi="宋体"/>
          <w:color w:val="auto"/>
          <w:sz w:val="24"/>
          <w:szCs w:val="24"/>
          <w:highlight w:val="none"/>
        </w:rPr>
        <w:t>台州市</w:t>
      </w:r>
      <w:r>
        <w:rPr>
          <w:color w:val="auto"/>
          <w:sz w:val="24"/>
          <w:szCs w:val="24"/>
          <w:highlight w:val="none"/>
        </w:rPr>
        <w:t>路桥区财富大道999号区政府商城办公区（商城国际）五楼</w:t>
      </w:r>
    </w:p>
    <w:p>
      <w:pPr>
        <w:snapToGrid w:val="0"/>
        <w:spacing w:line="440" w:lineRule="exact"/>
        <w:ind w:firstLine="720" w:firstLineChars="300"/>
        <w:rPr>
          <w:rFonts w:hint="eastAsia" w:ascii="宋体" w:hAnsi="宋体" w:cs="Arial"/>
          <w:color w:val="auto"/>
          <w:sz w:val="24"/>
          <w:szCs w:val="24"/>
          <w:highlight w:val="none"/>
        </w:rPr>
      </w:pPr>
      <w:r>
        <w:rPr>
          <w:rFonts w:hint="eastAsia" w:ascii="宋体" w:hAnsi="宋体" w:cs="Arial"/>
          <w:color w:val="auto"/>
          <w:sz w:val="24"/>
          <w:szCs w:val="24"/>
          <w:highlight w:val="none"/>
        </w:rPr>
        <w:t>项目联系人：</w:t>
      </w:r>
      <w:r>
        <w:rPr>
          <w:rFonts w:hint="eastAsia" w:ascii="宋体" w:hAnsi="宋体" w:cs="Arial"/>
          <w:color w:val="auto"/>
          <w:sz w:val="24"/>
          <w:szCs w:val="24"/>
          <w:highlight w:val="none"/>
          <w:lang w:eastAsia="zh-CN"/>
        </w:rPr>
        <w:t>王劲松</w:t>
      </w:r>
      <w:r>
        <w:rPr>
          <w:rFonts w:hint="eastAsia" w:ascii="宋体" w:hAnsi="宋体" w:cs="Arial"/>
          <w:color w:val="auto"/>
          <w:sz w:val="24"/>
          <w:szCs w:val="24"/>
          <w:highlight w:val="none"/>
        </w:rPr>
        <w:t xml:space="preserve"> </w:t>
      </w:r>
    </w:p>
    <w:p>
      <w:pPr>
        <w:snapToGrid w:val="0"/>
        <w:spacing w:line="440" w:lineRule="exact"/>
        <w:ind w:firstLine="720" w:firstLineChars="300"/>
        <w:rPr>
          <w:rFonts w:hint="eastAsia" w:ascii="宋体" w:hAnsi="宋体" w:cs="Arial"/>
          <w:color w:val="auto"/>
          <w:sz w:val="24"/>
          <w:szCs w:val="24"/>
          <w:highlight w:val="none"/>
        </w:rPr>
      </w:pPr>
      <w:r>
        <w:rPr>
          <w:rFonts w:hint="eastAsia" w:ascii="宋体" w:hAnsi="宋体" w:cs="Arial"/>
          <w:color w:val="auto"/>
          <w:sz w:val="24"/>
          <w:szCs w:val="24"/>
          <w:highlight w:val="none"/>
        </w:rPr>
        <w:t>联系电话：0576-82</w:t>
      </w:r>
      <w:r>
        <w:rPr>
          <w:rFonts w:hint="eastAsia" w:ascii="宋体" w:hAnsi="宋体" w:cs="Arial"/>
          <w:color w:val="auto"/>
          <w:sz w:val="24"/>
          <w:szCs w:val="24"/>
          <w:highlight w:val="none"/>
          <w:lang w:val="en-US" w:eastAsia="zh-CN"/>
        </w:rPr>
        <w:t xml:space="preserve">581369 </w:t>
      </w:r>
      <w:r>
        <w:rPr>
          <w:rFonts w:hint="eastAsia" w:ascii="宋体" w:hAnsi="宋体" w:cs="Arial"/>
          <w:color w:val="auto"/>
          <w:sz w:val="24"/>
          <w:szCs w:val="24"/>
          <w:highlight w:val="none"/>
        </w:rPr>
        <w:t xml:space="preserve">   0576-82401332（传真）</w:t>
      </w:r>
    </w:p>
    <w:p>
      <w:pPr>
        <w:snapToGrid w:val="0"/>
        <w:spacing w:line="440" w:lineRule="exact"/>
        <w:ind w:firstLine="720" w:firstLineChars="300"/>
        <w:rPr>
          <w:rFonts w:hint="eastAsia" w:ascii="宋体" w:hAnsi="宋体" w:cs="Arial"/>
          <w:color w:val="auto"/>
          <w:sz w:val="24"/>
          <w:szCs w:val="24"/>
          <w:highlight w:val="none"/>
          <w:lang w:eastAsia="zh-CN"/>
        </w:rPr>
      </w:pPr>
      <w:r>
        <w:rPr>
          <w:rFonts w:hint="eastAsia" w:ascii="宋体" w:hAnsi="宋体" w:cs="Arial"/>
          <w:color w:val="auto"/>
          <w:sz w:val="24"/>
          <w:szCs w:val="24"/>
          <w:highlight w:val="none"/>
        </w:rPr>
        <w:t>质疑联系人：</w:t>
      </w:r>
      <w:r>
        <w:rPr>
          <w:rFonts w:hint="eastAsia" w:ascii="宋体" w:hAnsi="宋体" w:cs="Arial"/>
          <w:color w:val="auto"/>
          <w:sz w:val="24"/>
          <w:szCs w:val="24"/>
          <w:highlight w:val="none"/>
          <w:lang w:eastAsia="zh-CN"/>
        </w:rPr>
        <w:t>傅晓晓</w:t>
      </w:r>
    </w:p>
    <w:p>
      <w:pPr>
        <w:snapToGrid w:val="0"/>
        <w:spacing w:line="440" w:lineRule="exact"/>
        <w:ind w:firstLine="720" w:firstLineChars="300"/>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rPr>
        <w:t>质疑联系方式：0576-</w:t>
      </w:r>
      <w:r>
        <w:rPr>
          <w:rFonts w:hint="eastAsia" w:ascii="宋体" w:hAnsi="宋体" w:cs="Arial"/>
          <w:color w:val="auto"/>
          <w:sz w:val="24"/>
          <w:szCs w:val="24"/>
          <w:highlight w:val="none"/>
          <w:lang w:val="en-US" w:eastAsia="zh-CN"/>
        </w:rPr>
        <w:t>82921169</w:t>
      </w:r>
    </w:p>
    <w:p>
      <w:pPr>
        <w:snapToGrid w:val="0"/>
        <w:spacing w:line="440" w:lineRule="exact"/>
        <w:ind w:firstLine="720" w:firstLineChars="300"/>
        <w:rPr>
          <w:rFonts w:ascii="宋体" w:hAnsi="宋体" w:cs="Arial"/>
          <w:color w:val="auto"/>
          <w:sz w:val="24"/>
          <w:szCs w:val="24"/>
          <w:highlight w:val="none"/>
        </w:rPr>
      </w:pPr>
      <w:r>
        <w:rPr>
          <w:rFonts w:hint="eastAsia" w:ascii="宋体" w:hAnsi="宋体" w:cs="Arial"/>
          <w:color w:val="auto"/>
          <w:sz w:val="24"/>
          <w:szCs w:val="24"/>
          <w:highlight w:val="none"/>
        </w:rPr>
        <w:t>邮箱地址：</w:t>
      </w:r>
      <w:r>
        <w:rPr>
          <w:rFonts w:hint="eastAsia" w:ascii="宋体" w:hAnsi="宋体"/>
          <w:color w:val="auto"/>
          <w:kern w:val="2"/>
          <w:sz w:val="24"/>
          <w:highlight w:val="none"/>
        </w:rPr>
        <w:t>lqcgzx@163.com</w:t>
      </w:r>
      <w:r>
        <w:rPr>
          <w:rFonts w:hint="eastAsia" w:ascii="宋体" w:hAnsi="宋体"/>
          <w:color w:val="auto"/>
          <w:sz w:val="24"/>
          <w:szCs w:val="24"/>
          <w:highlight w:val="none"/>
        </w:rPr>
        <w:t xml:space="preserve"> </w:t>
      </w:r>
    </w:p>
    <w:p>
      <w:pPr>
        <w:widowControl w:val="0"/>
        <w:snapToGrid w:val="0"/>
        <w:spacing w:line="440" w:lineRule="exact"/>
        <w:ind w:firstLine="482" w:firstLineChars="200"/>
        <w:jc w:val="both"/>
        <w:rPr>
          <w:rFonts w:ascii="宋体" w:hAnsi="宋体"/>
          <w:b/>
          <w:color w:val="auto"/>
          <w:sz w:val="24"/>
          <w:szCs w:val="24"/>
          <w:highlight w:val="none"/>
        </w:rPr>
      </w:pPr>
      <w:r>
        <w:rPr>
          <w:rFonts w:hint="eastAsia" w:ascii="宋体" w:hAnsi="宋体"/>
          <w:b/>
          <w:color w:val="auto"/>
          <w:sz w:val="24"/>
          <w:szCs w:val="24"/>
          <w:highlight w:val="none"/>
        </w:rPr>
        <w:t>3、同级政府采购监督管理部门</w:t>
      </w:r>
    </w:p>
    <w:p>
      <w:pPr>
        <w:spacing w:line="440" w:lineRule="exact"/>
        <w:ind w:firstLine="720" w:firstLineChars="300"/>
        <w:rPr>
          <w:rFonts w:ascii="宋体" w:hAnsi="宋体" w:cs="Arial"/>
          <w:color w:val="auto"/>
          <w:sz w:val="24"/>
          <w:szCs w:val="24"/>
          <w:highlight w:val="none"/>
        </w:rPr>
      </w:pPr>
      <w:r>
        <w:rPr>
          <w:rFonts w:hint="eastAsia" w:ascii="宋体" w:hAnsi="宋体" w:cs="Arial"/>
          <w:color w:val="auto"/>
          <w:sz w:val="24"/>
          <w:szCs w:val="24"/>
          <w:highlight w:val="none"/>
        </w:rPr>
        <w:t>名称：台州市路桥区财政局监督绩效管理与采购监管科</w:t>
      </w:r>
    </w:p>
    <w:p>
      <w:pPr>
        <w:spacing w:line="440" w:lineRule="exact"/>
        <w:ind w:firstLine="720" w:firstLineChars="300"/>
        <w:rPr>
          <w:rFonts w:ascii="宋体" w:hAnsi="宋体" w:cs="Arial"/>
          <w:color w:val="auto"/>
          <w:sz w:val="24"/>
          <w:szCs w:val="24"/>
          <w:highlight w:val="none"/>
        </w:rPr>
      </w:pPr>
      <w:r>
        <w:rPr>
          <w:rFonts w:hint="eastAsia" w:ascii="宋体" w:hAnsi="宋体" w:cs="Arial"/>
          <w:color w:val="auto"/>
          <w:sz w:val="24"/>
          <w:szCs w:val="24"/>
          <w:highlight w:val="none"/>
        </w:rPr>
        <w:t>联系人：吴敏丹</w:t>
      </w:r>
    </w:p>
    <w:p>
      <w:pPr>
        <w:widowControl w:val="0"/>
        <w:snapToGrid w:val="0"/>
        <w:spacing w:line="440" w:lineRule="exact"/>
        <w:ind w:firstLine="720" w:firstLineChars="300"/>
        <w:jc w:val="both"/>
        <w:textAlignment w:val="baseline"/>
        <w:rPr>
          <w:rFonts w:hint="default" w:ascii="宋体" w:hAnsi="宋体" w:eastAsia="宋体" w:cs="Arial"/>
          <w:color w:val="auto"/>
          <w:sz w:val="24"/>
          <w:szCs w:val="24"/>
          <w:highlight w:val="none"/>
          <w:lang w:val="en-US" w:eastAsia="zh-CN"/>
        </w:rPr>
      </w:pPr>
      <w:r>
        <w:rPr>
          <w:rFonts w:hint="eastAsia" w:ascii="宋体" w:hAnsi="宋体" w:cs="Arial"/>
          <w:color w:val="auto"/>
          <w:sz w:val="24"/>
          <w:szCs w:val="24"/>
          <w:highlight w:val="none"/>
        </w:rPr>
        <w:t>监督投诉电话：</w:t>
      </w:r>
      <w:r>
        <w:rPr>
          <w:rFonts w:hint="eastAsia" w:ascii="宋体" w:hAnsi="宋体" w:cs="宋体"/>
          <w:color w:val="auto"/>
          <w:sz w:val="24"/>
          <w:szCs w:val="24"/>
          <w:highlight w:val="none"/>
        </w:rPr>
        <w:t>0576-8251</w:t>
      </w:r>
      <w:r>
        <w:rPr>
          <w:rFonts w:hint="eastAsia" w:ascii="宋体" w:hAnsi="宋体" w:cs="宋体"/>
          <w:color w:val="auto"/>
          <w:sz w:val="24"/>
          <w:szCs w:val="24"/>
          <w:highlight w:val="none"/>
          <w:lang w:val="en-US" w:eastAsia="zh-CN"/>
        </w:rPr>
        <w:t>7851</w:t>
      </w:r>
    </w:p>
    <w:p>
      <w:pPr>
        <w:spacing w:line="440" w:lineRule="exact"/>
        <w:ind w:firstLine="720" w:firstLineChars="3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传真：0576-825</w:t>
      </w:r>
      <w:r>
        <w:rPr>
          <w:rFonts w:hint="eastAsia" w:ascii="宋体" w:hAnsi="宋体" w:cs="宋体"/>
          <w:color w:val="auto"/>
          <w:sz w:val="24"/>
          <w:szCs w:val="24"/>
          <w:highlight w:val="none"/>
          <w:lang w:val="en-US" w:eastAsia="zh-CN"/>
        </w:rPr>
        <w:t>17851</w:t>
      </w:r>
    </w:p>
    <w:p>
      <w:pPr>
        <w:spacing w:line="440" w:lineRule="exact"/>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地址：台州市路桥区西路桥大道58号</w:t>
      </w:r>
    </w:p>
    <w:p>
      <w:pPr>
        <w:pStyle w:val="35"/>
        <w:numPr>
          <w:ilvl w:val="0"/>
          <w:numId w:val="5"/>
        </w:numPr>
        <w:rPr>
          <w:rFonts w:hint="eastAsia" w:hAnsi="宋体"/>
          <w:b/>
          <w:color w:val="auto"/>
          <w:sz w:val="24"/>
          <w:szCs w:val="24"/>
          <w:highlight w:val="none"/>
          <w:lang w:eastAsia="zh-CN"/>
        </w:rPr>
      </w:pPr>
      <w:r>
        <w:rPr>
          <w:rFonts w:hint="eastAsia" w:hAnsi="宋体"/>
          <w:b/>
          <w:color w:val="auto"/>
          <w:sz w:val="24"/>
          <w:szCs w:val="24"/>
          <w:highlight w:val="none"/>
          <w:lang w:eastAsia="zh-CN"/>
        </w:rPr>
        <w:t>其它</w:t>
      </w:r>
    </w:p>
    <w:p>
      <w:pPr>
        <w:ind w:firstLine="240" w:firstLineChars="100"/>
        <w:jc w:val="both"/>
        <w:rPr>
          <w:rFonts w:hint="eastAsia"/>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合同履约保函联系方式</w:t>
      </w:r>
    </w:p>
    <w:tbl>
      <w:tblPr>
        <w:tblStyle w:val="38"/>
        <w:tblW w:w="857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jc w:val="center"/>
        </w:trPr>
        <w:tc>
          <w:tcPr>
            <w:tcW w:w="3387" w:type="dxa"/>
            <w:vAlign w:val="center"/>
          </w:tcPr>
          <w:p>
            <w:pPr>
              <w:widowControl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保险公司名称</w:t>
            </w:r>
          </w:p>
        </w:tc>
        <w:tc>
          <w:tcPr>
            <w:tcW w:w="2288" w:type="dxa"/>
            <w:vAlign w:val="center"/>
          </w:tcPr>
          <w:p>
            <w:pPr>
              <w:widowControl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保费率</w:t>
            </w:r>
          </w:p>
        </w:tc>
        <w:tc>
          <w:tcPr>
            <w:tcW w:w="1276" w:type="dxa"/>
            <w:vAlign w:val="center"/>
          </w:tcPr>
          <w:p>
            <w:pPr>
              <w:widowControl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联系人</w:t>
            </w:r>
          </w:p>
        </w:tc>
        <w:tc>
          <w:tcPr>
            <w:tcW w:w="1624" w:type="dxa"/>
            <w:vAlign w:val="center"/>
          </w:tcPr>
          <w:p>
            <w:pPr>
              <w:widowControl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中国人寿财产保险股份有限公司台州中心支公司</w:t>
            </w:r>
          </w:p>
        </w:tc>
        <w:tc>
          <w:tcPr>
            <w:tcW w:w="2288"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年费率1%，最低保费500元</w:t>
            </w:r>
          </w:p>
        </w:tc>
        <w:tc>
          <w:tcPr>
            <w:tcW w:w="1276"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徐凌</w:t>
            </w:r>
          </w:p>
        </w:tc>
        <w:tc>
          <w:tcPr>
            <w:tcW w:w="1624"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永诚财产保险股份有限公司台州分公司</w:t>
            </w:r>
          </w:p>
        </w:tc>
        <w:tc>
          <w:tcPr>
            <w:tcW w:w="2288"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年费率1%，最低保费1000元</w:t>
            </w:r>
          </w:p>
        </w:tc>
        <w:tc>
          <w:tcPr>
            <w:tcW w:w="1276"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尹刚强</w:t>
            </w:r>
          </w:p>
        </w:tc>
        <w:tc>
          <w:tcPr>
            <w:tcW w:w="1624"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13750668184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华泰财产保险有限公司台州中心支公司</w:t>
            </w:r>
          </w:p>
        </w:tc>
        <w:tc>
          <w:tcPr>
            <w:tcW w:w="2288"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年费率0.5%，最低保费1000元</w:t>
            </w:r>
          </w:p>
        </w:tc>
        <w:tc>
          <w:tcPr>
            <w:tcW w:w="1276"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王灵芳</w:t>
            </w:r>
          </w:p>
        </w:tc>
        <w:tc>
          <w:tcPr>
            <w:tcW w:w="1624"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88869818 13586123199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中国大地财产保险股份有限公司台州中心支公司</w:t>
            </w:r>
          </w:p>
        </w:tc>
        <w:tc>
          <w:tcPr>
            <w:tcW w:w="2288"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年费率1.5%，最低保费1000元</w:t>
            </w:r>
          </w:p>
        </w:tc>
        <w:tc>
          <w:tcPr>
            <w:tcW w:w="1276"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徐小明</w:t>
            </w:r>
          </w:p>
        </w:tc>
        <w:tc>
          <w:tcPr>
            <w:tcW w:w="1624"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88552788      13968603112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阳光保险台州中心支公司</w:t>
            </w:r>
          </w:p>
        </w:tc>
        <w:tc>
          <w:tcPr>
            <w:tcW w:w="2288"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年费率1%，最低保费500元</w:t>
            </w:r>
          </w:p>
        </w:tc>
        <w:tc>
          <w:tcPr>
            <w:tcW w:w="1276"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林高明</w:t>
            </w:r>
          </w:p>
        </w:tc>
        <w:tc>
          <w:tcPr>
            <w:tcW w:w="1624"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中华联合财产保险股份有限公司台州中心支公司</w:t>
            </w:r>
          </w:p>
        </w:tc>
        <w:tc>
          <w:tcPr>
            <w:tcW w:w="2288"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年费率2%，最低保费500元</w:t>
            </w:r>
          </w:p>
        </w:tc>
        <w:tc>
          <w:tcPr>
            <w:tcW w:w="1276"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王仙高</w:t>
            </w:r>
          </w:p>
        </w:tc>
        <w:tc>
          <w:tcPr>
            <w:tcW w:w="1624"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13858600221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中国人民财产保险股份有限公司台州中心支公司</w:t>
            </w:r>
          </w:p>
        </w:tc>
        <w:tc>
          <w:tcPr>
            <w:tcW w:w="2288"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年费率0.3%，最低保费1000元</w:t>
            </w:r>
          </w:p>
        </w:tc>
        <w:tc>
          <w:tcPr>
            <w:tcW w:w="1276"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王仙春</w:t>
            </w:r>
          </w:p>
        </w:tc>
        <w:tc>
          <w:tcPr>
            <w:tcW w:w="1624"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13515769179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永安财产保险股份有限公司台州中心支公司</w:t>
            </w:r>
          </w:p>
        </w:tc>
        <w:tc>
          <w:tcPr>
            <w:tcW w:w="2288" w:type="dxa"/>
            <w:vAlign w:val="center"/>
          </w:tcPr>
          <w:p>
            <w:pPr>
              <w:widowControl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年费率0.3%，最低保费1000</w:t>
            </w:r>
            <w:r>
              <w:rPr>
                <w:rFonts w:hint="eastAsia" w:ascii="宋体" w:hAnsi="宋体" w:eastAsia="宋体" w:cs="宋体"/>
                <w:color w:val="auto"/>
                <w:sz w:val="24"/>
                <w:szCs w:val="24"/>
                <w:highlight w:val="none"/>
                <w:lang w:val="en-US" w:eastAsia="zh-CN"/>
              </w:rPr>
              <w:t>元</w:t>
            </w:r>
          </w:p>
        </w:tc>
        <w:tc>
          <w:tcPr>
            <w:tcW w:w="1276"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王春宇</w:t>
            </w:r>
          </w:p>
        </w:tc>
        <w:tc>
          <w:tcPr>
            <w:tcW w:w="1624"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13676675331</w:t>
            </w:r>
          </w:p>
        </w:tc>
      </w:tr>
    </w:tbl>
    <w:p>
      <w:pPr>
        <w:jc w:val="both"/>
        <w:rPr>
          <w:rFonts w:hint="eastAsia" w:ascii="宋体" w:hAnsi="宋体" w:eastAsia="宋体" w:cs="宋体"/>
          <w:b/>
          <w:bCs/>
          <w:color w:val="auto"/>
          <w:sz w:val="24"/>
          <w:szCs w:val="24"/>
          <w:highlight w:val="none"/>
        </w:rPr>
      </w:pPr>
    </w:p>
    <w:p>
      <w:pPr>
        <w:numPr>
          <w:ilvl w:val="0"/>
          <w:numId w:val="6"/>
        </w:numPr>
        <w:ind w:firstLine="240" w:firstLineChars="10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预付款保函联系方式</w:t>
      </w:r>
    </w:p>
    <w:p>
      <w:pPr>
        <w:pStyle w:val="15"/>
        <w:numPr>
          <w:ilvl w:val="0"/>
          <w:numId w:val="0"/>
        </w:numPr>
        <w:rPr>
          <w:rFonts w:hint="eastAsia"/>
        </w:rPr>
      </w:pPr>
    </w:p>
    <w:tbl>
      <w:tblPr>
        <w:tblStyle w:val="38"/>
        <w:tblW w:w="856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jc w:val="center"/>
        </w:trPr>
        <w:tc>
          <w:tcPr>
            <w:tcW w:w="3387" w:type="dxa"/>
            <w:vAlign w:val="center"/>
          </w:tcPr>
          <w:p>
            <w:pPr>
              <w:widowControl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保险公司名称</w:t>
            </w:r>
          </w:p>
        </w:tc>
        <w:tc>
          <w:tcPr>
            <w:tcW w:w="2288" w:type="dxa"/>
            <w:vAlign w:val="center"/>
          </w:tcPr>
          <w:p>
            <w:pPr>
              <w:widowControl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保费率</w:t>
            </w:r>
          </w:p>
        </w:tc>
        <w:tc>
          <w:tcPr>
            <w:tcW w:w="1287" w:type="dxa"/>
            <w:vAlign w:val="center"/>
          </w:tcPr>
          <w:p>
            <w:pPr>
              <w:widowControl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联系人</w:t>
            </w:r>
          </w:p>
        </w:tc>
        <w:tc>
          <w:tcPr>
            <w:tcW w:w="1600" w:type="dxa"/>
            <w:vAlign w:val="center"/>
          </w:tcPr>
          <w:p>
            <w:pPr>
              <w:widowControl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中国人寿财产保险股份有限公司台州中心支公司</w:t>
            </w:r>
          </w:p>
        </w:tc>
        <w:tc>
          <w:tcPr>
            <w:tcW w:w="2288" w:type="dxa"/>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年费率3%，最低保费500元</w:t>
            </w:r>
          </w:p>
        </w:tc>
        <w:tc>
          <w:tcPr>
            <w:tcW w:w="1287"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徐凌</w:t>
            </w:r>
          </w:p>
        </w:tc>
        <w:tc>
          <w:tcPr>
            <w:tcW w:w="1600"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阳光保险台州中心支公司</w:t>
            </w:r>
          </w:p>
        </w:tc>
        <w:tc>
          <w:tcPr>
            <w:tcW w:w="2288" w:type="dxa"/>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年费率1%，最低保费500元</w:t>
            </w:r>
          </w:p>
        </w:tc>
        <w:tc>
          <w:tcPr>
            <w:tcW w:w="1287"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林高明</w:t>
            </w:r>
          </w:p>
        </w:tc>
        <w:tc>
          <w:tcPr>
            <w:tcW w:w="1600"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天安财产保险股份有限公司台州中心支公司</w:t>
            </w:r>
          </w:p>
        </w:tc>
        <w:tc>
          <w:tcPr>
            <w:tcW w:w="2288" w:type="dxa"/>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年费率1%-2%，最低保费500元</w:t>
            </w:r>
          </w:p>
        </w:tc>
        <w:tc>
          <w:tcPr>
            <w:tcW w:w="1287"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罗赛</w:t>
            </w:r>
          </w:p>
        </w:tc>
        <w:tc>
          <w:tcPr>
            <w:tcW w:w="1600"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13736605643</w:t>
            </w:r>
          </w:p>
        </w:tc>
      </w:tr>
    </w:tbl>
    <w:p>
      <w:pPr>
        <w:pStyle w:val="99"/>
        <w:numPr>
          <w:ilvl w:val="0"/>
          <w:numId w:val="0"/>
        </w:numPr>
        <w:spacing w:line="360" w:lineRule="auto"/>
        <w:ind w:firstLine="240" w:firstLineChars="100"/>
        <w:rPr>
          <w:rFonts w:hint="eastAsia" w:ascii="宋体" w:hAnsi="宋体" w:eastAsia="宋体" w:cs="宋体"/>
          <w:color w:val="auto"/>
          <w:sz w:val="24"/>
          <w:szCs w:val="24"/>
          <w:highlight w:val="none"/>
          <w:lang w:val="en-US" w:eastAsia="zh-CN"/>
        </w:rPr>
      </w:pPr>
    </w:p>
    <w:p>
      <w:pPr>
        <w:pStyle w:val="99"/>
        <w:numPr>
          <w:ilvl w:val="0"/>
          <w:numId w:val="0"/>
        </w:numPr>
        <w:spacing w:line="360" w:lineRule="auto"/>
        <w:ind w:firstLine="240" w:firstLineChars="1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b/>
          <w:bCs/>
          <w:color w:val="auto"/>
          <w:sz w:val="24"/>
          <w:szCs w:val="24"/>
          <w:highlight w:val="none"/>
        </w:rPr>
        <w:t>银行（中标项目贷款咨询）</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中标供应商如有融资需求，可使用以下银行的政采贷服务。</w:t>
      </w:r>
    </w:p>
    <w:tbl>
      <w:tblPr>
        <w:tblStyle w:val="37"/>
        <w:tblW w:w="91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2"/>
        <w:gridCol w:w="4638"/>
        <w:gridCol w:w="1162"/>
        <w:gridCol w:w="1243"/>
        <w:gridCol w:w="1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银 行 名 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政采贷年利率</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联系人</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中国建设银行股份有限公司台州路桥支行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徐剑鸿</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15167671223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中国工商银行股份有限公司台州路桥支行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3.8%起</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倪  昊</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15968680259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中国农业银行股份有限公司台州路桥支行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3.85%起</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丁道兵</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13606668045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中国银行股份有限公司台州市路桥区支行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车  斌</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13750661198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台州银行股份有限公司</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7.08%</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黄红芹</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13968689000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浙江泰隆商业银行股份有限公司</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7.08%</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冯观凤</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17858683988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中国邮政储蓄银行股份有限公司台州市路桥区支行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4.35%起</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沈丹华</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13306566969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交通银行股份有限公司台州路桥支行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刘鲁浙</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15968662111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兴业银行股份有限公司台州路桥支行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4%起</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蒋  峰</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13586088395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中信银行股份有限公司台州路桥支行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4.15%起</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曹筱婕</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18105768199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浙商银行股份有限公司台州路桥小微企业专营支行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6.75%</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庄道勇</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13867611023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广发银行股份有限公司台州路桥小微企业专营支行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5.65%</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林  春</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13858687790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平安银行股份有限公司台州路桥小微企业专营支行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李俊丽</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15906861025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宁波银行股份有限公司台州路桥小微企业专营支行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李诚杰</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13395745558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浙江台州路桥富民村镇银行股份有限公司</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金根灵</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13157608788</w:t>
            </w:r>
          </w:p>
        </w:tc>
      </w:tr>
    </w:tbl>
    <w:p>
      <w:pPr>
        <w:spacing w:line="360" w:lineRule="auto"/>
        <w:jc w:val="both"/>
        <w:rPr>
          <w:rFonts w:hint="eastAsia" w:ascii="方正小标宋简体" w:hAnsi="宋体" w:eastAsia="方正小标宋简体"/>
          <w:b/>
          <w:bCs/>
          <w:color w:val="auto"/>
          <w:sz w:val="44"/>
          <w:szCs w:val="44"/>
          <w:highlight w:val="none"/>
        </w:rPr>
      </w:pPr>
    </w:p>
    <w:p>
      <w:pPr>
        <w:spacing w:line="360" w:lineRule="auto"/>
        <w:jc w:val="center"/>
        <w:rPr>
          <w:b/>
          <w:bCs/>
          <w:color w:val="auto"/>
          <w:highlight w:val="none"/>
        </w:rPr>
      </w:pPr>
      <w:r>
        <w:rPr>
          <w:rFonts w:hint="eastAsia" w:ascii="方正小标宋简体" w:hAnsi="宋体" w:eastAsia="方正小标宋简体"/>
          <w:b/>
          <w:bCs/>
          <w:color w:val="auto"/>
          <w:sz w:val="44"/>
          <w:szCs w:val="44"/>
          <w:highlight w:val="none"/>
        </w:rPr>
        <w:t>第二章  投标人须知</w:t>
      </w:r>
    </w:p>
    <w:p>
      <w:pPr>
        <w:widowControl w:val="0"/>
        <w:jc w:val="center"/>
        <w:textAlignment w:val="bottom"/>
        <w:rPr>
          <w:rFonts w:ascii="方正小标宋简体" w:hAnsi="宋体" w:eastAsia="方正小标宋简体"/>
          <w:b/>
          <w:bCs/>
          <w:color w:val="auto"/>
          <w:sz w:val="36"/>
          <w:szCs w:val="36"/>
          <w:highlight w:val="none"/>
        </w:rPr>
      </w:pPr>
      <w:r>
        <w:rPr>
          <w:rFonts w:hint="eastAsia" w:ascii="方正小标宋简体" w:hAnsi="宋体" w:eastAsia="方正小标宋简体"/>
          <w:b/>
          <w:bCs/>
          <w:color w:val="auto"/>
          <w:sz w:val="36"/>
          <w:szCs w:val="36"/>
          <w:highlight w:val="none"/>
        </w:rPr>
        <w:t>前</w:t>
      </w:r>
      <w:r>
        <w:rPr>
          <w:rFonts w:ascii="方正小标宋简体" w:hAnsi="宋体" w:eastAsia="方正小标宋简体"/>
          <w:b/>
          <w:bCs/>
          <w:color w:val="auto"/>
          <w:sz w:val="36"/>
          <w:szCs w:val="36"/>
          <w:highlight w:val="none"/>
        </w:rPr>
        <w:t xml:space="preserve">  </w:t>
      </w:r>
      <w:r>
        <w:rPr>
          <w:rFonts w:hint="eastAsia" w:ascii="方正小标宋简体" w:hAnsi="宋体" w:eastAsia="方正小标宋简体"/>
          <w:b/>
          <w:bCs/>
          <w:color w:val="auto"/>
          <w:sz w:val="36"/>
          <w:szCs w:val="36"/>
          <w:highlight w:val="none"/>
        </w:rPr>
        <w:t>附</w:t>
      </w:r>
      <w:r>
        <w:rPr>
          <w:rFonts w:ascii="方正小标宋简体" w:hAnsi="宋体" w:eastAsia="方正小标宋简体"/>
          <w:b/>
          <w:bCs/>
          <w:color w:val="auto"/>
          <w:sz w:val="36"/>
          <w:szCs w:val="36"/>
          <w:highlight w:val="none"/>
        </w:rPr>
        <w:t xml:space="preserve">  </w:t>
      </w:r>
      <w:r>
        <w:rPr>
          <w:rFonts w:hint="eastAsia" w:ascii="方正小标宋简体" w:hAnsi="宋体" w:eastAsia="方正小标宋简体"/>
          <w:b/>
          <w:bCs/>
          <w:color w:val="auto"/>
          <w:sz w:val="36"/>
          <w:szCs w:val="36"/>
          <w:highlight w:val="none"/>
        </w:rPr>
        <w:t>表</w:t>
      </w:r>
      <w:bookmarkEnd w:id="0"/>
    </w:p>
    <w:tbl>
      <w:tblPr>
        <w:tblStyle w:val="37"/>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序号</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项    目</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rPr>
            </w:pPr>
            <w:r>
              <w:rPr>
                <w:rFonts w:hint="eastAsia" w:ascii="宋体" w:hAnsi="宋体" w:cs="宋体"/>
                <w:color w:val="auto"/>
                <w:sz w:val="24"/>
                <w:highlight w:val="none"/>
              </w:rPr>
              <w:t>供应商特定资格要求</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auto"/>
              <w:rPr>
                <w:rFonts w:ascii="宋体" w:hAnsi="宋体" w:cs="宋体"/>
                <w:color w:val="auto"/>
                <w:sz w:val="24"/>
                <w:highlight w:val="none"/>
              </w:rPr>
            </w:pPr>
            <w:r>
              <w:rPr>
                <w:rFonts w:hint="eastAsia" w:ascii="宋体" w:hAnsi="宋体" w:cs="宋体"/>
                <w:color w:val="auto"/>
                <w:sz w:val="24"/>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rPr>
            </w:pPr>
            <w:r>
              <w:rPr>
                <w:rFonts w:hint="eastAsia" w:ascii="宋体" w:hAnsi="宋体" w:cs="宋体"/>
                <w:color w:val="auto"/>
                <w:sz w:val="24"/>
                <w:highlight w:val="none"/>
              </w:rPr>
              <w:t>答疑会或现场踏勘</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both"/>
              <w:textAlignment w:val="auto"/>
              <w:rPr>
                <w:rFonts w:ascii="宋体" w:hAnsi="宋体" w:cs="宋体"/>
                <w:color w:val="auto"/>
                <w:sz w:val="24"/>
                <w:highlight w:val="none"/>
              </w:rPr>
            </w:pPr>
            <w:r>
              <w:rPr>
                <w:rFonts w:hint="eastAsia" w:ascii="宋体" w:hAnsi="宋体" w:cs="Arial"/>
                <w:color w:val="auto"/>
                <w:sz w:val="24"/>
                <w:highlight w:val="none"/>
              </w:rPr>
              <w:t>本项目不组织答疑会或现场踏勘，如投标人认为有必要可自行前往现场踏勘。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rPr>
            </w:pPr>
            <w:r>
              <w:rPr>
                <w:rFonts w:hint="eastAsia" w:ascii="宋体" w:hAnsi="宋体" w:cs="宋体"/>
                <w:color w:val="auto"/>
                <w:sz w:val="24"/>
                <w:highlight w:val="none"/>
              </w:rPr>
              <w:t>3</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rPr>
            </w:pPr>
            <w:r>
              <w:rPr>
                <w:rFonts w:hint="eastAsia" w:ascii="宋体" w:hAnsi="宋体" w:cs="宋体"/>
                <w:color w:val="auto"/>
                <w:sz w:val="24"/>
                <w:highlight w:val="none"/>
              </w:rPr>
              <w:t>投标有效期</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both"/>
              <w:textAlignment w:val="auto"/>
              <w:rPr>
                <w:rFonts w:ascii="宋体" w:hAnsi="宋体" w:cs="宋体"/>
                <w:color w:val="auto"/>
                <w:sz w:val="24"/>
                <w:highlight w:val="none"/>
              </w:rPr>
            </w:pPr>
            <w:r>
              <w:rPr>
                <w:rFonts w:hint="eastAsia" w:ascii="宋体" w:hAnsi="宋体" w:cs="宋体"/>
                <w:color w:val="auto"/>
                <w:sz w:val="24"/>
                <w:highlight w:val="none"/>
              </w:rPr>
              <w:t>投标有效期为开标后90天，投标有效期从提交电子投标文件的截止之日起算。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rPr>
            </w:pPr>
            <w:r>
              <w:rPr>
                <w:rFonts w:hint="eastAsia" w:ascii="宋体" w:hAnsi="宋体" w:cs="宋体"/>
                <w:color w:val="auto"/>
                <w:sz w:val="24"/>
                <w:highlight w:val="none"/>
              </w:rPr>
              <w:t>4</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Ansi="宋体" w:cs="宋体"/>
                <w:color w:val="auto"/>
                <w:sz w:val="24"/>
                <w:highlight w:val="none"/>
              </w:rPr>
            </w:pPr>
            <w:r>
              <w:rPr>
                <w:rFonts w:hint="eastAsia" w:hAnsi="宋体" w:cs="宋体"/>
                <w:color w:val="auto"/>
                <w:kern w:val="0"/>
                <w:sz w:val="24"/>
                <w:szCs w:val="22"/>
                <w:highlight w:val="none"/>
              </w:rPr>
              <w:t>投标保证金</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kinsoku/>
              <w:wordWrap/>
              <w:overflowPunct/>
              <w:topLinePunct w:val="0"/>
              <w:autoSpaceDE/>
              <w:autoSpaceDN/>
              <w:bidi w:val="0"/>
              <w:adjustRightInd/>
              <w:snapToGrid/>
              <w:spacing w:line="380" w:lineRule="atLeast"/>
              <w:textAlignment w:val="auto"/>
              <w:rPr>
                <w:rFonts w:hint="eastAsia" w:hAnsi="宋体" w:eastAsia="宋体" w:cs="宋体"/>
                <w:color w:val="auto"/>
                <w:sz w:val="24"/>
                <w:highlight w:val="none"/>
                <w:lang w:val="en-US" w:eastAsia="zh-CN"/>
              </w:rPr>
            </w:pPr>
            <w:r>
              <w:rPr>
                <w:rFonts w:hint="eastAsia" w:hAnsi="宋体" w:cs="宋体"/>
                <w:color w:val="auto"/>
                <w:sz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rPr>
            </w:pPr>
            <w:r>
              <w:rPr>
                <w:rFonts w:hint="eastAsia" w:ascii="宋体" w:hAnsi="宋体" w:cs="宋体"/>
                <w:color w:val="auto"/>
                <w:sz w:val="24"/>
                <w:highlight w:val="none"/>
              </w:rPr>
              <w:t>5</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rPr>
            </w:pPr>
            <w:r>
              <w:rPr>
                <w:rFonts w:hint="eastAsia" w:ascii="宋体" w:hAnsi="宋体" w:eastAsia="宋体" w:cs="宋体"/>
                <w:color w:val="auto"/>
                <w:sz w:val="24"/>
                <w:highlight w:val="none"/>
              </w:rPr>
              <w:t>履约保证金</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kinsoku/>
              <w:wordWrap/>
              <w:overflowPunct/>
              <w:topLinePunct w:val="0"/>
              <w:autoSpaceDE/>
              <w:autoSpaceDN/>
              <w:bidi w:val="0"/>
              <w:adjustRightInd/>
              <w:snapToGrid/>
              <w:spacing w:line="380" w:lineRule="atLeast"/>
              <w:ind w:left="0" w:leftChars="0" w:firstLine="0" w:firstLineChars="0"/>
              <w:textAlignment w:val="auto"/>
              <w:rPr>
                <w:rFonts w:hAnsi="宋体" w:cs="宋体"/>
                <w:color w:val="auto"/>
                <w:sz w:val="24"/>
                <w:highlight w:val="none"/>
              </w:rPr>
            </w:pPr>
            <w:r>
              <w:rPr>
                <w:rFonts w:hint="eastAsia" w:hAnsi="宋体"/>
                <w:color w:val="auto"/>
                <w:sz w:val="24"/>
                <w:szCs w:val="22"/>
                <w:highlight w:val="none"/>
              </w:rPr>
              <w:t>如需合同履约保证金请合同双方在签订合同时商定，供应商应当以支票、汇票、本票或者金融机构、担保机构出具的保函</w:t>
            </w:r>
            <w:r>
              <w:rPr>
                <w:rFonts w:hint="eastAsia" w:hAnsi="宋体"/>
                <w:color w:val="auto"/>
                <w:sz w:val="24"/>
                <w:szCs w:val="22"/>
                <w:highlight w:val="none"/>
                <w:lang w:eastAsia="zh-CN"/>
              </w:rPr>
              <w:t>（保险单）</w:t>
            </w:r>
            <w:r>
              <w:rPr>
                <w:rFonts w:hint="eastAsia" w:hAnsi="宋体"/>
                <w:color w:val="auto"/>
                <w:sz w:val="24"/>
                <w:szCs w:val="22"/>
                <w:highlight w:val="none"/>
              </w:rPr>
              <w:t>等非现金形式提交，</w:t>
            </w:r>
            <w:r>
              <w:rPr>
                <w:rFonts w:hint="eastAsia" w:hAnsi="宋体" w:cs="宋体"/>
                <w:color w:val="auto"/>
                <w:sz w:val="24"/>
                <w:highlight w:val="none"/>
              </w:rPr>
              <w:t>履约保证金在合同实施期满后30天内退还（不计息）</w:t>
            </w:r>
            <w:r>
              <w:rPr>
                <w:rFonts w:hint="eastAsia" w:hAnsi="宋体"/>
                <w:color w:val="auto"/>
                <w:sz w:val="24"/>
                <w:szCs w:val="22"/>
                <w:highlight w:val="none"/>
                <w:lang w:val="zh-CN"/>
              </w:rPr>
              <w:t>。</w:t>
            </w:r>
            <w:r>
              <w:rPr>
                <w:rFonts w:hAnsi="宋体"/>
                <w:color w:val="auto"/>
                <w:sz w:val="24"/>
                <w:szCs w:val="22"/>
                <w:highlight w:val="none"/>
              </w:rPr>
              <w:t>履约保证金的数额不得超过政府采购合同金额的</w:t>
            </w:r>
            <w:r>
              <w:rPr>
                <w:rFonts w:hint="eastAsia" w:hAnsi="宋体"/>
                <w:color w:val="auto"/>
                <w:sz w:val="24"/>
                <w:szCs w:val="22"/>
                <w:highlight w:val="none"/>
                <w:lang w:val="en-US" w:eastAsia="zh-CN"/>
              </w:rPr>
              <w:t>1</w:t>
            </w:r>
            <w:r>
              <w:rPr>
                <w:rFonts w:hAnsi="宋体"/>
                <w:color w:val="auto"/>
                <w:sz w:val="24"/>
                <w:szCs w:val="22"/>
                <w:highlight w:val="none"/>
              </w:rPr>
              <w:t>%</w:t>
            </w:r>
            <w:r>
              <w:rPr>
                <w:rFonts w:hint="eastAsia" w:hAnsi="宋体"/>
                <w:color w:val="auto"/>
                <w:sz w:val="24"/>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rPr>
            </w:pPr>
            <w:r>
              <w:rPr>
                <w:rFonts w:hint="eastAsia" w:ascii="宋体" w:hAnsi="宋体" w:cs="宋体"/>
                <w:color w:val="auto"/>
                <w:sz w:val="24"/>
                <w:highlight w:val="none"/>
              </w:rPr>
              <w:t>6</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中小企业预留份额情况</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根据《政府采购促进中小企业发展管理办法》财库〔2020〕46号文件的规定，本项目</w:t>
            </w:r>
            <w:r>
              <w:rPr>
                <w:rFonts w:hint="eastAsia" w:ascii="宋体" w:hAnsi="宋体" w:cs="Times New Roman"/>
                <w:color w:val="auto"/>
                <w:kern w:val="2"/>
                <w:sz w:val="24"/>
                <w:szCs w:val="22"/>
                <w:highlight w:val="none"/>
                <w:u w:val="single"/>
                <w:lang w:val="en-US" w:eastAsia="zh-CN" w:bidi="ar-SA"/>
              </w:rPr>
              <w:t xml:space="preserve"> </w:t>
            </w:r>
            <w:r>
              <w:rPr>
                <w:rFonts w:hint="eastAsia" w:ascii="宋体" w:hAnsi="宋体" w:cs="Times New Roman"/>
                <w:b/>
                <w:bCs/>
                <w:color w:val="auto"/>
                <w:kern w:val="2"/>
                <w:sz w:val="24"/>
                <w:szCs w:val="22"/>
                <w:highlight w:val="none"/>
                <w:u w:val="single"/>
                <w:lang w:val="en-US" w:eastAsia="zh-CN" w:bidi="ar-SA"/>
              </w:rPr>
              <w:t>是</w:t>
            </w:r>
            <w:r>
              <w:rPr>
                <w:rFonts w:hint="eastAsia" w:ascii="宋体" w:hAnsi="宋体" w:cs="Times New Roman"/>
                <w:color w:val="auto"/>
                <w:kern w:val="2"/>
                <w:sz w:val="24"/>
                <w:szCs w:val="22"/>
                <w:highlight w:val="none"/>
                <w:u w:val="single"/>
                <w:lang w:val="en-US" w:eastAsia="zh-CN" w:bidi="ar-SA"/>
              </w:rPr>
              <w:t xml:space="preserve">  </w:t>
            </w:r>
            <w:r>
              <w:rPr>
                <w:rFonts w:hint="eastAsia" w:ascii="宋体" w:hAnsi="宋体" w:eastAsia="宋体" w:cs="Times New Roman"/>
                <w:color w:val="auto"/>
                <w:kern w:val="2"/>
                <w:sz w:val="24"/>
                <w:szCs w:val="22"/>
                <w:highlight w:val="none"/>
                <w:lang w:val="en-US" w:eastAsia="zh-CN" w:bidi="ar-SA"/>
              </w:rPr>
              <w:t>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left"/>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中小企业优惠措施</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pStyle w:val="95"/>
              <w:keepNext w:val="0"/>
              <w:keepLines w:val="0"/>
              <w:pageBreakBefore w:val="0"/>
              <w:widowControl/>
              <w:numPr>
                <w:ilvl w:val="0"/>
                <w:numId w:val="0"/>
              </w:numPr>
              <w:kinsoku/>
              <w:wordWrap/>
              <w:overflowPunct/>
              <w:topLinePunct w:val="0"/>
              <w:autoSpaceDE/>
              <w:autoSpaceDN/>
              <w:bidi w:val="0"/>
              <w:adjustRightInd/>
              <w:snapToGrid/>
              <w:spacing w:line="380" w:lineRule="atLeast"/>
              <w:textAlignment w:val="auto"/>
              <w:rPr>
                <w:rFonts w:hint="eastAsia" w:ascii="宋体" w:hAnsi="宋体" w:eastAsia="宋体" w:cs="Times New Roman"/>
                <w:b/>
                <w:bCs/>
                <w:color w:val="auto"/>
                <w:kern w:val="2"/>
                <w:sz w:val="24"/>
                <w:szCs w:val="22"/>
                <w:highlight w:val="none"/>
                <w:lang w:val="en-US" w:eastAsia="zh-CN" w:bidi="ar-SA"/>
              </w:rPr>
            </w:pPr>
            <w:r>
              <w:rPr>
                <w:rFonts w:hint="eastAsia" w:ascii="宋体" w:hAnsi="宋体" w:eastAsia="宋体" w:cs="Times New Roman"/>
                <w:b/>
                <w:bCs/>
                <w:color w:val="auto"/>
                <w:kern w:val="2"/>
                <w:sz w:val="24"/>
                <w:szCs w:val="22"/>
                <w:highlight w:val="none"/>
                <w:lang w:val="en-US" w:eastAsia="zh-CN" w:bidi="ar-SA"/>
              </w:rPr>
              <w:t>1、项目属性（</w:t>
            </w:r>
            <w:r>
              <w:rPr>
                <w:rFonts w:hint="eastAsia" w:ascii="宋体" w:hAnsi="宋体" w:cs="Times New Roman"/>
                <w:b/>
                <w:bCs/>
                <w:color w:val="auto"/>
                <w:kern w:val="2"/>
                <w:sz w:val="24"/>
                <w:szCs w:val="22"/>
                <w:highlight w:val="none"/>
                <w:u w:val="single"/>
                <w:lang w:val="en-US" w:eastAsia="zh-CN" w:bidi="ar-SA"/>
              </w:rPr>
              <w:t>货物</w:t>
            </w:r>
            <w:r>
              <w:rPr>
                <w:rFonts w:hint="eastAsia" w:ascii="宋体" w:hAnsi="宋体" w:eastAsia="宋体" w:cs="Times New Roman"/>
                <w:b/>
                <w:bCs/>
                <w:color w:val="auto"/>
                <w:kern w:val="2"/>
                <w:sz w:val="24"/>
                <w:szCs w:val="22"/>
                <w:highlight w:val="none"/>
                <w:u w:val="single"/>
                <w:lang w:val="en-US" w:eastAsia="zh-CN" w:bidi="ar-SA"/>
              </w:rPr>
              <w:t>类</w:t>
            </w:r>
            <w:r>
              <w:rPr>
                <w:rFonts w:hint="eastAsia" w:ascii="宋体" w:hAnsi="宋体" w:eastAsia="宋体" w:cs="Times New Roman"/>
                <w:b/>
                <w:bCs/>
                <w:color w:val="auto"/>
                <w:kern w:val="2"/>
                <w:sz w:val="24"/>
                <w:szCs w:val="22"/>
                <w:highlight w:val="none"/>
                <w:lang w:val="en-US" w:eastAsia="zh-CN" w:bidi="ar-SA"/>
              </w:rPr>
              <w:t>）</w:t>
            </w:r>
          </w:p>
          <w:p>
            <w:pPr>
              <w:pStyle w:val="95"/>
              <w:keepNext w:val="0"/>
              <w:keepLines w:val="0"/>
              <w:pageBreakBefore w:val="0"/>
              <w:widowControl/>
              <w:numPr>
                <w:ilvl w:val="0"/>
                <w:numId w:val="0"/>
              </w:numPr>
              <w:kinsoku/>
              <w:wordWrap/>
              <w:overflowPunct/>
              <w:topLinePunct w:val="0"/>
              <w:autoSpaceDE/>
              <w:autoSpaceDN/>
              <w:bidi w:val="0"/>
              <w:adjustRightInd/>
              <w:snapToGrid/>
              <w:spacing w:line="380" w:lineRule="atLeast"/>
              <w:textAlignment w:val="auto"/>
              <w:rPr>
                <w:rFonts w:hint="eastAsia" w:ascii="宋体" w:hAnsi="宋体" w:eastAsia="宋体" w:cs="Times New Roman"/>
                <w:b/>
                <w:bCs/>
                <w:color w:val="auto"/>
                <w:kern w:val="2"/>
                <w:sz w:val="24"/>
                <w:szCs w:val="22"/>
                <w:highlight w:val="none"/>
                <w:lang w:val="en-US" w:eastAsia="zh-CN" w:bidi="ar-SA"/>
              </w:rPr>
            </w:pPr>
            <w:r>
              <w:rPr>
                <w:rFonts w:hint="eastAsia" w:ascii="宋体" w:hAnsi="宋体" w:eastAsia="宋体" w:cs="Times New Roman"/>
                <w:b/>
                <w:bCs/>
                <w:color w:val="auto"/>
                <w:kern w:val="2"/>
                <w:sz w:val="24"/>
                <w:szCs w:val="22"/>
                <w:highlight w:val="none"/>
                <w:lang w:val="en-US" w:eastAsia="zh-CN" w:bidi="ar-SA"/>
              </w:rPr>
              <w:t>2、中小企业划分标准所属行业（具体根据《中小企业划型标准规定》执行）</w:t>
            </w:r>
          </w:p>
          <w:p>
            <w:pPr>
              <w:keepNext w:val="0"/>
              <w:keepLines w:val="0"/>
              <w:pageBreakBefore w:val="0"/>
              <w:widowControl/>
              <w:kinsoku/>
              <w:wordWrap/>
              <w:overflowPunct/>
              <w:topLinePunct w:val="0"/>
              <w:autoSpaceDE/>
              <w:autoSpaceDN/>
              <w:bidi w:val="0"/>
              <w:adjustRightInd/>
              <w:snapToGrid/>
              <w:spacing w:line="380" w:lineRule="atLeast"/>
              <w:textAlignment w:val="auto"/>
              <w:rPr>
                <w:rFonts w:hint="default"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b/>
                <w:bCs/>
                <w:color w:val="auto"/>
                <w:kern w:val="2"/>
                <w:sz w:val="24"/>
                <w:szCs w:val="22"/>
                <w:highlight w:val="none"/>
                <w:lang w:val="en-US" w:eastAsia="zh-CN" w:bidi="ar-SA"/>
              </w:rPr>
              <w:t>采购标的：</w:t>
            </w:r>
            <w:r>
              <w:rPr>
                <w:rFonts w:hint="eastAsia" w:ascii="宋体" w:hAnsi="宋体" w:cs="Times New Roman"/>
                <w:b/>
                <w:bCs/>
                <w:color w:val="auto"/>
                <w:kern w:val="2"/>
                <w:sz w:val="24"/>
                <w:szCs w:val="22"/>
                <w:highlight w:val="none"/>
                <w:u w:val="single"/>
                <w:lang w:val="en-US" w:eastAsia="zh-CN" w:bidi="ar-SA"/>
              </w:rPr>
              <w:t xml:space="preserve">地方教材及配套作业本 </w:t>
            </w:r>
            <w:r>
              <w:rPr>
                <w:rFonts w:hint="eastAsia" w:ascii="宋体" w:hAnsi="宋体" w:eastAsia="宋体" w:cs="Times New Roman"/>
                <w:b/>
                <w:bCs/>
                <w:color w:val="auto"/>
                <w:kern w:val="2"/>
                <w:sz w:val="24"/>
                <w:szCs w:val="22"/>
                <w:highlight w:val="none"/>
                <w:u w:val="single"/>
                <w:lang w:val="en-US" w:eastAsia="zh-CN" w:bidi="ar-SA"/>
              </w:rPr>
              <w:t>，</w:t>
            </w:r>
            <w:r>
              <w:rPr>
                <w:rFonts w:hint="eastAsia" w:ascii="宋体" w:hAnsi="宋体" w:eastAsia="宋体" w:cs="Times New Roman"/>
                <w:b/>
                <w:bCs/>
                <w:color w:val="auto"/>
                <w:kern w:val="2"/>
                <w:sz w:val="24"/>
                <w:szCs w:val="22"/>
                <w:highlight w:val="none"/>
                <w:lang w:val="en-US" w:eastAsia="zh-CN" w:bidi="ar-SA"/>
              </w:rPr>
              <w:t>所属行业：</w:t>
            </w:r>
            <w:r>
              <w:rPr>
                <w:rFonts w:hint="eastAsia" w:ascii="宋体" w:hAnsi="宋体" w:eastAsia="宋体" w:cs="Times New Roman"/>
                <w:b/>
                <w:bCs/>
                <w:color w:val="auto"/>
                <w:kern w:val="2"/>
                <w:sz w:val="24"/>
                <w:szCs w:val="22"/>
                <w:highlight w:val="none"/>
                <w:u w:val="single"/>
                <w:lang w:val="en-US" w:eastAsia="zh-CN" w:bidi="ar-SA"/>
              </w:rPr>
              <w:t>其他未列明行业</w:t>
            </w:r>
            <w:r>
              <w:rPr>
                <w:rFonts w:hint="eastAsia" w:ascii="宋体" w:hAnsi="宋体" w:cs="Times New Roman"/>
                <w:b/>
                <w:bCs/>
                <w:color w:val="auto"/>
                <w:kern w:val="2"/>
                <w:sz w:val="24"/>
                <w:szCs w:val="22"/>
                <w:highlight w:val="none"/>
                <w:u w:val="single"/>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line="380" w:lineRule="atLeast"/>
              <w:jc w:val="left"/>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3.根据财库〔2020〕46号</w:t>
            </w:r>
            <w:r>
              <w:rPr>
                <w:rFonts w:hint="eastAsia" w:ascii="宋体" w:hAnsi="宋体" w:cs="Times New Roman"/>
                <w:color w:val="auto"/>
                <w:kern w:val="2"/>
                <w:sz w:val="24"/>
                <w:szCs w:val="22"/>
                <w:highlight w:val="none"/>
                <w:lang w:val="en-US" w:eastAsia="zh-CN" w:bidi="ar-SA"/>
              </w:rPr>
              <w:t>、</w:t>
            </w:r>
            <w:r>
              <w:rPr>
                <w:rFonts w:hint="eastAsia" w:ascii="宋体"/>
                <w:color w:val="auto"/>
                <w:sz w:val="24"/>
                <w:highlight w:val="none"/>
                <w:lang w:val="zh-CN" w:eastAsia="zh-CN"/>
              </w:rPr>
              <w:t>浙财采监</w:t>
            </w:r>
            <w:r>
              <w:rPr>
                <w:rFonts w:hint="eastAsia" w:ascii="宋体"/>
                <w:color w:val="auto"/>
                <w:sz w:val="24"/>
                <w:highlight w:val="none"/>
                <w:lang w:val="zh-CN"/>
              </w:rPr>
              <w:t>〔2023〕</w:t>
            </w:r>
            <w:r>
              <w:rPr>
                <w:rFonts w:hint="eastAsia" w:ascii="宋体"/>
                <w:color w:val="auto"/>
                <w:sz w:val="24"/>
                <w:highlight w:val="none"/>
                <w:lang w:val="en-US" w:eastAsia="zh-CN"/>
              </w:rPr>
              <w:t>8</w:t>
            </w:r>
            <w:r>
              <w:rPr>
                <w:rFonts w:hint="eastAsia" w:ascii="宋体"/>
                <w:color w:val="auto"/>
                <w:sz w:val="24"/>
                <w:highlight w:val="none"/>
                <w:lang w:val="zh-CN"/>
              </w:rPr>
              <w:t>号</w:t>
            </w:r>
            <w:r>
              <w:rPr>
                <w:rFonts w:hint="eastAsia" w:ascii="宋体" w:hAnsi="宋体" w:eastAsia="宋体" w:cs="Times New Roman"/>
                <w:color w:val="auto"/>
                <w:kern w:val="2"/>
                <w:sz w:val="24"/>
                <w:szCs w:val="22"/>
                <w:highlight w:val="none"/>
                <w:lang w:val="en-US" w:eastAsia="zh-CN" w:bidi="ar-SA"/>
              </w:rPr>
              <w:t>的相关规定，在评审时对符合本办法规定的小微企业报价给予</w:t>
            </w:r>
            <w:r>
              <w:rPr>
                <w:rFonts w:hint="eastAsia" w:ascii="宋体" w:hAnsi="宋体" w:cs="Times New Roman"/>
                <w:color w:val="auto"/>
                <w:kern w:val="2"/>
                <w:sz w:val="24"/>
                <w:szCs w:val="22"/>
                <w:highlight w:val="none"/>
                <w:u w:val="single"/>
                <w:lang w:val="en-US" w:eastAsia="zh-CN" w:bidi="ar-SA"/>
              </w:rPr>
              <w:t xml:space="preserve"> </w:t>
            </w:r>
            <w:r>
              <w:rPr>
                <w:rFonts w:hint="eastAsia" w:ascii="宋体" w:hAnsi="宋体" w:eastAsia="宋体" w:cs="Times New Roman"/>
                <w:color w:val="auto"/>
                <w:kern w:val="2"/>
                <w:sz w:val="24"/>
                <w:szCs w:val="22"/>
                <w:highlight w:val="none"/>
                <w:u w:val="single"/>
                <w:lang w:val="en-US" w:eastAsia="zh-CN" w:bidi="ar-SA"/>
              </w:rPr>
              <w:t>20%</w:t>
            </w:r>
            <w:r>
              <w:rPr>
                <w:rFonts w:hint="eastAsia" w:ascii="宋体" w:hAnsi="宋体" w:cs="Times New Roman"/>
                <w:color w:val="auto"/>
                <w:kern w:val="2"/>
                <w:sz w:val="24"/>
                <w:szCs w:val="22"/>
                <w:highlight w:val="none"/>
                <w:u w:val="single"/>
                <w:lang w:val="en-US" w:eastAsia="zh-CN" w:bidi="ar-SA"/>
              </w:rPr>
              <w:t xml:space="preserve"> </w:t>
            </w:r>
            <w:r>
              <w:rPr>
                <w:rFonts w:hint="eastAsia" w:ascii="宋体" w:hAnsi="宋体" w:eastAsia="宋体" w:cs="Times New Roman"/>
                <w:color w:val="auto"/>
                <w:kern w:val="2"/>
                <w:sz w:val="24"/>
                <w:szCs w:val="22"/>
                <w:highlight w:val="none"/>
                <w:u w:val="single"/>
                <w:lang w:val="en-US" w:eastAsia="zh-CN" w:bidi="ar-SA"/>
              </w:rPr>
              <w:t xml:space="preserve"> </w:t>
            </w:r>
            <w:r>
              <w:rPr>
                <w:rFonts w:hint="eastAsia" w:ascii="宋体" w:hAnsi="宋体" w:eastAsia="宋体" w:cs="Times New Roman"/>
                <w:color w:val="auto"/>
                <w:kern w:val="2"/>
                <w:sz w:val="24"/>
                <w:szCs w:val="22"/>
                <w:highlight w:val="none"/>
                <w:lang w:val="en-US" w:eastAsia="zh-CN" w:bidi="ar-SA"/>
              </w:rPr>
              <w:t xml:space="preserve"> 的扣除，取扣除后的价格作为最终投标报价（此最终投标报价仅作为价格分计算）。中小企业参加政府采购活动，应当出具本办法规定的《中小企业声明函》，否则不得享受相关中小企业扶持政策。</w:t>
            </w:r>
          </w:p>
          <w:p>
            <w:pPr>
              <w:keepNext w:val="0"/>
              <w:keepLines w:val="0"/>
              <w:pageBreakBefore w:val="0"/>
              <w:widowControl/>
              <w:kinsoku/>
              <w:wordWrap/>
              <w:overflowPunct/>
              <w:topLinePunct w:val="0"/>
              <w:autoSpaceDE/>
              <w:autoSpaceDN/>
              <w:bidi w:val="0"/>
              <w:adjustRightInd/>
              <w:snapToGrid/>
              <w:spacing w:line="380" w:lineRule="atLeast"/>
              <w:jc w:val="left"/>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eastAsia="宋体" w:cs="Times New Roman"/>
                <w:color w:val="auto"/>
                <w:kern w:val="2"/>
                <w:sz w:val="24"/>
                <w:szCs w:val="22"/>
                <w:highlight w:val="none"/>
                <w:u w:val="single"/>
                <w:lang w:val="en-US" w:eastAsia="zh-CN" w:bidi="ar-SA"/>
              </w:rPr>
              <w:t xml:space="preserve">  6%  </w:t>
            </w:r>
            <w:r>
              <w:rPr>
                <w:rFonts w:hint="eastAsia" w:ascii="宋体" w:hAnsi="宋体" w:eastAsia="宋体" w:cs="Times New Roman"/>
                <w:color w:val="auto"/>
                <w:kern w:val="2"/>
                <w:sz w:val="24"/>
                <w:szCs w:val="22"/>
                <w:highlight w:val="none"/>
                <w:lang w:val="en-US" w:eastAsia="zh-CN" w:bidi="ar-SA"/>
              </w:rPr>
              <w:t>（工程项目为（2%））的扣除，用扣除后的价格参加评审。</w:t>
            </w:r>
          </w:p>
          <w:p>
            <w:pPr>
              <w:keepNext w:val="0"/>
              <w:keepLines w:val="0"/>
              <w:pageBreakBefore w:val="0"/>
              <w:widowControl/>
              <w:kinsoku/>
              <w:wordWrap/>
              <w:overflowPunct/>
              <w:topLinePunct w:val="0"/>
              <w:autoSpaceDE/>
              <w:autoSpaceDN/>
              <w:bidi w:val="0"/>
              <w:adjustRightInd/>
              <w:snapToGrid/>
              <w:spacing w:line="380" w:lineRule="atLeast"/>
              <w:jc w:val="left"/>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组成联合体或者接受分包 的小微企业与联合体内其他企业、分包企业之间存在直接控 股、管理关系的，不享受价格扣除优惠政策。</w:t>
            </w:r>
          </w:p>
          <w:p>
            <w:pPr>
              <w:keepNext w:val="0"/>
              <w:keepLines w:val="0"/>
              <w:pageBreakBefore w:val="0"/>
              <w:widowControl/>
              <w:kinsoku/>
              <w:wordWrap/>
              <w:overflowPunct/>
              <w:topLinePunct w:val="0"/>
              <w:autoSpaceDE/>
              <w:autoSpaceDN/>
              <w:bidi w:val="0"/>
              <w:adjustRightInd/>
              <w:snapToGrid/>
              <w:spacing w:line="380" w:lineRule="atLeast"/>
              <w:jc w:val="left"/>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keepNext w:val="0"/>
              <w:keepLines w:val="0"/>
              <w:pageBreakBefore w:val="0"/>
              <w:widowControl/>
              <w:kinsoku/>
              <w:wordWrap/>
              <w:overflowPunct/>
              <w:topLinePunct w:val="0"/>
              <w:autoSpaceDE/>
              <w:autoSpaceDN/>
              <w:bidi w:val="0"/>
              <w:adjustRightInd/>
              <w:snapToGrid/>
              <w:spacing w:line="380" w:lineRule="atLeast"/>
              <w:jc w:val="left"/>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keepNext w:val="0"/>
              <w:keepLines w:val="0"/>
              <w:pageBreakBefore w:val="0"/>
              <w:widowControl/>
              <w:kinsoku/>
              <w:wordWrap/>
              <w:overflowPunct/>
              <w:topLinePunct w:val="0"/>
              <w:autoSpaceDE/>
              <w:autoSpaceDN/>
              <w:bidi w:val="0"/>
              <w:adjustRightInd/>
              <w:snapToGrid/>
              <w:spacing w:line="380" w:lineRule="atLeast"/>
              <w:jc w:val="left"/>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5"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Times New Roman"/>
                <w:color w:val="auto"/>
                <w:kern w:val="2"/>
                <w:sz w:val="24"/>
                <w:szCs w:val="22"/>
                <w:highlight w:val="none"/>
                <w:lang w:val="en-US" w:eastAsia="zh-CN" w:bidi="ar-SA"/>
              </w:rPr>
            </w:pPr>
            <w:r>
              <w:rPr>
                <w:rFonts w:hint="eastAsia" w:ascii="宋体" w:hAnsi="宋体" w:cs="宋体"/>
                <w:sz w:val="24"/>
                <w:szCs w:val="24"/>
                <w:highlight w:val="none"/>
              </w:rPr>
              <w:t>政府采购节能环保产品</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kinsoku/>
              <w:wordWrap/>
              <w:overflowPunct/>
              <w:topLinePunct w:val="0"/>
              <w:autoSpaceDE/>
              <w:autoSpaceDN/>
              <w:bidi w:val="0"/>
              <w:adjustRightInd/>
              <w:snapToGrid w:val="0"/>
              <w:spacing w:line="340" w:lineRule="exact"/>
              <w:textAlignment w:val="auto"/>
              <w:rPr>
                <w:rFonts w:hint="eastAsia" w:hAnsi="宋体" w:cs="宋体"/>
                <w:bCs/>
                <w:color w:val="auto"/>
                <w:sz w:val="24"/>
                <w:highlight w:val="none"/>
              </w:rPr>
            </w:pPr>
            <w:r>
              <w:rPr>
                <w:rFonts w:hint="eastAsia" w:hAnsi="宋体" w:cs="宋体"/>
                <w:bCs/>
                <w:color w:val="auto"/>
                <w:sz w:val="24"/>
                <w:highlight w:val="none"/>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pStyle w:val="19"/>
              <w:keepNext w:val="0"/>
              <w:keepLines w:val="0"/>
              <w:pageBreakBefore w:val="0"/>
              <w:kinsoku/>
              <w:wordWrap/>
              <w:overflowPunct/>
              <w:topLinePunct w:val="0"/>
              <w:autoSpaceDE/>
              <w:autoSpaceDN/>
              <w:bidi w:val="0"/>
              <w:adjustRightInd/>
              <w:snapToGrid w:val="0"/>
              <w:spacing w:line="340" w:lineRule="exact"/>
              <w:textAlignment w:val="auto"/>
              <w:rPr>
                <w:rFonts w:hint="eastAsia" w:ascii="宋体" w:hAnsi="宋体" w:eastAsia="宋体" w:cs="Times New Roman"/>
                <w:color w:val="auto"/>
                <w:kern w:val="2"/>
                <w:sz w:val="24"/>
                <w:szCs w:val="22"/>
                <w:highlight w:val="none"/>
                <w:lang w:val="en-US" w:eastAsia="zh-CN" w:bidi="ar-SA"/>
              </w:rPr>
            </w:pPr>
            <w:r>
              <w:rPr>
                <w:rFonts w:hint="eastAsia" w:hAnsi="宋体" w:cs="宋体"/>
                <w:bCs/>
                <w:color w:val="auto"/>
                <w:sz w:val="24"/>
                <w:highlight w:val="none"/>
              </w:rPr>
              <w:t>产品属于政府强制采购节能品目的（详见《关于印发节能产品政府采购品目清单的通知》财库〔2019〕19号），投标人须按上款要求提供节能产品认证证书或规定网站证书查询截图。产品属于政府强制采购节能产品品目的，投标人未提供节能产品的，其投标将作无效标处理；本文件“第四章</w:t>
            </w:r>
            <w:r>
              <w:rPr>
                <w:rFonts w:hint="eastAsia" w:hAnsi="宋体" w:cs="宋体"/>
                <w:bCs/>
                <w:color w:val="auto"/>
                <w:sz w:val="24"/>
                <w:highlight w:val="none"/>
                <w:lang w:eastAsia="zh-CN"/>
              </w:rPr>
              <w:t>公开</w:t>
            </w:r>
            <w:r>
              <w:rPr>
                <w:rFonts w:hint="eastAsia" w:hAnsi="宋体" w:cs="宋体"/>
                <w:bCs/>
                <w:color w:val="auto"/>
                <w:sz w:val="24"/>
                <w:highlight w:val="none"/>
              </w:rPr>
              <w:t>招标需求”另有规定的除外。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5"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rPr>
            </w:pPr>
            <w:r>
              <w:rPr>
                <w:rFonts w:hint="eastAsia" w:ascii="宋体" w:hAnsi="宋体" w:cs="宋体"/>
                <w:color w:val="auto"/>
                <w:sz w:val="24"/>
                <w:highlight w:val="none"/>
              </w:rPr>
              <w:t>投标注意事项</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kinsoku/>
              <w:wordWrap/>
              <w:overflowPunct/>
              <w:topLinePunct w:val="0"/>
              <w:autoSpaceDE/>
              <w:autoSpaceDN/>
              <w:bidi w:val="0"/>
              <w:adjustRightInd/>
              <w:snapToGrid/>
              <w:spacing w:line="380" w:lineRule="atLeast"/>
              <w:ind w:left="0" w:leftChars="0" w:firstLine="0" w:firstLineChars="0"/>
              <w:textAlignment w:val="auto"/>
              <w:rPr>
                <w:sz w:val="24"/>
                <w:szCs w:val="22"/>
              </w:rPr>
            </w:pPr>
            <w:r>
              <w:rPr>
                <w:rFonts w:hint="eastAsia"/>
                <w:sz w:val="24"/>
                <w:szCs w:val="22"/>
              </w:rPr>
              <w:t>1、本项目实行电子开评标。若供应商参与投标，自行承担投标一切费用。</w:t>
            </w:r>
          </w:p>
          <w:p>
            <w:pPr>
              <w:pStyle w:val="19"/>
              <w:keepNext w:val="0"/>
              <w:keepLines w:val="0"/>
              <w:pageBreakBefore w:val="0"/>
              <w:widowControl/>
              <w:kinsoku/>
              <w:wordWrap/>
              <w:overflowPunct/>
              <w:topLinePunct w:val="0"/>
              <w:autoSpaceDE/>
              <w:autoSpaceDN/>
              <w:bidi w:val="0"/>
              <w:adjustRightInd/>
              <w:snapToGrid/>
              <w:spacing w:line="380" w:lineRule="atLeast"/>
              <w:ind w:left="0" w:leftChars="0" w:firstLine="0" w:firstLineChars="0"/>
              <w:textAlignment w:val="auto"/>
              <w:rPr>
                <w:sz w:val="24"/>
                <w:szCs w:val="22"/>
              </w:rPr>
            </w:pPr>
            <w:r>
              <w:rPr>
                <w:rFonts w:hint="eastAsia"/>
                <w:sz w:val="24"/>
                <w:szCs w:val="22"/>
              </w:rPr>
              <w:t>2、标前准备：各供应商在开标前确保成为浙江省政府采购网正式注册供应商，并完成CA数字证书办理。（办理流程详见本招标公告附件：“政采云CA</w:t>
            </w:r>
            <w:r>
              <w:rPr>
                <w:rFonts w:hint="eastAsia"/>
                <w:sz w:val="24"/>
                <w:szCs w:val="22"/>
                <w:lang w:eastAsia="zh-CN"/>
              </w:rPr>
              <w:t>签章</w:t>
            </w:r>
            <w:r>
              <w:rPr>
                <w:rFonts w:hint="eastAsia"/>
                <w:sz w:val="24"/>
                <w:szCs w:val="22"/>
              </w:rPr>
              <w:t>申领操作流程.pdf”）。完成CA数字证书办理预计一周左右，请各投标人自行把握时间，因未注册入库、未办理CA数字证书等原因造成无法投标或投标失败等后果由供应商自行承担。</w:t>
            </w:r>
          </w:p>
          <w:p>
            <w:pPr>
              <w:pStyle w:val="19"/>
              <w:keepNext w:val="0"/>
              <w:keepLines w:val="0"/>
              <w:pageBreakBefore w:val="0"/>
              <w:widowControl/>
              <w:kinsoku/>
              <w:wordWrap/>
              <w:overflowPunct/>
              <w:topLinePunct w:val="0"/>
              <w:autoSpaceDE/>
              <w:autoSpaceDN/>
              <w:bidi w:val="0"/>
              <w:adjustRightInd/>
              <w:snapToGrid/>
              <w:spacing w:line="380" w:lineRule="atLeast"/>
              <w:ind w:left="0" w:leftChars="0" w:firstLine="0" w:firstLineChars="0"/>
              <w:textAlignment w:val="auto"/>
              <w:rPr>
                <w:rFonts w:hint="eastAsia" w:ascii="宋体" w:eastAsia="宋体" w:cs="Times New Roman"/>
                <w:b/>
                <w:bCs/>
                <w:sz w:val="24"/>
                <w:szCs w:val="22"/>
                <w:lang w:val="en-US" w:eastAsia="zh-CN"/>
              </w:rPr>
            </w:pPr>
            <w:r>
              <w:rPr>
                <w:rFonts w:hint="eastAsia" w:ascii="宋体" w:eastAsia="宋体" w:cs="Times New Roman"/>
                <w:b/>
                <w:bCs/>
                <w:sz w:val="24"/>
                <w:szCs w:val="22"/>
                <w:lang w:val="en-US" w:eastAsia="zh-CN"/>
              </w:rPr>
              <w:t>3、投标人在投标过程中遇到涉及平台使用的任何问题，可咨询政采云平台技术支持热线，联系方式：</w:t>
            </w:r>
            <w:r>
              <w:rPr>
                <w:rFonts w:hint="eastAsia" w:cs="Times New Roman"/>
                <w:b/>
                <w:bCs/>
                <w:sz w:val="24"/>
                <w:szCs w:val="22"/>
                <w:lang w:val="en-US" w:eastAsia="zh-CN"/>
              </w:rPr>
              <w:t>95763</w:t>
            </w:r>
            <w:r>
              <w:rPr>
                <w:rFonts w:hint="eastAsia" w:ascii="宋体" w:eastAsia="宋体" w:cs="Times New Roman"/>
                <w:b/>
                <w:bCs/>
                <w:sz w:val="24"/>
                <w:szCs w:val="22"/>
                <w:lang w:val="en-US" w:eastAsia="zh-CN"/>
              </w:rPr>
              <w:t>。</w:t>
            </w:r>
          </w:p>
          <w:p>
            <w:pPr>
              <w:pStyle w:val="19"/>
              <w:keepNext w:val="0"/>
              <w:keepLines w:val="0"/>
              <w:pageBreakBefore w:val="0"/>
              <w:widowControl/>
              <w:kinsoku/>
              <w:wordWrap/>
              <w:overflowPunct/>
              <w:topLinePunct w:val="0"/>
              <w:autoSpaceDE/>
              <w:autoSpaceDN/>
              <w:bidi w:val="0"/>
              <w:adjustRightInd/>
              <w:snapToGrid/>
              <w:spacing w:line="380" w:lineRule="atLeast"/>
              <w:ind w:left="0" w:leftChars="0" w:firstLine="0" w:firstLineChars="0"/>
              <w:textAlignment w:val="auto"/>
              <w:rPr>
                <w:rFonts w:hint="eastAsia" w:eastAsia="宋体"/>
                <w:lang w:val="en-US" w:eastAsia="zh-CN"/>
              </w:rPr>
            </w:pPr>
            <w:r>
              <w:rPr>
                <w:rFonts w:hint="eastAsia" w:ascii="宋体" w:eastAsia="宋体" w:cs="Times New Roman"/>
                <w:sz w:val="24"/>
                <w:szCs w:val="22"/>
                <w:lang w:val="en-US" w:eastAsia="zh-CN"/>
              </w:rPr>
              <w:t>4、投标人通过“政采云”平台电子投标工具制作电子投标文件，电子投标工具请供应商自行前往浙江省政府采购网下载并安装，电子投标文件制作具体流程详见本招标公告附件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line="420" w:lineRule="atLeast"/>
              <w:ind w:firstLine="0"/>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不见面开标</w:t>
            </w:r>
          </w:p>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rPr>
            </w:pPr>
          </w:p>
        </w:tc>
        <w:tc>
          <w:tcPr>
            <w:tcW w:w="6526" w:type="dxa"/>
            <w:tcBorders>
              <w:top w:val="single" w:color="auto" w:sz="4" w:space="0"/>
              <w:left w:val="single" w:color="auto" w:sz="4" w:space="0"/>
              <w:bottom w:val="single" w:color="auto" w:sz="4" w:space="0"/>
              <w:right w:val="single" w:color="auto" w:sz="4" w:space="0"/>
            </w:tcBorders>
            <w:noWrap w:val="0"/>
            <w:vAlign w:val="center"/>
          </w:tcPr>
          <w:p>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380" w:lineRule="atLeast"/>
              <w:textAlignment w:val="auto"/>
              <w:rPr>
                <w:rFonts w:cs="宋体"/>
                <w:bCs/>
                <w:color w:val="auto"/>
                <w:highlight w:val="none"/>
              </w:rPr>
            </w:pPr>
            <w:r>
              <w:rPr>
                <w:rFonts w:hint="eastAsia" w:cs="宋体"/>
                <w:color w:val="auto"/>
                <w:szCs w:val="24"/>
                <w:highlight w:val="none"/>
              </w:rPr>
              <w:t>本项目开评标环节实行全流程电子化，采购组织机构按照采购文件规定的时间通过电子交易平台组织开标、开启响应文件，所有投标人均应当准时在线参加。如未参加，</w:t>
            </w:r>
            <w:r>
              <w:rPr>
                <w:rFonts w:hint="eastAsia" w:cs="宋体"/>
                <w:bCs/>
                <w:color w:val="auto"/>
                <w:highlight w:val="none"/>
              </w:rPr>
              <w:t>造成开评标过程中评委询标失败、电子</w:t>
            </w:r>
            <w:r>
              <w:rPr>
                <w:rFonts w:hint="eastAsia" w:cs="宋体"/>
                <w:bCs/>
                <w:color w:val="auto"/>
                <w:highlight w:val="none"/>
                <w:lang w:eastAsia="zh-CN"/>
              </w:rPr>
              <w:t>签章</w:t>
            </w:r>
            <w:r>
              <w:rPr>
                <w:rFonts w:hint="eastAsia" w:cs="宋体"/>
                <w:bCs/>
                <w:color w:val="auto"/>
                <w:highlight w:val="none"/>
              </w:rPr>
              <w:t>失败或投标失败等后果由投标人自行承担。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kinsoku/>
              <w:wordWrap/>
              <w:overflowPunct/>
              <w:topLinePunct w:val="0"/>
              <w:autoSpaceDE/>
              <w:autoSpaceDN/>
              <w:bidi w:val="0"/>
              <w:adjustRightInd/>
              <w:snapToGrid/>
              <w:spacing w:line="420" w:lineRule="atLeast"/>
              <w:textAlignment w:val="auto"/>
              <w:rPr>
                <w:rFonts w:hAnsi="宋体" w:cs="宋体"/>
                <w:color w:val="auto"/>
                <w:kern w:val="0"/>
                <w:sz w:val="24"/>
                <w:szCs w:val="22"/>
                <w:highlight w:val="none"/>
              </w:rPr>
            </w:pPr>
            <w:r>
              <w:rPr>
                <w:rFonts w:hint="eastAsia" w:ascii="宋体" w:hAnsi="宋体" w:eastAsia="宋体" w:cs="宋体"/>
                <w:sz w:val="24"/>
              </w:rPr>
              <w:t>电子投标要求</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投标人须按照采购文件和电子交易平台的要求编制并加密电子投标文件。</w:t>
            </w:r>
          </w:p>
          <w:p>
            <w:pPr>
              <w:pStyle w:val="7"/>
              <w:keepNext w:val="0"/>
              <w:keepLines w:val="0"/>
              <w:pageBreakBefore w:val="0"/>
              <w:widowControl/>
              <w:kinsoku/>
              <w:wordWrap/>
              <w:overflowPunct/>
              <w:topLinePunct w:val="0"/>
              <w:autoSpaceDE/>
              <w:autoSpaceDN/>
              <w:bidi w:val="0"/>
              <w:adjustRightInd/>
              <w:snapToGrid/>
              <w:spacing w:line="380" w:lineRule="atLeast"/>
              <w:ind w:left="0" w:leftChars="0" w:firstLine="0" w:firstLineChars="0"/>
              <w:textAlignment w:val="auto"/>
              <w:rPr>
                <w:rFonts w:ascii="宋体" w:hAnsi="宋体" w:cs="宋体"/>
                <w:b/>
                <w:bCs/>
                <w:color w:val="auto"/>
                <w:sz w:val="24"/>
                <w:szCs w:val="22"/>
                <w:highlight w:val="none"/>
              </w:rPr>
            </w:pPr>
            <w:r>
              <w:rPr>
                <w:rFonts w:hint="eastAsia" w:ascii="宋体" w:hAnsi="宋体" w:eastAsia="宋体" w:cs="宋体"/>
                <w:color w:val="auto"/>
                <w:sz w:val="24"/>
                <w:szCs w:val="24"/>
                <w:highlight w:val="none"/>
                <w:lang w:val="en-US" w:eastAsia="zh-CN" w:bidi="ar-SA"/>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逾期上传的电子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eastAsia" w:ascii="宋体" w:hAnsi="宋体" w:eastAsia="宋体" w:cs="宋体"/>
                <w:sz w:val="24"/>
              </w:rPr>
            </w:pPr>
            <w:r>
              <w:rPr>
                <w:rFonts w:hint="eastAsia" w:ascii="宋体" w:hAnsi="宋体" w:cs="宋体"/>
                <w:color w:val="auto"/>
                <w:sz w:val="24"/>
                <w:highlight w:val="none"/>
              </w:rPr>
              <w:t>投标文件的解密</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auto"/>
              <w:rPr>
                <w:rFonts w:hint="eastAsia" w:ascii="宋体" w:hAnsi="宋体" w:eastAsia="宋体" w:cs="宋体"/>
                <w:sz w:val="24"/>
                <w:highlight w:val="yellow"/>
              </w:rPr>
            </w:pPr>
            <w:r>
              <w:rPr>
                <w:rFonts w:hint="eastAsia" w:ascii="宋体" w:hAnsi="宋体" w:eastAsia="宋体" w:cs="宋体"/>
                <w:sz w:val="24"/>
                <w:highlight w:val="none"/>
              </w:rPr>
              <w:t>电子</w:t>
            </w:r>
            <w:r>
              <w:rPr>
                <w:rFonts w:hint="eastAsia" w:ascii="宋体" w:hAnsi="宋体" w:eastAsia="宋体" w:cs="宋体"/>
                <w:sz w:val="24"/>
              </w:rPr>
              <w:t>投标文件在线解密时间：</w:t>
            </w:r>
            <w:r>
              <w:rPr>
                <w:rFonts w:hint="eastAsia" w:ascii="宋体" w:hAnsi="宋体" w:eastAsia="宋体" w:cs="宋体"/>
                <w:sz w:val="24"/>
                <w:highlight w:val="none"/>
                <w:lang w:eastAsia="zh-CN"/>
              </w:rPr>
              <w:t>开标当天</w:t>
            </w:r>
            <w:r>
              <w:rPr>
                <w:rFonts w:hint="eastAsia" w:ascii="宋体" w:hAnsi="宋体" w:eastAsia="宋体" w:cs="宋体"/>
                <w:sz w:val="24"/>
                <w:highlight w:val="none"/>
              </w:rPr>
              <w:t>9：00-9：30</w:t>
            </w:r>
          </w:p>
          <w:p>
            <w:pPr>
              <w:keepNext w:val="0"/>
              <w:keepLines w:val="0"/>
              <w:pageBreakBefore w:val="0"/>
              <w:widowControl/>
              <w:kinsoku/>
              <w:wordWrap/>
              <w:overflowPunct/>
              <w:topLinePunct w:val="0"/>
              <w:autoSpaceDE/>
              <w:autoSpaceDN/>
              <w:bidi w:val="0"/>
              <w:adjustRightInd/>
              <w:snapToGrid/>
              <w:spacing w:line="380" w:lineRule="atLeast"/>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sz w:val="24"/>
              </w:rPr>
              <w:t>投标</w:t>
            </w:r>
            <w:r>
              <w:rPr>
                <w:rFonts w:hint="eastAsia" w:ascii="宋体" w:hAnsi="宋体" w:cs="宋体"/>
                <w:sz w:val="24"/>
                <w:highlight w:val="none"/>
              </w:rPr>
              <w:t>人应当按</w:t>
            </w:r>
            <w:r>
              <w:rPr>
                <w:rFonts w:hint="eastAsia" w:ascii="宋体" w:hAnsi="宋体" w:cs="宋体"/>
                <w:sz w:val="24"/>
              </w:rPr>
              <w:t>规定及时解密，若因技术原因导致电子投标文件未能及时解密的，应</w:t>
            </w:r>
            <w:r>
              <w:rPr>
                <w:rFonts w:hint="eastAsia" w:ascii="宋体" w:hAnsi="宋体" w:cs="宋体"/>
                <w:sz w:val="24"/>
                <w:lang w:eastAsia="zh-CN"/>
              </w:rPr>
              <w:t>及时</w:t>
            </w:r>
            <w:r>
              <w:rPr>
                <w:rFonts w:hint="eastAsia" w:ascii="宋体" w:hAnsi="宋体" w:cs="宋体"/>
                <w:sz w:val="24"/>
              </w:rPr>
              <w:t>联系</w:t>
            </w:r>
            <w:r>
              <w:rPr>
                <w:rFonts w:hint="eastAsia" w:ascii="宋体" w:hAnsi="宋体" w:cs="宋体"/>
                <w:b w:val="0"/>
                <w:bCs/>
                <w:color w:val="auto"/>
                <w:sz w:val="24"/>
                <w:highlight w:val="none"/>
              </w:rPr>
              <w:t>咨询政采云平台技术支持热线</w:t>
            </w:r>
            <w:r>
              <w:rPr>
                <w:rFonts w:hint="eastAsia" w:ascii="宋体" w:hAnsi="宋体" w:cs="宋体"/>
                <w:sz w:val="24"/>
              </w:rPr>
              <w:t>协助其完成解密</w:t>
            </w:r>
            <w:r>
              <w:rPr>
                <w:rFonts w:hint="eastAsia" w:ascii="宋体" w:hAnsi="宋体" w:cs="宋体"/>
                <w:sz w:val="24"/>
                <w:lang w:eastAsia="zh-CN"/>
              </w:rPr>
              <w:t>。</w:t>
            </w:r>
            <w:r>
              <w:rPr>
                <w:rFonts w:hint="eastAsia" w:ascii="宋体" w:hAnsi="宋体" w:cs="宋体"/>
                <w:sz w:val="24"/>
              </w:rPr>
              <w:t>仍无法完成解密的，应按规定及时递交备份电子投标文件，否则，视同放弃投标。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kinsoku/>
              <w:wordWrap/>
              <w:overflowPunct/>
              <w:topLinePunct w:val="0"/>
              <w:autoSpaceDE/>
              <w:autoSpaceDN/>
              <w:bidi w:val="0"/>
              <w:adjustRightInd/>
              <w:snapToGrid/>
              <w:spacing w:line="420" w:lineRule="atLeast"/>
              <w:ind w:left="200" w:leftChars="0"/>
              <w:textAlignment w:val="auto"/>
              <w:rPr>
                <w:rFonts w:hint="eastAsia" w:ascii="宋体" w:hAnsi="宋体" w:cs="宋体"/>
                <w:color w:val="auto"/>
                <w:sz w:val="24"/>
                <w:highlight w:val="none"/>
              </w:rPr>
            </w:pPr>
            <w:r>
              <w:rPr>
                <w:rFonts w:hint="eastAsia" w:ascii="新宋体" w:hAnsi="新宋体" w:eastAsia="新宋体" w:cs="Courier New"/>
                <w:color w:val="auto"/>
                <w:kern w:val="0"/>
                <w:sz w:val="24"/>
                <w:szCs w:val="22"/>
                <w:highlight w:val="none"/>
                <w:lang w:eastAsia="zh-CN"/>
              </w:rPr>
              <w:t>备份</w:t>
            </w:r>
            <w:r>
              <w:rPr>
                <w:rFonts w:hint="eastAsia" w:ascii="新宋体" w:hAnsi="新宋体" w:eastAsia="新宋体" w:cs="Courier New"/>
                <w:color w:val="auto"/>
                <w:kern w:val="0"/>
                <w:sz w:val="24"/>
                <w:szCs w:val="22"/>
                <w:highlight w:val="none"/>
              </w:rPr>
              <w:t>投标文件的</w:t>
            </w:r>
            <w:r>
              <w:rPr>
                <w:rFonts w:hint="eastAsia" w:ascii="新宋体" w:hAnsi="新宋体" w:eastAsia="新宋体" w:cs="Courier New"/>
                <w:color w:val="auto"/>
                <w:kern w:val="0"/>
                <w:sz w:val="24"/>
                <w:szCs w:val="22"/>
                <w:highlight w:val="none"/>
                <w:lang w:eastAsia="zh-CN"/>
              </w:rPr>
              <w:t>制作要求</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line="380" w:lineRule="atLeast"/>
              <w:ind w:left="0" w:leftChars="0" w:firstLine="0" w:firstLineChars="0"/>
              <w:textAlignment w:val="auto"/>
              <w:rPr>
                <w:rFonts w:hint="eastAsia" w:ascii="宋体" w:hAnsi="宋体" w:cs="宋体"/>
                <w:sz w:val="24"/>
              </w:rPr>
            </w:pPr>
            <w:r>
              <w:rPr>
                <w:rFonts w:hint="eastAsia" w:ascii="宋体" w:hAnsi="宋体" w:cs="宋体"/>
                <w:color w:val="auto"/>
                <w:sz w:val="24"/>
                <w:szCs w:val="24"/>
                <w:highlight w:val="none"/>
              </w:rPr>
              <w:t>“备份电子投标文件”是指与“电子投标文件”同时生成的数据电文形式的电子文件</w:t>
            </w:r>
            <w:r>
              <w:rPr>
                <w:rFonts w:hint="eastAsia" w:ascii="宋体" w:hAnsi="宋体" w:cs="宋体"/>
                <w:b/>
                <w:bCs/>
                <w:color w:val="auto"/>
                <w:sz w:val="24"/>
                <w:szCs w:val="24"/>
                <w:highlight w:val="none"/>
              </w:rPr>
              <w:t>（文件格式“.bfbs”），其他方式编制的备份投标文件视为无效备份投标文件</w:t>
            </w:r>
            <w:r>
              <w:rPr>
                <w:rFonts w:hint="eastAsia" w:ascii="宋体" w:hAnsi="宋体" w:cs="宋体"/>
                <w:b/>
                <w:bCs/>
                <w:color w:val="auto"/>
                <w:kern w:val="2"/>
                <w:sz w:val="24"/>
                <w:szCs w:val="24"/>
                <w:highlight w:val="none"/>
              </w:rPr>
              <w:t>，请投标人自行妥善保管。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kinsoku/>
              <w:wordWrap/>
              <w:overflowPunct/>
              <w:topLinePunct w:val="0"/>
              <w:autoSpaceDE/>
              <w:autoSpaceDN/>
              <w:bidi w:val="0"/>
              <w:adjustRightInd/>
              <w:snapToGrid/>
              <w:spacing w:line="420" w:lineRule="atLeast"/>
              <w:textAlignment w:val="auto"/>
              <w:rPr>
                <w:rFonts w:hint="eastAsia" w:ascii="新宋体" w:hAnsi="新宋体" w:eastAsia="宋体" w:cs="Courier New"/>
                <w:color w:val="auto"/>
                <w:kern w:val="0"/>
                <w:sz w:val="24"/>
                <w:szCs w:val="22"/>
                <w:highlight w:val="none"/>
                <w:lang w:eastAsia="zh-CN"/>
              </w:rPr>
            </w:pPr>
            <w:r>
              <w:rPr>
                <w:rFonts w:hint="eastAsia" w:ascii="宋体" w:hAnsi="宋体" w:cs="宋体"/>
                <w:sz w:val="24"/>
              </w:rPr>
              <w:t>备份电子投标文件使用、递交有关规定</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kinsoku/>
              <w:wordWrap/>
              <w:overflowPunct/>
              <w:topLinePunct w:val="0"/>
              <w:autoSpaceDE/>
              <w:autoSpaceDN/>
              <w:bidi w:val="0"/>
              <w:adjustRightInd/>
              <w:snapToGrid/>
              <w:spacing w:line="380" w:lineRule="atLeast"/>
              <w:ind w:left="0" w:leftChars="0" w:firstLine="0" w:firstLineChars="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rPr>
              <w:t>使用前提：在解密截止时间前，投标人自行在线解密操作失败，或者投标人寻求技术人员帮助仍无法完成解密。；</w:t>
            </w:r>
          </w:p>
          <w:p>
            <w:pPr>
              <w:pStyle w:val="19"/>
              <w:keepNext w:val="0"/>
              <w:keepLines w:val="0"/>
              <w:pageBreakBefore w:val="0"/>
              <w:widowControl/>
              <w:kinsoku/>
              <w:wordWrap/>
              <w:overflowPunct/>
              <w:topLinePunct w:val="0"/>
              <w:autoSpaceDE/>
              <w:autoSpaceDN/>
              <w:bidi w:val="0"/>
              <w:adjustRightInd/>
              <w:snapToGrid/>
              <w:spacing w:line="380" w:lineRule="atLeast"/>
              <w:ind w:left="0" w:leftChars="0" w:firstLine="0" w:firstLineChars="0"/>
              <w:textAlignment w:val="auto"/>
              <w:rPr>
                <w:rFonts w:hint="eastAsia" w:ascii="宋体" w:hAnsi="宋体" w:eastAsia="宋体" w:cs="宋体"/>
                <w:bCs/>
                <w:color w:val="auto"/>
                <w:sz w:val="24"/>
                <w:highlight w:val="yellow"/>
                <w:lang w:val="en-US" w:eastAsia="zh-CN"/>
              </w:rPr>
            </w:pP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rPr>
              <w:t>递交截止时间：</w:t>
            </w:r>
            <w:r>
              <w:rPr>
                <w:rFonts w:hint="eastAsia" w:ascii="宋体" w:hAnsi="宋体" w:eastAsia="宋体" w:cs="宋体"/>
                <w:bCs/>
                <w:color w:val="auto"/>
                <w:sz w:val="24"/>
                <w:highlight w:val="none"/>
                <w:lang w:eastAsia="zh-CN"/>
              </w:rPr>
              <w:t>开标当天</w:t>
            </w:r>
            <w:r>
              <w:rPr>
                <w:rFonts w:hint="eastAsia" w:ascii="宋体" w:hAnsi="宋体" w:eastAsia="宋体" w:cs="宋体"/>
                <w:bCs/>
                <w:color w:val="auto"/>
                <w:sz w:val="24"/>
                <w:highlight w:val="none"/>
              </w:rPr>
              <w:t>9时</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0分</w:t>
            </w:r>
          </w:p>
          <w:p>
            <w:pPr>
              <w:pStyle w:val="19"/>
              <w:keepNext w:val="0"/>
              <w:keepLines w:val="0"/>
              <w:pageBreakBefore w:val="0"/>
              <w:widowControl/>
              <w:kinsoku/>
              <w:wordWrap/>
              <w:overflowPunct/>
              <w:topLinePunct w:val="0"/>
              <w:autoSpaceDE/>
              <w:autoSpaceDN/>
              <w:bidi w:val="0"/>
              <w:adjustRightInd/>
              <w:snapToGrid/>
              <w:spacing w:line="380" w:lineRule="atLeast"/>
              <w:ind w:left="0" w:leftChars="0" w:firstLine="0" w:firstLineChars="0"/>
              <w:textAlignment w:val="auto"/>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投递邮箱：</w:t>
            </w:r>
            <w:r>
              <w:rPr>
                <w:rFonts w:hint="eastAsia" w:ascii="宋体" w:hAnsi="宋体" w:eastAsia="宋体" w:cs="宋体"/>
                <w:bCs/>
                <w:color w:val="auto"/>
                <w:sz w:val="24"/>
                <w:highlight w:val="none"/>
                <w:lang w:val="en-US" w:eastAsia="zh-CN"/>
              </w:rPr>
              <w:t>lqcgzx@163.com</w:t>
            </w:r>
          </w:p>
          <w:p>
            <w:pPr>
              <w:pStyle w:val="19"/>
              <w:keepNext w:val="0"/>
              <w:keepLines w:val="0"/>
              <w:pageBreakBefore w:val="0"/>
              <w:widowControl/>
              <w:kinsoku/>
              <w:wordWrap/>
              <w:overflowPunct/>
              <w:topLinePunct w:val="0"/>
              <w:autoSpaceDE/>
              <w:autoSpaceDN/>
              <w:bidi w:val="0"/>
              <w:adjustRightInd/>
              <w:snapToGrid/>
              <w:spacing w:line="380" w:lineRule="atLeast"/>
              <w:ind w:left="0" w:leftChars="0" w:firstLine="0" w:firstLineChars="0"/>
              <w:textAlignment w:val="auto"/>
              <w:rPr>
                <w:rFonts w:hAnsi="宋体" w:cs="宋体"/>
                <w:b/>
                <w:color w:val="auto"/>
                <w:highlight w:val="none"/>
              </w:rPr>
            </w:pP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未按上述要求递交备份电子投标文件或所提供的的备份电子投标文件不符合要求的视同放弃投标。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3" w:hRule="exac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textAlignment w:val="auto"/>
              <w:rPr>
                <w:rFonts w:ascii="宋体" w:hAnsi="宋体" w:eastAsia="宋体" w:cs="Arial"/>
                <w:bCs/>
                <w:color w:val="auto"/>
                <w:sz w:val="24"/>
                <w:highlight w:val="none"/>
              </w:rPr>
            </w:pPr>
            <w:r>
              <w:rPr>
                <w:rFonts w:ascii="宋体" w:hAnsi="宋体" w:eastAsia="宋体" w:cs="Arial"/>
                <w:bCs/>
                <w:color w:val="auto"/>
                <w:sz w:val="24"/>
                <w:highlight w:val="none"/>
              </w:rPr>
              <w:t>投标人信用信息查询渠道及截止时点、信用信息查询记录和证据留存的具体方式、信用信息的使用规则</w:t>
            </w:r>
          </w:p>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eastAsia="宋体" w:cs="宋体"/>
                <w:color w:val="auto"/>
                <w:sz w:val="24"/>
                <w:highlight w:val="none"/>
              </w:rPr>
            </w:pPr>
          </w:p>
        </w:tc>
        <w:tc>
          <w:tcPr>
            <w:tcW w:w="6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both"/>
              <w:textAlignment w:val="auto"/>
              <w:rPr>
                <w:rFonts w:ascii="宋体" w:hAnsi="宋体" w:cs="宋体"/>
                <w:color w:val="auto"/>
                <w:sz w:val="24"/>
                <w:szCs w:val="22"/>
                <w:highlight w:val="none"/>
              </w:rPr>
            </w:pPr>
            <w:r>
              <w:rPr>
                <w:rFonts w:hint="eastAsia" w:ascii="宋体" w:hAnsi="宋体" w:cs="宋体"/>
                <w:color w:val="auto"/>
                <w:sz w:val="24"/>
                <w:szCs w:val="22"/>
                <w:highlight w:val="none"/>
              </w:rPr>
              <w:t>1、查询渠道：信用中国（网址：</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4"/>
                <w:szCs w:val="22"/>
                <w:highlight w:val="none"/>
              </w:rPr>
              <w:t>http://www.creditchina.gov.cn</w:t>
            </w:r>
            <w:r>
              <w:rPr>
                <w:rFonts w:hint="eastAsia" w:ascii="宋体" w:hAnsi="宋体" w:cs="宋体"/>
                <w:color w:val="auto"/>
                <w:sz w:val="24"/>
                <w:szCs w:val="22"/>
                <w:highlight w:val="none"/>
              </w:rPr>
              <w:fldChar w:fldCharType="end"/>
            </w:r>
            <w:r>
              <w:rPr>
                <w:rFonts w:hint="eastAsia" w:ascii="宋体" w:hAnsi="宋体" w:cs="宋体"/>
                <w:color w:val="auto"/>
                <w:sz w:val="24"/>
                <w:szCs w:val="22"/>
                <w:highlight w:val="none"/>
              </w:rPr>
              <w:t>）、中国政府采购网(网址：http://www.ccgp.gov.cn）、信用浙江（http://xyxx.zjzwfw.gov.cn/）等。</w:t>
            </w:r>
          </w:p>
          <w:p>
            <w:pPr>
              <w:keepNext w:val="0"/>
              <w:keepLines w:val="0"/>
              <w:pageBreakBefore w:val="0"/>
              <w:widowControl/>
              <w:kinsoku/>
              <w:wordWrap/>
              <w:overflowPunct/>
              <w:topLinePunct w:val="0"/>
              <w:autoSpaceDE/>
              <w:autoSpaceDN/>
              <w:bidi w:val="0"/>
              <w:adjustRightInd/>
              <w:snapToGrid/>
              <w:spacing w:line="380" w:lineRule="atLeast"/>
              <w:textAlignment w:val="auto"/>
              <w:rPr>
                <w:rFonts w:ascii="宋体" w:hAnsi="宋体" w:cs="宋体"/>
                <w:color w:val="auto"/>
                <w:sz w:val="24"/>
                <w:szCs w:val="22"/>
                <w:highlight w:val="none"/>
              </w:rPr>
            </w:pPr>
            <w:r>
              <w:rPr>
                <w:rFonts w:hint="eastAsia" w:ascii="宋体" w:hAnsi="宋体" w:cs="宋体"/>
                <w:color w:val="auto"/>
                <w:sz w:val="24"/>
                <w:szCs w:val="22"/>
                <w:highlight w:val="none"/>
              </w:rPr>
              <w:t>2、截止时点：评审结束前。</w:t>
            </w:r>
          </w:p>
          <w:p>
            <w:pPr>
              <w:keepNext w:val="0"/>
              <w:keepLines w:val="0"/>
              <w:pageBreakBefore w:val="0"/>
              <w:widowControl/>
              <w:kinsoku/>
              <w:wordWrap/>
              <w:overflowPunct/>
              <w:topLinePunct w:val="0"/>
              <w:autoSpaceDE/>
              <w:autoSpaceDN/>
              <w:bidi w:val="0"/>
              <w:adjustRightInd/>
              <w:snapToGrid/>
              <w:spacing w:line="380" w:lineRule="atLeast"/>
              <w:textAlignment w:val="auto"/>
              <w:rPr>
                <w:rFonts w:ascii="宋体" w:hAnsi="宋体" w:cs="宋体"/>
                <w:color w:val="auto"/>
                <w:sz w:val="24"/>
                <w:szCs w:val="22"/>
                <w:highlight w:val="none"/>
              </w:rPr>
            </w:pPr>
            <w:r>
              <w:rPr>
                <w:rFonts w:hint="eastAsia" w:ascii="宋体" w:hAnsi="宋体" w:cs="宋体"/>
                <w:color w:val="auto"/>
                <w:sz w:val="24"/>
                <w:szCs w:val="22"/>
                <w:highlight w:val="none"/>
              </w:rPr>
              <w:t>3、信用信息查询记录和证据留存的具体方式：由采购组织机构在规定查询时间内查询并截图信用信息查询记录上传至政府采购云平台（电子交易平台）。</w:t>
            </w:r>
          </w:p>
          <w:p>
            <w:pPr>
              <w:keepNext w:val="0"/>
              <w:keepLines w:val="0"/>
              <w:pageBreakBefore w:val="0"/>
              <w:widowControl/>
              <w:kinsoku/>
              <w:wordWrap/>
              <w:overflowPunct/>
              <w:topLinePunct w:val="0"/>
              <w:autoSpaceDE/>
              <w:autoSpaceDN/>
              <w:bidi w:val="0"/>
              <w:adjustRightInd/>
              <w:snapToGrid/>
              <w:spacing w:line="380" w:lineRule="atLeast"/>
              <w:textAlignment w:val="auto"/>
              <w:rPr>
                <w:rFonts w:ascii="宋体" w:hAnsi="宋体" w:eastAsia="宋体" w:cs="Arial"/>
                <w:color w:val="auto"/>
                <w:sz w:val="24"/>
                <w:highlight w:val="none"/>
              </w:rPr>
            </w:pPr>
            <w:r>
              <w:rPr>
                <w:rFonts w:hint="eastAsia" w:ascii="宋体" w:hAnsi="宋体" w:cs="宋体"/>
                <w:color w:val="auto"/>
                <w:sz w:val="24"/>
                <w:szCs w:val="22"/>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实质性条款</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both"/>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带“</w:t>
            </w:r>
            <w:r>
              <w:rPr>
                <w:rFonts w:hint="eastAsia" w:ascii="宋体" w:hAnsi="宋体" w:cs="宋体"/>
                <w:bCs/>
                <w:color w:val="auto"/>
                <w:sz w:val="24"/>
                <w:highlight w:val="none"/>
              </w:rPr>
              <w:t>▲”的条款是实质性条款，投标文件</w:t>
            </w:r>
            <w:r>
              <w:rPr>
                <w:rFonts w:hint="eastAsia" w:ascii="宋体" w:hAnsi="宋体" w:cs="宋体"/>
                <w:bCs/>
                <w:color w:val="auto"/>
                <w:sz w:val="24"/>
                <w:highlight w:val="none"/>
                <w:lang w:val="en-US" w:eastAsia="zh-CN"/>
              </w:rPr>
              <w:t>必</w:t>
            </w:r>
            <w:r>
              <w:rPr>
                <w:rFonts w:hint="eastAsia" w:ascii="宋体" w:hAnsi="宋体" w:cs="宋体"/>
                <w:bCs/>
                <w:color w:val="auto"/>
                <w:sz w:val="24"/>
                <w:highlight w:val="none"/>
              </w:rPr>
              <w:t>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both"/>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rPr>
              <w:t>主要性能参数</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both"/>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pStyle w:val="80"/>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eastAsia" w:eastAsia="微软雅黑"/>
                <w:color w:val="auto"/>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新宋体" w:hAnsi="新宋体" w:eastAsia="新宋体" w:cs="Courier New"/>
                <w:color w:val="auto"/>
                <w:kern w:val="0"/>
                <w:sz w:val="24"/>
                <w:szCs w:val="22"/>
                <w:highlight w:val="none"/>
              </w:rPr>
            </w:pPr>
            <w:r>
              <w:rPr>
                <w:rFonts w:hint="eastAsia" w:ascii="新宋体" w:hAnsi="新宋体" w:eastAsia="新宋体" w:cs="Courier New"/>
                <w:color w:val="auto"/>
                <w:kern w:val="0"/>
                <w:sz w:val="24"/>
                <w:szCs w:val="22"/>
                <w:highlight w:val="none"/>
              </w:rPr>
              <w:t>投标样品</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kinsoku/>
              <w:wordWrap/>
              <w:overflowPunct/>
              <w:topLinePunct w:val="0"/>
              <w:autoSpaceDE/>
              <w:autoSpaceDN/>
              <w:bidi w:val="0"/>
              <w:adjustRightInd/>
              <w:snapToGrid/>
              <w:spacing w:line="380" w:lineRule="atLeast"/>
              <w:textAlignment w:val="auto"/>
              <w:rPr>
                <w:rFonts w:hint="eastAsia" w:ascii="新宋体" w:hAnsi="新宋体" w:eastAsia="新宋体" w:cs="Courier New"/>
                <w:color w:val="auto"/>
                <w:kern w:val="0"/>
                <w:sz w:val="24"/>
                <w:szCs w:val="22"/>
                <w:highlight w:val="yellow"/>
                <w:lang w:eastAsia="zh-CN"/>
              </w:rPr>
            </w:pPr>
            <w:r>
              <w:rPr>
                <w:rFonts w:hint="eastAsia" w:hAnsi="宋体" w:eastAsia="新宋体" w:cs="仿宋_GB2312"/>
                <w:sz w:val="24"/>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exac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pStyle w:val="80"/>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default" w:ascii="宋体" w:hAnsi="宋体" w:eastAsia="微软雅黑" w:cs="宋体"/>
                <w:color w:val="auto"/>
                <w:sz w:val="24"/>
                <w:highlight w:val="none"/>
                <w:lang w:val="en-US" w:eastAsia="zh-CN"/>
              </w:rPr>
            </w:pPr>
            <w:r>
              <w:rPr>
                <w:rFonts w:hint="eastAsia" w:ascii="宋体" w:hAnsi="宋体" w:cs="宋体"/>
                <w:color w:val="auto"/>
                <w:sz w:val="24"/>
                <w:highlight w:val="none"/>
                <w:lang w:val="en-US" w:eastAsia="zh-CN"/>
              </w:rPr>
              <w:t>19</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eastAsia" w:ascii="新宋体" w:hAnsi="新宋体" w:eastAsia="新宋体" w:cs="Courier New"/>
                <w:color w:val="auto"/>
                <w:kern w:val="0"/>
                <w:sz w:val="24"/>
                <w:szCs w:val="22"/>
                <w:highlight w:val="none"/>
                <w:lang w:val="en-US" w:eastAsia="zh-CN"/>
              </w:rPr>
            </w:pPr>
            <w:r>
              <w:rPr>
                <w:rFonts w:hint="eastAsia" w:ascii="新宋体" w:hAnsi="新宋体" w:eastAsia="新宋体" w:cs="Courier New"/>
                <w:color w:val="auto"/>
                <w:kern w:val="0"/>
                <w:sz w:val="24"/>
                <w:szCs w:val="22"/>
                <w:highlight w:val="none"/>
                <w:lang w:val="en-US" w:eastAsia="zh-CN"/>
              </w:rPr>
              <w:t>演  示</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auto"/>
              <w:rPr>
                <w:rFonts w:hint="default" w:ascii="新宋体" w:hAnsi="新宋体" w:eastAsia="新宋体" w:cs="Courier New"/>
                <w:b/>
                <w:bCs/>
                <w:color w:val="auto"/>
                <w:kern w:val="0"/>
                <w:sz w:val="24"/>
                <w:szCs w:val="22"/>
                <w:highlight w:val="yellow"/>
                <w:lang w:val="en-US" w:eastAsia="zh-CN"/>
              </w:rPr>
            </w:pPr>
            <w:r>
              <w:rPr>
                <w:rFonts w:hint="eastAsia" w:ascii="新宋体" w:hAnsi="新宋体" w:eastAsia="新宋体" w:cs="Courier New"/>
                <w:b/>
                <w:bCs/>
                <w:color w:val="auto"/>
                <w:kern w:val="0"/>
                <w:sz w:val="24"/>
                <w:szCs w:val="22"/>
                <w:highlight w:val="none"/>
                <w:lang w:val="en-US" w:eastAsia="zh-CN"/>
              </w:rPr>
              <w:t>无</w:t>
            </w:r>
          </w:p>
        </w:tc>
      </w:tr>
    </w:tbl>
    <w:p>
      <w:pPr>
        <w:pStyle w:val="19"/>
        <w:snapToGrid w:val="0"/>
        <w:spacing w:line="450" w:lineRule="exact"/>
        <w:rPr>
          <w:rFonts w:hAnsi="宋体"/>
          <w:b/>
          <w:color w:val="auto"/>
          <w:sz w:val="24"/>
          <w:szCs w:val="24"/>
          <w:highlight w:val="none"/>
        </w:rPr>
      </w:pPr>
      <w:r>
        <w:rPr>
          <w:color w:val="auto"/>
          <w:highlight w:val="none"/>
        </w:rPr>
        <w:br w:type="page"/>
      </w:r>
      <w:bookmarkStart w:id="7" w:name="_Toc202235405"/>
      <w:r>
        <w:rPr>
          <w:rFonts w:hint="eastAsia" w:hAnsi="宋体"/>
          <w:b/>
          <w:color w:val="auto"/>
          <w:sz w:val="24"/>
          <w:szCs w:val="24"/>
          <w:highlight w:val="none"/>
        </w:rPr>
        <w:t>一 、总  则</w:t>
      </w:r>
    </w:p>
    <w:p>
      <w:pPr>
        <w:snapToGrid w:val="0"/>
        <w:spacing w:line="450" w:lineRule="exact"/>
        <w:ind w:firstLine="482" w:firstLineChars="200"/>
        <w:outlineLvl w:val="1"/>
        <w:rPr>
          <w:rFonts w:ascii="宋体" w:hAnsi="宋体"/>
          <w:b/>
          <w:color w:val="auto"/>
          <w:sz w:val="24"/>
          <w:szCs w:val="24"/>
          <w:highlight w:val="none"/>
        </w:rPr>
      </w:pPr>
      <w:r>
        <w:rPr>
          <w:rFonts w:hint="eastAsia" w:ascii="宋体" w:hAnsi="宋体"/>
          <w:b/>
          <w:color w:val="auto"/>
          <w:sz w:val="24"/>
          <w:szCs w:val="24"/>
          <w:highlight w:val="none"/>
        </w:rPr>
        <w:t>（一）</w:t>
      </w:r>
      <w:r>
        <w:rPr>
          <w:rFonts w:ascii="宋体" w:hAnsi="宋体"/>
          <w:b/>
          <w:color w:val="auto"/>
          <w:sz w:val="24"/>
          <w:szCs w:val="24"/>
          <w:highlight w:val="none"/>
        </w:rPr>
        <w:t xml:space="preserve"> </w:t>
      </w:r>
      <w:r>
        <w:rPr>
          <w:rFonts w:hint="eastAsia" w:ascii="宋体" w:hAnsi="宋体"/>
          <w:b/>
          <w:color w:val="auto"/>
          <w:sz w:val="24"/>
          <w:szCs w:val="24"/>
          <w:highlight w:val="none"/>
        </w:rPr>
        <w:t>实施依据及</w:t>
      </w:r>
      <w:r>
        <w:rPr>
          <w:rFonts w:ascii="宋体" w:hAnsi="宋体"/>
          <w:b/>
          <w:color w:val="auto"/>
          <w:sz w:val="24"/>
          <w:szCs w:val="24"/>
          <w:highlight w:val="none"/>
        </w:rPr>
        <w:t>适用范围</w:t>
      </w:r>
    </w:p>
    <w:p>
      <w:pPr>
        <w:snapToGrid w:val="0"/>
        <w:spacing w:line="4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实施依据：本次采购工作按照《中华人民共和国政府采购法》、《中华人民共和国政府采购法实施条例》、《政府采购货物和服务招标投标管理办法》、《浙江省政府采购项目电子交易管理暂行办法》等政府采购有关法律、法规、规章、文件的规定组织和实施。</w:t>
      </w:r>
    </w:p>
    <w:p>
      <w:pPr>
        <w:snapToGrid w:val="0"/>
        <w:spacing w:line="4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2、本招标文件适用于</w:t>
      </w:r>
      <w:r>
        <w:rPr>
          <w:rFonts w:hint="eastAsia" w:ascii="宋体" w:hAnsi="宋体"/>
          <w:bCs/>
          <w:color w:val="auto"/>
          <w:sz w:val="24"/>
          <w:szCs w:val="24"/>
          <w:highlight w:val="none"/>
        </w:rPr>
        <w:t>本次</w:t>
      </w:r>
      <w:r>
        <w:rPr>
          <w:rFonts w:hint="eastAsia" w:ascii="宋体" w:hAnsi="宋体"/>
          <w:color w:val="auto"/>
          <w:sz w:val="24"/>
          <w:szCs w:val="24"/>
          <w:highlight w:val="none"/>
        </w:rPr>
        <w:t>项目的招标、投标、评标、定标、验收、合同履约、付款等行为（法律、法规另有规定的，从其规定）。</w:t>
      </w:r>
    </w:p>
    <w:p>
      <w:pPr>
        <w:snapToGrid w:val="0"/>
        <w:spacing w:line="450" w:lineRule="exact"/>
        <w:ind w:firstLine="482" w:firstLineChars="200"/>
        <w:outlineLvl w:val="1"/>
        <w:rPr>
          <w:rFonts w:ascii="宋体" w:hAnsi="宋体"/>
          <w:b/>
          <w:color w:val="auto"/>
          <w:sz w:val="24"/>
          <w:szCs w:val="24"/>
          <w:highlight w:val="none"/>
        </w:rPr>
      </w:pPr>
      <w:r>
        <w:rPr>
          <w:rFonts w:hint="eastAsia" w:ascii="宋体" w:hAnsi="宋体"/>
          <w:b/>
          <w:color w:val="auto"/>
          <w:sz w:val="24"/>
          <w:szCs w:val="24"/>
          <w:highlight w:val="none"/>
        </w:rPr>
        <w:t>（二）定义</w:t>
      </w:r>
    </w:p>
    <w:p>
      <w:pPr>
        <w:pStyle w:val="4"/>
        <w:keepNext w:val="0"/>
        <w:tabs>
          <w:tab w:val="left" w:pos="0"/>
          <w:tab w:val="left" w:pos="851"/>
          <w:tab w:val="left" w:pos="1275"/>
          <w:tab w:val="clear" w:pos="1260"/>
        </w:tabs>
        <w:autoSpaceDE w:val="0"/>
        <w:autoSpaceDN w:val="0"/>
        <w:adjustRightInd w:val="0"/>
        <w:snapToGrid w:val="0"/>
        <w:spacing w:line="450" w:lineRule="exact"/>
        <w:ind w:firstLine="480" w:firstLineChars="200"/>
        <w:jc w:val="left"/>
        <w:rPr>
          <w:rFonts w:hAnsi="宋体"/>
          <w:b w:val="0"/>
          <w:color w:val="auto"/>
          <w:sz w:val="24"/>
          <w:szCs w:val="24"/>
          <w:highlight w:val="none"/>
        </w:rPr>
      </w:pPr>
      <w:r>
        <w:rPr>
          <w:rFonts w:hint="eastAsia" w:hAnsi="宋体"/>
          <w:b w:val="0"/>
          <w:color w:val="auto"/>
          <w:sz w:val="24"/>
          <w:szCs w:val="24"/>
          <w:highlight w:val="none"/>
        </w:rPr>
        <w:t>1、</w:t>
      </w:r>
      <w:r>
        <w:rPr>
          <w:rFonts w:hint="eastAsia" w:hAnsi="宋体"/>
          <w:b w:val="0"/>
          <w:color w:val="auto"/>
          <w:sz w:val="24"/>
          <w:szCs w:val="24"/>
          <w:highlight w:val="none"/>
          <w:lang w:val="zh-CN"/>
        </w:rPr>
        <w:t>“采购组织机构”指采购人委托组织招标的集中采购机构。</w:t>
      </w:r>
    </w:p>
    <w:p>
      <w:pPr>
        <w:snapToGrid w:val="0"/>
        <w:spacing w:line="4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2、采购人：是指委托</w:t>
      </w:r>
      <w:r>
        <w:rPr>
          <w:rFonts w:hint="eastAsia" w:ascii="宋体" w:hAnsi="宋体"/>
          <w:color w:val="auto"/>
          <w:sz w:val="24"/>
          <w:szCs w:val="24"/>
          <w:highlight w:val="none"/>
          <w:lang w:val="zh-CN"/>
        </w:rPr>
        <w:t>集中采购机构</w:t>
      </w:r>
      <w:r>
        <w:rPr>
          <w:rFonts w:hint="eastAsia" w:ascii="宋体" w:hAnsi="宋体"/>
          <w:color w:val="auto"/>
          <w:sz w:val="24"/>
          <w:szCs w:val="24"/>
          <w:highlight w:val="none"/>
        </w:rPr>
        <w:t>采购本次项目的国家机关、事业单位和团体组织。</w:t>
      </w:r>
    </w:p>
    <w:p>
      <w:pPr>
        <w:snapToGrid w:val="0"/>
        <w:spacing w:line="4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highlight w:val="none"/>
        </w:rPr>
        <w:t>投标人（供应商）：</w:t>
      </w:r>
      <w:r>
        <w:rPr>
          <w:rFonts w:hint="eastAsia" w:ascii="宋体" w:hAnsi="宋体" w:cs="Arial"/>
          <w:color w:val="auto"/>
          <w:sz w:val="24"/>
          <w:szCs w:val="24"/>
          <w:highlight w:val="none"/>
        </w:rPr>
        <w:t>是指响应本次招标、参加投标竞争的法人、其他组织或者自然人；</w:t>
      </w:r>
    </w:p>
    <w:p>
      <w:pPr>
        <w:snapToGrid w:val="0"/>
        <w:spacing w:line="450" w:lineRule="exact"/>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4、“中标单位”：是指经评标委员会推荐并经采购人确认的中标成交单位，即政府采购合同中的“乙方”；</w:t>
      </w:r>
    </w:p>
    <w:p>
      <w:pPr>
        <w:snapToGrid w:val="0"/>
        <w:spacing w:line="4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货物</w:t>
      </w:r>
      <w:r>
        <w:rPr>
          <w:rFonts w:hint="eastAsia" w:ascii="宋体" w:hAnsi="宋体"/>
          <w:color w:val="auto"/>
          <w:sz w:val="24"/>
          <w:szCs w:val="24"/>
          <w:highlight w:val="none"/>
        </w:rPr>
        <w:t>：</w:t>
      </w:r>
      <w:r>
        <w:rPr>
          <w:rFonts w:ascii="宋体" w:hAnsi="宋体"/>
          <w:color w:val="auto"/>
          <w:sz w:val="24"/>
          <w:szCs w:val="24"/>
          <w:highlight w:val="none"/>
        </w:rPr>
        <w:t>是指各种形态和种类的物品，包括原材料、燃料、设备、产品等。</w:t>
      </w:r>
    </w:p>
    <w:p>
      <w:pPr>
        <w:snapToGrid w:val="0"/>
        <w:spacing w:line="450" w:lineRule="exact"/>
        <w:ind w:firstLine="480" w:firstLineChars="200"/>
        <w:rPr>
          <w:rFonts w:ascii="宋体" w:hAnsi="宋体"/>
          <w:b/>
          <w:color w:val="auto"/>
          <w:sz w:val="24"/>
          <w:szCs w:val="24"/>
          <w:highlight w:val="none"/>
        </w:rPr>
      </w:pPr>
      <w:r>
        <w:rPr>
          <w:rFonts w:hint="eastAsia" w:ascii="宋体" w:hAnsi="宋体"/>
          <w:color w:val="auto"/>
          <w:sz w:val="24"/>
          <w:szCs w:val="24"/>
          <w:highlight w:val="none"/>
        </w:rPr>
        <w:t>6、</w:t>
      </w:r>
      <w:r>
        <w:rPr>
          <w:rFonts w:ascii="宋体" w:hAnsi="宋体"/>
          <w:color w:val="auto"/>
          <w:sz w:val="24"/>
          <w:szCs w:val="24"/>
          <w:highlight w:val="none"/>
        </w:rPr>
        <w:t>服务</w:t>
      </w:r>
      <w:r>
        <w:rPr>
          <w:rFonts w:hint="eastAsia" w:ascii="宋体" w:hAnsi="宋体"/>
          <w:color w:val="auto"/>
          <w:sz w:val="24"/>
          <w:szCs w:val="24"/>
          <w:highlight w:val="none"/>
        </w:rPr>
        <w:t>：</w:t>
      </w:r>
      <w:r>
        <w:rPr>
          <w:rFonts w:ascii="宋体" w:hAnsi="宋体"/>
          <w:color w:val="auto"/>
          <w:sz w:val="24"/>
          <w:szCs w:val="24"/>
          <w:highlight w:val="none"/>
        </w:rPr>
        <w:t>是指除货物和工程以外的政府采购对象，包括各类专业服务、信息网络开发服务、金融保险服务、运输服务，以及维修与维护服务等。</w:t>
      </w:r>
    </w:p>
    <w:p>
      <w:pPr>
        <w:snapToGrid w:val="0"/>
        <w:spacing w:line="4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7、</w:t>
      </w:r>
      <w:r>
        <w:rPr>
          <w:rFonts w:ascii="宋体" w:hAnsi="宋体"/>
          <w:color w:val="auto"/>
          <w:sz w:val="24"/>
          <w:szCs w:val="24"/>
          <w:highlight w:val="none"/>
        </w:rPr>
        <w:t>“书面形式”包括信函、传真等。</w:t>
      </w:r>
    </w:p>
    <w:p>
      <w:pPr>
        <w:snapToGrid w:val="0"/>
        <w:spacing w:line="4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8、“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napToGrid w:val="0"/>
        <w:spacing w:line="4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9、“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line="4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10、“残疾人福利性单位”：是指符合《财政部 民政部 中国残疾人联合会关于促进残疾人就业政府采购政策的通知》（财库〔2017〕141号）的规定单位；</w:t>
      </w:r>
    </w:p>
    <w:p>
      <w:pPr>
        <w:snapToGrid w:val="0"/>
        <w:spacing w:line="450" w:lineRule="exact"/>
        <w:ind w:firstLine="482" w:firstLineChars="200"/>
        <w:outlineLvl w:val="1"/>
        <w:rPr>
          <w:rFonts w:ascii="宋体" w:hAnsi="宋体"/>
          <w:b/>
          <w:color w:val="auto"/>
          <w:sz w:val="24"/>
          <w:szCs w:val="24"/>
          <w:highlight w:val="none"/>
        </w:rPr>
      </w:pPr>
      <w:r>
        <w:rPr>
          <w:rFonts w:hint="eastAsia" w:ascii="宋体" w:hAnsi="宋体"/>
          <w:b/>
          <w:color w:val="auto"/>
          <w:sz w:val="24"/>
          <w:szCs w:val="24"/>
          <w:highlight w:val="none"/>
        </w:rPr>
        <w:t>（三）投标委托</w:t>
      </w:r>
    </w:p>
    <w:p>
      <w:pPr>
        <w:snapToGrid w:val="0"/>
        <w:spacing w:line="450" w:lineRule="exact"/>
        <w:ind w:firstLine="480" w:firstLineChars="200"/>
        <w:outlineLvl w:val="1"/>
        <w:rPr>
          <w:rFonts w:ascii="宋体" w:hAnsi="宋体"/>
          <w:bCs/>
          <w:color w:val="auto"/>
          <w:sz w:val="24"/>
          <w:szCs w:val="24"/>
          <w:highlight w:val="none"/>
        </w:rPr>
      </w:pPr>
      <w:r>
        <w:rPr>
          <w:rFonts w:hint="eastAsia" w:ascii="宋体" w:hAnsi="宋体"/>
          <w:bCs/>
          <w:color w:val="auto"/>
          <w:sz w:val="24"/>
          <w:szCs w:val="24"/>
          <w:highlight w:val="none"/>
        </w:rPr>
        <w:t>如授权代表不是法定代表人，须有法定代表人出具的法定代表人授权委托书（格式见第六部分 投标文件格式），《法定代表人授权委托书》必须经法定代表人签字（或盖章），否则视为无效授权（等同未提供）。</w:t>
      </w:r>
    </w:p>
    <w:p>
      <w:pPr>
        <w:snapToGrid w:val="0"/>
        <w:spacing w:line="450" w:lineRule="exact"/>
        <w:ind w:firstLine="482" w:firstLineChars="200"/>
        <w:outlineLvl w:val="1"/>
        <w:rPr>
          <w:rFonts w:ascii="宋体" w:hAnsi="宋体"/>
          <w:b/>
          <w:color w:val="auto"/>
          <w:sz w:val="24"/>
          <w:szCs w:val="24"/>
          <w:highlight w:val="none"/>
        </w:rPr>
      </w:pPr>
      <w:r>
        <w:rPr>
          <w:rFonts w:hint="eastAsia" w:ascii="宋体" w:hAnsi="宋体"/>
          <w:b/>
          <w:color w:val="auto"/>
          <w:sz w:val="24"/>
          <w:szCs w:val="24"/>
          <w:highlight w:val="none"/>
        </w:rPr>
        <w:t>（四）投标费用</w:t>
      </w:r>
    </w:p>
    <w:p>
      <w:pPr>
        <w:snapToGrid w:val="0"/>
        <w:spacing w:line="4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1、不论投标结果如何，投标人均应自行承担所有与投标有关的全部费用（采购文件有相关规定除外），采购组织机构概不负责；</w:t>
      </w:r>
    </w:p>
    <w:p>
      <w:pPr>
        <w:snapToGrid w:val="0"/>
        <w:spacing w:line="450" w:lineRule="exact"/>
        <w:ind w:firstLine="480" w:firstLineChars="200"/>
        <w:rPr>
          <w:color w:val="auto"/>
          <w:highlight w:val="none"/>
        </w:rPr>
      </w:pPr>
      <w:r>
        <w:rPr>
          <w:rFonts w:hint="eastAsia" w:ascii="宋体" w:hAnsi="宋体"/>
          <w:color w:val="auto"/>
          <w:sz w:val="24"/>
          <w:szCs w:val="24"/>
          <w:highlight w:val="none"/>
        </w:rPr>
        <w:t>2</w:t>
      </w:r>
      <w:r>
        <w:rPr>
          <w:rFonts w:hint="eastAsia"/>
          <w:color w:val="auto"/>
          <w:sz w:val="24"/>
          <w:szCs w:val="24"/>
          <w:highlight w:val="none"/>
        </w:rPr>
        <w:t>、</w:t>
      </w:r>
      <w:r>
        <w:rPr>
          <w:rFonts w:hint="eastAsia" w:ascii="宋体" w:hAnsi="宋体"/>
          <w:color w:val="auto"/>
          <w:sz w:val="24"/>
          <w:szCs w:val="24"/>
          <w:highlight w:val="none"/>
        </w:rPr>
        <w:t>合同实施过程中，中标单位须与采购人积极配合。中标单位自行承担本次采购活动中所发生的全部费用。</w:t>
      </w:r>
    </w:p>
    <w:p>
      <w:pPr>
        <w:pStyle w:val="19"/>
        <w:snapToGrid w:val="0"/>
        <w:spacing w:line="450" w:lineRule="exact"/>
        <w:ind w:firstLine="482" w:firstLineChars="200"/>
        <w:rPr>
          <w:rFonts w:hAnsi="宋体"/>
          <w:b/>
          <w:color w:val="auto"/>
          <w:sz w:val="24"/>
          <w:szCs w:val="24"/>
          <w:highlight w:val="none"/>
        </w:rPr>
      </w:pPr>
      <w:r>
        <w:rPr>
          <w:rFonts w:hint="eastAsia" w:hAnsi="宋体"/>
          <w:b/>
          <w:color w:val="auto"/>
          <w:sz w:val="24"/>
          <w:szCs w:val="24"/>
          <w:highlight w:val="none"/>
        </w:rPr>
        <w:t>（五）转包与分包</w:t>
      </w:r>
    </w:p>
    <w:p>
      <w:pPr>
        <w:pStyle w:val="19"/>
        <w:keepNext w:val="0"/>
        <w:keepLines w:val="0"/>
        <w:pageBreakBefore w:val="0"/>
        <w:kinsoku/>
        <w:wordWrap/>
        <w:overflowPunct/>
        <w:topLinePunct w:val="0"/>
        <w:bidi w:val="0"/>
        <w:snapToGrid w:val="0"/>
        <w:spacing w:line="440" w:lineRule="exact"/>
        <w:ind w:firstLine="480" w:firstLineChars="200"/>
        <w:textAlignment w:val="auto"/>
        <w:rPr>
          <w:rFonts w:hint="eastAsia" w:hAnsi="宋体"/>
          <w:color w:val="auto"/>
          <w:sz w:val="24"/>
          <w:szCs w:val="24"/>
          <w:highlight w:val="none"/>
          <w:lang w:eastAsia="zh-CN"/>
        </w:rPr>
      </w:pPr>
      <w:bookmarkStart w:id="8" w:name="_Toc504504532"/>
      <w:r>
        <w:rPr>
          <w:rFonts w:hint="eastAsia" w:ascii="宋体" w:hAnsi="宋体" w:eastAsia="宋体"/>
          <w:color w:val="auto"/>
          <w:sz w:val="24"/>
          <w:szCs w:val="24"/>
          <w:highlight w:val="none"/>
        </w:rPr>
        <w:t>本项目不允许转包</w:t>
      </w:r>
      <w:r>
        <w:rPr>
          <w:rFonts w:hint="eastAsia" w:hAnsi="宋体"/>
          <w:color w:val="auto"/>
          <w:sz w:val="24"/>
          <w:szCs w:val="24"/>
          <w:highlight w:val="none"/>
          <w:lang w:eastAsia="zh-CN"/>
        </w:rPr>
        <w:t>、分包。</w:t>
      </w:r>
    </w:p>
    <w:p>
      <w:pPr>
        <w:pStyle w:val="19"/>
        <w:snapToGrid w:val="0"/>
        <w:spacing w:line="450" w:lineRule="exact"/>
        <w:ind w:firstLine="482" w:firstLineChars="200"/>
        <w:rPr>
          <w:rFonts w:hAnsi="宋体"/>
          <w:b/>
          <w:color w:val="auto"/>
          <w:sz w:val="24"/>
          <w:szCs w:val="24"/>
          <w:highlight w:val="none"/>
        </w:rPr>
      </w:pPr>
      <w:r>
        <w:rPr>
          <w:rFonts w:hint="eastAsia" w:hAnsi="宋体"/>
          <w:b/>
          <w:color w:val="auto"/>
          <w:sz w:val="24"/>
          <w:szCs w:val="24"/>
          <w:highlight w:val="none"/>
        </w:rPr>
        <w:t>（六）特殊投标人投标规定</w:t>
      </w:r>
    </w:p>
    <w:p>
      <w:pPr>
        <w:pStyle w:val="19"/>
        <w:snapToGrid w:val="0"/>
        <w:spacing w:line="450" w:lineRule="exact"/>
        <w:ind w:firstLine="480" w:firstLineChars="200"/>
        <w:rPr>
          <w:rFonts w:hAnsi="宋体"/>
          <w:bCs/>
          <w:color w:val="auto"/>
          <w:sz w:val="24"/>
          <w:szCs w:val="24"/>
          <w:highlight w:val="none"/>
        </w:rPr>
      </w:pPr>
      <w:r>
        <w:rPr>
          <w:rFonts w:hint="eastAsia" w:hAnsi="宋体"/>
          <w:bCs/>
          <w:color w:val="auto"/>
          <w:sz w:val="24"/>
          <w:szCs w:val="24"/>
          <w:highlight w:val="none"/>
        </w:rPr>
        <w:t>根据《关于规范政府采购供应商资格设定及资格审查的通知（浙财采监【2013】24号）》第六条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pPr>
        <w:pStyle w:val="19"/>
        <w:snapToGrid w:val="0"/>
        <w:spacing w:line="450" w:lineRule="exact"/>
        <w:ind w:firstLine="482" w:firstLineChars="200"/>
        <w:rPr>
          <w:rFonts w:hAnsi="宋体"/>
          <w:b/>
          <w:color w:val="auto"/>
          <w:sz w:val="24"/>
          <w:szCs w:val="24"/>
          <w:highlight w:val="none"/>
        </w:rPr>
      </w:pPr>
      <w:r>
        <w:rPr>
          <w:rFonts w:hint="eastAsia" w:hAnsi="宋体"/>
          <w:b/>
          <w:color w:val="auto"/>
          <w:sz w:val="24"/>
          <w:szCs w:val="24"/>
          <w:highlight w:val="none"/>
        </w:rPr>
        <w:t>（七）质疑和投诉</w:t>
      </w:r>
      <w:bookmarkEnd w:id="8"/>
    </w:p>
    <w:p>
      <w:pPr>
        <w:pStyle w:val="19"/>
        <w:snapToGrid w:val="0"/>
        <w:spacing w:line="450" w:lineRule="exact"/>
        <w:ind w:firstLine="480" w:firstLineChars="200"/>
        <w:rPr>
          <w:rFonts w:hAnsi="宋体"/>
          <w:bCs/>
          <w:color w:val="auto"/>
          <w:sz w:val="24"/>
          <w:szCs w:val="24"/>
          <w:highlight w:val="none"/>
        </w:rPr>
      </w:pPr>
      <w:r>
        <w:rPr>
          <w:rFonts w:hint="eastAsia" w:hAnsi="宋体"/>
          <w:bCs/>
          <w:color w:val="auto"/>
          <w:sz w:val="24"/>
          <w:szCs w:val="24"/>
          <w:highlight w:val="none"/>
        </w:rPr>
        <w:t>1、供应商认为采购文件、采购过程、中标或者成交结果使自己的权益受到损害的，可以在知道或者应知其权益受到损害之日起7个工作日内，以书面形式一次性向采购人、采购</w:t>
      </w:r>
      <w:r>
        <w:rPr>
          <w:rFonts w:hint="eastAsia" w:hAnsi="宋体"/>
          <w:bCs/>
          <w:color w:val="auto"/>
          <w:sz w:val="24"/>
          <w:szCs w:val="24"/>
          <w:highlight w:val="none"/>
          <w:lang w:eastAsia="zh-CN"/>
        </w:rPr>
        <w:t>组织机构</w:t>
      </w:r>
      <w:r>
        <w:rPr>
          <w:rFonts w:hint="eastAsia" w:hAnsi="宋体"/>
          <w:bCs/>
          <w:color w:val="auto"/>
          <w:sz w:val="24"/>
          <w:szCs w:val="24"/>
          <w:highlight w:val="none"/>
        </w:rPr>
        <w:t>提出针对同一采购程序环节的质疑。</w:t>
      </w:r>
    </w:p>
    <w:p>
      <w:pPr>
        <w:pStyle w:val="19"/>
        <w:snapToGrid w:val="0"/>
        <w:spacing w:line="450" w:lineRule="exact"/>
        <w:ind w:firstLine="480" w:firstLineChars="200"/>
        <w:rPr>
          <w:rFonts w:hAnsi="宋体"/>
          <w:bCs/>
          <w:color w:val="auto"/>
          <w:sz w:val="24"/>
          <w:szCs w:val="24"/>
          <w:highlight w:val="none"/>
        </w:rPr>
      </w:pPr>
      <w:r>
        <w:rPr>
          <w:rFonts w:hint="eastAsia" w:hAnsi="宋体"/>
          <w:bCs/>
          <w:color w:val="auto"/>
          <w:sz w:val="24"/>
          <w:szCs w:val="24"/>
          <w:highlight w:val="none"/>
        </w:rPr>
        <w:t>上述所指“应知其权益受到损害之日”，是指：</w:t>
      </w:r>
    </w:p>
    <w:p>
      <w:pPr>
        <w:pStyle w:val="19"/>
        <w:snapToGrid w:val="0"/>
        <w:spacing w:line="450" w:lineRule="exact"/>
        <w:ind w:firstLine="480" w:firstLineChars="200"/>
        <w:rPr>
          <w:rFonts w:hAnsi="宋体"/>
          <w:bCs/>
          <w:color w:val="auto"/>
          <w:sz w:val="24"/>
          <w:szCs w:val="24"/>
          <w:highlight w:val="none"/>
        </w:rPr>
      </w:pPr>
      <w:r>
        <w:rPr>
          <w:rFonts w:hint="eastAsia" w:hAnsi="宋体"/>
          <w:bCs/>
          <w:color w:val="auto"/>
          <w:sz w:val="24"/>
          <w:szCs w:val="24"/>
          <w:highlight w:val="none"/>
        </w:rPr>
        <w:t>（1）对采购文件提出质疑的，为获取采购文件之日或者采购文件公告期限届满之日（采购文件公告期限届满后获取采购文件的，以采购文件公告期限届满之日为准）；</w:t>
      </w:r>
    </w:p>
    <w:p>
      <w:pPr>
        <w:pStyle w:val="19"/>
        <w:snapToGrid w:val="0"/>
        <w:spacing w:line="450" w:lineRule="exact"/>
        <w:ind w:firstLine="480" w:firstLineChars="200"/>
        <w:rPr>
          <w:rFonts w:hAnsi="宋体"/>
          <w:bCs/>
          <w:color w:val="auto"/>
          <w:sz w:val="24"/>
          <w:szCs w:val="24"/>
          <w:highlight w:val="none"/>
        </w:rPr>
      </w:pPr>
      <w:r>
        <w:rPr>
          <w:rFonts w:hint="eastAsia" w:hAnsi="宋体"/>
          <w:bCs/>
          <w:color w:val="auto"/>
          <w:sz w:val="24"/>
          <w:szCs w:val="24"/>
          <w:highlight w:val="none"/>
        </w:rPr>
        <w:t>（2）对采购过程提出质疑的，为各采购程序环节结束之日；</w:t>
      </w:r>
    </w:p>
    <w:p>
      <w:pPr>
        <w:pStyle w:val="19"/>
        <w:snapToGrid w:val="0"/>
        <w:spacing w:line="450" w:lineRule="exact"/>
        <w:ind w:firstLine="480" w:firstLineChars="200"/>
        <w:rPr>
          <w:rFonts w:hAnsi="宋体"/>
          <w:bCs/>
          <w:color w:val="auto"/>
          <w:sz w:val="24"/>
          <w:szCs w:val="24"/>
          <w:highlight w:val="none"/>
        </w:rPr>
      </w:pPr>
      <w:r>
        <w:rPr>
          <w:rFonts w:hint="eastAsia" w:hAnsi="宋体"/>
          <w:bCs/>
          <w:color w:val="auto"/>
          <w:sz w:val="24"/>
          <w:szCs w:val="24"/>
          <w:highlight w:val="none"/>
        </w:rPr>
        <w:t>（3）对中标或者成交结果提出质疑的，为中标或者成交结果公告期限届满之日。</w:t>
      </w:r>
    </w:p>
    <w:p>
      <w:pPr>
        <w:pStyle w:val="19"/>
        <w:snapToGrid w:val="0"/>
        <w:spacing w:line="450" w:lineRule="exact"/>
        <w:ind w:firstLine="480" w:firstLineChars="200"/>
        <w:rPr>
          <w:rFonts w:hAnsi="宋体"/>
          <w:bCs/>
          <w:color w:val="auto"/>
          <w:sz w:val="24"/>
          <w:szCs w:val="24"/>
          <w:highlight w:val="none"/>
        </w:rPr>
      </w:pPr>
      <w:r>
        <w:rPr>
          <w:rFonts w:hint="eastAsia" w:hAnsi="宋体"/>
          <w:bCs/>
          <w:color w:val="auto"/>
          <w:sz w:val="24"/>
          <w:szCs w:val="24"/>
          <w:highlight w:val="none"/>
        </w:rPr>
        <w:t>2、提出质疑的供应商应当是参与所质疑项目采购活动的供应商。潜在供应商已依法获取其可质疑的采购文件的</w:t>
      </w:r>
      <w:r>
        <w:rPr>
          <w:rFonts w:hint="eastAsia" w:hAnsi="宋体"/>
          <w:bCs/>
          <w:color w:val="auto"/>
          <w:sz w:val="24"/>
          <w:szCs w:val="24"/>
          <w:highlight w:val="none"/>
          <w:lang w:eastAsia="zh-CN"/>
        </w:rPr>
        <w:t>（应提供政采云平台依法获取截图）</w:t>
      </w:r>
      <w:r>
        <w:rPr>
          <w:rFonts w:hint="eastAsia" w:hAnsi="宋体"/>
          <w:bCs/>
          <w:color w:val="auto"/>
          <w:sz w:val="24"/>
          <w:szCs w:val="24"/>
          <w:highlight w:val="none"/>
        </w:rPr>
        <w:t>，可以对该文件提出质疑。对采购文件提出质疑的，应当在获取采购文件或者采购文件公告期限届满之日起7个工作日内提出。</w:t>
      </w:r>
    </w:p>
    <w:p>
      <w:pPr>
        <w:pStyle w:val="19"/>
        <w:snapToGrid w:val="0"/>
        <w:spacing w:line="450" w:lineRule="exact"/>
        <w:ind w:firstLine="480" w:firstLineChars="200"/>
        <w:rPr>
          <w:rFonts w:hAnsi="宋体"/>
          <w:bCs/>
          <w:color w:val="auto"/>
          <w:sz w:val="24"/>
          <w:szCs w:val="24"/>
          <w:highlight w:val="none"/>
        </w:rPr>
      </w:pPr>
      <w:r>
        <w:rPr>
          <w:rFonts w:hint="eastAsia" w:hAnsi="宋体"/>
          <w:bCs/>
          <w:color w:val="auto"/>
          <w:sz w:val="24"/>
          <w:szCs w:val="24"/>
          <w:highlight w:val="none"/>
        </w:rPr>
        <w:t>3、质疑供应商对采购人、采购</w:t>
      </w:r>
      <w:r>
        <w:rPr>
          <w:rFonts w:hint="eastAsia" w:hAnsi="宋体"/>
          <w:bCs/>
          <w:color w:val="auto"/>
          <w:sz w:val="24"/>
          <w:szCs w:val="24"/>
          <w:highlight w:val="none"/>
          <w:lang w:eastAsia="zh-CN"/>
        </w:rPr>
        <w:t>组织机构</w:t>
      </w:r>
      <w:r>
        <w:rPr>
          <w:rFonts w:hint="eastAsia" w:hAnsi="宋体"/>
          <w:bCs/>
          <w:color w:val="auto"/>
          <w:sz w:val="24"/>
          <w:szCs w:val="24"/>
          <w:highlight w:val="none"/>
        </w:rPr>
        <w:t>的答复不满意，或者采购人、采购</w:t>
      </w:r>
      <w:r>
        <w:rPr>
          <w:rFonts w:hint="eastAsia" w:hAnsi="宋体"/>
          <w:bCs/>
          <w:color w:val="auto"/>
          <w:sz w:val="24"/>
          <w:szCs w:val="24"/>
          <w:highlight w:val="none"/>
          <w:lang w:eastAsia="zh-CN"/>
        </w:rPr>
        <w:t>组织机构</w:t>
      </w:r>
      <w:r>
        <w:rPr>
          <w:rFonts w:hint="eastAsia" w:hAnsi="宋体"/>
          <w:bCs/>
          <w:color w:val="auto"/>
          <w:sz w:val="24"/>
          <w:szCs w:val="24"/>
          <w:highlight w:val="none"/>
        </w:rPr>
        <w:t>未在规定时间内作出答复的，可以在答复期满后15个工作日内向同级采购监管部门提起投诉。</w:t>
      </w:r>
    </w:p>
    <w:p>
      <w:pPr>
        <w:pStyle w:val="19"/>
        <w:snapToGrid w:val="0"/>
        <w:spacing w:line="450" w:lineRule="exact"/>
        <w:ind w:firstLine="480" w:firstLineChars="200"/>
        <w:rPr>
          <w:rFonts w:hAnsi="宋体"/>
          <w:bCs/>
          <w:color w:val="auto"/>
          <w:sz w:val="24"/>
          <w:szCs w:val="24"/>
          <w:highlight w:val="none"/>
        </w:rPr>
      </w:pPr>
      <w:r>
        <w:rPr>
          <w:rFonts w:hint="eastAsia" w:hAnsi="宋体"/>
          <w:bCs/>
          <w:color w:val="auto"/>
          <w:sz w:val="24"/>
          <w:szCs w:val="24"/>
          <w:highlight w:val="none"/>
        </w:rPr>
        <w:t>4、质疑、投诉应当采用书面形式（</w:t>
      </w:r>
      <w:r>
        <w:rPr>
          <w:rFonts w:hint="eastAsia" w:hAnsi="宋体"/>
          <w:bCs/>
          <w:color w:val="auto"/>
          <w:sz w:val="24"/>
          <w:szCs w:val="24"/>
          <w:highlight w:val="none"/>
          <w:lang w:eastAsia="zh-CN"/>
        </w:rPr>
        <w:t>或政采云平台在线提出，</w:t>
      </w:r>
      <w:r>
        <w:rPr>
          <w:rFonts w:hint="eastAsia" w:hAnsi="宋体"/>
          <w:bCs/>
          <w:color w:val="auto"/>
          <w:sz w:val="24"/>
          <w:szCs w:val="24"/>
          <w:highlight w:val="none"/>
          <w:lang w:val="en-US" w:eastAsia="zh-CN"/>
        </w:rPr>
        <w:t>路径为：政采云-项目采购-询问质疑投诉-质疑列表</w:t>
      </w:r>
      <w:r>
        <w:rPr>
          <w:rFonts w:hint="eastAsia" w:hAnsi="宋体"/>
          <w:bCs/>
          <w:color w:val="auto"/>
          <w:sz w:val="24"/>
          <w:szCs w:val="24"/>
          <w:highlight w:val="none"/>
        </w:rPr>
        <w:t>），经法定代表人或其授权代表签署后加盖单位公章，质疑书、投诉书均应明确阐述采购文件、招标过程和中标结果中使自己合法权益受到损害的实质性内容，投标人提出的质疑、投诉应当有明确的诉求（即通过质疑所要达到的具体目标）和必要的证明材料（即通过合法手段获得的能够证明投标人的诉求成立的必要材料）。</w:t>
      </w:r>
    </w:p>
    <w:p>
      <w:pPr>
        <w:pStyle w:val="19"/>
        <w:snapToGrid w:val="0"/>
        <w:spacing w:line="450" w:lineRule="exact"/>
        <w:ind w:firstLine="480" w:firstLineChars="200"/>
        <w:rPr>
          <w:rFonts w:hAnsi="宋体"/>
          <w:bCs/>
          <w:color w:val="auto"/>
          <w:sz w:val="24"/>
          <w:szCs w:val="24"/>
          <w:highlight w:val="none"/>
        </w:rPr>
      </w:pPr>
      <w:r>
        <w:rPr>
          <w:rFonts w:hint="eastAsia" w:hAnsi="宋体"/>
          <w:bCs/>
          <w:color w:val="auto"/>
          <w:sz w:val="24"/>
          <w:szCs w:val="24"/>
          <w:highlight w:val="none"/>
        </w:rPr>
        <w:t>质疑函应当包括下列内容：</w:t>
      </w:r>
    </w:p>
    <w:p>
      <w:pPr>
        <w:pStyle w:val="19"/>
        <w:snapToGrid w:val="0"/>
        <w:spacing w:line="450" w:lineRule="exact"/>
        <w:ind w:firstLine="480" w:firstLineChars="200"/>
        <w:rPr>
          <w:rFonts w:hAnsi="宋体"/>
          <w:bCs/>
          <w:color w:val="auto"/>
          <w:sz w:val="24"/>
          <w:szCs w:val="24"/>
          <w:highlight w:val="none"/>
        </w:rPr>
      </w:pPr>
      <w:r>
        <w:rPr>
          <w:rFonts w:hint="eastAsia" w:hAnsi="宋体"/>
          <w:bCs/>
          <w:color w:val="auto"/>
          <w:sz w:val="24"/>
          <w:szCs w:val="24"/>
          <w:highlight w:val="none"/>
        </w:rPr>
        <w:t>（1）供应商的姓名或者名称、地址、邮编、联系人及联系电话；</w:t>
      </w:r>
    </w:p>
    <w:p>
      <w:pPr>
        <w:pStyle w:val="19"/>
        <w:snapToGrid w:val="0"/>
        <w:spacing w:line="450" w:lineRule="exact"/>
        <w:ind w:firstLine="480" w:firstLineChars="200"/>
        <w:rPr>
          <w:rFonts w:hAnsi="宋体"/>
          <w:bCs/>
          <w:color w:val="auto"/>
          <w:sz w:val="24"/>
          <w:szCs w:val="24"/>
          <w:highlight w:val="none"/>
        </w:rPr>
      </w:pPr>
      <w:r>
        <w:rPr>
          <w:rFonts w:hint="eastAsia" w:hAnsi="宋体"/>
          <w:bCs/>
          <w:color w:val="auto"/>
          <w:sz w:val="24"/>
          <w:szCs w:val="24"/>
          <w:highlight w:val="none"/>
        </w:rPr>
        <w:t>（2）质疑项目的名称、编号；</w:t>
      </w:r>
    </w:p>
    <w:p>
      <w:pPr>
        <w:pStyle w:val="19"/>
        <w:snapToGrid w:val="0"/>
        <w:spacing w:line="450" w:lineRule="exact"/>
        <w:ind w:firstLine="480" w:firstLineChars="200"/>
        <w:rPr>
          <w:rFonts w:hAnsi="宋体"/>
          <w:bCs/>
          <w:color w:val="auto"/>
          <w:sz w:val="24"/>
          <w:szCs w:val="24"/>
          <w:highlight w:val="none"/>
        </w:rPr>
      </w:pPr>
      <w:r>
        <w:rPr>
          <w:rFonts w:hint="eastAsia" w:hAnsi="宋体"/>
          <w:bCs/>
          <w:color w:val="auto"/>
          <w:sz w:val="24"/>
          <w:szCs w:val="24"/>
          <w:highlight w:val="none"/>
        </w:rPr>
        <w:t>（3）具体、明确的质疑事项和与质疑事项相关的请求；</w:t>
      </w:r>
    </w:p>
    <w:p>
      <w:pPr>
        <w:pStyle w:val="19"/>
        <w:snapToGrid w:val="0"/>
        <w:spacing w:line="450" w:lineRule="exact"/>
        <w:ind w:firstLine="480" w:firstLineChars="200"/>
        <w:rPr>
          <w:rFonts w:hAnsi="宋体"/>
          <w:bCs/>
          <w:color w:val="auto"/>
          <w:sz w:val="24"/>
          <w:szCs w:val="24"/>
          <w:highlight w:val="none"/>
        </w:rPr>
      </w:pPr>
      <w:r>
        <w:rPr>
          <w:rFonts w:hint="eastAsia" w:hAnsi="宋体"/>
          <w:bCs/>
          <w:color w:val="auto"/>
          <w:sz w:val="24"/>
          <w:szCs w:val="24"/>
          <w:highlight w:val="none"/>
        </w:rPr>
        <w:t>（4）事实依据；</w:t>
      </w:r>
    </w:p>
    <w:p>
      <w:pPr>
        <w:pStyle w:val="19"/>
        <w:snapToGrid w:val="0"/>
        <w:spacing w:line="450" w:lineRule="exact"/>
        <w:ind w:firstLine="480" w:firstLineChars="200"/>
        <w:rPr>
          <w:rFonts w:hAnsi="宋体"/>
          <w:bCs/>
          <w:color w:val="auto"/>
          <w:sz w:val="24"/>
          <w:szCs w:val="24"/>
          <w:highlight w:val="none"/>
        </w:rPr>
      </w:pPr>
      <w:r>
        <w:rPr>
          <w:rFonts w:hint="eastAsia" w:hAnsi="宋体"/>
          <w:bCs/>
          <w:color w:val="auto"/>
          <w:sz w:val="24"/>
          <w:szCs w:val="24"/>
          <w:highlight w:val="none"/>
        </w:rPr>
        <w:t>（5）必要的法律依据；</w:t>
      </w:r>
    </w:p>
    <w:p>
      <w:pPr>
        <w:pStyle w:val="19"/>
        <w:snapToGrid w:val="0"/>
        <w:spacing w:line="450" w:lineRule="exact"/>
        <w:ind w:firstLine="480" w:firstLineChars="200"/>
        <w:rPr>
          <w:rFonts w:hAnsi="宋体"/>
          <w:bCs/>
          <w:color w:val="auto"/>
          <w:sz w:val="24"/>
          <w:szCs w:val="24"/>
          <w:highlight w:val="none"/>
        </w:rPr>
      </w:pPr>
      <w:r>
        <w:rPr>
          <w:rFonts w:hint="eastAsia" w:hAnsi="宋体"/>
          <w:bCs/>
          <w:color w:val="auto"/>
          <w:sz w:val="24"/>
          <w:szCs w:val="24"/>
          <w:highlight w:val="none"/>
        </w:rPr>
        <w:t>（6）提出质疑的日期。</w:t>
      </w:r>
    </w:p>
    <w:p>
      <w:pPr>
        <w:pStyle w:val="19"/>
        <w:snapToGrid w:val="0"/>
        <w:spacing w:line="450" w:lineRule="exact"/>
        <w:ind w:firstLine="482" w:firstLineChars="200"/>
        <w:rPr>
          <w:rFonts w:hAnsi="宋体"/>
          <w:b/>
          <w:color w:val="auto"/>
          <w:sz w:val="24"/>
          <w:szCs w:val="24"/>
          <w:highlight w:val="none"/>
        </w:rPr>
      </w:pPr>
      <w:r>
        <w:rPr>
          <w:rFonts w:hint="eastAsia" w:hAnsi="宋体"/>
          <w:b/>
          <w:color w:val="auto"/>
          <w:sz w:val="24"/>
          <w:szCs w:val="24"/>
          <w:highlight w:val="none"/>
        </w:rPr>
        <w:t>（八）其它说明</w:t>
      </w:r>
    </w:p>
    <w:p>
      <w:pPr>
        <w:pStyle w:val="19"/>
        <w:snapToGrid w:val="0"/>
        <w:spacing w:line="450" w:lineRule="exact"/>
        <w:ind w:firstLine="480" w:firstLineChars="200"/>
        <w:rPr>
          <w:rFonts w:hint="eastAsia"/>
          <w:lang w:eastAsia="zh-CN"/>
        </w:rPr>
      </w:pPr>
      <w:r>
        <w:rPr>
          <w:rFonts w:hint="eastAsia" w:hAnsi="宋体"/>
          <w:color w:val="auto"/>
          <w:sz w:val="24"/>
          <w:szCs w:val="24"/>
          <w:highlight w:val="none"/>
        </w:rPr>
        <w:t>1、投标人投标所使用的资格、信誉、荣誉、投标人业绩与企业认证必须为本法人所拥有。投标人投标所使用的采购项目</w:t>
      </w:r>
      <w:r>
        <w:rPr>
          <w:rFonts w:hint="eastAsia" w:hAnsi="宋体"/>
          <w:color w:val="auto"/>
          <w:sz w:val="24"/>
          <w:szCs w:val="24"/>
          <w:highlight w:val="none"/>
          <w:lang w:eastAsia="zh-CN"/>
        </w:rPr>
        <w:t>负责管理</w:t>
      </w:r>
      <w:r>
        <w:rPr>
          <w:rFonts w:hint="eastAsia" w:hAnsi="宋体"/>
          <w:color w:val="auto"/>
          <w:sz w:val="24"/>
          <w:szCs w:val="24"/>
          <w:highlight w:val="none"/>
        </w:rPr>
        <w:t>人员必须为投标人员工（或投标人控股公司正式员工）</w:t>
      </w:r>
      <w:r>
        <w:rPr>
          <w:rFonts w:hint="eastAsia" w:hAnsi="宋体"/>
          <w:color w:val="auto"/>
          <w:sz w:val="24"/>
          <w:szCs w:val="24"/>
          <w:highlight w:val="none"/>
          <w:lang w:eastAsia="zh-CN"/>
        </w:rPr>
        <w:t>。</w:t>
      </w:r>
    </w:p>
    <w:p>
      <w:pPr>
        <w:pStyle w:val="4"/>
        <w:keepNext w:val="0"/>
        <w:tabs>
          <w:tab w:val="left" w:pos="851"/>
          <w:tab w:val="left" w:pos="8280"/>
          <w:tab w:val="clear" w:pos="1260"/>
        </w:tabs>
        <w:snapToGrid w:val="0"/>
        <w:spacing w:line="450" w:lineRule="exact"/>
        <w:ind w:firstLine="480" w:firstLineChars="200"/>
        <w:rPr>
          <w:rFonts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lang w:val="en-US" w:eastAsia="zh-CN"/>
        </w:rPr>
        <w:t>2</w:t>
      </w:r>
      <w:r>
        <w:rPr>
          <w:rFonts w:hint="eastAsia" w:ascii="宋体" w:hAnsi="宋体" w:eastAsia="宋体"/>
          <w:b w:val="0"/>
          <w:bCs w:val="0"/>
          <w:color w:val="auto"/>
          <w:sz w:val="24"/>
          <w:szCs w:val="24"/>
          <w:highlight w:val="none"/>
        </w:rPr>
        <w:t>、单位负责人为同一人或者存在直接控股、管理关系的不同供应商，不得参加同一合同项下的政府采购活动。</w:t>
      </w:r>
    </w:p>
    <w:p>
      <w:pPr>
        <w:pStyle w:val="21"/>
        <w:ind w:left="0" w:leftChars="0" w:firstLine="0" w:firstLineChars="0"/>
      </w:pPr>
    </w:p>
    <w:p>
      <w:pPr>
        <w:spacing w:line="450" w:lineRule="exact"/>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lang w:val="en-US" w:eastAsia="zh-CN"/>
        </w:rPr>
        <w:t>3</w:t>
      </w:r>
      <w:r>
        <w:rPr>
          <w:rFonts w:hint="eastAsia" w:ascii="宋体" w:hAnsi="宋体" w:eastAsia="宋体"/>
          <w:b/>
          <w:bCs/>
          <w:color w:val="auto"/>
          <w:sz w:val="24"/>
          <w:szCs w:val="24"/>
          <w:highlight w:val="none"/>
        </w:rPr>
        <w:t>、</w:t>
      </w:r>
      <w:r>
        <w:rPr>
          <w:rFonts w:hint="eastAsia" w:ascii="宋体" w:hAnsi="宋体"/>
          <w:b/>
          <w:bCs/>
          <w:color w:val="auto"/>
          <w:sz w:val="24"/>
          <w:szCs w:val="24"/>
          <w:highlight w:val="none"/>
        </w:rPr>
        <w:t>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b/>
          <w:bCs/>
          <w:color w:val="auto"/>
          <w:sz w:val="24"/>
          <w:szCs w:val="24"/>
          <w:highlight w:val="none"/>
        </w:rPr>
        <w:tab/>
      </w:r>
    </w:p>
    <w:p>
      <w:pPr>
        <w:pStyle w:val="63"/>
        <w:snapToGrid w:val="0"/>
        <w:spacing w:line="450" w:lineRule="exact"/>
        <w:ind w:firstLine="480"/>
        <w:rPr>
          <w:rFonts w:ascii="宋体" w:hAnsi="宋体"/>
          <w:b/>
          <w:bCs/>
          <w:color w:val="auto"/>
          <w:sz w:val="24"/>
          <w:szCs w:val="24"/>
          <w:highlight w:val="none"/>
        </w:rPr>
      </w:pPr>
      <w:r>
        <w:rPr>
          <w:rFonts w:hint="eastAsia" w:ascii="宋体" w:hAnsi="宋体"/>
          <w:b/>
          <w:bCs/>
          <w:color w:val="auto"/>
          <w:sz w:val="24"/>
          <w:szCs w:val="24"/>
          <w:highlight w:val="none"/>
          <w:lang w:val="en-US" w:eastAsia="zh-CN"/>
        </w:rPr>
        <w:t>4</w:t>
      </w:r>
      <w:r>
        <w:rPr>
          <w:rFonts w:hint="eastAsia" w:ascii="宋体" w:hAnsi="宋体"/>
          <w:b/>
          <w:bCs/>
          <w:color w:val="auto"/>
          <w:sz w:val="24"/>
          <w:szCs w:val="24"/>
          <w:highlight w:val="none"/>
        </w:rPr>
        <w:t>、</w:t>
      </w:r>
      <w:r>
        <w:rPr>
          <w:rFonts w:ascii="宋体" w:hAnsi="宋体"/>
          <w:b/>
          <w:bCs/>
          <w:color w:val="auto"/>
          <w:sz w:val="24"/>
          <w:szCs w:val="24"/>
          <w:highlight w:val="none"/>
        </w:rPr>
        <w:t>投标人在投标活动中提供任何虚假材料</w:t>
      </w:r>
      <w:r>
        <w:rPr>
          <w:rFonts w:hint="eastAsia" w:ascii="宋体" w:hAnsi="宋体"/>
          <w:b/>
          <w:bCs/>
          <w:color w:val="auto"/>
          <w:sz w:val="24"/>
          <w:szCs w:val="24"/>
          <w:highlight w:val="none"/>
        </w:rPr>
        <w:t>，</w:t>
      </w:r>
      <w:r>
        <w:rPr>
          <w:rFonts w:ascii="宋体" w:hAnsi="宋体"/>
          <w:b/>
          <w:bCs/>
          <w:color w:val="auto"/>
          <w:sz w:val="24"/>
          <w:szCs w:val="24"/>
          <w:highlight w:val="none"/>
        </w:rPr>
        <w:t>其投标无效，并报监管部门查处；中标后发现的,根据《中华人民共和国政府采购法》第七十七条第一款第一项之规定</w:t>
      </w:r>
      <w:r>
        <w:rPr>
          <w:rFonts w:hint="eastAsia" w:ascii="宋体" w:hAnsi="宋体"/>
          <w:b/>
          <w:bCs/>
          <w:color w:val="auto"/>
          <w:sz w:val="24"/>
          <w:szCs w:val="24"/>
          <w:highlight w:val="none"/>
        </w:rPr>
        <w:t>，</w:t>
      </w:r>
      <w:r>
        <w:rPr>
          <w:rFonts w:ascii="宋体" w:hAnsi="宋体"/>
          <w:b/>
          <w:bCs/>
          <w:color w:val="auto"/>
          <w:sz w:val="24"/>
          <w:szCs w:val="24"/>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b/>
          <w:bCs/>
          <w:color w:val="auto"/>
          <w:sz w:val="24"/>
          <w:szCs w:val="24"/>
          <w:highlight w:val="none"/>
        </w:rPr>
        <w:t>。</w:t>
      </w:r>
    </w:p>
    <w:p>
      <w:pPr>
        <w:pStyle w:val="4"/>
        <w:keepNext w:val="0"/>
        <w:tabs>
          <w:tab w:val="left" w:pos="851"/>
          <w:tab w:val="left" w:pos="8280"/>
          <w:tab w:val="clear" w:pos="1260"/>
        </w:tabs>
        <w:snapToGrid w:val="0"/>
        <w:spacing w:line="450" w:lineRule="exact"/>
        <w:ind w:firstLine="480" w:firstLineChars="200"/>
        <w:rPr>
          <w:rFonts w:ascii="宋体" w:hAnsi="宋体" w:eastAsia="宋体" w:cs="Times New Roman"/>
          <w:b w:val="0"/>
          <w:bCs w:val="0"/>
          <w:color w:val="auto"/>
          <w:sz w:val="24"/>
          <w:szCs w:val="24"/>
          <w:highlight w:val="none"/>
        </w:rPr>
      </w:pPr>
      <w:r>
        <w:rPr>
          <w:rFonts w:hint="eastAsia" w:hAnsi="宋体"/>
          <w:b w:val="0"/>
          <w:bCs w:val="0"/>
          <w:color w:val="auto"/>
          <w:sz w:val="24"/>
          <w:szCs w:val="24"/>
          <w:highlight w:val="none"/>
          <w:lang w:val="en-US" w:eastAsia="zh-CN"/>
        </w:rPr>
        <w:t>5</w:t>
      </w:r>
      <w:r>
        <w:rPr>
          <w:rFonts w:hint="eastAsia" w:ascii="宋体" w:hAnsi="宋体" w:eastAsia="宋体"/>
          <w:b w:val="0"/>
          <w:bCs w:val="0"/>
          <w:color w:val="auto"/>
          <w:sz w:val="24"/>
          <w:szCs w:val="24"/>
          <w:highlight w:val="none"/>
        </w:rPr>
        <w:t>、投标人被列入“黑名单”的，采购组织单位将根据《浙江省政府采购供应商注册及诚信管理暂行办法》第四十六条之规定，在处罚有效期内，资格审查时不予通过。</w:t>
      </w:r>
    </w:p>
    <w:p>
      <w:pPr>
        <w:pStyle w:val="4"/>
        <w:keepNext w:val="0"/>
        <w:tabs>
          <w:tab w:val="left" w:pos="851"/>
          <w:tab w:val="left" w:pos="8280"/>
          <w:tab w:val="clear" w:pos="1260"/>
        </w:tabs>
        <w:snapToGrid w:val="0"/>
        <w:spacing w:line="450" w:lineRule="exact"/>
        <w:ind w:firstLine="480" w:firstLineChars="200"/>
        <w:rPr>
          <w:rFonts w:ascii="宋体" w:hAnsi="宋体" w:eastAsia="宋体"/>
          <w:b w:val="0"/>
          <w:bCs w:val="0"/>
          <w:color w:val="auto"/>
          <w:sz w:val="24"/>
          <w:szCs w:val="24"/>
          <w:highlight w:val="none"/>
        </w:rPr>
      </w:pPr>
      <w:r>
        <w:rPr>
          <w:rFonts w:hint="eastAsia" w:hAnsi="宋体"/>
          <w:b w:val="0"/>
          <w:bCs w:val="0"/>
          <w:color w:val="auto"/>
          <w:sz w:val="24"/>
          <w:szCs w:val="24"/>
          <w:highlight w:val="none"/>
          <w:lang w:val="en-US" w:eastAsia="zh-CN"/>
        </w:rPr>
        <w:t>6</w:t>
      </w:r>
      <w:r>
        <w:rPr>
          <w:rFonts w:hint="eastAsia" w:ascii="宋体" w:hAnsi="宋体" w:eastAsia="宋体"/>
          <w:b w:val="0"/>
          <w:bCs w:val="0"/>
          <w:color w:val="auto"/>
          <w:sz w:val="24"/>
          <w:szCs w:val="24"/>
          <w:highlight w:val="none"/>
        </w:rPr>
        <w:t>、投标人不得相互串通投标报价，不得妨碍其他投标人的公平竞争，不得损害采购人或其他投标人的合法权益，投标人不得以向采购人、评标委员会成员行贿或者采取其他不正当手段谋取中标。</w:t>
      </w:r>
    </w:p>
    <w:p>
      <w:pPr>
        <w:pStyle w:val="4"/>
        <w:keepNext w:val="0"/>
        <w:tabs>
          <w:tab w:val="left" w:pos="851"/>
          <w:tab w:val="left" w:pos="8280"/>
          <w:tab w:val="clear" w:pos="1260"/>
        </w:tabs>
        <w:snapToGrid w:val="0"/>
        <w:spacing w:line="450" w:lineRule="exact"/>
        <w:ind w:firstLine="480" w:firstLineChars="200"/>
        <w:rPr>
          <w:rFonts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lang w:val="en-US" w:eastAsia="zh-CN"/>
        </w:rPr>
        <w:t>7</w:t>
      </w:r>
      <w:r>
        <w:rPr>
          <w:rFonts w:hint="eastAsia" w:ascii="宋体" w:hAnsi="宋体" w:eastAsia="宋体"/>
          <w:b w:val="0"/>
          <w:bCs w:val="0"/>
          <w:color w:val="auto"/>
          <w:sz w:val="24"/>
          <w:szCs w:val="24"/>
          <w:highlight w:val="none"/>
        </w:rPr>
        <w:t>、为采购项目提供整体设计、规范编制或者项目管理、监理、检测等服务的供应商，不得再参加该采购项目的其他采购活动。</w:t>
      </w:r>
    </w:p>
    <w:p>
      <w:pPr>
        <w:pStyle w:val="4"/>
        <w:keepNext w:val="0"/>
        <w:tabs>
          <w:tab w:val="left" w:pos="851"/>
          <w:tab w:val="left" w:pos="8280"/>
          <w:tab w:val="clear" w:pos="1260"/>
        </w:tabs>
        <w:snapToGrid w:val="0"/>
        <w:spacing w:line="450" w:lineRule="exact"/>
        <w:ind w:firstLine="480" w:firstLineChars="200"/>
        <w:rPr>
          <w:rFonts w:ascii="宋体" w:hAnsi="宋体" w:eastAsia="宋体"/>
          <w:b w:val="0"/>
          <w:bCs w:val="0"/>
          <w:color w:val="auto"/>
          <w:sz w:val="24"/>
          <w:szCs w:val="24"/>
          <w:highlight w:val="none"/>
        </w:rPr>
      </w:pPr>
      <w:r>
        <w:rPr>
          <w:rFonts w:hint="eastAsia" w:hAnsi="宋体"/>
          <w:b w:val="0"/>
          <w:bCs w:val="0"/>
          <w:color w:val="auto"/>
          <w:sz w:val="24"/>
          <w:szCs w:val="24"/>
          <w:highlight w:val="none"/>
          <w:lang w:val="en-US" w:eastAsia="zh-CN"/>
        </w:rPr>
        <w:t>8</w:t>
      </w:r>
      <w:r>
        <w:rPr>
          <w:rFonts w:hint="eastAsia" w:ascii="宋体" w:hAnsi="宋体" w:eastAsia="宋体"/>
          <w:b w:val="0"/>
          <w:bCs w:val="0"/>
          <w:color w:val="auto"/>
          <w:sz w:val="24"/>
          <w:szCs w:val="24"/>
          <w:highlight w:val="none"/>
        </w:rPr>
        <w:t>、电子投标文件格式中的表格式样可以根据项目差别做适当调整,但应当保持表格样式基本形态不变。</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450" w:lineRule="exact"/>
        <w:ind w:right="1800"/>
        <w:rPr>
          <w:rFonts w:ascii="宋体" w:hAnsi="宋体"/>
          <w:b/>
          <w:color w:val="auto"/>
          <w:sz w:val="24"/>
          <w:szCs w:val="24"/>
          <w:highlight w:val="none"/>
        </w:rPr>
      </w:pPr>
      <w:r>
        <w:rPr>
          <w:rFonts w:hint="eastAsia" w:ascii="宋体" w:hAnsi="宋体"/>
          <w:b/>
          <w:color w:val="auto"/>
          <w:sz w:val="24"/>
          <w:szCs w:val="24"/>
          <w:highlight w:val="none"/>
        </w:rPr>
        <w:t>二、招标文件</w:t>
      </w:r>
    </w:p>
    <w:p>
      <w:pPr>
        <w:autoSpaceDE w:val="0"/>
        <w:autoSpaceDN w:val="0"/>
        <w:adjustRightInd w:val="0"/>
        <w:spacing w:line="450" w:lineRule="exact"/>
        <w:ind w:firstLine="482" w:firstLineChars="200"/>
        <w:rPr>
          <w:rFonts w:ascii="宋体" w:hAnsi="宋体"/>
          <w:color w:val="auto"/>
          <w:sz w:val="24"/>
          <w:szCs w:val="24"/>
          <w:highlight w:val="none"/>
        </w:rPr>
      </w:pPr>
      <w:r>
        <w:rPr>
          <w:rFonts w:hint="eastAsia" w:ascii="宋体" w:hAnsi="宋体"/>
          <w:b/>
          <w:bCs/>
          <w:color w:val="auto"/>
          <w:sz w:val="24"/>
          <w:szCs w:val="24"/>
          <w:highlight w:val="none"/>
        </w:rPr>
        <w:t>（一）招标文件由招标文件总目录所列内容组成。</w:t>
      </w:r>
    </w:p>
    <w:p>
      <w:pPr>
        <w:autoSpaceDE w:val="0"/>
        <w:autoSpaceDN w:val="0"/>
        <w:adjustRightInd w:val="0"/>
        <w:spacing w:line="450" w:lineRule="exact"/>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（二）投标人的风险</w:t>
      </w:r>
    </w:p>
    <w:p>
      <w:pPr>
        <w:autoSpaceDE w:val="0"/>
        <w:autoSpaceDN w:val="0"/>
        <w:adjustRightInd w:val="0"/>
        <w:spacing w:line="4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投标人没有按照招标文件要求提供全部资料，或者投标人没有对招标文件在各方面作出实质性响应是投标人的风险，并可能导致其投标被拒绝。</w:t>
      </w:r>
    </w:p>
    <w:p>
      <w:pPr>
        <w:autoSpaceDE w:val="0"/>
        <w:autoSpaceDN w:val="0"/>
        <w:adjustRightInd w:val="0"/>
        <w:spacing w:line="450" w:lineRule="exact"/>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（三）招标文件的澄清或修改</w:t>
      </w:r>
    </w:p>
    <w:p>
      <w:pPr>
        <w:autoSpaceDE w:val="0"/>
        <w:autoSpaceDN w:val="0"/>
        <w:adjustRightInd w:val="0"/>
        <w:spacing w:line="4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1、投标人应认真阅读本招标文件，发现其中有误或有要求不合理的，投标人必须在投标须知前附表规定的招标文件答疑与澄清截止时间前以书面形式要求采购组织机构澄清。</w:t>
      </w:r>
    </w:p>
    <w:p>
      <w:pPr>
        <w:autoSpaceDE w:val="0"/>
        <w:autoSpaceDN w:val="0"/>
        <w:adjustRightInd w:val="0"/>
        <w:spacing w:line="4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2、采购组织机构必须以书面形式答复投标人要求澄清的问题，并将不包含问题来源的答复书面通知所有依法获取招标文件的投标人。</w:t>
      </w:r>
    </w:p>
    <w:p>
      <w:pPr>
        <w:autoSpaceDE w:val="0"/>
        <w:autoSpaceDN w:val="0"/>
        <w:adjustRightInd w:val="0"/>
        <w:spacing w:line="4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highlight w:val="none"/>
        </w:rPr>
        <w:t>采购组织机构</w:t>
      </w:r>
      <w:r>
        <w:rPr>
          <w:rFonts w:hint="eastAsia" w:ascii="宋体" w:hAnsi="宋体"/>
          <w:color w:val="auto"/>
          <w:sz w:val="24"/>
          <w:szCs w:val="24"/>
          <w:highlight w:val="none"/>
        </w:rPr>
        <w:t xml:space="preserve">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autoSpaceDE w:val="0"/>
        <w:autoSpaceDN w:val="0"/>
        <w:adjustRightInd w:val="0"/>
        <w:spacing w:line="4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4、招标文件澄清、答复、修改、补充的内容为招标文件的组成部分。当招标文件与招标文件的答复、澄清、修改、补充通知就同一内容的表述不一致时，以最后发出的书面文件为准。</w:t>
      </w:r>
    </w:p>
    <w:p>
      <w:pPr>
        <w:autoSpaceDE w:val="0"/>
        <w:autoSpaceDN w:val="0"/>
        <w:adjustRightInd w:val="0"/>
        <w:spacing w:line="4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宋体" w:hAnsi="宋体"/>
          <w:color w:val="auto"/>
          <w:sz w:val="24"/>
          <w:szCs w:val="24"/>
          <w:highlight w:val="none"/>
        </w:rPr>
        <w:t>。</w:t>
      </w:r>
    </w:p>
    <w:p>
      <w:pPr>
        <w:tabs>
          <w:tab w:val="left" w:pos="1418"/>
        </w:tabs>
        <w:autoSpaceDE w:val="0"/>
        <w:autoSpaceDN w:val="0"/>
        <w:adjustRightInd w:val="0"/>
        <w:spacing w:line="450" w:lineRule="exact"/>
        <w:rPr>
          <w:rFonts w:ascii="宋体" w:hAnsi="宋体"/>
          <w:b/>
          <w:color w:val="auto"/>
          <w:sz w:val="24"/>
          <w:szCs w:val="24"/>
          <w:highlight w:val="none"/>
        </w:rPr>
      </w:pPr>
      <w:r>
        <w:rPr>
          <w:rFonts w:hint="eastAsia" w:ascii="宋体" w:hAnsi="宋体"/>
          <w:b/>
          <w:color w:val="auto"/>
          <w:sz w:val="24"/>
          <w:szCs w:val="24"/>
          <w:highlight w:val="none"/>
        </w:rPr>
        <w:t>三、投标文件</w:t>
      </w:r>
    </w:p>
    <w:p>
      <w:pPr>
        <w:autoSpaceDE w:val="0"/>
        <w:autoSpaceDN w:val="0"/>
        <w:adjustRightInd w:val="0"/>
        <w:spacing w:line="450" w:lineRule="exact"/>
        <w:ind w:firstLine="482" w:firstLineChars="200"/>
        <w:rPr>
          <w:rFonts w:ascii="宋体" w:hAnsi="宋体"/>
          <w:b/>
          <w:color w:val="auto"/>
          <w:sz w:val="24"/>
          <w:szCs w:val="24"/>
          <w:highlight w:val="none"/>
          <w:lang w:val="zh-CN"/>
        </w:rPr>
      </w:pPr>
      <w:r>
        <w:rPr>
          <w:rFonts w:hint="eastAsia" w:ascii="宋体" w:hAnsi="宋体"/>
          <w:b/>
          <w:color w:val="auto"/>
          <w:sz w:val="24"/>
          <w:szCs w:val="24"/>
          <w:highlight w:val="none"/>
          <w:lang w:val="zh-CN"/>
        </w:rPr>
        <w:t>（一）投标文件的形式</w:t>
      </w:r>
    </w:p>
    <w:p>
      <w:pPr>
        <w:autoSpaceDE w:val="0"/>
        <w:autoSpaceDN w:val="0"/>
        <w:adjustRightInd w:val="0"/>
        <w:spacing w:line="450" w:lineRule="exact"/>
        <w:ind w:firstLine="480" w:firstLineChars="200"/>
        <w:rPr>
          <w:rFonts w:ascii="宋体" w:hAnsi="宋体"/>
          <w:bCs/>
          <w:color w:val="auto"/>
          <w:sz w:val="24"/>
          <w:szCs w:val="24"/>
          <w:highlight w:val="none"/>
          <w:lang w:val="zh-CN"/>
        </w:rPr>
      </w:pPr>
      <w:r>
        <w:rPr>
          <w:rFonts w:hint="eastAsia" w:ascii="宋体" w:hAnsi="宋体"/>
          <w:bCs/>
          <w:color w:val="auto"/>
          <w:sz w:val="24"/>
          <w:szCs w:val="24"/>
          <w:highlight w:val="none"/>
          <w:lang w:val="zh-CN"/>
        </w:rPr>
        <w:t>投标文件的形式：电子加密投标文件（是指通过“政采云电子交易客户端”完成投标文件编制后生成并加密的数据电文形式的投标文件，文件格式“.jmbs”）。</w:t>
      </w:r>
    </w:p>
    <w:p>
      <w:pPr>
        <w:autoSpaceDE w:val="0"/>
        <w:autoSpaceDN w:val="0"/>
        <w:adjustRightInd w:val="0"/>
        <w:spacing w:line="450" w:lineRule="exact"/>
        <w:ind w:firstLine="482" w:firstLineChars="200"/>
        <w:rPr>
          <w:rFonts w:ascii="宋体" w:hAnsi="宋体"/>
          <w:b/>
          <w:bCs/>
          <w:color w:val="auto"/>
          <w:sz w:val="24"/>
          <w:szCs w:val="24"/>
          <w:highlight w:val="none"/>
        </w:rPr>
      </w:pPr>
      <w:r>
        <w:rPr>
          <w:rFonts w:hint="eastAsia" w:ascii="宋体" w:hAnsi="宋体"/>
          <w:b/>
          <w:color w:val="auto"/>
          <w:sz w:val="24"/>
          <w:szCs w:val="24"/>
          <w:highlight w:val="none"/>
          <w:lang w:val="zh-CN"/>
        </w:rPr>
        <w:t>（</w:t>
      </w:r>
      <w:r>
        <w:rPr>
          <w:rFonts w:hint="eastAsia" w:ascii="宋体" w:hAnsi="宋体"/>
          <w:b/>
          <w:color w:val="auto"/>
          <w:sz w:val="24"/>
          <w:szCs w:val="24"/>
          <w:highlight w:val="none"/>
        </w:rPr>
        <w:t>二</w:t>
      </w:r>
      <w:r>
        <w:rPr>
          <w:rFonts w:hint="eastAsia" w:ascii="宋体" w:hAnsi="宋体"/>
          <w:b/>
          <w:color w:val="auto"/>
          <w:sz w:val="24"/>
          <w:szCs w:val="24"/>
          <w:highlight w:val="none"/>
          <w:lang w:val="zh-CN"/>
        </w:rPr>
        <w:t>）</w:t>
      </w:r>
      <w:r>
        <w:rPr>
          <w:rFonts w:hint="eastAsia" w:ascii="宋体" w:hAnsi="宋体"/>
          <w:b/>
          <w:bCs/>
          <w:color w:val="auto"/>
          <w:sz w:val="24"/>
          <w:szCs w:val="24"/>
          <w:highlight w:val="none"/>
        </w:rPr>
        <w:t>投标文件的组成</w:t>
      </w:r>
    </w:p>
    <w:p>
      <w:pPr>
        <w:numPr>
          <w:ilvl w:val="0"/>
          <w:numId w:val="0"/>
        </w:numPr>
        <w:autoSpaceDE w:val="0"/>
        <w:autoSpaceDN w:val="0"/>
        <w:adjustRightInd w:val="0"/>
        <w:spacing w:line="450" w:lineRule="exact"/>
        <w:ind w:firstLine="480" w:firstLineChars="200"/>
        <w:rPr>
          <w:rFonts w:ascii="宋体" w:hAnsi="宋体" w:cs="宋体"/>
          <w:bCs/>
          <w:color w:val="auto"/>
          <w:sz w:val="24"/>
          <w:szCs w:val="24"/>
          <w:highlight w:val="none"/>
        </w:rPr>
      </w:pPr>
      <w:r>
        <w:rPr>
          <w:rFonts w:hint="eastAsia" w:ascii="宋体" w:hAnsi="宋体" w:eastAsia="宋体"/>
          <w:bCs/>
          <w:kern w:val="0"/>
          <w:sz w:val="24"/>
        </w:rPr>
        <w:t>投标文件应按照招标文件</w:t>
      </w:r>
      <w:r>
        <w:rPr>
          <w:rFonts w:hint="eastAsia" w:ascii="宋体" w:hAnsi="宋体" w:eastAsia="宋体"/>
          <w:b/>
          <w:bCs w:val="0"/>
          <w:kern w:val="0"/>
          <w:sz w:val="24"/>
        </w:rPr>
        <w:t>第六章“投标文件格式”的</w:t>
      </w:r>
      <w:r>
        <w:rPr>
          <w:rFonts w:hint="eastAsia" w:ascii="宋体" w:hAnsi="宋体" w:eastAsia="宋体"/>
          <w:b/>
          <w:bCs w:val="0"/>
          <w:kern w:val="0"/>
          <w:sz w:val="24"/>
          <w:lang w:eastAsia="zh-CN"/>
        </w:rPr>
        <w:t>内容</w:t>
      </w:r>
      <w:r>
        <w:rPr>
          <w:rFonts w:hint="eastAsia" w:ascii="宋体" w:hAnsi="宋体" w:eastAsia="宋体"/>
          <w:b/>
          <w:bCs w:val="0"/>
          <w:kern w:val="0"/>
          <w:sz w:val="24"/>
        </w:rPr>
        <w:t>要求进行编写</w:t>
      </w:r>
      <w:r>
        <w:rPr>
          <w:rFonts w:hint="eastAsia" w:ascii="宋体" w:hAnsi="宋体" w:eastAsia="宋体"/>
          <w:bCs/>
          <w:kern w:val="0"/>
          <w:sz w:val="24"/>
        </w:rPr>
        <w:t>，可以增加附页。</w:t>
      </w:r>
      <w:r>
        <w:rPr>
          <w:rFonts w:hint="eastAsia" w:ascii="宋体" w:hAnsi="宋体" w:cs="宋体"/>
          <w:bCs/>
          <w:color w:val="auto"/>
          <w:sz w:val="24"/>
          <w:szCs w:val="24"/>
          <w:highlight w:val="none"/>
        </w:rPr>
        <w:t>投标文件由</w:t>
      </w:r>
      <w:r>
        <w:rPr>
          <w:rFonts w:hint="eastAsia" w:ascii="宋体" w:hAnsi="宋体" w:cs="宋体"/>
          <w:b/>
          <w:color w:val="auto"/>
          <w:sz w:val="24"/>
          <w:szCs w:val="24"/>
          <w:highlight w:val="none"/>
        </w:rPr>
        <w:t>资格证明文件、商务与技术文件、报价文件</w:t>
      </w:r>
      <w:r>
        <w:rPr>
          <w:rFonts w:hint="eastAsia" w:ascii="宋体" w:hAnsi="宋体" w:cs="宋体"/>
          <w:bCs/>
          <w:color w:val="auto"/>
          <w:sz w:val="24"/>
          <w:szCs w:val="24"/>
          <w:highlight w:val="none"/>
        </w:rPr>
        <w:t>组成。其中电子投标文件中所须加盖公章部分均采用CA</w:t>
      </w:r>
      <w:r>
        <w:rPr>
          <w:rFonts w:hint="eastAsia" w:ascii="宋体" w:hAnsi="宋体" w:cs="宋体"/>
          <w:bCs/>
          <w:color w:val="auto"/>
          <w:sz w:val="24"/>
          <w:szCs w:val="24"/>
          <w:highlight w:val="none"/>
          <w:lang w:eastAsia="zh-CN"/>
        </w:rPr>
        <w:t>签章</w:t>
      </w:r>
      <w:r>
        <w:rPr>
          <w:rFonts w:hint="eastAsia" w:ascii="宋体" w:hAnsi="宋体" w:cs="宋体"/>
          <w:bCs/>
          <w:color w:val="auto"/>
          <w:sz w:val="24"/>
          <w:szCs w:val="24"/>
          <w:highlight w:val="none"/>
        </w:rPr>
        <w:t>。</w:t>
      </w:r>
    </w:p>
    <w:p>
      <w:pPr>
        <w:widowControl w:val="0"/>
        <w:spacing w:line="450" w:lineRule="exact"/>
        <w:ind w:firstLine="482" w:firstLineChars="200"/>
        <w:jc w:val="both"/>
        <w:rPr>
          <w:rFonts w:ascii="宋体" w:hAnsi="宋体"/>
          <w:b/>
          <w:color w:val="auto"/>
          <w:sz w:val="24"/>
          <w:szCs w:val="24"/>
          <w:highlight w:val="none"/>
          <w:lang w:val="zh-CN"/>
        </w:rPr>
      </w:pPr>
      <w:r>
        <w:rPr>
          <w:rFonts w:hint="eastAsia" w:ascii="宋体" w:hAnsi="宋体"/>
          <w:b/>
          <w:color w:val="auto"/>
          <w:sz w:val="24"/>
          <w:szCs w:val="24"/>
          <w:highlight w:val="none"/>
          <w:lang w:val="zh-CN"/>
        </w:rPr>
        <w:t>（三）投标文件的编制</w:t>
      </w:r>
    </w:p>
    <w:p>
      <w:pPr>
        <w:widowControl w:val="0"/>
        <w:spacing w:line="450" w:lineRule="exact"/>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lang w:val="zh-CN"/>
        </w:rPr>
        <w:t>1、依据《浙江省政府采购项目电子交易管理暂行办法》，本项目通过“政府采购云平台”（网址：</w:t>
      </w:r>
      <w:r>
        <w:rPr>
          <w:color w:val="auto"/>
          <w:highlight w:val="none"/>
        </w:rPr>
        <w:fldChar w:fldCharType="begin"/>
      </w:r>
      <w:r>
        <w:rPr>
          <w:color w:val="auto"/>
          <w:highlight w:val="none"/>
        </w:rPr>
        <w:instrText xml:space="preserve"> HYPERLINK "http://www.zcygov.cn）实行电子交易（在线投标响应）。供应商参加本项目电子交易应当安装“政采云电子交易客户端”，并按照本采购文件和“政府采购云平台”的要求编制并加密投标文件。供应商未按规定加密的投标文件，“政府采购云平台”将予以拒收。" </w:instrText>
      </w:r>
      <w:r>
        <w:rPr>
          <w:color w:val="auto"/>
          <w:highlight w:val="none"/>
        </w:rPr>
        <w:fldChar w:fldCharType="separate"/>
      </w:r>
      <w:r>
        <w:rPr>
          <w:rFonts w:hint="eastAsia" w:ascii="宋体" w:hAnsi="宋体"/>
          <w:bCs/>
          <w:color w:val="auto"/>
          <w:sz w:val="24"/>
          <w:szCs w:val="24"/>
          <w:highlight w:val="none"/>
          <w:lang w:val="zh-CN"/>
        </w:rPr>
        <w:t>www.zcygov.cn）实行电子交易（在线投标响应）。投标人参加本项目电子交易应当安装“政采云电子交易客户端”，并按照本采购文件规定和“政府采购云平台”的要求编制电子投标文件</w:t>
      </w:r>
      <w:r>
        <w:rPr>
          <w:rFonts w:hint="eastAsia" w:ascii="宋体" w:hAnsi="宋体" w:eastAsia="宋体" w:cs="Times New Roman"/>
          <w:bCs/>
          <w:color w:val="auto"/>
          <w:sz w:val="24"/>
          <w:szCs w:val="24"/>
          <w:highlight w:val="none"/>
          <w:lang w:val="zh-CN"/>
        </w:rPr>
        <w:t>并进行关联定位。</w:t>
      </w:r>
      <w:r>
        <w:rPr>
          <w:rFonts w:hint="eastAsia" w:ascii="宋体" w:hAnsi="宋体"/>
          <w:bCs/>
          <w:color w:val="auto"/>
          <w:sz w:val="24"/>
          <w:szCs w:val="24"/>
          <w:highlight w:val="none"/>
          <w:lang w:val="zh-CN"/>
        </w:rPr>
        <w:fldChar w:fldCharType="end"/>
      </w:r>
    </w:p>
    <w:p>
      <w:pPr>
        <w:widowControl w:val="0"/>
        <w:spacing w:line="450" w:lineRule="exact"/>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lang w:val="zh-CN"/>
        </w:rPr>
        <w:t>2、投标文件内容不完整、编排混乱导致投标文件被误读、漏读或者查找不到相关内容的，是投标人的责任。</w:t>
      </w:r>
    </w:p>
    <w:p>
      <w:pPr>
        <w:spacing w:line="440" w:lineRule="exact"/>
        <w:ind w:firstLine="480" w:firstLineChars="200"/>
        <w:jc w:val="left"/>
        <w:rPr>
          <w:rFonts w:ascii="宋体" w:hAnsi="宋体" w:cs="宋体"/>
          <w:bCs/>
          <w:sz w:val="24"/>
        </w:rPr>
      </w:pPr>
      <w:r>
        <w:rPr>
          <w:rFonts w:hint="eastAsia" w:ascii="宋体" w:hAnsi="宋体"/>
          <w:kern w:val="0"/>
          <w:sz w:val="24"/>
          <w:lang w:val="en-US" w:eastAsia="zh-CN"/>
        </w:rPr>
        <w:t>3、“备份电子投标文件”是指与“电子投标文件”同时生成的数据电文形式的电子文件（文件格式“.bfbs”），其他方式编制的备份投标文件视为无效备份投标文件，请投标人自行妥善保管。</w:t>
      </w:r>
    </w:p>
    <w:p>
      <w:pPr>
        <w:pStyle w:val="13"/>
        <w:spacing w:line="360" w:lineRule="auto"/>
        <w:ind w:firstLine="480" w:firstLineChars="200"/>
      </w:pPr>
      <w:r>
        <w:rPr>
          <w:rFonts w:hint="eastAsia" w:ascii="宋体" w:hAnsi="宋体"/>
          <w:sz w:val="24"/>
          <w:lang w:val="en-US" w:eastAsia="zh-CN"/>
        </w:rPr>
        <w:t>4、</w:t>
      </w:r>
      <w:r>
        <w:rPr>
          <w:rFonts w:hint="eastAsia" w:ascii="宋体" w:hAnsi="宋体"/>
          <w:sz w:val="24"/>
        </w:rPr>
        <w:t>投标人应对所提供的全部资料的真实性、有效性承担法律责任，电子投标文件中盖章之处必须加盖电子印章。</w:t>
      </w:r>
    </w:p>
    <w:p>
      <w:pPr>
        <w:autoSpaceDE w:val="0"/>
        <w:autoSpaceDN w:val="0"/>
        <w:adjustRightInd w:val="0"/>
        <w:spacing w:line="360" w:lineRule="auto"/>
        <w:ind w:firstLine="480"/>
        <w:rPr>
          <w:rFonts w:ascii="宋体" w:hAnsi="宋体" w:eastAsia="宋体"/>
          <w:sz w:val="24"/>
        </w:rPr>
      </w:pPr>
      <w:r>
        <w:rPr>
          <w:rFonts w:hint="eastAsia" w:ascii="宋体" w:hAnsi="宋体" w:eastAsia="宋体"/>
          <w:sz w:val="24"/>
          <w:lang w:val="en-US" w:eastAsia="zh-CN"/>
        </w:rPr>
        <w:t>5、</w:t>
      </w:r>
      <w:r>
        <w:rPr>
          <w:rFonts w:ascii="宋体" w:hAnsi="宋体" w:eastAsia="宋体"/>
          <w:sz w:val="24"/>
        </w:rPr>
        <w:t>若投标人不按招标文件的要求提供资格审查材料，其风险由投标人自行承担。</w:t>
      </w:r>
    </w:p>
    <w:p>
      <w:pPr>
        <w:autoSpaceDE w:val="0"/>
        <w:autoSpaceDN w:val="0"/>
        <w:adjustRightInd w:val="0"/>
        <w:spacing w:line="360" w:lineRule="auto"/>
        <w:ind w:firstLine="480"/>
        <w:rPr>
          <w:rFonts w:ascii="宋体" w:hAnsi="宋体" w:eastAsia="宋体"/>
          <w:sz w:val="24"/>
        </w:rPr>
      </w:pPr>
      <w:r>
        <w:rPr>
          <w:rFonts w:hint="eastAsia" w:ascii="宋体" w:hAnsi="宋体" w:eastAsia="宋体"/>
          <w:kern w:val="0"/>
          <w:sz w:val="24"/>
          <w:lang w:val="en-US" w:eastAsia="zh-CN"/>
        </w:rPr>
        <w:t>6、</w:t>
      </w:r>
      <w:r>
        <w:rPr>
          <w:rFonts w:hint="eastAsia" w:ascii="宋体" w:hAnsi="宋体" w:eastAsia="宋体"/>
          <w:sz w:val="24"/>
        </w:rPr>
        <w:t>与本次投标无关的内容请不要制作在内，确保电子投标文件有针对性、简洁明了。</w:t>
      </w:r>
    </w:p>
    <w:p>
      <w:pPr>
        <w:widowControl w:val="0"/>
        <w:spacing w:line="450" w:lineRule="exact"/>
        <w:ind w:firstLine="482" w:firstLineChars="200"/>
        <w:jc w:val="both"/>
        <w:rPr>
          <w:rFonts w:ascii="宋体" w:hAnsi="宋体"/>
          <w:b/>
          <w:color w:val="auto"/>
          <w:sz w:val="24"/>
          <w:szCs w:val="24"/>
          <w:highlight w:val="none"/>
          <w:lang w:val="zh-CN"/>
        </w:rPr>
      </w:pPr>
      <w:r>
        <w:rPr>
          <w:rFonts w:hint="eastAsia" w:ascii="宋体" w:hAnsi="宋体"/>
          <w:b/>
          <w:color w:val="auto"/>
          <w:sz w:val="24"/>
          <w:szCs w:val="24"/>
          <w:highlight w:val="none"/>
          <w:lang w:val="zh-CN"/>
        </w:rPr>
        <w:t>（四）投标文件的语言及计量</w:t>
      </w:r>
    </w:p>
    <w:p>
      <w:pPr>
        <w:widowControl w:val="0"/>
        <w:spacing w:line="450" w:lineRule="exact"/>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lang w:val="zh-CN"/>
        </w:rPr>
        <w:t>1、投标文件以及投标人与招标方就有关投标事宜的所有来往函电，均应以中文汉语书写。除签名、盖章、专用名称等特殊情形外，以中文汉语以外的文字表述的投标文件视同未提供。</w:t>
      </w:r>
    </w:p>
    <w:p>
      <w:pPr>
        <w:widowControl w:val="0"/>
        <w:spacing w:line="450" w:lineRule="exact"/>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lang w:val="zh-CN"/>
        </w:rPr>
        <w:t>2、投标计量单位，招标文件已有明确规定的，使用招标文件规定的计量单位；招标文件没有规定的，应采用中华人民共和国法定计量单位（货币单位：人民币元），否则视同未响应。</w:t>
      </w:r>
      <w:bookmarkStart w:id="9" w:name="_Toc504504539"/>
    </w:p>
    <w:p>
      <w:pPr>
        <w:widowControl w:val="0"/>
        <w:spacing w:line="450" w:lineRule="exact"/>
        <w:ind w:firstLine="482" w:firstLineChars="200"/>
        <w:jc w:val="both"/>
        <w:rPr>
          <w:rFonts w:ascii="宋体" w:hAnsi="宋体"/>
          <w:b/>
          <w:color w:val="auto"/>
          <w:sz w:val="24"/>
          <w:szCs w:val="24"/>
          <w:highlight w:val="none"/>
          <w:lang w:val="zh-CN"/>
        </w:rPr>
      </w:pPr>
      <w:r>
        <w:rPr>
          <w:rFonts w:hint="eastAsia" w:ascii="宋体" w:hAnsi="宋体"/>
          <w:b/>
          <w:color w:val="auto"/>
          <w:sz w:val="24"/>
          <w:szCs w:val="24"/>
          <w:highlight w:val="none"/>
          <w:lang w:val="zh-CN"/>
        </w:rPr>
        <w:t>（五）投标报价</w:t>
      </w:r>
      <w:bookmarkEnd w:id="9"/>
    </w:p>
    <w:p>
      <w:pPr>
        <w:widowControl w:val="0"/>
        <w:spacing w:line="450" w:lineRule="exact"/>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lang w:val="zh-CN"/>
        </w:rPr>
        <w:t>1、投标报价应按招标文件中相关附表格式填写。</w:t>
      </w:r>
    </w:p>
    <w:p>
      <w:pPr>
        <w:widowControl w:val="0"/>
        <w:spacing w:line="450" w:lineRule="exact"/>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lang w:val="zh-CN"/>
        </w:rPr>
        <w:t>2、投标报价是履行合同的最终价格，包括货款、标准附件、备品备件、专用工具、包装、运输、装卸、保险、税金、货到就位以及安装、调试、验收、培训、保修、合同包含的所有风险责任等各项费用及不可预见费等一切费用。</w:t>
      </w:r>
    </w:p>
    <w:p>
      <w:pPr>
        <w:widowControl w:val="0"/>
        <w:spacing w:line="450" w:lineRule="exact"/>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lang w:val="zh-CN"/>
        </w:rPr>
        <w:t>3、投标文件只允许有一个报价，有选择的报价将不予接受（作无效标处理）。</w:t>
      </w:r>
    </w:p>
    <w:p>
      <w:pPr>
        <w:widowControl w:val="0"/>
        <w:spacing w:line="450" w:lineRule="exact"/>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lang w:val="zh-CN"/>
        </w:rPr>
        <w:t>4、投标人应充分考虑因各种原因可能发生的费用。对没有填报的费用，招标人认为所有费用已包含在总价中，除合同条款另有规定外，不得进行调整。</w:t>
      </w:r>
    </w:p>
    <w:p>
      <w:pPr>
        <w:widowControl w:val="0"/>
        <w:spacing w:line="450" w:lineRule="exact"/>
        <w:ind w:firstLine="482" w:firstLineChars="200"/>
        <w:jc w:val="both"/>
        <w:rPr>
          <w:rFonts w:ascii="宋体" w:hAnsi="宋体"/>
          <w:b/>
          <w:color w:val="auto"/>
          <w:sz w:val="24"/>
          <w:szCs w:val="24"/>
          <w:highlight w:val="none"/>
          <w:lang w:val="zh-CN"/>
        </w:rPr>
      </w:pPr>
      <w:r>
        <w:rPr>
          <w:rFonts w:hint="eastAsia" w:ascii="宋体" w:hAnsi="宋体"/>
          <w:b/>
          <w:color w:val="auto"/>
          <w:sz w:val="24"/>
          <w:szCs w:val="24"/>
          <w:highlight w:val="none"/>
          <w:lang w:val="zh-CN"/>
        </w:rPr>
        <w:t>5、投标报价必须合理，经评委认定为明显不合理的报价将被取消中标资格。</w:t>
      </w:r>
      <w:bookmarkStart w:id="10" w:name="_Toc504504540"/>
    </w:p>
    <w:p>
      <w:pPr>
        <w:widowControl w:val="0"/>
        <w:spacing w:line="450" w:lineRule="exact"/>
        <w:ind w:firstLine="482" w:firstLineChars="200"/>
        <w:jc w:val="both"/>
        <w:rPr>
          <w:rFonts w:ascii="宋体" w:hAnsi="宋体"/>
          <w:b/>
          <w:color w:val="auto"/>
          <w:sz w:val="24"/>
          <w:szCs w:val="24"/>
          <w:highlight w:val="none"/>
          <w:lang w:val="zh-CN"/>
        </w:rPr>
      </w:pPr>
      <w:r>
        <w:rPr>
          <w:rFonts w:hint="eastAsia" w:ascii="宋体" w:hAnsi="宋体"/>
          <w:b/>
          <w:color w:val="auto"/>
          <w:sz w:val="24"/>
          <w:szCs w:val="24"/>
          <w:highlight w:val="none"/>
          <w:lang w:val="zh-CN"/>
        </w:rPr>
        <w:t>（六）投标文件的有效期</w:t>
      </w:r>
      <w:bookmarkEnd w:id="10"/>
    </w:p>
    <w:p>
      <w:pPr>
        <w:widowControl w:val="0"/>
        <w:spacing w:line="450" w:lineRule="exact"/>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lang w:val="zh-CN"/>
        </w:rPr>
        <w:t>1、自投标截止日起90天内电子投标文件应保持有效。有效期不足的电子投标文件将被拒绝。</w:t>
      </w:r>
    </w:p>
    <w:p>
      <w:pPr>
        <w:widowControl w:val="0"/>
        <w:spacing w:line="450" w:lineRule="exact"/>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lang w:val="zh-CN"/>
        </w:rPr>
        <w:t>2、在特殊情况下，采购人可与投标人协商延长电子投标文件的有效期，协商过程以书面形式进行。</w:t>
      </w:r>
    </w:p>
    <w:p>
      <w:pPr>
        <w:widowControl w:val="0"/>
        <w:spacing w:line="450" w:lineRule="exact"/>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lang w:val="zh-CN"/>
        </w:rPr>
        <w:t>3、投标人可拒绝接受延期要求，同意延长有效期的投标人不能修改投标文件；</w:t>
      </w:r>
    </w:p>
    <w:p>
      <w:pPr>
        <w:widowControl w:val="0"/>
        <w:spacing w:line="450" w:lineRule="exact"/>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lang w:val="zh-CN"/>
        </w:rPr>
        <w:t>4、中标单位的电子投标文件自开标之日起至合同履行完毕止均应保持有效。</w:t>
      </w:r>
    </w:p>
    <w:p>
      <w:pPr>
        <w:widowControl w:val="0"/>
        <w:spacing w:line="450" w:lineRule="exact"/>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lang w:val="zh-CN"/>
        </w:rPr>
        <w:t>5、投标人在电子投标文件有效期内强行撤回（撤销）其投标文件的，采购人将按采购预算金额的2%对其进行追偿，以弥补采购人、采购组织机构损失，同时将对其失信行为上报至同级政府采购监督管理部门依法处理。</w:t>
      </w:r>
    </w:p>
    <w:p>
      <w:pPr>
        <w:widowControl w:val="0"/>
        <w:spacing w:line="450" w:lineRule="exact"/>
        <w:ind w:firstLine="482" w:firstLineChars="200"/>
        <w:jc w:val="both"/>
        <w:rPr>
          <w:rFonts w:ascii="宋体" w:hAnsi="宋体"/>
          <w:b/>
          <w:color w:val="auto"/>
          <w:sz w:val="24"/>
          <w:szCs w:val="24"/>
          <w:highlight w:val="none"/>
          <w:lang w:val="zh-CN"/>
        </w:rPr>
      </w:pPr>
      <w:bookmarkStart w:id="11" w:name="_Toc504504558"/>
      <w:r>
        <w:rPr>
          <w:rFonts w:hint="eastAsia" w:ascii="宋体" w:hAnsi="宋体"/>
          <w:b/>
          <w:color w:val="auto"/>
          <w:sz w:val="24"/>
          <w:szCs w:val="24"/>
          <w:highlight w:val="none"/>
        </w:rPr>
        <w:t>(</w:t>
      </w:r>
      <w:r>
        <w:rPr>
          <w:rFonts w:hint="eastAsia" w:ascii="宋体" w:hAnsi="宋体"/>
          <w:b/>
          <w:color w:val="auto"/>
          <w:sz w:val="24"/>
          <w:szCs w:val="24"/>
          <w:highlight w:val="none"/>
          <w:lang w:eastAsia="zh-CN"/>
        </w:rPr>
        <w:t>七</w:t>
      </w:r>
      <w:r>
        <w:rPr>
          <w:rFonts w:hint="eastAsia" w:ascii="宋体" w:hAnsi="宋体"/>
          <w:b/>
          <w:color w:val="auto"/>
          <w:sz w:val="24"/>
          <w:szCs w:val="24"/>
          <w:highlight w:val="none"/>
        </w:rPr>
        <w:t>)电子</w:t>
      </w:r>
      <w:r>
        <w:rPr>
          <w:rFonts w:hint="eastAsia" w:ascii="宋体" w:hAnsi="宋体"/>
          <w:b/>
          <w:color w:val="auto"/>
          <w:sz w:val="24"/>
          <w:szCs w:val="24"/>
          <w:highlight w:val="none"/>
          <w:lang w:val="zh-CN"/>
        </w:rPr>
        <w:t>投标文件的递交、修改和撤回</w:t>
      </w:r>
    </w:p>
    <w:p>
      <w:pPr>
        <w:widowControl w:val="0"/>
        <w:spacing w:line="450" w:lineRule="exact"/>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lang w:val="zh-CN"/>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p>
    <w:p>
      <w:pPr>
        <w:widowControl w:val="0"/>
        <w:spacing w:line="450" w:lineRule="exact"/>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lang w:val="zh-CN"/>
        </w:rPr>
        <w:t>2、采购人和采购组织机构可通过修改招标文件酌情延长投标截止日期，在此情况下，投标人的所有权利和义务以及投标人的投标截止日期均应以延长后新的截止日期为准。</w:t>
      </w:r>
    </w:p>
    <w:bookmarkEnd w:id="11"/>
    <w:p>
      <w:pPr>
        <w:widowControl w:val="0"/>
        <w:spacing w:line="450" w:lineRule="exact"/>
        <w:ind w:firstLine="482" w:firstLineChars="200"/>
        <w:jc w:val="both"/>
        <w:rPr>
          <w:rFonts w:ascii="宋体" w:hAnsi="宋体"/>
          <w:b/>
          <w:color w:val="auto"/>
          <w:sz w:val="24"/>
          <w:szCs w:val="24"/>
          <w:highlight w:val="none"/>
          <w:lang w:val="zh-CN"/>
        </w:rPr>
      </w:pPr>
      <w:bookmarkStart w:id="12" w:name="_Toc504504559"/>
      <w:r>
        <w:rPr>
          <w:rFonts w:hint="eastAsia" w:ascii="宋体" w:hAnsi="宋体"/>
          <w:b/>
          <w:color w:val="auto"/>
          <w:sz w:val="24"/>
          <w:szCs w:val="24"/>
          <w:highlight w:val="none"/>
          <w:lang w:val="zh-CN"/>
        </w:rPr>
        <w:t>（</w:t>
      </w:r>
      <w:r>
        <w:rPr>
          <w:rFonts w:hint="eastAsia" w:ascii="宋体" w:hAnsi="宋体"/>
          <w:b/>
          <w:color w:val="auto"/>
          <w:sz w:val="24"/>
          <w:szCs w:val="24"/>
          <w:highlight w:val="none"/>
          <w:lang w:val="en-US" w:eastAsia="zh-CN"/>
        </w:rPr>
        <w:t>八</w:t>
      </w:r>
      <w:r>
        <w:rPr>
          <w:rFonts w:hint="eastAsia" w:ascii="宋体" w:hAnsi="宋体"/>
          <w:b/>
          <w:color w:val="auto"/>
          <w:sz w:val="24"/>
          <w:szCs w:val="24"/>
          <w:highlight w:val="none"/>
          <w:lang w:val="zh-CN"/>
        </w:rPr>
        <w:t>）投标无效的情形</w:t>
      </w:r>
      <w:bookmarkEnd w:id="12"/>
    </w:p>
    <w:p>
      <w:pPr>
        <w:widowControl w:val="0"/>
        <w:spacing w:line="450" w:lineRule="exact"/>
        <w:ind w:firstLine="482" w:firstLineChars="200"/>
        <w:jc w:val="both"/>
        <w:rPr>
          <w:rFonts w:ascii="宋体" w:hAnsi="宋体"/>
          <w:b/>
          <w:color w:val="auto"/>
          <w:sz w:val="24"/>
          <w:szCs w:val="24"/>
          <w:highlight w:val="none"/>
          <w:lang w:val="zh-CN"/>
        </w:rPr>
      </w:pPr>
      <w:r>
        <w:rPr>
          <w:rFonts w:hint="eastAsia" w:ascii="宋体" w:hAnsi="宋体"/>
          <w:b/>
          <w:color w:val="auto"/>
          <w:sz w:val="24"/>
          <w:szCs w:val="24"/>
          <w:highlight w:val="none"/>
          <w:lang w:val="zh-CN"/>
        </w:rPr>
        <w:t>1、在资格审查时，如发现下列情形之一的，投标文件将被视为无效：</w:t>
      </w:r>
    </w:p>
    <w:p>
      <w:pPr>
        <w:widowControl w:val="0"/>
        <w:spacing w:line="450" w:lineRule="exact"/>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lang w:val="zh-CN"/>
        </w:rPr>
        <w:t>（1）资格证明文件不全的，或者不符合招标文件标明的资格要求的；</w:t>
      </w:r>
    </w:p>
    <w:p>
      <w:pPr>
        <w:widowControl w:val="0"/>
        <w:spacing w:line="450" w:lineRule="exact"/>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lang w:val="zh-CN"/>
        </w:rPr>
        <w:t>（2）电子投标文件解密失败的，且未在规定时间内提交电子备份投标文件的；</w:t>
      </w:r>
    </w:p>
    <w:p>
      <w:pPr>
        <w:widowControl w:val="0"/>
        <w:spacing w:line="450" w:lineRule="exact"/>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lang w:val="zh-CN"/>
        </w:rPr>
        <w:t>（3）未按照招标文件规定的要求签署、盖章的。</w:t>
      </w:r>
    </w:p>
    <w:p>
      <w:pPr>
        <w:widowControl w:val="0"/>
        <w:spacing w:line="450" w:lineRule="exact"/>
        <w:ind w:firstLine="482" w:firstLineChars="200"/>
        <w:jc w:val="both"/>
        <w:rPr>
          <w:rFonts w:ascii="宋体" w:hAnsi="宋体"/>
          <w:b/>
          <w:color w:val="auto"/>
          <w:sz w:val="24"/>
          <w:szCs w:val="24"/>
          <w:highlight w:val="none"/>
          <w:lang w:val="zh-CN"/>
        </w:rPr>
      </w:pPr>
      <w:r>
        <w:rPr>
          <w:rFonts w:hint="eastAsia" w:ascii="宋体" w:hAnsi="宋体"/>
          <w:b/>
          <w:color w:val="auto"/>
          <w:sz w:val="24"/>
          <w:szCs w:val="24"/>
          <w:highlight w:val="none"/>
          <w:lang w:val="zh-CN"/>
        </w:rPr>
        <w:t>2、在符合性审查时，如发现下列情形之一的，投标文件将被视为无效：</w:t>
      </w:r>
    </w:p>
    <w:p>
      <w:pPr>
        <w:widowControl w:val="0"/>
        <w:spacing w:line="450" w:lineRule="exact"/>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lang w:val="zh-CN"/>
        </w:rPr>
        <w:t>（1）投标文件无法定代表人或授权代表签字或盖章，或授权代理人未经有效授权的；</w:t>
      </w:r>
    </w:p>
    <w:p>
      <w:pPr>
        <w:widowControl w:val="0"/>
        <w:spacing w:line="450" w:lineRule="exact"/>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lang w:val="zh-CN"/>
        </w:rPr>
        <w:t>（2）电子投标文件未按照招标文件规定的要求签署、盖章的；</w:t>
      </w:r>
    </w:p>
    <w:p>
      <w:pPr>
        <w:widowControl w:val="0"/>
        <w:spacing w:line="450" w:lineRule="exact"/>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lang w:val="zh-CN"/>
        </w:rPr>
        <w:t>（3）投标有效期、服务期、付款方式等商务条款不能满足招标文件要求的；</w:t>
      </w:r>
    </w:p>
    <w:p>
      <w:pPr>
        <w:widowControl w:val="0"/>
        <w:spacing w:line="450" w:lineRule="exact"/>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lang w:val="zh-CN"/>
        </w:rPr>
        <w:t>（4）不响应或者擅自改变招标文件要求或者投标文件有采购人不能接受的附加条件的；</w:t>
      </w:r>
    </w:p>
    <w:p>
      <w:pPr>
        <w:widowControl w:val="0"/>
        <w:spacing w:line="450" w:lineRule="exact"/>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lang w:val="zh-CN"/>
        </w:rPr>
        <w:t>（5）未提供或未如实提供投标产品（货物）技术性能、参数的，或者虚假投标的。</w:t>
      </w:r>
    </w:p>
    <w:p>
      <w:pPr>
        <w:widowControl w:val="0"/>
        <w:spacing w:line="450" w:lineRule="exact"/>
        <w:ind w:firstLine="482" w:firstLineChars="200"/>
        <w:jc w:val="both"/>
        <w:rPr>
          <w:rFonts w:ascii="宋体" w:hAnsi="宋体"/>
          <w:b/>
          <w:color w:val="auto"/>
          <w:sz w:val="24"/>
          <w:szCs w:val="24"/>
          <w:highlight w:val="none"/>
          <w:lang w:val="zh-CN"/>
        </w:rPr>
      </w:pPr>
      <w:r>
        <w:rPr>
          <w:rFonts w:hint="eastAsia" w:ascii="宋体" w:hAnsi="宋体"/>
          <w:b/>
          <w:color w:val="auto"/>
          <w:sz w:val="24"/>
          <w:szCs w:val="24"/>
          <w:highlight w:val="none"/>
          <w:lang w:val="zh-CN"/>
        </w:rPr>
        <w:t>3、在技术评审时，如发现下列情形之一的，投标文件将被视为无效：</w:t>
      </w:r>
    </w:p>
    <w:p>
      <w:pPr>
        <w:widowControl w:val="0"/>
        <w:spacing w:line="450" w:lineRule="exact"/>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lang w:val="zh-CN"/>
        </w:rPr>
        <w:t>（1）资格文件、商务技术文件内有商务报价出现的；</w:t>
      </w:r>
    </w:p>
    <w:p>
      <w:pPr>
        <w:widowControl w:val="0"/>
        <w:spacing w:line="450" w:lineRule="exact"/>
        <w:ind w:firstLine="480" w:firstLineChars="200"/>
        <w:jc w:val="both"/>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（2）未提供或未如实提供投标货物的技术参数，或者投标文件标明的响应或偏离与事实不符或虚假投标的；</w:t>
      </w:r>
    </w:p>
    <w:p>
      <w:pPr>
        <w:widowControl w:val="0"/>
        <w:spacing w:line="450" w:lineRule="exact"/>
        <w:ind w:firstLine="480" w:firstLineChars="200"/>
        <w:jc w:val="both"/>
        <w:rPr>
          <w:b/>
          <w:bCs/>
          <w:lang w:val="zh-CN"/>
        </w:rPr>
      </w:pPr>
      <w:r>
        <w:rPr>
          <w:rFonts w:hint="eastAsia" w:ascii="宋体" w:hAnsi="宋体"/>
          <w:bCs/>
          <w:color w:val="auto"/>
          <w:sz w:val="24"/>
          <w:szCs w:val="24"/>
          <w:highlight w:val="none"/>
          <w:lang w:val="zh-CN"/>
        </w:rPr>
        <w:t>（3）</w:t>
      </w:r>
      <w:r>
        <w:rPr>
          <w:rFonts w:hint="eastAsia" w:asciiTheme="minorEastAsia" w:hAnsiTheme="minorEastAsia" w:eastAsiaTheme="minorEastAsia"/>
          <w:b/>
          <w:bCs/>
          <w:kern w:val="0"/>
          <w:sz w:val="24"/>
        </w:rPr>
        <w:t>投标参数未如实填写，完全复制粘贴招标参数的；</w:t>
      </w:r>
    </w:p>
    <w:p>
      <w:pPr>
        <w:widowControl w:val="0"/>
        <w:spacing w:line="450" w:lineRule="exact"/>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lang w:val="zh-CN"/>
        </w:rPr>
        <w:t>（</w:t>
      </w: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lang w:val="zh-CN"/>
        </w:rPr>
        <w:t>）明显不符合招标文件要求的规格型号、质量标准，或者与招标文件中标“</w:t>
      </w:r>
      <w:r>
        <w:rPr>
          <w:rFonts w:hint="eastAsia" w:ascii="宋体" w:hAnsi="宋体" w:cs="宋体"/>
          <w:bCs/>
          <w:color w:val="auto"/>
          <w:sz w:val="24"/>
          <w:highlight w:val="none"/>
        </w:rPr>
        <w:t>▲</w:t>
      </w:r>
      <w:r>
        <w:rPr>
          <w:rFonts w:hint="eastAsia" w:ascii="宋体" w:hAnsi="宋体"/>
          <w:bCs/>
          <w:color w:val="auto"/>
          <w:sz w:val="24"/>
          <w:szCs w:val="24"/>
          <w:highlight w:val="none"/>
          <w:lang w:val="zh-CN"/>
        </w:rPr>
        <w:t>”的技术指标、主要功能项目发生实质性偏离的；</w:t>
      </w:r>
    </w:p>
    <w:p>
      <w:pPr>
        <w:widowControl w:val="0"/>
        <w:spacing w:line="450" w:lineRule="exact"/>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lang w:val="zh-CN"/>
        </w:rPr>
        <w:t>（</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lang w:val="zh-CN"/>
        </w:rPr>
        <w:t>）投标技术方案不明确，存在一个或一个以上备选（替代）投标方案的；</w:t>
      </w:r>
    </w:p>
    <w:p>
      <w:pPr>
        <w:widowControl w:val="0"/>
        <w:spacing w:line="450" w:lineRule="exact"/>
        <w:ind w:firstLine="480" w:firstLineChars="200"/>
        <w:jc w:val="both"/>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w:t>
      </w:r>
      <w:r>
        <w:rPr>
          <w:rFonts w:hint="eastAsia" w:ascii="宋体" w:hAnsi="宋体"/>
          <w:bCs/>
          <w:color w:val="auto"/>
          <w:sz w:val="24"/>
          <w:szCs w:val="24"/>
          <w:highlight w:val="none"/>
          <w:lang w:val="en-US" w:eastAsia="zh-CN"/>
        </w:rPr>
        <w:t>6</w:t>
      </w:r>
      <w:r>
        <w:rPr>
          <w:rFonts w:hint="eastAsia" w:ascii="宋体" w:hAnsi="宋体"/>
          <w:bCs/>
          <w:color w:val="auto"/>
          <w:sz w:val="24"/>
          <w:szCs w:val="24"/>
          <w:highlight w:val="none"/>
          <w:lang w:val="zh-CN"/>
        </w:rPr>
        <w:t>）与其他参加本次投标投标人的投标文件（技术文件）的文字表述内容相同连续20行以上或者差错相同2处以上的。</w:t>
      </w:r>
    </w:p>
    <w:p>
      <w:pPr>
        <w:widowControl w:val="0"/>
        <w:spacing w:line="450" w:lineRule="exact"/>
        <w:ind w:firstLine="482" w:firstLineChars="200"/>
        <w:jc w:val="both"/>
        <w:rPr>
          <w:rFonts w:ascii="宋体" w:hAnsi="宋体"/>
          <w:b/>
          <w:color w:val="auto"/>
          <w:sz w:val="24"/>
          <w:szCs w:val="24"/>
          <w:highlight w:val="none"/>
          <w:lang w:val="zh-CN"/>
        </w:rPr>
      </w:pPr>
      <w:r>
        <w:rPr>
          <w:rFonts w:hint="eastAsia" w:ascii="宋体" w:hAnsi="宋体"/>
          <w:b/>
          <w:color w:val="auto"/>
          <w:sz w:val="24"/>
          <w:szCs w:val="24"/>
          <w:highlight w:val="none"/>
          <w:lang w:val="zh-CN"/>
        </w:rPr>
        <w:t>4、在价格评审时，如发现下列情形之一的，投标文件将被视为无效：</w:t>
      </w:r>
    </w:p>
    <w:p>
      <w:pPr>
        <w:widowControl w:val="0"/>
        <w:spacing w:line="450" w:lineRule="exact"/>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lang w:val="zh-CN"/>
        </w:rPr>
        <w:t>（1）未采用人民币报价或者未按照招标文件标明的币种报价的；</w:t>
      </w:r>
    </w:p>
    <w:p>
      <w:pPr>
        <w:widowControl w:val="0"/>
        <w:spacing w:line="450" w:lineRule="exact"/>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lang w:val="zh-CN"/>
        </w:rPr>
        <w:t>（2）报价超出最高限价，或者超出采购预算金额，采购人不能支付的；</w:t>
      </w:r>
    </w:p>
    <w:p>
      <w:pPr>
        <w:widowControl w:val="0"/>
        <w:spacing w:line="450" w:lineRule="exact"/>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lang w:val="zh-CN"/>
        </w:rPr>
        <w:t>（3）投标报价具有选择性，或者开标价格与投标文件承诺的优惠（折扣）价格不一致的；</w:t>
      </w:r>
    </w:p>
    <w:p>
      <w:pPr>
        <w:widowControl w:val="0"/>
        <w:spacing w:line="450" w:lineRule="exact"/>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lang w:val="zh-CN"/>
        </w:rPr>
        <w:t xml:space="preserve">（4）评标委员会认为投标人的报价明显低于其他通过符合性审查的投标人的报价有可能影响产品质量或者不能诚信履约时，投标人不能在规定的时间证明其报价合理性的。                                                                                          </w:t>
      </w:r>
    </w:p>
    <w:p>
      <w:pPr>
        <w:widowControl w:val="0"/>
        <w:spacing w:line="450" w:lineRule="exact"/>
        <w:ind w:firstLine="482" w:firstLineChars="200"/>
        <w:jc w:val="both"/>
        <w:rPr>
          <w:rFonts w:ascii="宋体" w:hAnsi="宋体"/>
          <w:b/>
          <w:color w:val="auto"/>
          <w:sz w:val="24"/>
          <w:szCs w:val="24"/>
          <w:highlight w:val="none"/>
          <w:lang w:val="zh-CN"/>
        </w:rPr>
      </w:pPr>
      <w:r>
        <w:rPr>
          <w:rFonts w:hint="eastAsia" w:ascii="宋体" w:hAnsi="宋体"/>
          <w:b/>
          <w:color w:val="auto"/>
          <w:sz w:val="24"/>
          <w:szCs w:val="24"/>
          <w:highlight w:val="none"/>
        </w:rPr>
        <w:t>5、</w:t>
      </w:r>
      <w:r>
        <w:rPr>
          <w:rFonts w:hint="eastAsia" w:ascii="宋体" w:hAnsi="宋体"/>
          <w:b/>
          <w:color w:val="auto"/>
          <w:sz w:val="24"/>
          <w:szCs w:val="24"/>
          <w:highlight w:val="none"/>
          <w:lang w:val="zh-CN"/>
        </w:rPr>
        <w:t>法律、法规和招标文件规定的其他无效标情形。</w:t>
      </w:r>
    </w:p>
    <w:p>
      <w:pPr>
        <w:widowControl w:val="0"/>
        <w:spacing w:line="450" w:lineRule="exact"/>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lang w:val="zh-CN"/>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widowControl w:val="0"/>
        <w:spacing w:line="450" w:lineRule="exact"/>
        <w:ind w:firstLine="482" w:firstLineChars="200"/>
        <w:jc w:val="both"/>
        <w:rPr>
          <w:rFonts w:ascii="宋体" w:hAnsi="宋体"/>
          <w:b/>
          <w:color w:val="auto"/>
          <w:sz w:val="24"/>
          <w:szCs w:val="24"/>
          <w:highlight w:val="none"/>
          <w:lang w:val="zh-CN"/>
        </w:rPr>
      </w:pPr>
      <w:bookmarkStart w:id="13" w:name="_Toc504504560"/>
      <w:r>
        <w:rPr>
          <w:rFonts w:hint="eastAsia" w:ascii="宋体" w:hAnsi="宋体"/>
          <w:b/>
          <w:color w:val="auto"/>
          <w:sz w:val="24"/>
          <w:szCs w:val="24"/>
          <w:highlight w:val="none"/>
          <w:lang w:val="zh-CN"/>
        </w:rPr>
        <w:t>（九）</w:t>
      </w:r>
      <w:bookmarkStart w:id="14" w:name="_Toc107820050"/>
      <w:bookmarkStart w:id="15" w:name="_Toc170792769"/>
      <w:r>
        <w:rPr>
          <w:rFonts w:hint="eastAsia" w:ascii="宋体" w:hAnsi="宋体"/>
          <w:b/>
          <w:color w:val="auto"/>
          <w:sz w:val="24"/>
          <w:szCs w:val="24"/>
          <w:highlight w:val="none"/>
          <w:lang w:val="zh-CN"/>
        </w:rPr>
        <w:t>废标的情形</w:t>
      </w:r>
      <w:bookmarkEnd w:id="13"/>
    </w:p>
    <w:p>
      <w:pPr>
        <w:widowControl w:val="0"/>
        <w:spacing w:line="450" w:lineRule="exact"/>
        <w:ind w:firstLine="480" w:firstLineChars="200"/>
        <w:jc w:val="both"/>
        <w:rPr>
          <w:rFonts w:ascii="宋体" w:hAnsi="宋体"/>
          <w:bCs/>
          <w:color w:val="auto"/>
          <w:sz w:val="24"/>
          <w:szCs w:val="24"/>
          <w:highlight w:val="none"/>
          <w:lang w:val="zh-CN"/>
        </w:rPr>
      </w:pPr>
      <w:bookmarkStart w:id="16" w:name="_Toc504504486"/>
      <w:bookmarkStart w:id="17" w:name="_Toc504504561"/>
      <w:r>
        <w:rPr>
          <w:rFonts w:hint="eastAsia" w:ascii="宋体" w:hAnsi="宋体"/>
          <w:bCs/>
          <w:color w:val="auto"/>
          <w:sz w:val="24"/>
          <w:szCs w:val="24"/>
          <w:highlight w:val="none"/>
          <w:lang w:val="zh-CN"/>
        </w:rPr>
        <w:t>在招标采购中，出现下列情形之一的，应予废标：</w:t>
      </w:r>
      <w:bookmarkEnd w:id="16"/>
      <w:bookmarkEnd w:id="17"/>
    </w:p>
    <w:p>
      <w:pPr>
        <w:widowControl w:val="0"/>
        <w:spacing w:line="450" w:lineRule="exact"/>
        <w:ind w:firstLine="480" w:firstLineChars="200"/>
        <w:jc w:val="both"/>
        <w:rPr>
          <w:rFonts w:ascii="宋体" w:hAnsi="宋体"/>
          <w:bCs/>
          <w:color w:val="auto"/>
          <w:sz w:val="24"/>
          <w:szCs w:val="24"/>
          <w:highlight w:val="none"/>
          <w:lang w:val="zh-CN"/>
        </w:rPr>
      </w:pPr>
      <w:bookmarkStart w:id="18" w:name="_Toc504504562"/>
      <w:bookmarkStart w:id="19" w:name="_Toc504504487"/>
      <w:r>
        <w:rPr>
          <w:rFonts w:hint="eastAsia" w:ascii="宋体" w:hAnsi="宋体"/>
          <w:bCs/>
          <w:color w:val="auto"/>
          <w:sz w:val="24"/>
          <w:szCs w:val="24"/>
          <w:highlight w:val="none"/>
          <w:lang w:val="zh-CN"/>
        </w:rPr>
        <w:t>1、符合专业条件的投标人或者对招标文件作实质性响应的投标人不足三家的；</w:t>
      </w:r>
      <w:bookmarkEnd w:id="18"/>
      <w:bookmarkEnd w:id="19"/>
    </w:p>
    <w:p>
      <w:pPr>
        <w:widowControl w:val="0"/>
        <w:spacing w:line="450" w:lineRule="exact"/>
        <w:ind w:firstLine="480" w:firstLineChars="200"/>
        <w:jc w:val="both"/>
        <w:rPr>
          <w:rFonts w:ascii="宋体" w:hAnsi="宋体"/>
          <w:bCs/>
          <w:color w:val="auto"/>
          <w:sz w:val="24"/>
          <w:szCs w:val="24"/>
          <w:highlight w:val="none"/>
          <w:lang w:val="zh-CN"/>
        </w:rPr>
      </w:pPr>
      <w:bookmarkStart w:id="20" w:name="_Toc504504563"/>
      <w:bookmarkStart w:id="21" w:name="_Toc504504488"/>
      <w:r>
        <w:rPr>
          <w:rFonts w:hint="eastAsia" w:ascii="宋体" w:hAnsi="宋体"/>
          <w:bCs/>
          <w:color w:val="auto"/>
          <w:sz w:val="24"/>
          <w:szCs w:val="24"/>
          <w:highlight w:val="none"/>
          <w:lang w:val="zh-CN"/>
        </w:rPr>
        <w:t>2、出现影响采购公正的违法、违规行为的；</w:t>
      </w:r>
      <w:bookmarkEnd w:id="20"/>
      <w:bookmarkEnd w:id="21"/>
    </w:p>
    <w:p>
      <w:pPr>
        <w:widowControl w:val="0"/>
        <w:spacing w:line="450" w:lineRule="exact"/>
        <w:ind w:firstLine="480" w:firstLineChars="200"/>
        <w:jc w:val="both"/>
        <w:rPr>
          <w:rFonts w:ascii="宋体" w:hAnsi="宋体"/>
          <w:bCs/>
          <w:color w:val="auto"/>
          <w:sz w:val="24"/>
          <w:szCs w:val="24"/>
          <w:highlight w:val="none"/>
          <w:lang w:val="zh-CN"/>
        </w:rPr>
      </w:pPr>
      <w:bookmarkStart w:id="22" w:name="_Toc504504564"/>
      <w:bookmarkStart w:id="23" w:name="_Toc504504489"/>
      <w:r>
        <w:rPr>
          <w:rFonts w:hint="eastAsia" w:ascii="宋体" w:hAnsi="宋体"/>
          <w:bCs/>
          <w:color w:val="auto"/>
          <w:sz w:val="24"/>
          <w:szCs w:val="24"/>
          <w:highlight w:val="none"/>
          <w:lang w:val="zh-CN"/>
        </w:rPr>
        <w:t>3、投标人的报价均超过了采购预算，采购人不能支付的；</w:t>
      </w:r>
      <w:bookmarkEnd w:id="22"/>
      <w:bookmarkEnd w:id="23"/>
    </w:p>
    <w:p>
      <w:pPr>
        <w:widowControl w:val="0"/>
        <w:spacing w:line="450" w:lineRule="exact"/>
        <w:ind w:firstLine="480" w:firstLineChars="200"/>
        <w:jc w:val="both"/>
        <w:rPr>
          <w:rFonts w:ascii="宋体" w:hAnsi="宋体"/>
          <w:bCs/>
          <w:color w:val="auto"/>
          <w:sz w:val="24"/>
          <w:szCs w:val="24"/>
          <w:highlight w:val="none"/>
          <w:lang w:val="zh-CN"/>
        </w:rPr>
      </w:pPr>
      <w:bookmarkStart w:id="24" w:name="_Toc504504490"/>
      <w:bookmarkStart w:id="25" w:name="_Toc504504565"/>
      <w:r>
        <w:rPr>
          <w:rFonts w:hint="eastAsia" w:ascii="宋体" w:hAnsi="宋体"/>
          <w:bCs/>
          <w:color w:val="auto"/>
          <w:sz w:val="24"/>
          <w:szCs w:val="24"/>
          <w:highlight w:val="none"/>
          <w:lang w:val="zh-CN"/>
        </w:rPr>
        <w:t>4、因重大变故，采购任务取消的。</w:t>
      </w:r>
      <w:bookmarkEnd w:id="24"/>
      <w:bookmarkEnd w:id="25"/>
    </w:p>
    <w:bookmarkEnd w:id="14"/>
    <w:bookmarkEnd w:id="15"/>
    <w:p>
      <w:pPr>
        <w:snapToGrid w:val="0"/>
        <w:spacing w:line="450" w:lineRule="exact"/>
        <w:rPr>
          <w:rFonts w:ascii="宋体" w:hAnsi="宋体"/>
          <w:b/>
          <w:color w:val="auto"/>
          <w:sz w:val="24"/>
          <w:szCs w:val="24"/>
          <w:highlight w:val="none"/>
        </w:rPr>
      </w:pPr>
      <w:r>
        <w:rPr>
          <w:rFonts w:hint="eastAsia" w:ascii="宋体" w:hAnsi="宋体"/>
          <w:b/>
          <w:color w:val="auto"/>
          <w:sz w:val="24"/>
          <w:szCs w:val="24"/>
          <w:highlight w:val="none"/>
        </w:rPr>
        <w:t>四、开标</w:t>
      </w:r>
    </w:p>
    <w:p>
      <w:pPr>
        <w:pStyle w:val="19"/>
        <w:adjustRightInd w:val="0"/>
        <w:snapToGrid w:val="0"/>
        <w:spacing w:line="450" w:lineRule="exact"/>
        <w:ind w:firstLine="482" w:firstLineChars="200"/>
        <w:rPr>
          <w:rFonts w:hAnsi="宋体"/>
          <w:b/>
          <w:bCs/>
          <w:color w:val="auto"/>
          <w:sz w:val="24"/>
          <w:szCs w:val="24"/>
          <w:highlight w:val="none"/>
        </w:rPr>
      </w:pPr>
      <w:bookmarkStart w:id="26" w:name="_Toc531267757"/>
      <w:r>
        <w:rPr>
          <w:rFonts w:hint="eastAsia" w:hAnsi="宋体"/>
          <w:b/>
          <w:bCs/>
          <w:color w:val="auto"/>
          <w:sz w:val="24"/>
          <w:szCs w:val="24"/>
          <w:highlight w:val="none"/>
        </w:rPr>
        <w:t>（一）开标形式</w:t>
      </w:r>
    </w:p>
    <w:p>
      <w:pPr>
        <w:pStyle w:val="19"/>
        <w:adjustRightInd w:val="0"/>
        <w:snapToGrid w:val="0"/>
        <w:spacing w:line="450" w:lineRule="exact"/>
        <w:ind w:firstLine="480" w:firstLineChars="200"/>
        <w:rPr>
          <w:rFonts w:hAnsi="宋体"/>
          <w:color w:val="auto"/>
          <w:sz w:val="24"/>
          <w:szCs w:val="24"/>
          <w:highlight w:val="none"/>
        </w:rPr>
      </w:pPr>
      <w:r>
        <w:rPr>
          <w:rFonts w:hint="eastAsia" w:hAnsi="宋体"/>
          <w:color w:val="auto"/>
          <w:sz w:val="24"/>
          <w:szCs w:val="24"/>
          <w:highlight w:val="none"/>
        </w:rPr>
        <w:t>采购组织机构将按照招标文件规定的时间通过“政府采购云平台”组织开标、开启投标文件，所有投标人均应当准时在线参加。</w:t>
      </w:r>
    </w:p>
    <w:p>
      <w:pPr>
        <w:pStyle w:val="19"/>
        <w:adjustRightInd w:val="0"/>
        <w:snapToGrid w:val="0"/>
        <w:spacing w:line="450" w:lineRule="exact"/>
        <w:ind w:firstLine="482" w:firstLineChars="200"/>
        <w:rPr>
          <w:rFonts w:hAnsi="宋体"/>
          <w:b/>
          <w:bCs/>
          <w:color w:val="auto"/>
          <w:sz w:val="24"/>
          <w:szCs w:val="24"/>
          <w:highlight w:val="none"/>
        </w:rPr>
      </w:pPr>
      <w:r>
        <w:rPr>
          <w:rFonts w:hint="eastAsia" w:hAnsi="宋体"/>
          <w:b/>
          <w:bCs/>
          <w:color w:val="auto"/>
          <w:sz w:val="24"/>
          <w:szCs w:val="24"/>
          <w:highlight w:val="none"/>
        </w:rPr>
        <w:t>（二） 开标准备</w:t>
      </w:r>
    </w:p>
    <w:p>
      <w:pPr>
        <w:pStyle w:val="19"/>
        <w:adjustRightInd w:val="0"/>
        <w:snapToGrid w:val="0"/>
        <w:spacing w:line="450" w:lineRule="exact"/>
        <w:ind w:firstLine="480" w:firstLineChars="200"/>
        <w:rPr>
          <w:rFonts w:hAnsi="宋体"/>
          <w:color w:val="auto"/>
          <w:sz w:val="24"/>
          <w:szCs w:val="24"/>
          <w:highlight w:val="none"/>
        </w:rPr>
      </w:pPr>
      <w:r>
        <w:rPr>
          <w:rFonts w:hint="eastAsia" w:hAnsi="宋体"/>
          <w:color w:val="auto"/>
          <w:sz w:val="24"/>
          <w:szCs w:val="24"/>
          <w:highlight w:val="none"/>
        </w:rPr>
        <w:t>1、开标的准备工作由采购组织机构负责落实；</w:t>
      </w:r>
    </w:p>
    <w:p>
      <w:pPr>
        <w:pStyle w:val="19"/>
        <w:adjustRightInd w:val="0"/>
        <w:snapToGrid w:val="0"/>
        <w:spacing w:line="450" w:lineRule="exact"/>
        <w:ind w:firstLine="480" w:firstLineChars="200"/>
        <w:rPr>
          <w:rFonts w:hAnsi="宋体"/>
          <w:color w:val="auto"/>
          <w:sz w:val="24"/>
          <w:szCs w:val="24"/>
          <w:highlight w:val="none"/>
        </w:rPr>
      </w:pPr>
      <w:r>
        <w:rPr>
          <w:rFonts w:hint="eastAsia" w:hAnsi="宋体"/>
          <w:color w:val="auto"/>
          <w:sz w:val="24"/>
          <w:szCs w:val="24"/>
          <w:highlight w:val="none"/>
        </w:rPr>
        <w:t>2、采购组织机构将按照招标文件规定的时间通过“政府采购云平台”组织开标、开启投标文件，所有投标人均应当准时在线参加。投标人如不参加开标大会的，视同认可开标结果，事后不得对采购相关人员、开标过程和开标结果提出异议，</w:t>
      </w:r>
      <w:r>
        <w:rPr>
          <w:rFonts w:hint="eastAsia" w:hAnsi="宋体"/>
          <w:b/>
          <w:bCs/>
          <w:color w:val="auto"/>
          <w:sz w:val="24"/>
          <w:szCs w:val="24"/>
          <w:highlight w:val="none"/>
        </w:rPr>
        <w:t>同时</w:t>
      </w:r>
      <w:r>
        <w:rPr>
          <w:rFonts w:hint="eastAsia" w:hAnsi="宋体"/>
          <w:b/>
          <w:bCs/>
          <w:color w:val="auto"/>
          <w:sz w:val="24"/>
          <w:szCs w:val="24"/>
          <w:highlight w:val="none"/>
          <w:u w:val="single"/>
        </w:rPr>
        <w:t>投标人因未在线参加开标而导致投标文件无法按时解密等一切后果由投标人自己承担。</w:t>
      </w:r>
    </w:p>
    <w:p>
      <w:pPr>
        <w:pStyle w:val="19"/>
        <w:adjustRightInd w:val="0"/>
        <w:snapToGrid w:val="0"/>
        <w:spacing w:line="450" w:lineRule="exact"/>
        <w:ind w:firstLine="480" w:firstLineChars="200"/>
        <w:rPr>
          <w:rFonts w:hAnsi="宋体"/>
          <w:color w:val="auto"/>
          <w:sz w:val="24"/>
          <w:szCs w:val="24"/>
          <w:highlight w:val="none"/>
        </w:rPr>
      </w:pPr>
      <w:r>
        <w:rPr>
          <w:rFonts w:hint="eastAsia" w:hAnsi="宋体"/>
          <w:color w:val="auto"/>
          <w:sz w:val="24"/>
          <w:szCs w:val="24"/>
          <w:highlight w:val="none"/>
        </w:rPr>
        <w:t>3、投标人对开标过程和开标记录有疑义，以及认为采购人、采购</w:t>
      </w:r>
      <w:r>
        <w:rPr>
          <w:rFonts w:hint="eastAsia" w:hAnsi="宋体"/>
          <w:color w:val="auto"/>
          <w:sz w:val="24"/>
          <w:szCs w:val="24"/>
          <w:highlight w:val="none"/>
          <w:lang w:eastAsia="zh-CN"/>
        </w:rPr>
        <w:t>组织机构</w:t>
      </w:r>
      <w:r>
        <w:rPr>
          <w:rFonts w:hint="eastAsia" w:hAnsi="宋体"/>
          <w:color w:val="auto"/>
          <w:sz w:val="24"/>
          <w:szCs w:val="24"/>
          <w:highlight w:val="none"/>
        </w:rPr>
        <w:t>相关工作人员有需要回避的情形的，应当场提出询问或回避申请。</w:t>
      </w:r>
    </w:p>
    <w:p>
      <w:pPr>
        <w:pStyle w:val="19"/>
        <w:adjustRightInd w:val="0"/>
        <w:snapToGrid w:val="0"/>
        <w:spacing w:line="450" w:lineRule="exact"/>
        <w:ind w:firstLine="482" w:firstLineChars="200"/>
        <w:rPr>
          <w:rFonts w:hAnsi="宋体"/>
          <w:b/>
          <w:bCs/>
          <w:color w:val="auto"/>
          <w:sz w:val="24"/>
          <w:szCs w:val="24"/>
          <w:highlight w:val="none"/>
        </w:rPr>
      </w:pPr>
      <w:r>
        <w:rPr>
          <w:rFonts w:hint="eastAsia" w:hAnsi="宋体"/>
          <w:b/>
          <w:bCs/>
          <w:color w:val="auto"/>
          <w:sz w:val="24"/>
          <w:szCs w:val="24"/>
          <w:highlight w:val="none"/>
        </w:rPr>
        <w:t>（三）开标流程</w:t>
      </w:r>
    </w:p>
    <w:p>
      <w:pPr>
        <w:pStyle w:val="19"/>
        <w:adjustRightInd w:val="0"/>
        <w:snapToGrid w:val="0"/>
        <w:spacing w:line="450" w:lineRule="exact"/>
        <w:ind w:firstLine="480" w:firstLineChars="200"/>
        <w:rPr>
          <w:rFonts w:hint="eastAsia" w:hAnsi="宋体"/>
          <w:color w:val="auto"/>
          <w:sz w:val="24"/>
          <w:szCs w:val="24"/>
          <w:highlight w:val="none"/>
        </w:rPr>
      </w:pPr>
      <w:r>
        <w:rPr>
          <w:rFonts w:hint="eastAsia" w:hAnsi="宋体"/>
          <w:color w:val="auto"/>
          <w:sz w:val="24"/>
          <w:szCs w:val="24"/>
          <w:highlight w:val="none"/>
        </w:rPr>
        <w:t>1、</w:t>
      </w:r>
      <w:r>
        <w:rPr>
          <w:rFonts w:hint="eastAsia" w:hAnsi="宋体"/>
          <w:color w:val="auto"/>
          <w:sz w:val="24"/>
          <w:szCs w:val="24"/>
          <w:highlight w:val="none"/>
          <w:lang w:eastAsia="zh-CN"/>
        </w:rPr>
        <w:t>开标时，采购组织机构在政采云平台</w:t>
      </w:r>
      <w:r>
        <w:rPr>
          <w:rFonts w:hint="eastAsia" w:hAnsi="宋体"/>
          <w:color w:val="auto"/>
          <w:sz w:val="24"/>
          <w:szCs w:val="24"/>
          <w:highlight w:val="none"/>
        </w:rPr>
        <w:t>向各投标人发出电子加密投标文件【开始解密】通知，由投标人按招标文件规定的时间内自行进行投标文件解密。</w:t>
      </w:r>
    </w:p>
    <w:p>
      <w:pPr>
        <w:pStyle w:val="19"/>
        <w:adjustRightInd w:val="0"/>
        <w:snapToGrid w:val="0"/>
        <w:spacing w:line="450" w:lineRule="exact"/>
        <w:ind w:firstLine="480" w:firstLineChars="200"/>
        <w:rPr>
          <w:rFonts w:hAnsi="宋体"/>
          <w:color w:val="auto"/>
          <w:sz w:val="24"/>
          <w:szCs w:val="24"/>
          <w:highlight w:val="none"/>
        </w:rPr>
      </w:pPr>
      <w:r>
        <w:rPr>
          <w:rFonts w:hint="eastAsia" w:hAnsi="宋体"/>
          <w:color w:val="auto"/>
          <w:sz w:val="24"/>
          <w:szCs w:val="24"/>
          <w:highlight w:val="none"/>
        </w:rPr>
        <w:t>2、开启标书信息（资格文件、商务技术文件）。标书信息开启后，首先由采购人或采购</w:t>
      </w:r>
      <w:r>
        <w:rPr>
          <w:rFonts w:hint="eastAsia" w:hAnsi="宋体"/>
          <w:color w:val="auto"/>
          <w:sz w:val="24"/>
          <w:szCs w:val="24"/>
          <w:highlight w:val="none"/>
          <w:lang w:eastAsia="zh-CN"/>
        </w:rPr>
        <w:t>组织机构</w:t>
      </w:r>
      <w:r>
        <w:rPr>
          <w:rFonts w:hint="eastAsia" w:hAnsi="宋体"/>
          <w:color w:val="auto"/>
          <w:sz w:val="24"/>
          <w:szCs w:val="24"/>
          <w:highlight w:val="none"/>
        </w:rPr>
        <w:t>依法对投标人的资格文件进行审查，审查投标人的资格符合情况。资格审查合格的投标人数量不足三家的，项目不再进行评审；</w:t>
      </w:r>
    </w:p>
    <w:p>
      <w:pPr>
        <w:pStyle w:val="19"/>
        <w:adjustRightInd w:val="0"/>
        <w:snapToGrid w:val="0"/>
        <w:spacing w:line="450" w:lineRule="exact"/>
        <w:ind w:firstLine="480" w:firstLineChars="200"/>
        <w:rPr>
          <w:rFonts w:hAnsi="宋体"/>
          <w:color w:val="auto"/>
          <w:sz w:val="24"/>
          <w:szCs w:val="24"/>
          <w:highlight w:val="none"/>
        </w:rPr>
      </w:pPr>
      <w:r>
        <w:rPr>
          <w:rFonts w:hint="eastAsia" w:hAnsi="宋体"/>
          <w:color w:val="auto"/>
          <w:sz w:val="24"/>
          <w:szCs w:val="24"/>
          <w:highlight w:val="none"/>
        </w:rPr>
        <w:t>3、开启资格审查通过的投标人的商务技术文件进入符合性审查、商务技术评审；</w:t>
      </w:r>
    </w:p>
    <w:p>
      <w:pPr>
        <w:pStyle w:val="19"/>
        <w:adjustRightInd w:val="0"/>
        <w:snapToGrid w:val="0"/>
        <w:spacing w:line="450" w:lineRule="exact"/>
        <w:ind w:firstLine="480" w:firstLineChars="200"/>
        <w:rPr>
          <w:rFonts w:hAnsi="宋体"/>
          <w:color w:val="auto"/>
          <w:sz w:val="24"/>
          <w:szCs w:val="24"/>
          <w:highlight w:val="none"/>
        </w:rPr>
      </w:pPr>
      <w:r>
        <w:rPr>
          <w:rFonts w:hint="eastAsia" w:hAnsi="宋体"/>
          <w:color w:val="auto"/>
          <w:sz w:val="24"/>
          <w:szCs w:val="24"/>
          <w:highlight w:val="none"/>
        </w:rPr>
        <w:t>4、商务技术评审结束后，宣告商务技术评审无效投标人名称及理由；公布经商务技术评审的有效投标人名单，同时公布其商务技术得分情况。</w:t>
      </w:r>
    </w:p>
    <w:p>
      <w:pPr>
        <w:pStyle w:val="19"/>
        <w:adjustRightInd w:val="0"/>
        <w:snapToGrid w:val="0"/>
        <w:spacing w:line="450" w:lineRule="exact"/>
        <w:ind w:firstLine="480" w:firstLineChars="200"/>
        <w:rPr>
          <w:rFonts w:hint="eastAsia" w:ascii="宋体" w:hAnsi="宋体" w:eastAsia="宋体" w:cs="Times New Roman"/>
          <w:b/>
          <w:bCs/>
          <w:color w:val="auto"/>
          <w:sz w:val="24"/>
          <w:szCs w:val="24"/>
          <w:highlight w:val="none"/>
        </w:rPr>
      </w:pPr>
      <w:r>
        <w:rPr>
          <w:rFonts w:hint="eastAsia" w:ascii="宋体" w:hAnsi="宋体" w:eastAsia="宋体" w:cs="Times New Roman"/>
          <w:color w:val="auto"/>
          <w:sz w:val="24"/>
          <w:szCs w:val="24"/>
          <w:highlight w:val="none"/>
        </w:rPr>
        <w:t>5、开启有效投标人的《报价文件》，采购</w:t>
      </w:r>
      <w:r>
        <w:rPr>
          <w:rFonts w:hint="eastAsia" w:ascii="宋体" w:hAnsi="宋体" w:eastAsia="宋体" w:cs="Times New Roman"/>
          <w:color w:val="auto"/>
          <w:sz w:val="24"/>
          <w:szCs w:val="24"/>
          <w:highlight w:val="none"/>
          <w:lang w:eastAsia="zh-CN"/>
        </w:rPr>
        <w:t>组织</w:t>
      </w:r>
      <w:r>
        <w:rPr>
          <w:rFonts w:hint="eastAsia" w:ascii="宋体" w:hAnsi="宋体" w:eastAsia="宋体" w:cs="Times New Roman"/>
          <w:color w:val="auto"/>
          <w:sz w:val="24"/>
          <w:szCs w:val="24"/>
          <w:highlight w:val="none"/>
        </w:rPr>
        <w:t>机构成功开启报价响应文件后，方可查看各供应商报价情况。</w:t>
      </w:r>
      <w:r>
        <w:rPr>
          <w:rFonts w:hint="eastAsia" w:ascii="宋体" w:hAnsi="宋体" w:eastAsia="宋体" w:cs="Times New Roman"/>
          <w:b w:val="0"/>
          <w:bCs w:val="0"/>
          <w:color w:val="auto"/>
          <w:sz w:val="24"/>
          <w:szCs w:val="24"/>
          <w:highlight w:val="none"/>
          <w:lang w:eastAsia="zh-CN"/>
        </w:rPr>
        <w:t>采购组织</w:t>
      </w:r>
      <w:r>
        <w:rPr>
          <w:rFonts w:hint="eastAsia" w:ascii="宋体" w:hAnsi="宋体" w:eastAsia="宋体" w:cs="Times New Roman"/>
          <w:b w:val="0"/>
          <w:bCs w:val="0"/>
          <w:color w:val="auto"/>
          <w:sz w:val="24"/>
          <w:szCs w:val="24"/>
          <w:highlight w:val="none"/>
        </w:rPr>
        <w:t>机构在线公布开标一览表有关内容，</w:t>
      </w:r>
      <w:r>
        <w:rPr>
          <w:rFonts w:hint="eastAsia" w:ascii="宋体" w:hAnsi="宋体" w:eastAsia="宋体" w:cs="Times New Roman"/>
          <w:b/>
          <w:bCs/>
          <w:color w:val="auto"/>
          <w:sz w:val="24"/>
          <w:szCs w:val="24"/>
          <w:highlight w:val="none"/>
          <w:lang w:eastAsia="zh-CN"/>
        </w:rPr>
        <w:t>投标人</w:t>
      </w:r>
      <w:r>
        <w:rPr>
          <w:rFonts w:hint="eastAsia" w:ascii="宋体" w:hAnsi="宋体" w:eastAsia="宋体" w:cs="Times New Roman"/>
          <w:b/>
          <w:bCs/>
          <w:color w:val="auto"/>
          <w:sz w:val="24"/>
          <w:szCs w:val="24"/>
          <w:highlight w:val="none"/>
        </w:rPr>
        <w:t>应在</w:t>
      </w:r>
      <w:r>
        <w:rPr>
          <w:rFonts w:hint="eastAsia" w:hAnsi="宋体" w:cs="Times New Roman"/>
          <w:b/>
          <w:bCs/>
          <w:color w:val="auto"/>
          <w:sz w:val="24"/>
          <w:szCs w:val="24"/>
          <w:highlight w:val="none"/>
          <w:lang w:val="en-US" w:eastAsia="zh-CN"/>
        </w:rPr>
        <w:t>5</w:t>
      </w:r>
      <w:r>
        <w:rPr>
          <w:rFonts w:hint="eastAsia" w:ascii="宋体" w:hAnsi="宋体" w:eastAsia="宋体" w:cs="Times New Roman"/>
          <w:b/>
          <w:bCs/>
          <w:color w:val="auto"/>
          <w:sz w:val="24"/>
          <w:szCs w:val="24"/>
          <w:highlight w:val="none"/>
        </w:rPr>
        <w:t>分钟内在线签字确认（不予确认的应说明原因，否则视为无异议）。</w:t>
      </w:r>
    </w:p>
    <w:p>
      <w:pPr>
        <w:pStyle w:val="19"/>
        <w:adjustRightInd w:val="0"/>
        <w:snapToGrid w:val="0"/>
        <w:spacing w:line="450" w:lineRule="exact"/>
        <w:ind w:firstLine="480" w:firstLineChars="200"/>
        <w:rPr>
          <w:rFonts w:hAnsi="宋体"/>
          <w:color w:val="auto"/>
          <w:sz w:val="24"/>
          <w:szCs w:val="24"/>
          <w:highlight w:val="none"/>
        </w:rPr>
      </w:pP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lang w:eastAsia="zh-CN"/>
        </w:rPr>
        <w:t>开启</w:t>
      </w:r>
      <w:r>
        <w:rPr>
          <w:rFonts w:hint="eastAsia" w:ascii="宋体" w:hAnsi="宋体" w:eastAsia="宋体" w:cs="Times New Roman"/>
          <w:color w:val="auto"/>
          <w:sz w:val="24"/>
          <w:szCs w:val="24"/>
          <w:highlight w:val="none"/>
        </w:rPr>
        <w:t>《报价文件》</w:t>
      </w:r>
      <w:r>
        <w:rPr>
          <w:rFonts w:hint="eastAsia" w:ascii="宋体" w:hAnsi="宋体" w:eastAsia="宋体" w:cs="Times New Roman"/>
          <w:color w:val="auto"/>
          <w:sz w:val="24"/>
          <w:szCs w:val="24"/>
          <w:highlight w:val="none"/>
          <w:lang w:eastAsia="zh-CN"/>
        </w:rPr>
        <w:t>后</w:t>
      </w:r>
      <w:r>
        <w:rPr>
          <w:rFonts w:hint="eastAsia" w:ascii="宋体" w:hAnsi="宋体" w:eastAsia="宋体" w:cs="Times New Roman"/>
          <w:color w:val="auto"/>
          <w:sz w:val="24"/>
          <w:szCs w:val="24"/>
          <w:highlight w:val="none"/>
        </w:rPr>
        <w:t>，由评标委员会对报价的</w:t>
      </w:r>
      <w:r>
        <w:rPr>
          <w:rFonts w:hint="eastAsia" w:ascii="宋体" w:hAnsi="宋体" w:eastAsia="宋体" w:cs="Times New Roman"/>
          <w:color w:val="auto"/>
          <w:sz w:val="24"/>
          <w:szCs w:val="24"/>
          <w:highlight w:val="none"/>
          <w:lang w:eastAsia="zh-CN"/>
        </w:rPr>
        <w:t>符合性、</w:t>
      </w:r>
      <w:r>
        <w:rPr>
          <w:rFonts w:hint="eastAsia" w:ascii="宋体" w:hAnsi="宋体" w:eastAsia="宋体" w:cs="Times New Roman"/>
          <w:color w:val="auto"/>
          <w:sz w:val="24"/>
          <w:szCs w:val="24"/>
          <w:highlight w:val="none"/>
        </w:rPr>
        <w:t>合理性、准确性等</w:t>
      </w:r>
      <w:r>
        <w:rPr>
          <w:rFonts w:hint="eastAsia" w:hAnsi="宋体"/>
          <w:color w:val="auto"/>
          <w:sz w:val="24"/>
          <w:szCs w:val="24"/>
          <w:highlight w:val="none"/>
        </w:rPr>
        <w:t>进行审查核实。</w:t>
      </w:r>
    </w:p>
    <w:p>
      <w:pPr>
        <w:pStyle w:val="19"/>
        <w:adjustRightInd w:val="0"/>
        <w:snapToGrid w:val="0"/>
        <w:spacing w:line="450" w:lineRule="exact"/>
        <w:ind w:firstLine="480" w:firstLineChars="200"/>
        <w:rPr>
          <w:rFonts w:hint="eastAsia" w:hAnsi="宋体"/>
          <w:color w:val="auto"/>
          <w:sz w:val="24"/>
          <w:szCs w:val="24"/>
          <w:highlight w:val="none"/>
          <w:lang w:val="en-US" w:eastAsia="zh-CN"/>
        </w:rPr>
      </w:pPr>
      <w:r>
        <w:rPr>
          <w:rFonts w:hint="eastAsia" w:hAnsi="宋体"/>
          <w:color w:val="auto"/>
          <w:sz w:val="24"/>
          <w:szCs w:val="24"/>
          <w:highlight w:val="none"/>
          <w:lang w:val="en-US" w:eastAsia="zh-CN"/>
        </w:rPr>
        <w:t>7．由主持人公布报价文件无效的投标人名单、投标无效的原因及其他有效投标的报价文件得分；</w:t>
      </w:r>
    </w:p>
    <w:p>
      <w:pPr>
        <w:pStyle w:val="19"/>
        <w:adjustRightInd w:val="0"/>
        <w:snapToGrid w:val="0"/>
        <w:spacing w:line="450" w:lineRule="exact"/>
        <w:ind w:firstLine="480" w:firstLineChars="200"/>
        <w:rPr>
          <w:rFonts w:hint="eastAsia" w:hAnsi="宋体"/>
          <w:color w:val="auto"/>
          <w:sz w:val="24"/>
          <w:szCs w:val="24"/>
          <w:highlight w:val="none"/>
          <w:lang w:val="en-US" w:eastAsia="zh-CN"/>
        </w:rPr>
      </w:pPr>
      <w:r>
        <w:rPr>
          <w:rFonts w:hint="eastAsia" w:hAnsi="宋体"/>
          <w:color w:val="auto"/>
          <w:sz w:val="24"/>
          <w:szCs w:val="24"/>
          <w:highlight w:val="none"/>
          <w:lang w:val="en-US" w:eastAsia="zh-CN"/>
        </w:rPr>
        <w:t>8．宣布综合</w:t>
      </w:r>
      <w:bookmarkStart w:id="27" w:name="_Hlk59371720"/>
      <w:r>
        <w:rPr>
          <w:rFonts w:hint="eastAsia" w:hAnsi="宋体"/>
          <w:color w:val="auto"/>
          <w:sz w:val="24"/>
          <w:szCs w:val="24"/>
          <w:highlight w:val="none"/>
          <w:lang w:val="en-US" w:eastAsia="zh-CN"/>
        </w:rPr>
        <w:t>得分结果</w:t>
      </w:r>
      <w:bookmarkEnd w:id="27"/>
      <w:r>
        <w:rPr>
          <w:rFonts w:hint="eastAsia" w:hAnsi="宋体"/>
          <w:color w:val="auto"/>
          <w:sz w:val="24"/>
          <w:szCs w:val="24"/>
          <w:highlight w:val="none"/>
          <w:lang w:val="en-US" w:eastAsia="zh-CN"/>
        </w:rPr>
        <w:t>及中标候选人名单。</w:t>
      </w:r>
    </w:p>
    <w:p>
      <w:pPr>
        <w:pStyle w:val="19"/>
        <w:adjustRightInd w:val="0"/>
        <w:snapToGrid w:val="0"/>
        <w:spacing w:line="450" w:lineRule="exact"/>
        <w:ind w:firstLine="480" w:firstLineChars="200"/>
        <w:rPr>
          <w:rFonts w:hAnsi="宋体"/>
          <w:color w:val="auto"/>
          <w:sz w:val="24"/>
          <w:szCs w:val="24"/>
          <w:highlight w:val="none"/>
        </w:rPr>
      </w:pPr>
      <w:r>
        <w:rPr>
          <w:rFonts w:hint="eastAsia" w:hAnsi="宋体"/>
          <w:color w:val="auto"/>
          <w:sz w:val="24"/>
          <w:szCs w:val="24"/>
          <w:highlight w:val="none"/>
          <w:lang w:val="en-US" w:eastAsia="zh-CN"/>
        </w:rPr>
        <w:t>9</w:t>
      </w:r>
      <w:r>
        <w:rPr>
          <w:rFonts w:hint="eastAsia" w:hAnsi="宋体"/>
          <w:color w:val="auto"/>
          <w:sz w:val="24"/>
          <w:szCs w:val="24"/>
          <w:highlight w:val="none"/>
        </w:rPr>
        <w:t>、在系统上公布评审结果。</w:t>
      </w:r>
    </w:p>
    <w:p>
      <w:pPr>
        <w:pStyle w:val="19"/>
        <w:adjustRightInd w:val="0"/>
        <w:snapToGrid w:val="0"/>
        <w:spacing w:line="450" w:lineRule="exact"/>
        <w:ind w:firstLine="482" w:firstLineChars="200"/>
        <w:rPr>
          <w:rFonts w:hAnsi="宋体"/>
          <w:b/>
          <w:bCs/>
          <w:color w:val="auto"/>
          <w:sz w:val="24"/>
          <w:szCs w:val="24"/>
          <w:highlight w:val="none"/>
        </w:rPr>
      </w:pPr>
      <w:r>
        <w:rPr>
          <w:rFonts w:hint="eastAsia" w:hAnsi="宋体"/>
          <w:b/>
          <w:bCs/>
          <w:color w:val="auto"/>
          <w:sz w:val="24"/>
          <w:szCs w:val="24"/>
          <w:highlight w:val="none"/>
        </w:rPr>
        <w:t>特别说明：</w:t>
      </w:r>
    </w:p>
    <w:p>
      <w:pPr>
        <w:pStyle w:val="19"/>
        <w:adjustRightInd w:val="0"/>
        <w:snapToGrid w:val="0"/>
        <w:spacing w:line="450" w:lineRule="exact"/>
        <w:ind w:firstLine="480" w:firstLineChars="200"/>
        <w:rPr>
          <w:rFonts w:hAnsi="宋体"/>
          <w:color w:val="auto"/>
          <w:sz w:val="24"/>
          <w:szCs w:val="24"/>
          <w:highlight w:val="none"/>
        </w:rPr>
      </w:pPr>
      <w:r>
        <w:rPr>
          <w:rFonts w:hint="eastAsia" w:hAnsi="宋体"/>
          <w:color w:val="auto"/>
          <w:sz w:val="24"/>
          <w:szCs w:val="24"/>
          <w:highlight w:val="none"/>
        </w:rPr>
        <w:t>1、如遇“政府采购云平台”电子化开标或评审程序调整的，按调整后程序执行。</w:t>
      </w:r>
    </w:p>
    <w:p>
      <w:pPr>
        <w:pStyle w:val="19"/>
        <w:adjustRightInd w:val="0"/>
        <w:snapToGrid w:val="0"/>
        <w:spacing w:line="450" w:lineRule="exact"/>
        <w:ind w:firstLine="480" w:firstLineChars="200"/>
        <w:rPr>
          <w:rFonts w:hAnsi="宋体"/>
          <w:color w:val="auto"/>
          <w:sz w:val="24"/>
          <w:szCs w:val="24"/>
          <w:highlight w:val="none"/>
        </w:rPr>
      </w:pPr>
      <w:r>
        <w:rPr>
          <w:rFonts w:hint="eastAsia" w:hAnsi="宋体"/>
          <w:color w:val="auto"/>
          <w:sz w:val="24"/>
          <w:szCs w:val="24"/>
          <w:highlight w:val="none"/>
        </w:rPr>
        <w:t>2、开标过程中需要相关当事人进行签字或盖章确认的材料将通过“政府采购云平台”</w:t>
      </w:r>
      <w:r>
        <w:rPr>
          <w:rFonts w:hint="eastAsia" w:hAnsi="宋体"/>
          <w:color w:val="auto"/>
          <w:sz w:val="24"/>
          <w:szCs w:val="24"/>
          <w:highlight w:val="none"/>
          <w:lang w:eastAsia="zh-CN"/>
        </w:rPr>
        <w:t>在线询标系统</w:t>
      </w:r>
      <w:r>
        <w:rPr>
          <w:rFonts w:hint="eastAsia" w:hAnsi="宋体"/>
          <w:color w:val="auto"/>
          <w:sz w:val="24"/>
          <w:szCs w:val="24"/>
          <w:highlight w:val="none"/>
        </w:rPr>
        <w:t>进行，若因“政府采购云平台”技术问题无法进行签字或盖章确认的，采购组织机构将通过邮件、传真等形式予以确认。</w:t>
      </w:r>
    </w:p>
    <w:p>
      <w:pPr>
        <w:pStyle w:val="19"/>
        <w:adjustRightInd w:val="0"/>
        <w:snapToGrid w:val="0"/>
        <w:spacing w:line="450" w:lineRule="exact"/>
        <w:ind w:firstLine="482" w:firstLineChars="200"/>
        <w:rPr>
          <w:rFonts w:hAnsi="宋体"/>
          <w:b/>
          <w:bCs/>
          <w:color w:val="auto"/>
          <w:sz w:val="24"/>
          <w:szCs w:val="24"/>
          <w:highlight w:val="none"/>
        </w:rPr>
      </w:pPr>
      <w:r>
        <w:rPr>
          <w:rFonts w:hint="eastAsia" w:hAnsi="宋体"/>
          <w:b/>
          <w:bCs/>
          <w:color w:val="auto"/>
          <w:sz w:val="24"/>
          <w:szCs w:val="24"/>
          <w:highlight w:val="none"/>
        </w:rPr>
        <w:t>（四）情况说明</w:t>
      </w:r>
    </w:p>
    <w:p>
      <w:pPr>
        <w:pStyle w:val="19"/>
        <w:adjustRightInd w:val="0"/>
        <w:snapToGrid w:val="0"/>
        <w:spacing w:line="450" w:lineRule="exact"/>
        <w:ind w:firstLine="480" w:firstLineChars="200"/>
        <w:rPr>
          <w:rFonts w:hAnsi="宋体"/>
          <w:color w:val="auto"/>
          <w:sz w:val="24"/>
          <w:szCs w:val="24"/>
          <w:highlight w:val="none"/>
        </w:rPr>
      </w:pPr>
      <w:r>
        <w:rPr>
          <w:rFonts w:hint="eastAsia" w:hAnsi="宋体"/>
          <w:color w:val="auto"/>
          <w:sz w:val="24"/>
          <w:szCs w:val="24"/>
          <w:highlight w:val="none"/>
        </w:rPr>
        <w:t>本项目采用政采云电子招投标开标及评审程序，但有下情形之一的，按以下情况处理：</w:t>
      </w:r>
    </w:p>
    <w:p>
      <w:pPr>
        <w:pStyle w:val="19"/>
        <w:adjustRightInd w:val="0"/>
        <w:snapToGrid w:val="0"/>
        <w:spacing w:line="450" w:lineRule="exact"/>
        <w:ind w:firstLine="480" w:firstLineChars="200"/>
        <w:rPr>
          <w:rFonts w:hAnsi="宋体"/>
          <w:color w:val="auto"/>
          <w:sz w:val="24"/>
          <w:szCs w:val="24"/>
          <w:highlight w:val="none"/>
        </w:rPr>
      </w:pPr>
      <w:r>
        <w:rPr>
          <w:rFonts w:hint="eastAsia" w:ascii="宋体" w:hAnsi="宋体" w:cs="宋体"/>
          <w:sz w:val="24"/>
          <w:lang w:val="en-US" w:eastAsia="zh-CN"/>
        </w:rPr>
        <w:t>1、</w:t>
      </w:r>
      <w:r>
        <w:rPr>
          <w:rFonts w:hint="eastAsia" w:ascii="宋体" w:hAnsi="宋体" w:cs="宋体"/>
          <w:sz w:val="24"/>
        </w:rPr>
        <w:t>投标</w:t>
      </w:r>
      <w:r>
        <w:rPr>
          <w:rFonts w:hint="eastAsia" w:ascii="宋体" w:hAnsi="宋体" w:cs="宋体"/>
          <w:sz w:val="24"/>
          <w:highlight w:val="none"/>
        </w:rPr>
        <w:t>人应当按</w:t>
      </w:r>
      <w:r>
        <w:rPr>
          <w:rFonts w:hint="eastAsia" w:ascii="宋体" w:hAnsi="宋体" w:cs="宋体"/>
          <w:sz w:val="24"/>
        </w:rPr>
        <w:t>规定及时解密，若因技术原因导致电子投标文件未能及时解密的，应</w:t>
      </w:r>
      <w:r>
        <w:rPr>
          <w:rFonts w:hint="eastAsia" w:ascii="宋体" w:hAnsi="宋体" w:cs="宋体"/>
          <w:sz w:val="24"/>
          <w:lang w:eastAsia="zh-CN"/>
        </w:rPr>
        <w:t>及时</w:t>
      </w:r>
      <w:r>
        <w:rPr>
          <w:rFonts w:hint="eastAsia" w:ascii="宋体" w:hAnsi="宋体" w:cs="宋体"/>
          <w:sz w:val="24"/>
        </w:rPr>
        <w:t>联系</w:t>
      </w:r>
      <w:r>
        <w:rPr>
          <w:rFonts w:hint="eastAsia" w:ascii="宋体" w:hAnsi="宋体" w:cs="宋体"/>
          <w:b w:val="0"/>
          <w:bCs/>
          <w:color w:val="auto"/>
          <w:sz w:val="24"/>
          <w:highlight w:val="none"/>
        </w:rPr>
        <w:t>咨询政采云平台技术支持热线</w:t>
      </w:r>
      <w:r>
        <w:rPr>
          <w:rFonts w:hint="eastAsia" w:ascii="宋体" w:hAnsi="宋体" w:cs="宋体"/>
          <w:sz w:val="24"/>
        </w:rPr>
        <w:t>协助其完成解密</w:t>
      </w:r>
      <w:r>
        <w:rPr>
          <w:rFonts w:hint="eastAsia" w:ascii="宋体" w:hAnsi="宋体" w:cs="宋体"/>
          <w:sz w:val="24"/>
          <w:lang w:eastAsia="zh-CN"/>
        </w:rPr>
        <w:t>。</w:t>
      </w:r>
      <w:r>
        <w:rPr>
          <w:rFonts w:hint="eastAsia" w:ascii="宋体" w:hAnsi="宋体" w:cs="宋体"/>
          <w:sz w:val="24"/>
        </w:rPr>
        <w:t>仍无法完成解密的，应按规定及时递交备份电子投标文件，否则，视同放弃投标。</w:t>
      </w:r>
    </w:p>
    <w:p>
      <w:pPr>
        <w:pStyle w:val="19"/>
        <w:adjustRightInd w:val="0"/>
        <w:snapToGrid w:val="0"/>
        <w:spacing w:line="450" w:lineRule="exact"/>
        <w:ind w:firstLine="480" w:firstLineChars="200"/>
        <w:rPr>
          <w:rFonts w:hAnsi="宋体"/>
          <w:color w:val="auto"/>
          <w:sz w:val="24"/>
          <w:szCs w:val="24"/>
          <w:highlight w:val="none"/>
        </w:rPr>
      </w:pPr>
      <w:r>
        <w:rPr>
          <w:rFonts w:hint="eastAsia" w:hAnsi="宋体"/>
          <w:color w:val="auto"/>
          <w:sz w:val="24"/>
          <w:szCs w:val="24"/>
          <w:highlight w:val="none"/>
          <w:lang w:val="en-US" w:eastAsia="zh-CN"/>
        </w:rPr>
        <w:t>2</w:t>
      </w:r>
      <w:r>
        <w:rPr>
          <w:rFonts w:hint="eastAsia" w:hAnsi="宋体"/>
          <w:color w:val="auto"/>
          <w:sz w:val="24"/>
          <w:szCs w:val="24"/>
          <w:highlight w:val="none"/>
        </w:rPr>
        <w:t>、采购过程中出现以下情形，导致电子交易平台无法正常运行，或者无法保证电子交易的公平、公正和安全时，采购组织机构可中止电子交易活动：</w:t>
      </w:r>
    </w:p>
    <w:p>
      <w:pPr>
        <w:pStyle w:val="19"/>
        <w:adjustRightInd w:val="0"/>
        <w:snapToGrid w:val="0"/>
        <w:spacing w:line="450" w:lineRule="exact"/>
        <w:ind w:firstLine="480" w:firstLineChars="200"/>
        <w:rPr>
          <w:rFonts w:hAnsi="宋体"/>
          <w:color w:val="auto"/>
          <w:sz w:val="24"/>
          <w:szCs w:val="24"/>
          <w:highlight w:val="none"/>
        </w:rPr>
      </w:pPr>
      <w:r>
        <w:rPr>
          <w:rFonts w:hint="eastAsia" w:hAnsi="宋体"/>
          <w:color w:val="auto"/>
          <w:sz w:val="24"/>
          <w:szCs w:val="24"/>
          <w:highlight w:val="none"/>
        </w:rPr>
        <w:t xml:space="preserve">（1）电子交易平台发生故障而无法登录访问的； </w:t>
      </w:r>
    </w:p>
    <w:p>
      <w:pPr>
        <w:pStyle w:val="19"/>
        <w:adjustRightInd w:val="0"/>
        <w:snapToGrid w:val="0"/>
        <w:spacing w:line="450" w:lineRule="exact"/>
        <w:ind w:firstLine="480" w:firstLineChars="200"/>
        <w:rPr>
          <w:rFonts w:hAnsi="宋体"/>
          <w:color w:val="auto"/>
          <w:sz w:val="24"/>
          <w:szCs w:val="24"/>
          <w:highlight w:val="none"/>
        </w:rPr>
      </w:pPr>
      <w:r>
        <w:rPr>
          <w:rFonts w:hint="eastAsia" w:hAnsi="宋体"/>
          <w:color w:val="auto"/>
          <w:sz w:val="24"/>
          <w:szCs w:val="24"/>
          <w:highlight w:val="none"/>
        </w:rPr>
        <w:t>（2）电子交易平台应用或数据库出现错误，不能进行正常操作的；</w:t>
      </w:r>
    </w:p>
    <w:p>
      <w:pPr>
        <w:pStyle w:val="19"/>
        <w:adjustRightInd w:val="0"/>
        <w:snapToGrid w:val="0"/>
        <w:spacing w:line="450" w:lineRule="exact"/>
        <w:ind w:firstLine="480" w:firstLineChars="200"/>
        <w:rPr>
          <w:rFonts w:hAnsi="宋体"/>
          <w:color w:val="auto"/>
          <w:sz w:val="24"/>
          <w:szCs w:val="24"/>
          <w:highlight w:val="none"/>
        </w:rPr>
      </w:pPr>
      <w:r>
        <w:rPr>
          <w:rFonts w:hint="eastAsia" w:hAnsi="宋体"/>
          <w:color w:val="auto"/>
          <w:sz w:val="24"/>
          <w:szCs w:val="24"/>
          <w:highlight w:val="none"/>
        </w:rPr>
        <w:t>（3）电子交易平台发现严重安全漏洞，有潜在泄密危险的；</w:t>
      </w:r>
    </w:p>
    <w:p>
      <w:pPr>
        <w:pStyle w:val="19"/>
        <w:adjustRightInd w:val="0"/>
        <w:snapToGrid w:val="0"/>
        <w:spacing w:line="450" w:lineRule="exact"/>
        <w:ind w:firstLine="480" w:firstLineChars="200"/>
        <w:rPr>
          <w:rFonts w:hAnsi="宋体"/>
          <w:color w:val="auto"/>
          <w:sz w:val="24"/>
          <w:szCs w:val="24"/>
          <w:highlight w:val="none"/>
        </w:rPr>
      </w:pPr>
      <w:r>
        <w:rPr>
          <w:rFonts w:hint="eastAsia" w:hAnsi="宋体"/>
          <w:color w:val="auto"/>
          <w:sz w:val="24"/>
          <w:szCs w:val="24"/>
          <w:highlight w:val="none"/>
        </w:rPr>
        <w:t xml:space="preserve">（4）病毒发作导致不能进行正常操作的； </w:t>
      </w:r>
    </w:p>
    <w:p>
      <w:pPr>
        <w:pStyle w:val="19"/>
        <w:adjustRightInd w:val="0"/>
        <w:snapToGrid w:val="0"/>
        <w:spacing w:line="450" w:lineRule="exact"/>
        <w:ind w:firstLine="480" w:firstLineChars="200"/>
        <w:rPr>
          <w:rFonts w:hAnsi="宋体"/>
          <w:color w:val="auto"/>
          <w:sz w:val="24"/>
          <w:szCs w:val="24"/>
          <w:highlight w:val="none"/>
        </w:rPr>
      </w:pPr>
      <w:r>
        <w:rPr>
          <w:rFonts w:hint="eastAsia" w:hAnsi="宋体"/>
          <w:color w:val="auto"/>
          <w:sz w:val="24"/>
          <w:szCs w:val="24"/>
          <w:highlight w:val="none"/>
        </w:rPr>
        <w:t>（5）其他无法保证电子交易的公平、公正和安全的情况。</w:t>
      </w:r>
    </w:p>
    <w:bookmarkEnd w:id="26"/>
    <w:p>
      <w:pPr>
        <w:spacing w:line="450" w:lineRule="exact"/>
        <w:rPr>
          <w:b/>
          <w:color w:val="auto"/>
          <w:sz w:val="24"/>
          <w:szCs w:val="24"/>
          <w:highlight w:val="none"/>
        </w:rPr>
      </w:pPr>
      <w:bookmarkStart w:id="28" w:name="_Toc26036"/>
      <w:bookmarkStart w:id="29" w:name="_Toc531267758"/>
      <w:bookmarkStart w:id="30" w:name="_Toc33014423"/>
      <w:r>
        <w:rPr>
          <w:rFonts w:hint="eastAsia"/>
          <w:b/>
          <w:color w:val="auto"/>
          <w:sz w:val="24"/>
          <w:szCs w:val="24"/>
          <w:highlight w:val="none"/>
        </w:rPr>
        <w:t>五、评标</w:t>
      </w:r>
      <w:bookmarkEnd w:id="28"/>
      <w:bookmarkEnd w:id="29"/>
      <w:bookmarkEnd w:id="30"/>
    </w:p>
    <w:p>
      <w:pPr>
        <w:spacing w:line="450" w:lineRule="exact"/>
        <w:ind w:firstLine="241" w:firstLineChars="100"/>
        <w:rPr>
          <w:b/>
          <w:color w:val="auto"/>
          <w:sz w:val="24"/>
          <w:szCs w:val="24"/>
          <w:highlight w:val="none"/>
        </w:rPr>
      </w:pPr>
      <w:r>
        <w:rPr>
          <w:rFonts w:hint="eastAsia"/>
          <w:b/>
          <w:color w:val="auto"/>
          <w:sz w:val="24"/>
          <w:szCs w:val="24"/>
          <w:highlight w:val="none"/>
        </w:rPr>
        <w:t>（一）组建评标委员会</w:t>
      </w:r>
    </w:p>
    <w:p>
      <w:pPr>
        <w:spacing w:line="450" w:lineRule="exact"/>
        <w:ind w:firstLine="480" w:firstLineChars="200"/>
        <w:rPr>
          <w:bCs/>
          <w:color w:val="auto"/>
          <w:sz w:val="24"/>
          <w:szCs w:val="24"/>
          <w:highlight w:val="none"/>
        </w:rPr>
      </w:pPr>
      <w:r>
        <w:rPr>
          <w:rFonts w:hint="eastAsia"/>
          <w:bCs/>
          <w:color w:val="auto"/>
          <w:sz w:val="24"/>
          <w:szCs w:val="24"/>
          <w:highlight w:val="none"/>
        </w:rPr>
        <w:t>评标委员会由采购人代表和有关技术、经济等方面的专家组成,成员人数应当为五人及以上单数。其中技术、经济等方面的专家不得少于成员总数的三分之二。</w:t>
      </w:r>
    </w:p>
    <w:p>
      <w:pPr>
        <w:spacing w:line="450" w:lineRule="exact"/>
        <w:ind w:firstLine="241" w:firstLineChars="100"/>
        <w:rPr>
          <w:b/>
          <w:color w:val="auto"/>
          <w:sz w:val="24"/>
          <w:szCs w:val="24"/>
          <w:highlight w:val="none"/>
        </w:rPr>
      </w:pPr>
      <w:r>
        <w:rPr>
          <w:rFonts w:hint="eastAsia"/>
          <w:b/>
          <w:color w:val="auto"/>
          <w:sz w:val="24"/>
          <w:szCs w:val="24"/>
          <w:highlight w:val="none"/>
        </w:rPr>
        <w:t>（二）评标的方式</w:t>
      </w:r>
    </w:p>
    <w:p>
      <w:pPr>
        <w:spacing w:line="450" w:lineRule="exact"/>
        <w:ind w:firstLine="480" w:firstLineChars="200"/>
        <w:rPr>
          <w:bCs/>
          <w:color w:val="auto"/>
          <w:sz w:val="24"/>
          <w:szCs w:val="24"/>
          <w:highlight w:val="none"/>
        </w:rPr>
      </w:pPr>
      <w:r>
        <w:rPr>
          <w:rFonts w:hint="eastAsia"/>
          <w:bCs/>
          <w:color w:val="auto"/>
          <w:sz w:val="24"/>
          <w:szCs w:val="24"/>
          <w:highlight w:val="none"/>
        </w:rPr>
        <w:t>本项目采用不公开方式评标，评标的依据为招标文件和投标文件。</w:t>
      </w:r>
    </w:p>
    <w:p>
      <w:pPr>
        <w:spacing w:line="450" w:lineRule="exact"/>
        <w:ind w:firstLine="241" w:firstLineChars="100"/>
        <w:rPr>
          <w:b/>
          <w:color w:val="auto"/>
          <w:sz w:val="24"/>
          <w:szCs w:val="24"/>
          <w:highlight w:val="none"/>
        </w:rPr>
      </w:pPr>
      <w:r>
        <w:rPr>
          <w:rFonts w:hint="eastAsia"/>
          <w:b/>
          <w:color w:val="auto"/>
          <w:sz w:val="24"/>
          <w:szCs w:val="24"/>
          <w:highlight w:val="none"/>
        </w:rPr>
        <w:t>（三）评标委员会的职责</w:t>
      </w:r>
    </w:p>
    <w:p>
      <w:pPr>
        <w:spacing w:line="450" w:lineRule="exact"/>
        <w:ind w:firstLine="241" w:firstLineChars="100"/>
        <w:rPr>
          <w:b/>
          <w:color w:val="auto"/>
          <w:sz w:val="24"/>
          <w:szCs w:val="24"/>
          <w:highlight w:val="none"/>
        </w:rPr>
      </w:pPr>
      <w:r>
        <w:rPr>
          <w:rFonts w:hint="eastAsia"/>
          <w:b/>
          <w:color w:val="auto"/>
          <w:sz w:val="24"/>
          <w:szCs w:val="24"/>
          <w:highlight w:val="none"/>
        </w:rPr>
        <w:t>评标委员会负责具体评审事务，并独立履行下列职责：</w:t>
      </w:r>
    </w:p>
    <w:p>
      <w:pPr>
        <w:spacing w:line="450" w:lineRule="exact"/>
        <w:ind w:firstLine="240" w:firstLineChars="100"/>
        <w:rPr>
          <w:rFonts w:ascii="宋体" w:hAnsi="宋体" w:cs="宋体"/>
          <w:bCs/>
          <w:color w:val="auto"/>
          <w:sz w:val="24"/>
          <w:szCs w:val="24"/>
          <w:highlight w:val="none"/>
        </w:rPr>
      </w:pPr>
      <w:r>
        <w:rPr>
          <w:rFonts w:hint="eastAsia" w:ascii="宋体" w:hAnsi="宋体" w:cs="宋体"/>
          <w:bCs/>
          <w:color w:val="auto"/>
          <w:sz w:val="24"/>
          <w:szCs w:val="24"/>
          <w:highlight w:val="none"/>
        </w:rPr>
        <w:t>（1）审查、评价投标文件是否符合采购文件的资信、技术等实质性要求；</w:t>
      </w:r>
    </w:p>
    <w:p>
      <w:pPr>
        <w:spacing w:line="450" w:lineRule="exact"/>
        <w:ind w:firstLine="240" w:firstLineChars="100"/>
        <w:rPr>
          <w:rFonts w:ascii="宋体" w:hAnsi="宋体" w:cs="宋体"/>
          <w:bCs/>
          <w:color w:val="auto"/>
          <w:sz w:val="24"/>
          <w:szCs w:val="24"/>
          <w:highlight w:val="none"/>
        </w:rPr>
      </w:pPr>
      <w:r>
        <w:rPr>
          <w:rFonts w:hint="eastAsia" w:ascii="宋体" w:hAnsi="宋体" w:cs="宋体"/>
          <w:bCs/>
          <w:color w:val="auto"/>
          <w:sz w:val="24"/>
          <w:szCs w:val="24"/>
          <w:highlight w:val="none"/>
        </w:rPr>
        <w:t>（2）要求投标人对投标文件有关事项作出澄清或者说明；</w:t>
      </w:r>
    </w:p>
    <w:p>
      <w:pPr>
        <w:spacing w:line="450" w:lineRule="exact"/>
        <w:ind w:firstLine="240" w:firstLineChars="100"/>
        <w:rPr>
          <w:rFonts w:ascii="宋体" w:hAnsi="宋体" w:cs="宋体"/>
          <w:bCs/>
          <w:color w:val="auto"/>
          <w:sz w:val="24"/>
          <w:szCs w:val="24"/>
          <w:highlight w:val="none"/>
        </w:rPr>
      </w:pPr>
      <w:r>
        <w:rPr>
          <w:rFonts w:hint="eastAsia" w:ascii="宋体" w:hAnsi="宋体" w:cs="宋体"/>
          <w:bCs/>
          <w:color w:val="auto"/>
          <w:sz w:val="24"/>
          <w:szCs w:val="24"/>
          <w:highlight w:val="none"/>
        </w:rPr>
        <w:t>（3）对投标文件进行比较和评价；</w:t>
      </w:r>
    </w:p>
    <w:p>
      <w:pPr>
        <w:spacing w:line="450" w:lineRule="exact"/>
        <w:ind w:firstLine="240" w:firstLineChars="100"/>
        <w:rPr>
          <w:rFonts w:ascii="宋体" w:hAnsi="宋体" w:cs="宋体"/>
          <w:bCs/>
          <w:color w:val="auto"/>
          <w:sz w:val="24"/>
          <w:szCs w:val="24"/>
          <w:highlight w:val="none"/>
        </w:rPr>
      </w:pPr>
      <w:r>
        <w:rPr>
          <w:rFonts w:hint="eastAsia" w:ascii="宋体" w:hAnsi="宋体" w:cs="宋体"/>
          <w:bCs/>
          <w:color w:val="auto"/>
          <w:sz w:val="24"/>
          <w:szCs w:val="24"/>
          <w:highlight w:val="none"/>
        </w:rPr>
        <w:t>（4）确定中标候选人名单，以及根据采购人委托直接确定中标单位；</w:t>
      </w:r>
    </w:p>
    <w:p>
      <w:pPr>
        <w:spacing w:line="450" w:lineRule="exact"/>
        <w:ind w:firstLine="240" w:firstLineChars="100"/>
        <w:rPr>
          <w:rFonts w:ascii="宋体" w:hAnsi="宋体" w:cs="宋体"/>
          <w:bCs/>
          <w:color w:val="auto"/>
          <w:sz w:val="24"/>
          <w:szCs w:val="24"/>
          <w:highlight w:val="none"/>
        </w:rPr>
      </w:pPr>
      <w:r>
        <w:rPr>
          <w:rFonts w:hint="eastAsia" w:ascii="宋体" w:hAnsi="宋体" w:cs="宋体"/>
          <w:bCs/>
          <w:color w:val="auto"/>
          <w:sz w:val="24"/>
          <w:szCs w:val="24"/>
          <w:highlight w:val="none"/>
        </w:rPr>
        <w:t>（5）向采购人、采购</w:t>
      </w:r>
      <w:r>
        <w:rPr>
          <w:rFonts w:hint="eastAsia" w:ascii="宋体" w:hAnsi="宋体" w:cs="宋体"/>
          <w:bCs/>
          <w:color w:val="auto"/>
          <w:sz w:val="24"/>
          <w:szCs w:val="24"/>
          <w:highlight w:val="none"/>
          <w:lang w:eastAsia="zh-CN"/>
        </w:rPr>
        <w:t>组织机构</w:t>
      </w:r>
      <w:r>
        <w:rPr>
          <w:rFonts w:hint="eastAsia" w:ascii="宋体" w:hAnsi="宋体" w:cs="宋体"/>
          <w:bCs/>
          <w:color w:val="auto"/>
          <w:sz w:val="24"/>
          <w:szCs w:val="24"/>
          <w:highlight w:val="none"/>
        </w:rPr>
        <w:t>或者有关部门报告评审中发现的违法行为。</w:t>
      </w:r>
    </w:p>
    <w:p>
      <w:pPr>
        <w:spacing w:line="450" w:lineRule="exact"/>
        <w:ind w:firstLine="241" w:firstLineChars="100"/>
        <w:rPr>
          <w:rFonts w:ascii="宋体" w:hAnsi="宋体" w:cs="宋体"/>
          <w:b/>
          <w:color w:val="auto"/>
          <w:sz w:val="24"/>
          <w:szCs w:val="24"/>
          <w:highlight w:val="none"/>
        </w:rPr>
      </w:pPr>
      <w:r>
        <w:rPr>
          <w:rFonts w:hint="eastAsia" w:ascii="宋体" w:hAnsi="宋体" w:eastAsia="宋体" w:cs="宋体"/>
          <w:b/>
          <w:color w:val="auto"/>
          <w:sz w:val="24"/>
          <w:szCs w:val="24"/>
          <w:highlight w:val="none"/>
        </w:rPr>
        <w:t>（四）</w:t>
      </w:r>
      <w:r>
        <w:rPr>
          <w:rFonts w:hint="eastAsia" w:ascii="宋体" w:hAnsi="宋体" w:cs="宋体"/>
          <w:b/>
          <w:color w:val="auto"/>
          <w:sz w:val="24"/>
          <w:szCs w:val="24"/>
          <w:highlight w:val="none"/>
        </w:rPr>
        <w:t>评审原则</w:t>
      </w:r>
    </w:p>
    <w:p>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1、评审原则：评标委员会按照客观、公正、审慎、择优的原则，根据采购文件规定的评审程序、评审方法和评审标准进行独立评审。</w:t>
      </w:r>
    </w:p>
    <w:p>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2、评审工作将依据采购文件、投标文件及采购文件中事先已列明的内容进行。</w:t>
      </w:r>
    </w:p>
    <w:p>
      <w:pPr>
        <w:spacing w:line="450" w:lineRule="exact"/>
        <w:ind w:firstLine="241" w:firstLineChars="100"/>
        <w:rPr>
          <w:rFonts w:ascii="宋体" w:hAnsi="宋体" w:cs="宋体"/>
          <w:b/>
          <w:color w:val="auto"/>
          <w:sz w:val="24"/>
          <w:szCs w:val="24"/>
          <w:highlight w:val="none"/>
        </w:rPr>
      </w:pPr>
      <w:r>
        <w:rPr>
          <w:rFonts w:hint="eastAsia" w:ascii="宋体" w:hAnsi="宋体" w:cs="宋体"/>
          <w:b/>
          <w:color w:val="auto"/>
          <w:sz w:val="24"/>
          <w:szCs w:val="24"/>
          <w:highlight w:val="none"/>
        </w:rPr>
        <w:t>（五）评审意见的争议处理</w:t>
      </w:r>
    </w:p>
    <w:p>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评标委员会成员对需要共同认定的事项存在争议的，按照少数服从多数的原则作出结论。持不同意见的评标委员会成员应当在评审报告上签署不同意见及理由，否则视为同意评审报告。</w:t>
      </w:r>
    </w:p>
    <w:p>
      <w:pPr>
        <w:spacing w:line="450" w:lineRule="exact"/>
        <w:ind w:firstLine="241" w:firstLineChars="100"/>
        <w:rPr>
          <w:rFonts w:ascii="宋体" w:hAnsi="宋体" w:cs="宋体"/>
          <w:b/>
          <w:color w:val="auto"/>
          <w:sz w:val="24"/>
          <w:szCs w:val="24"/>
          <w:highlight w:val="none"/>
        </w:rPr>
      </w:pPr>
      <w:r>
        <w:rPr>
          <w:rFonts w:hint="eastAsia" w:ascii="宋体" w:hAnsi="宋体" w:cs="宋体"/>
          <w:b/>
          <w:color w:val="auto"/>
          <w:sz w:val="24"/>
          <w:szCs w:val="24"/>
          <w:highlight w:val="none"/>
        </w:rPr>
        <w:t>（六）评标纪律</w:t>
      </w:r>
    </w:p>
    <w:p>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1、本项目评标过程实行全程录音、录像监控，政府采购监管部门视情进行视频远程或现场监督，投标人在评标过程中所进行的试图影响评标结果的不公正活动，可能导致其投标被拒绝。</w:t>
      </w:r>
    </w:p>
    <w:p>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评标委员会成员必须严格遵守保密规定，不得泄露评审的有关情况，任何单位和个人不得干扰、影响评标的正常进行，评标委员会成员不得私下与投标人接触，不得出现浙江省政府采购活动现场组织管理办法中规定的其他禁止行为。</w:t>
      </w:r>
    </w:p>
    <w:p>
      <w:pPr>
        <w:spacing w:line="450" w:lineRule="exact"/>
        <w:ind w:firstLine="241" w:firstLineChars="100"/>
        <w:rPr>
          <w:rFonts w:ascii="宋体" w:hAnsi="宋体" w:cs="宋体"/>
          <w:b/>
          <w:color w:val="auto"/>
          <w:sz w:val="24"/>
          <w:szCs w:val="24"/>
          <w:highlight w:val="none"/>
        </w:rPr>
      </w:pPr>
      <w:bookmarkStart w:id="31" w:name="_Toc24550044"/>
      <w:bookmarkStart w:id="32" w:name="_Toc33194395"/>
      <w:r>
        <w:rPr>
          <w:rFonts w:hint="eastAsia" w:ascii="宋体" w:hAnsi="宋体" w:cs="宋体"/>
          <w:b/>
          <w:color w:val="auto"/>
          <w:sz w:val="24"/>
          <w:szCs w:val="24"/>
          <w:highlight w:val="none"/>
        </w:rPr>
        <w:t>（七）评审流程及内容</w:t>
      </w:r>
      <w:bookmarkEnd w:id="31"/>
      <w:bookmarkEnd w:id="32"/>
    </w:p>
    <w:p>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本项目具体的评审事务由评标委员会负责，评审流程及内容如下：</w:t>
      </w:r>
    </w:p>
    <w:p>
      <w:pPr>
        <w:spacing w:line="45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1、评审前准备</w:t>
      </w:r>
    </w:p>
    <w:p>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1.1由评审专家推选评审小组组长，采购人代表不得担任评审小组组长。</w:t>
      </w:r>
    </w:p>
    <w:p>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1.2由评审小组组长（评标委员会主任委员）召集所有评委成员阅读采购文件及相关补充、质疑、答复文件、项目书面说明等材料，熟悉采购项目基本情况、采购需求、合同主要条款、投标文件无效情形、评审办法、评审标准，以及其他与评审有关的内容。</w:t>
      </w:r>
    </w:p>
    <w:p>
      <w:pPr>
        <w:spacing w:line="45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2、投标文件的初步审查、符合性审查</w:t>
      </w:r>
    </w:p>
    <w:p>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对所有通过资格审查的投标人的投标文件进行初步审查，审查、评价投标文件是否符合采购文件的资信、技术、服务等实质性要求。</w:t>
      </w:r>
    </w:p>
    <w:p>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2.1评标委员会首先对所有通过资格审查的投标人的投标文件进行符合性审查，审查每份投标文件是否实质上响应了采购文件的要求（实质性响应的投标文件是指投标文件符合采购文件规定的实质性内容、条件和规定）。</w:t>
      </w:r>
    </w:p>
    <w:p>
      <w:pPr>
        <w:spacing w:line="45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3、投标文件的澄清、说明或补正</w:t>
      </w:r>
    </w:p>
    <w:p>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3.1对于投标文件中含义不明确、同类问题表述不一致或者有明显文字和计算错误的内容，评标委员会将以书面形式（或通过“政府采购云平台”在线询标）的形式要求投标人在规定的时间内作出必要的澄清、说明或者补正。</w:t>
      </w:r>
    </w:p>
    <w:p>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3.2评标过程中评标委员会对投标人提出质询或要求投标人书面确认的（或通过“政府采购云平台”在线答复），采用书面形式（PDF格式）提交并加盖公章，或者由法定代表人或其授权的代表签字或盖章，在规定时间内予以书面（PDF格式）回复或确认，若因CA锁等原因无法上传，在专家限定时间内可将线下材料（PDF格式）发送到采购组织机构邮箱，由采购组织机构上传。否则视为不予回复或确认，评标委员会有权拒绝该投标文件，澄清、说明或者补正不得超出投标文件的范围或者改变投标文件的实质性内容。</w:t>
      </w:r>
    </w:p>
    <w:p>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3.3上述询标、澄清、说明和补正工作如因客观原因无法通过“政府采购云平台”在线进行的，将采用书面（含邮件）形式进行。</w:t>
      </w:r>
    </w:p>
    <w:p>
      <w:pPr>
        <w:spacing w:line="45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4、投标文件的错误修正</w:t>
      </w:r>
    </w:p>
    <w:p>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4.1《投标文件》如果出现计算或表达上的错误，修正错误的原则如下：</w:t>
      </w:r>
    </w:p>
    <w:p>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（1）投标文件中开标一览表（报价表）内容与投标文件中相应内容不一致的，以开标一览表（报价表）为准。</w:t>
      </w:r>
    </w:p>
    <w:p>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（2）《投标文件》的大写金额和小写金额不一致的，以大写金额为准；</w:t>
      </w:r>
    </w:p>
    <w:p>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（3）单价金额小数点或者百分比有明显错位的，应以开标一览表（报价表）的总价为准，并修改单价；</w:t>
      </w:r>
    </w:p>
    <w:p>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（4）总价金额与按单价汇总金额不一致的，以单价金额计算结果为准。</w:t>
      </w:r>
    </w:p>
    <w:p>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（5）若在报价文件上传的报价和报价一览表里填写的报价不一致时，以投标人上传的报价文件为准，由采购组织机构经办人对投标人报价进行修正。</w:t>
      </w:r>
    </w:p>
    <w:p>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4.2对不同文字文本《投标文件》的解释发生异议的，以中文文本为准。</w:t>
      </w:r>
    </w:p>
    <w:p>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同时出现两种以上不一致的，按照前款规定的顺序修正。修正后的报价按照经投标人加盖CA</w:t>
      </w:r>
      <w:r>
        <w:rPr>
          <w:rFonts w:hint="eastAsia" w:ascii="宋体" w:hAnsi="宋体" w:cs="宋体"/>
          <w:bCs/>
          <w:color w:val="auto"/>
          <w:sz w:val="24"/>
          <w:szCs w:val="24"/>
          <w:highlight w:val="none"/>
          <w:lang w:eastAsia="zh-CN"/>
        </w:rPr>
        <w:t>签章</w:t>
      </w:r>
      <w:r>
        <w:rPr>
          <w:rFonts w:hint="eastAsia" w:ascii="宋体" w:hAnsi="宋体" w:cs="宋体"/>
          <w:bCs/>
          <w:color w:val="auto"/>
          <w:sz w:val="24"/>
          <w:szCs w:val="24"/>
          <w:highlight w:val="none"/>
        </w:rPr>
        <w:t>，由法定代表人或其授权的代表</w:t>
      </w:r>
      <w:r>
        <w:rPr>
          <w:rFonts w:hint="eastAsia" w:ascii="宋体" w:hAnsi="宋体"/>
          <w:sz w:val="24"/>
        </w:rPr>
        <w:t>签字或电子印章</w:t>
      </w:r>
      <w:r>
        <w:rPr>
          <w:rFonts w:hint="eastAsia" w:ascii="宋体" w:hAnsi="宋体" w:cs="宋体"/>
          <w:bCs/>
          <w:color w:val="auto"/>
          <w:sz w:val="24"/>
          <w:szCs w:val="24"/>
          <w:highlight w:val="none"/>
        </w:rPr>
        <w:t>确认后产生约束力，投标人不确认的，其投标无效。</w:t>
      </w:r>
    </w:p>
    <w:p>
      <w:pPr>
        <w:spacing w:line="450" w:lineRule="exact"/>
        <w:ind w:firstLine="480" w:firstLineChars="200"/>
        <w:rPr>
          <w:rFonts w:ascii="宋体" w:hAnsi="宋体" w:cs="宋体"/>
          <w:b w:val="0"/>
          <w:bCs/>
          <w:color w:val="auto"/>
          <w:sz w:val="24"/>
          <w:szCs w:val="24"/>
          <w:highlight w:val="none"/>
          <w:lang w:val="zh-CN"/>
        </w:rPr>
      </w:pPr>
      <w:r>
        <w:rPr>
          <w:rFonts w:hint="eastAsia" w:ascii="宋体" w:hAnsi="宋体" w:cs="宋体"/>
          <w:b w:val="0"/>
          <w:bCs/>
          <w:color w:val="auto"/>
          <w:sz w:val="24"/>
          <w:szCs w:val="24"/>
          <w:highlight w:val="none"/>
        </w:rPr>
        <w:t>5、</w:t>
      </w:r>
      <w:r>
        <w:rPr>
          <w:rFonts w:hint="eastAsia" w:ascii="宋体" w:hAnsi="宋体" w:cs="宋体"/>
          <w:b w:val="0"/>
          <w:bCs/>
          <w:color w:val="auto"/>
          <w:sz w:val="24"/>
          <w:szCs w:val="24"/>
          <w:highlight w:val="none"/>
          <w:lang w:val="zh-CN"/>
        </w:rPr>
        <w:t>提供相同品牌产品的不同投标人参加同一合同项下投标的，按一家供应商认定：</w:t>
      </w:r>
    </w:p>
    <w:p>
      <w:pPr>
        <w:spacing w:line="450" w:lineRule="exact"/>
        <w:ind w:firstLine="480" w:firstLineChars="200"/>
        <w:rPr>
          <w:rFonts w:ascii="宋体" w:hAnsi="宋体" w:cs="宋体"/>
          <w:bCs/>
          <w:color w:val="auto"/>
          <w:sz w:val="24"/>
          <w:szCs w:val="24"/>
          <w:highlight w:val="none"/>
        </w:rPr>
      </w:pPr>
      <w:bookmarkStart w:id="33" w:name="_Toc510614926"/>
      <w:bookmarkStart w:id="34" w:name="_Toc514938678"/>
      <w:bookmarkStart w:id="35" w:name="_Toc3505"/>
      <w:bookmarkStart w:id="36" w:name="_Toc504504574"/>
      <w:r>
        <w:rPr>
          <w:rFonts w:hint="eastAsia" w:ascii="宋体" w:hAnsi="宋体" w:cs="宋体"/>
          <w:bCs/>
          <w:color w:val="auto"/>
          <w:sz w:val="24"/>
          <w:szCs w:val="24"/>
          <w:highlight w:val="none"/>
        </w:rPr>
        <w:t>5.1</w:t>
      </w:r>
      <w:r>
        <w:rPr>
          <w:rFonts w:hint="eastAsia" w:ascii="宋体" w:hAnsi="宋体" w:cs="宋体"/>
          <w:bCs/>
          <w:color w:val="auto"/>
          <w:sz w:val="24"/>
          <w:szCs w:val="24"/>
          <w:highlight w:val="none"/>
          <w:lang w:val="en-US" w:eastAsia="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 投标无效。</w:t>
      </w:r>
    </w:p>
    <w:p>
      <w:pPr>
        <w:spacing w:line="450" w:lineRule="exact"/>
        <w:ind w:firstLine="480"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rPr>
        <w:t>5.2</w:t>
      </w:r>
      <w:r>
        <w:rPr>
          <w:rFonts w:hint="eastAsia" w:ascii="宋体" w:hAnsi="宋体" w:cs="宋体"/>
          <w:bCs/>
          <w:color w:val="auto"/>
          <w:sz w:val="24"/>
          <w:szCs w:val="24"/>
          <w:highlight w:val="none"/>
          <w:lang w:val="zh-CN"/>
        </w:rPr>
        <w:t>使用</w:t>
      </w:r>
      <w:r>
        <w:rPr>
          <w:rFonts w:hint="eastAsia" w:ascii="宋体" w:hAnsi="宋体" w:cs="宋体"/>
          <w:bCs/>
          <w:color w:val="auto"/>
          <w:sz w:val="24"/>
          <w:szCs w:val="24"/>
          <w:highlight w:val="none"/>
          <w:lang w:val="zh-CN" w:eastAsia="zh-CN"/>
        </w:rPr>
        <w:t xml:space="preserve">综合评分法的采购项目，提供相同品牌产品且通过资格审查、符合性审 </w:t>
      </w:r>
    </w:p>
    <w:p>
      <w:pPr>
        <w:spacing w:line="450" w:lineRule="exac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50" w:lineRule="exact"/>
        <w:rPr>
          <w:rFonts w:ascii="宋体" w:hAnsi="宋体" w:cs="宋体"/>
          <w:b/>
          <w:color w:val="auto"/>
          <w:sz w:val="24"/>
          <w:szCs w:val="24"/>
          <w:highlight w:val="none"/>
        </w:rPr>
      </w:pPr>
      <w:r>
        <w:rPr>
          <w:rFonts w:hint="eastAsia" w:ascii="宋体" w:hAnsi="宋体" w:cs="宋体"/>
          <w:b/>
          <w:color w:val="auto"/>
          <w:sz w:val="24"/>
          <w:szCs w:val="24"/>
          <w:highlight w:val="none"/>
        </w:rPr>
        <w:t>六、定标</w:t>
      </w:r>
      <w:bookmarkEnd w:id="33"/>
      <w:bookmarkEnd w:id="34"/>
      <w:bookmarkEnd w:id="35"/>
      <w:bookmarkEnd w:id="36"/>
    </w:p>
    <w:p>
      <w:pPr>
        <w:spacing w:line="450" w:lineRule="exact"/>
        <w:ind w:firstLine="241" w:firstLineChars="100"/>
        <w:rPr>
          <w:rFonts w:ascii="宋体" w:hAnsi="宋体" w:cs="宋体"/>
          <w:b/>
          <w:color w:val="auto"/>
          <w:sz w:val="24"/>
          <w:szCs w:val="24"/>
          <w:highlight w:val="none"/>
        </w:rPr>
      </w:pPr>
      <w:bookmarkStart w:id="37" w:name="_Toc534621006"/>
      <w:r>
        <w:rPr>
          <w:rFonts w:hint="eastAsia" w:ascii="宋体" w:hAnsi="宋体" w:cs="宋体"/>
          <w:b/>
          <w:color w:val="auto"/>
          <w:sz w:val="24"/>
          <w:szCs w:val="24"/>
          <w:highlight w:val="none"/>
        </w:rPr>
        <w:t>（一）采购结果确认（确定中标单位）</w:t>
      </w:r>
    </w:p>
    <w:p>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本项目由采购人根据评标委员会提交的《评审报告》，通过“政府采购云平台”依法确认采购结果、确定中标单位。具体流程如下：</w:t>
      </w:r>
    </w:p>
    <w:p>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1、本项目由评标委员会推荐中标候选人，采购</w:t>
      </w:r>
      <w:r>
        <w:rPr>
          <w:rFonts w:hint="eastAsia" w:ascii="宋体" w:hAnsi="宋体" w:cs="宋体"/>
          <w:bCs/>
          <w:color w:val="auto"/>
          <w:sz w:val="24"/>
          <w:szCs w:val="24"/>
          <w:highlight w:val="none"/>
          <w:lang w:eastAsia="zh-CN"/>
        </w:rPr>
        <w:t>组织</w:t>
      </w:r>
      <w:r>
        <w:rPr>
          <w:rFonts w:hint="eastAsia" w:ascii="宋体" w:hAnsi="宋体" w:cs="宋体"/>
          <w:bCs/>
          <w:color w:val="auto"/>
          <w:sz w:val="24"/>
          <w:szCs w:val="24"/>
          <w:highlight w:val="none"/>
        </w:rPr>
        <w:t>机构在评标结束后2个工作日内将评审报告交采购人确认。</w:t>
      </w:r>
      <w:bookmarkEnd w:id="37"/>
    </w:p>
    <w:p>
      <w:pPr>
        <w:spacing w:line="450" w:lineRule="exact"/>
        <w:ind w:firstLine="480" w:firstLineChars="200"/>
        <w:rPr>
          <w:rFonts w:ascii="宋体" w:hAnsi="宋体" w:cs="宋体"/>
          <w:bCs/>
          <w:color w:val="auto"/>
          <w:sz w:val="24"/>
          <w:szCs w:val="24"/>
          <w:highlight w:val="none"/>
        </w:rPr>
      </w:pPr>
      <w:bookmarkStart w:id="38" w:name="_Toc534621007"/>
      <w:r>
        <w:rPr>
          <w:rFonts w:hint="eastAsia" w:ascii="宋体" w:hAnsi="宋体" w:cs="宋体"/>
          <w:bCs/>
          <w:color w:val="auto"/>
          <w:sz w:val="24"/>
          <w:szCs w:val="24"/>
          <w:highlight w:val="none"/>
        </w:rPr>
        <w:t>2、采购人应当自收到评审报告之日起5个工作日内，在评审报告确定的中标候选人名单中按顺序确定中标单位。采购人在收到评审报告5个工作日内未按评审报告推荐的中标候选人顺序确定中标单位，又不能说明合法理由的，视同按评审报告推荐的顺序确定排名第一的中标候选人为中标单位。</w:t>
      </w:r>
      <w:bookmarkEnd w:id="38"/>
    </w:p>
    <w:p>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3、采购人及采购组织机构不对评审结果做任何解释。</w:t>
      </w:r>
    </w:p>
    <w:p>
      <w:pPr>
        <w:spacing w:line="450" w:lineRule="exact"/>
        <w:rPr>
          <w:rFonts w:ascii="宋体" w:hAnsi="宋体" w:cs="宋体"/>
          <w:b/>
          <w:color w:val="auto"/>
          <w:sz w:val="24"/>
          <w:szCs w:val="24"/>
          <w:highlight w:val="none"/>
        </w:rPr>
      </w:pPr>
      <w:r>
        <w:rPr>
          <w:rFonts w:hint="eastAsia" w:ascii="宋体" w:hAnsi="宋体" w:cs="宋体"/>
          <w:b/>
          <w:color w:val="auto"/>
          <w:sz w:val="24"/>
          <w:szCs w:val="24"/>
          <w:highlight w:val="none"/>
        </w:rPr>
        <w:t>（二）采购结果公告和中标通知书签发</w:t>
      </w:r>
    </w:p>
    <w:p>
      <w:pPr>
        <w:spacing w:line="450" w:lineRule="exact"/>
        <w:ind w:firstLine="480" w:firstLineChars="200"/>
        <w:rPr>
          <w:rFonts w:ascii="宋体" w:hAnsi="宋体" w:cs="宋体"/>
          <w:b/>
          <w:bCs/>
          <w:color w:val="auto"/>
          <w:sz w:val="24"/>
          <w:szCs w:val="24"/>
          <w:highlight w:val="none"/>
          <w:shd w:val="clear" w:color="FFFFFF" w:fill="D9D9D9"/>
        </w:rPr>
      </w:pPr>
      <w:r>
        <w:rPr>
          <w:rFonts w:hint="eastAsia" w:ascii="宋体" w:hAnsi="宋体" w:cs="宋体"/>
          <w:bCs/>
          <w:color w:val="auto"/>
          <w:sz w:val="24"/>
          <w:szCs w:val="24"/>
          <w:highlight w:val="none"/>
        </w:rPr>
        <w:t>1、采购结果经采购人确认后，采购</w:t>
      </w:r>
      <w:r>
        <w:rPr>
          <w:rFonts w:hint="eastAsia" w:ascii="宋体" w:hAnsi="宋体" w:cs="宋体"/>
          <w:bCs/>
          <w:color w:val="auto"/>
          <w:sz w:val="24"/>
          <w:szCs w:val="24"/>
          <w:highlight w:val="none"/>
          <w:lang w:eastAsia="zh-CN"/>
        </w:rPr>
        <w:t>组织</w:t>
      </w:r>
      <w:r>
        <w:rPr>
          <w:rFonts w:hint="eastAsia" w:ascii="宋体" w:hAnsi="宋体" w:cs="宋体"/>
          <w:bCs/>
          <w:color w:val="auto"/>
          <w:sz w:val="24"/>
          <w:szCs w:val="24"/>
          <w:highlight w:val="none"/>
        </w:rPr>
        <w:t>机构将于2个工作日内在浙江省政府采购网上发布中标公告，并向中标方签发书面《中标通知书》。</w:t>
      </w:r>
      <w:bookmarkStart w:id="39" w:name="_Hlk59369379"/>
      <w:r>
        <w:rPr>
          <w:rFonts w:hint="eastAsia" w:ascii="宋体" w:hAnsi="宋体"/>
          <w:sz w:val="24"/>
        </w:rPr>
        <w:t>为营造更优质的营商环境，</w:t>
      </w:r>
      <w:bookmarkStart w:id="40" w:name="_Hlk59708763"/>
      <w:r>
        <w:rPr>
          <w:rFonts w:hint="eastAsia" w:ascii="宋体" w:hAnsi="宋体"/>
          <w:sz w:val="24"/>
        </w:rPr>
        <w:t>中标人可选择采购</w:t>
      </w:r>
      <w:r>
        <w:rPr>
          <w:rFonts w:hint="eastAsia" w:ascii="宋体" w:hAnsi="宋体"/>
          <w:sz w:val="24"/>
          <w:lang w:eastAsia="zh-CN"/>
        </w:rPr>
        <w:t>组织</w:t>
      </w:r>
      <w:r>
        <w:rPr>
          <w:rFonts w:hint="eastAsia" w:ascii="宋体" w:hAnsi="宋体"/>
          <w:sz w:val="24"/>
        </w:rPr>
        <w:t>机构以邮寄方式向其寄达《中标通知书》（邮寄地址、收件人等信息请在“投标函”中详细写明，邮费可到付）。</w:t>
      </w:r>
      <w:bookmarkEnd w:id="40"/>
      <w:bookmarkStart w:id="41" w:name="_Hlk59708451"/>
      <w:r>
        <w:rPr>
          <w:rFonts w:hint="eastAsia" w:ascii="宋体" w:hAnsi="宋体"/>
          <w:b/>
          <w:bCs/>
          <w:shadow/>
          <w:emboss w:val="0"/>
          <w:imprint w:val="0"/>
          <w:color w:val="auto"/>
          <w:sz w:val="24"/>
          <w:highlight w:val="none"/>
          <w:u w:val="single"/>
          <w:shd w:val="clear" w:color="FFFFFF" w:fill="D9D9D9"/>
        </w:rPr>
        <w:t>同时中标人应在中标后</w:t>
      </w:r>
      <w:bookmarkStart w:id="42" w:name="_Hlk59521069"/>
      <w:r>
        <w:rPr>
          <w:rFonts w:hint="eastAsia" w:ascii="宋体" w:hAnsi="宋体"/>
          <w:b/>
          <w:bCs/>
          <w:shadow/>
          <w:emboss w:val="0"/>
          <w:imprint w:val="0"/>
          <w:color w:val="auto"/>
          <w:sz w:val="24"/>
          <w:highlight w:val="none"/>
          <w:u w:val="single"/>
          <w:shd w:val="clear" w:color="FFFFFF" w:fill="D9D9D9"/>
        </w:rPr>
        <w:t>以邮寄</w:t>
      </w:r>
      <w:bookmarkEnd w:id="42"/>
      <w:r>
        <w:rPr>
          <w:rFonts w:hint="eastAsia" w:ascii="宋体" w:hAnsi="宋体"/>
          <w:b/>
          <w:bCs/>
          <w:shadow/>
          <w:emboss w:val="0"/>
          <w:imprint w:val="0"/>
          <w:color w:val="auto"/>
          <w:sz w:val="24"/>
          <w:highlight w:val="none"/>
          <w:u w:val="single"/>
          <w:shd w:val="clear" w:color="FFFFFF" w:fill="D9D9D9"/>
        </w:rPr>
        <w:t>或其他方式向</w:t>
      </w:r>
      <w:bookmarkStart w:id="43" w:name="_Hlk59521051"/>
      <w:r>
        <w:rPr>
          <w:rFonts w:hint="eastAsia" w:ascii="宋体" w:hAnsi="宋体"/>
          <w:b/>
          <w:bCs/>
          <w:shadow/>
          <w:emboss w:val="0"/>
          <w:imprint w:val="0"/>
          <w:color w:val="auto"/>
          <w:sz w:val="24"/>
          <w:highlight w:val="none"/>
          <w:u w:val="single"/>
          <w:shd w:val="clear" w:color="FFFFFF" w:fill="D9D9D9"/>
        </w:rPr>
        <w:t>采购</w:t>
      </w:r>
      <w:r>
        <w:rPr>
          <w:rFonts w:hint="eastAsia" w:ascii="宋体" w:hAnsi="宋体"/>
          <w:b/>
          <w:bCs/>
          <w:shadow/>
          <w:emboss w:val="0"/>
          <w:imprint w:val="0"/>
          <w:color w:val="auto"/>
          <w:sz w:val="24"/>
          <w:highlight w:val="none"/>
          <w:u w:val="single"/>
          <w:shd w:val="clear" w:color="FFFFFF" w:fill="D9D9D9"/>
          <w:lang w:eastAsia="zh-CN"/>
        </w:rPr>
        <w:t>组织</w:t>
      </w:r>
      <w:r>
        <w:rPr>
          <w:rFonts w:hint="eastAsia" w:ascii="宋体" w:hAnsi="宋体"/>
          <w:b/>
          <w:bCs/>
          <w:shadow/>
          <w:emboss w:val="0"/>
          <w:imprint w:val="0"/>
          <w:color w:val="auto"/>
          <w:sz w:val="24"/>
          <w:highlight w:val="none"/>
          <w:u w:val="single"/>
          <w:shd w:val="clear" w:color="FFFFFF" w:fill="D9D9D9"/>
        </w:rPr>
        <w:t>机构</w:t>
      </w:r>
      <w:bookmarkEnd w:id="43"/>
      <w:r>
        <w:rPr>
          <w:rFonts w:hint="eastAsia" w:ascii="宋体" w:hAnsi="宋体"/>
          <w:b/>
          <w:bCs/>
          <w:shadow/>
          <w:emboss w:val="0"/>
          <w:imprint w:val="0"/>
          <w:color w:val="auto"/>
          <w:sz w:val="24"/>
          <w:highlight w:val="none"/>
          <w:u w:val="single"/>
          <w:shd w:val="clear" w:color="FFFFFF" w:fill="D9D9D9"/>
        </w:rPr>
        <w:t>提供</w:t>
      </w:r>
      <w:r>
        <w:rPr>
          <w:rFonts w:ascii="宋体" w:hAnsi="宋体"/>
          <w:b/>
          <w:bCs/>
          <w:shadow/>
          <w:emboss w:val="0"/>
          <w:imprint w:val="0"/>
          <w:color w:val="auto"/>
          <w:sz w:val="24"/>
          <w:highlight w:val="none"/>
          <w:u w:val="single"/>
          <w:shd w:val="clear" w:color="FFFFFF" w:fill="D9D9D9"/>
        </w:rPr>
        <w:t>2</w:t>
      </w:r>
      <w:r>
        <w:rPr>
          <w:rFonts w:hint="eastAsia" w:ascii="宋体" w:hAnsi="宋体"/>
          <w:b/>
          <w:bCs/>
          <w:shadow/>
          <w:emboss w:val="0"/>
          <w:imprint w:val="0"/>
          <w:color w:val="auto"/>
          <w:sz w:val="24"/>
          <w:highlight w:val="none"/>
          <w:u w:val="single"/>
          <w:shd w:val="clear" w:color="FFFFFF" w:fill="D9D9D9"/>
        </w:rPr>
        <w:t>套与电子版投标文件相同的胶装版本投标文件。</w:t>
      </w:r>
      <w:bookmarkEnd w:id="39"/>
      <w:bookmarkEnd w:id="41"/>
    </w:p>
    <w:p>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2、中标公告期限为1个工作日；</w:t>
      </w:r>
    </w:p>
    <w:p>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3、中标通知书发出后，中标单位无正当理由不得放弃中标。</w:t>
      </w:r>
    </w:p>
    <w:p>
      <w:pPr>
        <w:spacing w:line="450" w:lineRule="exact"/>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七、合同签订及公告</w:t>
      </w:r>
    </w:p>
    <w:p>
      <w:pPr>
        <w:spacing w:line="45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（一）签订合同</w:t>
      </w:r>
    </w:p>
    <w:p>
      <w:pPr>
        <w:pStyle w:val="33"/>
        <w:spacing w:before="0" w:beforeAutospacing="0" w:after="0" w:afterAutospacing="0" w:line="450" w:lineRule="exact"/>
        <w:ind w:firstLine="480" w:firstLineChars="200"/>
        <w:jc w:val="both"/>
        <w:rPr>
          <w:rFonts w:cs="宋体"/>
          <w:color w:val="auto"/>
          <w:szCs w:val="24"/>
          <w:highlight w:val="none"/>
        </w:rPr>
      </w:pPr>
      <w:r>
        <w:rPr>
          <w:rFonts w:hint="eastAsia" w:cs="宋体"/>
          <w:color w:val="auto"/>
          <w:szCs w:val="24"/>
          <w:highlight w:val="none"/>
        </w:rPr>
        <w:t>1、采购人与中标单位应当在《中标通知书》发出之日起30日内持《中标通知书》与采购人签订《政府采购合同》。</w:t>
      </w:r>
    </w:p>
    <w:p>
      <w:pPr>
        <w:pStyle w:val="33"/>
        <w:spacing w:before="0" w:beforeAutospacing="0" w:after="0" w:afterAutospacing="0" w:line="450" w:lineRule="exact"/>
        <w:ind w:firstLine="480" w:firstLineChars="200"/>
        <w:jc w:val="both"/>
        <w:rPr>
          <w:rFonts w:cs="宋体"/>
          <w:color w:val="auto"/>
          <w:szCs w:val="24"/>
          <w:highlight w:val="none"/>
        </w:rPr>
      </w:pPr>
      <w:r>
        <w:rPr>
          <w:rFonts w:hint="eastAsia" w:cs="宋体"/>
          <w:color w:val="auto"/>
          <w:szCs w:val="24"/>
          <w:highlight w:val="none"/>
        </w:rPr>
        <w:t>2、所签订的合同不得对招标文件确定的事项和中标人投标文件作实质性修改。集中采购机构将根据采购人的委托，对合同内容进行审查鉴证，如发现与采购结果和投标承诺内容不一致的，将予以纠正。</w:t>
      </w:r>
    </w:p>
    <w:p>
      <w:pPr>
        <w:pStyle w:val="33"/>
        <w:spacing w:before="0" w:beforeAutospacing="0" w:after="0" w:afterAutospacing="0" w:line="450" w:lineRule="exact"/>
        <w:ind w:firstLine="480" w:firstLineChars="200"/>
        <w:jc w:val="both"/>
        <w:rPr>
          <w:rFonts w:cs="宋体"/>
          <w:color w:val="auto"/>
          <w:szCs w:val="24"/>
          <w:highlight w:val="none"/>
        </w:rPr>
      </w:pPr>
      <w:r>
        <w:rPr>
          <w:rFonts w:hint="eastAsia" w:cs="宋体"/>
          <w:color w:val="auto"/>
          <w:szCs w:val="24"/>
          <w:highlight w:val="none"/>
        </w:rPr>
        <w:t>3、采购人不得向中标人提出任何不合理的要求作为签订合同的条件。</w:t>
      </w:r>
    </w:p>
    <w:p>
      <w:pPr>
        <w:pStyle w:val="33"/>
        <w:spacing w:before="0" w:beforeAutospacing="0" w:after="0" w:afterAutospacing="0" w:line="450" w:lineRule="exact"/>
        <w:ind w:firstLine="480" w:firstLineChars="200"/>
        <w:jc w:val="both"/>
        <w:rPr>
          <w:rFonts w:cs="宋体"/>
          <w:color w:val="auto"/>
          <w:szCs w:val="24"/>
          <w:highlight w:val="none"/>
        </w:rPr>
      </w:pPr>
      <w:r>
        <w:rPr>
          <w:rFonts w:hint="eastAsia" w:cs="宋体"/>
          <w:color w:val="auto"/>
          <w:szCs w:val="24"/>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33"/>
        <w:spacing w:before="0" w:beforeAutospacing="0" w:after="0" w:afterAutospacing="0" w:line="450" w:lineRule="exact"/>
        <w:ind w:firstLine="480" w:firstLineChars="200"/>
        <w:rPr>
          <w:rFonts w:cs="宋体"/>
          <w:color w:val="auto"/>
          <w:szCs w:val="24"/>
          <w:highlight w:val="none"/>
        </w:rPr>
      </w:pPr>
      <w:r>
        <w:rPr>
          <w:rFonts w:hint="eastAsia" w:cs="宋体"/>
          <w:color w:val="auto"/>
          <w:szCs w:val="24"/>
          <w:highlight w:val="none"/>
        </w:rPr>
        <w:t>5、询问或者质疑事项可能影响中标结果的，采购人应当暂停签订合同，已经签订合同的，应当中止履行合同（中标结果的质疑期为中标结果公告期限届满之日起七个工作日）。</w:t>
      </w:r>
    </w:p>
    <w:p>
      <w:pPr>
        <w:pStyle w:val="33"/>
        <w:spacing w:before="0" w:beforeAutospacing="0" w:after="0" w:afterAutospacing="0" w:line="450" w:lineRule="exact"/>
        <w:ind w:firstLine="482" w:firstLineChars="200"/>
        <w:rPr>
          <w:rFonts w:cs="仿宋_GB2312"/>
          <w:b/>
          <w:color w:val="auto"/>
          <w:szCs w:val="24"/>
          <w:highlight w:val="none"/>
        </w:rPr>
      </w:pPr>
      <w:r>
        <w:rPr>
          <w:b/>
          <w:color w:val="auto"/>
          <w:szCs w:val="24"/>
          <w:highlight w:val="none"/>
        </w:rPr>
        <w:t>（二）合同公告及备案</w:t>
      </w:r>
    </w:p>
    <w:p>
      <w:pPr>
        <w:pStyle w:val="16"/>
        <w:spacing w:line="450" w:lineRule="exact"/>
        <w:ind w:firstLine="480"/>
        <w:jc w:val="left"/>
        <w:rPr>
          <w:rFonts w:asci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、采购人应当自政府采购合同签订之日起</w:t>
      </w:r>
      <w:r>
        <w:rPr>
          <w:rFonts w:ascii="宋体" w:hAnsi="宋体"/>
          <w:color w:val="auto"/>
          <w:sz w:val="24"/>
          <w:szCs w:val="24"/>
          <w:highlight w:val="none"/>
        </w:rPr>
        <w:t>2</w:t>
      </w:r>
      <w:r>
        <w:rPr>
          <w:rFonts w:hint="eastAsia" w:ascii="宋体" w:hAnsi="宋体"/>
          <w:color w:val="auto"/>
          <w:sz w:val="24"/>
          <w:szCs w:val="24"/>
          <w:highlight w:val="none"/>
        </w:rPr>
        <w:t>个工作日内，在省级以上财政部门指定的政府采购信息发布媒体及相关网站上公告。</w:t>
      </w:r>
    </w:p>
    <w:p>
      <w:pPr>
        <w:pStyle w:val="33"/>
        <w:spacing w:before="0" w:beforeAutospacing="0" w:after="0" w:afterAutospacing="0" w:line="450" w:lineRule="exact"/>
        <w:ind w:firstLine="480" w:firstLineChars="200"/>
        <w:jc w:val="both"/>
        <w:rPr>
          <w:color w:val="auto"/>
          <w:szCs w:val="24"/>
          <w:highlight w:val="none"/>
        </w:rPr>
      </w:pPr>
      <w:r>
        <w:rPr>
          <w:color w:val="auto"/>
          <w:szCs w:val="24"/>
          <w:highlight w:val="none"/>
        </w:rPr>
        <w:t>2、采购人应当自政府采购合同签订之日起7个工作日内，将</w:t>
      </w:r>
      <w:r>
        <w:rPr>
          <w:rFonts w:hint="eastAsia"/>
          <w:color w:val="auto"/>
          <w:szCs w:val="24"/>
          <w:highlight w:val="none"/>
        </w:rPr>
        <w:t>政府</w:t>
      </w:r>
      <w:r>
        <w:rPr>
          <w:color w:val="auto"/>
          <w:szCs w:val="24"/>
          <w:highlight w:val="none"/>
        </w:rPr>
        <w:t>采购合同副本报同级人民政府财政部门以及</w:t>
      </w:r>
      <w:r>
        <w:rPr>
          <w:rFonts w:hint="eastAsia"/>
          <w:color w:val="auto"/>
          <w:szCs w:val="24"/>
          <w:highlight w:val="none"/>
        </w:rPr>
        <w:t>集中</w:t>
      </w:r>
      <w:r>
        <w:rPr>
          <w:color w:val="auto"/>
          <w:szCs w:val="24"/>
          <w:highlight w:val="none"/>
        </w:rPr>
        <w:t>采购机构备案存档。</w:t>
      </w:r>
    </w:p>
    <w:p>
      <w:pPr>
        <w:pStyle w:val="33"/>
        <w:spacing w:before="0" w:beforeAutospacing="0" w:after="0" w:afterAutospacing="0" w:line="450" w:lineRule="exact"/>
        <w:jc w:val="both"/>
        <w:rPr>
          <w:b/>
          <w:color w:val="auto"/>
          <w:szCs w:val="24"/>
          <w:highlight w:val="none"/>
        </w:rPr>
      </w:pPr>
      <w:r>
        <w:rPr>
          <w:color w:val="auto"/>
          <w:szCs w:val="24"/>
          <w:highlight w:val="none"/>
        </w:rPr>
        <w:br w:type="page"/>
      </w:r>
    </w:p>
    <w:bookmarkEnd w:id="7"/>
    <w:p>
      <w:pPr>
        <w:widowControl w:val="0"/>
        <w:spacing w:line="360" w:lineRule="auto"/>
        <w:jc w:val="center"/>
        <w:rPr>
          <w:rFonts w:ascii="方正小标宋简体" w:hAnsi="方正小标宋简体" w:eastAsia="方正小标宋简体"/>
          <w:b/>
          <w:bCs/>
          <w:color w:val="auto"/>
          <w:sz w:val="40"/>
          <w:szCs w:val="18"/>
          <w:highlight w:val="none"/>
        </w:rPr>
      </w:pPr>
      <w:bookmarkStart w:id="44" w:name="_Toc202235414"/>
      <w:r>
        <w:rPr>
          <w:rFonts w:hint="eastAsia" w:ascii="方正小标宋简体" w:hAnsi="方正小标宋简体" w:eastAsia="方正小标宋简体"/>
          <w:b/>
          <w:bCs/>
          <w:color w:val="auto"/>
          <w:sz w:val="40"/>
          <w:szCs w:val="18"/>
          <w:highlight w:val="none"/>
        </w:rPr>
        <w:t>第三章</w:t>
      </w:r>
      <w:r>
        <w:rPr>
          <w:rFonts w:ascii="方正小标宋简体" w:hAnsi="方正小标宋简体" w:eastAsia="方正小标宋简体"/>
          <w:b/>
          <w:bCs/>
          <w:color w:val="auto"/>
          <w:sz w:val="40"/>
          <w:szCs w:val="18"/>
          <w:highlight w:val="none"/>
        </w:rPr>
        <w:t xml:space="preserve">  </w:t>
      </w:r>
      <w:r>
        <w:rPr>
          <w:rFonts w:hint="eastAsia" w:ascii="方正小标宋简体" w:hAnsi="方正小标宋简体" w:eastAsia="方正小标宋简体"/>
          <w:b/>
          <w:bCs/>
          <w:color w:val="auto"/>
          <w:sz w:val="40"/>
          <w:szCs w:val="18"/>
          <w:highlight w:val="none"/>
        </w:rPr>
        <w:t>评标办法及评分标准</w:t>
      </w:r>
    </w:p>
    <w:p>
      <w:pPr>
        <w:autoSpaceDE w:val="0"/>
        <w:autoSpaceDN w:val="0"/>
        <w:spacing w:line="360" w:lineRule="auto"/>
        <w:ind w:firstLine="480" w:firstLineChars="200"/>
        <w:rPr>
          <w:rFonts w:ascii="宋体" w:hAnsi="宋体"/>
          <w:color w:val="auto"/>
          <w:sz w:val="24"/>
          <w:highlight w:val="none"/>
        </w:rPr>
      </w:pPr>
    </w:p>
    <w:p>
      <w:pPr>
        <w:keepNext w:val="0"/>
        <w:keepLines w:val="0"/>
        <w:pageBreakBefore w:val="0"/>
        <w:kinsoku/>
        <w:wordWrap/>
        <w:overflowPunct/>
        <w:topLinePunct w:val="0"/>
        <w:autoSpaceDE w:val="0"/>
        <w:autoSpaceDN w:val="0"/>
        <w:bidi w:val="0"/>
        <w:spacing w:line="41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根据《中华人民共和国政府采购法》、财政部的有关规定及此项目的实际情况，遵循公平、公正、科学择优的原则，特制定本办法。</w:t>
      </w:r>
    </w:p>
    <w:p>
      <w:pPr>
        <w:keepNext w:val="0"/>
        <w:keepLines w:val="0"/>
        <w:pageBreakBefore w:val="0"/>
        <w:kinsoku/>
        <w:wordWrap/>
        <w:overflowPunct/>
        <w:topLinePunct w:val="0"/>
        <w:autoSpaceDE w:val="0"/>
        <w:autoSpaceDN w:val="0"/>
        <w:bidi w:val="0"/>
        <w:spacing w:line="410" w:lineRule="exact"/>
        <w:ind w:firstLine="482" w:firstLineChars="200"/>
        <w:textAlignment w:val="auto"/>
        <w:rPr>
          <w:rFonts w:ascii="宋体" w:hAnsi="宋体"/>
          <w:b/>
          <w:bCs/>
          <w:color w:val="auto"/>
          <w:sz w:val="24"/>
          <w:highlight w:val="none"/>
        </w:rPr>
      </w:pPr>
      <w:bookmarkStart w:id="45" w:name="_Toc297662419"/>
      <w:bookmarkStart w:id="46" w:name="_Toc22707"/>
      <w:bookmarkStart w:id="47" w:name="_Toc24759"/>
      <w:r>
        <w:rPr>
          <w:rFonts w:hint="eastAsia" w:ascii="宋体" w:hAnsi="宋体"/>
          <w:b/>
          <w:bCs/>
          <w:color w:val="auto"/>
          <w:sz w:val="24"/>
          <w:highlight w:val="none"/>
        </w:rPr>
        <w:t>一、评标组织</w:t>
      </w:r>
      <w:bookmarkEnd w:id="45"/>
      <w:bookmarkEnd w:id="46"/>
      <w:bookmarkEnd w:id="47"/>
    </w:p>
    <w:p>
      <w:pPr>
        <w:keepNext w:val="0"/>
        <w:keepLines w:val="0"/>
        <w:pageBreakBefore w:val="0"/>
        <w:kinsoku/>
        <w:wordWrap/>
        <w:overflowPunct/>
        <w:topLinePunct w:val="0"/>
        <w:autoSpaceDE w:val="0"/>
        <w:autoSpaceDN w:val="0"/>
        <w:bidi w:val="0"/>
        <w:spacing w:line="410" w:lineRule="exact"/>
        <w:ind w:firstLine="480" w:firstLineChars="200"/>
        <w:textAlignment w:val="auto"/>
        <w:rPr>
          <w:rFonts w:ascii="宋体" w:hAnsi="宋体"/>
          <w:b/>
          <w:i/>
          <w:color w:val="auto"/>
          <w:sz w:val="24"/>
          <w:highlight w:val="none"/>
        </w:rPr>
      </w:pPr>
      <w:r>
        <w:rPr>
          <w:rFonts w:hint="eastAsia" w:ascii="宋体" w:hAnsi="宋体"/>
          <w:color w:val="auto"/>
          <w:sz w:val="24"/>
          <w:highlight w:val="none"/>
        </w:rPr>
        <w:t>评标工作由评标委员会负责。评标委员会按有关规定产生。评标委员会由采购人代表和有关技术、经济等方面的专家组成，成员人数为五人及以上单数。其中，技术、经济等方面的专家不得少于成员总数的三分之二。整个开、评标过程接受有关部门的监督指导。</w:t>
      </w:r>
      <w:r>
        <w:rPr>
          <w:rFonts w:hAnsi="宋体"/>
          <w:color w:val="auto"/>
          <w:sz w:val="24"/>
          <w:szCs w:val="24"/>
          <w:highlight w:val="none"/>
        </w:rPr>
        <w:t>本项目</w:t>
      </w:r>
      <w:r>
        <w:rPr>
          <w:rFonts w:hint="eastAsia" w:hAnsi="宋体"/>
          <w:color w:val="auto"/>
          <w:sz w:val="24"/>
          <w:szCs w:val="24"/>
          <w:highlight w:val="none"/>
        </w:rPr>
        <w:t>评标委员会成员人数为</w:t>
      </w:r>
      <w:r>
        <w:rPr>
          <w:rFonts w:hint="eastAsia" w:ascii="宋体" w:hAnsi="宋体"/>
          <w:b/>
          <w:bCs/>
          <w:color w:val="auto"/>
          <w:sz w:val="24"/>
          <w:szCs w:val="24"/>
          <w:highlight w:val="none"/>
          <w:lang w:val="en-US" w:eastAsia="zh-CN"/>
        </w:rPr>
        <w:t>7</w:t>
      </w:r>
      <w:r>
        <w:rPr>
          <w:rFonts w:hint="eastAsia" w:hAnsi="宋体"/>
          <w:color w:val="auto"/>
          <w:sz w:val="24"/>
          <w:szCs w:val="24"/>
          <w:highlight w:val="none"/>
        </w:rPr>
        <w:t>人。</w:t>
      </w:r>
    </w:p>
    <w:p>
      <w:pPr>
        <w:keepNext w:val="0"/>
        <w:keepLines w:val="0"/>
        <w:pageBreakBefore w:val="0"/>
        <w:kinsoku/>
        <w:wordWrap/>
        <w:overflowPunct/>
        <w:topLinePunct w:val="0"/>
        <w:autoSpaceDE w:val="0"/>
        <w:autoSpaceDN w:val="0"/>
        <w:bidi w:val="0"/>
        <w:spacing w:line="410" w:lineRule="exact"/>
        <w:ind w:firstLine="482" w:firstLineChars="200"/>
        <w:textAlignment w:val="auto"/>
        <w:rPr>
          <w:rFonts w:ascii="宋体" w:hAnsi="宋体"/>
          <w:b/>
          <w:bCs/>
          <w:color w:val="auto"/>
          <w:sz w:val="24"/>
          <w:highlight w:val="none"/>
        </w:rPr>
      </w:pPr>
      <w:bookmarkStart w:id="48" w:name="_Toc297662420"/>
      <w:bookmarkStart w:id="49" w:name="_Toc11215"/>
      <w:bookmarkStart w:id="50" w:name="_Toc29450"/>
      <w:r>
        <w:rPr>
          <w:rFonts w:hint="eastAsia" w:ascii="宋体" w:hAnsi="宋体"/>
          <w:b/>
          <w:bCs/>
          <w:color w:val="auto"/>
          <w:sz w:val="24"/>
          <w:highlight w:val="none"/>
        </w:rPr>
        <w:t>二、评标方法</w:t>
      </w:r>
      <w:bookmarkEnd w:id="48"/>
      <w:bookmarkEnd w:id="49"/>
      <w:bookmarkEnd w:id="50"/>
    </w:p>
    <w:p>
      <w:pPr>
        <w:keepNext w:val="0"/>
        <w:keepLines w:val="0"/>
        <w:pageBreakBefore w:val="0"/>
        <w:numPr>
          <w:ilvl w:val="0"/>
          <w:numId w:val="0"/>
        </w:numPr>
        <w:kinsoku/>
        <w:wordWrap/>
        <w:overflowPunct/>
        <w:topLinePunct w:val="0"/>
        <w:autoSpaceDE w:val="0"/>
        <w:autoSpaceDN w:val="0"/>
        <w:bidi w:val="0"/>
        <w:spacing w:line="410" w:lineRule="exact"/>
        <w:ind w:firstLine="482" w:firstLineChars="200"/>
        <w:textAlignment w:val="auto"/>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本项目的评标方法为最低评标价法，是指投标文件满足招标文件全部实质性要求，且投标报价最低的投标人为中标候选人的评标方法</w:t>
      </w:r>
      <w:bookmarkStart w:id="55" w:name="_GoBack"/>
      <w:bookmarkEnd w:id="55"/>
      <w:r>
        <w:rPr>
          <w:rFonts w:hint="eastAsia" w:ascii="宋体" w:hAnsi="宋体"/>
          <w:b/>
          <w:bCs/>
          <w:color w:val="auto"/>
          <w:sz w:val="24"/>
          <w:highlight w:val="none"/>
          <w:lang w:val="en-US" w:eastAsia="zh-CN"/>
        </w:rPr>
        <w:t>。</w:t>
      </w:r>
    </w:p>
    <w:p>
      <w:pPr>
        <w:keepNext w:val="0"/>
        <w:keepLines w:val="0"/>
        <w:pageBreakBefore w:val="0"/>
        <w:numPr>
          <w:ilvl w:val="0"/>
          <w:numId w:val="0"/>
        </w:numPr>
        <w:kinsoku/>
        <w:wordWrap/>
        <w:overflowPunct/>
        <w:topLinePunct w:val="0"/>
        <w:autoSpaceDE w:val="0"/>
        <w:autoSpaceDN w:val="0"/>
        <w:bidi w:val="0"/>
        <w:spacing w:line="410" w:lineRule="exact"/>
        <w:ind w:firstLine="482" w:firstLineChars="200"/>
        <w:textAlignment w:val="auto"/>
        <w:rPr>
          <w:rFonts w:hint="eastAsia" w:ascii="宋体" w:hAnsi="宋体"/>
          <w:color w:val="auto"/>
          <w:sz w:val="24"/>
          <w:highlight w:val="none"/>
        </w:rPr>
      </w:pPr>
      <w:r>
        <w:rPr>
          <w:rFonts w:hint="eastAsia" w:ascii="宋体" w:hAnsi="宋体"/>
          <w:b/>
          <w:bCs/>
          <w:color w:val="auto"/>
          <w:sz w:val="24"/>
          <w:highlight w:val="none"/>
          <w:lang w:val="en-US" w:eastAsia="zh-CN"/>
        </w:rPr>
        <w:t>1、资格审查内容：</w:t>
      </w:r>
      <w:r>
        <w:rPr>
          <w:rFonts w:hint="eastAsia" w:ascii="宋体" w:hAnsi="宋体"/>
          <w:color w:val="auto"/>
          <w:sz w:val="24"/>
          <w:highlight w:val="none"/>
        </w:rPr>
        <w:t>投标文件解密后，采购人或采购组织机构依法对投标人的资格进行审查，对审查发现无效的进行必要的询</w:t>
      </w:r>
      <w:r>
        <w:rPr>
          <w:rFonts w:hint="eastAsia" w:ascii="宋体" w:hAnsi="宋体"/>
          <w:color w:val="auto"/>
          <w:sz w:val="24"/>
          <w:highlight w:val="none"/>
          <w:lang w:val="en-US" w:eastAsia="zh-CN"/>
        </w:rPr>
        <w:t>问</w:t>
      </w:r>
      <w:r>
        <w:rPr>
          <w:rFonts w:hint="eastAsia" w:ascii="宋体" w:hAnsi="宋体"/>
          <w:color w:val="auto"/>
          <w:sz w:val="24"/>
          <w:highlight w:val="none"/>
        </w:rPr>
        <w:t>，在政采云平台公布无效投标的投标人名单、投标无效的原因。</w:t>
      </w:r>
    </w:p>
    <w:tbl>
      <w:tblPr>
        <w:tblStyle w:val="37"/>
        <w:tblW w:w="9198"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8"/>
        <w:gridCol w:w="2282"/>
        <w:gridCol w:w="6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9" w:hRule="atLeast"/>
        </w:trPr>
        <w:tc>
          <w:tcPr>
            <w:tcW w:w="578" w:type="dxa"/>
            <w:tcMar>
              <w:top w:w="113" w:type="dxa"/>
              <w:left w:w="170" w:type="dxa"/>
              <w:bottom w:w="0" w:type="dxa"/>
              <w:right w:w="0" w:type="dxa"/>
            </w:tcMar>
            <w:vAlign w:val="center"/>
          </w:tcPr>
          <w:p>
            <w:pPr>
              <w:pStyle w:val="98"/>
              <w:keepNext w:val="0"/>
              <w:keepLines w:val="0"/>
              <w:pageBreakBefore w:val="0"/>
              <w:kinsoku/>
              <w:wordWrap/>
              <w:overflowPunct/>
              <w:topLinePunct w:val="0"/>
              <w:bidi w:val="0"/>
              <w:spacing w:line="410" w:lineRule="exact"/>
              <w:ind w:right="146" w:rightChars="0"/>
              <w:jc w:val="center"/>
              <w:textAlignment w:val="auto"/>
              <w:rPr>
                <w:rFonts w:hint="eastAsia" w:ascii="宋体" w:hAnsi="宋体" w:eastAsia="宋体" w:cs="宋体"/>
                <w:spacing w:val="0"/>
                <w:w w:val="100"/>
                <w:sz w:val="24"/>
                <w:szCs w:val="24"/>
                <w:lang w:val="en-US" w:eastAsia="zh-CN"/>
              </w:rPr>
            </w:pPr>
            <w:r>
              <w:rPr>
                <w:rFonts w:hint="eastAsia" w:cs="宋体"/>
                <w:spacing w:val="0"/>
                <w:w w:val="100"/>
                <w:sz w:val="24"/>
                <w:szCs w:val="24"/>
                <w:lang w:val="en-US" w:eastAsia="zh-CN"/>
              </w:rPr>
              <w:t>1</w:t>
            </w:r>
          </w:p>
        </w:tc>
        <w:tc>
          <w:tcPr>
            <w:tcW w:w="2282" w:type="dxa"/>
            <w:tcMar>
              <w:top w:w="113" w:type="dxa"/>
              <w:left w:w="170" w:type="dxa"/>
              <w:bottom w:w="0" w:type="dxa"/>
              <w:right w:w="0" w:type="dxa"/>
            </w:tcMar>
            <w:vAlign w:val="center"/>
          </w:tcPr>
          <w:p>
            <w:pPr>
              <w:pStyle w:val="98"/>
              <w:keepNext w:val="0"/>
              <w:keepLines w:val="0"/>
              <w:pageBreakBefore w:val="0"/>
              <w:widowControl w:val="0"/>
              <w:kinsoku/>
              <w:wordWrap/>
              <w:overflowPunct/>
              <w:topLinePunct w:val="0"/>
              <w:autoSpaceDE/>
              <w:autoSpaceDN/>
              <w:bidi w:val="0"/>
              <w:adjustRightInd/>
              <w:snapToGrid/>
              <w:spacing w:line="410" w:lineRule="exact"/>
              <w:ind w:right="146" w:rightChars="0"/>
              <w:textAlignment w:val="auto"/>
              <w:rPr>
                <w:rFonts w:hint="eastAsia" w:ascii="宋体" w:hAnsi="宋体" w:eastAsia="宋体" w:cs="宋体"/>
                <w:spacing w:val="0"/>
                <w:w w:val="100"/>
                <w:kern w:val="2"/>
                <w:sz w:val="24"/>
                <w:szCs w:val="24"/>
                <w:lang w:val="en-US" w:eastAsia="zh-CN" w:bidi="ar-SA"/>
              </w:rPr>
            </w:pPr>
            <w:r>
              <w:rPr>
                <w:rFonts w:hint="eastAsia" w:ascii="宋体" w:hAnsi="宋体" w:eastAsia="宋体" w:cs="宋体"/>
                <w:spacing w:val="0"/>
                <w:w w:val="100"/>
                <w:sz w:val="24"/>
                <w:szCs w:val="24"/>
              </w:rPr>
              <w:t>参加采购活动前3年内，在经营活动中没有重大违法记录</w:t>
            </w:r>
            <w:r>
              <w:rPr>
                <w:rFonts w:hint="eastAsia" w:cs="宋体"/>
                <w:spacing w:val="0"/>
                <w:w w:val="100"/>
                <w:sz w:val="24"/>
                <w:szCs w:val="24"/>
                <w:lang w:val="en-US" w:eastAsia="zh-CN"/>
              </w:rPr>
              <w:t>、</w:t>
            </w:r>
            <w:r>
              <w:rPr>
                <w:rFonts w:hint="eastAsia" w:cs="宋体"/>
                <w:spacing w:val="0"/>
                <w:w w:val="100"/>
                <w:sz w:val="24"/>
                <w:szCs w:val="24"/>
                <w:lang w:eastAsia="zh-CN"/>
              </w:rPr>
              <w:t>没有税收缴纳、社会保障等方面的失信记录的承诺。</w:t>
            </w:r>
          </w:p>
        </w:tc>
        <w:tc>
          <w:tcPr>
            <w:tcW w:w="6338" w:type="dxa"/>
            <w:tcMar>
              <w:top w:w="113" w:type="dxa"/>
              <w:left w:w="170" w:type="dxa"/>
              <w:bottom w:w="0" w:type="dxa"/>
              <w:right w:w="0" w:type="dxa"/>
            </w:tcMar>
            <w:vAlign w:val="center"/>
          </w:tcPr>
          <w:p>
            <w:pPr>
              <w:pStyle w:val="98"/>
              <w:keepNext w:val="0"/>
              <w:keepLines w:val="0"/>
              <w:pageBreakBefore w:val="0"/>
              <w:widowControl w:val="0"/>
              <w:kinsoku/>
              <w:wordWrap/>
              <w:overflowPunct/>
              <w:topLinePunct w:val="0"/>
              <w:autoSpaceDE/>
              <w:autoSpaceDN/>
              <w:bidi w:val="0"/>
              <w:adjustRightInd/>
              <w:snapToGrid/>
              <w:spacing w:before="48" w:line="410" w:lineRule="exact"/>
              <w:ind w:right="63" w:rightChars="0"/>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参照投标声明书</w:t>
            </w:r>
            <w:r>
              <w:rPr>
                <w:rFonts w:hint="eastAsia" w:cs="宋体"/>
                <w:b/>
                <w:bCs/>
                <w:spacing w:val="0"/>
                <w:w w:val="100"/>
                <w:sz w:val="24"/>
                <w:szCs w:val="24"/>
                <w:highlight w:val="none"/>
                <w:lang w:val="en-US" w:eastAsia="zh-CN"/>
              </w:rPr>
              <w:t>(格式见附件1)</w:t>
            </w:r>
            <w:r>
              <w:rPr>
                <w:rFonts w:hint="eastAsia" w:ascii="宋体" w:hAnsi="宋体" w:eastAsia="宋体" w:cs="宋体"/>
                <w:spacing w:val="0"/>
                <w:w w:val="100"/>
                <w:sz w:val="24"/>
                <w:szCs w:val="24"/>
                <w:highlight w:val="none"/>
              </w:rPr>
              <w:t>相关承诺内容。</w:t>
            </w:r>
          </w:p>
          <w:p>
            <w:pPr>
              <w:pStyle w:val="98"/>
              <w:keepNext w:val="0"/>
              <w:keepLines w:val="0"/>
              <w:pageBreakBefore w:val="0"/>
              <w:widowControl w:val="0"/>
              <w:kinsoku/>
              <w:wordWrap/>
              <w:overflowPunct/>
              <w:topLinePunct w:val="0"/>
              <w:autoSpaceDE/>
              <w:autoSpaceDN/>
              <w:bidi w:val="0"/>
              <w:adjustRightInd/>
              <w:snapToGrid/>
              <w:spacing w:before="48" w:line="410" w:lineRule="exact"/>
              <w:ind w:right="63" w:rightChars="0"/>
              <w:textAlignment w:val="auto"/>
              <w:rPr>
                <w:rFonts w:hint="eastAsia" w:ascii="宋体" w:hAnsi="宋体" w:eastAsia="宋体" w:cs="宋体"/>
                <w:spacing w:val="0"/>
                <w:w w:val="100"/>
                <w:kern w:val="2"/>
                <w:sz w:val="24"/>
                <w:szCs w:val="24"/>
                <w:lang w:val="en-US" w:eastAsia="zh-CN" w:bidi="ar-SA"/>
              </w:rPr>
            </w:pPr>
            <w:r>
              <w:rPr>
                <w:rFonts w:hint="eastAsia" w:ascii="宋体" w:hAnsi="宋体" w:eastAsia="宋体" w:cs="宋体"/>
                <w:spacing w:val="0"/>
                <w:w w:val="100"/>
                <w:sz w:val="24"/>
                <w:szCs w:val="24"/>
                <w:highlight w:val="none"/>
              </w:rPr>
              <w:t>重大违法记录，是指投标人因违法经营受到刑事处罚或者责令停产停业、吊销许可证或者执照、较大数额罚款等行政处罚。（较大数额罚款</w:t>
            </w:r>
            <w:r>
              <w:rPr>
                <w:rFonts w:hint="eastAsia" w:cs="宋体"/>
                <w:spacing w:val="0"/>
                <w:w w:val="100"/>
                <w:sz w:val="24"/>
                <w:szCs w:val="24"/>
                <w:highlight w:val="none"/>
                <w:lang w:eastAsia="zh-CN"/>
              </w:rPr>
              <w:t>的认定按照财库</w:t>
            </w:r>
            <w:r>
              <w:rPr>
                <w:rFonts w:hint="eastAsia" w:cs="宋体"/>
                <w:spacing w:val="0"/>
                <w:w w:val="100"/>
                <w:sz w:val="24"/>
                <w:szCs w:val="24"/>
                <w:highlight w:val="none"/>
                <w:lang w:val="en-US" w:eastAsia="zh-CN"/>
              </w:rPr>
              <w:t>[2023]3号文件规定执行</w:t>
            </w:r>
            <w:r>
              <w:rPr>
                <w:rFonts w:hint="eastAsia" w:ascii="宋体" w:hAnsi="宋体" w:eastAsia="宋体" w:cs="宋体"/>
                <w:spacing w:val="0"/>
                <w:w w:val="100"/>
                <w:sz w:val="24"/>
                <w:szCs w:val="24"/>
                <w:highlight w:val="none"/>
              </w:rPr>
              <w:t>）（以联合体形式投标时，联合体各方均须满足该条款）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trPr>
        <w:tc>
          <w:tcPr>
            <w:tcW w:w="578" w:type="dxa"/>
            <w:tcMar>
              <w:top w:w="113" w:type="dxa"/>
              <w:left w:w="170" w:type="dxa"/>
              <w:bottom w:w="0" w:type="dxa"/>
              <w:right w:w="0" w:type="dxa"/>
            </w:tcMar>
            <w:vAlign w:val="center"/>
          </w:tcPr>
          <w:p>
            <w:pPr>
              <w:pStyle w:val="98"/>
              <w:keepNext w:val="0"/>
              <w:keepLines w:val="0"/>
              <w:pageBreakBefore w:val="0"/>
              <w:kinsoku/>
              <w:wordWrap/>
              <w:overflowPunct/>
              <w:topLinePunct w:val="0"/>
              <w:bidi w:val="0"/>
              <w:spacing w:line="410" w:lineRule="exact"/>
              <w:ind w:right="146" w:rightChars="0"/>
              <w:jc w:val="center"/>
              <w:textAlignment w:val="auto"/>
              <w:rPr>
                <w:rFonts w:hint="eastAsia" w:eastAsia="宋体"/>
                <w:sz w:val="24"/>
                <w:szCs w:val="24"/>
                <w:lang w:val="en-US" w:eastAsia="zh-CN"/>
              </w:rPr>
            </w:pPr>
            <w:r>
              <w:rPr>
                <w:rFonts w:hint="eastAsia"/>
                <w:sz w:val="24"/>
                <w:szCs w:val="24"/>
                <w:lang w:val="en-US" w:eastAsia="zh-CN"/>
              </w:rPr>
              <w:t>2</w:t>
            </w:r>
          </w:p>
        </w:tc>
        <w:tc>
          <w:tcPr>
            <w:tcW w:w="2282" w:type="dxa"/>
            <w:tcMar>
              <w:top w:w="113" w:type="dxa"/>
              <w:left w:w="170" w:type="dxa"/>
              <w:bottom w:w="0" w:type="dxa"/>
              <w:right w:w="0" w:type="dxa"/>
            </w:tcMar>
            <w:vAlign w:val="center"/>
          </w:tcPr>
          <w:p>
            <w:pPr>
              <w:pStyle w:val="98"/>
              <w:keepNext w:val="0"/>
              <w:keepLines w:val="0"/>
              <w:pageBreakBefore w:val="0"/>
              <w:widowControl w:val="0"/>
              <w:kinsoku/>
              <w:wordWrap/>
              <w:overflowPunct/>
              <w:topLinePunct w:val="0"/>
              <w:autoSpaceDE/>
              <w:autoSpaceDN/>
              <w:bidi w:val="0"/>
              <w:adjustRightInd/>
              <w:snapToGrid/>
              <w:spacing w:line="410" w:lineRule="exact"/>
              <w:ind w:right="146" w:rightChars="0"/>
              <w:textAlignment w:val="auto"/>
              <w:rPr>
                <w:rFonts w:hint="eastAsia" w:ascii="宋体" w:hAnsi="宋体" w:eastAsia="宋体" w:cs="宋体"/>
                <w:kern w:val="2"/>
                <w:sz w:val="24"/>
                <w:szCs w:val="24"/>
                <w:lang w:val="en-US" w:eastAsia="zh-CN" w:bidi="ar-SA"/>
              </w:rPr>
            </w:pPr>
            <w:r>
              <w:rPr>
                <w:rFonts w:hint="eastAsia"/>
                <w:sz w:val="24"/>
                <w:szCs w:val="24"/>
              </w:rPr>
              <w:t>法定代表人授权委托书</w:t>
            </w:r>
          </w:p>
        </w:tc>
        <w:tc>
          <w:tcPr>
            <w:tcW w:w="6338" w:type="dxa"/>
            <w:tcMar>
              <w:top w:w="113" w:type="dxa"/>
              <w:left w:w="170" w:type="dxa"/>
              <w:bottom w:w="0" w:type="dxa"/>
              <w:right w:w="0" w:type="dxa"/>
            </w:tcMar>
            <w:vAlign w:val="center"/>
          </w:tcPr>
          <w:p>
            <w:pPr>
              <w:pStyle w:val="98"/>
              <w:keepNext w:val="0"/>
              <w:keepLines w:val="0"/>
              <w:pageBreakBefore w:val="0"/>
              <w:widowControl w:val="0"/>
              <w:kinsoku/>
              <w:wordWrap/>
              <w:overflowPunct/>
              <w:topLinePunct w:val="0"/>
              <w:autoSpaceDE/>
              <w:autoSpaceDN/>
              <w:bidi w:val="0"/>
              <w:adjustRightInd/>
              <w:snapToGrid/>
              <w:spacing w:before="48" w:line="410" w:lineRule="exact"/>
              <w:textAlignment w:val="auto"/>
              <w:rPr>
                <w:rFonts w:hint="eastAsia" w:ascii="宋体" w:hAnsi="宋体" w:eastAsia="宋体" w:cs="宋体"/>
                <w:kern w:val="2"/>
                <w:sz w:val="24"/>
                <w:szCs w:val="24"/>
                <w:lang w:val="en-US" w:eastAsia="zh-CN" w:bidi="ar-SA"/>
              </w:rPr>
            </w:pPr>
            <w:r>
              <w:rPr>
                <w:rFonts w:hint="eastAsia"/>
                <w:sz w:val="24"/>
                <w:szCs w:val="24"/>
              </w:rPr>
              <w:t>法定代表人授权委托书，按对应格式文件签署、盖章。</w:t>
            </w:r>
            <w:r>
              <w:rPr>
                <w:rFonts w:hint="eastAsia"/>
                <w:b/>
                <w:bCs/>
                <w:sz w:val="24"/>
                <w:szCs w:val="24"/>
                <w:lang w:eastAsia="zh-CN"/>
              </w:rPr>
              <w:t>（格式见附件</w:t>
            </w:r>
            <w:r>
              <w:rPr>
                <w:rFonts w:hint="eastAsia"/>
                <w:b/>
                <w:bCs/>
                <w:sz w:val="24"/>
                <w:szCs w:val="24"/>
                <w:lang w:val="en-US" w:eastAsia="zh-CN"/>
              </w:rPr>
              <w:t>2</w:t>
            </w:r>
            <w:r>
              <w:rPr>
                <w:rFonts w:hint="eastAsia"/>
                <w:b/>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8" w:hRule="atLeast"/>
        </w:trPr>
        <w:tc>
          <w:tcPr>
            <w:tcW w:w="578" w:type="dxa"/>
            <w:tcMar>
              <w:top w:w="113" w:type="dxa"/>
              <w:left w:w="170" w:type="dxa"/>
              <w:bottom w:w="0" w:type="dxa"/>
              <w:right w:w="0" w:type="dxa"/>
            </w:tcMar>
            <w:vAlign w:val="center"/>
          </w:tcPr>
          <w:p>
            <w:pPr>
              <w:pStyle w:val="98"/>
              <w:keepNext w:val="0"/>
              <w:keepLines w:val="0"/>
              <w:pageBreakBefore w:val="0"/>
              <w:kinsoku/>
              <w:wordWrap/>
              <w:overflowPunct/>
              <w:topLinePunct w:val="0"/>
              <w:bidi w:val="0"/>
              <w:spacing w:before="1" w:line="410" w:lineRule="exact"/>
              <w:ind w:right="146" w:rightChars="0"/>
              <w:jc w:val="center"/>
              <w:textAlignment w:val="auto"/>
              <w:rPr>
                <w:rFonts w:hint="eastAsia" w:ascii="宋体" w:hAnsi="宋体" w:eastAsia="宋体" w:cs="宋体"/>
                <w:spacing w:val="0"/>
                <w:w w:val="100"/>
                <w:sz w:val="24"/>
                <w:szCs w:val="24"/>
                <w:lang w:val="en-US" w:eastAsia="zh-CN"/>
              </w:rPr>
            </w:pPr>
            <w:r>
              <w:rPr>
                <w:rFonts w:hint="eastAsia" w:cs="宋体"/>
                <w:spacing w:val="0"/>
                <w:w w:val="100"/>
                <w:sz w:val="24"/>
                <w:szCs w:val="24"/>
                <w:lang w:val="en-US" w:eastAsia="zh-CN"/>
              </w:rPr>
              <w:t>3</w:t>
            </w:r>
          </w:p>
        </w:tc>
        <w:tc>
          <w:tcPr>
            <w:tcW w:w="2282" w:type="dxa"/>
            <w:tcMar>
              <w:top w:w="113" w:type="dxa"/>
              <w:left w:w="170" w:type="dxa"/>
              <w:bottom w:w="0" w:type="dxa"/>
              <w:right w:w="0" w:type="dxa"/>
            </w:tcMar>
            <w:vAlign w:val="center"/>
          </w:tcPr>
          <w:p>
            <w:pPr>
              <w:pStyle w:val="98"/>
              <w:keepNext w:val="0"/>
              <w:keepLines w:val="0"/>
              <w:pageBreakBefore w:val="0"/>
              <w:widowControl w:val="0"/>
              <w:kinsoku/>
              <w:wordWrap/>
              <w:overflowPunct/>
              <w:topLinePunct w:val="0"/>
              <w:autoSpaceDE/>
              <w:autoSpaceDN/>
              <w:bidi w:val="0"/>
              <w:adjustRightInd/>
              <w:snapToGrid/>
              <w:spacing w:before="1" w:line="410" w:lineRule="exact"/>
              <w:ind w:right="146" w:rightChars="0"/>
              <w:textAlignment w:val="auto"/>
              <w:rPr>
                <w:rFonts w:hint="eastAsia" w:ascii="宋体" w:hAnsi="宋体" w:eastAsia="宋体" w:cs="宋体"/>
                <w:spacing w:val="0"/>
                <w:w w:val="100"/>
                <w:kern w:val="2"/>
                <w:sz w:val="24"/>
                <w:szCs w:val="24"/>
                <w:lang w:val="en-US" w:eastAsia="zh-CN" w:bidi="ar-SA"/>
              </w:rPr>
            </w:pPr>
            <w:r>
              <w:rPr>
                <w:rFonts w:hint="eastAsia" w:ascii="宋体" w:hAnsi="宋体" w:eastAsia="宋体" w:cs="宋体"/>
                <w:spacing w:val="0"/>
                <w:w w:val="100"/>
                <w:sz w:val="24"/>
                <w:szCs w:val="24"/>
              </w:rPr>
              <w:t>具有独立承担民事责任的能力</w:t>
            </w:r>
          </w:p>
        </w:tc>
        <w:tc>
          <w:tcPr>
            <w:tcW w:w="6338" w:type="dxa"/>
            <w:tcMar>
              <w:top w:w="113" w:type="dxa"/>
              <w:left w:w="170" w:type="dxa"/>
              <w:bottom w:w="0" w:type="dxa"/>
              <w:right w:w="0" w:type="dxa"/>
            </w:tcMar>
            <w:vAlign w:val="center"/>
          </w:tcPr>
          <w:p>
            <w:pPr>
              <w:pStyle w:val="98"/>
              <w:keepNext w:val="0"/>
              <w:keepLines w:val="0"/>
              <w:pageBreakBefore w:val="0"/>
              <w:widowControl w:val="0"/>
              <w:kinsoku/>
              <w:wordWrap/>
              <w:overflowPunct/>
              <w:topLinePunct w:val="0"/>
              <w:autoSpaceDE/>
              <w:autoSpaceDN/>
              <w:bidi w:val="0"/>
              <w:adjustRightInd/>
              <w:snapToGrid/>
              <w:spacing w:line="410" w:lineRule="exact"/>
              <w:ind w:right="63" w:rightChars="0"/>
              <w:textAlignment w:val="auto"/>
              <w:rPr>
                <w:rFonts w:hint="eastAsia" w:ascii="宋体" w:hAnsi="宋体" w:eastAsia="宋体" w:cs="宋体"/>
                <w:spacing w:val="0"/>
                <w:w w:val="100"/>
                <w:kern w:val="2"/>
                <w:sz w:val="24"/>
                <w:szCs w:val="24"/>
                <w:lang w:val="en-US" w:eastAsia="zh-CN" w:bidi="ar-SA"/>
              </w:rPr>
            </w:pPr>
            <w:r>
              <w:rPr>
                <w:rFonts w:hint="eastAsia" w:ascii="宋体" w:hAnsi="宋体" w:eastAsia="宋体" w:cs="宋体"/>
                <w:spacing w:val="0"/>
                <w:w w:val="100"/>
                <w:sz w:val="24"/>
                <w:szCs w:val="24"/>
              </w:rPr>
              <w:t>在中华人民共和国境内注册的法人或其他组织或自然人，</w:t>
            </w:r>
            <w:r>
              <w:rPr>
                <w:rFonts w:hint="eastAsia" w:ascii="宋体" w:hAnsi="宋体" w:eastAsia="宋体" w:cs="宋体"/>
                <w:b/>
                <w:bCs/>
                <w:spacing w:val="0"/>
                <w:w w:val="100"/>
                <w:sz w:val="24"/>
                <w:szCs w:val="24"/>
              </w:rPr>
              <w:t>投标时提交有效的营业执照（或事业法人登记证或身份证等相关证明）扫描件</w:t>
            </w:r>
            <w:r>
              <w:rPr>
                <w:rFonts w:hint="eastAsia" w:ascii="宋体" w:hAnsi="宋体" w:eastAsia="宋体" w:cs="宋体"/>
                <w:spacing w:val="0"/>
                <w:w w:val="100"/>
                <w:sz w:val="24"/>
                <w:szCs w:val="24"/>
              </w:rPr>
              <w:t>。（以联合体形式投标时，联合体各方均须满足该条款）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7" w:hRule="atLeast"/>
        </w:trPr>
        <w:tc>
          <w:tcPr>
            <w:tcW w:w="578" w:type="dxa"/>
            <w:tcMar>
              <w:top w:w="113" w:type="dxa"/>
              <w:left w:w="170" w:type="dxa"/>
              <w:bottom w:w="0" w:type="dxa"/>
              <w:right w:w="0" w:type="dxa"/>
            </w:tcMar>
            <w:vAlign w:val="center"/>
          </w:tcPr>
          <w:p>
            <w:pPr>
              <w:pStyle w:val="98"/>
              <w:keepNext w:val="0"/>
              <w:keepLines w:val="0"/>
              <w:pageBreakBefore w:val="0"/>
              <w:kinsoku/>
              <w:wordWrap/>
              <w:overflowPunct/>
              <w:topLinePunct w:val="0"/>
              <w:bidi w:val="0"/>
              <w:spacing w:before="1" w:line="410" w:lineRule="exact"/>
              <w:ind w:right="146" w:rightChars="0"/>
              <w:jc w:val="center"/>
              <w:textAlignment w:val="auto"/>
              <w:rPr>
                <w:rFonts w:hint="eastAsia" w:ascii="宋体" w:hAnsi="宋体" w:eastAsia="宋体" w:cs="宋体"/>
                <w:spacing w:val="0"/>
                <w:w w:val="100"/>
                <w:sz w:val="24"/>
                <w:szCs w:val="24"/>
                <w:lang w:val="en-US" w:eastAsia="zh-CN"/>
              </w:rPr>
            </w:pPr>
            <w:r>
              <w:rPr>
                <w:rFonts w:hint="eastAsia" w:cs="宋体"/>
                <w:spacing w:val="0"/>
                <w:w w:val="100"/>
                <w:sz w:val="24"/>
                <w:szCs w:val="24"/>
                <w:lang w:val="en-US" w:eastAsia="zh-CN"/>
              </w:rPr>
              <w:t>4</w:t>
            </w:r>
          </w:p>
        </w:tc>
        <w:tc>
          <w:tcPr>
            <w:tcW w:w="2282" w:type="dxa"/>
            <w:tcMar>
              <w:top w:w="113" w:type="dxa"/>
              <w:left w:w="170" w:type="dxa"/>
              <w:bottom w:w="0" w:type="dxa"/>
              <w:right w:w="0" w:type="dxa"/>
            </w:tcMar>
            <w:vAlign w:val="center"/>
          </w:tcPr>
          <w:p>
            <w:pPr>
              <w:pStyle w:val="98"/>
              <w:keepNext w:val="0"/>
              <w:keepLines w:val="0"/>
              <w:pageBreakBefore w:val="0"/>
              <w:widowControl w:val="0"/>
              <w:kinsoku/>
              <w:wordWrap/>
              <w:overflowPunct/>
              <w:topLinePunct w:val="0"/>
              <w:autoSpaceDE/>
              <w:autoSpaceDN/>
              <w:bidi w:val="0"/>
              <w:adjustRightInd/>
              <w:snapToGrid/>
              <w:spacing w:before="1" w:line="410" w:lineRule="exact"/>
              <w:ind w:right="146" w:rightChars="0"/>
              <w:textAlignment w:val="auto"/>
              <w:rPr>
                <w:rFonts w:hint="eastAsia" w:ascii="宋体" w:hAnsi="宋体" w:eastAsia="宋体" w:cs="宋体"/>
                <w:spacing w:val="0"/>
                <w:w w:val="100"/>
                <w:kern w:val="2"/>
                <w:sz w:val="24"/>
                <w:szCs w:val="24"/>
                <w:lang w:val="en-US" w:eastAsia="zh-CN" w:bidi="ar-SA"/>
              </w:rPr>
            </w:pPr>
            <w:r>
              <w:rPr>
                <w:rFonts w:hint="eastAsia" w:ascii="宋体" w:hAnsi="宋体" w:eastAsia="宋体" w:cs="宋体"/>
                <w:spacing w:val="0"/>
                <w:w w:val="100"/>
                <w:sz w:val="24"/>
                <w:szCs w:val="24"/>
              </w:rPr>
              <w:t>履行合同所必需的设备和专业技术能力</w:t>
            </w:r>
          </w:p>
        </w:tc>
        <w:tc>
          <w:tcPr>
            <w:tcW w:w="6338" w:type="dxa"/>
            <w:tcMar>
              <w:top w:w="113" w:type="dxa"/>
              <w:left w:w="170" w:type="dxa"/>
              <w:bottom w:w="0" w:type="dxa"/>
              <w:right w:w="0" w:type="dxa"/>
            </w:tcMar>
            <w:vAlign w:val="center"/>
          </w:tcPr>
          <w:p>
            <w:pPr>
              <w:pStyle w:val="98"/>
              <w:keepNext w:val="0"/>
              <w:keepLines w:val="0"/>
              <w:pageBreakBefore w:val="0"/>
              <w:widowControl w:val="0"/>
              <w:kinsoku/>
              <w:wordWrap/>
              <w:overflowPunct/>
              <w:topLinePunct w:val="0"/>
              <w:autoSpaceDE/>
              <w:autoSpaceDN/>
              <w:bidi w:val="0"/>
              <w:adjustRightInd/>
              <w:snapToGrid/>
              <w:spacing w:before="1" w:line="410" w:lineRule="exact"/>
              <w:textAlignment w:val="auto"/>
              <w:rPr>
                <w:rFonts w:hint="eastAsia" w:ascii="宋体" w:hAnsi="宋体" w:eastAsia="宋体" w:cs="宋体"/>
                <w:spacing w:val="0"/>
                <w:w w:val="100"/>
                <w:kern w:val="2"/>
                <w:sz w:val="24"/>
                <w:szCs w:val="24"/>
                <w:lang w:val="en-US" w:eastAsia="zh-CN" w:bidi="ar-SA"/>
              </w:rPr>
            </w:pPr>
            <w:r>
              <w:rPr>
                <w:rFonts w:hint="eastAsia" w:cs="宋体"/>
                <w:spacing w:val="0"/>
                <w:w w:val="100"/>
                <w:sz w:val="24"/>
                <w:szCs w:val="24"/>
                <w:lang w:eastAsia="zh-CN"/>
              </w:rPr>
              <w:t>签署具备履行合同所必需的设备和专业服务（技术）能力的承诺函</w:t>
            </w:r>
            <w:r>
              <w:rPr>
                <w:rFonts w:hint="eastAsia" w:cs="宋体"/>
                <w:b/>
                <w:bCs/>
                <w:spacing w:val="0"/>
                <w:w w:val="100"/>
                <w:sz w:val="24"/>
                <w:szCs w:val="24"/>
                <w:lang w:eastAsia="zh-CN"/>
              </w:rPr>
              <w:t>（格式见附件</w:t>
            </w:r>
            <w:r>
              <w:rPr>
                <w:rFonts w:hint="eastAsia" w:cs="宋体"/>
                <w:b/>
                <w:bCs/>
                <w:spacing w:val="0"/>
                <w:w w:val="100"/>
                <w:sz w:val="24"/>
                <w:szCs w:val="24"/>
                <w:lang w:val="en-US" w:eastAsia="zh-CN"/>
              </w:rPr>
              <w:t>3</w:t>
            </w:r>
            <w:r>
              <w:rPr>
                <w:rFonts w:hint="eastAsia" w:cs="宋体"/>
                <w:b/>
                <w:bCs/>
                <w:spacing w:val="0"/>
                <w:w w:val="1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3" w:hRule="atLeast"/>
        </w:trPr>
        <w:tc>
          <w:tcPr>
            <w:tcW w:w="578" w:type="dxa"/>
            <w:shd w:val="clear" w:color="auto" w:fill="auto"/>
            <w:tcMar>
              <w:top w:w="113" w:type="dxa"/>
              <w:left w:w="170" w:type="dxa"/>
              <w:bottom w:w="0" w:type="dxa"/>
              <w:right w:w="0" w:type="dxa"/>
            </w:tcMar>
            <w:vAlign w:val="center"/>
          </w:tcPr>
          <w:p>
            <w:pPr>
              <w:pStyle w:val="98"/>
              <w:keepNext w:val="0"/>
              <w:keepLines w:val="0"/>
              <w:pageBreakBefore w:val="0"/>
              <w:kinsoku/>
              <w:wordWrap/>
              <w:overflowPunct/>
              <w:topLinePunct w:val="0"/>
              <w:bidi w:val="0"/>
              <w:spacing w:line="410" w:lineRule="exact"/>
              <w:ind w:left="64" w:leftChars="0"/>
              <w:jc w:val="both"/>
              <w:textAlignment w:val="auto"/>
              <w:rPr>
                <w:rFonts w:hint="eastAsia" w:ascii="宋体" w:hAnsi="宋体" w:eastAsia="宋体" w:cs="宋体"/>
                <w:spacing w:val="0"/>
                <w:w w:val="100"/>
                <w:sz w:val="24"/>
                <w:szCs w:val="24"/>
                <w:lang w:val="en-US" w:eastAsia="zh-CN"/>
              </w:rPr>
            </w:pPr>
            <w:r>
              <w:rPr>
                <w:rFonts w:hint="eastAsia" w:cs="宋体"/>
                <w:spacing w:val="0"/>
                <w:w w:val="100"/>
                <w:sz w:val="24"/>
                <w:szCs w:val="24"/>
                <w:lang w:val="en-US" w:eastAsia="zh-CN"/>
              </w:rPr>
              <w:t>5</w:t>
            </w:r>
          </w:p>
        </w:tc>
        <w:tc>
          <w:tcPr>
            <w:tcW w:w="2282" w:type="dxa"/>
            <w:shd w:val="clear" w:color="auto" w:fill="auto"/>
            <w:tcMar>
              <w:top w:w="113" w:type="dxa"/>
              <w:left w:w="170" w:type="dxa"/>
              <w:bottom w:w="0" w:type="dxa"/>
              <w:right w:w="0" w:type="dxa"/>
            </w:tcMar>
            <w:vAlign w:val="center"/>
          </w:tcPr>
          <w:p>
            <w:pPr>
              <w:pStyle w:val="98"/>
              <w:keepNext w:val="0"/>
              <w:keepLines w:val="0"/>
              <w:pageBreakBefore w:val="0"/>
              <w:widowControl w:val="0"/>
              <w:kinsoku/>
              <w:wordWrap/>
              <w:overflowPunct/>
              <w:topLinePunct w:val="0"/>
              <w:autoSpaceDE/>
              <w:autoSpaceDN/>
              <w:bidi w:val="0"/>
              <w:adjustRightInd/>
              <w:snapToGrid/>
              <w:spacing w:line="410" w:lineRule="exact"/>
              <w:ind w:left="64" w:leftChars="0"/>
              <w:textAlignment w:val="auto"/>
              <w:rPr>
                <w:rFonts w:hint="eastAsia" w:ascii="宋体" w:hAnsi="宋体" w:eastAsia="宋体" w:cs="宋体"/>
                <w:spacing w:val="0"/>
                <w:w w:val="100"/>
                <w:kern w:val="2"/>
                <w:sz w:val="24"/>
                <w:szCs w:val="24"/>
                <w:lang w:val="en-US" w:eastAsia="zh-CN" w:bidi="ar-SA"/>
              </w:rPr>
            </w:pPr>
            <w:r>
              <w:rPr>
                <w:rFonts w:hint="eastAsia" w:ascii="宋体" w:hAnsi="宋体" w:eastAsia="宋体" w:cs="宋体"/>
                <w:spacing w:val="0"/>
                <w:w w:val="100"/>
                <w:sz w:val="24"/>
                <w:szCs w:val="24"/>
              </w:rPr>
              <w:t>信用记录</w:t>
            </w:r>
          </w:p>
        </w:tc>
        <w:tc>
          <w:tcPr>
            <w:tcW w:w="6338" w:type="dxa"/>
            <w:shd w:val="clear" w:color="auto" w:fill="auto"/>
            <w:tcMar>
              <w:top w:w="113" w:type="dxa"/>
              <w:left w:w="170" w:type="dxa"/>
              <w:bottom w:w="0" w:type="dxa"/>
              <w:right w:w="0" w:type="dxa"/>
            </w:tcMar>
            <w:vAlign w:val="center"/>
          </w:tcPr>
          <w:p>
            <w:pPr>
              <w:pStyle w:val="98"/>
              <w:keepNext w:val="0"/>
              <w:keepLines w:val="0"/>
              <w:pageBreakBefore w:val="0"/>
              <w:widowControl w:val="0"/>
              <w:kinsoku/>
              <w:wordWrap/>
              <w:overflowPunct/>
              <w:topLinePunct w:val="0"/>
              <w:autoSpaceDE/>
              <w:autoSpaceDN/>
              <w:bidi w:val="0"/>
              <w:adjustRightInd/>
              <w:snapToGrid/>
              <w:spacing w:before="48" w:line="410" w:lineRule="exact"/>
              <w:ind w:right="63"/>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1.截止时点：</w:t>
            </w:r>
            <w:r>
              <w:rPr>
                <w:rFonts w:hint="eastAsia" w:ascii="宋体" w:hAnsi="宋体" w:eastAsia="宋体" w:cs="宋体"/>
                <w:spacing w:val="0"/>
                <w:w w:val="100"/>
                <w:sz w:val="24"/>
                <w:szCs w:val="24"/>
                <w:lang w:eastAsia="zh-CN"/>
              </w:rPr>
              <w:t>开标后评标前</w:t>
            </w:r>
            <w:r>
              <w:rPr>
                <w:rFonts w:hint="eastAsia" w:ascii="宋体" w:hAnsi="宋体" w:eastAsia="宋体" w:cs="宋体"/>
                <w:spacing w:val="0"/>
                <w:w w:val="100"/>
                <w:sz w:val="24"/>
                <w:szCs w:val="24"/>
              </w:rPr>
              <w:t>。</w:t>
            </w:r>
          </w:p>
          <w:p>
            <w:pPr>
              <w:pStyle w:val="98"/>
              <w:keepNext w:val="0"/>
              <w:keepLines w:val="0"/>
              <w:pageBreakBefore w:val="0"/>
              <w:widowControl w:val="0"/>
              <w:kinsoku/>
              <w:wordWrap/>
              <w:overflowPunct/>
              <w:topLinePunct w:val="0"/>
              <w:autoSpaceDE/>
              <w:autoSpaceDN/>
              <w:bidi w:val="0"/>
              <w:adjustRightInd/>
              <w:snapToGrid/>
              <w:spacing w:before="48" w:line="410" w:lineRule="exact"/>
              <w:ind w:right="63" w:rightChars="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2.信用信息查询记录和证据留存的具体方式：由</w:t>
            </w:r>
            <w:r>
              <w:rPr>
                <w:rFonts w:hint="eastAsia" w:ascii="宋体" w:hAnsi="宋体" w:eastAsia="宋体" w:cs="宋体"/>
                <w:b/>
                <w:bCs/>
                <w:spacing w:val="0"/>
                <w:w w:val="100"/>
                <w:sz w:val="24"/>
                <w:szCs w:val="24"/>
              </w:rPr>
              <w:t>采购组织机构</w:t>
            </w:r>
            <w:r>
              <w:rPr>
                <w:rFonts w:hint="eastAsia" w:ascii="宋体" w:hAnsi="宋体" w:eastAsia="宋体" w:cs="宋体"/>
                <w:spacing w:val="0"/>
                <w:w w:val="100"/>
                <w:sz w:val="24"/>
                <w:szCs w:val="24"/>
              </w:rPr>
              <w:t>在规定查询时间内打印信用信息查询记录并归入项目档案。</w:t>
            </w:r>
            <w:r>
              <w:rPr>
                <w:rFonts w:hint="eastAsia" w:ascii="宋体" w:hAnsi="宋体" w:eastAsia="宋体" w:cs="宋体"/>
                <w:spacing w:val="0"/>
                <w:w w:val="100"/>
                <w:sz w:val="24"/>
                <w:szCs w:val="24"/>
              </w:rPr>
              <w:br w:type="textWrapping"/>
            </w:r>
            <w:r>
              <w:rPr>
                <w:rFonts w:hint="eastAsia" w:ascii="宋体" w:hAnsi="宋体" w:eastAsia="宋体" w:cs="宋体"/>
                <w:spacing w:val="0"/>
                <w:w w:val="100"/>
                <w:sz w:val="24"/>
                <w:szCs w:val="24"/>
              </w:rPr>
              <w:t>3.使用规则：投标人未被列入“信用中国”失信被执行人或重大税收违法案件当事人名单；未处于“中国政府采购网”政府采购严重违法失信行为信息记录中的禁止参加政府采购活动期间。</w:t>
            </w:r>
          </w:p>
          <w:p>
            <w:pPr>
              <w:pStyle w:val="98"/>
              <w:keepNext w:val="0"/>
              <w:keepLines w:val="0"/>
              <w:pageBreakBefore w:val="0"/>
              <w:widowControl w:val="0"/>
              <w:kinsoku/>
              <w:wordWrap/>
              <w:overflowPunct/>
              <w:topLinePunct w:val="0"/>
              <w:autoSpaceDE/>
              <w:autoSpaceDN/>
              <w:bidi w:val="0"/>
              <w:adjustRightInd/>
              <w:snapToGrid/>
              <w:spacing w:before="48" w:line="410" w:lineRule="exact"/>
              <w:ind w:right="63" w:rightChars="0"/>
              <w:textAlignment w:val="auto"/>
              <w:rPr>
                <w:rFonts w:hint="eastAsia" w:ascii="宋体" w:hAnsi="宋体" w:eastAsia="宋体" w:cs="宋体"/>
                <w:spacing w:val="0"/>
                <w:w w:val="100"/>
                <w:kern w:val="2"/>
                <w:sz w:val="24"/>
                <w:szCs w:val="24"/>
                <w:lang w:val="en-US" w:eastAsia="zh-CN" w:bidi="ar-SA"/>
              </w:rPr>
            </w:pPr>
            <w:r>
              <w:rPr>
                <w:rFonts w:hint="eastAsia" w:ascii="宋体" w:hAnsi="宋体" w:eastAsia="宋体" w:cs="宋体"/>
                <w:spacing w:val="0"/>
                <w:w w:val="100"/>
                <w:sz w:val="24"/>
                <w:szCs w:val="24"/>
              </w:rPr>
              <w:t>（以联合体形式投标时，联合体各方均须满足该条款）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1" w:hRule="atLeast"/>
        </w:trPr>
        <w:tc>
          <w:tcPr>
            <w:tcW w:w="578" w:type="dxa"/>
            <w:tcMar>
              <w:top w:w="113" w:type="dxa"/>
              <w:left w:w="170" w:type="dxa"/>
              <w:bottom w:w="0" w:type="dxa"/>
              <w:right w:w="0" w:type="dxa"/>
            </w:tcMar>
            <w:vAlign w:val="center"/>
          </w:tcPr>
          <w:p>
            <w:pPr>
              <w:pStyle w:val="98"/>
              <w:keepNext w:val="0"/>
              <w:keepLines w:val="0"/>
              <w:pageBreakBefore w:val="0"/>
              <w:kinsoku/>
              <w:wordWrap/>
              <w:overflowPunct/>
              <w:topLinePunct w:val="0"/>
              <w:bidi w:val="0"/>
              <w:spacing w:before="48" w:line="410" w:lineRule="exact"/>
              <w:ind w:left="64" w:leftChars="0"/>
              <w:jc w:val="both"/>
              <w:textAlignment w:val="auto"/>
              <w:rPr>
                <w:rFonts w:hint="default" w:ascii="宋体" w:hAnsi="宋体" w:eastAsia="宋体" w:cs="宋体"/>
                <w:spacing w:val="0"/>
                <w:w w:val="100"/>
                <w:sz w:val="24"/>
                <w:szCs w:val="24"/>
                <w:lang w:val="en-US" w:eastAsia="zh-CN"/>
              </w:rPr>
            </w:pPr>
            <w:r>
              <w:rPr>
                <w:rFonts w:hint="eastAsia" w:cs="宋体"/>
                <w:spacing w:val="0"/>
                <w:w w:val="100"/>
                <w:sz w:val="24"/>
                <w:szCs w:val="24"/>
                <w:lang w:val="en-US" w:eastAsia="zh-CN"/>
              </w:rPr>
              <w:t>6</w:t>
            </w:r>
          </w:p>
        </w:tc>
        <w:tc>
          <w:tcPr>
            <w:tcW w:w="2282" w:type="dxa"/>
            <w:tcMar>
              <w:top w:w="113" w:type="dxa"/>
              <w:left w:w="170" w:type="dxa"/>
              <w:bottom w:w="0" w:type="dxa"/>
              <w:right w:w="0" w:type="dxa"/>
            </w:tcMar>
            <w:vAlign w:val="center"/>
          </w:tcPr>
          <w:p>
            <w:pPr>
              <w:pStyle w:val="98"/>
              <w:keepNext w:val="0"/>
              <w:keepLines w:val="0"/>
              <w:pageBreakBefore w:val="0"/>
              <w:widowControl w:val="0"/>
              <w:kinsoku/>
              <w:wordWrap/>
              <w:overflowPunct/>
              <w:topLinePunct w:val="0"/>
              <w:autoSpaceDE/>
              <w:autoSpaceDN/>
              <w:bidi w:val="0"/>
              <w:adjustRightInd/>
              <w:snapToGrid/>
              <w:spacing w:before="48" w:line="410" w:lineRule="exact"/>
              <w:ind w:left="64" w:leftChars="0"/>
              <w:textAlignment w:val="auto"/>
              <w:rPr>
                <w:rFonts w:hint="eastAsia" w:ascii="宋体" w:hAnsi="宋体" w:eastAsia="宋体" w:cs="宋体"/>
                <w:spacing w:val="0"/>
                <w:w w:val="100"/>
                <w:kern w:val="2"/>
                <w:sz w:val="24"/>
                <w:szCs w:val="24"/>
                <w:lang w:val="en-US" w:eastAsia="zh-CN" w:bidi="ar-SA"/>
              </w:rPr>
            </w:pPr>
            <w:r>
              <w:rPr>
                <w:rFonts w:hint="eastAsia" w:cs="宋体"/>
                <w:spacing w:val="0"/>
                <w:w w:val="100"/>
                <w:sz w:val="24"/>
                <w:szCs w:val="24"/>
                <w:highlight w:val="none"/>
                <w:lang w:eastAsia="zh-CN"/>
              </w:rPr>
              <w:t>联合体投标</w:t>
            </w:r>
          </w:p>
        </w:tc>
        <w:tc>
          <w:tcPr>
            <w:tcW w:w="6338" w:type="dxa"/>
            <w:tcMar>
              <w:top w:w="113" w:type="dxa"/>
              <w:left w:w="170" w:type="dxa"/>
              <w:bottom w:w="0" w:type="dxa"/>
              <w:right w:w="0" w:type="dxa"/>
            </w:tcMar>
            <w:vAlign w:val="center"/>
          </w:tcPr>
          <w:p>
            <w:pPr>
              <w:pStyle w:val="98"/>
              <w:keepNext w:val="0"/>
              <w:keepLines w:val="0"/>
              <w:pageBreakBefore w:val="0"/>
              <w:widowControl w:val="0"/>
              <w:kinsoku/>
              <w:wordWrap/>
              <w:overflowPunct/>
              <w:topLinePunct w:val="0"/>
              <w:autoSpaceDE/>
              <w:autoSpaceDN/>
              <w:bidi w:val="0"/>
              <w:adjustRightInd/>
              <w:snapToGrid/>
              <w:spacing w:before="48" w:line="410" w:lineRule="exact"/>
              <w:textAlignment w:val="auto"/>
              <w:rPr>
                <w:rFonts w:hint="eastAsia" w:ascii="宋体" w:hAnsi="宋体" w:eastAsia="宋体" w:cs="宋体"/>
                <w:spacing w:val="0"/>
                <w:w w:val="100"/>
                <w:kern w:val="2"/>
                <w:sz w:val="24"/>
                <w:szCs w:val="24"/>
                <w:lang w:val="en-US" w:eastAsia="zh-CN" w:bidi="ar-SA"/>
              </w:rPr>
            </w:pPr>
            <w:r>
              <w:rPr>
                <w:rFonts w:hint="eastAsia" w:ascii="宋体" w:hAnsi="宋体" w:eastAsia="宋体" w:cs="宋体"/>
                <w:b w:val="0"/>
                <w:bCs w:val="0"/>
                <w:spacing w:val="0"/>
                <w:w w:val="100"/>
                <w:sz w:val="24"/>
                <w:szCs w:val="24"/>
                <w:highlight w:val="none"/>
              </w:rPr>
              <w:t>本项目</w:t>
            </w:r>
            <w:r>
              <w:rPr>
                <w:rFonts w:hint="eastAsia" w:cs="宋体"/>
                <w:b w:val="0"/>
                <w:bCs w:val="0"/>
                <w:spacing w:val="0"/>
                <w:w w:val="100"/>
                <w:sz w:val="24"/>
                <w:szCs w:val="24"/>
                <w:highlight w:val="none"/>
                <w:lang w:eastAsia="zh-CN"/>
              </w:rPr>
              <w:t>不</w:t>
            </w:r>
            <w:r>
              <w:rPr>
                <w:rFonts w:hint="eastAsia" w:ascii="宋体" w:hAnsi="宋体" w:eastAsia="宋体" w:cs="宋体"/>
                <w:b w:val="0"/>
                <w:bCs w:val="0"/>
                <w:spacing w:val="0"/>
                <w:w w:val="100"/>
                <w:sz w:val="24"/>
                <w:szCs w:val="24"/>
                <w:highlight w:val="none"/>
              </w:rPr>
              <w:t>接受联合体投标</w:t>
            </w:r>
            <w:r>
              <w:rPr>
                <w:rFonts w:hint="eastAsia" w:ascii="宋体" w:hAnsi="宋体" w:eastAsia="宋体" w:cs="宋体"/>
                <w:spacing w:val="0"/>
                <w:w w:val="1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trPr>
        <w:tc>
          <w:tcPr>
            <w:tcW w:w="578" w:type="dxa"/>
            <w:tcMar>
              <w:top w:w="113" w:type="dxa"/>
              <w:left w:w="170" w:type="dxa"/>
              <w:bottom w:w="0" w:type="dxa"/>
              <w:right w:w="0" w:type="dxa"/>
            </w:tcMar>
            <w:vAlign w:val="center"/>
          </w:tcPr>
          <w:p>
            <w:pPr>
              <w:pStyle w:val="98"/>
              <w:keepNext w:val="0"/>
              <w:keepLines w:val="0"/>
              <w:pageBreakBefore w:val="0"/>
              <w:kinsoku/>
              <w:wordWrap/>
              <w:overflowPunct/>
              <w:topLinePunct w:val="0"/>
              <w:bidi w:val="0"/>
              <w:spacing w:before="48" w:line="410" w:lineRule="exact"/>
              <w:ind w:left="64" w:leftChars="0"/>
              <w:jc w:val="both"/>
              <w:textAlignment w:val="auto"/>
              <w:rPr>
                <w:rFonts w:hint="default" w:cs="宋体"/>
                <w:spacing w:val="0"/>
                <w:w w:val="100"/>
                <w:sz w:val="24"/>
                <w:szCs w:val="24"/>
                <w:lang w:val="en-US" w:eastAsia="zh-CN"/>
              </w:rPr>
            </w:pPr>
            <w:r>
              <w:rPr>
                <w:rFonts w:hint="eastAsia" w:cs="宋体"/>
                <w:spacing w:val="0"/>
                <w:w w:val="100"/>
                <w:sz w:val="24"/>
                <w:szCs w:val="24"/>
                <w:lang w:val="en-US" w:eastAsia="zh-CN"/>
              </w:rPr>
              <w:t>7</w:t>
            </w:r>
          </w:p>
        </w:tc>
        <w:tc>
          <w:tcPr>
            <w:tcW w:w="2282" w:type="dxa"/>
            <w:tcMar>
              <w:top w:w="113" w:type="dxa"/>
              <w:left w:w="170" w:type="dxa"/>
              <w:bottom w:w="0" w:type="dxa"/>
              <w:right w:w="0" w:type="dxa"/>
            </w:tcMar>
            <w:vAlign w:val="center"/>
          </w:tcPr>
          <w:p>
            <w:pPr>
              <w:pStyle w:val="98"/>
              <w:keepNext w:val="0"/>
              <w:keepLines w:val="0"/>
              <w:pageBreakBefore w:val="0"/>
              <w:widowControl w:val="0"/>
              <w:kinsoku/>
              <w:wordWrap/>
              <w:overflowPunct/>
              <w:topLinePunct w:val="0"/>
              <w:autoSpaceDE/>
              <w:autoSpaceDN/>
              <w:bidi w:val="0"/>
              <w:adjustRightInd/>
              <w:snapToGrid/>
              <w:spacing w:before="48" w:line="410" w:lineRule="exact"/>
              <w:ind w:left="64" w:leftChars="0"/>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落实政府采购政策需满足的资格要求</w:t>
            </w:r>
          </w:p>
        </w:tc>
        <w:tc>
          <w:tcPr>
            <w:tcW w:w="6338" w:type="dxa"/>
            <w:tcMar>
              <w:top w:w="113" w:type="dxa"/>
              <w:left w:w="170" w:type="dxa"/>
              <w:bottom w:w="0" w:type="dxa"/>
              <w:right w:w="0" w:type="dxa"/>
            </w:tcMar>
            <w:vAlign w:val="center"/>
          </w:tcPr>
          <w:p>
            <w:pPr>
              <w:pStyle w:val="98"/>
              <w:keepNext w:val="0"/>
              <w:keepLines w:val="0"/>
              <w:pageBreakBefore w:val="0"/>
              <w:widowControl w:val="0"/>
              <w:kinsoku/>
              <w:wordWrap/>
              <w:overflowPunct/>
              <w:topLinePunct w:val="0"/>
              <w:autoSpaceDE/>
              <w:autoSpaceDN/>
              <w:bidi w:val="0"/>
              <w:adjustRightInd/>
              <w:snapToGrid/>
              <w:spacing w:before="48" w:line="410" w:lineRule="exact"/>
              <w:textAlignment w:val="auto"/>
              <w:rPr>
                <w:rFonts w:hint="eastAsia" w:ascii="宋体" w:hAnsi="宋体" w:eastAsia="宋体" w:cs="宋体"/>
                <w:b w:val="0"/>
                <w:bCs w:val="0"/>
                <w:spacing w:val="0"/>
                <w:w w:val="100"/>
                <w:sz w:val="24"/>
                <w:szCs w:val="24"/>
                <w:highlight w:val="none"/>
                <w:lang w:eastAsia="zh-CN"/>
              </w:rPr>
            </w:pPr>
            <w:r>
              <w:rPr>
                <w:rFonts w:hint="eastAsia" w:ascii="宋体" w:hAnsi="宋体" w:eastAsia="宋体" w:cs="Times New Roman"/>
                <w:b/>
                <w:bCs/>
                <w:color w:val="auto"/>
                <w:kern w:val="2"/>
                <w:sz w:val="24"/>
                <w:szCs w:val="22"/>
                <w:highlight w:val="none"/>
                <w:lang w:val="en-US" w:eastAsia="zh-CN" w:bidi="ar-SA"/>
              </w:rPr>
              <w:t>本项目专门面向中小企业</w:t>
            </w:r>
            <w:r>
              <w:rPr>
                <w:rFonts w:hint="eastAsia" w:cs="Times New Roman"/>
                <w:b/>
                <w:bCs/>
                <w:color w:val="auto"/>
                <w:kern w:val="2"/>
                <w:sz w:val="24"/>
                <w:szCs w:val="22"/>
                <w:highlight w:val="none"/>
                <w:lang w:val="en-US" w:eastAsia="zh-CN" w:bidi="ar-SA"/>
              </w:rPr>
              <w:t>，</w:t>
            </w:r>
            <w:r>
              <w:rPr>
                <w:rFonts w:hint="eastAsia" w:ascii="宋体" w:cs="宋体"/>
                <w:b/>
                <w:bCs/>
                <w:color w:val="auto"/>
                <w:sz w:val="24"/>
                <w:highlight w:val="none"/>
                <w:lang w:val="en-US" w:eastAsia="zh-CN"/>
              </w:rPr>
              <w:t>要求</w:t>
            </w:r>
            <w:r>
              <w:rPr>
                <w:rFonts w:hint="eastAsia" w:cs="宋体"/>
                <w:b/>
                <w:bCs/>
                <w:color w:val="auto"/>
                <w:sz w:val="24"/>
                <w:highlight w:val="none"/>
                <w:lang w:val="en-US" w:eastAsia="zh-CN"/>
              </w:rPr>
              <w:t>供应商</w:t>
            </w:r>
            <w:r>
              <w:rPr>
                <w:rFonts w:hint="eastAsia" w:cs="Times New Roman"/>
                <w:b/>
                <w:bCs/>
                <w:color w:val="auto"/>
                <w:kern w:val="2"/>
                <w:sz w:val="24"/>
                <w:szCs w:val="22"/>
                <w:highlight w:val="none"/>
                <w:lang w:val="en-US" w:eastAsia="zh-CN" w:bidi="ar-SA"/>
              </w:rPr>
              <w:t>提供货物制造商的相应《中小企业声明函》，格式见附件A</w:t>
            </w:r>
            <w:r>
              <w:rPr>
                <w:rFonts w:hint="eastAsia" w:ascii="宋体" w:hAnsi="宋体" w:eastAsia="宋体" w:cs="Times New Roman"/>
                <w:b/>
                <w:bCs/>
                <w:color w:val="auto"/>
                <w:kern w:val="2"/>
                <w:sz w:val="24"/>
                <w:szCs w:val="22"/>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3" w:hRule="atLeast"/>
        </w:trPr>
        <w:tc>
          <w:tcPr>
            <w:tcW w:w="578" w:type="dxa"/>
            <w:shd w:val="clear" w:color="auto" w:fill="auto"/>
            <w:tcMar>
              <w:top w:w="113" w:type="dxa"/>
              <w:left w:w="170" w:type="dxa"/>
              <w:bottom w:w="0" w:type="dxa"/>
              <w:right w:w="0" w:type="dxa"/>
            </w:tcMar>
            <w:vAlign w:val="center"/>
          </w:tcPr>
          <w:p>
            <w:pPr>
              <w:pStyle w:val="98"/>
              <w:keepNext w:val="0"/>
              <w:keepLines w:val="0"/>
              <w:pageBreakBefore w:val="0"/>
              <w:kinsoku/>
              <w:wordWrap/>
              <w:overflowPunct/>
              <w:topLinePunct w:val="0"/>
              <w:bidi w:val="0"/>
              <w:spacing w:line="410" w:lineRule="exact"/>
              <w:ind w:right="146" w:rightChars="0"/>
              <w:jc w:val="center"/>
              <w:textAlignment w:val="auto"/>
              <w:rPr>
                <w:rFonts w:hint="eastAsia" w:ascii="宋体" w:hAnsi="宋体" w:eastAsia="宋体" w:cs="宋体"/>
                <w:spacing w:val="0"/>
                <w:w w:val="100"/>
                <w:sz w:val="24"/>
                <w:szCs w:val="24"/>
                <w:lang w:val="en-US" w:eastAsia="zh-CN"/>
              </w:rPr>
            </w:pPr>
            <w:r>
              <w:rPr>
                <w:rFonts w:hint="eastAsia" w:cs="宋体"/>
                <w:spacing w:val="0"/>
                <w:w w:val="100"/>
                <w:sz w:val="24"/>
                <w:szCs w:val="24"/>
                <w:lang w:val="en-US" w:eastAsia="zh-CN"/>
              </w:rPr>
              <w:t>8</w:t>
            </w:r>
          </w:p>
        </w:tc>
        <w:tc>
          <w:tcPr>
            <w:tcW w:w="2282" w:type="dxa"/>
            <w:shd w:val="clear" w:color="auto" w:fill="auto"/>
            <w:tcMar>
              <w:top w:w="113" w:type="dxa"/>
              <w:left w:w="170" w:type="dxa"/>
              <w:bottom w:w="0" w:type="dxa"/>
              <w:right w:w="0" w:type="dxa"/>
            </w:tcMar>
            <w:vAlign w:val="center"/>
          </w:tcPr>
          <w:p>
            <w:pPr>
              <w:pStyle w:val="98"/>
              <w:keepNext w:val="0"/>
              <w:keepLines w:val="0"/>
              <w:pageBreakBefore w:val="0"/>
              <w:widowControl w:val="0"/>
              <w:kinsoku/>
              <w:wordWrap/>
              <w:overflowPunct/>
              <w:topLinePunct w:val="0"/>
              <w:autoSpaceDE/>
              <w:autoSpaceDN/>
              <w:bidi w:val="0"/>
              <w:adjustRightInd/>
              <w:snapToGrid/>
              <w:spacing w:line="410" w:lineRule="exact"/>
              <w:ind w:right="146" w:rightChars="0"/>
              <w:textAlignment w:val="auto"/>
              <w:rPr>
                <w:rFonts w:hint="eastAsia" w:ascii="宋体" w:hAnsi="宋体" w:eastAsia="宋体" w:cs="宋体"/>
                <w:spacing w:val="0"/>
                <w:w w:val="100"/>
                <w:kern w:val="2"/>
                <w:sz w:val="24"/>
                <w:szCs w:val="24"/>
                <w:lang w:val="en-US" w:eastAsia="zh-CN" w:bidi="ar-SA"/>
              </w:rPr>
            </w:pPr>
            <w:r>
              <w:rPr>
                <w:rFonts w:hint="eastAsia" w:ascii="宋体" w:hAnsi="宋体" w:eastAsia="宋体" w:cs="宋体"/>
                <w:spacing w:val="0"/>
                <w:w w:val="100"/>
                <w:sz w:val="24"/>
                <w:szCs w:val="24"/>
              </w:rPr>
              <w:t>必须符合法律、行政法规规定的其他条件</w:t>
            </w:r>
          </w:p>
        </w:tc>
        <w:tc>
          <w:tcPr>
            <w:tcW w:w="6338" w:type="dxa"/>
            <w:shd w:val="clear" w:color="auto" w:fill="auto"/>
            <w:tcMar>
              <w:top w:w="113" w:type="dxa"/>
              <w:left w:w="170" w:type="dxa"/>
              <w:bottom w:w="0" w:type="dxa"/>
              <w:right w:w="0" w:type="dxa"/>
            </w:tcMar>
            <w:vAlign w:val="center"/>
          </w:tcPr>
          <w:p>
            <w:pPr>
              <w:pStyle w:val="98"/>
              <w:keepNext w:val="0"/>
              <w:keepLines w:val="0"/>
              <w:pageBreakBefore w:val="0"/>
              <w:widowControl w:val="0"/>
              <w:kinsoku/>
              <w:wordWrap/>
              <w:overflowPunct/>
              <w:topLinePunct w:val="0"/>
              <w:autoSpaceDE/>
              <w:autoSpaceDN/>
              <w:bidi w:val="0"/>
              <w:adjustRightInd/>
              <w:snapToGrid/>
              <w:spacing w:before="48" w:line="410" w:lineRule="exact"/>
              <w:ind w:right="63"/>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1.单位负责人为同一人或者存在直接控股、管理关系的不同供应商，不得同时参加本项目投标。</w:t>
            </w:r>
          </w:p>
          <w:p>
            <w:pPr>
              <w:pStyle w:val="98"/>
              <w:keepNext w:val="0"/>
              <w:keepLines w:val="0"/>
              <w:pageBreakBefore w:val="0"/>
              <w:widowControl w:val="0"/>
              <w:kinsoku/>
              <w:wordWrap/>
              <w:overflowPunct/>
              <w:topLinePunct w:val="0"/>
              <w:autoSpaceDE/>
              <w:autoSpaceDN/>
              <w:bidi w:val="0"/>
              <w:adjustRightInd/>
              <w:snapToGrid/>
              <w:spacing w:before="48" w:line="410" w:lineRule="exact"/>
              <w:ind w:right="63"/>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2.为本项目提供整体设计、规范编制或者项目管理、监理、检测等服务的供应商，不得再参与本项目投标。</w:t>
            </w:r>
          </w:p>
          <w:p>
            <w:pPr>
              <w:pStyle w:val="98"/>
              <w:keepNext w:val="0"/>
              <w:keepLines w:val="0"/>
              <w:pageBreakBefore w:val="0"/>
              <w:widowControl w:val="0"/>
              <w:kinsoku/>
              <w:wordWrap/>
              <w:overflowPunct/>
              <w:topLinePunct w:val="0"/>
              <w:autoSpaceDE/>
              <w:autoSpaceDN/>
              <w:bidi w:val="0"/>
              <w:adjustRightInd/>
              <w:snapToGrid/>
              <w:spacing w:before="48" w:line="410" w:lineRule="exact"/>
              <w:ind w:right="63" w:rightChars="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3.投标（报价）</w:t>
            </w:r>
            <w:r>
              <w:rPr>
                <w:rFonts w:hint="eastAsia" w:ascii="宋体" w:hAnsi="宋体" w:eastAsia="宋体" w:cs="宋体"/>
                <w:spacing w:val="0"/>
                <w:w w:val="100"/>
                <w:sz w:val="24"/>
                <w:szCs w:val="24"/>
                <w:lang w:eastAsia="zh-CN"/>
              </w:rPr>
              <w:t>文件</w:t>
            </w:r>
            <w:r>
              <w:rPr>
                <w:rFonts w:hint="eastAsia" w:ascii="宋体" w:hAnsi="宋体" w:eastAsia="宋体" w:cs="宋体"/>
                <w:spacing w:val="0"/>
                <w:w w:val="100"/>
                <w:sz w:val="24"/>
                <w:szCs w:val="24"/>
              </w:rPr>
              <w:t>相关承诺要求内容。</w:t>
            </w:r>
          </w:p>
          <w:p>
            <w:pPr>
              <w:pStyle w:val="98"/>
              <w:keepNext w:val="0"/>
              <w:keepLines w:val="0"/>
              <w:pageBreakBefore w:val="0"/>
              <w:widowControl w:val="0"/>
              <w:kinsoku/>
              <w:wordWrap/>
              <w:overflowPunct/>
              <w:topLinePunct w:val="0"/>
              <w:autoSpaceDE/>
              <w:autoSpaceDN/>
              <w:bidi w:val="0"/>
              <w:adjustRightInd/>
              <w:snapToGrid/>
              <w:spacing w:before="48" w:line="410" w:lineRule="exact"/>
              <w:ind w:right="63" w:rightChars="0"/>
              <w:textAlignment w:val="auto"/>
              <w:rPr>
                <w:rFonts w:hint="eastAsia" w:ascii="宋体" w:hAnsi="宋体" w:eastAsia="宋体" w:cs="宋体"/>
                <w:spacing w:val="0"/>
                <w:w w:val="100"/>
                <w:kern w:val="2"/>
                <w:sz w:val="24"/>
                <w:szCs w:val="24"/>
                <w:lang w:val="en-US" w:eastAsia="zh-CN" w:bidi="ar-SA"/>
              </w:rPr>
            </w:pPr>
            <w:r>
              <w:rPr>
                <w:rFonts w:hint="eastAsia" w:ascii="宋体" w:hAnsi="宋体" w:eastAsia="宋体" w:cs="宋体"/>
                <w:spacing w:val="0"/>
                <w:w w:val="100"/>
                <w:sz w:val="24"/>
                <w:szCs w:val="24"/>
              </w:rPr>
              <w:t>（以联合体形式投标时，联合体各方均须满足该条款）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trPr>
        <w:tc>
          <w:tcPr>
            <w:tcW w:w="578" w:type="dxa"/>
            <w:tcMar>
              <w:top w:w="113" w:type="dxa"/>
              <w:left w:w="170" w:type="dxa"/>
              <w:bottom w:w="0" w:type="dxa"/>
              <w:right w:w="0" w:type="dxa"/>
            </w:tcMar>
            <w:vAlign w:val="center"/>
          </w:tcPr>
          <w:p>
            <w:pPr>
              <w:pStyle w:val="98"/>
              <w:keepNext w:val="0"/>
              <w:keepLines w:val="0"/>
              <w:pageBreakBefore w:val="0"/>
              <w:kinsoku/>
              <w:wordWrap/>
              <w:overflowPunct/>
              <w:topLinePunct w:val="0"/>
              <w:bidi w:val="0"/>
              <w:spacing w:line="410" w:lineRule="exact"/>
              <w:ind w:right="146" w:rightChars="0"/>
              <w:jc w:val="center"/>
              <w:textAlignment w:val="auto"/>
              <w:rPr>
                <w:rFonts w:hint="default" w:ascii="宋体" w:hAnsi="宋体" w:eastAsia="宋体" w:cs="宋体"/>
                <w:spacing w:val="0"/>
                <w:w w:val="100"/>
                <w:sz w:val="24"/>
                <w:szCs w:val="24"/>
                <w:lang w:val="en-US" w:eastAsia="zh-CN"/>
              </w:rPr>
            </w:pPr>
            <w:r>
              <w:rPr>
                <w:rFonts w:hint="eastAsia" w:cs="宋体"/>
                <w:spacing w:val="0"/>
                <w:w w:val="100"/>
                <w:sz w:val="24"/>
                <w:szCs w:val="24"/>
                <w:lang w:val="en-US" w:eastAsia="zh-CN"/>
              </w:rPr>
              <w:t>9</w:t>
            </w:r>
          </w:p>
        </w:tc>
        <w:tc>
          <w:tcPr>
            <w:tcW w:w="2282" w:type="dxa"/>
            <w:tcMar>
              <w:top w:w="113" w:type="dxa"/>
              <w:left w:w="170" w:type="dxa"/>
              <w:bottom w:w="0" w:type="dxa"/>
              <w:right w:w="0" w:type="dxa"/>
            </w:tcMar>
            <w:vAlign w:val="center"/>
          </w:tcPr>
          <w:p>
            <w:pPr>
              <w:pStyle w:val="98"/>
              <w:keepNext w:val="0"/>
              <w:keepLines w:val="0"/>
              <w:pageBreakBefore w:val="0"/>
              <w:widowControl w:val="0"/>
              <w:kinsoku/>
              <w:wordWrap/>
              <w:overflowPunct/>
              <w:topLinePunct w:val="0"/>
              <w:autoSpaceDE/>
              <w:autoSpaceDN/>
              <w:bidi w:val="0"/>
              <w:adjustRightInd/>
              <w:snapToGrid/>
              <w:spacing w:line="410" w:lineRule="exact"/>
              <w:ind w:right="146" w:rightChars="0"/>
              <w:textAlignment w:val="auto"/>
              <w:rPr>
                <w:rFonts w:hint="eastAsia" w:ascii="宋体" w:hAnsi="宋体" w:eastAsia="宋体" w:cs="宋体"/>
                <w:spacing w:val="0"/>
                <w:w w:val="100"/>
                <w:kern w:val="2"/>
                <w:sz w:val="24"/>
                <w:szCs w:val="24"/>
                <w:lang w:val="en-US" w:eastAsia="zh-CN" w:bidi="ar-SA"/>
              </w:rPr>
            </w:pPr>
            <w:r>
              <w:rPr>
                <w:rFonts w:hint="eastAsia" w:ascii="Arial" w:hAnsi="宋体" w:cs="Arial"/>
                <w:color w:val="auto"/>
                <w:sz w:val="24"/>
                <w:highlight w:val="none"/>
              </w:rPr>
              <w:t>投标供应商特定资格条件</w:t>
            </w:r>
          </w:p>
        </w:tc>
        <w:tc>
          <w:tcPr>
            <w:tcW w:w="6338" w:type="dxa"/>
            <w:tcMar>
              <w:top w:w="113" w:type="dxa"/>
              <w:left w:w="170" w:type="dxa"/>
              <w:bottom w:w="0" w:type="dxa"/>
              <w:right w:w="0" w:type="dxa"/>
            </w:tcMar>
            <w:vAlign w:val="center"/>
          </w:tcPr>
          <w:p>
            <w:pPr>
              <w:pStyle w:val="98"/>
              <w:keepNext w:val="0"/>
              <w:keepLines w:val="0"/>
              <w:pageBreakBefore w:val="0"/>
              <w:widowControl w:val="0"/>
              <w:kinsoku/>
              <w:wordWrap/>
              <w:overflowPunct/>
              <w:topLinePunct w:val="0"/>
              <w:autoSpaceDE/>
              <w:autoSpaceDN/>
              <w:bidi w:val="0"/>
              <w:adjustRightInd/>
              <w:snapToGrid/>
              <w:spacing w:before="1" w:line="410" w:lineRule="exact"/>
              <w:textAlignment w:val="auto"/>
              <w:rPr>
                <w:rFonts w:hint="eastAsia" w:ascii="宋体" w:hAnsi="宋体" w:eastAsia="宋体" w:cs="宋体"/>
                <w:spacing w:val="0"/>
                <w:w w:val="100"/>
                <w:kern w:val="2"/>
                <w:sz w:val="24"/>
                <w:szCs w:val="24"/>
                <w:lang w:val="en-US" w:eastAsia="zh-CN" w:bidi="ar-SA"/>
              </w:rPr>
            </w:pPr>
            <w:r>
              <w:rPr>
                <w:rFonts w:hint="eastAsia" w:ascii="Arial" w:hAnsi="宋体" w:cs="Arial"/>
                <w:color w:val="auto"/>
                <w:sz w:val="24"/>
                <w:highlight w:val="none"/>
                <w:lang w:eastAsia="zh-CN"/>
              </w:rPr>
              <w:t>投标供应商</w:t>
            </w:r>
            <w:r>
              <w:rPr>
                <w:rFonts w:hint="eastAsia" w:ascii="Arial" w:hAnsi="宋体" w:cs="Arial"/>
                <w:color w:val="auto"/>
                <w:sz w:val="24"/>
                <w:highlight w:val="none"/>
              </w:rPr>
              <w:t>须经省、自治区、直辖市人民政府出版行政主管部门审核许可，取得</w:t>
            </w:r>
            <w:r>
              <w:rPr>
                <w:rFonts w:hint="eastAsia" w:ascii="Arial" w:hAnsi="宋体" w:cs="Arial"/>
                <w:b/>
                <w:bCs/>
                <w:color w:val="auto"/>
                <w:sz w:val="24"/>
                <w:highlight w:val="none"/>
              </w:rPr>
              <w:t>《出版物经营许可证》</w:t>
            </w:r>
            <w:r>
              <w:rPr>
                <w:rFonts w:hint="eastAsia" w:ascii="Arial" w:hAnsi="宋体" w:cs="Arial"/>
                <w:color w:val="auto"/>
                <w:sz w:val="24"/>
                <w:highlight w:val="none"/>
              </w:rPr>
              <w:t>。</w:t>
            </w:r>
          </w:p>
        </w:tc>
      </w:tr>
    </w:tbl>
    <w:p>
      <w:pPr>
        <w:pStyle w:val="15"/>
        <w:keepNext w:val="0"/>
        <w:keepLines w:val="0"/>
        <w:pageBreakBefore w:val="0"/>
        <w:kinsoku/>
        <w:wordWrap/>
        <w:overflowPunct/>
        <w:topLinePunct w:val="0"/>
        <w:bidi w:val="0"/>
        <w:spacing w:line="410" w:lineRule="exact"/>
        <w:textAlignment w:val="auto"/>
        <w:rPr>
          <w:rFonts w:hint="eastAsia" w:ascii="宋体" w:hAnsi="宋体"/>
          <w:color w:val="auto"/>
          <w:sz w:val="24"/>
          <w:highlight w:val="none"/>
          <w:lang w:val="en-US" w:eastAsia="zh-CN"/>
        </w:rPr>
      </w:pPr>
    </w:p>
    <w:p>
      <w:pPr>
        <w:pStyle w:val="15"/>
        <w:keepNext w:val="0"/>
        <w:keepLines w:val="0"/>
        <w:pageBreakBefore w:val="0"/>
        <w:kinsoku/>
        <w:wordWrap/>
        <w:overflowPunct/>
        <w:topLinePunct w:val="0"/>
        <w:bidi w:val="0"/>
        <w:spacing w:line="410" w:lineRule="exact"/>
        <w:ind w:firstLine="482" w:firstLineChars="200"/>
        <w:textAlignment w:val="auto"/>
        <w:rPr>
          <w:rFonts w:hint="eastAsia" w:eastAsia="宋体"/>
          <w:lang w:val="en-US" w:eastAsia="zh-CN"/>
        </w:rPr>
      </w:pPr>
      <w:r>
        <w:rPr>
          <w:rFonts w:hint="eastAsia" w:ascii="宋体" w:hAnsi="宋体"/>
          <w:b/>
          <w:bCs/>
          <w:color w:val="auto"/>
          <w:sz w:val="24"/>
          <w:highlight w:val="none"/>
          <w:lang w:val="en-US" w:eastAsia="zh-CN"/>
        </w:rPr>
        <w:t>2、符合性审查内容：</w:t>
      </w:r>
      <w:r>
        <w:rPr>
          <w:rFonts w:hint="eastAsia" w:ascii="宋体" w:hAnsi="宋体"/>
          <w:color w:val="auto"/>
          <w:sz w:val="24"/>
          <w:highlight w:val="none"/>
          <w:lang w:val="en-US" w:eastAsia="zh-CN"/>
        </w:rPr>
        <w:t>应当对符合资格的投标人的投标文件进行符合性审查，以确定其是否满足招标文件的实质性要求，对审查发现无效的进行必要的询问，在政采云平台公布无效投标的投标人名单、投标无效的原因。</w:t>
      </w:r>
    </w:p>
    <w:tbl>
      <w:tblPr>
        <w:tblStyle w:val="37"/>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81"/>
        <w:gridCol w:w="6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jc w:val="center"/>
        </w:trPr>
        <w:tc>
          <w:tcPr>
            <w:tcW w:w="2381" w:type="dxa"/>
            <w:tcMar>
              <w:top w:w="113" w:type="dxa"/>
              <w:left w:w="170" w:type="dxa"/>
              <w:bottom w:w="0" w:type="dxa"/>
              <w:right w:w="0" w:type="dxa"/>
            </w:tcMar>
            <w:vAlign w:val="center"/>
          </w:tcPr>
          <w:p>
            <w:pPr>
              <w:pStyle w:val="98"/>
              <w:keepNext w:val="0"/>
              <w:keepLines w:val="0"/>
              <w:pageBreakBefore w:val="0"/>
              <w:kinsoku/>
              <w:wordWrap/>
              <w:overflowPunct/>
              <w:topLinePunct w:val="0"/>
              <w:bidi w:val="0"/>
              <w:spacing w:line="410" w:lineRule="exact"/>
              <w:ind w:right="146"/>
              <w:textAlignment w:val="auto"/>
              <w:rPr>
                <w:sz w:val="24"/>
                <w:szCs w:val="24"/>
              </w:rPr>
            </w:pPr>
            <w:r>
              <w:rPr>
                <w:rFonts w:hint="eastAsia"/>
                <w:sz w:val="24"/>
                <w:szCs w:val="24"/>
              </w:rPr>
              <w:t>投标文件</w:t>
            </w:r>
          </w:p>
        </w:tc>
        <w:tc>
          <w:tcPr>
            <w:tcW w:w="6638" w:type="dxa"/>
            <w:tcMar>
              <w:top w:w="113" w:type="dxa"/>
              <w:left w:w="170" w:type="dxa"/>
              <w:bottom w:w="0" w:type="dxa"/>
              <w:right w:w="0" w:type="dxa"/>
            </w:tcMar>
            <w:vAlign w:val="center"/>
          </w:tcPr>
          <w:p>
            <w:pPr>
              <w:pStyle w:val="98"/>
              <w:keepNext w:val="0"/>
              <w:keepLines w:val="0"/>
              <w:pageBreakBefore w:val="0"/>
              <w:kinsoku/>
              <w:wordWrap/>
              <w:overflowPunct/>
              <w:topLinePunct w:val="0"/>
              <w:bidi w:val="0"/>
              <w:spacing w:before="48" w:line="410" w:lineRule="exact"/>
              <w:textAlignment w:val="auto"/>
              <w:rPr>
                <w:sz w:val="24"/>
                <w:szCs w:val="24"/>
              </w:rPr>
            </w:pPr>
            <w:r>
              <w:rPr>
                <w:rFonts w:hint="eastAsia"/>
                <w:sz w:val="24"/>
                <w:szCs w:val="24"/>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2381" w:type="dxa"/>
            <w:tcMar>
              <w:top w:w="113" w:type="dxa"/>
              <w:left w:w="170" w:type="dxa"/>
              <w:bottom w:w="0" w:type="dxa"/>
              <w:right w:w="0" w:type="dxa"/>
            </w:tcMar>
            <w:vAlign w:val="center"/>
          </w:tcPr>
          <w:p>
            <w:pPr>
              <w:pStyle w:val="98"/>
              <w:keepNext w:val="0"/>
              <w:keepLines w:val="0"/>
              <w:pageBreakBefore w:val="0"/>
              <w:kinsoku/>
              <w:wordWrap/>
              <w:overflowPunct/>
              <w:topLinePunct w:val="0"/>
              <w:bidi w:val="0"/>
              <w:spacing w:line="410" w:lineRule="exact"/>
              <w:ind w:right="146"/>
              <w:textAlignment w:val="auto"/>
              <w:rPr>
                <w:sz w:val="24"/>
                <w:szCs w:val="24"/>
              </w:rPr>
            </w:pPr>
            <w:r>
              <w:rPr>
                <w:rFonts w:hint="eastAsia"/>
                <w:sz w:val="24"/>
                <w:szCs w:val="24"/>
              </w:rPr>
              <w:t>“▲”实质性条款</w:t>
            </w:r>
          </w:p>
        </w:tc>
        <w:tc>
          <w:tcPr>
            <w:tcW w:w="6638" w:type="dxa"/>
            <w:tcMar>
              <w:top w:w="113" w:type="dxa"/>
              <w:left w:w="170" w:type="dxa"/>
              <w:bottom w:w="0" w:type="dxa"/>
              <w:right w:w="0" w:type="dxa"/>
            </w:tcMar>
            <w:vAlign w:val="center"/>
          </w:tcPr>
          <w:p>
            <w:pPr>
              <w:pStyle w:val="98"/>
              <w:keepNext w:val="0"/>
              <w:keepLines w:val="0"/>
              <w:pageBreakBefore w:val="0"/>
              <w:kinsoku/>
              <w:wordWrap/>
              <w:overflowPunct/>
              <w:topLinePunct w:val="0"/>
              <w:bidi w:val="0"/>
              <w:spacing w:before="48" w:line="410" w:lineRule="exact"/>
              <w:textAlignment w:val="auto"/>
              <w:rPr>
                <w:sz w:val="24"/>
                <w:szCs w:val="24"/>
              </w:rPr>
            </w:pPr>
            <w:r>
              <w:rPr>
                <w:rFonts w:hint="eastAsia"/>
                <w:sz w:val="24"/>
                <w:szCs w:val="24"/>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1" w:hRule="atLeast"/>
          <w:jc w:val="center"/>
        </w:trPr>
        <w:tc>
          <w:tcPr>
            <w:tcW w:w="2381" w:type="dxa"/>
            <w:shd w:val="clear" w:color="auto" w:fill="auto"/>
            <w:tcMar>
              <w:top w:w="113" w:type="dxa"/>
              <w:left w:w="170" w:type="dxa"/>
              <w:bottom w:w="0" w:type="dxa"/>
              <w:right w:w="0" w:type="dxa"/>
            </w:tcMar>
            <w:vAlign w:val="center"/>
          </w:tcPr>
          <w:p>
            <w:pPr>
              <w:pStyle w:val="98"/>
              <w:keepNext w:val="0"/>
              <w:keepLines w:val="0"/>
              <w:pageBreakBefore w:val="0"/>
              <w:kinsoku/>
              <w:wordWrap/>
              <w:overflowPunct/>
              <w:topLinePunct w:val="0"/>
              <w:bidi w:val="0"/>
              <w:spacing w:line="410" w:lineRule="exact"/>
              <w:ind w:right="146"/>
              <w:textAlignment w:val="auto"/>
              <w:rPr>
                <w:sz w:val="24"/>
                <w:szCs w:val="24"/>
              </w:rPr>
            </w:pPr>
            <w:r>
              <w:rPr>
                <w:rFonts w:hint="eastAsia"/>
                <w:sz w:val="24"/>
                <w:szCs w:val="24"/>
              </w:rPr>
              <w:t>串通投标</w:t>
            </w:r>
          </w:p>
        </w:tc>
        <w:tc>
          <w:tcPr>
            <w:tcW w:w="6638" w:type="dxa"/>
            <w:shd w:val="clear" w:color="auto" w:fill="auto"/>
            <w:tcMar>
              <w:top w:w="113" w:type="dxa"/>
              <w:left w:w="170" w:type="dxa"/>
              <w:bottom w:w="0" w:type="dxa"/>
              <w:right w:w="0" w:type="dxa"/>
            </w:tcMar>
            <w:vAlign w:val="center"/>
          </w:tcPr>
          <w:p>
            <w:pPr>
              <w:pStyle w:val="98"/>
              <w:keepNext w:val="0"/>
              <w:keepLines w:val="0"/>
              <w:pageBreakBefore w:val="0"/>
              <w:kinsoku/>
              <w:wordWrap/>
              <w:overflowPunct/>
              <w:topLinePunct w:val="0"/>
              <w:bidi w:val="0"/>
              <w:spacing w:before="48" w:line="410" w:lineRule="exact"/>
              <w:textAlignment w:val="auto"/>
              <w:rPr>
                <w:sz w:val="24"/>
                <w:szCs w:val="24"/>
              </w:rPr>
            </w:pPr>
            <w:r>
              <w:rPr>
                <w:rFonts w:hint="eastAsia"/>
                <w:sz w:val="24"/>
                <w:szCs w:val="24"/>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2381" w:type="dxa"/>
            <w:tcMar>
              <w:top w:w="113" w:type="dxa"/>
              <w:left w:w="170" w:type="dxa"/>
              <w:bottom w:w="0" w:type="dxa"/>
              <w:right w:w="0" w:type="dxa"/>
            </w:tcMar>
            <w:vAlign w:val="center"/>
          </w:tcPr>
          <w:p>
            <w:pPr>
              <w:pStyle w:val="98"/>
              <w:keepNext w:val="0"/>
              <w:keepLines w:val="0"/>
              <w:pageBreakBefore w:val="0"/>
              <w:kinsoku/>
              <w:wordWrap/>
              <w:overflowPunct/>
              <w:topLinePunct w:val="0"/>
              <w:bidi w:val="0"/>
              <w:spacing w:line="410" w:lineRule="exact"/>
              <w:ind w:right="146"/>
              <w:textAlignment w:val="auto"/>
              <w:rPr>
                <w:sz w:val="24"/>
                <w:szCs w:val="24"/>
              </w:rPr>
            </w:pPr>
            <w:r>
              <w:rPr>
                <w:rFonts w:hint="eastAsia"/>
                <w:sz w:val="24"/>
                <w:szCs w:val="24"/>
              </w:rPr>
              <w:t>附加条件</w:t>
            </w:r>
          </w:p>
        </w:tc>
        <w:tc>
          <w:tcPr>
            <w:tcW w:w="6638" w:type="dxa"/>
            <w:tcMar>
              <w:top w:w="113" w:type="dxa"/>
              <w:left w:w="170" w:type="dxa"/>
              <w:bottom w:w="0" w:type="dxa"/>
              <w:right w:w="0" w:type="dxa"/>
            </w:tcMar>
            <w:vAlign w:val="center"/>
          </w:tcPr>
          <w:p>
            <w:pPr>
              <w:pStyle w:val="98"/>
              <w:keepNext w:val="0"/>
              <w:keepLines w:val="0"/>
              <w:pageBreakBefore w:val="0"/>
              <w:kinsoku/>
              <w:wordWrap/>
              <w:overflowPunct/>
              <w:topLinePunct w:val="0"/>
              <w:bidi w:val="0"/>
              <w:spacing w:before="48" w:line="410" w:lineRule="exact"/>
              <w:textAlignment w:val="auto"/>
              <w:rPr>
                <w:sz w:val="24"/>
                <w:szCs w:val="24"/>
              </w:rPr>
            </w:pPr>
            <w:r>
              <w:rPr>
                <w:rFonts w:hint="eastAsia"/>
                <w:sz w:val="24"/>
                <w:szCs w:val="24"/>
              </w:rPr>
              <w:t>投标文件未含有采购人不可接受的附加条件。</w:t>
            </w:r>
          </w:p>
        </w:tc>
      </w:tr>
    </w:tbl>
    <w:p>
      <w:pPr>
        <w:keepNext w:val="0"/>
        <w:keepLines w:val="0"/>
        <w:pageBreakBefore w:val="0"/>
        <w:numPr>
          <w:ilvl w:val="0"/>
          <w:numId w:val="0"/>
        </w:numPr>
        <w:kinsoku/>
        <w:wordWrap/>
        <w:overflowPunct/>
        <w:topLinePunct w:val="0"/>
        <w:autoSpaceDE w:val="0"/>
        <w:autoSpaceDN w:val="0"/>
        <w:bidi w:val="0"/>
        <w:spacing w:line="410" w:lineRule="exact"/>
        <w:ind w:firstLine="482" w:firstLineChars="200"/>
        <w:textAlignment w:val="auto"/>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三、</w:t>
      </w:r>
      <w:r>
        <w:rPr>
          <w:rFonts w:hint="eastAsia" w:ascii="宋体" w:hAnsi="宋体"/>
          <w:b/>
          <w:bCs/>
          <w:color w:val="auto"/>
          <w:sz w:val="24"/>
          <w:szCs w:val="22"/>
          <w:highlight w:val="none"/>
        </w:rPr>
        <w:t>评标细则</w:t>
      </w:r>
    </w:p>
    <w:p>
      <w:pPr>
        <w:keepNext w:val="0"/>
        <w:keepLines w:val="0"/>
        <w:pageBreakBefore w:val="0"/>
        <w:kinsoku/>
        <w:wordWrap/>
        <w:overflowPunct/>
        <w:topLinePunct w:val="0"/>
        <w:autoSpaceDE w:val="0"/>
        <w:autoSpaceDN w:val="0"/>
        <w:bidi w:val="0"/>
        <w:spacing w:line="41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评标委员会以审标、询标为基础依据，对投标文件及投标人分别进行分析评议，综合评审意见，对初步评审合格的投标文件，根据投标报价的高低排定顺序，推荐投标报价最低者为预中标人，如遇投标报价有两个或两个以上相同且同为最低报价的，按照供应商解密响应文件先后顺序，解密时间最早者为中标候选人。投标报价超过预算价或最高限价的，不推荐为中标候选人。</w:t>
      </w:r>
    </w:p>
    <w:p>
      <w:pPr>
        <w:keepNext w:val="0"/>
        <w:keepLines w:val="0"/>
        <w:pageBreakBefore w:val="0"/>
        <w:kinsoku/>
        <w:wordWrap/>
        <w:overflowPunct/>
        <w:topLinePunct w:val="0"/>
        <w:autoSpaceDE w:val="0"/>
        <w:autoSpaceDN w:val="0"/>
        <w:bidi w:val="0"/>
        <w:spacing w:line="410" w:lineRule="exact"/>
        <w:ind w:firstLine="482" w:firstLineChars="200"/>
        <w:textAlignment w:val="auto"/>
        <w:rPr>
          <w:rFonts w:ascii="宋体" w:hAnsi="宋体"/>
          <w:b/>
          <w:bCs/>
          <w:color w:val="auto"/>
          <w:sz w:val="24"/>
          <w:szCs w:val="22"/>
          <w:highlight w:val="none"/>
        </w:rPr>
      </w:pPr>
      <w:bookmarkStart w:id="51" w:name="_Toc297662421"/>
      <w:bookmarkStart w:id="52" w:name="_Toc28590"/>
      <w:bookmarkStart w:id="53" w:name="_Toc4514"/>
      <w:r>
        <w:rPr>
          <w:rFonts w:hint="eastAsia" w:ascii="宋体" w:hAnsi="宋体"/>
          <w:b/>
          <w:bCs/>
          <w:color w:val="auto"/>
          <w:sz w:val="24"/>
          <w:szCs w:val="22"/>
          <w:highlight w:val="none"/>
          <w:lang w:eastAsia="zh-CN"/>
        </w:rPr>
        <w:t>四</w:t>
      </w:r>
      <w:r>
        <w:rPr>
          <w:rFonts w:hint="eastAsia" w:ascii="宋体" w:hAnsi="宋体"/>
          <w:b/>
          <w:bCs/>
          <w:color w:val="auto"/>
          <w:sz w:val="24"/>
          <w:szCs w:val="22"/>
          <w:highlight w:val="none"/>
        </w:rPr>
        <w:t>、定标办法</w:t>
      </w:r>
      <w:bookmarkEnd w:id="51"/>
      <w:bookmarkEnd w:id="52"/>
      <w:bookmarkEnd w:id="53"/>
    </w:p>
    <w:p>
      <w:pPr>
        <w:keepNext w:val="0"/>
        <w:keepLines w:val="0"/>
        <w:pageBreakBefore w:val="0"/>
        <w:kinsoku/>
        <w:wordWrap/>
        <w:overflowPunct/>
        <w:topLinePunct w:val="0"/>
        <w:autoSpaceDE w:val="0"/>
        <w:autoSpaceDN w:val="0"/>
        <w:bidi w:val="0"/>
        <w:spacing w:line="410" w:lineRule="exact"/>
        <w:ind w:firstLine="480" w:firstLineChars="200"/>
        <w:textAlignment w:val="auto"/>
        <w:rPr>
          <w:rFonts w:hint="eastAsia" w:ascii="宋体" w:hAnsi="宋体"/>
          <w:color w:val="auto"/>
          <w:sz w:val="24"/>
          <w:szCs w:val="22"/>
          <w:highlight w:val="none"/>
        </w:rPr>
      </w:pPr>
      <w:r>
        <w:rPr>
          <w:rFonts w:hint="eastAsia" w:ascii="宋体" w:hAnsi="宋体"/>
          <w:color w:val="auto"/>
          <w:sz w:val="24"/>
          <w:szCs w:val="22"/>
          <w:highlight w:val="none"/>
        </w:rPr>
        <w:t>评标结束后，采购人根据评标委员会提交的评审报告和推荐意见，对进入候选的投标人进行最终审查。终审后根据推荐的候选中标单位情况确定中标单位。</w:t>
      </w:r>
    </w:p>
    <w:p>
      <w:pPr>
        <w:keepNext w:val="0"/>
        <w:keepLines w:val="0"/>
        <w:pageBreakBefore w:val="0"/>
        <w:kinsoku/>
        <w:wordWrap/>
        <w:overflowPunct/>
        <w:topLinePunct w:val="0"/>
        <w:autoSpaceDE w:val="0"/>
        <w:autoSpaceDN w:val="0"/>
        <w:bidi w:val="0"/>
        <w:spacing w:line="410" w:lineRule="exact"/>
        <w:ind w:firstLine="480" w:firstLineChars="200"/>
        <w:textAlignment w:val="auto"/>
        <w:rPr>
          <w:rFonts w:ascii="宋体" w:hAnsi="宋体"/>
          <w:color w:val="auto"/>
          <w:sz w:val="24"/>
          <w:szCs w:val="22"/>
          <w:highlight w:val="none"/>
        </w:rPr>
      </w:pPr>
      <w:r>
        <w:rPr>
          <w:rFonts w:hint="eastAsia" w:ascii="宋体" w:hAnsi="宋体"/>
          <w:color w:val="auto"/>
          <w:sz w:val="24"/>
          <w:szCs w:val="22"/>
          <w:highlight w:val="none"/>
        </w:rPr>
        <w:t>整个评标过程应严格保密，评标委员会成员及工作人员应严格遵守纪律，不得泄漏任何评标信息。</w:t>
      </w:r>
    </w:p>
    <w:p>
      <w:pPr>
        <w:keepNext w:val="0"/>
        <w:keepLines w:val="0"/>
        <w:pageBreakBefore w:val="0"/>
        <w:kinsoku/>
        <w:wordWrap/>
        <w:overflowPunct/>
        <w:topLinePunct w:val="0"/>
        <w:autoSpaceDE w:val="0"/>
        <w:autoSpaceDN w:val="0"/>
        <w:bidi w:val="0"/>
        <w:adjustRightInd w:val="0"/>
        <w:spacing w:line="410" w:lineRule="exact"/>
        <w:ind w:firstLine="482" w:firstLineChars="200"/>
        <w:textAlignment w:val="auto"/>
        <w:rPr>
          <w:rFonts w:ascii="宋体"/>
          <w:b/>
          <w:bCs w:val="0"/>
          <w:color w:val="auto"/>
          <w:sz w:val="24"/>
          <w:highlight w:val="none"/>
          <w:lang w:val="zh-CN"/>
        </w:rPr>
      </w:pPr>
      <w:r>
        <w:rPr>
          <w:rFonts w:hint="eastAsia" w:ascii="宋体" w:hAnsi="宋体"/>
          <w:b/>
          <w:bCs w:val="0"/>
          <w:color w:val="auto"/>
          <w:sz w:val="24"/>
          <w:highlight w:val="none"/>
          <w:lang w:eastAsia="zh-CN"/>
        </w:rPr>
        <w:t>五</w:t>
      </w:r>
      <w:r>
        <w:rPr>
          <w:rFonts w:hint="eastAsia" w:ascii="宋体" w:hAnsi="宋体"/>
          <w:b/>
          <w:bCs w:val="0"/>
          <w:color w:val="auto"/>
          <w:sz w:val="24"/>
          <w:highlight w:val="none"/>
        </w:rPr>
        <w:t>、</w:t>
      </w:r>
      <w:r>
        <w:rPr>
          <w:rFonts w:hint="eastAsia" w:ascii="宋体"/>
          <w:b/>
          <w:bCs w:val="0"/>
          <w:color w:val="auto"/>
          <w:sz w:val="24"/>
          <w:highlight w:val="none"/>
          <w:lang w:val="zh-CN"/>
        </w:rPr>
        <w:t>政府采购政策及优惠：</w:t>
      </w:r>
    </w:p>
    <w:p>
      <w:pPr>
        <w:keepNext w:val="0"/>
        <w:keepLines w:val="0"/>
        <w:pageBreakBefore w:val="0"/>
        <w:widowControl/>
        <w:kinsoku/>
        <w:wordWrap/>
        <w:overflowPunct/>
        <w:topLinePunct w:val="0"/>
        <w:autoSpaceDE/>
        <w:autoSpaceDN/>
        <w:bidi w:val="0"/>
        <w:adjustRightInd/>
        <w:snapToGrid/>
        <w:spacing w:line="410" w:lineRule="exact"/>
        <w:jc w:val="left"/>
        <w:textAlignment w:val="auto"/>
        <w:rPr>
          <w:rFonts w:hint="eastAsia" w:ascii="宋体" w:hAnsi="宋体" w:eastAsia="宋体" w:cs="Times New Roman"/>
          <w:color w:val="auto"/>
          <w:kern w:val="2"/>
          <w:sz w:val="24"/>
          <w:szCs w:val="22"/>
          <w:highlight w:val="none"/>
          <w:lang w:val="en-US" w:eastAsia="zh-CN" w:bidi="ar-SA"/>
        </w:rPr>
      </w:pPr>
      <w:r>
        <w:rPr>
          <w:rFonts w:hint="eastAsia" w:ascii="宋体"/>
          <w:color w:val="auto"/>
          <w:sz w:val="24"/>
          <w:highlight w:val="none"/>
          <w:lang w:val="zh-CN"/>
        </w:rPr>
        <w:t>（1）根据财库〔202</w:t>
      </w:r>
      <w:r>
        <w:rPr>
          <w:rFonts w:hint="eastAsia" w:ascii="宋体"/>
          <w:color w:val="auto"/>
          <w:sz w:val="24"/>
          <w:highlight w:val="none"/>
          <w:lang w:val="en-US" w:eastAsia="zh-CN"/>
        </w:rPr>
        <w:t>0</w:t>
      </w:r>
      <w:r>
        <w:rPr>
          <w:rFonts w:hint="eastAsia" w:ascii="宋体"/>
          <w:color w:val="auto"/>
          <w:sz w:val="24"/>
          <w:highlight w:val="none"/>
          <w:lang w:val="zh-CN"/>
        </w:rPr>
        <w:t>〕46号</w:t>
      </w:r>
      <w:r>
        <w:rPr>
          <w:rFonts w:hint="eastAsia" w:ascii="宋体"/>
          <w:color w:val="auto"/>
          <w:sz w:val="24"/>
          <w:highlight w:val="none"/>
          <w:lang w:val="zh-CN" w:eastAsia="zh-CN"/>
        </w:rPr>
        <w:t>、浙财采监</w:t>
      </w:r>
      <w:r>
        <w:rPr>
          <w:rFonts w:hint="eastAsia" w:ascii="宋体"/>
          <w:color w:val="auto"/>
          <w:sz w:val="24"/>
          <w:highlight w:val="none"/>
          <w:lang w:val="zh-CN"/>
        </w:rPr>
        <w:t>〔2023〕</w:t>
      </w:r>
      <w:r>
        <w:rPr>
          <w:rFonts w:hint="eastAsia" w:ascii="宋体"/>
          <w:color w:val="auto"/>
          <w:sz w:val="24"/>
          <w:highlight w:val="none"/>
          <w:lang w:val="en-US" w:eastAsia="zh-CN"/>
        </w:rPr>
        <w:t>8</w:t>
      </w:r>
      <w:r>
        <w:rPr>
          <w:rFonts w:hint="eastAsia" w:ascii="宋体"/>
          <w:color w:val="auto"/>
          <w:sz w:val="24"/>
          <w:highlight w:val="none"/>
          <w:lang w:val="zh-CN"/>
        </w:rPr>
        <w:t>号的相关规定，</w:t>
      </w:r>
      <w:r>
        <w:rPr>
          <w:rFonts w:hint="eastAsia" w:ascii="宋体"/>
          <w:b/>
          <w:bCs/>
          <w:color w:val="auto"/>
          <w:sz w:val="24"/>
          <w:highlight w:val="none"/>
          <w:lang w:val="zh-CN" w:eastAsia="zh-CN"/>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r>
        <w:rPr>
          <w:rFonts w:hint="eastAsia" w:ascii="宋体"/>
          <w:color w:val="auto"/>
          <w:sz w:val="24"/>
          <w:highlight w:val="none"/>
          <w:lang w:val="zh-CN"/>
        </w:rPr>
        <w:t>在评审时对符合本办法规定的小微企业报价给予</w:t>
      </w:r>
      <w:r>
        <w:rPr>
          <w:rFonts w:hint="eastAsia" w:ascii="宋体"/>
          <w:color w:val="auto"/>
          <w:sz w:val="24"/>
          <w:highlight w:val="none"/>
          <w:u w:val="single"/>
          <w:lang w:val="zh-CN"/>
        </w:rPr>
        <w:t>（</w:t>
      </w:r>
      <w:r>
        <w:rPr>
          <w:rFonts w:hint="eastAsia" w:ascii="宋体"/>
          <w:color w:val="auto"/>
          <w:sz w:val="24"/>
          <w:highlight w:val="none"/>
          <w:u w:val="single"/>
          <w:lang w:val="en-US" w:eastAsia="zh-CN"/>
        </w:rPr>
        <w:t>20</w:t>
      </w:r>
      <w:r>
        <w:rPr>
          <w:rFonts w:hint="eastAsia" w:ascii="宋体"/>
          <w:color w:val="auto"/>
          <w:sz w:val="24"/>
          <w:highlight w:val="none"/>
          <w:u w:val="single"/>
          <w:lang w:val="zh-CN"/>
        </w:rPr>
        <w:t>%）</w:t>
      </w:r>
      <w:r>
        <w:rPr>
          <w:rFonts w:hint="eastAsia" w:ascii="宋体"/>
          <w:color w:val="auto"/>
          <w:sz w:val="24"/>
          <w:highlight w:val="none"/>
          <w:lang w:val="zh-CN"/>
        </w:rPr>
        <w:t>的扣除，取扣除后的价格作为最终投标报价（此最终投标报价仅作为价格分计算）。中小企业参加政府采购活动，</w:t>
      </w:r>
      <w:r>
        <w:rPr>
          <w:rFonts w:hint="eastAsia" w:ascii="宋体"/>
          <w:b/>
          <w:bCs/>
          <w:color w:val="auto"/>
          <w:sz w:val="24"/>
          <w:highlight w:val="none"/>
          <w:lang w:val="zh-CN"/>
        </w:rPr>
        <w:t>投标文件中投标人必须提供《中小企业声明函》</w:t>
      </w:r>
      <w:r>
        <w:rPr>
          <w:rFonts w:hint="eastAsia" w:ascii="宋体"/>
          <w:color w:val="auto"/>
          <w:sz w:val="24"/>
          <w:highlight w:val="none"/>
          <w:lang w:val="zh-CN"/>
        </w:rPr>
        <w:t>，否则不得享受相关中小企业扶持政策。</w:t>
      </w:r>
      <w:r>
        <w:rPr>
          <w:rFonts w:hint="eastAsia" w:ascii="宋体" w:hAnsi="宋体" w:eastAsia="宋体" w:cs="Times New Roman"/>
          <w:color w:val="auto"/>
          <w:kern w:val="2"/>
          <w:sz w:val="24"/>
          <w:szCs w:val="22"/>
          <w:highlight w:val="none"/>
          <w:lang w:val="en-US" w:eastAsia="zh-CN" w:bidi="ar-SA"/>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eastAsia="宋体" w:cs="Times New Roman"/>
          <w:color w:val="auto"/>
          <w:kern w:val="2"/>
          <w:sz w:val="24"/>
          <w:szCs w:val="22"/>
          <w:highlight w:val="none"/>
          <w:u w:val="single"/>
          <w:lang w:val="en-US" w:eastAsia="zh-CN" w:bidi="ar-SA"/>
        </w:rPr>
        <w:t xml:space="preserve">  6%  </w:t>
      </w:r>
      <w:r>
        <w:rPr>
          <w:rFonts w:hint="eastAsia" w:ascii="宋体" w:hAnsi="宋体" w:eastAsia="宋体" w:cs="Times New Roman"/>
          <w:color w:val="auto"/>
          <w:kern w:val="2"/>
          <w:sz w:val="24"/>
          <w:szCs w:val="22"/>
          <w:highlight w:val="none"/>
          <w:lang w:val="en-US" w:eastAsia="zh-CN" w:bidi="ar-SA"/>
        </w:rPr>
        <w:t>（工程项目为（2%））的扣除，用扣除后的价格参加评审。</w:t>
      </w:r>
    </w:p>
    <w:p>
      <w:pPr>
        <w:keepNext w:val="0"/>
        <w:keepLines w:val="0"/>
        <w:pageBreakBefore w:val="0"/>
        <w:widowControl/>
        <w:kinsoku/>
        <w:wordWrap/>
        <w:overflowPunct/>
        <w:topLinePunct w:val="0"/>
        <w:autoSpaceDE/>
        <w:autoSpaceDN/>
        <w:bidi w:val="0"/>
        <w:adjustRightInd/>
        <w:snapToGrid/>
        <w:spacing w:line="410" w:lineRule="exact"/>
        <w:jc w:val="left"/>
        <w:textAlignment w:val="auto"/>
        <w:rPr>
          <w:rFonts w:hint="eastAsia" w:ascii="宋体"/>
          <w:color w:val="auto"/>
          <w:sz w:val="24"/>
          <w:highlight w:val="none"/>
          <w:lang w:val="zh-CN"/>
        </w:rPr>
      </w:pPr>
      <w:r>
        <w:rPr>
          <w:rFonts w:hint="eastAsia" w:ascii="宋体" w:hAnsi="宋体" w:eastAsia="宋体" w:cs="Times New Roman"/>
          <w:color w:val="auto"/>
          <w:kern w:val="2"/>
          <w:sz w:val="24"/>
          <w:szCs w:val="22"/>
          <w:highlight w:val="none"/>
          <w:lang w:val="en-US" w:eastAsia="zh-CN" w:bidi="ar-SA"/>
        </w:rPr>
        <w:t>组成联合体或者接受分包 的小微企业与联合体内其他企业、分包企业之间存在直接控 股、管理关系的，不享受价格扣除优惠政策。</w:t>
      </w:r>
    </w:p>
    <w:p>
      <w:pPr>
        <w:keepNext w:val="0"/>
        <w:keepLines w:val="0"/>
        <w:pageBreakBefore w:val="0"/>
        <w:kinsoku/>
        <w:wordWrap/>
        <w:overflowPunct/>
        <w:topLinePunct w:val="0"/>
        <w:bidi w:val="0"/>
        <w:spacing w:line="410" w:lineRule="exact"/>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color w:val="auto"/>
          <w:sz w:val="24"/>
          <w:highlight w:val="none"/>
          <w:lang w:val="zh-CN"/>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r>
        <w:rPr>
          <w:rFonts w:hint="eastAsia" w:ascii="宋体" w:hAnsi="宋体" w:eastAsia="宋体" w:cs="宋体"/>
          <w:b w:val="0"/>
          <w:bCs w:val="0"/>
          <w:color w:val="auto"/>
          <w:sz w:val="24"/>
          <w:szCs w:val="32"/>
          <w:highlight w:val="none"/>
          <w:lang w:val="zh-CN"/>
        </w:rPr>
        <w:t>享受政府采购支持政策的残疾人福利性单位应当同时满足以下条件：</w:t>
      </w:r>
    </w:p>
    <w:p>
      <w:pPr>
        <w:keepNext w:val="0"/>
        <w:keepLines w:val="0"/>
        <w:pageBreakBefore w:val="0"/>
        <w:kinsoku/>
        <w:wordWrap/>
        <w:overflowPunct/>
        <w:topLinePunct w:val="0"/>
        <w:bidi w:val="0"/>
        <w:spacing w:line="410" w:lineRule="exact"/>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①安置的残疾人占本单位在职职工人数的比例不低于25%（含25%），并且安置的残疾人人数不少于10人（含10人）；</w:t>
      </w:r>
    </w:p>
    <w:p>
      <w:pPr>
        <w:keepNext w:val="0"/>
        <w:keepLines w:val="0"/>
        <w:pageBreakBefore w:val="0"/>
        <w:kinsoku/>
        <w:wordWrap/>
        <w:overflowPunct/>
        <w:topLinePunct w:val="0"/>
        <w:bidi w:val="0"/>
        <w:spacing w:line="410" w:lineRule="exact"/>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②依法与安置的每位残疾人签订了一年以上（含一年）的劳动合同或服务协议；</w:t>
      </w:r>
    </w:p>
    <w:p>
      <w:pPr>
        <w:keepNext w:val="0"/>
        <w:keepLines w:val="0"/>
        <w:pageBreakBefore w:val="0"/>
        <w:kinsoku/>
        <w:wordWrap/>
        <w:overflowPunct/>
        <w:topLinePunct w:val="0"/>
        <w:bidi w:val="0"/>
        <w:spacing w:line="410" w:lineRule="exact"/>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③为安置的每位残疾人按月足额缴纳了基本养老保险、基本医疗保险、失业保险、工伤保险和生育保险等社会保险费；</w:t>
      </w:r>
    </w:p>
    <w:p>
      <w:pPr>
        <w:keepNext w:val="0"/>
        <w:keepLines w:val="0"/>
        <w:pageBreakBefore w:val="0"/>
        <w:kinsoku/>
        <w:wordWrap/>
        <w:overflowPunct/>
        <w:topLinePunct w:val="0"/>
        <w:bidi w:val="0"/>
        <w:spacing w:line="410" w:lineRule="exact"/>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④通过银行等金融机构向安置的每位残疾人，按月支付了不低于单位所在区县适用的经省级人民政府批准的月最低工资标准的工资；</w:t>
      </w:r>
    </w:p>
    <w:p>
      <w:pPr>
        <w:keepNext w:val="0"/>
        <w:keepLines w:val="0"/>
        <w:pageBreakBefore w:val="0"/>
        <w:kinsoku/>
        <w:wordWrap/>
        <w:overflowPunct/>
        <w:topLinePunct w:val="0"/>
        <w:bidi w:val="0"/>
        <w:spacing w:line="410" w:lineRule="exact"/>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⑤提供本单位制造的货物、承担的工程或者服务（以下简称产品），或者提供其他残疾人福利性单位制造的货物（不包括使用非残疾人福利性单位注册商标的货物）。</w:t>
      </w:r>
    </w:p>
    <w:p>
      <w:pPr>
        <w:keepNext w:val="0"/>
        <w:keepLines w:val="0"/>
        <w:pageBreakBefore w:val="0"/>
        <w:kinsoku/>
        <w:wordWrap/>
        <w:overflowPunct/>
        <w:topLinePunct w:val="0"/>
        <w:bidi w:val="0"/>
        <w:spacing w:line="410" w:lineRule="exact"/>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pageBreakBefore w:val="0"/>
        <w:kinsoku/>
        <w:wordWrap/>
        <w:overflowPunct/>
        <w:topLinePunct w:val="0"/>
        <w:autoSpaceDE w:val="0"/>
        <w:autoSpaceDN w:val="0"/>
        <w:bidi w:val="0"/>
        <w:adjustRightInd w:val="0"/>
        <w:spacing w:line="410" w:lineRule="exact"/>
        <w:ind w:right="85" w:firstLine="480" w:firstLineChars="200"/>
        <w:textAlignment w:val="auto"/>
        <w:rPr>
          <w:rFonts w:ascii="宋体"/>
          <w:color w:val="auto"/>
          <w:sz w:val="24"/>
          <w:highlight w:val="none"/>
          <w:lang w:val="zh-CN"/>
        </w:rPr>
      </w:pPr>
      <w:r>
        <w:rPr>
          <w:rFonts w:hint="eastAsia" w:ascii="宋体"/>
          <w:color w:val="auto"/>
          <w:sz w:val="24"/>
          <w:highlight w:val="none"/>
          <w:lang w:val="zh-CN"/>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keepNext w:val="0"/>
        <w:keepLines w:val="0"/>
        <w:pageBreakBefore w:val="0"/>
        <w:numPr>
          <w:ilvl w:val="0"/>
          <w:numId w:val="7"/>
        </w:numPr>
        <w:kinsoku/>
        <w:wordWrap/>
        <w:overflowPunct/>
        <w:topLinePunct w:val="0"/>
        <w:autoSpaceDE w:val="0"/>
        <w:autoSpaceDN w:val="0"/>
        <w:bidi w:val="0"/>
        <w:adjustRightInd w:val="0"/>
        <w:spacing w:line="410" w:lineRule="exact"/>
        <w:ind w:firstLine="482" w:firstLineChars="200"/>
        <w:textAlignment w:val="auto"/>
        <w:rPr>
          <w:rFonts w:hint="eastAsia" w:ascii="宋体" w:hAnsi="宋体"/>
          <w:b/>
          <w:bCs/>
          <w:color w:val="auto"/>
          <w:sz w:val="24"/>
          <w:highlight w:val="none"/>
        </w:rPr>
      </w:pPr>
      <w:r>
        <w:rPr>
          <w:rFonts w:hint="eastAsia" w:ascii="宋体"/>
          <w:b/>
          <w:bCs/>
          <w:color w:val="auto"/>
          <w:sz w:val="24"/>
          <w:highlight w:val="none"/>
          <w:lang w:val="zh-CN"/>
        </w:rPr>
        <w:t>(注：供应商按要求提供以上材料，</w:t>
      </w:r>
      <w:r>
        <w:rPr>
          <w:rFonts w:hint="eastAsia" w:ascii="宋体" w:hAnsi="宋体" w:eastAsia="宋体" w:cs="宋体"/>
          <w:b/>
          <w:bCs/>
          <w:color w:val="auto"/>
          <w:sz w:val="24"/>
          <w:szCs w:val="32"/>
          <w:highlight w:val="none"/>
          <w:lang w:val="zh-CN"/>
        </w:rPr>
        <w:t>并对所提供材料的真实性负责。</w:t>
      </w:r>
      <w:r>
        <w:rPr>
          <w:rFonts w:hint="eastAsia" w:ascii="宋体"/>
          <w:b/>
          <w:bCs/>
          <w:color w:val="auto"/>
          <w:sz w:val="24"/>
          <w:highlight w:val="none"/>
          <w:lang w:val="zh-CN"/>
        </w:rPr>
        <w:t>未提供以上材料的，均不给予价格扣除）</w:t>
      </w:r>
    </w:p>
    <w:p>
      <w:pPr>
        <w:pStyle w:val="45"/>
        <w:rPr>
          <w:rFonts w:hint="eastAsia"/>
        </w:rPr>
      </w:pPr>
      <w:r>
        <w:rPr>
          <w:rFonts w:hint="eastAsia"/>
        </w:rPr>
        <w:br w:type="page"/>
      </w:r>
    </w:p>
    <w:p>
      <w:pPr>
        <w:numPr>
          <w:ilvl w:val="0"/>
          <w:numId w:val="8"/>
        </w:numPr>
        <w:spacing w:line="360" w:lineRule="auto"/>
        <w:jc w:val="center"/>
        <w:outlineLvl w:val="0"/>
        <w:rPr>
          <w:rFonts w:hint="eastAsia" w:ascii="宋体" w:hAnsi="宋体" w:cs="宋体"/>
          <w:b/>
          <w:bCs/>
          <w:color w:val="000000"/>
          <w:sz w:val="36"/>
          <w:szCs w:val="36"/>
        </w:rPr>
      </w:pPr>
      <w:r>
        <w:rPr>
          <w:rFonts w:hint="eastAsia" w:ascii="宋体" w:hAnsi="宋体" w:cs="宋体"/>
          <w:b/>
          <w:bCs/>
          <w:color w:val="000000"/>
          <w:sz w:val="36"/>
          <w:szCs w:val="36"/>
        </w:rPr>
        <w:t>公开招标需求</w:t>
      </w:r>
    </w:p>
    <w:p>
      <w:pPr>
        <w:pStyle w:val="3"/>
        <w:jc w:val="left"/>
        <w:rPr>
          <w:rFonts w:hint="eastAsia"/>
          <w:sz w:val="24"/>
          <w:szCs w:val="24"/>
        </w:rPr>
      </w:pPr>
    </w:p>
    <w:p>
      <w:pPr>
        <w:pStyle w:val="3"/>
        <w:jc w:val="left"/>
        <w:rPr>
          <w:sz w:val="24"/>
          <w:szCs w:val="24"/>
        </w:rPr>
      </w:pPr>
      <w:r>
        <w:rPr>
          <w:rFonts w:hint="eastAsia"/>
          <w:sz w:val="24"/>
          <w:szCs w:val="24"/>
        </w:rPr>
        <w:t>一、采购需求一览表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877"/>
        <w:gridCol w:w="915"/>
        <w:gridCol w:w="810"/>
        <w:gridCol w:w="1634"/>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0" w:type="auto"/>
            <w:noWrap w:val="0"/>
            <w:vAlign w:val="center"/>
          </w:tcPr>
          <w:p>
            <w:pPr>
              <w:tabs>
                <w:tab w:val="left" w:pos="8280"/>
              </w:tabs>
              <w:autoSpaceDE w:val="0"/>
              <w:autoSpaceDN w:val="0"/>
              <w:adjustRightInd w:val="0"/>
              <w:jc w:val="center"/>
              <w:rPr>
                <w:rFonts w:ascii="仿宋" w:hAnsi="仿宋" w:eastAsia="仿宋" w:cs="宋体"/>
                <w:b/>
                <w:sz w:val="24"/>
              </w:rPr>
            </w:pPr>
            <w:r>
              <w:rPr>
                <w:rFonts w:hint="eastAsia" w:ascii="仿宋" w:hAnsi="仿宋" w:eastAsia="仿宋" w:cs="宋体"/>
                <w:b/>
                <w:sz w:val="24"/>
              </w:rPr>
              <w:t>标项</w:t>
            </w:r>
          </w:p>
        </w:tc>
        <w:tc>
          <w:tcPr>
            <w:tcW w:w="2877" w:type="dxa"/>
            <w:noWrap w:val="0"/>
            <w:vAlign w:val="center"/>
          </w:tcPr>
          <w:p>
            <w:pPr>
              <w:tabs>
                <w:tab w:val="left" w:pos="8280"/>
              </w:tabs>
              <w:autoSpaceDE w:val="0"/>
              <w:autoSpaceDN w:val="0"/>
              <w:adjustRightInd w:val="0"/>
              <w:ind w:firstLine="120" w:firstLineChars="50"/>
              <w:jc w:val="center"/>
              <w:rPr>
                <w:rFonts w:ascii="仿宋" w:hAnsi="仿宋" w:eastAsia="仿宋" w:cs="宋体"/>
                <w:b/>
                <w:sz w:val="24"/>
              </w:rPr>
            </w:pPr>
            <w:r>
              <w:rPr>
                <w:rFonts w:hint="eastAsia" w:ascii="仿宋" w:hAnsi="仿宋" w:eastAsia="仿宋" w:cs="宋体"/>
                <w:b/>
                <w:sz w:val="24"/>
              </w:rPr>
              <w:t>项</w:t>
            </w:r>
            <w:r>
              <w:rPr>
                <w:rFonts w:hint="eastAsia" w:ascii="仿宋" w:hAnsi="仿宋" w:eastAsia="仿宋" w:cs="宋体"/>
                <w:b/>
                <w:sz w:val="24"/>
                <w:lang w:eastAsia="zh-CN"/>
              </w:rPr>
              <w:t>目</w:t>
            </w:r>
            <w:r>
              <w:rPr>
                <w:rFonts w:hint="eastAsia" w:ascii="仿宋" w:hAnsi="仿宋" w:eastAsia="仿宋" w:cs="宋体"/>
                <w:b/>
                <w:sz w:val="24"/>
              </w:rPr>
              <w:t>名称</w:t>
            </w:r>
          </w:p>
        </w:tc>
        <w:tc>
          <w:tcPr>
            <w:tcW w:w="915" w:type="dxa"/>
            <w:noWrap w:val="0"/>
            <w:vAlign w:val="center"/>
          </w:tcPr>
          <w:p>
            <w:pPr>
              <w:tabs>
                <w:tab w:val="left" w:pos="8280"/>
              </w:tabs>
              <w:autoSpaceDE w:val="0"/>
              <w:autoSpaceDN w:val="0"/>
              <w:adjustRightInd w:val="0"/>
              <w:ind w:right="25" w:rightChars="0"/>
              <w:jc w:val="center"/>
              <w:rPr>
                <w:rFonts w:ascii="仿宋" w:hAnsi="仿宋" w:eastAsia="仿宋" w:cs="宋体"/>
                <w:b/>
                <w:sz w:val="24"/>
              </w:rPr>
            </w:pPr>
            <w:r>
              <w:rPr>
                <w:rFonts w:hint="eastAsia" w:ascii="宋体" w:hAnsi="宋体"/>
                <w:b/>
                <w:color w:val="000000"/>
                <w:sz w:val="24"/>
                <w:szCs w:val="24"/>
              </w:rPr>
              <w:t>数量</w:t>
            </w:r>
          </w:p>
        </w:tc>
        <w:tc>
          <w:tcPr>
            <w:tcW w:w="810" w:type="dxa"/>
            <w:noWrap w:val="0"/>
            <w:vAlign w:val="center"/>
          </w:tcPr>
          <w:p>
            <w:pPr>
              <w:tabs>
                <w:tab w:val="left" w:pos="8280"/>
              </w:tabs>
              <w:autoSpaceDE w:val="0"/>
              <w:autoSpaceDN w:val="0"/>
              <w:adjustRightInd w:val="0"/>
              <w:ind w:right="25" w:rightChars="0"/>
              <w:jc w:val="center"/>
              <w:rPr>
                <w:rFonts w:ascii="仿宋" w:hAnsi="仿宋" w:eastAsia="仿宋" w:cs="宋体"/>
                <w:b/>
                <w:sz w:val="24"/>
              </w:rPr>
            </w:pPr>
            <w:r>
              <w:rPr>
                <w:rFonts w:hint="eastAsia" w:ascii="宋体" w:hAnsi="宋体"/>
                <w:b/>
                <w:color w:val="000000"/>
                <w:sz w:val="24"/>
                <w:szCs w:val="24"/>
              </w:rPr>
              <w:t>单位</w:t>
            </w:r>
          </w:p>
        </w:tc>
        <w:tc>
          <w:tcPr>
            <w:tcW w:w="1634" w:type="dxa"/>
            <w:noWrap w:val="0"/>
            <w:vAlign w:val="center"/>
          </w:tcPr>
          <w:p>
            <w:pPr>
              <w:tabs>
                <w:tab w:val="left" w:pos="8280"/>
              </w:tabs>
              <w:autoSpaceDE w:val="0"/>
              <w:autoSpaceDN w:val="0"/>
              <w:adjustRightInd w:val="0"/>
              <w:ind w:right="25" w:rightChars="0"/>
              <w:jc w:val="center"/>
              <w:rPr>
                <w:rFonts w:ascii="仿宋" w:hAnsi="仿宋" w:eastAsia="仿宋" w:cs="宋体"/>
                <w:b/>
                <w:sz w:val="24"/>
              </w:rPr>
            </w:pPr>
            <w:r>
              <w:rPr>
                <w:rFonts w:hint="eastAsia" w:ascii="宋体" w:hAnsi="宋体"/>
                <w:b/>
                <w:sz w:val="24"/>
                <w:szCs w:val="24"/>
                <w:lang w:eastAsia="zh-CN"/>
              </w:rPr>
              <w:t>总预算（</w:t>
            </w:r>
            <w:r>
              <w:rPr>
                <w:rFonts w:hint="eastAsia" w:ascii="宋体" w:hAnsi="宋体"/>
                <w:b/>
                <w:sz w:val="24"/>
                <w:szCs w:val="24"/>
                <w:lang w:val="en-US" w:eastAsia="zh-CN"/>
              </w:rPr>
              <w:t>万元）</w:t>
            </w:r>
          </w:p>
        </w:tc>
        <w:tc>
          <w:tcPr>
            <w:tcW w:w="2032" w:type="dxa"/>
            <w:noWrap w:val="0"/>
            <w:vAlign w:val="center"/>
          </w:tcPr>
          <w:p>
            <w:pPr>
              <w:tabs>
                <w:tab w:val="left" w:pos="8280"/>
              </w:tabs>
              <w:autoSpaceDE w:val="0"/>
              <w:autoSpaceDN w:val="0"/>
              <w:adjustRightInd w:val="0"/>
              <w:spacing w:after="0" w:line="360" w:lineRule="auto"/>
              <w:jc w:val="center"/>
              <w:rPr>
                <w:rFonts w:ascii="仿宋" w:hAnsi="仿宋" w:eastAsia="仿宋"/>
                <w:b/>
                <w:sz w:val="24"/>
              </w:rPr>
            </w:pPr>
            <w:r>
              <w:rPr>
                <w:rFonts w:hint="eastAsia" w:ascii="宋体" w:hAnsi="宋体" w:cs="宋体"/>
                <w:b/>
                <w:color w:val="000000"/>
                <w:sz w:val="24"/>
                <w:szCs w:val="20"/>
                <w:lang w:eastAsia="zh-CN"/>
              </w:rPr>
              <w:t>合同履约期限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0" w:type="auto"/>
            <w:noWrap w:val="0"/>
            <w:vAlign w:val="center"/>
          </w:tcPr>
          <w:p>
            <w:pPr>
              <w:tabs>
                <w:tab w:val="left" w:pos="8280"/>
              </w:tabs>
              <w:autoSpaceDE w:val="0"/>
              <w:autoSpaceDN w:val="0"/>
              <w:adjustRightInd w:val="0"/>
              <w:jc w:val="center"/>
              <w:rPr>
                <w:rFonts w:hAnsi="宋体"/>
                <w:color w:val="000000"/>
                <w:sz w:val="24"/>
              </w:rPr>
            </w:pPr>
            <w:r>
              <w:rPr>
                <w:rFonts w:hAnsi="宋体"/>
                <w:color w:val="000000"/>
                <w:sz w:val="24"/>
              </w:rPr>
              <w:t>1</w:t>
            </w:r>
          </w:p>
        </w:tc>
        <w:tc>
          <w:tcPr>
            <w:tcW w:w="2877" w:type="dxa"/>
            <w:noWrap w:val="0"/>
            <w:vAlign w:val="center"/>
          </w:tcPr>
          <w:p>
            <w:pPr>
              <w:tabs>
                <w:tab w:val="left" w:pos="8280"/>
              </w:tabs>
              <w:autoSpaceDE w:val="0"/>
              <w:autoSpaceDN w:val="0"/>
              <w:adjustRightInd w:val="0"/>
              <w:spacing w:line="380" w:lineRule="exact"/>
              <w:jc w:val="left"/>
              <w:rPr>
                <w:rFonts w:hAnsi="宋体"/>
                <w:color w:val="000000"/>
                <w:sz w:val="24"/>
              </w:rPr>
            </w:pPr>
            <w:r>
              <w:rPr>
                <w:rFonts w:hint="eastAsia" w:ascii="宋体" w:hAnsi="宋体" w:cs="宋体"/>
                <w:kern w:val="0"/>
                <w:sz w:val="24"/>
                <w:highlight w:val="none"/>
                <w:lang w:eastAsia="zh-CN"/>
              </w:rPr>
              <w:t>2023-2025年路桥区地方教材及配套作业本采购</w:t>
            </w:r>
          </w:p>
        </w:tc>
        <w:tc>
          <w:tcPr>
            <w:tcW w:w="915" w:type="dxa"/>
            <w:noWrap w:val="0"/>
            <w:vAlign w:val="center"/>
          </w:tcPr>
          <w:p>
            <w:pPr>
              <w:tabs>
                <w:tab w:val="left" w:pos="8280"/>
              </w:tabs>
              <w:autoSpaceDE w:val="0"/>
              <w:autoSpaceDN w:val="0"/>
              <w:adjustRightInd w:val="0"/>
              <w:ind w:right="25" w:rightChars="0"/>
              <w:jc w:val="center"/>
              <w:rPr>
                <w:rFonts w:hint="eastAsia" w:hAnsi="宋体"/>
                <w:color w:val="000000"/>
                <w:sz w:val="24"/>
              </w:rPr>
            </w:pPr>
            <w:r>
              <w:rPr>
                <w:rFonts w:hint="eastAsia" w:ascii="宋体" w:hAnsi="宋体"/>
                <w:sz w:val="24"/>
                <w:szCs w:val="24"/>
                <w:lang w:val="en-US" w:eastAsia="zh-CN"/>
              </w:rPr>
              <w:t>1</w:t>
            </w:r>
          </w:p>
        </w:tc>
        <w:tc>
          <w:tcPr>
            <w:tcW w:w="810" w:type="dxa"/>
            <w:noWrap w:val="0"/>
            <w:vAlign w:val="center"/>
          </w:tcPr>
          <w:p>
            <w:pPr>
              <w:tabs>
                <w:tab w:val="left" w:pos="8280"/>
              </w:tabs>
              <w:autoSpaceDE w:val="0"/>
              <w:autoSpaceDN w:val="0"/>
              <w:adjustRightInd w:val="0"/>
              <w:ind w:right="25" w:rightChars="0"/>
              <w:jc w:val="center"/>
              <w:rPr>
                <w:rFonts w:hAnsi="宋体"/>
                <w:color w:val="000000"/>
                <w:sz w:val="24"/>
              </w:rPr>
            </w:pPr>
            <w:r>
              <w:rPr>
                <w:rFonts w:hint="eastAsia" w:ascii="宋体" w:hAnsi="宋体"/>
                <w:sz w:val="24"/>
                <w:szCs w:val="24"/>
                <w:lang w:val="en-US" w:eastAsia="zh-CN"/>
              </w:rPr>
              <w:t>批</w:t>
            </w:r>
          </w:p>
        </w:tc>
        <w:tc>
          <w:tcPr>
            <w:tcW w:w="1634" w:type="dxa"/>
            <w:noWrap w:val="0"/>
            <w:vAlign w:val="center"/>
          </w:tcPr>
          <w:p>
            <w:pPr>
              <w:tabs>
                <w:tab w:val="left" w:pos="8280"/>
              </w:tabs>
              <w:autoSpaceDE w:val="0"/>
              <w:autoSpaceDN w:val="0"/>
              <w:adjustRightInd w:val="0"/>
              <w:ind w:right="25" w:rightChars="0"/>
              <w:jc w:val="center"/>
              <w:rPr>
                <w:rFonts w:hint="eastAsia" w:hAnsi="宋体"/>
                <w:color w:val="000000"/>
                <w:sz w:val="24"/>
              </w:rPr>
            </w:pPr>
            <w:r>
              <w:rPr>
                <w:rFonts w:hint="eastAsia" w:ascii="宋体" w:hAnsi="宋体"/>
                <w:kern w:val="2"/>
                <w:sz w:val="24"/>
                <w:szCs w:val="24"/>
                <w:lang w:val="en-US" w:eastAsia="zh-CN"/>
              </w:rPr>
              <w:t>2627.0445</w:t>
            </w:r>
          </w:p>
        </w:tc>
        <w:tc>
          <w:tcPr>
            <w:tcW w:w="2032" w:type="dxa"/>
            <w:noWrap w:val="0"/>
            <w:vAlign w:val="center"/>
          </w:tcPr>
          <w:p>
            <w:pPr>
              <w:tabs>
                <w:tab w:val="left" w:pos="8280"/>
              </w:tabs>
              <w:autoSpaceDE w:val="0"/>
              <w:autoSpaceDN w:val="0"/>
              <w:adjustRightInd w:val="0"/>
              <w:spacing w:after="0" w:line="240" w:lineRule="auto"/>
              <w:jc w:val="center"/>
              <w:rPr>
                <w:rFonts w:hint="eastAsia" w:hAnsi="宋体"/>
                <w:color w:val="000000"/>
                <w:sz w:val="24"/>
              </w:rPr>
            </w:pPr>
            <w:r>
              <w:rPr>
                <w:rFonts w:hint="eastAsia" w:hAnsi="宋体"/>
                <w:color w:val="000000"/>
                <w:sz w:val="24"/>
              </w:rPr>
              <w:t>合同签订后，接采购单位通知后15个工作日内。</w:t>
            </w:r>
          </w:p>
        </w:tc>
      </w:tr>
    </w:tbl>
    <w:p>
      <w:pPr>
        <w:spacing w:line="520" w:lineRule="exact"/>
        <w:rPr>
          <w:rFonts w:asciiTheme="minorEastAsia" w:hAnsiTheme="minorEastAsia"/>
          <w:b/>
          <w:sz w:val="24"/>
        </w:rPr>
      </w:pPr>
      <w:r>
        <w:rPr>
          <w:rFonts w:hint="eastAsia" w:asciiTheme="minorEastAsia" w:hAnsiTheme="minorEastAsia"/>
          <w:b/>
          <w:sz w:val="24"/>
          <w:lang w:eastAsia="zh-CN"/>
        </w:rPr>
        <w:t>二</w:t>
      </w:r>
      <w:r>
        <w:rPr>
          <w:rFonts w:hint="eastAsia" w:asciiTheme="minorEastAsia" w:hAnsiTheme="minorEastAsia"/>
          <w:b/>
          <w:sz w:val="24"/>
        </w:rPr>
        <w:t>、</w:t>
      </w:r>
      <w:r>
        <w:rPr>
          <w:rFonts w:hint="eastAsia" w:ascii="宋体" w:hAnsi="宋体" w:eastAsia="宋体" w:cs="宋体"/>
          <w:b/>
          <w:bCs/>
          <w:kern w:val="0"/>
          <w:sz w:val="24"/>
        </w:rPr>
        <w:t>采购清单</w:t>
      </w:r>
    </w:p>
    <w:tbl>
      <w:tblPr>
        <w:tblStyle w:val="37"/>
        <w:tblW w:w="9025" w:type="dxa"/>
        <w:jc w:val="center"/>
        <w:tblLayout w:type="fixed"/>
        <w:tblCellMar>
          <w:top w:w="0" w:type="dxa"/>
          <w:left w:w="108" w:type="dxa"/>
          <w:bottom w:w="0" w:type="dxa"/>
          <w:right w:w="108" w:type="dxa"/>
        </w:tblCellMar>
      </w:tblPr>
      <w:tblGrid>
        <w:gridCol w:w="1160"/>
        <w:gridCol w:w="4454"/>
        <w:gridCol w:w="851"/>
        <w:gridCol w:w="1055"/>
        <w:gridCol w:w="1505"/>
      </w:tblGrid>
      <w:tr>
        <w:tblPrEx>
          <w:tblCellMar>
            <w:top w:w="0" w:type="dxa"/>
            <w:left w:w="108" w:type="dxa"/>
            <w:bottom w:w="0" w:type="dxa"/>
            <w:right w:w="108" w:type="dxa"/>
          </w:tblCellMar>
        </w:tblPrEx>
        <w:trPr>
          <w:trHeight w:val="345" w:hRule="atLeast"/>
          <w:jc w:val="center"/>
        </w:trPr>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版别</w:t>
            </w:r>
          </w:p>
        </w:tc>
        <w:tc>
          <w:tcPr>
            <w:tcW w:w="44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书名</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估价</w:t>
            </w:r>
          </w:p>
        </w:tc>
        <w:tc>
          <w:tcPr>
            <w:tcW w:w="10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数量</w:t>
            </w:r>
          </w:p>
        </w:tc>
        <w:tc>
          <w:tcPr>
            <w:tcW w:w="15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金额</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浙江教育</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安全教育资源包(1上)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11.32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24000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271680.00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浙江教育</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安全教育资源包(2上)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11.32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237720.00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浙江教育</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安全教育资源包(3上)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11.32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237720.00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浙江教育</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安全教育资源包(4上)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11.32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237720.00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浙江教育</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安全教育资源包(5上)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11.32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237720.00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浙江教育</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安全教育资源包(6上)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11.32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22500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254700.00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浙江教育</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安全教育资源包(7上)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11.32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237720.00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浙江教育</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安全教育资源包(8上)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11.32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237720.00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浙江教育</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安全教育资源包(9上)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11.32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237720.00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北京师大</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心理健康(1上)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8.60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24000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206400.00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北京师大</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心理健康(2上)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8.60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180600.00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北京师大</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心理健康(3上)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8.60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180600.00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北京师大</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心理健康(4上)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8.60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180600.00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北京师大</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心理健康(5上)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8.60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180600.00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北京师大</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心理健康(6上)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8.60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22500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193500.00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北京师大</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心理健康(7上)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9.90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207900.00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北京师大</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心理健康(8上)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9.90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207900.00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北京师大</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心理健康(9上)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9.90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207900.00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浙江教育</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语文素养读本(7上)/义教拓展性课程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12.80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7000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89600.00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浙江教育</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语文素养读本(8上)/义教拓展性课程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12.80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7000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89600.00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浙江教育</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语文素养读本(9上)/义教拓展性课程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13.80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7000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96600.00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中国妇女</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爱国主义读书活动（小学低年级）</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13.00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45000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585000.00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中国妇女</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爱国主义读书活动（小学高年级）</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13.00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85500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1111500.00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中国妇女</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爱国主义读书活动（初中）</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13.00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63000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819000.00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浙江教育</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安全教育资源包(1下)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13.05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24000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313200.00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浙江教育</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安全教育资源包(2下)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13.05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274050.00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浙江教育</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安全教育资源包(3下)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13.05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274050.00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浙江教育</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安全教育资源包(4下)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13.05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274050.00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浙江教育</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安全教育资源包(5下)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13.05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274050.00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浙江教育</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安全教育资源包(6下)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13.05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22500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293625.00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浙江教育</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安全教育资源包(7下)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13.05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274050.00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浙江教育</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安全教育资源包(8下)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13.05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274050.00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浙江教育</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安全教育资源包(9下)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13.05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274050.00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北京师大</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心理健康(1下)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8.60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24000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206400.00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北京师大</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心理健康(2下)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8.60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180600.00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北京师大</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心理健康(3下)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8.60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180600.00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北京师大</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心理健康(4下)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8.60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180600.00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北京师大</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心理健康(5下)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8.60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180600.00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北京师大</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心理健康(6下)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8.60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22500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193500.00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北京师大</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心理健康(7下)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9.90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207900.00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北京师大</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心理健康(8下)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9.90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207900.00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北京师大</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心理健康(9下)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9.90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207900.00 </w:t>
            </w:r>
          </w:p>
        </w:tc>
      </w:tr>
      <w:tr>
        <w:tblPrEx>
          <w:tblCellMar>
            <w:top w:w="0" w:type="dxa"/>
            <w:left w:w="108" w:type="dxa"/>
            <w:bottom w:w="0" w:type="dxa"/>
            <w:right w:w="108" w:type="dxa"/>
          </w:tblCellMar>
        </w:tblPrEx>
        <w:trPr>
          <w:trHeight w:val="345" w:hRule="atLeast"/>
          <w:jc w:val="center"/>
        </w:trPr>
        <w:tc>
          <w:tcPr>
            <w:tcW w:w="646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val="0"/>
                <w:kern w:val="0"/>
                <w:sz w:val="22"/>
                <w:szCs w:val="22"/>
                <w:highlight w:val="none"/>
              </w:rPr>
            </w:pPr>
            <w:r>
              <w:rPr>
                <w:rFonts w:hint="eastAsia" w:cs="宋体" w:asciiTheme="minorEastAsia" w:hAnsiTheme="minorEastAsia"/>
                <w:b/>
                <w:bCs w:val="0"/>
                <w:sz w:val="22"/>
                <w:szCs w:val="18"/>
                <w:highlight w:val="none"/>
              </w:rPr>
              <w:t>《爱国主义读书活动》、《心理健康》、《安全教育资源包》、《语文素养读本》</w:t>
            </w:r>
            <w:r>
              <w:rPr>
                <w:rFonts w:hint="eastAsia" w:cs="宋体" w:asciiTheme="minorEastAsia" w:hAnsiTheme="minorEastAsia"/>
                <w:b/>
                <w:bCs w:val="0"/>
                <w:sz w:val="22"/>
                <w:szCs w:val="18"/>
                <w:highlight w:val="none"/>
                <w:lang w:eastAsia="zh-CN"/>
              </w:rPr>
              <w:t>用书小计</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val="0"/>
                <w:kern w:val="0"/>
                <w:sz w:val="22"/>
                <w:szCs w:val="22"/>
                <w:highlight w:val="none"/>
              </w:rPr>
            </w:pPr>
            <w:r>
              <w:rPr>
                <w:rFonts w:hint="eastAsia" w:ascii="宋体" w:hAnsi="宋体" w:eastAsia="宋体" w:cs="宋体"/>
                <w:b/>
                <w:bCs w:val="0"/>
                <w:kern w:val="0"/>
                <w:sz w:val="22"/>
                <w:szCs w:val="22"/>
                <w:highlight w:val="none"/>
              </w:rPr>
              <w:fldChar w:fldCharType="begin"/>
            </w:r>
            <w:r>
              <w:rPr>
                <w:rFonts w:hint="eastAsia" w:ascii="宋体" w:hAnsi="宋体" w:eastAsia="宋体" w:cs="宋体"/>
                <w:b/>
                <w:bCs w:val="0"/>
                <w:kern w:val="0"/>
                <w:sz w:val="22"/>
                <w:szCs w:val="22"/>
                <w:highlight w:val="none"/>
              </w:rPr>
              <w:instrText xml:space="preserve"> = sum(D2:D43) \* MERGEFORMAT </w:instrText>
            </w:r>
            <w:r>
              <w:rPr>
                <w:rFonts w:hint="eastAsia" w:ascii="宋体" w:hAnsi="宋体" w:eastAsia="宋体" w:cs="宋体"/>
                <w:b/>
                <w:bCs w:val="0"/>
                <w:kern w:val="0"/>
                <w:sz w:val="22"/>
                <w:szCs w:val="22"/>
                <w:highlight w:val="none"/>
              </w:rPr>
              <w:fldChar w:fldCharType="separate"/>
            </w:r>
            <w:r>
              <w:rPr>
                <w:rFonts w:hint="eastAsia" w:ascii="宋体" w:hAnsi="宋体" w:eastAsia="宋体" w:cs="宋体"/>
                <w:b/>
                <w:bCs w:val="0"/>
                <w:kern w:val="0"/>
                <w:sz w:val="22"/>
                <w:szCs w:val="22"/>
                <w:highlight w:val="none"/>
              </w:rPr>
              <w:t>988500</w:t>
            </w:r>
            <w:r>
              <w:rPr>
                <w:rFonts w:hint="eastAsia" w:ascii="宋体" w:hAnsi="宋体" w:eastAsia="宋体" w:cs="宋体"/>
                <w:b/>
                <w:bCs w:val="0"/>
                <w:kern w:val="0"/>
                <w:sz w:val="22"/>
                <w:szCs w:val="22"/>
                <w:highlight w:val="none"/>
              </w:rPr>
              <w:fldChar w:fldCharType="end"/>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bCs w:val="0"/>
                <w:kern w:val="0"/>
                <w:sz w:val="22"/>
                <w:szCs w:val="22"/>
                <w:highlight w:val="none"/>
                <w:lang w:val="en-US" w:eastAsia="zh-CN"/>
              </w:rPr>
            </w:pPr>
            <w:r>
              <w:rPr>
                <w:rFonts w:hint="eastAsia" w:ascii="宋体" w:hAnsi="宋体" w:eastAsia="宋体" w:cs="宋体"/>
                <w:b/>
                <w:bCs w:val="0"/>
                <w:kern w:val="0"/>
                <w:sz w:val="22"/>
                <w:szCs w:val="22"/>
                <w:highlight w:val="none"/>
              </w:rPr>
              <w:fldChar w:fldCharType="begin"/>
            </w:r>
            <w:r>
              <w:rPr>
                <w:rFonts w:hint="eastAsia" w:ascii="宋体" w:hAnsi="宋体" w:eastAsia="宋体" w:cs="宋体"/>
                <w:b/>
                <w:bCs w:val="0"/>
                <w:kern w:val="0"/>
                <w:sz w:val="22"/>
                <w:szCs w:val="22"/>
                <w:highlight w:val="none"/>
              </w:rPr>
              <w:instrText xml:space="preserve"> = sum(E2:E43) \* MERGEFORMAT </w:instrText>
            </w:r>
            <w:r>
              <w:rPr>
                <w:rFonts w:hint="eastAsia" w:ascii="宋体" w:hAnsi="宋体" w:eastAsia="宋体" w:cs="宋体"/>
                <w:b/>
                <w:bCs w:val="0"/>
                <w:kern w:val="0"/>
                <w:sz w:val="22"/>
                <w:szCs w:val="22"/>
                <w:highlight w:val="none"/>
              </w:rPr>
              <w:fldChar w:fldCharType="separate"/>
            </w:r>
            <w:r>
              <w:rPr>
                <w:rFonts w:hint="eastAsia" w:ascii="宋体" w:hAnsi="宋体" w:eastAsia="宋体" w:cs="宋体"/>
                <w:b/>
                <w:bCs w:val="0"/>
                <w:kern w:val="0"/>
                <w:sz w:val="22"/>
                <w:szCs w:val="22"/>
                <w:highlight w:val="none"/>
              </w:rPr>
              <w:t>10998895</w:t>
            </w:r>
            <w:r>
              <w:rPr>
                <w:rFonts w:hint="eastAsia" w:ascii="宋体" w:hAnsi="宋体" w:eastAsia="宋体" w:cs="宋体"/>
                <w:b/>
                <w:bCs w:val="0"/>
                <w:kern w:val="0"/>
                <w:sz w:val="22"/>
                <w:szCs w:val="22"/>
                <w:highlight w:val="none"/>
              </w:rPr>
              <w:fldChar w:fldCharType="end"/>
            </w:r>
            <w:r>
              <w:rPr>
                <w:rFonts w:hint="eastAsia" w:ascii="宋体" w:hAnsi="宋体" w:cs="宋体"/>
                <w:b/>
                <w:bCs w:val="0"/>
                <w:kern w:val="0"/>
                <w:sz w:val="22"/>
                <w:szCs w:val="22"/>
                <w:highlight w:val="none"/>
                <w:lang w:val="en-US" w:eastAsia="zh-CN"/>
              </w:rPr>
              <w:t>.00</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szCs w:val="22"/>
                <w:highlight w:val="yellow"/>
              </w:rPr>
            </w:pPr>
            <w:r>
              <w:rPr>
                <w:rFonts w:hint="eastAsia" w:ascii="宋体" w:hAnsi="宋体" w:eastAsia="宋体" w:cs="宋体"/>
                <w:kern w:val="0"/>
                <w:sz w:val="22"/>
                <w:szCs w:val="22"/>
              </w:rPr>
              <w:t>数学(7上)/巩固与提高(文教版)</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 xml:space="preserve">12.20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7000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 xml:space="preserve">85400.00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szCs w:val="22"/>
                <w:highlight w:val="yellow"/>
              </w:rPr>
            </w:pPr>
            <w:r>
              <w:rPr>
                <w:rFonts w:hint="eastAsia" w:ascii="宋体" w:hAnsi="宋体" w:eastAsia="宋体" w:cs="宋体"/>
                <w:kern w:val="0"/>
                <w:sz w:val="22"/>
                <w:szCs w:val="22"/>
              </w:rPr>
              <w:t>数学(8上)/巩固与提高(文教版)</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 xml:space="preserve">14.40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7000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 xml:space="preserve">100800.00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szCs w:val="22"/>
                <w:highlight w:val="yellow"/>
              </w:rPr>
            </w:pPr>
            <w:r>
              <w:rPr>
                <w:rFonts w:hint="eastAsia" w:ascii="宋体" w:hAnsi="宋体" w:eastAsia="宋体" w:cs="宋体"/>
                <w:kern w:val="0"/>
                <w:sz w:val="22"/>
                <w:szCs w:val="22"/>
              </w:rPr>
              <w:t>数学(9上)/巩固与提高(文教版)</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 xml:space="preserve">15.30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7000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 xml:space="preserve">107100.00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浙江科技</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szCs w:val="22"/>
                <w:highlight w:val="yellow"/>
              </w:rPr>
            </w:pPr>
            <w:r>
              <w:rPr>
                <w:rFonts w:hint="eastAsia" w:ascii="宋体" w:hAnsi="宋体" w:eastAsia="宋体" w:cs="宋体"/>
                <w:kern w:val="0"/>
                <w:sz w:val="22"/>
                <w:szCs w:val="22"/>
              </w:rPr>
              <w:t>走进国学(1年级)/经典润泽生命读本(文教版)</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 xml:space="preserve">12.60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8000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 xml:space="preserve">100800.00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浙江科技</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szCs w:val="22"/>
                <w:highlight w:val="yellow"/>
              </w:rPr>
            </w:pPr>
            <w:r>
              <w:rPr>
                <w:rFonts w:hint="eastAsia" w:ascii="宋体" w:hAnsi="宋体" w:eastAsia="宋体" w:cs="宋体"/>
                <w:kern w:val="0"/>
                <w:sz w:val="22"/>
                <w:szCs w:val="22"/>
              </w:rPr>
              <w:t>走进国学(2年级)/经典润泽生命读本(文教版)</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 xml:space="preserve">12.60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7000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 xml:space="preserve">88200.00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浙江科技</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szCs w:val="22"/>
                <w:highlight w:val="yellow"/>
              </w:rPr>
            </w:pPr>
            <w:r>
              <w:rPr>
                <w:rFonts w:hint="eastAsia" w:ascii="宋体" w:hAnsi="宋体" w:eastAsia="宋体" w:cs="宋体"/>
                <w:kern w:val="0"/>
                <w:sz w:val="22"/>
                <w:szCs w:val="22"/>
              </w:rPr>
              <w:t>走进国学(3年级)/经典润泽生命读本(文教版)</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 xml:space="preserve">12.60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7000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 xml:space="preserve">88200.00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浙江科技</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szCs w:val="22"/>
                <w:highlight w:val="yellow"/>
              </w:rPr>
            </w:pPr>
            <w:r>
              <w:rPr>
                <w:rFonts w:hint="eastAsia" w:ascii="宋体" w:hAnsi="宋体" w:eastAsia="宋体" w:cs="宋体"/>
                <w:kern w:val="0"/>
                <w:sz w:val="22"/>
                <w:szCs w:val="22"/>
              </w:rPr>
              <w:t>走进国学(4年级)/经典润泽生命读本(文教版)</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 xml:space="preserve">12.60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7000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 xml:space="preserve">88200.00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浙江科技</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szCs w:val="22"/>
                <w:highlight w:val="yellow"/>
              </w:rPr>
            </w:pPr>
            <w:r>
              <w:rPr>
                <w:rFonts w:hint="eastAsia" w:ascii="宋体" w:hAnsi="宋体" w:eastAsia="宋体" w:cs="宋体"/>
                <w:kern w:val="0"/>
                <w:sz w:val="22"/>
                <w:szCs w:val="22"/>
              </w:rPr>
              <w:t>走进国学(5年级)/经典润泽生命读本(文教版)</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 xml:space="preserve">12.60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7000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 xml:space="preserve">88200.00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浙江科技</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szCs w:val="22"/>
                <w:highlight w:val="yellow"/>
              </w:rPr>
            </w:pPr>
            <w:r>
              <w:rPr>
                <w:rFonts w:hint="eastAsia" w:ascii="宋体" w:hAnsi="宋体" w:eastAsia="宋体" w:cs="宋体"/>
                <w:kern w:val="0"/>
                <w:sz w:val="22"/>
                <w:szCs w:val="22"/>
              </w:rPr>
              <w:t>走进国学(6年级)/经典润泽生命读本(文教版)</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 xml:space="preserve">12.60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7500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 xml:space="preserve">94500.00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浙江科技</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szCs w:val="22"/>
                <w:highlight w:val="yellow"/>
              </w:rPr>
            </w:pPr>
            <w:r>
              <w:rPr>
                <w:rFonts w:hint="eastAsia" w:ascii="宋体" w:hAnsi="宋体" w:eastAsia="宋体" w:cs="宋体"/>
                <w:kern w:val="0"/>
                <w:sz w:val="22"/>
                <w:szCs w:val="22"/>
              </w:rPr>
              <w:t>走进国学(中学卷上)/经典润泽生命读本(文教版)</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 xml:space="preserve">14.80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7000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 xml:space="preserve">103600.00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浙江科技</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szCs w:val="22"/>
                <w:highlight w:val="yellow"/>
              </w:rPr>
            </w:pPr>
            <w:r>
              <w:rPr>
                <w:rFonts w:hint="eastAsia" w:ascii="宋体" w:hAnsi="宋体" w:eastAsia="宋体" w:cs="宋体"/>
                <w:kern w:val="0"/>
                <w:sz w:val="22"/>
                <w:szCs w:val="22"/>
              </w:rPr>
              <w:t>走进国学(中学卷下)/经典润泽生命读本(文教版)</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 xml:space="preserve">15.20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7000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 xml:space="preserve">106400.00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语文 三年级上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5.25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110187.00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语文 四年级上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5.54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116235.00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语文 五年级上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6.40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134379.00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语文 六年级上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6.40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22500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143977.50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数学 三年级上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6.69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19500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130396.50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数学 四年级上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7.55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19500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147244.50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数学 五年级上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5.82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19500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113548.50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数学 六年级上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6.40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134379.00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英语 三年级上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6.40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134379.00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英语 四年级上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6.40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134379.00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英语 五年级上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6.69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140427.00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英语 六年级上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6.69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22500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150457.50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科学 三年级上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4.38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92043.00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科学 四年级上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4.38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92043.00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科学 五年级上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4.67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98091.00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科学 六年级上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4.38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22500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98617.50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语文 七年级上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11.01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14000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154098.00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语文 八年级上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11.30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14000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158130.00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语文 九年级上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17.63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14000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246834.00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数学 七年级上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8.70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14000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121842.00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数学 八年级上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9.86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14000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137970.00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数学 九年级上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11.21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14000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156898.00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英语 七年级上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13.02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14000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182322.00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英语 八年级上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15.62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14000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218610.00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英语 九年级上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11.01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14000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154098.00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科学 七年级上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7.84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164619.00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科学 八年级上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9.28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194859.00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科学 九年级上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11.87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249291.00 </w:t>
            </w:r>
          </w:p>
        </w:tc>
      </w:tr>
      <w:tr>
        <w:tblPrEx>
          <w:tblCellMar>
            <w:top w:w="0" w:type="dxa"/>
            <w:left w:w="108" w:type="dxa"/>
            <w:bottom w:w="0" w:type="dxa"/>
            <w:right w:w="108" w:type="dxa"/>
          </w:tblCellMar>
        </w:tblPrEx>
        <w:trPr>
          <w:trHeight w:val="330"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历史与社会(中国历史7上)/巩固与提高</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9.28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7000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64960.00 </w:t>
            </w:r>
          </w:p>
        </w:tc>
      </w:tr>
      <w:tr>
        <w:tblPrEx>
          <w:tblCellMar>
            <w:top w:w="0" w:type="dxa"/>
            <w:left w:w="108" w:type="dxa"/>
            <w:bottom w:w="0" w:type="dxa"/>
            <w:right w:w="108" w:type="dxa"/>
          </w:tblCellMar>
        </w:tblPrEx>
        <w:trPr>
          <w:trHeight w:val="330"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历史与社会(人文地理上)/巩固与提高</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8.42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7000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58940.00 </w:t>
            </w:r>
          </w:p>
        </w:tc>
      </w:tr>
      <w:tr>
        <w:tblPrEx>
          <w:tblCellMar>
            <w:top w:w="0" w:type="dxa"/>
            <w:left w:w="108" w:type="dxa"/>
            <w:bottom w:w="0" w:type="dxa"/>
            <w:right w:w="108" w:type="dxa"/>
          </w:tblCellMar>
        </w:tblPrEx>
        <w:trPr>
          <w:trHeight w:val="330"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历史与社会(中国历史8上)/巩固与提高</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11.30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7000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79100.00 </w:t>
            </w:r>
          </w:p>
        </w:tc>
      </w:tr>
      <w:tr>
        <w:tblPrEx>
          <w:tblCellMar>
            <w:top w:w="0" w:type="dxa"/>
            <w:left w:w="108" w:type="dxa"/>
            <w:bottom w:w="0" w:type="dxa"/>
            <w:right w:w="108" w:type="dxa"/>
          </w:tblCellMar>
        </w:tblPrEx>
        <w:trPr>
          <w:trHeight w:val="330"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历史与社会(人文地理下)/巩固与提高</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7.55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7000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52850.00 </w:t>
            </w:r>
          </w:p>
        </w:tc>
      </w:tr>
      <w:tr>
        <w:tblPrEx>
          <w:tblCellMar>
            <w:top w:w="0" w:type="dxa"/>
            <w:left w:w="108" w:type="dxa"/>
            <w:bottom w:w="0" w:type="dxa"/>
            <w:right w:w="108" w:type="dxa"/>
          </w:tblCellMar>
        </w:tblPrEx>
        <w:trPr>
          <w:trHeight w:val="330"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历史与社会(世界历史9上)/巩固与提高</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11.30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7000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79100.00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道德与法治 七年级上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8.42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176715.00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道德与法治 八年级上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8.42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176715.00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道德与法治 九年级上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8.42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176715.00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历史与社会(中国历史7上)/学能评价</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11.51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14000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161140.00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历史与社会(人文地理上)/学能评价</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7.65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14000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107100.00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历史与社会(中国历史8上)/学能评价</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14.18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14000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198520.00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历史与社会(人文地理下)/学能评价</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7.65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14000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107100.00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历史与社会(世界历史9上)/学能评价</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11.80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14000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165200.00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语文(7上)/学能评价</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15.66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7000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109620.00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语文(8上)/学能评价</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18.34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7000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128380.00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语文(9上)/学能评价</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18.93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7000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132510.00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英语(7上R)/学能评价</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15.37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7000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107590.00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英语(8上R)/学能评价</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14.18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7000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99260.00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英语(9年级全R)/学能评价</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21.60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7000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151200.00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浙江教育</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口算小能手(3上)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16.80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1500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25200.00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浙江教育</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口算小能手(4上)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16.80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1500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25200.00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浙江教育</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口算小能手(5上)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16.80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1500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25200.00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浙江教育</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口算小能手(6上)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16.80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1500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25200.00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浙江大学</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学数学长智慧(3上)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20.00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1500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30000.00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浙江大学</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学数学长智慧(4上)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25.00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1500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37500.00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浙江大学</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学数学长智慧(5上)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25.00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1500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37500.00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浙江大学</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学数学长智慧(6上)</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25.00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1500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37500.00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浙江科技</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走进国学(3年级)/经典润泽生命读本</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10.70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14000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149800.00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浙江科技</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走进国学(4年级)/经典润泽生命读本</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11.30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14000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158200.00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浙江科技</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走进国学(5年级)/经典润泽生命读本</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11.00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14000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154000.00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浙江科技</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走进国学(6年级)/经典润泽生命读本</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11.70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15000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175500.00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浙江科技</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走进国学(中学卷上)/经典润泽生命读本</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8.30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14000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116200.00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浙江科技</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走进国学(中学卷下)/经典润泽生命读本</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7.00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14000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98000.00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浙江教育</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口算小能手(3下)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16.80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1500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25200.00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浙江教育</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口算小能手(4下)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16.80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1500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25200.00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浙江教育</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口算小能手(5下)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16.80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1500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25200.00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浙江教育</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口算小能手(6下)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16.80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1500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25200.00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浙江大学</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学数学长智慧(3下)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20.00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1500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30000.00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浙江大学</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学数学长智慧(4下)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25.00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1500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37500.00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浙江大学</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学数学长智慧(5下)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25.00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1500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37500.00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浙江大学</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学数学长智慧(6下)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25.00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1500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37500.00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语文 三年级下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5.25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110187.00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语文 四年级下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5.54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116235.00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语文 五年级下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6.11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128331.00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语文 六年级下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6.40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22500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143977.50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数学 三年级下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7.26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19500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141628.50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数学 四年级下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6.98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19500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136012.50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数学 五年级下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6.11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19500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119164.50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数学 六年级下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8.42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176715.00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英语 三年级下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6.40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134379.00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英语 四年级下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6.69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140427.00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英语 五年级下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6.69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140427.00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英语 六年级下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5.82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22500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131017.50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科学 三年级下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4.38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92043.00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科学 四年级下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4.38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92043.00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科学 五年级下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4.67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98091.00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科学 六年级下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4.38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22500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98617.50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语文 七年级下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11.01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231147.00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语文 八年级下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11.30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237195.00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语文 九年级下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17.63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370251.00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数学 七年级下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8.70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182763.00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数学 八年级下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9.57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200907.00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数学 九年级下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13.89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291627.00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英语 七年级下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15.04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315819.00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英语 八年级下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16.48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346059.00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英语 九年级下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12.45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14000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174258.00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科学 七年级下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8.70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182763.00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科学 八年级下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9.28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194859.00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科学 九年级下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17.63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370251.00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道德与法治 七年级下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8.42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176715.00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道德与法治 八年级下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7.26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152523.00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道德与法治 九年级下</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11.01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231147.00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历史与社会(中国历史7下)/学能评价</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11.51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241710.00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历史与社会(中国历史8下)/学能评价</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12.40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260400.00 </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历史与社会(世界历史9下)/学能评价</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13.29 </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279090.00 </w:t>
            </w:r>
          </w:p>
        </w:tc>
      </w:tr>
      <w:tr>
        <w:tblPrEx>
          <w:tblCellMar>
            <w:top w:w="0" w:type="dxa"/>
            <w:left w:w="108" w:type="dxa"/>
            <w:bottom w:w="0" w:type="dxa"/>
            <w:right w:w="108" w:type="dxa"/>
          </w:tblCellMar>
        </w:tblPrEx>
        <w:trPr>
          <w:trHeight w:val="550" w:hRule="atLeast"/>
          <w:jc w:val="center"/>
        </w:trPr>
        <w:tc>
          <w:tcPr>
            <w:tcW w:w="646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eastAsia="zh-CN"/>
              </w:rPr>
            </w:pPr>
            <w:r>
              <w:rPr>
                <w:rFonts w:hint="eastAsia" w:cs="宋体" w:asciiTheme="minorEastAsia" w:hAnsiTheme="minorEastAsia"/>
                <w:b/>
                <w:bCs w:val="0"/>
                <w:sz w:val="22"/>
                <w:szCs w:val="18"/>
              </w:rPr>
              <w:t>《走进国学》、《巩固</w:t>
            </w:r>
            <w:r>
              <w:rPr>
                <w:rFonts w:hint="eastAsia" w:cs="宋体" w:asciiTheme="minorEastAsia" w:hAnsiTheme="minorEastAsia"/>
                <w:b/>
                <w:bCs w:val="0"/>
                <w:sz w:val="22"/>
                <w:szCs w:val="18"/>
                <w:lang w:val="en-US" w:eastAsia="zh-CN"/>
              </w:rPr>
              <w:t>与</w:t>
            </w:r>
            <w:r>
              <w:rPr>
                <w:rFonts w:hint="eastAsia" w:cs="宋体" w:asciiTheme="minorEastAsia" w:hAnsiTheme="minorEastAsia"/>
                <w:b/>
                <w:bCs w:val="0"/>
                <w:sz w:val="22"/>
                <w:szCs w:val="18"/>
              </w:rPr>
              <w:t>提高》、《学能评价》</w:t>
            </w:r>
            <w:r>
              <w:rPr>
                <w:rFonts w:hint="eastAsia" w:cs="宋体" w:asciiTheme="minorEastAsia" w:hAnsiTheme="minorEastAsia"/>
                <w:b/>
                <w:bCs w:val="0"/>
                <w:sz w:val="22"/>
                <w:szCs w:val="18"/>
                <w:lang w:eastAsia="zh-CN"/>
              </w:rPr>
              <w:t>等小计</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1629500</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fldChar w:fldCharType="begin"/>
            </w:r>
            <w:r>
              <w:rPr>
                <w:rFonts w:hint="eastAsia" w:ascii="宋体" w:hAnsi="宋体" w:eastAsia="宋体" w:cs="宋体"/>
                <w:kern w:val="0"/>
                <w:sz w:val="22"/>
                <w:szCs w:val="22"/>
              </w:rPr>
              <w:instrText xml:space="preserve"> = sum(E45:E158) \* MERGEFORMAT </w:instrText>
            </w:r>
            <w:r>
              <w:rPr>
                <w:rFonts w:hint="eastAsia" w:ascii="宋体" w:hAnsi="宋体" w:eastAsia="宋体" w:cs="宋体"/>
                <w:kern w:val="0"/>
                <w:sz w:val="22"/>
                <w:szCs w:val="22"/>
              </w:rPr>
              <w:fldChar w:fldCharType="separate"/>
            </w:r>
            <w:r>
              <w:rPr>
                <w:rFonts w:hint="eastAsia" w:ascii="宋体" w:hAnsi="宋体" w:eastAsia="宋体" w:cs="宋体"/>
                <w:kern w:val="0"/>
                <w:sz w:val="22"/>
                <w:szCs w:val="22"/>
              </w:rPr>
              <w:t>15271550</w:t>
            </w:r>
            <w:r>
              <w:rPr>
                <w:rFonts w:hint="eastAsia" w:ascii="宋体" w:hAnsi="宋体" w:eastAsia="宋体" w:cs="宋体"/>
                <w:kern w:val="0"/>
                <w:sz w:val="22"/>
                <w:szCs w:val="22"/>
              </w:rPr>
              <w:fldChar w:fldCharType="end"/>
            </w:r>
          </w:p>
        </w:tc>
      </w:tr>
      <w:tr>
        <w:tblPrEx>
          <w:tblCellMar>
            <w:top w:w="0" w:type="dxa"/>
            <w:left w:w="108" w:type="dxa"/>
            <w:bottom w:w="0" w:type="dxa"/>
            <w:right w:w="108" w:type="dxa"/>
          </w:tblCellMar>
        </w:tblPrEx>
        <w:trPr>
          <w:trHeight w:val="596" w:hRule="atLeast"/>
          <w:jc w:val="center"/>
        </w:trPr>
        <w:tc>
          <w:tcPr>
            <w:tcW w:w="646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eastAsia="zh-CN"/>
              </w:rPr>
              <w:t>总</w:t>
            </w:r>
            <w:r>
              <w:rPr>
                <w:rFonts w:hint="eastAsia" w:ascii="宋体" w:hAnsi="宋体" w:cs="宋体"/>
                <w:kern w:val="0"/>
                <w:sz w:val="22"/>
                <w:szCs w:val="22"/>
                <w:lang w:val="en-US" w:eastAsia="zh-CN"/>
              </w:rPr>
              <w:t xml:space="preserve">   </w:t>
            </w:r>
            <w:r>
              <w:rPr>
                <w:rFonts w:hint="eastAsia" w:ascii="宋体" w:hAnsi="宋体" w:cs="宋体"/>
                <w:kern w:val="0"/>
                <w:sz w:val="22"/>
                <w:szCs w:val="22"/>
                <w:lang w:eastAsia="zh-CN"/>
              </w:rPr>
              <w:t>计</w:t>
            </w:r>
          </w:p>
        </w:tc>
        <w:tc>
          <w:tcPr>
            <w:tcW w:w="10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2618000 </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26270445.00 </w:t>
            </w:r>
          </w:p>
        </w:tc>
      </w:tr>
    </w:tbl>
    <w:p>
      <w:pPr>
        <w:pStyle w:val="4"/>
        <w:numPr>
          <w:ilvl w:val="0"/>
          <w:numId w:val="0"/>
        </w:numPr>
        <w:outlineLvl w:val="2"/>
        <w:rPr>
          <w:rFonts w:hint="eastAsia" w:ascii="宋体" w:hAnsi="宋体" w:eastAsia="宋体" w:cs="宋体"/>
          <w:b/>
          <w:bCs/>
          <w:color w:val="000000"/>
          <w:sz w:val="24"/>
          <w:szCs w:val="18"/>
          <w:highlight w:val="none"/>
          <w:lang w:eastAsia="zh-CN"/>
        </w:rPr>
      </w:pPr>
    </w:p>
    <w:p>
      <w:pPr>
        <w:keepNext w:val="0"/>
        <w:keepLines w:val="0"/>
        <w:pageBreakBefore w:val="0"/>
        <w:widowControl/>
        <w:kinsoku/>
        <w:wordWrap/>
        <w:overflowPunct/>
        <w:topLinePunct w:val="0"/>
        <w:bidi w:val="0"/>
        <w:snapToGrid/>
        <w:spacing w:line="440" w:lineRule="exact"/>
        <w:textAlignment w:val="auto"/>
        <w:rPr>
          <w:rFonts w:hint="eastAsia" w:eastAsia="宋体" w:cs="宋体" w:asciiTheme="minorEastAsia" w:hAnsiTheme="minorEastAsia"/>
          <w:b/>
          <w:bCs/>
          <w:sz w:val="24"/>
          <w:lang w:eastAsia="zh-CN"/>
        </w:rPr>
      </w:pPr>
      <w:r>
        <w:rPr>
          <w:rFonts w:hint="eastAsia" w:ascii="仿宋" w:hAnsi="仿宋" w:eastAsia="仿宋"/>
          <w:color w:val="000000"/>
          <w:sz w:val="24"/>
        </w:rPr>
        <w:t>▲</w:t>
      </w:r>
      <w:r>
        <w:rPr>
          <w:rFonts w:hint="eastAsia" w:cs="宋体" w:asciiTheme="minorEastAsia" w:hAnsiTheme="minorEastAsia"/>
          <w:b/>
          <w:bCs/>
          <w:sz w:val="24"/>
          <w:lang w:eastAsia="zh-CN"/>
        </w:rPr>
        <w:t>三</w:t>
      </w:r>
      <w:r>
        <w:rPr>
          <w:rFonts w:hint="eastAsia" w:cs="宋体" w:asciiTheme="minorEastAsia" w:hAnsiTheme="minorEastAsia"/>
          <w:b/>
          <w:bCs/>
          <w:sz w:val="24"/>
        </w:rPr>
        <w:t>、报价</w:t>
      </w:r>
      <w:r>
        <w:rPr>
          <w:rFonts w:hint="eastAsia" w:cs="宋体" w:asciiTheme="minorEastAsia" w:hAnsiTheme="minorEastAsia"/>
          <w:b/>
          <w:bCs/>
          <w:sz w:val="24"/>
          <w:lang w:eastAsia="zh-CN"/>
        </w:rPr>
        <w:t>要求</w:t>
      </w:r>
    </w:p>
    <w:p>
      <w:pPr>
        <w:keepNext w:val="0"/>
        <w:keepLines w:val="0"/>
        <w:pageBreakBefore w:val="0"/>
        <w:widowControl/>
        <w:kinsoku/>
        <w:wordWrap/>
        <w:overflowPunct/>
        <w:topLinePunct w:val="0"/>
        <w:bidi w:val="0"/>
        <w:snapToGrid/>
        <w:spacing w:line="440" w:lineRule="exact"/>
        <w:textAlignment w:val="auto"/>
        <w:rPr>
          <w:rFonts w:cs="宋体" w:asciiTheme="minorEastAsia" w:hAnsiTheme="minorEastAsia"/>
          <w:bCs/>
          <w:sz w:val="24"/>
        </w:rPr>
      </w:pPr>
      <w:r>
        <w:rPr>
          <w:rFonts w:hint="eastAsia" w:cs="宋体" w:asciiTheme="minorEastAsia" w:hAnsiTheme="minorEastAsia"/>
          <w:bCs/>
          <w:sz w:val="24"/>
        </w:rPr>
        <w:t>《爱国主义读书活动》、《心理健康》、《安全教育资源包》、《语文素养读本》折扣率不得高于86%，《走进国学》、《巩固</w:t>
      </w:r>
      <w:r>
        <w:rPr>
          <w:rFonts w:hint="eastAsia" w:cs="宋体" w:asciiTheme="minorEastAsia" w:hAnsiTheme="minorEastAsia"/>
          <w:bCs/>
          <w:sz w:val="24"/>
          <w:lang w:val="en-US" w:eastAsia="zh-CN"/>
        </w:rPr>
        <w:t>与</w:t>
      </w:r>
      <w:r>
        <w:rPr>
          <w:rFonts w:hint="eastAsia" w:cs="宋体" w:asciiTheme="minorEastAsia" w:hAnsiTheme="minorEastAsia"/>
          <w:bCs/>
          <w:sz w:val="24"/>
        </w:rPr>
        <w:t>提高》、《学能评价》折扣率不得高于96%。</w:t>
      </w:r>
    </w:p>
    <w:p>
      <w:pPr>
        <w:keepNext w:val="0"/>
        <w:keepLines w:val="0"/>
        <w:pageBreakBefore w:val="0"/>
        <w:widowControl/>
        <w:kinsoku/>
        <w:wordWrap/>
        <w:overflowPunct/>
        <w:topLinePunct w:val="0"/>
        <w:bidi w:val="0"/>
        <w:snapToGrid/>
        <w:spacing w:line="440" w:lineRule="exact"/>
        <w:textAlignment w:val="auto"/>
        <w:rPr>
          <w:rFonts w:hint="eastAsia" w:asciiTheme="minorEastAsia" w:hAnsiTheme="minorEastAsia" w:cstheme="minorEastAsia"/>
          <w:b/>
          <w:bCs w:val="0"/>
          <w:sz w:val="24"/>
        </w:rPr>
      </w:pPr>
      <w:r>
        <w:rPr>
          <w:rFonts w:hint="eastAsia" w:asciiTheme="minorEastAsia" w:hAnsiTheme="minorEastAsia" w:cstheme="minorEastAsia"/>
          <w:b/>
          <w:bCs w:val="0"/>
          <w:sz w:val="24"/>
        </w:rPr>
        <w:t>备注：</w:t>
      </w:r>
    </w:p>
    <w:p>
      <w:pPr>
        <w:keepNext w:val="0"/>
        <w:keepLines w:val="0"/>
        <w:pageBreakBefore w:val="0"/>
        <w:widowControl/>
        <w:kinsoku/>
        <w:wordWrap/>
        <w:overflowPunct/>
        <w:topLinePunct w:val="0"/>
        <w:bidi w:val="0"/>
        <w:snapToGrid/>
        <w:spacing w:line="440" w:lineRule="exact"/>
        <w:textAlignment w:val="auto"/>
        <w:rPr>
          <w:rFonts w:cs="宋体" w:asciiTheme="minorEastAsia" w:hAnsiTheme="minorEastAsia"/>
          <w:kern w:val="0"/>
          <w:sz w:val="24"/>
        </w:rPr>
      </w:pPr>
      <w:r>
        <w:rPr>
          <w:rFonts w:hint="eastAsia" w:asciiTheme="minorEastAsia" w:hAnsiTheme="minorEastAsia"/>
          <w:kern w:val="0"/>
          <w:sz w:val="24"/>
          <w:lang w:val="en-US" w:eastAsia="zh-CN"/>
        </w:rPr>
        <w:t>1、</w:t>
      </w:r>
      <w:r>
        <w:rPr>
          <w:rFonts w:hint="eastAsia" w:cs="宋体" w:asciiTheme="minorEastAsia" w:hAnsiTheme="minorEastAsia"/>
          <w:bCs/>
          <w:sz w:val="24"/>
        </w:rPr>
        <w:t>折扣率计算公式如下：报价折扣率=实洋/码洋。例如：打八折，折扣率为80%。七折，折扣率为70%。实际结算价=码洋×报价折扣率。</w:t>
      </w:r>
    </w:p>
    <w:p>
      <w:pPr>
        <w:keepNext w:val="0"/>
        <w:keepLines w:val="0"/>
        <w:pageBreakBefore w:val="0"/>
        <w:widowControl/>
        <w:kinsoku/>
        <w:wordWrap/>
        <w:overflowPunct/>
        <w:topLinePunct w:val="0"/>
        <w:bidi w:val="0"/>
        <w:snapToGrid/>
        <w:spacing w:line="440" w:lineRule="exact"/>
        <w:textAlignment w:val="auto"/>
        <w:rPr>
          <w:rFonts w:cs="宋体" w:asciiTheme="minorEastAsia" w:hAnsiTheme="minorEastAsia"/>
          <w:sz w:val="24"/>
        </w:rPr>
      </w:pPr>
      <w:r>
        <w:rPr>
          <w:rFonts w:hint="eastAsia" w:cs="宋体" w:asciiTheme="minorEastAsia" w:hAnsiTheme="minorEastAsia"/>
          <w:sz w:val="24"/>
          <w:lang w:val="en-US" w:eastAsia="zh-CN"/>
        </w:rPr>
        <w:t>2、</w:t>
      </w:r>
      <w:r>
        <w:rPr>
          <w:rFonts w:hint="eastAsia" w:cs="宋体" w:asciiTheme="minorEastAsia" w:hAnsiTheme="minorEastAsia"/>
          <w:sz w:val="24"/>
        </w:rPr>
        <w:t>折扣率（％）＝教材实际购买价/教材书面标价，折扣率小数点后保留两位小数（例：88.88%）。</w:t>
      </w:r>
    </w:p>
    <w:p>
      <w:pPr>
        <w:keepNext w:val="0"/>
        <w:keepLines w:val="0"/>
        <w:pageBreakBefore w:val="0"/>
        <w:widowControl/>
        <w:kinsoku/>
        <w:wordWrap/>
        <w:overflowPunct/>
        <w:topLinePunct w:val="0"/>
        <w:bidi w:val="0"/>
        <w:snapToGrid/>
        <w:spacing w:line="440" w:lineRule="exact"/>
        <w:textAlignment w:val="auto"/>
        <w:rPr>
          <w:rFonts w:asciiTheme="minorEastAsia" w:hAnsiTheme="minorEastAsia" w:cstheme="minorEastAsia"/>
          <w:bCs/>
          <w:sz w:val="24"/>
        </w:rPr>
      </w:pPr>
      <w:r>
        <w:rPr>
          <w:rFonts w:hint="eastAsia" w:cs="宋体" w:asciiTheme="minorEastAsia" w:hAnsiTheme="minorEastAsia"/>
          <w:kern w:val="0"/>
          <w:sz w:val="24"/>
          <w:lang w:val="en-US" w:eastAsia="zh-CN"/>
        </w:rPr>
        <w:t>3、</w:t>
      </w:r>
      <w:r>
        <w:rPr>
          <w:rFonts w:hint="eastAsia" w:cs="宋体" w:asciiTheme="minorEastAsia" w:hAnsiTheme="minorEastAsia"/>
          <w:kern w:val="0"/>
          <w:sz w:val="24"/>
        </w:rPr>
        <w:t>教材实际</w:t>
      </w:r>
      <w:r>
        <w:rPr>
          <w:rFonts w:hint="eastAsia" w:asciiTheme="minorEastAsia" w:hAnsiTheme="minorEastAsia"/>
          <w:kern w:val="0"/>
          <w:sz w:val="24"/>
        </w:rPr>
        <w:t>购买价含教材的一切费用及后期处理和加工的费用。</w:t>
      </w:r>
    </w:p>
    <w:p>
      <w:pPr>
        <w:keepNext w:val="0"/>
        <w:keepLines w:val="0"/>
        <w:pageBreakBefore w:val="0"/>
        <w:widowControl/>
        <w:kinsoku/>
        <w:wordWrap/>
        <w:overflowPunct/>
        <w:topLinePunct w:val="0"/>
        <w:bidi w:val="0"/>
        <w:snapToGrid/>
        <w:spacing w:line="440" w:lineRule="exact"/>
        <w:textAlignment w:val="auto"/>
        <w:rPr>
          <w:rFonts w:cs="Times New Roman" w:asciiTheme="minorEastAsia" w:hAnsiTheme="minorEastAsia"/>
          <w:sz w:val="24"/>
        </w:rPr>
      </w:pPr>
      <w:r>
        <w:rPr>
          <w:rFonts w:hint="eastAsia" w:asciiTheme="minorEastAsia" w:hAnsiTheme="minorEastAsia"/>
          <w:kern w:val="0"/>
          <w:sz w:val="24"/>
          <w:lang w:val="en-US" w:eastAsia="zh-CN"/>
        </w:rPr>
        <w:t>4、</w:t>
      </w:r>
      <w:r>
        <w:rPr>
          <w:rFonts w:hint="eastAsia" w:asciiTheme="minorEastAsia" w:hAnsiTheme="minorEastAsia"/>
          <w:sz w:val="24"/>
        </w:rPr>
        <w:t>投标报价为完成本项目的所有费用，包括供货、运输、装卸、保险、税金、验收、售后服务等所有涉及的费用。</w:t>
      </w:r>
    </w:p>
    <w:p>
      <w:pPr>
        <w:pStyle w:val="96"/>
        <w:keepNext w:val="0"/>
        <w:keepLines w:val="0"/>
        <w:pageBreakBefore w:val="0"/>
        <w:widowControl/>
        <w:kinsoku/>
        <w:wordWrap/>
        <w:overflowPunct/>
        <w:topLinePunct w:val="0"/>
        <w:bidi w:val="0"/>
        <w:snapToGrid/>
        <w:spacing w:line="440" w:lineRule="exact"/>
        <w:textAlignment w:val="auto"/>
        <w:rPr>
          <w:rFonts w:cs="Times New Roman" w:asciiTheme="minorEastAsia" w:hAnsiTheme="minorEastAsia"/>
          <w:sz w:val="24"/>
        </w:rPr>
      </w:pPr>
      <w:r>
        <w:rPr>
          <w:rFonts w:hint="eastAsia" w:asciiTheme="minorEastAsia" w:hAnsiTheme="minorEastAsia" w:eastAsiaTheme="minorEastAsia"/>
          <w:kern w:val="2"/>
          <w:szCs w:val="24"/>
          <w:lang w:val="en-US" w:eastAsia="zh-CN"/>
        </w:rPr>
        <w:t>5、</w:t>
      </w:r>
      <w:r>
        <w:rPr>
          <w:rFonts w:hint="eastAsia" w:asciiTheme="minorEastAsia" w:hAnsiTheme="minorEastAsia" w:eastAsiaTheme="minorEastAsia"/>
          <w:kern w:val="2"/>
          <w:szCs w:val="24"/>
          <w:lang w:val="en-US"/>
        </w:rPr>
        <w:t>因学生人数变化、且教材实行定价审核，具体金额以实际发生数为准。</w:t>
      </w:r>
    </w:p>
    <w:p>
      <w:pPr>
        <w:keepNext w:val="0"/>
        <w:keepLines w:val="0"/>
        <w:pageBreakBefore w:val="0"/>
        <w:widowControl/>
        <w:kinsoku/>
        <w:wordWrap/>
        <w:overflowPunct/>
        <w:topLinePunct w:val="0"/>
        <w:autoSpaceDE w:val="0"/>
        <w:autoSpaceDN w:val="0"/>
        <w:bidi w:val="0"/>
        <w:adjustRightInd w:val="0"/>
        <w:snapToGrid/>
        <w:spacing w:line="440" w:lineRule="exact"/>
        <w:textAlignment w:val="auto"/>
        <w:rPr>
          <w:rFonts w:cs="Arial" w:asciiTheme="minorEastAsia" w:hAnsiTheme="minorEastAsia"/>
          <w:b/>
          <w:bCs/>
          <w:sz w:val="24"/>
          <w:lang w:val="zh-CN"/>
        </w:rPr>
      </w:pPr>
      <w:r>
        <w:rPr>
          <w:rFonts w:hint="eastAsia" w:ascii="宋体" w:hAnsi="宋体"/>
          <w:b/>
          <w:sz w:val="24"/>
          <w:lang w:eastAsia="zh-CN"/>
        </w:rPr>
        <w:t>四</w:t>
      </w:r>
      <w:r>
        <w:rPr>
          <w:rFonts w:hint="eastAsia" w:ascii="宋体" w:hAnsi="宋体"/>
          <w:b/>
          <w:sz w:val="24"/>
        </w:rPr>
        <w:t>、</w:t>
      </w:r>
      <w:r>
        <w:rPr>
          <w:rFonts w:hint="eastAsia" w:cs="Arial" w:asciiTheme="minorEastAsia" w:hAnsiTheme="minorEastAsia"/>
          <w:b/>
          <w:bCs/>
          <w:sz w:val="24"/>
          <w:lang w:val="zh-CN"/>
        </w:rPr>
        <w:t>质量保证和售后服务要求</w:t>
      </w:r>
    </w:p>
    <w:p>
      <w:pPr>
        <w:keepNext w:val="0"/>
        <w:keepLines w:val="0"/>
        <w:pageBreakBefore w:val="0"/>
        <w:widowControl/>
        <w:kinsoku/>
        <w:wordWrap/>
        <w:overflowPunct/>
        <w:topLinePunct w:val="0"/>
        <w:bidi w:val="0"/>
        <w:snapToGrid/>
        <w:spacing w:line="440" w:lineRule="exact"/>
        <w:textAlignment w:val="auto"/>
        <w:rPr>
          <w:rFonts w:hint="eastAsia" w:cs="Arial" w:asciiTheme="minorEastAsia" w:hAnsiTheme="minorEastAsia"/>
          <w:sz w:val="24"/>
          <w:lang w:val="zh-CN"/>
        </w:rPr>
      </w:pPr>
      <w:r>
        <w:rPr>
          <w:rFonts w:hint="eastAsia" w:cs="Arial" w:asciiTheme="minorEastAsia" w:hAnsiTheme="minorEastAsia"/>
          <w:sz w:val="24"/>
          <w:lang w:val="en-US" w:eastAsia="zh-CN"/>
        </w:rPr>
        <w:t>1、</w:t>
      </w:r>
      <w:r>
        <w:rPr>
          <w:rFonts w:hint="eastAsia" w:cs="Arial" w:asciiTheme="minorEastAsia" w:hAnsiTheme="minorEastAsia"/>
          <w:sz w:val="24"/>
          <w:lang w:val="zh-CN"/>
        </w:rPr>
        <w:t>质量要求：合格及以上，符合国家最新颁布的有关标准和规范要求（如无国家规定和要求的，按承诺和厂方“三包”规定）。</w:t>
      </w:r>
    </w:p>
    <w:p>
      <w:pPr>
        <w:keepNext w:val="0"/>
        <w:keepLines w:val="0"/>
        <w:pageBreakBefore w:val="0"/>
        <w:widowControl/>
        <w:kinsoku/>
        <w:wordWrap/>
        <w:overflowPunct/>
        <w:topLinePunct w:val="0"/>
        <w:autoSpaceDE w:val="0"/>
        <w:autoSpaceDN w:val="0"/>
        <w:bidi w:val="0"/>
        <w:adjustRightInd w:val="0"/>
        <w:snapToGrid/>
        <w:spacing w:line="440" w:lineRule="exact"/>
        <w:textAlignment w:val="auto"/>
        <w:rPr>
          <w:rFonts w:cs="Arial" w:asciiTheme="minorEastAsia" w:hAnsiTheme="minorEastAsia"/>
          <w:sz w:val="24"/>
          <w:lang w:val="zh-CN"/>
        </w:rPr>
      </w:pPr>
      <w:r>
        <w:rPr>
          <w:rFonts w:hint="eastAsia" w:cs="Arial" w:asciiTheme="minorEastAsia" w:hAnsiTheme="minorEastAsia"/>
          <w:sz w:val="24"/>
          <w:lang w:val="en-US" w:eastAsia="zh-CN"/>
        </w:rPr>
        <w:t>2、</w:t>
      </w:r>
      <w:r>
        <w:rPr>
          <w:rFonts w:hint="eastAsia" w:cs="Arial" w:asciiTheme="minorEastAsia" w:hAnsiTheme="minorEastAsia"/>
          <w:sz w:val="24"/>
          <w:lang w:val="zh-CN"/>
        </w:rPr>
        <w:t>售后服务：对错入教材、出现印刷装订等问题的教材，</w:t>
      </w:r>
      <w:r>
        <w:rPr>
          <w:rFonts w:hint="eastAsia" w:cs="Arial" w:asciiTheme="minorEastAsia" w:hAnsiTheme="minorEastAsia"/>
          <w:sz w:val="24"/>
        </w:rPr>
        <w:t>中标人</w:t>
      </w:r>
      <w:r>
        <w:rPr>
          <w:rFonts w:hint="eastAsia" w:cs="Arial" w:asciiTheme="minorEastAsia" w:hAnsiTheme="minorEastAsia"/>
          <w:sz w:val="24"/>
          <w:lang w:val="zh-CN"/>
        </w:rPr>
        <w:t>应在接到通知后立即做出安排在24小时内上门服务。</w:t>
      </w:r>
    </w:p>
    <w:p>
      <w:pPr>
        <w:keepNext w:val="0"/>
        <w:keepLines w:val="0"/>
        <w:pageBreakBefore w:val="0"/>
        <w:widowControl/>
        <w:kinsoku/>
        <w:wordWrap/>
        <w:overflowPunct/>
        <w:topLinePunct w:val="0"/>
        <w:autoSpaceDE w:val="0"/>
        <w:autoSpaceDN w:val="0"/>
        <w:bidi w:val="0"/>
        <w:adjustRightInd w:val="0"/>
        <w:snapToGrid/>
        <w:spacing w:line="440" w:lineRule="exact"/>
        <w:textAlignment w:val="auto"/>
        <w:rPr>
          <w:rFonts w:cs="Arial" w:asciiTheme="minorEastAsia" w:hAnsiTheme="minorEastAsia"/>
          <w:sz w:val="24"/>
          <w:lang w:val="zh-CN"/>
        </w:rPr>
      </w:pPr>
      <w:r>
        <w:rPr>
          <w:rFonts w:hint="eastAsia" w:cs="Arial" w:asciiTheme="minorEastAsia" w:hAnsiTheme="minorEastAsia"/>
          <w:sz w:val="24"/>
          <w:lang w:val="en-US" w:eastAsia="zh-CN"/>
        </w:rPr>
        <w:t>3、</w:t>
      </w:r>
      <w:r>
        <w:rPr>
          <w:rFonts w:hint="eastAsia" w:cs="Arial" w:asciiTheme="minorEastAsia" w:hAnsiTheme="minorEastAsia"/>
          <w:sz w:val="24"/>
          <w:lang w:val="zh-CN"/>
        </w:rPr>
        <w:t>中标人负责将所订教材按规定免费送达指定地点；中标人根据采购人的要求打包。中标人在教材发运前一天，应及时通知采购人，以便采购人准备接货、验收。</w:t>
      </w:r>
    </w:p>
    <w:p>
      <w:pPr>
        <w:keepNext w:val="0"/>
        <w:keepLines w:val="0"/>
        <w:pageBreakBefore w:val="0"/>
        <w:widowControl/>
        <w:kinsoku/>
        <w:wordWrap/>
        <w:overflowPunct/>
        <w:topLinePunct w:val="0"/>
        <w:autoSpaceDE w:val="0"/>
        <w:autoSpaceDN w:val="0"/>
        <w:bidi w:val="0"/>
        <w:adjustRightInd w:val="0"/>
        <w:snapToGrid/>
        <w:spacing w:line="440" w:lineRule="exact"/>
        <w:textAlignment w:val="auto"/>
        <w:rPr>
          <w:rFonts w:cs="Arial" w:asciiTheme="minorEastAsia" w:hAnsiTheme="minorEastAsia"/>
          <w:sz w:val="24"/>
          <w:lang w:val="zh-CN"/>
        </w:rPr>
      </w:pPr>
      <w:r>
        <w:rPr>
          <w:rFonts w:hint="eastAsia" w:cs="Arial" w:asciiTheme="minorEastAsia" w:hAnsiTheme="minorEastAsia"/>
          <w:sz w:val="24"/>
          <w:lang w:val="en-US" w:eastAsia="zh-CN"/>
        </w:rPr>
        <w:t>4、</w:t>
      </w:r>
      <w:r>
        <w:rPr>
          <w:rFonts w:hint="eastAsia" w:cs="Arial" w:asciiTheme="minorEastAsia" w:hAnsiTheme="minorEastAsia"/>
          <w:sz w:val="24"/>
          <w:lang w:val="zh-CN"/>
        </w:rPr>
        <w:t>教材验收后六个月内，如有错页、漏页、倒装、印刷模糊等质量问题教材，中标人应予无条件调换。发现教材与订购不符时，无论加工与否一律退换，费用由中标人负责。</w:t>
      </w:r>
    </w:p>
    <w:p>
      <w:pPr>
        <w:keepNext w:val="0"/>
        <w:keepLines w:val="0"/>
        <w:pageBreakBefore w:val="0"/>
        <w:widowControl/>
        <w:kinsoku/>
        <w:wordWrap/>
        <w:overflowPunct/>
        <w:topLinePunct w:val="0"/>
        <w:bidi w:val="0"/>
        <w:snapToGrid/>
        <w:spacing w:line="440" w:lineRule="exact"/>
        <w:textAlignment w:val="auto"/>
        <w:rPr>
          <w:rFonts w:hint="eastAsia" w:cs="Arial" w:asciiTheme="minorEastAsia" w:hAnsiTheme="minorEastAsia"/>
          <w:sz w:val="24"/>
          <w:lang w:val="zh-CN"/>
        </w:rPr>
      </w:pPr>
      <w:r>
        <w:rPr>
          <w:rFonts w:hint="eastAsia" w:cs="Arial" w:asciiTheme="minorEastAsia" w:hAnsiTheme="minorEastAsia"/>
          <w:sz w:val="24"/>
          <w:lang w:val="en-US" w:eastAsia="zh-CN"/>
        </w:rPr>
        <w:t>5、</w:t>
      </w:r>
      <w:r>
        <w:rPr>
          <w:rFonts w:hint="eastAsia" w:cs="Arial" w:asciiTheme="minorEastAsia" w:hAnsiTheme="minorEastAsia"/>
          <w:sz w:val="24"/>
        </w:rPr>
        <w:t>中标人提供的</w:t>
      </w:r>
      <w:r>
        <w:rPr>
          <w:rFonts w:hint="eastAsia" w:cs="Arial" w:asciiTheme="minorEastAsia" w:hAnsiTheme="minorEastAsia"/>
          <w:sz w:val="24"/>
          <w:lang w:val="zh-CN"/>
        </w:rPr>
        <w:t>教材必须保证正版，无盗版教材，发现盗版教材，按提供伪劣商品处理，假一赔十，并追究其法律责任。</w:t>
      </w:r>
    </w:p>
    <w:p>
      <w:pPr>
        <w:keepNext w:val="0"/>
        <w:keepLines w:val="0"/>
        <w:pageBreakBefore w:val="0"/>
        <w:widowControl/>
        <w:kinsoku/>
        <w:wordWrap/>
        <w:overflowPunct/>
        <w:topLinePunct w:val="0"/>
        <w:bidi w:val="0"/>
        <w:snapToGrid/>
        <w:spacing w:line="440" w:lineRule="exact"/>
        <w:textAlignment w:val="auto"/>
        <w:rPr>
          <w:rFonts w:hint="eastAsia"/>
          <w:b/>
          <w:bCs/>
          <w:highlight w:val="none"/>
          <w:lang w:val="zh-CN"/>
        </w:rPr>
      </w:pPr>
      <w:r>
        <w:rPr>
          <w:rFonts w:hint="eastAsia" w:ascii="仿宋" w:hAnsi="仿宋" w:eastAsia="仿宋"/>
          <w:color w:val="000000"/>
          <w:sz w:val="24"/>
        </w:rPr>
        <w:t>▲</w:t>
      </w:r>
      <w:r>
        <w:rPr>
          <w:rFonts w:hint="eastAsia" w:cs="Arial" w:asciiTheme="minorEastAsia" w:hAnsiTheme="minorEastAsia"/>
          <w:b/>
          <w:bCs/>
          <w:sz w:val="24"/>
          <w:highlight w:val="none"/>
          <w:lang w:val="en-US" w:eastAsia="zh-CN"/>
        </w:rPr>
        <w:t>6、</w:t>
      </w:r>
      <w:r>
        <w:rPr>
          <w:rFonts w:hint="eastAsia" w:ascii="宋体" w:hAnsi="宋体" w:eastAsia="宋体" w:cs="宋体"/>
          <w:b/>
          <w:bCs/>
          <w:sz w:val="24"/>
          <w:szCs w:val="24"/>
          <w:highlight w:val="none"/>
        </w:rPr>
        <w:t>中标</w:t>
      </w:r>
      <w:r>
        <w:rPr>
          <w:rFonts w:hint="eastAsia" w:ascii="宋体" w:hAnsi="宋体" w:cs="宋体"/>
          <w:b/>
          <w:bCs/>
          <w:sz w:val="24"/>
          <w:szCs w:val="24"/>
          <w:highlight w:val="none"/>
          <w:lang w:eastAsia="zh-CN"/>
        </w:rPr>
        <w:t>后</w:t>
      </w:r>
      <w:r>
        <w:rPr>
          <w:rFonts w:hint="eastAsia" w:ascii="宋体" w:hAnsi="宋体" w:eastAsia="宋体" w:cs="宋体"/>
          <w:b/>
          <w:bCs/>
          <w:sz w:val="24"/>
          <w:szCs w:val="24"/>
          <w:highlight w:val="none"/>
        </w:rPr>
        <w:t>在签订合同时，须提供采购地方教材出版单位针对本项目的合法授权证明。</w:t>
      </w:r>
    </w:p>
    <w:p>
      <w:pPr>
        <w:keepNext w:val="0"/>
        <w:keepLines w:val="0"/>
        <w:pageBreakBefore w:val="0"/>
        <w:widowControl/>
        <w:kinsoku/>
        <w:wordWrap/>
        <w:overflowPunct/>
        <w:topLinePunct w:val="0"/>
        <w:bidi w:val="0"/>
        <w:snapToGrid/>
        <w:spacing w:line="440" w:lineRule="exact"/>
        <w:textAlignment w:val="auto"/>
        <w:rPr>
          <w:rFonts w:asciiTheme="minorEastAsia" w:hAnsiTheme="minorEastAsia"/>
          <w:b/>
          <w:sz w:val="24"/>
        </w:rPr>
      </w:pPr>
      <w:r>
        <w:rPr>
          <w:rFonts w:hint="eastAsia" w:asciiTheme="minorEastAsia" w:hAnsiTheme="minorEastAsia"/>
          <w:b/>
          <w:sz w:val="24"/>
          <w:lang w:eastAsia="zh-CN"/>
        </w:rPr>
        <w:t>五</w:t>
      </w:r>
      <w:r>
        <w:rPr>
          <w:rFonts w:hint="eastAsia" w:asciiTheme="minorEastAsia" w:hAnsiTheme="minorEastAsia"/>
          <w:b/>
          <w:sz w:val="24"/>
        </w:rPr>
        <w:t>、</w:t>
      </w:r>
      <w:r>
        <w:rPr>
          <w:rFonts w:hint="eastAsia" w:asciiTheme="minorEastAsia" w:hAnsiTheme="minorEastAsia"/>
          <w:b/>
          <w:sz w:val="24"/>
          <w:lang w:eastAsia="zh-CN"/>
        </w:rPr>
        <w:t>商务</w:t>
      </w:r>
      <w:r>
        <w:rPr>
          <w:rFonts w:hint="eastAsia" w:asciiTheme="minorEastAsia" w:hAnsiTheme="minorEastAsia"/>
          <w:b/>
          <w:sz w:val="24"/>
        </w:rPr>
        <w:t>要求</w:t>
      </w:r>
    </w:p>
    <w:p>
      <w:pPr>
        <w:keepNext w:val="0"/>
        <w:keepLines w:val="0"/>
        <w:pageBreakBefore w:val="0"/>
        <w:widowControl/>
        <w:kinsoku/>
        <w:wordWrap/>
        <w:overflowPunct/>
        <w:topLinePunct w:val="0"/>
        <w:bidi w:val="0"/>
        <w:snapToGrid/>
        <w:spacing w:line="440" w:lineRule="exact"/>
        <w:textAlignment w:val="auto"/>
        <w:rPr>
          <w:rFonts w:hint="eastAsia" w:asciiTheme="minorEastAsia" w:hAnsiTheme="minorEastAsia"/>
          <w:kern w:val="0"/>
          <w:sz w:val="24"/>
          <w:highlight w:val="none"/>
        </w:rPr>
      </w:pPr>
      <w:r>
        <w:rPr>
          <w:rFonts w:hint="eastAsia" w:asciiTheme="minorEastAsia" w:hAnsiTheme="minorEastAsia"/>
          <w:sz w:val="24"/>
        </w:rPr>
        <w:t>1</w:t>
      </w:r>
      <w:r>
        <w:rPr>
          <w:rFonts w:hint="eastAsia" w:asciiTheme="minorEastAsia" w:hAnsiTheme="minorEastAsia"/>
          <w:sz w:val="24"/>
          <w:lang w:eastAsia="zh-CN"/>
        </w:rPr>
        <w:t>、</w:t>
      </w:r>
      <w:r>
        <w:rPr>
          <w:rFonts w:hint="eastAsia" w:asciiTheme="minorEastAsia" w:hAnsiTheme="minorEastAsia"/>
          <w:sz w:val="24"/>
        </w:rPr>
        <w:t>交货</w:t>
      </w:r>
      <w:r>
        <w:rPr>
          <w:rFonts w:hint="eastAsia" w:asciiTheme="minorEastAsia" w:hAnsiTheme="minorEastAsia"/>
          <w:sz w:val="24"/>
          <w:lang w:eastAsia="zh-CN"/>
        </w:rPr>
        <w:t>方式和时间</w:t>
      </w:r>
      <w:r>
        <w:rPr>
          <w:rFonts w:hint="eastAsia" w:asciiTheme="minorEastAsia" w:hAnsiTheme="minorEastAsia"/>
          <w:sz w:val="24"/>
        </w:rPr>
        <w:t>：</w:t>
      </w:r>
      <w:r>
        <w:rPr>
          <w:rFonts w:hint="eastAsia" w:asciiTheme="minorEastAsia" w:hAnsiTheme="minorEastAsia"/>
          <w:sz w:val="24"/>
          <w:highlight w:val="none"/>
          <w:lang w:eastAsia="zh-CN"/>
        </w:rPr>
        <w:t>合同签订后，分批交货，每学期</w:t>
      </w:r>
      <w:r>
        <w:rPr>
          <w:rFonts w:hint="eastAsia" w:asciiTheme="minorEastAsia" w:hAnsiTheme="minorEastAsia"/>
          <w:kern w:val="0"/>
          <w:sz w:val="24"/>
          <w:highlight w:val="none"/>
        </w:rPr>
        <w:t>接</w:t>
      </w:r>
      <w:r>
        <w:rPr>
          <w:rFonts w:hint="eastAsia" w:asciiTheme="minorEastAsia" w:hAnsiTheme="minorEastAsia"/>
          <w:kern w:val="0"/>
          <w:sz w:val="24"/>
          <w:highlight w:val="none"/>
          <w:lang w:eastAsia="zh-CN"/>
        </w:rPr>
        <w:t>采购人</w:t>
      </w:r>
      <w:r>
        <w:rPr>
          <w:rFonts w:hint="eastAsia" w:asciiTheme="minorEastAsia" w:hAnsiTheme="minorEastAsia"/>
          <w:kern w:val="0"/>
          <w:sz w:val="24"/>
          <w:highlight w:val="none"/>
        </w:rPr>
        <w:t>通知后15个工作日内。</w:t>
      </w:r>
    </w:p>
    <w:p>
      <w:pPr>
        <w:keepNext w:val="0"/>
        <w:keepLines w:val="0"/>
        <w:pageBreakBefore w:val="0"/>
        <w:widowControl/>
        <w:kinsoku/>
        <w:wordWrap/>
        <w:overflowPunct/>
        <w:topLinePunct w:val="0"/>
        <w:bidi w:val="0"/>
        <w:snapToGrid/>
        <w:spacing w:line="440" w:lineRule="exact"/>
        <w:textAlignment w:val="auto"/>
        <w:rPr>
          <w:rFonts w:hint="eastAsia" w:eastAsia="宋体" w:asciiTheme="minorEastAsia" w:hAnsiTheme="minorEastAsia"/>
          <w:kern w:val="0"/>
          <w:sz w:val="24"/>
          <w:lang w:val="en-US" w:eastAsia="zh-CN"/>
        </w:rPr>
      </w:pPr>
      <w:r>
        <w:rPr>
          <w:rFonts w:hint="eastAsia" w:asciiTheme="minorEastAsia" w:hAnsiTheme="minorEastAsia"/>
          <w:kern w:val="0"/>
          <w:sz w:val="24"/>
          <w:lang w:val="en-US" w:eastAsia="zh-CN"/>
        </w:rPr>
        <w:t>2、交货地点：采购人指定地点</w:t>
      </w:r>
    </w:p>
    <w:p>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sz w:val="24"/>
          <w:szCs w:val="24"/>
          <w:highlight w:val="yellow"/>
        </w:rPr>
      </w:pPr>
      <w:r>
        <w:rPr>
          <w:rFonts w:hint="eastAsia" w:asciiTheme="minorEastAsia" w:hAnsiTheme="minorEastAsia"/>
          <w:sz w:val="24"/>
          <w:lang w:val="en-US" w:eastAsia="zh-CN"/>
        </w:rPr>
        <w:t>3、</w:t>
      </w:r>
      <w:r>
        <w:rPr>
          <w:rFonts w:hint="eastAsia" w:asciiTheme="minorEastAsia" w:hAnsiTheme="minorEastAsia"/>
          <w:sz w:val="24"/>
        </w:rPr>
        <w:t>付款方式：</w:t>
      </w:r>
      <w:r>
        <w:rPr>
          <w:rFonts w:hint="eastAsia" w:asciiTheme="minorEastAsia" w:hAnsiTheme="minorEastAsia"/>
          <w:sz w:val="24"/>
          <w:highlight w:val="none"/>
        </w:rPr>
        <w:t>结算价按实际供货数量×定价×中标折扣率结算</w:t>
      </w:r>
      <w:r>
        <w:rPr>
          <w:rFonts w:hint="eastAsia" w:asciiTheme="minorEastAsia" w:hAnsiTheme="minorEastAsia"/>
          <w:sz w:val="24"/>
          <w:highlight w:val="none"/>
          <w:lang w:eastAsia="zh-CN"/>
        </w:rPr>
        <w:t>，</w:t>
      </w:r>
      <w:r>
        <w:rPr>
          <w:rFonts w:hint="eastAsia" w:ascii="宋体" w:hAnsi="宋体" w:eastAsia="宋体" w:cs="宋体"/>
          <w:sz w:val="24"/>
          <w:szCs w:val="24"/>
          <w:highlight w:val="none"/>
        </w:rPr>
        <w:t>合同生效以及具备实施条件后7个工作日内支付</w:t>
      </w:r>
      <w:r>
        <w:rPr>
          <w:rFonts w:hint="eastAsia" w:ascii="宋体" w:hAnsi="宋体" w:cs="宋体"/>
          <w:sz w:val="24"/>
          <w:szCs w:val="24"/>
          <w:highlight w:val="none"/>
          <w:lang w:eastAsia="zh-CN"/>
        </w:rPr>
        <w:t>当</w:t>
      </w:r>
      <w:r>
        <w:rPr>
          <w:rFonts w:hint="eastAsia" w:ascii="宋体" w:hAnsi="宋体" w:eastAsia="宋体" w:cs="宋体"/>
          <w:sz w:val="24"/>
          <w:szCs w:val="24"/>
          <w:highlight w:val="none"/>
          <w:lang w:val="en-US" w:eastAsia="zh-CN"/>
        </w:rPr>
        <w:t>期采购金额的40</w:t>
      </w:r>
      <w:r>
        <w:rPr>
          <w:rFonts w:hint="eastAsia" w:ascii="宋体" w:hAnsi="宋体" w:eastAsia="宋体" w:cs="宋体"/>
          <w:sz w:val="24"/>
          <w:szCs w:val="24"/>
          <w:highlight w:val="none"/>
        </w:rPr>
        <w:t>%预付款</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中标人在每学期开学后一个月左右，将各类品种的定价、各校师生分类供货数量和总金额等有关数据报送教育局。教育局在开学后两个月左右做好本项目相关数据的对账、审核工作,根据销售发票及清单，向中标人支付每学期</w:t>
      </w:r>
      <w:r>
        <w:rPr>
          <w:rFonts w:hint="eastAsia" w:ascii="宋体" w:hAnsi="宋体" w:eastAsia="宋体" w:cs="宋体"/>
          <w:sz w:val="24"/>
          <w:szCs w:val="24"/>
          <w:highlight w:val="none"/>
          <w:lang w:val="en-US" w:eastAsia="zh-CN"/>
        </w:rPr>
        <w:t>剩余</w:t>
      </w:r>
      <w:r>
        <w:rPr>
          <w:rFonts w:hint="eastAsia" w:ascii="宋体" w:hAnsi="宋体" w:eastAsia="宋体" w:cs="宋体"/>
          <w:sz w:val="24"/>
          <w:szCs w:val="24"/>
          <w:highlight w:val="none"/>
        </w:rPr>
        <w:t>货款。在签订合同时，供应商明确表示无需预付款或者主动要求降低预付款比例的，采购单位可不适用前述规定。</w:t>
      </w:r>
    </w:p>
    <w:p>
      <w:pPr>
        <w:keepNext w:val="0"/>
        <w:keepLines w:val="0"/>
        <w:pageBreakBefore w:val="0"/>
        <w:widowControl/>
        <w:kinsoku/>
        <w:wordWrap/>
        <w:overflowPunct/>
        <w:topLinePunct w:val="0"/>
        <w:bidi w:val="0"/>
        <w:snapToGrid/>
        <w:spacing w:line="440" w:lineRule="exact"/>
        <w:textAlignment w:val="auto"/>
        <w:rPr>
          <w:rFonts w:hint="eastAsia" w:ascii="宋体" w:hAnsi="宋体" w:cs="宋体"/>
          <w:color w:val="auto"/>
          <w:sz w:val="24"/>
          <w:szCs w:val="24"/>
          <w:highlight w:val="none"/>
          <w:lang w:eastAsia="zh-CN"/>
        </w:rPr>
      </w:pPr>
      <w:r>
        <w:rPr>
          <w:rFonts w:hint="eastAsia" w:ascii="仿宋" w:hAnsi="仿宋" w:eastAsia="仿宋"/>
          <w:color w:val="000000"/>
          <w:sz w:val="24"/>
        </w:rPr>
        <w:t>▲</w:t>
      </w:r>
      <w:r>
        <w:rPr>
          <w:rFonts w:hint="eastAsia" w:asciiTheme="minorEastAsia" w:hAnsiTheme="minorEastAsia"/>
          <w:b/>
          <w:bCs/>
          <w:sz w:val="24"/>
          <w:lang w:val="en-US" w:eastAsia="zh-CN"/>
        </w:rPr>
        <w:t>六、符合性审查要求：</w:t>
      </w:r>
      <w:r>
        <w:rPr>
          <w:rFonts w:hint="eastAsia" w:ascii="宋体" w:hAnsi="宋体" w:cs="宋体"/>
          <w:color w:val="auto"/>
          <w:sz w:val="24"/>
          <w:szCs w:val="24"/>
          <w:highlight w:val="none"/>
          <w:lang w:eastAsia="zh-CN"/>
        </w:rPr>
        <w:t>投标人应提供针对本项目的详细</w:t>
      </w:r>
      <w:r>
        <w:rPr>
          <w:rFonts w:hint="eastAsia" w:ascii="宋体" w:hAnsi="宋体" w:cs="宋体"/>
          <w:color w:val="auto"/>
          <w:sz w:val="24"/>
          <w:szCs w:val="24"/>
          <w:highlight w:val="none"/>
        </w:rPr>
        <w:t>投标方案描述</w:t>
      </w:r>
      <w:r>
        <w:rPr>
          <w:rFonts w:hint="eastAsia" w:ascii="宋体" w:hAnsi="宋体"/>
          <w:color w:val="auto"/>
          <w:sz w:val="24"/>
          <w:szCs w:val="24"/>
          <w:highlight w:val="none"/>
        </w:rPr>
        <w:t>（</w:t>
      </w:r>
      <w:r>
        <w:rPr>
          <w:rFonts w:hint="eastAsia" w:ascii="宋体" w:hAnsi="宋体"/>
          <w:color w:val="auto"/>
          <w:sz w:val="24"/>
          <w:szCs w:val="24"/>
          <w:highlight w:val="none"/>
          <w:lang w:eastAsia="zh-CN"/>
        </w:rPr>
        <w:t>包括对</w:t>
      </w:r>
      <w:r>
        <w:rPr>
          <w:rFonts w:hint="eastAsia" w:ascii="宋体" w:hAnsi="宋体" w:cs="宋体"/>
          <w:color w:val="auto"/>
          <w:sz w:val="24"/>
          <w:szCs w:val="24"/>
          <w:highlight w:val="none"/>
        </w:rPr>
        <w:t>项目需求的理解与分析</w:t>
      </w:r>
      <w:r>
        <w:rPr>
          <w:rFonts w:hint="eastAsia" w:ascii="宋体" w:hAnsi="宋体" w:cs="宋体"/>
          <w:color w:val="auto"/>
          <w:sz w:val="24"/>
          <w:szCs w:val="24"/>
          <w:highlight w:val="none"/>
          <w:lang w:eastAsia="zh-CN"/>
        </w:rPr>
        <w:t>、项目组织实施、配送方案、售后服务方案等）。</w:t>
      </w:r>
    </w:p>
    <w:p>
      <w:pPr>
        <w:spacing w:line="540" w:lineRule="exact"/>
        <w:rPr>
          <w:rFonts w:hint="eastAsia" w:ascii="宋体" w:hAnsi="宋体" w:cs="宋体"/>
          <w:color w:val="auto"/>
          <w:sz w:val="24"/>
          <w:szCs w:val="24"/>
          <w:highlight w:val="none"/>
          <w:lang w:eastAsia="zh-CN"/>
        </w:rPr>
      </w:pPr>
    </w:p>
    <w:p>
      <w:pPr>
        <w:spacing w:line="540" w:lineRule="exact"/>
        <w:jc w:val="center"/>
        <w:rPr>
          <w:rFonts w:hAnsi="宋体"/>
          <w:b/>
          <w:bCs/>
          <w:snapToGrid w:val="0"/>
          <w:color w:val="auto"/>
          <w:sz w:val="24"/>
          <w:highlight w:val="none"/>
        </w:rPr>
      </w:pPr>
      <w:r>
        <w:rPr>
          <w:rFonts w:hint="eastAsia" w:ascii="方正小标宋简体" w:hAnsi="方正小标宋简体" w:eastAsia="方正小标宋简体"/>
          <w:b/>
          <w:bCs/>
          <w:snapToGrid w:val="0"/>
          <w:color w:val="auto"/>
          <w:kern w:val="2"/>
          <w:sz w:val="44"/>
          <w:highlight w:val="none"/>
        </w:rPr>
        <w:br w:type="page"/>
      </w:r>
      <w:r>
        <w:rPr>
          <w:rFonts w:hint="eastAsia" w:ascii="方正小标宋简体" w:hAnsi="方正小标宋简体" w:eastAsia="方正小标宋简体"/>
          <w:b/>
          <w:bCs/>
          <w:snapToGrid w:val="0"/>
          <w:color w:val="auto"/>
          <w:kern w:val="2"/>
          <w:sz w:val="44"/>
          <w:highlight w:val="none"/>
        </w:rPr>
        <w:t>第五章</w:t>
      </w:r>
      <w:r>
        <w:rPr>
          <w:rFonts w:ascii="方正小标宋简体" w:hAnsi="方正小标宋简体" w:eastAsia="方正小标宋简体"/>
          <w:b/>
          <w:bCs/>
          <w:snapToGrid w:val="0"/>
          <w:color w:val="auto"/>
          <w:kern w:val="2"/>
          <w:sz w:val="44"/>
          <w:highlight w:val="none"/>
        </w:rPr>
        <w:t xml:space="preserve">  </w:t>
      </w:r>
      <w:r>
        <w:rPr>
          <w:rFonts w:hint="eastAsia" w:ascii="方正小标宋简体" w:hAnsi="Arial" w:eastAsia="方正小标宋简体" w:cs="Arial"/>
          <w:b/>
          <w:bCs/>
          <w:color w:val="auto"/>
          <w:sz w:val="44"/>
          <w:szCs w:val="44"/>
          <w:highlight w:val="none"/>
        </w:rPr>
        <w:t>拟签订的合同文本</w:t>
      </w:r>
    </w:p>
    <w:p>
      <w:pPr>
        <w:pStyle w:val="19"/>
        <w:snapToGrid w:val="0"/>
        <w:spacing w:line="360" w:lineRule="auto"/>
        <w:rPr>
          <w:rFonts w:ascii="宋体" w:hAnsi="宋体" w:eastAsia="宋体" w:cs="Times New Roman"/>
          <w:color w:val="auto"/>
          <w:sz w:val="24"/>
          <w:szCs w:val="24"/>
          <w:highlight w:val="none"/>
        </w:rPr>
      </w:pPr>
    </w:p>
    <w:p>
      <w:pPr>
        <w:keepNext w:val="0"/>
        <w:keepLines w:val="0"/>
        <w:pageBreakBefore w:val="0"/>
        <w:shd w:val="clear" w:color="auto"/>
        <w:kinsoku/>
        <w:wordWrap/>
        <w:overflowPunct/>
        <w:topLinePunct w:val="0"/>
        <w:bidi w:val="0"/>
        <w:spacing w:line="420" w:lineRule="exact"/>
        <w:ind w:firstLine="480"/>
        <w:rPr>
          <w:rFonts w:ascii="宋体" w:hAnsi="宋体"/>
          <w:color w:val="auto"/>
          <w:sz w:val="24"/>
          <w:szCs w:val="24"/>
          <w:highlight w:val="none"/>
          <w:shd w:val="clear" w:color="auto" w:fill="auto"/>
        </w:rPr>
      </w:pPr>
      <w:r>
        <w:rPr>
          <w:rFonts w:ascii="宋体" w:hAnsi="宋体"/>
          <w:color w:val="auto"/>
          <w:sz w:val="24"/>
          <w:szCs w:val="24"/>
          <w:highlight w:val="none"/>
          <w:shd w:val="clear" w:color="auto" w:fill="auto"/>
        </w:rPr>
        <w:t>以下为成交后签定本项目合同的通用条款，成交供应商不得提出实质性的修改，关于专用条款将由采购人与成交供应商结合本项目具体情况协商后签订。</w:t>
      </w:r>
    </w:p>
    <w:p>
      <w:pPr>
        <w:pStyle w:val="7"/>
        <w:keepNext w:val="0"/>
        <w:keepLines w:val="0"/>
        <w:pageBreakBefore w:val="0"/>
        <w:kinsoku/>
        <w:wordWrap/>
        <w:overflowPunct/>
        <w:topLinePunct w:val="0"/>
        <w:bidi w:val="0"/>
        <w:spacing w:line="420" w:lineRule="exact"/>
        <w:rPr>
          <w:color w:val="auto"/>
          <w:highlight w:val="none"/>
        </w:rPr>
      </w:pPr>
    </w:p>
    <w:p>
      <w:pPr>
        <w:pStyle w:val="19"/>
        <w:keepNext w:val="0"/>
        <w:keepLines w:val="0"/>
        <w:pageBreakBefore w:val="0"/>
        <w:kinsoku/>
        <w:wordWrap/>
        <w:overflowPunct/>
        <w:topLinePunct w:val="0"/>
        <w:bidi w:val="0"/>
        <w:snapToGrid w:val="0"/>
        <w:spacing w:line="420" w:lineRule="exact"/>
        <w:rPr>
          <w:rFonts w:hint="eastAsia" w:hAnsi="宋体" w:eastAsia="宋体"/>
          <w:color w:val="auto"/>
          <w:sz w:val="24"/>
          <w:szCs w:val="24"/>
          <w:highlight w:val="none"/>
          <w:lang w:eastAsia="zh-CN"/>
        </w:rPr>
      </w:pPr>
      <w:r>
        <w:rPr>
          <w:rFonts w:hAnsi="宋体"/>
          <w:color w:val="auto"/>
          <w:sz w:val="24"/>
          <w:szCs w:val="24"/>
          <w:highlight w:val="none"/>
        </w:rPr>
        <w:t>项目名称：</w:t>
      </w:r>
      <w:r>
        <w:rPr>
          <w:rFonts w:hint="eastAsia" w:hAnsi="宋体"/>
          <w:color w:val="auto"/>
          <w:sz w:val="24"/>
          <w:szCs w:val="24"/>
          <w:highlight w:val="none"/>
          <w:lang w:eastAsia="zh-CN"/>
        </w:rPr>
        <w:t>2023-2025年路桥区地方教材及配套作业本采购</w:t>
      </w:r>
    </w:p>
    <w:p>
      <w:pPr>
        <w:pStyle w:val="19"/>
        <w:keepNext w:val="0"/>
        <w:keepLines w:val="0"/>
        <w:pageBreakBefore w:val="0"/>
        <w:kinsoku/>
        <w:wordWrap/>
        <w:overflowPunct/>
        <w:topLinePunct w:val="0"/>
        <w:bidi w:val="0"/>
        <w:snapToGrid w:val="0"/>
        <w:spacing w:line="420" w:lineRule="exact"/>
        <w:rPr>
          <w:rFonts w:hint="eastAsia" w:hAnsi="宋体"/>
          <w:color w:val="auto"/>
          <w:sz w:val="24"/>
          <w:szCs w:val="24"/>
          <w:highlight w:val="none"/>
          <w:lang w:val="en-US" w:eastAsia="zh-CN"/>
        </w:rPr>
      </w:pPr>
      <w:r>
        <w:rPr>
          <w:rFonts w:hAnsi="宋体"/>
          <w:color w:val="auto"/>
          <w:sz w:val="24"/>
          <w:szCs w:val="24"/>
          <w:highlight w:val="none"/>
        </w:rPr>
        <w:t>项目编号：</w:t>
      </w:r>
      <w:r>
        <w:rPr>
          <w:rFonts w:hint="eastAsia" w:hAnsi="宋体"/>
          <w:color w:val="auto"/>
          <w:sz w:val="24"/>
          <w:szCs w:val="24"/>
          <w:highlight w:val="none"/>
          <w:lang w:eastAsia="zh-CN"/>
        </w:rPr>
        <w:t>LQCG-2023-GK023号</w:t>
      </w:r>
      <w:r>
        <w:rPr>
          <w:rFonts w:hint="eastAsia" w:hAnsi="宋体"/>
          <w:color w:val="auto"/>
          <w:sz w:val="24"/>
          <w:szCs w:val="24"/>
          <w:highlight w:val="none"/>
          <w:lang w:val="en-US" w:eastAsia="zh-CN"/>
        </w:rPr>
        <w:t xml:space="preserve">        </w:t>
      </w:r>
    </w:p>
    <w:p>
      <w:pPr>
        <w:pStyle w:val="19"/>
        <w:keepNext w:val="0"/>
        <w:keepLines w:val="0"/>
        <w:pageBreakBefore w:val="0"/>
        <w:kinsoku/>
        <w:wordWrap/>
        <w:overflowPunct/>
        <w:topLinePunct w:val="0"/>
        <w:bidi w:val="0"/>
        <w:snapToGrid w:val="0"/>
        <w:spacing w:line="420" w:lineRule="exact"/>
        <w:rPr>
          <w:rFonts w:hAnsi="宋体"/>
          <w:color w:val="auto"/>
          <w:sz w:val="24"/>
          <w:szCs w:val="24"/>
          <w:highlight w:val="none"/>
        </w:rPr>
      </w:pPr>
      <w:r>
        <w:rPr>
          <w:rFonts w:hAnsi="宋体"/>
          <w:color w:val="auto"/>
          <w:sz w:val="24"/>
          <w:szCs w:val="24"/>
          <w:highlight w:val="none"/>
        </w:rPr>
        <w:t>甲方：</w:t>
      </w:r>
      <w:r>
        <w:rPr>
          <w:rFonts w:hint="eastAsia" w:hAnsi="宋体" w:cs="Arial"/>
          <w:sz w:val="24"/>
          <w:szCs w:val="24"/>
          <w:lang w:val="en-US" w:eastAsia="zh-CN"/>
        </w:rPr>
        <w:t xml:space="preserve"> </w:t>
      </w:r>
      <w:r>
        <w:rPr>
          <w:rFonts w:hint="eastAsia" w:hAnsi="宋体"/>
          <w:color w:val="auto"/>
          <w:sz w:val="24"/>
          <w:szCs w:val="24"/>
          <w:highlight w:val="none"/>
        </w:rPr>
        <w:t xml:space="preserve">                          </w:t>
      </w:r>
    </w:p>
    <w:p>
      <w:pPr>
        <w:pStyle w:val="19"/>
        <w:keepNext w:val="0"/>
        <w:keepLines w:val="0"/>
        <w:pageBreakBefore w:val="0"/>
        <w:kinsoku/>
        <w:wordWrap/>
        <w:overflowPunct/>
        <w:topLinePunct w:val="0"/>
        <w:bidi w:val="0"/>
        <w:snapToGrid w:val="0"/>
        <w:spacing w:line="420" w:lineRule="exact"/>
        <w:rPr>
          <w:rFonts w:hAnsi="宋体"/>
          <w:color w:val="auto"/>
          <w:sz w:val="24"/>
          <w:szCs w:val="24"/>
          <w:highlight w:val="none"/>
        </w:rPr>
      </w:pPr>
      <w:r>
        <w:rPr>
          <w:rFonts w:hAnsi="宋体"/>
          <w:color w:val="auto"/>
          <w:sz w:val="24"/>
          <w:szCs w:val="24"/>
          <w:highlight w:val="none"/>
        </w:rPr>
        <w:t>乙方：（</w:t>
      </w:r>
      <w:r>
        <w:rPr>
          <w:rFonts w:hint="eastAsia" w:hAnsi="宋体"/>
          <w:color w:val="auto"/>
          <w:sz w:val="24"/>
          <w:szCs w:val="24"/>
          <w:highlight w:val="none"/>
        </w:rPr>
        <w:t>中标供应商</w:t>
      </w:r>
      <w:r>
        <w:rPr>
          <w:rFonts w:hAnsi="宋体"/>
          <w:color w:val="auto"/>
          <w:sz w:val="24"/>
          <w:szCs w:val="24"/>
          <w:highlight w:val="none"/>
        </w:rPr>
        <w:t>）</w:t>
      </w:r>
      <w:r>
        <w:rPr>
          <w:rFonts w:hint="eastAsia" w:hAnsi="宋体"/>
          <w:color w:val="auto"/>
          <w:sz w:val="24"/>
          <w:szCs w:val="24"/>
          <w:highlight w:val="none"/>
        </w:rPr>
        <w:t xml:space="preserve">                          </w:t>
      </w:r>
    </w:p>
    <w:p>
      <w:pPr>
        <w:pStyle w:val="19"/>
        <w:keepNext w:val="0"/>
        <w:keepLines w:val="0"/>
        <w:pageBreakBefore w:val="0"/>
        <w:kinsoku/>
        <w:wordWrap/>
        <w:overflowPunct/>
        <w:topLinePunct w:val="0"/>
        <w:bidi w:val="0"/>
        <w:snapToGrid w:val="0"/>
        <w:spacing w:line="420" w:lineRule="exact"/>
        <w:ind w:firstLine="480" w:firstLineChars="200"/>
        <w:rPr>
          <w:rFonts w:hint="eastAsia"/>
          <w:color w:val="auto"/>
          <w:sz w:val="24"/>
          <w:highlight w:val="none"/>
          <w:lang w:val="zh-CN" w:eastAsia="zh-CN"/>
        </w:rPr>
      </w:pPr>
      <w:r>
        <w:rPr>
          <w:rFonts w:hint="eastAsia"/>
          <w:color w:val="auto"/>
          <w:sz w:val="24"/>
          <w:highlight w:val="none"/>
          <w:lang w:val="zh-CN"/>
        </w:rPr>
        <w:t>甲、乙双方根据台州市路桥区政府采购中心关于台州市路桥区教育局</w:t>
      </w:r>
      <w:r>
        <w:rPr>
          <w:rFonts w:hint="eastAsia"/>
          <w:color w:val="auto"/>
          <w:sz w:val="24"/>
          <w:highlight w:val="none"/>
          <w:lang w:val="zh-CN" w:eastAsia="zh-CN"/>
        </w:rPr>
        <w:t>2023-2025年路桥区地方教材及配套作业本采购</w:t>
      </w:r>
      <w:r>
        <w:rPr>
          <w:rFonts w:hint="eastAsia"/>
          <w:color w:val="auto"/>
          <w:sz w:val="24"/>
          <w:highlight w:val="none"/>
          <w:lang w:val="zh-CN"/>
        </w:rPr>
        <w:t>公开招标的结果，签署本合同。</w:t>
      </w:r>
    </w:p>
    <w:p>
      <w:pPr>
        <w:keepNext w:val="0"/>
        <w:keepLines w:val="0"/>
        <w:pageBreakBefore w:val="0"/>
        <w:kinsoku/>
        <w:wordWrap/>
        <w:overflowPunct/>
        <w:topLinePunct w:val="0"/>
        <w:bidi w:val="0"/>
        <w:spacing w:line="420" w:lineRule="exact"/>
        <w:rPr>
          <w:rFonts w:ascii="宋体"/>
          <w:b/>
          <w:color w:val="auto"/>
          <w:sz w:val="24"/>
          <w:highlight w:val="none"/>
          <w:lang w:val="zh-CN"/>
        </w:rPr>
      </w:pPr>
      <w:r>
        <w:rPr>
          <w:rFonts w:hint="eastAsia" w:ascii="宋体"/>
          <w:b/>
          <w:color w:val="auto"/>
          <w:sz w:val="24"/>
          <w:highlight w:val="none"/>
          <w:lang w:val="zh-CN"/>
        </w:rPr>
        <w:t>一、合同文件：</w:t>
      </w:r>
      <w:r>
        <w:rPr>
          <w:rFonts w:ascii="宋体"/>
          <w:b/>
          <w:color w:val="auto"/>
          <w:sz w:val="24"/>
          <w:highlight w:val="none"/>
          <w:lang w:val="zh-CN"/>
        </w:rPr>
        <w:t xml:space="preserve"> </w:t>
      </w:r>
    </w:p>
    <w:p>
      <w:pPr>
        <w:keepNext w:val="0"/>
        <w:keepLines w:val="0"/>
        <w:pageBreakBefore w:val="0"/>
        <w:kinsoku/>
        <w:wordWrap/>
        <w:overflowPunct/>
        <w:topLinePunct w:val="0"/>
        <w:bidi w:val="0"/>
        <w:spacing w:line="420" w:lineRule="exact"/>
        <w:ind w:firstLine="480" w:firstLineChars="200"/>
        <w:rPr>
          <w:rFonts w:ascii="宋体"/>
          <w:color w:val="auto"/>
          <w:sz w:val="24"/>
          <w:highlight w:val="none"/>
          <w:lang w:val="zh-CN"/>
        </w:rPr>
      </w:pPr>
      <w:r>
        <w:rPr>
          <w:rFonts w:ascii="宋体"/>
          <w:color w:val="auto"/>
          <w:sz w:val="24"/>
          <w:highlight w:val="none"/>
          <w:lang w:val="zh-CN"/>
        </w:rPr>
        <w:t>1.</w:t>
      </w:r>
      <w:r>
        <w:rPr>
          <w:rFonts w:hint="eastAsia" w:ascii="宋体"/>
          <w:color w:val="auto"/>
          <w:sz w:val="24"/>
          <w:highlight w:val="none"/>
          <w:lang w:val="zh-CN"/>
        </w:rPr>
        <w:t>合同条款。</w:t>
      </w:r>
    </w:p>
    <w:p>
      <w:pPr>
        <w:keepNext w:val="0"/>
        <w:keepLines w:val="0"/>
        <w:pageBreakBefore w:val="0"/>
        <w:kinsoku/>
        <w:wordWrap/>
        <w:overflowPunct/>
        <w:topLinePunct w:val="0"/>
        <w:bidi w:val="0"/>
        <w:spacing w:line="420" w:lineRule="exact"/>
        <w:ind w:firstLine="480" w:firstLineChars="200"/>
        <w:rPr>
          <w:rFonts w:ascii="宋体"/>
          <w:color w:val="auto"/>
          <w:sz w:val="24"/>
          <w:highlight w:val="none"/>
          <w:lang w:val="zh-CN"/>
        </w:rPr>
      </w:pPr>
      <w:r>
        <w:rPr>
          <w:rFonts w:ascii="宋体"/>
          <w:color w:val="auto"/>
          <w:sz w:val="24"/>
          <w:highlight w:val="none"/>
          <w:lang w:val="zh-CN"/>
        </w:rPr>
        <w:t>2.</w:t>
      </w:r>
      <w:r>
        <w:rPr>
          <w:rFonts w:hint="eastAsia" w:ascii="宋体"/>
          <w:color w:val="auto"/>
          <w:sz w:val="24"/>
          <w:highlight w:val="none"/>
          <w:lang w:val="zh-CN"/>
        </w:rPr>
        <w:t>中标通知书。</w:t>
      </w:r>
    </w:p>
    <w:p>
      <w:pPr>
        <w:keepNext w:val="0"/>
        <w:keepLines w:val="0"/>
        <w:pageBreakBefore w:val="0"/>
        <w:kinsoku/>
        <w:wordWrap/>
        <w:overflowPunct/>
        <w:topLinePunct w:val="0"/>
        <w:bidi w:val="0"/>
        <w:spacing w:line="420" w:lineRule="exact"/>
        <w:ind w:firstLine="480" w:firstLineChars="200"/>
        <w:rPr>
          <w:rFonts w:ascii="宋体"/>
          <w:color w:val="auto"/>
          <w:sz w:val="24"/>
          <w:highlight w:val="none"/>
          <w:lang w:val="zh-CN"/>
        </w:rPr>
      </w:pPr>
      <w:r>
        <w:rPr>
          <w:rFonts w:ascii="宋体"/>
          <w:color w:val="auto"/>
          <w:sz w:val="24"/>
          <w:highlight w:val="none"/>
          <w:lang w:val="zh-CN"/>
        </w:rPr>
        <w:t>3.</w:t>
      </w:r>
      <w:r>
        <w:rPr>
          <w:rFonts w:hint="eastAsia" w:ascii="宋体"/>
          <w:color w:val="auto"/>
          <w:sz w:val="24"/>
          <w:highlight w:val="none"/>
          <w:lang w:val="zh-CN"/>
        </w:rPr>
        <w:t>更正补充文件。</w:t>
      </w:r>
    </w:p>
    <w:p>
      <w:pPr>
        <w:keepNext w:val="0"/>
        <w:keepLines w:val="0"/>
        <w:pageBreakBefore w:val="0"/>
        <w:kinsoku/>
        <w:wordWrap/>
        <w:overflowPunct/>
        <w:topLinePunct w:val="0"/>
        <w:bidi w:val="0"/>
        <w:spacing w:line="420" w:lineRule="exact"/>
        <w:ind w:firstLine="480" w:firstLineChars="200"/>
        <w:rPr>
          <w:rFonts w:ascii="宋体"/>
          <w:color w:val="auto"/>
          <w:sz w:val="24"/>
          <w:highlight w:val="none"/>
          <w:lang w:val="zh-CN"/>
        </w:rPr>
      </w:pPr>
      <w:r>
        <w:rPr>
          <w:rFonts w:ascii="宋体"/>
          <w:color w:val="auto"/>
          <w:sz w:val="24"/>
          <w:highlight w:val="none"/>
          <w:lang w:val="zh-CN"/>
        </w:rPr>
        <w:t>4.</w:t>
      </w:r>
      <w:r>
        <w:rPr>
          <w:rFonts w:hint="eastAsia" w:ascii="宋体"/>
          <w:color w:val="auto"/>
          <w:sz w:val="24"/>
          <w:highlight w:val="none"/>
          <w:lang w:val="zh-CN"/>
        </w:rPr>
        <w:t>招标文件。</w:t>
      </w:r>
    </w:p>
    <w:p>
      <w:pPr>
        <w:keepNext w:val="0"/>
        <w:keepLines w:val="0"/>
        <w:pageBreakBefore w:val="0"/>
        <w:kinsoku/>
        <w:wordWrap/>
        <w:overflowPunct/>
        <w:topLinePunct w:val="0"/>
        <w:bidi w:val="0"/>
        <w:spacing w:line="420" w:lineRule="exact"/>
        <w:ind w:firstLine="480" w:firstLineChars="200"/>
        <w:rPr>
          <w:rFonts w:ascii="宋体"/>
          <w:color w:val="auto"/>
          <w:sz w:val="24"/>
          <w:highlight w:val="none"/>
          <w:lang w:val="zh-CN"/>
        </w:rPr>
      </w:pPr>
      <w:r>
        <w:rPr>
          <w:rFonts w:ascii="宋体"/>
          <w:color w:val="auto"/>
          <w:sz w:val="24"/>
          <w:highlight w:val="none"/>
          <w:lang w:val="zh-CN"/>
        </w:rPr>
        <w:t>5.</w:t>
      </w:r>
      <w:r>
        <w:rPr>
          <w:rFonts w:hint="eastAsia" w:ascii="宋体"/>
          <w:color w:val="auto"/>
          <w:sz w:val="24"/>
          <w:highlight w:val="none"/>
          <w:lang w:val="zh-CN"/>
        </w:rPr>
        <w:t>中标供应商投标文件。</w:t>
      </w:r>
    </w:p>
    <w:p>
      <w:pPr>
        <w:keepNext w:val="0"/>
        <w:keepLines w:val="0"/>
        <w:pageBreakBefore w:val="0"/>
        <w:kinsoku/>
        <w:wordWrap/>
        <w:overflowPunct/>
        <w:topLinePunct w:val="0"/>
        <w:bidi w:val="0"/>
        <w:spacing w:line="420" w:lineRule="exact"/>
        <w:ind w:firstLine="480" w:firstLineChars="200"/>
        <w:rPr>
          <w:rFonts w:ascii="宋体"/>
          <w:color w:val="auto"/>
          <w:sz w:val="24"/>
          <w:highlight w:val="none"/>
          <w:lang w:val="zh-CN"/>
        </w:rPr>
      </w:pPr>
      <w:r>
        <w:rPr>
          <w:rFonts w:ascii="宋体"/>
          <w:color w:val="auto"/>
          <w:sz w:val="24"/>
          <w:highlight w:val="none"/>
          <w:lang w:val="zh-CN"/>
        </w:rPr>
        <w:t>6.</w:t>
      </w:r>
      <w:r>
        <w:rPr>
          <w:rFonts w:hint="eastAsia" w:ascii="宋体"/>
          <w:color w:val="auto"/>
          <w:sz w:val="24"/>
          <w:highlight w:val="none"/>
          <w:lang w:val="zh-CN"/>
        </w:rPr>
        <w:t>其他附件。</w:t>
      </w:r>
    </w:p>
    <w:p>
      <w:pPr>
        <w:pStyle w:val="19"/>
        <w:keepNext w:val="0"/>
        <w:keepLines w:val="0"/>
        <w:pageBreakBefore w:val="0"/>
        <w:kinsoku/>
        <w:wordWrap/>
        <w:overflowPunct/>
        <w:topLinePunct w:val="0"/>
        <w:bidi w:val="0"/>
        <w:snapToGrid w:val="0"/>
        <w:spacing w:line="420" w:lineRule="exact"/>
        <w:ind w:firstLine="480" w:firstLineChars="200"/>
        <w:rPr>
          <w:b/>
          <w:color w:val="auto"/>
          <w:sz w:val="24"/>
          <w:highlight w:val="none"/>
        </w:rPr>
      </w:pPr>
      <w:r>
        <w:rPr>
          <w:rFonts w:hint="eastAsia"/>
          <w:color w:val="auto"/>
          <w:sz w:val="24"/>
          <w:highlight w:val="none"/>
          <w:lang w:val="zh-CN"/>
        </w:rPr>
        <w:t>上述所指合同文件应认为是互相补充和解释的，但是有模棱两可或互相矛盾之处，以其所列内容顺序为准。</w:t>
      </w:r>
    </w:p>
    <w:p>
      <w:pPr>
        <w:pStyle w:val="19"/>
        <w:keepNext w:val="0"/>
        <w:keepLines w:val="0"/>
        <w:pageBreakBefore w:val="0"/>
        <w:kinsoku/>
        <w:wordWrap/>
        <w:overflowPunct/>
        <w:topLinePunct w:val="0"/>
        <w:bidi w:val="0"/>
        <w:snapToGrid w:val="0"/>
        <w:spacing w:line="420" w:lineRule="exact"/>
        <w:rPr>
          <w:rFonts w:hAnsi="宋体"/>
          <w:b/>
          <w:sz w:val="24"/>
        </w:rPr>
      </w:pPr>
      <w:r>
        <w:rPr>
          <w:rFonts w:hint="eastAsia" w:hAnsi="宋体"/>
          <w:b/>
          <w:sz w:val="24"/>
        </w:rPr>
        <w:t>二、货物内容</w:t>
      </w:r>
    </w:p>
    <w:p>
      <w:pPr>
        <w:pStyle w:val="19"/>
        <w:keepNext w:val="0"/>
        <w:keepLines w:val="0"/>
        <w:pageBreakBefore w:val="0"/>
        <w:kinsoku/>
        <w:wordWrap/>
        <w:overflowPunct/>
        <w:topLinePunct w:val="0"/>
        <w:bidi w:val="0"/>
        <w:snapToGrid w:val="0"/>
        <w:spacing w:line="420" w:lineRule="exact"/>
        <w:ind w:firstLine="480" w:firstLineChars="200"/>
        <w:rPr>
          <w:rFonts w:hAnsi="宋体"/>
          <w:sz w:val="24"/>
        </w:rPr>
      </w:pPr>
      <w:r>
        <w:rPr>
          <w:rFonts w:hAnsi="宋体"/>
          <w:sz w:val="24"/>
        </w:rPr>
        <w:t xml:space="preserve">1. </w:t>
      </w:r>
      <w:r>
        <w:rPr>
          <w:rFonts w:hint="eastAsia" w:hAnsi="宋体"/>
          <w:sz w:val="24"/>
        </w:rPr>
        <w:t>货物名称：</w:t>
      </w:r>
    </w:p>
    <w:p>
      <w:pPr>
        <w:pStyle w:val="19"/>
        <w:keepNext w:val="0"/>
        <w:keepLines w:val="0"/>
        <w:pageBreakBefore w:val="0"/>
        <w:kinsoku/>
        <w:wordWrap/>
        <w:overflowPunct/>
        <w:topLinePunct w:val="0"/>
        <w:bidi w:val="0"/>
        <w:snapToGrid w:val="0"/>
        <w:spacing w:line="420" w:lineRule="exact"/>
        <w:ind w:firstLine="480" w:firstLineChars="200"/>
        <w:rPr>
          <w:rFonts w:hAnsi="宋体"/>
          <w:sz w:val="24"/>
        </w:rPr>
      </w:pPr>
      <w:r>
        <w:rPr>
          <w:rFonts w:hAnsi="宋体"/>
          <w:sz w:val="24"/>
        </w:rPr>
        <w:t xml:space="preserve">2. </w:t>
      </w:r>
      <w:r>
        <w:rPr>
          <w:rFonts w:hint="eastAsia" w:hAnsi="宋体"/>
          <w:sz w:val="24"/>
        </w:rPr>
        <w:t>型号规格：</w:t>
      </w:r>
    </w:p>
    <w:p>
      <w:pPr>
        <w:pStyle w:val="19"/>
        <w:keepNext w:val="0"/>
        <w:keepLines w:val="0"/>
        <w:pageBreakBefore w:val="0"/>
        <w:kinsoku/>
        <w:wordWrap/>
        <w:overflowPunct/>
        <w:topLinePunct w:val="0"/>
        <w:bidi w:val="0"/>
        <w:snapToGrid w:val="0"/>
        <w:spacing w:line="420" w:lineRule="exact"/>
        <w:ind w:firstLine="480" w:firstLineChars="200"/>
        <w:rPr>
          <w:rFonts w:hAnsi="宋体"/>
          <w:sz w:val="24"/>
        </w:rPr>
      </w:pPr>
      <w:r>
        <w:rPr>
          <w:rFonts w:hAnsi="宋体"/>
          <w:sz w:val="24"/>
        </w:rPr>
        <w:t xml:space="preserve">3. </w:t>
      </w:r>
      <w:r>
        <w:rPr>
          <w:rFonts w:hint="eastAsia" w:hAnsi="宋体"/>
          <w:sz w:val="24"/>
        </w:rPr>
        <w:t>技术参数：</w:t>
      </w:r>
    </w:p>
    <w:p>
      <w:pPr>
        <w:pStyle w:val="19"/>
        <w:keepNext w:val="0"/>
        <w:keepLines w:val="0"/>
        <w:pageBreakBefore w:val="0"/>
        <w:kinsoku/>
        <w:wordWrap/>
        <w:overflowPunct/>
        <w:topLinePunct w:val="0"/>
        <w:bidi w:val="0"/>
        <w:snapToGrid w:val="0"/>
        <w:spacing w:line="420" w:lineRule="exact"/>
        <w:ind w:firstLine="480" w:firstLineChars="200"/>
        <w:rPr>
          <w:rFonts w:hAnsi="宋体"/>
          <w:sz w:val="24"/>
        </w:rPr>
      </w:pPr>
      <w:r>
        <w:rPr>
          <w:rFonts w:hAnsi="宋体"/>
          <w:sz w:val="24"/>
        </w:rPr>
        <w:t xml:space="preserve">4. </w:t>
      </w:r>
      <w:r>
        <w:rPr>
          <w:rFonts w:hint="eastAsia" w:hAnsi="宋体"/>
          <w:sz w:val="24"/>
        </w:rPr>
        <w:t>数量（单位）：</w:t>
      </w:r>
    </w:p>
    <w:p>
      <w:pPr>
        <w:pStyle w:val="19"/>
        <w:keepNext w:val="0"/>
        <w:keepLines w:val="0"/>
        <w:pageBreakBefore w:val="0"/>
        <w:kinsoku/>
        <w:wordWrap/>
        <w:overflowPunct/>
        <w:topLinePunct w:val="0"/>
        <w:bidi w:val="0"/>
        <w:snapToGrid w:val="0"/>
        <w:spacing w:line="420" w:lineRule="exact"/>
        <w:rPr>
          <w:rFonts w:hAnsi="宋体"/>
          <w:b/>
          <w:color w:val="auto"/>
          <w:sz w:val="24"/>
          <w:highlight w:val="none"/>
        </w:rPr>
      </w:pPr>
      <w:r>
        <w:rPr>
          <w:rFonts w:hint="eastAsia" w:hAnsi="宋体"/>
          <w:b/>
          <w:color w:val="auto"/>
          <w:sz w:val="24"/>
          <w:highlight w:val="none"/>
        </w:rPr>
        <w:t>三、合同金额</w:t>
      </w:r>
    </w:p>
    <w:p>
      <w:pPr>
        <w:pStyle w:val="19"/>
        <w:keepNext w:val="0"/>
        <w:keepLines w:val="0"/>
        <w:pageBreakBefore w:val="0"/>
        <w:kinsoku/>
        <w:wordWrap/>
        <w:overflowPunct/>
        <w:topLinePunct w:val="0"/>
        <w:bidi w:val="0"/>
        <w:snapToGrid w:val="0"/>
        <w:spacing w:line="420" w:lineRule="exact"/>
        <w:ind w:firstLine="480" w:firstLineChars="200"/>
        <w:jc w:val="left"/>
        <w:rPr>
          <w:rFonts w:hAnsi="宋体"/>
          <w:color w:val="auto"/>
          <w:sz w:val="24"/>
          <w:highlight w:val="none"/>
        </w:rPr>
      </w:pPr>
      <w:r>
        <w:rPr>
          <w:rFonts w:hint="eastAsia" w:hAnsi="宋体"/>
          <w:color w:val="auto"/>
          <w:sz w:val="24"/>
          <w:highlight w:val="none"/>
        </w:rPr>
        <w:t>本合同金额为（大写）：</w:t>
      </w:r>
      <w:r>
        <w:rPr>
          <w:rFonts w:hAnsi="宋体"/>
          <w:color w:val="auto"/>
          <w:sz w:val="24"/>
          <w:highlight w:val="none"/>
        </w:rPr>
        <w:t>___________________</w:t>
      </w:r>
      <w:r>
        <w:rPr>
          <w:rFonts w:hint="eastAsia" w:hAnsi="宋体"/>
          <w:color w:val="auto"/>
          <w:sz w:val="24"/>
          <w:highlight w:val="none"/>
        </w:rPr>
        <w:t>元（￥</w:t>
      </w:r>
      <w:r>
        <w:rPr>
          <w:rFonts w:hAnsi="宋体"/>
          <w:color w:val="auto"/>
          <w:sz w:val="24"/>
          <w:highlight w:val="none"/>
        </w:rPr>
        <w:t>__________</w:t>
      </w:r>
      <w:r>
        <w:rPr>
          <w:rFonts w:hint="eastAsia" w:hAnsi="宋体"/>
          <w:color w:val="auto"/>
          <w:sz w:val="24"/>
          <w:highlight w:val="none"/>
        </w:rPr>
        <w:t>元）人民币。</w:t>
      </w:r>
    </w:p>
    <w:p>
      <w:pPr>
        <w:pStyle w:val="19"/>
        <w:keepNext w:val="0"/>
        <w:keepLines w:val="0"/>
        <w:pageBreakBefore w:val="0"/>
        <w:kinsoku/>
        <w:wordWrap/>
        <w:overflowPunct/>
        <w:topLinePunct w:val="0"/>
        <w:bidi w:val="0"/>
        <w:snapToGrid w:val="0"/>
        <w:spacing w:line="420" w:lineRule="exact"/>
        <w:rPr>
          <w:rFonts w:hAnsi="宋体"/>
          <w:b/>
          <w:color w:val="auto"/>
          <w:sz w:val="24"/>
          <w:highlight w:val="none"/>
        </w:rPr>
      </w:pPr>
      <w:r>
        <w:rPr>
          <w:rFonts w:hint="eastAsia" w:hAnsi="宋体" w:cs="Arial"/>
          <w:b/>
          <w:color w:val="auto"/>
          <w:sz w:val="24"/>
          <w:highlight w:val="none"/>
        </w:rPr>
        <w:t>四、</w:t>
      </w:r>
      <w:r>
        <w:rPr>
          <w:rFonts w:hint="eastAsia" w:hAnsi="宋体"/>
          <w:b/>
          <w:color w:val="auto"/>
          <w:sz w:val="24"/>
          <w:highlight w:val="none"/>
        </w:rPr>
        <w:t>技术资料</w:t>
      </w:r>
    </w:p>
    <w:p>
      <w:pPr>
        <w:pStyle w:val="19"/>
        <w:keepNext w:val="0"/>
        <w:keepLines w:val="0"/>
        <w:pageBreakBefore w:val="0"/>
        <w:kinsoku/>
        <w:wordWrap/>
        <w:overflowPunct/>
        <w:topLinePunct w:val="0"/>
        <w:bidi w:val="0"/>
        <w:snapToGrid w:val="0"/>
        <w:spacing w:line="420" w:lineRule="exact"/>
        <w:ind w:firstLine="480" w:firstLineChars="200"/>
        <w:rPr>
          <w:rFonts w:hAnsi="宋体"/>
          <w:color w:val="auto"/>
          <w:sz w:val="24"/>
          <w:highlight w:val="none"/>
        </w:rPr>
      </w:pPr>
      <w:r>
        <w:rPr>
          <w:rFonts w:hAnsi="宋体"/>
          <w:color w:val="auto"/>
          <w:sz w:val="24"/>
          <w:highlight w:val="none"/>
        </w:rPr>
        <w:t>1</w:t>
      </w:r>
      <w:r>
        <w:rPr>
          <w:rFonts w:hint="eastAsia" w:hAnsi="宋体"/>
          <w:color w:val="auto"/>
          <w:sz w:val="24"/>
          <w:highlight w:val="none"/>
        </w:rPr>
        <w:t>、乙方应按招标文件规定的时间向甲方提供使用货物的有关技术资料。</w:t>
      </w:r>
    </w:p>
    <w:p>
      <w:pPr>
        <w:pStyle w:val="19"/>
        <w:keepNext w:val="0"/>
        <w:keepLines w:val="0"/>
        <w:pageBreakBefore w:val="0"/>
        <w:kinsoku/>
        <w:wordWrap/>
        <w:overflowPunct/>
        <w:topLinePunct w:val="0"/>
        <w:bidi w:val="0"/>
        <w:snapToGrid w:val="0"/>
        <w:spacing w:line="420" w:lineRule="exact"/>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9"/>
        <w:keepNext w:val="0"/>
        <w:keepLines w:val="0"/>
        <w:pageBreakBefore w:val="0"/>
        <w:kinsoku/>
        <w:wordWrap/>
        <w:overflowPunct/>
        <w:topLinePunct w:val="0"/>
        <w:bidi w:val="0"/>
        <w:snapToGrid w:val="0"/>
        <w:spacing w:line="420" w:lineRule="exact"/>
        <w:ind w:left="412" w:hanging="412" w:hangingChars="171"/>
        <w:rPr>
          <w:rFonts w:hAnsi="宋体"/>
          <w:b/>
          <w:color w:val="auto"/>
          <w:sz w:val="24"/>
          <w:highlight w:val="none"/>
        </w:rPr>
      </w:pPr>
      <w:r>
        <w:rPr>
          <w:rFonts w:hint="eastAsia" w:hAnsi="宋体"/>
          <w:b/>
          <w:color w:val="auto"/>
          <w:sz w:val="24"/>
          <w:highlight w:val="none"/>
          <w:lang w:eastAsia="zh-CN"/>
        </w:rPr>
        <w:t>五</w:t>
      </w:r>
      <w:r>
        <w:rPr>
          <w:rFonts w:hint="eastAsia" w:hAnsi="宋体"/>
          <w:b/>
          <w:color w:val="auto"/>
          <w:sz w:val="24"/>
          <w:highlight w:val="none"/>
        </w:rPr>
        <w:t>、知识产权</w:t>
      </w:r>
    </w:p>
    <w:p>
      <w:pPr>
        <w:pStyle w:val="19"/>
        <w:keepNext w:val="0"/>
        <w:keepLines w:val="0"/>
        <w:pageBreakBefore w:val="0"/>
        <w:kinsoku/>
        <w:wordWrap/>
        <w:overflowPunct/>
        <w:topLinePunct w:val="0"/>
        <w:bidi w:val="0"/>
        <w:snapToGrid w:val="0"/>
        <w:spacing w:line="420" w:lineRule="exact"/>
        <w:ind w:firstLine="480" w:firstLineChars="200"/>
        <w:rPr>
          <w:rFonts w:hAnsi="宋体"/>
          <w:color w:val="auto"/>
          <w:sz w:val="24"/>
          <w:highlight w:val="none"/>
        </w:rPr>
      </w:pPr>
      <w:r>
        <w:rPr>
          <w:rFonts w:hint="eastAsia" w:hAnsi="宋体"/>
          <w:color w:val="auto"/>
          <w:sz w:val="24"/>
          <w:highlight w:val="none"/>
        </w:rPr>
        <w:t>1、乙方应保证所提供服务过程中不会侵犯任何第三方的知识产权。</w:t>
      </w:r>
    </w:p>
    <w:p>
      <w:pPr>
        <w:pStyle w:val="19"/>
        <w:keepNext w:val="0"/>
        <w:keepLines w:val="0"/>
        <w:pageBreakBefore w:val="0"/>
        <w:kinsoku/>
        <w:wordWrap/>
        <w:overflowPunct/>
        <w:topLinePunct w:val="0"/>
        <w:bidi w:val="0"/>
        <w:snapToGrid w:val="0"/>
        <w:spacing w:line="420" w:lineRule="exact"/>
        <w:ind w:firstLine="480" w:firstLineChars="200"/>
        <w:rPr>
          <w:rFonts w:hint="eastAsia" w:hAnsi="宋体"/>
          <w:color w:val="auto"/>
          <w:sz w:val="24"/>
          <w:highlight w:val="none"/>
        </w:rPr>
      </w:pPr>
      <w:r>
        <w:rPr>
          <w:rFonts w:hAnsi="宋体"/>
          <w:color w:val="auto"/>
          <w:sz w:val="24"/>
          <w:highlight w:val="none"/>
        </w:rPr>
        <w:t>2</w:t>
      </w:r>
      <w:r>
        <w:rPr>
          <w:rFonts w:hint="eastAsia" w:hAnsi="宋体"/>
          <w:color w:val="auto"/>
          <w:sz w:val="24"/>
          <w:highlight w:val="none"/>
        </w:rPr>
        <w:t>、若侵犯</w:t>
      </w:r>
      <w:r>
        <w:rPr>
          <w:rFonts w:hAnsi="宋体"/>
          <w:color w:val="auto"/>
          <w:sz w:val="24"/>
          <w:highlight w:val="none"/>
        </w:rPr>
        <w:t>,</w:t>
      </w:r>
      <w:r>
        <w:rPr>
          <w:rFonts w:hint="eastAsia" w:hAnsi="宋体"/>
          <w:color w:val="auto"/>
          <w:sz w:val="24"/>
          <w:highlight w:val="none"/>
        </w:rPr>
        <w:t>由乙方赔偿甲方因此遭受的损失（包括但不限于应对及追偿过程中所支付的律师费、差旅费、诉讼费、保全费、鉴定费、评估费等）。</w:t>
      </w:r>
    </w:p>
    <w:p>
      <w:pPr>
        <w:pStyle w:val="19"/>
        <w:keepNext w:val="0"/>
        <w:keepLines w:val="0"/>
        <w:pageBreakBefore w:val="0"/>
        <w:kinsoku/>
        <w:wordWrap/>
        <w:overflowPunct/>
        <w:topLinePunct w:val="0"/>
        <w:bidi w:val="0"/>
        <w:snapToGrid w:val="0"/>
        <w:spacing w:line="420" w:lineRule="exact"/>
        <w:rPr>
          <w:rFonts w:hAnsi="宋体"/>
          <w:sz w:val="24"/>
          <w:u w:val="single"/>
        </w:rPr>
      </w:pPr>
      <w:r>
        <w:rPr>
          <w:rFonts w:hint="eastAsia" w:hAnsi="宋体"/>
          <w:b/>
          <w:sz w:val="24"/>
          <w:lang w:eastAsia="zh-CN"/>
        </w:rPr>
        <w:t>六</w:t>
      </w:r>
      <w:r>
        <w:rPr>
          <w:rFonts w:hint="eastAsia" w:hAnsi="宋体"/>
          <w:b/>
          <w:sz w:val="24"/>
        </w:rPr>
        <w:t>、产权担保</w:t>
      </w:r>
    </w:p>
    <w:p>
      <w:pPr>
        <w:pStyle w:val="19"/>
        <w:keepNext w:val="0"/>
        <w:keepLines w:val="0"/>
        <w:pageBreakBefore w:val="0"/>
        <w:kinsoku/>
        <w:wordWrap/>
        <w:overflowPunct/>
        <w:topLinePunct w:val="0"/>
        <w:bidi w:val="0"/>
        <w:snapToGrid w:val="0"/>
        <w:spacing w:line="420" w:lineRule="exact"/>
        <w:ind w:firstLine="480" w:firstLineChars="200"/>
      </w:pPr>
      <w:r>
        <w:rPr>
          <w:rFonts w:hint="eastAsia" w:hAnsi="宋体"/>
          <w:sz w:val="24"/>
        </w:rPr>
        <w:t>乙方保证所交付的货物的所有权完全属于乙方且无任何抵押、查封等产权瑕疵。</w:t>
      </w:r>
    </w:p>
    <w:p>
      <w:pPr>
        <w:pStyle w:val="19"/>
        <w:keepNext w:val="0"/>
        <w:keepLines w:val="0"/>
        <w:pageBreakBefore w:val="0"/>
        <w:kinsoku/>
        <w:wordWrap/>
        <w:overflowPunct/>
        <w:topLinePunct w:val="0"/>
        <w:bidi w:val="0"/>
        <w:snapToGrid w:val="0"/>
        <w:spacing w:line="420" w:lineRule="exact"/>
        <w:ind w:left="410" w:hanging="410" w:hangingChars="170"/>
        <w:rPr>
          <w:rFonts w:hAnsi="宋体"/>
          <w:b/>
          <w:color w:val="auto"/>
          <w:sz w:val="24"/>
          <w:highlight w:val="none"/>
        </w:rPr>
      </w:pPr>
      <w:r>
        <w:rPr>
          <w:rFonts w:hint="eastAsia" w:hAnsi="宋体"/>
          <w:b/>
          <w:color w:val="auto"/>
          <w:sz w:val="24"/>
          <w:highlight w:val="none"/>
          <w:lang w:eastAsia="zh-CN"/>
        </w:rPr>
        <w:t>七</w:t>
      </w:r>
      <w:r>
        <w:rPr>
          <w:rFonts w:hint="eastAsia" w:hAnsi="宋体"/>
          <w:b/>
          <w:color w:val="auto"/>
          <w:sz w:val="24"/>
          <w:highlight w:val="none"/>
        </w:rPr>
        <w:t>、履约保证金</w:t>
      </w:r>
    </w:p>
    <w:p>
      <w:pPr>
        <w:pStyle w:val="19"/>
        <w:keepNext w:val="0"/>
        <w:keepLines w:val="0"/>
        <w:pageBreakBefore w:val="0"/>
        <w:kinsoku/>
        <w:wordWrap/>
        <w:overflowPunct/>
        <w:topLinePunct w:val="0"/>
        <w:bidi w:val="0"/>
        <w:snapToGrid w:val="0"/>
        <w:spacing w:line="420" w:lineRule="exact"/>
        <w:ind w:firstLine="480" w:firstLineChars="200"/>
        <w:rPr>
          <w:rFonts w:hint="eastAsia" w:hAnsi="宋体"/>
          <w:color w:val="auto"/>
          <w:sz w:val="24"/>
          <w:szCs w:val="22"/>
          <w:highlight w:val="none"/>
          <w:lang w:val="zh-CN"/>
        </w:rPr>
      </w:pPr>
      <w:r>
        <w:rPr>
          <w:rFonts w:hint="eastAsia" w:ascii="宋体" w:hAnsi="宋体" w:cs="Times New Roman"/>
          <w:sz w:val="24"/>
          <w:szCs w:val="24"/>
        </w:rPr>
        <w:t>本项目</w:t>
      </w:r>
      <w:r>
        <w:rPr>
          <w:rFonts w:hint="eastAsia"/>
          <w:sz w:val="24"/>
          <w:szCs w:val="24"/>
          <w:lang w:eastAsia="zh-CN"/>
        </w:rPr>
        <w:t>无</w:t>
      </w:r>
      <w:r>
        <w:rPr>
          <w:rFonts w:hint="eastAsia"/>
          <w:sz w:val="24"/>
          <w:szCs w:val="24"/>
        </w:rPr>
        <w:t>履约保证金</w:t>
      </w:r>
      <w:r>
        <w:rPr>
          <w:rFonts w:hint="eastAsia" w:ascii="宋体" w:hAnsi="宋体"/>
          <w:sz w:val="24"/>
          <w:szCs w:val="24"/>
        </w:rPr>
        <w:t>。</w:t>
      </w:r>
    </w:p>
    <w:p>
      <w:pPr>
        <w:pStyle w:val="19"/>
        <w:keepNext w:val="0"/>
        <w:keepLines w:val="0"/>
        <w:pageBreakBefore w:val="0"/>
        <w:kinsoku/>
        <w:wordWrap/>
        <w:overflowPunct/>
        <w:topLinePunct w:val="0"/>
        <w:bidi w:val="0"/>
        <w:snapToGrid w:val="0"/>
        <w:spacing w:line="420" w:lineRule="exact"/>
        <w:ind w:left="412" w:hanging="412" w:hangingChars="171"/>
        <w:rPr>
          <w:rFonts w:hAnsi="宋体"/>
          <w:b/>
          <w:bCs/>
          <w:color w:val="auto"/>
          <w:sz w:val="24"/>
          <w:szCs w:val="22"/>
          <w:highlight w:val="none"/>
        </w:rPr>
      </w:pPr>
      <w:r>
        <w:rPr>
          <w:rFonts w:hint="eastAsia" w:hAnsi="宋体"/>
          <w:b/>
          <w:bCs/>
          <w:color w:val="auto"/>
          <w:sz w:val="24"/>
          <w:szCs w:val="22"/>
          <w:highlight w:val="none"/>
          <w:lang w:eastAsia="zh-CN"/>
        </w:rPr>
        <w:t>八</w:t>
      </w:r>
      <w:r>
        <w:rPr>
          <w:rFonts w:hint="eastAsia" w:hAnsi="宋体"/>
          <w:b/>
          <w:bCs/>
          <w:color w:val="auto"/>
          <w:sz w:val="24"/>
          <w:szCs w:val="22"/>
          <w:highlight w:val="none"/>
        </w:rPr>
        <w:t>、转包或分包</w:t>
      </w:r>
    </w:p>
    <w:p>
      <w:pPr>
        <w:keepNext w:val="0"/>
        <w:keepLines w:val="0"/>
        <w:pageBreakBefore w:val="0"/>
        <w:kinsoku/>
        <w:wordWrap/>
        <w:overflowPunct/>
        <w:topLinePunct w:val="0"/>
        <w:bidi w:val="0"/>
        <w:snapToGrid w:val="0"/>
        <w:spacing w:line="4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、本合同范围的</w:t>
      </w:r>
      <w:r>
        <w:rPr>
          <w:rFonts w:hint="eastAsia" w:ascii="宋体" w:hAnsi="宋体"/>
          <w:color w:val="auto"/>
          <w:sz w:val="24"/>
          <w:highlight w:val="none"/>
          <w:lang w:eastAsia="zh-CN"/>
        </w:rPr>
        <w:t>货物</w:t>
      </w:r>
      <w:r>
        <w:rPr>
          <w:rFonts w:hint="eastAsia" w:ascii="宋体" w:hAnsi="宋体"/>
          <w:color w:val="auto"/>
          <w:sz w:val="24"/>
          <w:highlight w:val="none"/>
        </w:rPr>
        <w:t>，应由乙方直接供应，不得转让他人供应；</w:t>
      </w:r>
    </w:p>
    <w:p>
      <w:pPr>
        <w:keepNext w:val="0"/>
        <w:keepLines w:val="0"/>
        <w:pageBreakBefore w:val="0"/>
        <w:kinsoku/>
        <w:wordWrap/>
        <w:overflowPunct/>
        <w:topLinePunct w:val="0"/>
        <w:bidi w:val="0"/>
        <w:snapToGrid w:val="0"/>
        <w:spacing w:line="4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、除非得到甲方的书面同意，乙方不得将本合同范围的</w:t>
      </w:r>
      <w:r>
        <w:rPr>
          <w:rFonts w:hint="eastAsia" w:ascii="宋体" w:hAnsi="宋体"/>
          <w:color w:val="auto"/>
          <w:sz w:val="24"/>
          <w:highlight w:val="none"/>
          <w:lang w:eastAsia="zh-CN"/>
        </w:rPr>
        <w:t>货物</w:t>
      </w:r>
      <w:r>
        <w:rPr>
          <w:rFonts w:hint="eastAsia" w:ascii="宋体" w:hAnsi="宋体"/>
          <w:color w:val="auto"/>
          <w:sz w:val="24"/>
          <w:highlight w:val="none"/>
        </w:rPr>
        <w:t>全部或部分分包给他人供应；</w:t>
      </w:r>
    </w:p>
    <w:p>
      <w:pPr>
        <w:keepNext w:val="0"/>
        <w:keepLines w:val="0"/>
        <w:pageBreakBefore w:val="0"/>
        <w:kinsoku/>
        <w:wordWrap/>
        <w:overflowPunct/>
        <w:topLinePunct w:val="0"/>
        <w:bidi w:val="0"/>
        <w:snapToGrid w:val="0"/>
        <w:spacing w:line="42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、如有转让和未经甲方同意的分包行为，甲方有权解除合同，没收履约保证金并追究乙方的违约责任。</w:t>
      </w:r>
    </w:p>
    <w:p>
      <w:pPr>
        <w:pStyle w:val="19"/>
        <w:keepNext w:val="0"/>
        <w:keepLines w:val="0"/>
        <w:pageBreakBefore w:val="0"/>
        <w:kinsoku/>
        <w:wordWrap/>
        <w:overflowPunct/>
        <w:topLinePunct w:val="0"/>
        <w:bidi w:val="0"/>
        <w:snapToGrid w:val="0"/>
        <w:spacing w:line="420" w:lineRule="exact"/>
        <w:rPr>
          <w:rFonts w:hint="eastAsia" w:hAnsi="宋体"/>
          <w:b/>
          <w:color w:val="auto"/>
          <w:sz w:val="24"/>
          <w:highlight w:val="none"/>
        </w:rPr>
      </w:pPr>
      <w:r>
        <w:rPr>
          <w:rFonts w:hint="eastAsia" w:hAnsi="宋体"/>
          <w:b/>
          <w:color w:val="auto"/>
          <w:sz w:val="24"/>
          <w:highlight w:val="none"/>
          <w:lang w:eastAsia="zh-CN"/>
        </w:rPr>
        <w:t>九</w:t>
      </w:r>
      <w:r>
        <w:rPr>
          <w:rFonts w:hint="eastAsia" w:hAnsi="宋体"/>
          <w:b/>
          <w:color w:val="auto"/>
          <w:sz w:val="24"/>
          <w:highlight w:val="none"/>
        </w:rPr>
        <w:t>、</w:t>
      </w:r>
      <w:r>
        <w:rPr>
          <w:rFonts w:hint="eastAsia" w:hAnsi="宋体"/>
          <w:b/>
          <w:sz w:val="24"/>
        </w:rPr>
        <w:t>质保期</w:t>
      </w:r>
    </w:p>
    <w:p>
      <w:pPr>
        <w:pStyle w:val="19"/>
        <w:keepNext w:val="0"/>
        <w:keepLines w:val="0"/>
        <w:pageBreakBefore w:val="0"/>
        <w:kinsoku/>
        <w:wordWrap/>
        <w:overflowPunct/>
        <w:topLinePunct w:val="0"/>
        <w:bidi w:val="0"/>
        <w:snapToGrid w:val="0"/>
        <w:spacing w:line="420" w:lineRule="exact"/>
        <w:ind w:left="479" w:leftChars="228" w:firstLine="69" w:firstLineChars="29"/>
        <w:rPr>
          <w:rFonts w:hint="eastAsia" w:hAnsi="宋体" w:cs="Times New Roman"/>
          <w:b/>
          <w:bCs/>
          <w:color w:val="auto"/>
          <w:sz w:val="24"/>
          <w:szCs w:val="22"/>
          <w:highlight w:val="none"/>
        </w:rPr>
      </w:pPr>
      <w:r>
        <w:rPr>
          <w:rFonts w:hAnsi="宋体"/>
          <w:sz w:val="24"/>
        </w:rPr>
        <w:t xml:space="preserve">1. </w:t>
      </w:r>
      <w:r>
        <w:rPr>
          <w:rFonts w:hint="eastAsia" w:hAnsi="宋体"/>
          <w:sz w:val="24"/>
        </w:rPr>
        <w:t>质保期</w:t>
      </w:r>
      <w:r>
        <w:rPr>
          <w:rFonts w:hint="eastAsia" w:hAnsi="宋体"/>
          <w:sz w:val="24"/>
          <w:u w:val="single"/>
          <w:lang w:val="en-US" w:eastAsia="zh-CN"/>
        </w:rPr>
        <w:t xml:space="preserve">        </w:t>
      </w:r>
      <w:r>
        <w:rPr>
          <w:rFonts w:hint="eastAsia" w:hAnsi="宋体"/>
          <w:sz w:val="24"/>
        </w:rPr>
        <w:t>年。（自交货验收合格之日起计）</w:t>
      </w:r>
    </w:p>
    <w:p>
      <w:pPr>
        <w:pStyle w:val="19"/>
        <w:keepNext w:val="0"/>
        <w:keepLines w:val="0"/>
        <w:pageBreakBefore w:val="0"/>
        <w:kinsoku/>
        <w:wordWrap/>
        <w:overflowPunct/>
        <w:topLinePunct w:val="0"/>
        <w:bidi w:val="0"/>
        <w:snapToGrid w:val="0"/>
        <w:spacing w:line="420" w:lineRule="exact"/>
        <w:rPr>
          <w:rFonts w:hAnsi="宋体"/>
          <w:b/>
          <w:color w:val="auto"/>
          <w:sz w:val="24"/>
          <w:highlight w:val="none"/>
        </w:rPr>
      </w:pPr>
      <w:r>
        <w:rPr>
          <w:rFonts w:hint="eastAsia" w:hAnsi="宋体"/>
          <w:b/>
          <w:color w:val="auto"/>
          <w:sz w:val="24"/>
          <w:highlight w:val="none"/>
        </w:rPr>
        <w:t>十、</w:t>
      </w:r>
      <w:r>
        <w:rPr>
          <w:rFonts w:hint="eastAsia" w:hAnsi="宋体"/>
          <w:b/>
          <w:sz w:val="24"/>
        </w:rPr>
        <w:t>交货期、交货方式及交货地点</w:t>
      </w:r>
    </w:p>
    <w:p>
      <w:pPr>
        <w:pStyle w:val="19"/>
        <w:keepNext w:val="0"/>
        <w:keepLines w:val="0"/>
        <w:pageBreakBefore w:val="0"/>
        <w:kinsoku/>
        <w:wordWrap/>
        <w:overflowPunct/>
        <w:topLinePunct w:val="0"/>
        <w:bidi w:val="0"/>
        <w:snapToGrid w:val="0"/>
        <w:spacing w:line="420" w:lineRule="exact"/>
        <w:ind w:firstLine="480" w:firstLineChars="200"/>
        <w:rPr>
          <w:rFonts w:hint="eastAsia" w:hAnsi="宋体"/>
          <w:bCs/>
          <w:sz w:val="24"/>
        </w:rPr>
      </w:pPr>
      <w:r>
        <w:rPr>
          <w:rFonts w:hAnsi="宋体"/>
          <w:bCs/>
          <w:color w:val="auto"/>
          <w:sz w:val="24"/>
          <w:highlight w:val="none"/>
        </w:rPr>
        <w:t>1</w:t>
      </w:r>
      <w:r>
        <w:rPr>
          <w:rFonts w:hint="eastAsia" w:hAnsi="宋体"/>
          <w:bCs/>
          <w:color w:val="auto"/>
          <w:sz w:val="24"/>
          <w:highlight w:val="none"/>
        </w:rPr>
        <w:t>、</w:t>
      </w:r>
      <w:r>
        <w:rPr>
          <w:rFonts w:hint="eastAsia" w:hAnsi="宋体"/>
          <w:bCs/>
          <w:sz w:val="24"/>
        </w:rPr>
        <w:t>交货期：</w:t>
      </w:r>
      <w:r>
        <w:rPr>
          <w:rFonts w:hint="eastAsia" w:asciiTheme="minorEastAsia" w:hAnsiTheme="minorEastAsia"/>
          <w:sz w:val="24"/>
          <w:highlight w:val="none"/>
          <w:lang w:eastAsia="zh-CN"/>
        </w:rPr>
        <w:t>合同签订后，分批交货，每学期</w:t>
      </w:r>
      <w:r>
        <w:rPr>
          <w:rFonts w:hint="eastAsia" w:asciiTheme="minorEastAsia" w:hAnsiTheme="minorEastAsia"/>
          <w:kern w:val="0"/>
          <w:sz w:val="24"/>
          <w:highlight w:val="none"/>
        </w:rPr>
        <w:t>接</w:t>
      </w:r>
      <w:r>
        <w:rPr>
          <w:rFonts w:hint="eastAsia" w:asciiTheme="minorEastAsia" w:hAnsiTheme="minorEastAsia"/>
          <w:kern w:val="0"/>
          <w:sz w:val="24"/>
          <w:highlight w:val="none"/>
          <w:lang w:eastAsia="zh-CN"/>
        </w:rPr>
        <w:t>采购人</w:t>
      </w:r>
      <w:r>
        <w:rPr>
          <w:rFonts w:hint="eastAsia" w:asciiTheme="minorEastAsia" w:hAnsiTheme="minorEastAsia"/>
          <w:kern w:val="0"/>
          <w:sz w:val="24"/>
          <w:highlight w:val="none"/>
        </w:rPr>
        <w:t>通知后15个工作日内。</w:t>
      </w:r>
    </w:p>
    <w:p>
      <w:pPr>
        <w:pStyle w:val="19"/>
        <w:keepNext w:val="0"/>
        <w:keepLines w:val="0"/>
        <w:pageBreakBefore w:val="0"/>
        <w:kinsoku/>
        <w:wordWrap/>
        <w:overflowPunct/>
        <w:topLinePunct w:val="0"/>
        <w:bidi w:val="0"/>
        <w:snapToGrid w:val="0"/>
        <w:spacing w:line="420" w:lineRule="exact"/>
        <w:ind w:firstLine="480" w:firstLineChars="200"/>
        <w:rPr>
          <w:rFonts w:hAnsi="宋体"/>
          <w:color w:val="auto"/>
          <w:sz w:val="24"/>
          <w:highlight w:val="none"/>
        </w:rPr>
      </w:pPr>
      <w:r>
        <w:rPr>
          <w:rFonts w:hAnsi="宋体"/>
          <w:bCs/>
          <w:color w:val="000000"/>
          <w:sz w:val="24"/>
        </w:rPr>
        <w:t xml:space="preserve">2. </w:t>
      </w:r>
      <w:r>
        <w:rPr>
          <w:rFonts w:hint="eastAsia" w:hAnsi="宋体"/>
          <w:bCs/>
          <w:color w:val="000000"/>
          <w:sz w:val="24"/>
        </w:rPr>
        <w:t>交货方式：</w:t>
      </w:r>
      <w:r>
        <w:rPr>
          <w:rFonts w:hint="eastAsia" w:hAnsi="宋体"/>
          <w:color w:val="000000"/>
          <w:sz w:val="24"/>
          <w:lang w:eastAsia="zh-CN"/>
        </w:rPr>
        <w:t>采购人</w:t>
      </w:r>
      <w:r>
        <w:rPr>
          <w:rFonts w:hint="eastAsia" w:ascii="宋体" w:hAnsi="宋体"/>
          <w:color w:val="000000"/>
          <w:sz w:val="24"/>
        </w:rPr>
        <w:t>指定地点交货。</w:t>
      </w:r>
    </w:p>
    <w:p>
      <w:pPr>
        <w:keepNext w:val="0"/>
        <w:keepLines w:val="0"/>
        <w:pageBreakBefore w:val="0"/>
        <w:widowControl w:val="0"/>
        <w:kinsoku/>
        <w:wordWrap/>
        <w:overflowPunct/>
        <w:topLinePunct w:val="0"/>
        <w:bidi w:val="0"/>
        <w:spacing w:line="420" w:lineRule="exact"/>
        <w:jc w:val="both"/>
        <w:rPr>
          <w:rFonts w:ascii="宋体" w:hAnsi="宋体"/>
          <w:b/>
          <w:color w:val="auto"/>
          <w:sz w:val="24"/>
          <w:highlight w:val="none"/>
        </w:rPr>
      </w:pPr>
      <w:r>
        <w:rPr>
          <w:rFonts w:hint="eastAsia" w:hAnsi="宋体" w:cs="Times New Roman"/>
          <w:b/>
          <w:bCs/>
          <w:color w:val="auto"/>
          <w:sz w:val="24"/>
          <w:szCs w:val="22"/>
          <w:highlight w:val="none"/>
        </w:rPr>
        <w:t>十</w:t>
      </w:r>
      <w:r>
        <w:rPr>
          <w:rFonts w:hint="eastAsia" w:hAnsi="宋体" w:cs="Times New Roman"/>
          <w:b/>
          <w:bCs/>
          <w:color w:val="auto"/>
          <w:sz w:val="24"/>
          <w:szCs w:val="22"/>
          <w:highlight w:val="none"/>
          <w:lang w:eastAsia="zh-CN"/>
        </w:rPr>
        <w:t>一</w:t>
      </w:r>
      <w:r>
        <w:rPr>
          <w:rFonts w:hint="eastAsia" w:hAnsi="宋体" w:cs="Times New Roman"/>
          <w:b/>
          <w:bCs/>
          <w:color w:val="auto"/>
          <w:sz w:val="24"/>
          <w:szCs w:val="22"/>
          <w:highlight w:val="none"/>
        </w:rPr>
        <w:t>、付款方式：</w:t>
      </w:r>
    </w:p>
    <w:p>
      <w:pPr>
        <w:pStyle w:val="19"/>
        <w:keepNext w:val="0"/>
        <w:keepLines w:val="0"/>
        <w:pageBreakBefore w:val="0"/>
        <w:kinsoku/>
        <w:wordWrap/>
        <w:overflowPunct/>
        <w:topLinePunct w:val="0"/>
        <w:bidi w:val="0"/>
        <w:snapToGrid w:val="0"/>
        <w:spacing w:line="420" w:lineRule="exact"/>
        <w:ind w:firstLine="480" w:firstLineChars="200"/>
        <w:jc w:val="left"/>
        <w:rPr>
          <w:rFonts w:hint="eastAsia" w:ascii="宋体" w:hAnsi="宋体" w:eastAsia="宋体" w:cs="宋体"/>
          <w:sz w:val="24"/>
          <w:szCs w:val="24"/>
          <w:highlight w:val="none"/>
        </w:rPr>
      </w:pPr>
      <w:r>
        <w:rPr>
          <w:rFonts w:hint="eastAsia" w:asciiTheme="minorEastAsia" w:hAnsiTheme="minorEastAsia"/>
          <w:sz w:val="24"/>
        </w:rPr>
        <w:t>结算价按实际供货数量×定价×中标折扣率结算</w:t>
      </w:r>
      <w:r>
        <w:rPr>
          <w:rFonts w:hint="eastAsia" w:asciiTheme="minorEastAsia" w:hAnsiTheme="minorEastAsia"/>
          <w:sz w:val="24"/>
          <w:lang w:eastAsia="zh-CN"/>
        </w:rPr>
        <w:t>，</w:t>
      </w:r>
      <w:r>
        <w:rPr>
          <w:rFonts w:hint="eastAsia" w:ascii="宋体" w:hAnsi="宋体" w:eastAsia="宋体" w:cs="宋体"/>
          <w:sz w:val="24"/>
          <w:szCs w:val="24"/>
          <w:highlight w:val="none"/>
        </w:rPr>
        <w:t>合同生效以及具备实施条件后7个工作日内支付</w:t>
      </w:r>
      <w:r>
        <w:rPr>
          <w:rFonts w:hint="eastAsia" w:ascii="宋体" w:hAnsi="宋体" w:cs="宋体"/>
          <w:sz w:val="24"/>
          <w:szCs w:val="24"/>
          <w:highlight w:val="none"/>
          <w:lang w:eastAsia="zh-CN"/>
        </w:rPr>
        <w:t>当</w:t>
      </w:r>
      <w:r>
        <w:rPr>
          <w:rFonts w:hint="eastAsia" w:ascii="宋体" w:hAnsi="宋体" w:eastAsia="宋体" w:cs="宋体"/>
          <w:sz w:val="24"/>
          <w:szCs w:val="24"/>
          <w:highlight w:val="none"/>
          <w:lang w:val="en-US" w:eastAsia="zh-CN"/>
        </w:rPr>
        <w:t>期采购金额的40</w:t>
      </w:r>
      <w:r>
        <w:rPr>
          <w:rFonts w:hint="eastAsia" w:ascii="宋体" w:hAnsi="宋体" w:eastAsia="宋体" w:cs="宋体"/>
          <w:sz w:val="24"/>
          <w:szCs w:val="24"/>
          <w:highlight w:val="none"/>
        </w:rPr>
        <w:t>%预付款</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中标人在每学期开学后一个月左右，将各类品种的定价、各校师生分类供货数量和总金额等有关数据报送教育局。教育局在开学后两个月左右做好本项目相关数据的对账、审核工作,根据销售发票及清单，向中标人支付每学期</w:t>
      </w:r>
      <w:r>
        <w:rPr>
          <w:rFonts w:hint="eastAsia" w:ascii="宋体" w:hAnsi="宋体" w:eastAsia="宋体" w:cs="宋体"/>
          <w:sz w:val="24"/>
          <w:szCs w:val="24"/>
          <w:highlight w:val="none"/>
          <w:lang w:val="en-US" w:eastAsia="zh-CN"/>
        </w:rPr>
        <w:t>剩余</w:t>
      </w:r>
      <w:r>
        <w:rPr>
          <w:rFonts w:hint="eastAsia" w:ascii="宋体" w:hAnsi="宋体" w:eastAsia="宋体" w:cs="宋体"/>
          <w:sz w:val="24"/>
          <w:szCs w:val="24"/>
          <w:highlight w:val="none"/>
        </w:rPr>
        <w:t>货款。在签订合同时，供应商明确表示无需预付款或者主动要求降低预付款比例的，采购单位可不适用前述规定。</w:t>
      </w:r>
    </w:p>
    <w:p>
      <w:pPr>
        <w:pStyle w:val="19"/>
        <w:keepNext w:val="0"/>
        <w:keepLines w:val="0"/>
        <w:pageBreakBefore w:val="0"/>
        <w:kinsoku/>
        <w:wordWrap/>
        <w:overflowPunct/>
        <w:topLinePunct w:val="0"/>
        <w:bidi w:val="0"/>
        <w:snapToGrid w:val="0"/>
        <w:spacing w:line="420" w:lineRule="exact"/>
        <w:jc w:val="left"/>
        <w:rPr>
          <w:rFonts w:ascii="宋体" w:hAnsi="宋体"/>
          <w:b/>
          <w:color w:val="auto"/>
          <w:sz w:val="24"/>
          <w:highlight w:val="none"/>
        </w:rPr>
      </w:pPr>
      <w:r>
        <w:rPr>
          <w:rFonts w:hint="eastAsia" w:ascii="宋体" w:hAnsi="宋体"/>
          <w:b/>
          <w:color w:val="auto"/>
          <w:sz w:val="24"/>
          <w:highlight w:val="none"/>
        </w:rPr>
        <w:t>十</w:t>
      </w:r>
      <w:r>
        <w:rPr>
          <w:rFonts w:hint="eastAsia" w:hAnsi="宋体"/>
          <w:b/>
          <w:color w:val="auto"/>
          <w:sz w:val="24"/>
          <w:highlight w:val="none"/>
          <w:lang w:eastAsia="zh-CN"/>
        </w:rPr>
        <w:t>二</w:t>
      </w:r>
      <w:r>
        <w:rPr>
          <w:rFonts w:hint="eastAsia" w:ascii="宋体" w:hAnsi="宋体"/>
          <w:b/>
          <w:color w:val="auto"/>
          <w:sz w:val="24"/>
          <w:highlight w:val="none"/>
        </w:rPr>
        <w:t>、税费</w:t>
      </w:r>
    </w:p>
    <w:p>
      <w:pPr>
        <w:keepNext w:val="0"/>
        <w:keepLines w:val="0"/>
        <w:pageBreakBefore w:val="0"/>
        <w:kinsoku/>
        <w:wordWrap/>
        <w:overflowPunct/>
        <w:topLinePunct w:val="0"/>
        <w:bidi w:val="0"/>
        <w:snapToGrid w:val="0"/>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本合同执行中相关的一切税费均由乙方负担。</w:t>
      </w:r>
    </w:p>
    <w:p>
      <w:pPr>
        <w:pStyle w:val="15"/>
        <w:keepNext w:val="0"/>
        <w:keepLines w:val="0"/>
        <w:pageBreakBefore w:val="0"/>
        <w:kinsoku/>
        <w:wordWrap/>
        <w:overflowPunct/>
        <w:topLinePunct w:val="0"/>
        <w:bidi w:val="0"/>
        <w:spacing w:line="420" w:lineRule="exact"/>
      </w:pPr>
      <w:r>
        <w:rPr>
          <w:rFonts w:hint="eastAsia" w:hAnsi="宋体"/>
          <w:b/>
          <w:sz w:val="24"/>
        </w:rPr>
        <w:t>十三、质量保证及售后服务</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中标人必须有可靠的售后服务保障，包括但不限于在台州附近有固定的维修服务点，能提供正常的技术、备品备件服务。当发生故障时，中标人在接到采购单位通知后，</w:t>
      </w:r>
      <w:r>
        <w:rPr>
          <w:rFonts w:hint="eastAsia" w:ascii="宋体" w:hAnsi="宋体"/>
          <w:color w:val="auto"/>
          <w:sz w:val="24"/>
          <w:highlight w:val="none"/>
          <w:lang w:eastAsia="zh-CN"/>
        </w:rPr>
        <w:t>路桥</w:t>
      </w:r>
      <w:r>
        <w:rPr>
          <w:rFonts w:hint="eastAsia" w:ascii="宋体" w:hAnsi="宋体"/>
          <w:color w:val="auto"/>
          <w:sz w:val="24"/>
          <w:highlight w:val="none"/>
        </w:rPr>
        <w:t>及附近地区4小时内，外地6小时内派人赴现场处理设备质量问题。24小时内不能修复的，则无偿提供备机或备用零件供采购单位使用。</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保修期内，如因修理货物或更换部件，而非人为因素出现故障而造成短期停用时，则保修期和免费维修期相应顺延。如停用时间累计超过20天，则货物保修期重新计算。</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保修期内，采购人无须自行付费，中标供应商负责修理和替换任何由于货物自身的质量问题造成的损坏及故障。</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保修期内，须指定一名技术工程师专门负责本项目的售后服务工作；如有更换，须采购人同意。</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中标供应商在保修期内安装（更换）的任何零配件，必须是货物制造商原产的或是经采购人认可的。</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所有的替代零配件必须是新的未使用和未经修复的,除非最终用户提供书面许可，否则不可使用此范围外的其他（非新的）配件。</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保修期结束前，须由中标供应商和采购人进行一次全面检查，任何缺陷必须由中标供应商负责修理，在修理之后，中标供应商应将缺陷原因、修理内容、完成修理及恢复正常的时间和日期等报告给采购人，报告一式两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val="en-US" w:eastAsia="zh-CN"/>
        </w:rPr>
        <w:t>8.</w:t>
      </w:r>
      <w:r>
        <w:rPr>
          <w:rFonts w:hint="eastAsia" w:ascii="宋体" w:hAnsi="宋体" w:eastAsia="宋体" w:cs="Times New Roman"/>
          <w:color w:val="auto"/>
          <w:sz w:val="24"/>
          <w:highlight w:val="none"/>
        </w:rPr>
        <w:t>中标供应商或原厂家的承诺的保修期不符的，以最高标准为准，除非供应商事前正式声明，否则均视为认同，并将在合同中载明。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9</w:t>
      </w:r>
      <w:r>
        <w:rPr>
          <w:rFonts w:hint="eastAsia" w:ascii="宋体" w:hAnsi="宋体" w:eastAsia="宋体" w:cs="Times New Roman"/>
          <w:color w:val="auto"/>
          <w:sz w:val="24"/>
          <w:highlight w:val="none"/>
        </w:rPr>
        <w:t>、若中标人未能满足上述售后服务要求中的任何一条，采购单位有权委托第三方单位提供售后服务，由此产生的一切费用由中标人承担。</w:t>
      </w:r>
    </w:p>
    <w:p>
      <w:pPr>
        <w:pStyle w:val="19"/>
        <w:keepNext w:val="0"/>
        <w:keepLines w:val="0"/>
        <w:pageBreakBefore w:val="0"/>
        <w:kinsoku/>
        <w:wordWrap/>
        <w:overflowPunct/>
        <w:topLinePunct w:val="0"/>
        <w:bidi w:val="0"/>
        <w:snapToGrid w:val="0"/>
        <w:spacing w:line="420" w:lineRule="exact"/>
        <w:rPr>
          <w:rFonts w:hAnsi="宋体"/>
          <w:b/>
          <w:sz w:val="24"/>
        </w:rPr>
      </w:pPr>
      <w:r>
        <w:rPr>
          <w:rFonts w:hint="eastAsia" w:hAnsi="宋体"/>
          <w:b/>
          <w:sz w:val="24"/>
        </w:rPr>
        <w:t>十四、</w:t>
      </w:r>
      <w:r>
        <w:rPr>
          <w:rFonts w:hint="eastAsia" w:ascii="宋体"/>
          <w:b/>
          <w:bCs/>
          <w:color w:val="auto"/>
          <w:kern w:val="2"/>
          <w:sz w:val="24"/>
          <w:szCs w:val="24"/>
          <w:highlight w:val="none"/>
          <w:lang w:val="en-US" w:eastAsia="zh-CN" w:bidi="ar-SA"/>
        </w:rPr>
        <w:t>运输、安装与调试要求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1.</w:t>
      </w:r>
      <w:r>
        <w:rPr>
          <w:rFonts w:hint="eastAsia" w:ascii="宋体" w:hAnsi="宋体"/>
          <w:color w:val="auto"/>
          <w:sz w:val="24"/>
          <w:highlight w:val="none"/>
          <w:lang w:val="zh-CN"/>
        </w:rPr>
        <w:t>投标人必须根据采购需求内容对整个项目按国家相关标准做深化设计，将本项目涉及所有线缆、软件、硬件设备等全部配齐，并列出具体清单。采购内容中未明确品牌的相关产品，投标人在选择投标产品时应充分考虑其与本项目其它设备的配套性和合理性。本项目的所有软、硬件(如线缆、软件、硬件模块等，包括未列出而系统实施又必需的软件、硬件)需配齐以构成一套完整实用系统，如有任何遗漏，由中标人免费补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lang w:val="en-US" w:eastAsia="zh-CN"/>
        </w:rPr>
        <w:t>中标供应商须对送货、安装、调试等工作人员的安全文明施工负责，</w:t>
      </w:r>
      <w:r>
        <w:rPr>
          <w:rFonts w:hint="eastAsia" w:ascii="宋体" w:hAnsi="宋体" w:eastAsia="宋体" w:cs="Times New Roman"/>
          <w:color w:val="auto"/>
          <w:sz w:val="24"/>
          <w:highlight w:val="none"/>
        </w:rPr>
        <w:t>必须按项目需求及国家有关规范标准进行施工，确保</w:t>
      </w:r>
      <w:r>
        <w:rPr>
          <w:rFonts w:hint="eastAsia" w:ascii="宋体" w:hAnsi="宋体" w:eastAsia="宋体" w:cs="Times New Roman"/>
          <w:color w:val="auto"/>
          <w:sz w:val="24"/>
          <w:highlight w:val="none"/>
          <w:lang w:val="en-US" w:eastAsia="zh-CN"/>
        </w:rPr>
        <w:t>施工</w:t>
      </w:r>
      <w:r>
        <w:rPr>
          <w:rFonts w:hint="eastAsia" w:ascii="宋体" w:hAnsi="宋体" w:eastAsia="宋体" w:cs="Times New Roman"/>
          <w:color w:val="auto"/>
          <w:sz w:val="24"/>
          <w:highlight w:val="none"/>
        </w:rPr>
        <w:t>现场的安全生产和文明施工</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根据防控疫情工作要求，承诺确保工作人员符合疫情防控标准。中标供应商在项目施工过程中如造成人员伤亡、财产损失的，有关责任均由中标供应商承担。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sz w:val="24"/>
        </w:rPr>
      </w:pPr>
      <w:r>
        <w:rPr>
          <w:rFonts w:hint="eastAsia" w:ascii="宋体" w:hAnsi="宋体" w:cs="宋体"/>
          <w:b w:val="0"/>
          <w:bCs/>
          <w:color w:val="auto"/>
          <w:sz w:val="24"/>
          <w:highlight w:val="none"/>
          <w:lang w:val="en-US" w:eastAsia="zh-CN"/>
        </w:rPr>
        <w:t>3.</w:t>
      </w:r>
      <w:r>
        <w:rPr>
          <w:rFonts w:hint="eastAsia" w:ascii="宋体" w:hAnsi="宋体" w:cs="宋体"/>
          <w:color w:val="auto"/>
          <w:kern w:val="0"/>
          <w:sz w:val="24"/>
          <w:highlight w:val="none"/>
        </w:rPr>
        <w:t>中标供应商须按国家有关规定及标准完成本次采购的供货、运输、装卸、检验、通过有关部门验收、质保期上门服务等各项工作，并保证产品使用的安全性能与检测结</w:t>
      </w:r>
      <w:r>
        <w:rPr>
          <w:rFonts w:hint="eastAsia" w:ascii="宋体" w:hAnsi="宋体" w:eastAsia="宋体" w:cs="Times New Roman"/>
          <w:bCs/>
          <w:color w:val="auto"/>
          <w:sz w:val="24"/>
          <w:highlight w:val="none"/>
          <w:lang w:val="en-US" w:eastAsia="zh-CN"/>
        </w:rPr>
        <w:t>果的可靠性。货物验收过程中，由于质量不合格或运输等原因所造成的一切费用均由中标供应商负责。</w:t>
      </w:r>
    </w:p>
    <w:p>
      <w:pPr>
        <w:pStyle w:val="19"/>
        <w:keepNext w:val="0"/>
        <w:keepLines w:val="0"/>
        <w:pageBreakBefore w:val="0"/>
        <w:kinsoku/>
        <w:wordWrap/>
        <w:overflowPunct/>
        <w:topLinePunct w:val="0"/>
        <w:bidi w:val="0"/>
        <w:snapToGrid w:val="0"/>
        <w:spacing w:line="420" w:lineRule="exact"/>
        <w:rPr>
          <w:rFonts w:hAnsi="宋体"/>
          <w:b/>
          <w:sz w:val="24"/>
        </w:rPr>
      </w:pPr>
      <w:r>
        <w:rPr>
          <w:rFonts w:hint="eastAsia" w:hAnsi="宋体"/>
          <w:b/>
          <w:sz w:val="24"/>
        </w:rPr>
        <w:t>十五、</w:t>
      </w:r>
      <w:r>
        <w:rPr>
          <w:rFonts w:hint="eastAsia" w:ascii="宋体" w:hAnsi="宋体"/>
          <w:b/>
          <w:bCs/>
          <w:color w:val="auto"/>
          <w:kern w:val="0"/>
          <w:sz w:val="24"/>
          <w:highlight w:val="none"/>
          <w:lang w:eastAsia="zh-CN"/>
        </w:rPr>
        <w:t>项目</w:t>
      </w:r>
      <w:r>
        <w:rPr>
          <w:rFonts w:hint="eastAsia" w:ascii="宋体" w:hAnsi="宋体"/>
          <w:b/>
          <w:bCs/>
          <w:color w:val="auto"/>
          <w:kern w:val="0"/>
          <w:sz w:val="24"/>
          <w:highlight w:val="none"/>
        </w:rPr>
        <w:t>验收要求</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中标供应商应按有关要求供货，并提供货物质量检验证明文件、测试方法和验收标准。提供的质量检验证明文件、测试方法和验收标准经采购人认可后与合同一起作为项目验收标准的组成。</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中标供应商将所有货物运抵安装地点后，由采购人按照装箱列表单、招标文件要求、投标文件等进行现场开箱初验。</w:t>
      </w:r>
    </w:p>
    <w:p>
      <w:pPr>
        <w:pStyle w:val="19"/>
        <w:keepNext w:val="0"/>
        <w:keepLines w:val="0"/>
        <w:pageBreakBefore w:val="0"/>
        <w:kinsoku/>
        <w:wordWrap/>
        <w:overflowPunct/>
        <w:topLinePunct w:val="0"/>
        <w:bidi w:val="0"/>
        <w:snapToGrid w:val="0"/>
        <w:spacing w:line="420" w:lineRule="exact"/>
        <w:rPr>
          <w:rFonts w:hint="eastAsia" w:ascii="宋体" w:hAnsi="宋体"/>
          <w:color w:val="auto"/>
          <w:sz w:val="24"/>
          <w:highlight w:val="none"/>
        </w:rPr>
      </w:pPr>
      <w:r>
        <w:rPr>
          <w:rFonts w:hint="eastAsia" w:ascii="宋体" w:hAnsi="宋体"/>
          <w:color w:val="auto"/>
          <w:sz w:val="24"/>
          <w:highlight w:val="none"/>
          <w:lang w:val="en-US" w:eastAsia="zh-CN"/>
        </w:rPr>
        <w:t>3.本项目全部完工，由中标供应商通知采购人，由采购人按照政府采购相关要求组织最终验收</w:t>
      </w:r>
      <w:r>
        <w:rPr>
          <w:rFonts w:hint="eastAsia" w:ascii="宋体" w:hAnsi="宋体"/>
          <w:color w:val="auto"/>
          <w:sz w:val="24"/>
          <w:highlight w:val="none"/>
        </w:rPr>
        <w:t>。</w:t>
      </w:r>
    </w:p>
    <w:p>
      <w:pPr>
        <w:pStyle w:val="19"/>
        <w:keepNext w:val="0"/>
        <w:keepLines w:val="0"/>
        <w:pageBreakBefore w:val="0"/>
        <w:kinsoku/>
        <w:wordWrap/>
        <w:overflowPunct/>
        <w:topLinePunct w:val="0"/>
        <w:bidi w:val="0"/>
        <w:snapToGrid w:val="0"/>
        <w:spacing w:line="420" w:lineRule="exact"/>
        <w:rPr>
          <w:rFonts w:hAnsi="宋体"/>
          <w:b/>
          <w:color w:val="auto"/>
          <w:sz w:val="24"/>
          <w:highlight w:val="none"/>
        </w:rPr>
      </w:pPr>
      <w:r>
        <w:rPr>
          <w:rFonts w:hint="eastAsia" w:hAnsi="宋体"/>
          <w:b/>
          <w:color w:val="auto"/>
          <w:sz w:val="24"/>
          <w:highlight w:val="none"/>
        </w:rPr>
        <w:t>十</w:t>
      </w:r>
      <w:r>
        <w:rPr>
          <w:rFonts w:hint="eastAsia" w:hAnsi="宋体"/>
          <w:b/>
          <w:color w:val="auto"/>
          <w:sz w:val="24"/>
          <w:highlight w:val="none"/>
          <w:lang w:val="en-US" w:eastAsia="zh-CN"/>
        </w:rPr>
        <w:t>六</w:t>
      </w:r>
      <w:r>
        <w:rPr>
          <w:rFonts w:hint="eastAsia" w:hAnsi="宋体"/>
          <w:b/>
          <w:color w:val="auto"/>
          <w:sz w:val="24"/>
          <w:highlight w:val="none"/>
        </w:rPr>
        <w:t>、违约责任</w:t>
      </w:r>
    </w:p>
    <w:p>
      <w:pPr>
        <w:pStyle w:val="19"/>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Ansi="宋体"/>
          <w:sz w:val="24"/>
        </w:rPr>
      </w:pPr>
      <w:r>
        <w:rPr>
          <w:rFonts w:hAnsi="宋体"/>
          <w:color w:val="auto"/>
          <w:sz w:val="24"/>
          <w:highlight w:val="none"/>
        </w:rPr>
        <w:t>1</w:t>
      </w:r>
      <w:r>
        <w:rPr>
          <w:rFonts w:hint="eastAsia" w:hAnsi="宋体"/>
          <w:color w:val="auto"/>
          <w:sz w:val="24"/>
          <w:highlight w:val="none"/>
        </w:rPr>
        <w:t>、</w:t>
      </w:r>
      <w:r>
        <w:rPr>
          <w:rFonts w:hAnsi="宋体"/>
          <w:sz w:val="24"/>
        </w:rPr>
        <w:t xml:space="preserve"> </w:t>
      </w:r>
      <w:r>
        <w:rPr>
          <w:rFonts w:hint="eastAsia" w:hAnsi="宋体"/>
          <w:sz w:val="24"/>
        </w:rPr>
        <w:t>甲方无正当理由拒收货物的，甲方向乙方偿付拒收货款总值的</w:t>
      </w:r>
      <w:r>
        <w:rPr>
          <w:rFonts w:hint="eastAsia" w:hAnsi="宋体"/>
          <w:sz w:val="24"/>
          <w:u w:val="single"/>
        </w:rPr>
        <w:t>百分之五</w:t>
      </w:r>
      <w:r>
        <w:rPr>
          <w:rFonts w:hint="eastAsia" w:hAnsi="宋体"/>
          <w:sz w:val="24"/>
        </w:rPr>
        <w:t>违约金。</w:t>
      </w:r>
    </w:p>
    <w:p>
      <w:pPr>
        <w:pStyle w:val="19"/>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Ansi="宋体"/>
          <w:sz w:val="24"/>
        </w:rPr>
      </w:pPr>
      <w:r>
        <w:rPr>
          <w:rFonts w:hAnsi="宋体"/>
          <w:sz w:val="24"/>
        </w:rPr>
        <w:t xml:space="preserve">2. </w:t>
      </w:r>
      <w:r>
        <w:rPr>
          <w:rFonts w:hint="eastAsia" w:hAnsi="宋体"/>
          <w:sz w:val="24"/>
        </w:rPr>
        <w:t>甲方无故逾期验收和办理货款支付手续的</w:t>
      </w:r>
      <w:r>
        <w:rPr>
          <w:rFonts w:hAnsi="宋体"/>
          <w:sz w:val="24"/>
        </w:rPr>
        <w:t>,</w:t>
      </w:r>
      <w:r>
        <w:rPr>
          <w:rFonts w:hint="eastAsia" w:hAnsi="宋体"/>
          <w:sz w:val="24"/>
        </w:rPr>
        <w:t>甲方应按逾期付款总额每日</w:t>
      </w:r>
      <w:r>
        <w:rPr>
          <w:rFonts w:hint="eastAsia" w:hAnsi="宋体"/>
          <w:sz w:val="24"/>
          <w:u w:val="single"/>
        </w:rPr>
        <w:t>万分之五</w:t>
      </w:r>
      <w:r>
        <w:rPr>
          <w:rFonts w:hint="eastAsia" w:hAnsi="宋体"/>
          <w:sz w:val="24"/>
        </w:rPr>
        <w:t>向乙方支付违约金。</w:t>
      </w:r>
    </w:p>
    <w:p>
      <w:pPr>
        <w:pStyle w:val="19"/>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Ansi="宋体"/>
          <w:sz w:val="24"/>
        </w:rPr>
      </w:pPr>
      <w:r>
        <w:rPr>
          <w:rFonts w:hAnsi="宋体"/>
          <w:sz w:val="24"/>
        </w:rPr>
        <w:t xml:space="preserve">3. </w:t>
      </w:r>
      <w:r>
        <w:rPr>
          <w:rFonts w:hint="eastAsia" w:hAnsi="宋体"/>
          <w:sz w:val="24"/>
        </w:rPr>
        <w:t>乙方逾期交付货物的，乙方应按逾期交货总额每日</w:t>
      </w:r>
      <w:r>
        <w:rPr>
          <w:rFonts w:hint="eastAsia" w:hAnsi="宋体"/>
          <w:sz w:val="24"/>
          <w:u w:val="single"/>
        </w:rPr>
        <w:t>千分之六</w:t>
      </w:r>
      <w:r>
        <w:rPr>
          <w:rFonts w:hint="eastAsia" w:hAnsi="宋体"/>
          <w:sz w:val="24"/>
        </w:rPr>
        <w:t>向甲方支付违约金，由甲方从待付货款中扣除。逾期超过约定日期</w:t>
      </w:r>
      <w:r>
        <w:rPr>
          <w:rFonts w:hAnsi="宋体"/>
          <w:sz w:val="24"/>
          <w:u w:val="single"/>
        </w:rPr>
        <w:t>10</w:t>
      </w:r>
      <w:r>
        <w:rPr>
          <w:rFonts w:hint="eastAsia" w:hAnsi="宋体"/>
          <w:sz w:val="24"/>
        </w:rPr>
        <w:t>个工作日不能交货的，甲方可解除本合同。乙方因逾期交货或因其他违约行为导致甲方解除合同的，乙方应向甲方支付合同总值</w:t>
      </w:r>
      <w:r>
        <w:rPr>
          <w:rFonts w:hAnsi="宋体"/>
          <w:sz w:val="24"/>
          <w:u w:val="single"/>
        </w:rPr>
        <w:t>5%</w:t>
      </w:r>
      <w:r>
        <w:rPr>
          <w:rFonts w:hint="eastAsia" w:hAnsi="宋体"/>
          <w:sz w:val="24"/>
        </w:rPr>
        <w:t>的违约金，如造成甲方损失超过违约金的，超出部分由乙方继续承担赔偿责任。</w:t>
      </w:r>
      <w:r>
        <w:rPr>
          <w:rFonts w:hAnsi="宋体"/>
          <w:sz w:val="24"/>
        </w:rPr>
        <w:t xml:space="preserve"> </w:t>
      </w:r>
    </w:p>
    <w:p>
      <w:pPr>
        <w:pStyle w:val="19"/>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Ansi="宋体"/>
          <w:color w:val="auto"/>
          <w:sz w:val="24"/>
          <w:szCs w:val="22"/>
          <w:highlight w:val="none"/>
        </w:rPr>
      </w:pPr>
      <w:r>
        <w:rPr>
          <w:rFonts w:hAnsi="宋体"/>
          <w:sz w:val="24"/>
        </w:rPr>
        <w:t xml:space="preserve">4. </w:t>
      </w:r>
      <w:r>
        <w:rPr>
          <w:rFonts w:hint="eastAsia" w:hAnsi="宋体"/>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9"/>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Ansi="宋体"/>
          <w:color w:val="auto"/>
          <w:sz w:val="24"/>
          <w:highlight w:val="none"/>
        </w:rPr>
      </w:pPr>
      <w:r>
        <w:rPr>
          <w:rFonts w:hint="eastAsia" w:hAnsi="宋体"/>
          <w:color w:val="auto"/>
          <w:sz w:val="24"/>
          <w:highlight w:val="none"/>
          <w:lang w:val="en-US" w:eastAsia="zh-CN"/>
        </w:rPr>
        <w:t>5</w:t>
      </w:r>
      <w:r>
        <w:rPr>
          <w:rFonts w:hint="eastAsia" w:hAnsi="宋体"/>
          <w:color w:val="auto"/>
          <w:sz w:val="24"/>
          <w:highlight w:val="none"/>
        </w:rPr>
        <w:t>、若发生纠纷，由违约方赔偿守约方因纠纷所支付的费用（包括但不限于律师费、差旅费、诉讼费、保全费、鉴定费、评估费等）</w:t>
      </w:r>
    </w:p>
    <w:p>
      <w:pPr>
        <w:pStyle w:val="19"/>
        <w:keepNext w:val="0"/>
        <w:keepLines w:val="0"/>
        <w:pageBreakBefore w:val="0"/>
        <w:kinsoku/>
        <w:wordWrap/>
        <w:overflowPunct/>
        <w:topLinePunct w:val="0"/>
        <w:bidi w:val="0"/>
        <w:snapToGrid w:val="0"/>
        <w:spacing w:line="420" w:lineRule="exact"/>
        <w:rPr>
          <w:rFonts w:hAnsi="宋体"/>
          <w:b/>
          <w:color w:val="auto"/>
          <w:sz w:val="24"/>
          <w:highlight w:val="none"/>
        </w:rPr>
      </w:pPr>
      <w:r>
        <w:rPr>
          <w:rFonts w:hint="eastAsia" w:hAnsi="宋体"/>
          <w:b/>
          <w:color w:val="auto"/>
          <w:sz w:val="24"/>
          <w:highlight w:val="none"/>
        </w:rPr>
        <w:t>十</w:t>
      </w:r>
      <w:r>
        <w:rPr>
          <w:rFonts w:hint="eastAsia" w:hAnsi="宋体"/>
          <w:b/>
          <w:color w:val="auto"/>
          <w:sz w:val="24"/>
          <w:highlight w:val="none"/>
          <w:lang w:eastAsia="zh-CN"/>
        </w:rPr>
        <w:t>七</w:t>
      </w:r>
      <w:r>
        <w:rPr>
          <w:rFonts w:hint="eastAsia" w:hAnsi="宋体"/>
          <w:b/>
          <w:color w:val="auto"/>
          <w:sz w:val="24"/>
          <w:highlight w:val="none"/>
        </w:rPr>
        <w:t>、不可抗力事件处理</w:t>
      </w:r>
    </w:p>
    <w:p>
      <w:pPr>
        <w:pStyle w:val="19"/>
        <w:keepNext w:val="0"/>
        <w:keepLines w:val="0"/>
        <w:pageBreakBefore w:val="0"/>
        <w:kinsoku/>
        <w:wordWrap/>
        <w:overflowPunct/>
        <w:topLinePunct w:val="0"/>
        <w:bidi w:val="0"/>
        <w:snapToGrid w:val="0"/>
        <w:spacing w:line="420" w:lineRule="exact"/>
        <w:ind w:left="479" w:leftChars="228"/>
        <w:rPr>
          <w:rFonts w:hAnsi="宋体"/>
          <w:color w:val="auto"/>
          <w:sz w:val="24"/>
          <w:highlight w:val="none"/>
        </w:rPr>
      </w:pPr>
      <w:r>
        <w:rPr>
          <w:rFonts w:hAnsi="宋体"/>
          <w:color w:val="auto"/>
          <w:sz w:val="24"/>
          <w:highlight w:val="none"/>
        </w:rPr>
        <w:t>1</w:t>
      </w:r>
      <w:r>
        <w:rPr>
          <w:rFonts w:hint="eastAsia" w:hAnsi="宋体"/>
          <w:color w:val="auto"/>
          <w:sz w:val="24"/>
          <w:highlight w:val="none"/>
        </w:rPr>
        <w:t>、在合同有效期内，任何一方因不可抗力事件导致不能履行合同，则合同履行</w:t>
      </w:r>
    </w:p>
    <w:p>
      <w:pPr>
        <w:pStyle w:val="19"/>
        <w:keepNext w:val="0"/>
        <w:keepLines w:val="0"/>
        <w:pageBreakBefore w:val="0"/>
        <w:kinsoku/>
        <w:wordWrap/>
        <w:overflowPunct/>
        <w:topLinePunct w:val="0"/>
        <w:bidi w:val="0"/>
        <w:snapToGrid w:val="0"/>
        <w:spacing w:line="420" w:lineRule="exact"/>
        <w:ind w:firstLine="360" w:firstLineChars="150"/>
        <w:rPr>
          <w:rFonts w:hAnsi="宋体"/>
          <w:color w:val="auto"/>
          <w:sz w:val="24"/>
          <w:highlight w:val="none"/>
        </w:rPr>
      </w:pPr>
      <w:r>
        <w:rPr>
          <w:rFonts w:hint="eastAsia" w:hAnsi="宋体"/>
          <w:color w:val="auto"/>
          <w:sz w:val="24"/>
          <w:highlight w:val="none"/>
        </w:rPr>
        <w:t>期可延长，其延长期与不可抗力影响期相同。</w:t>
      </w:r>
    </w:p>
    <w:p>
      <w:pPr>
        <w:pStyle w:val="19"/>
        <w:keepNext w:val="0"/>
        <w:keepLines w:val="0"/>
        <w:pageBreakBefore w:val="0"/>
        <w:kinsoku/>
        <w:wordWrap/>
        <w:overflowPunct/>
        <w:topLinePunct w:val="0"/>
        <w:bidi w:val="0"/>
        <w:snapToGrid w:val="0"/>
        <w:spacing w:line="420" w:lineRule="exact"/>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、不可抗力事件发生后，应立即通知对方，并寄送有关权威机构出具的证明。</w:t>
      </w:r>
    </w:p>
    <w:p>
      <w:pPr>
        <w:pStyle w:val="19"/>
        <w:keepNext w:val="0"/>
        <w:keepLines w:val="0"/>
        <w:pageBreakBefore w:val="0"/>
        <w:kinsoku/>
        <w:wordWrap/>
        <w:overflowPunct/>
        <w:topLinePunct w:val="0"/>
        <w:bidi w:val="0"/>
        <w:snapToGrid w:val="0"/>
        <w:spacing w:line="420" w:lineRule="exact"/>
        <w:ind w:firstLine="480" w:firstLineChars="200"/>
        <w:rPr>
          <w:rFonts w:hAnsi="宋体"/>
          <w:color w:val="auto"/>
          <w:sz w:val="24"/>
          <w:highlight w:val="none"/>
        </w:rPr>
      </w:pPr>
      <w:r>
        <w:rPr>
          <w:rFonts w:hAnsi="宋体"/>
          <w:color w:val="auto"/>
          <w:sz w:val="24"/>
          <w:highlight w:val="none"/>
        </w:rPr>
        <w:t>3</w:t>
      </w:r>
      <w:r>
        <w:rPr>
          <w:rFonts w:hint="eastAsia" w:hAnsi="宋体"/>
          <w:color w:val="auto"/>
          <w:sz w:val="24"/>
          <w:highlight w:val="none"/>
        </w:rPr>
        <w:t>、不可抗力事件延续</w:t>
      </w:r>
      <w:r>
        <w:rPr>
          <w:rFonts w:hAnsi="宋体"/>
          <w:color w:val="auto"/>
          <w:sz w:val="24"/>
          <w:highlight w:val="none"/>
        </w:rPr>
        <w:t>120</w:t>
      </w:r>
      <w:r>
        <w:rPr>
          <w:rFonts w:hint="eastAsia" w:hAnsi="宋体"/>
          <w:color w:val="auto"/>
          <w:sz w:val="24"/>
          <w:highlight w:val="none"/>
        </w:rPr>
        <w:t>天以上，双方应通过友好协商，确定是否继续履行合</w:t>
      </w:r>
    </w:p>
    <w:p>
      <w:pPr>
        <w:pStyle w:val="19"/>
        <w:keepNext w:val="0"/>
        <w:keepLines w:val="0"/>
        <w:pageBreakBefore w:val="0"/>
        <w:kinsoku/>
        <w:wordWrap/>
        <w:overflowPunct/>
        <w:topLinePunct w:val="0"/>
        <w:bidi w:val="0"/>
        <w:snapToGrid w:val="0"/>
        <w:spacing w:line="420" w:lineRule="exact"/>
        <w:ind w:firstLine="360" w:firstLineChars="150"/>
        <w:rPr>
          <w:rFonts w:hAnsi="宋体"/>
          <w:color w:val="auto"/>
          <w:sz w:val="24"/>
          <w:highlight w:val="none"/>
        </w:rPr>
      </w:pPr>
      <w:r>
        <w:rPr>
          <w:rFonts w:hint="eastAsia" w:hAnsi="宋体"/>
          <w:color w:val="auto"/>
          <w:sz w:val="24"/>
          <w:highlight w:val="none"/>
        </w:rPr>
        <w:t>同。</w:t>
      </w:r>
    </w:p>
    <w:p>
      <w:pPr>
        <w:pStyle w:val="19"/>
        <w:keepNext w:val="0"/>
        <w:keepLines w:val="0"/>
        <w:pageBreakBefore w:val="0"/>
        <w:kinsoku/>
        <w:wordWrap/>
        <w:overflowPunct/>
        <w:topLinePunct w:val="0"/>
        <w:bidi w:val="0"/>
        <w:snapToGrid w:val="0"/>
        <w:spacing w:line="420" w:lineRule="exact"/>
        <w:rPr>
          <w:rFonts w:hAnsi="宋体"/>
          <w:b/>
          <w:color w:val="auto"/>
          <w:sz w:val="24"/>
          <w:highlight w:val="none"/>
        </w:rPr>
      </w:pPr>
      <w:r>
        <w:rPr>
          <w:rFonts w:hint="eastAsia" w:hAnsi="宋体"/>
          <w:b/>
          <w:color w:val="auto"/>
          <w:sz w:val="24"/>
          <w:highlight w:val="none"/>
        </w:rPr>
        <w:t>十</w:t>
      </w:r>
      <w:r>
        <w:rPr>
          <w:rFonts w:hint="eastAsia" w:hAnsi="宋体"/>
          <w:b/>
          <w:color w:val="auto"/>
          <w:sz w:val="24"/>
          <w:highlight w:val="none"/>
          <w:lang w:eastAsia="zh-CN"/>
        </w:rPr>
        <w:t>八</w:t>
      </w:r>
      <w:r>
        <w:rPr>
          <w:rFonts w:hint="eastAsia" w:hAnsi="宋体"/>
          <w:b/>
          <w:color w:val="auto"/>
          <w:sz w:val="24"/>
          <w:highlight w:val="none"/>
        </w:rPr>
        <w:t>、解决争议的方法</w:t>
      </w:r>
    </w:p>
    <w:p>
      <w:pPr>
        <w:keepNext w:val="0"/>
        <w:keepLines w:val="0"/>
        <w:pageBreakBefore w:val="0"/>
        <w:kinsoku/>
        <w:wordWrap/>
        <w:overflowPunct/>
        <w:topLinePunct w:val="0"/>
        <w:bidi w:val="0"/>
        <w:spacing w:line="420" w:lineRule="exact"/>
        <w:ind w:firstLine="480" w:firstLineChars="200"/>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如双方在履行合同时发生纠纷，应协商解决；协商不成时，可提请政府采购管理部门调解；调解不成的通过以下方式解决（两种解决方式只能择其一）：</w:t>
      </w:r>
    </w:p>
    <w:p>
      <w:pPr>
        <w:keepNext w:val="0"/>
        <w:keepLines w:val="0"/>
        <w:pageBreakBefore w:val="0"/>
        <w:kinsoku/>
        <w:wordWrap/>
        <w:overflowPunct/>
        <w:topLinePunct w:val="0"/>
        <w:bidi w:val="0"/>
        <w:spacing w:line="420" w:lineRule="exact"/>
        <w:ind w:firstLine="240" w:firstLineChars="1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提交</w:t>
      </w:r>
      <w:r>
        <w:rPr>
          <w:rFonts w:hint="eastAsia" w:hAnsi="宋体"/>
          <w:color w:val="auto"/>
          <w:sz w:val="24"/>
          <w:highlight w:val="none"/>
          <w:u w:val="none"/>
        </w:rPr>
        <w:t>台州</w:t>
      </w:r>
      <w:r>
        <w:rPr>
          <w:rFonts w:hint="eastAsia" w:ascii="宋体" w:hAnsi="宋体" w:cs="宋体"/>
          <w:color w:val="auto"/>
          <w:sz w:val="24"/>
          <w:highlight w:val="none"/>
        </w:rPr>
        <w:t>仲裁委员会仲裁。</w:t>
      </w:r>
    </w:p>
    <w:p>
      <w:pPr>
        <w:keepNext w:val="0"/>
        <w:keepLines w:val="0"/>
        <w:pageBreakBefore w:val="0"/>
        <w:kinsoku/>
        <w:wordWrap/>
        <w:overflowPunct/>
        <w:topLinePunct w:val="0"/>
        <w:bidi w:val="0"/>
        <w:spacing w:line="420" w:lineRule="exact"/>
        <w:ind w:firstLine="240" w:firstLineChars="100"/>
        <w:rPr>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依法向人民法院提起诉讼。</w:t>
      </w:r>
      <w:r>
        <w:rPr>
          <w:rFonts w:ascii="宋体" w:hAnsi="宋体" w:cs="宋体"/>
          <w:color w:val="auto"/>
          <w:sz w:val="24"/>
          <w:highlight w:val="none"/>
        </w:rPr>
        <w:t xml:space="preserve"> </w:t>
      </w:r>
    </w:p>
    <w:p>
      <w:pPr>
        <w:pStyle w:val="19"/>
        <w:keepNext w:val="0"/>
        <w:keepLines w:val="0"/>
        <w:pageBreakBefore w:val="0"/>
        <w:tabs>
          <w:tab w:val="left" w:pos="5790"/>
          <w:tab w:val="clear" w:pos="8494"/>
        </w:tabs>
        <w:kinsoku/>
        <w:wordWrap/>
        <w:overflowPunct/>
        <w:topLinePunct w:val="0"/>
        <w:bidi w:val="0"/>
        <w:snapToGrid w:val="0"/>
        <w:spacing w:line="420" w:lineRule="exact"/>
        <w:rPr>
          <w:rFonts w:hAnsi="宋体"/>
          <w:b/>
          <w:color w:val="auto"/>
          <w:sz w:val="24"/>
          <w:highlight w:val="none"/>
        </w:rPr>
      </w:pPr>
      <w:r>
        <w:rPr>
          <w:rFonts w:hint="eastAsia" w:hAnsi="宋体"/>
          <w:b/>
          <w:color w:val="auto"/>
          <w:sz w:val="24"/>
          <w:highlight w:val="none"/>
        </w:rPr>
        <w:t>十</w:t>
      </w:r>
      <w:r>
        <w:rPr>
          <w:rFonts w:hint="eastAsia" w:hAnsi="宋体"/>
          <w:b/>
          <w:color w:val="auto"/>
          <w:sz w:val="24"/>
          <w:highlight w:val="none"/>
          <w:lang w:eastAsia="zh-CN"/>
        </w:rPr>
        <w:t>九</w:t>
      </w:r>
      <w:r>
        <w:rPr>
          <w:rFonts w:hint="eastAsia" w:hAnsi="宋体"/>
          <w:b/>
          <w:color w:val="auto"/>
          <w:sz w:val="24"/>
          <w:highlight w:val="none"/>
        </w:rPr>
        <w:t>、合同生效及其它</w:t>
      </w:r>
      <w:r>
        <w:rPr>
          <w:rFonts w:hAnsi="宋体"/>
          <w:b/>
          <w:color w:val="auto"/>
          <w:sz w:val="24"/>
          <w:highlight w:val="none"/>
        </w:rPr>
        <w:tab/>
      </w:r>
    </w:p>
    <w:p>
      <w:pPr>
        <w:pStyle w:val="15"/>
        <w:keepNext w:val="0"/>
        <w:keepLines w:val="0"/>
        <w:pageBreakBefore w:val="0"/>
        <w:kinsoku/>
        <w:wordWrap/>
        <w:overflowPunct/>
        <w:topLinePunct w:val="0"/>
        <w:bidi w:val="0"/>
        <w:spacing w:line="420" w:lineRule="exact"/>
        <w:ind w:right="-88" w:firstLine="480" w:firstLineChars="200"/>
        <w:rPr>
          <w:rFonts w:hAnsi="宋体"/>
          <w:color w:val="auto"/>
          <w:highlight w:val="none"/>
        </w:rPr>
      </w:pPr>
      <w:r>
        <w:rPr>
          <w:rFonts w:hAnsi="宋体"/>
          <w:color w:val="auto"/>
          <w:highlight w:val="none"/>
        </w:rPr>
        <w:t>1</w:t>
      </w:r>
      <w:r>
        <w:rPr>
          <w:rFonts w:hint="eastAsia" w:hAnsi="宋体"/>
          <w:color w:val="auto"/>
          <w:highlight w:val="none"/>
        </w:rPr>
        <w:t>、合同经双方法定代表人或授权代表签字并加盖单位公章后生效。</w:t>
      </w:r>
    </w:p>
    <w:p>
      <w:pPr>
        <w:pStyle w:val="15"/>
        <w:keepNext w:val="0"/>
        <w:keepLines w:val="0"/>
        <w:pageBreakBefore w:val="0"/>
        <w:kinsoku/>
        <w:wordWrap/>
        <w:overflowPunct/>
        <w:topLinePunct w:val="0"/>
        <w:bidi w:val="0"/>
        <w:spacing w:line="420" w:lineRule="exact"/>
        <w:ind w:right="-88" w:firstLine="480" w:firstLineChars="200"/>
        <w:rPr>
          <w:rFonts w:hAnsi="宋体"/>
          <w:color w:val="auto"/>
          <w:highlight w:val="none"/>
        </w:rPr>
      </w:pPr>
      <w:r>
        <w:rPr>
          <w:rFonts w:hAnsi="宋体"/>
          <w:color w:val="auto"/>
          <w:highlight w:val="none"/>
        </w:rPr>
        <w:t>2</w:t>
      </w:r>
      <w:r>
        <w:rPr>
          <w:rFonts w:hint="eastAsia" w:hAnsi="宋体"/>
          <w:color w:val="auto"/>
          <w:highlight w:val="none"/>
        </w:rPr>
        <w:t>、本合同未尽事宜，遵照《中华人民共和国民法典》有关条文执行。</w:t>
      </w:r>
    </w:p>
    <w:p>
      <w:pPr>
        <w:pStyle w:val="15"/>
        <w:keepNext w:val="0"/>
        <w:keepLines w:val="0"/>
        <w:pageBreakBefore w:val="0"/>
        <w:kinsoku/>
        <w:wordWrap/>
        <w:overflowPunct/>
        <w:topLinePunct w:val="0"/>
        <w:bidi w:val="0"/>
        <w:spacing w:line="420" w:lineRule="exact"/>
        <w:ind w:right="-88" w:firstLine="480" w:firstLineChars="200"/>
        <w:rPr>
          <w:rFonts w:hAnsi="宋体"/>
          <w:color w:val="auto"/>
          <w:highlight w:val="none"/>
        </w:rPr>
      </w:pPr>
      <w:r>
        <w:rPr>
          <w:rFonts w:hAnsi="宋体"/>
          <w:color w:val="auto"/>
          <w:highlight w:val="none"/>
        </w:rPr>
        <w:t>3</w:t>
      </w:r>
      <w:r>
        <w:rPr>
          <w:rFonts w:hint="eastAsia" w:hAnsi="宋体"/>
          <w:color w:val="auto"/>
          <w:highlight w:val="none"/>
        </w:rPr>
        <w:t>、</w:t>
      </w:r>
      <w:r>
        <w:rPr>
          <w:rFonts w:hAnsi="宋体"/>
          <w:color w:val="auto"/>
          <w:highlight w:val="none"/>
        </w:rPr>
        <w:t xml:space="preserve"> </w:t>
      </w:r>
      <w:r>
        <w:rPr>
          <w:rFonts w:hint="eastAsia" w:hAnsi="宋体"/>
          <w:color w:val="auto"/>
          <w:highlight w:val="none"/>
        </w:rPr>
        <w:t>本合同一式六份。甲、乙双方各执二份，采购组织机构及同级人民政府财政部门各执一份。本项目未尽事宜以招标文件、投标文件及澄清文件等为准。</w:t>
      </w:r>
    </w:p>
    <w:p>
      <w:pPr>
        <w:pStyle w:val="15"/>
        <w:keepNext w:val="0"/>
        <w:keepLines w:val="0"/>
        <w:pageBreakBefore w:val="0"/>
        <w:kinsoku/>
        <w:wordWrap/>
        <w:overflowPunct/>
        <w:topLinePunct w:val="0"/>
        <w:bidi w:val="0"/>
        <w:spacing w:line="420" w:lineRule="exact"/>
        <w:ind w:right="-88" w:firstLine="480" w:firstLineChars="200"/>
        <w:rPr>
          <w:rFonts w:hAnsi="宋体" w:cs="宋体"/>
          <w:color w:val="auto"/>
          <w:szCs w:val="24"/>
          <w:highlight w:val="none"/>
        </w:rPr>
      </w:pPr>
      <w:r>
        <w:rPr>
          <w:rFonts w:hint="eastAsia" w:asciiTheme="minorEastAsia" w:hAnsiTheme="minorEastAsia" w:eastAsiaTheme="minorEastAsia"/>
          <w:color w:val="auto"/>
          <w:highlight w:val="none"/>
        </w:rPr>
        <w:t>4、合同须经</w:t>
      </w:r>
      <w:r>
        <w:rPr>
          <w:rFonts w:hint="eastAsia" w:asciiTheme="minorEastAsia" w:hAnsiTheme="minorEastAsia" w:eastAsiaTheme="minorEastAsia"/>
          <w:color w:val="auto"/>
          <w:highlight w:val="none"/>
          <w:lang w:eastAsia="zh-CN"/>
        </w:rPr>
        <w:t>台州市</w:t>
      </w:r>
      <w:r>
        <w:rPr>
          <w:rFonts w:hint="eastAsia" w:asciiTheme="minorEastAsia" w:hAnsiTheme="minorEastAsia" w:eastAsiaTheme="minorEastAsia"/>
          <w:color w:val="auto"/>
          <w:highlight w:val="none"/>
        </w:rPr>
        <w:t>路桥区政府采购中心鉴证。</w:t>
      </w:r>
    </w:p>
    <w:p>
      <w:pPr>
        <w:pStyle w:val="15"/>
        <w:keepNext w:val="0"/>
        <w:keepLines w:val="0"/>
        <w:pageBreakBefore w:val="0"/>
        <w:kinsoku/>
        <w:wordWrap/>
        <w:overflowPunct/>
        <w:topLinePunct w:val="0"/>
        <w:bidi w:val="0"/>
        <w:spacing w:line="420" w:lineRule="exact"/>
        <w:ind w:right="-88"/>
        <w:rPr>
          <w:rFonts w:hAnsi="宋体" w:cs="宋体"/>
          <w:color w:val="auto"/>
          <w:szCs w:val="24"/>
          <w:highlight w:val="none"/>
        </w:rPr>
      </w:pPr>
    </w:p>
    <w:p>
      <w:pPr>
        <w:keepNext w:val="0"/>
        <w:keepLines w:val="0"/>
        <w:pageBreakBefore w:val="0"/>
        <w:kinsoku/>
        <w:wordWrap/>
        <w:overflowPunct/>
        <w:topLinePunct w:val="0"/>
        <w:bidi w:val="0"/>
        <w:spacing w:line="420" w:lineRule="exact"/>
        <w:rPr>
          <w:rFonts w:hint="eastAsia" w:ascii="宋体" w:hAnsi="宋体"/>
          <w:color w:val="auto"/>
          <w:sz w:val="24"/>
          <w:highlight w:val="none"/>
        </w:rPr>
      </w:pPr>
    </w:p>
    <w:p>
      <w:pPr>
        <w:keepNext w:val="0"/>
        <w:keepLines w:val="0"/>
        <w:pageBreakBefore w:val="0"/>
        <w:kinsoku/>
        <w:wordWrap/>
        <w:overflowPunct/>
        <w:topLinePunct w:val="0"/>
        <w:bidi w:val="0"/>
        <w:spacing w:line="420" w:lineRule="exact"/>
        <w:rPr>
          <w:rFonts w:ascii="宋体" w:hAnsi="宋体"/>
          <w:color w:val="auto"/>
          <w:sz w:val="24"/>
          <w:highlight w:val="none"/>
        </w:rPr>
      </w:pPr>
      <w:r>
        <w:rPr>
          <w:rFonts w:hint="eastAsia" w:ascii="宋体" w:hAnsi="宋体"/>
          <w:color w:val="auto"/>
          <w:sz w:val="24"/>
          <w:highlight w:val="none"/>
        </w:rPr>
        <w:t>甲方：（公章）</w:t>
      </w:r>
      <w:r>
        <w:rPr>
          <w:rFonts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乙方：（公章）</w:t>
      </w:r>
    </w:p>
    <w:p>
      <w:pPr>
        <w:keepNext w:val="0"/>
        <w:keepLines w:val="0"/>
        <w:pageBreakBefore w:val="0"/>
        <w:kinsoku/>
        <w:wordWrap/>
        <w:overflowPunct/>
        <w:topLinePunct w:val="0"/>
        <w:bidi w:val="0"/>
        <w:spacing w:line="420" w:lineRule="exact"/>
        <w:rPr>
          <w:rFonts w:ascii="宋体" w:hAnsi="宋体"/>
          <w:color w:val="auto"/>
          <w:sz w:val="24"/>
          <w:highlight w:val="none"/>
        </w:rPr>
      </w:pPr>
    </w:p>
    <w:p>
      <w:pPr>
        <w:keepNext w:val="0"/>
        <w:keepLines w:val="0"/>
        <w:pageBreakBefore w:val="0"/>
        <w:kinsoku/>
        <w:wordWrap/>
        <w:overflowPunct/>
        <w:topLinePunct w:val="0"/>
        <w:bidi w:val="0"/>
        <w:spacing w:line="420" w:lineRule="exact"/>
        <w:rPr>
          <w:rFonts w:ascii="宋体" w:hAnsi="宋体"/>
          <w:color w:val="auto"/>
          <w:sz w:val="24"/>
          <w:highlight w:val="none"/>
        </w:rPr>
      </w:pPr>
      <w:r>
        <w:rPr>
          <w:rFonts w:hint="eastAsia" w:ascii="宋体" w:hAnsi="宋体"/>
          <w:color w:val="auto"/>
          <w:sz w:val="24"/>
          <w:highlight w:val="none"/>
        </w:rPr>
        <w:t>法定代表人或委托代理人（签字）：</w:t>
      </w:r>
      <w:r>
        <w:rPr>
          <w:rFonts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法定代表人或委托代理人（签字）：</w:t>
      </w:r>
    </w:p>
    <w:p>
      <w:pPr>
        <w:keepNext w:val="0"/>
        <w:keepLines w:val="0"/>
        <w:pageBreakBefore w:val="0"/>
        <w:kinsoku/>
        <w:wordWrap/>
        <w:overflowPunct/>
        <w:topLinePunct w:val="0"/>
        <w:bidi w:val="0"/>
        <w:spacing w:line="420" w:lineRule="exact"/>
        <w:rPr>
          <w:rFonts w:ascii="宋体" w:hAnsi="宋体"/>
          <w:color w:val="auto"/>
          <w:sz w:val="24"/>
          <w:highlight w:val="none"/>
        </w:rPr>
      </w:pPr>
      <w:r>
        <w:rPr>
          <w:rFonts w:ascii="宋体" w:hAnsi="宋体"/>
          <w:color w:val="auto"/>
          <w:sz w:val="24"/>
          <w:highlight w:val="none"/>
        </w:rPr>
        <w:t xml:space="preserve">               </w:t>
      </w:r>
    </w:p>
    <w:p>
      <w:pPr>
        <w:keepNext w:val="0"/>
        <w:keepLines w:val="0"/>
        <w:pageBreakBefore w:val="0"/>
        <w:kinsoku/>
        <w:wordWrap/>
        <w:overflowPunct/>
        <w:topLinePunct w:val="0"/>
        <w:bidi w:val="0"/>
        <w:spacing w:line="420" w:lineRule="exact"/>
        <w:rPr>
          <w:rFonts w:ascii="宋体" w:hAnsi="宋体"/>
          <w:color w:val="auto"/>
          <w:sz w:val="24"/>
          <w:highlight w:val="none"/>
        </w:rPr>
      </w:pPr>
      <w:r>
        <w:rPr>
          <w:rFonts w:hint="eastAsia" w:ascii="宋体" w:hAnsi="宋体"/>
          <w:color w:val="auto"/>
          <w:sz w:val="24"/>
          <w:highlight w:val="none"/>
        </w:rPr>
        <w:t>联系电话：</w:t>
      </w:r>
      <w:r>
        <w:rPr>
          <w:rFonts w:ascii="宋体" w:hAnsi="宋体"/>
          <w:color w:val="auto"/>
          <w:sz w:val="24"/>
          <w:highlight w:val="none"/>
        </w:rPr>
        <w:t xml:space="preserve">                               </w:t>
      </w:r>
      <w:r>
        <w:rPr>
          <w:rFonts w:hint="eastAsia" w:ascii="宋体" w:hAnsi="宋体"/>
          <w:color w:val="auto"/>
          <w:sz w:val="24"/>
          <w:highlight w:val="none"/>
        </w:rPr>
        <w:t>联系电话：</w:t>
      </w:r>
    </w:p>
    <w:p>
      <w:pPr>
        <w:keepNext w:val="0"/>
        <w:keepLines w:val="0"/>
        <w:pageBreakBefore w:val="0"/>
        <w:kinsoku/>
        <w:wordWrap/>
        <w:overflowPunct/>
        <w:topLinePunct w:val="0"/>
        <w:bidi w:val="0"/>
        <w:spacing w:line="42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w:t>
      </w:r>
      <w:r>
        <w:rPr>
          <w:rFonts w:hint="eastAsia" w:ascii="宋体" w:hAnsi="宋体"/>
          <w:color w:val="auto"/>
          <w:sz w:val="24"/>
          <w:highlight w:val="none"/>
        </w:rPr>
        <w:t>开户银行：</w:t>
      </w:r>
    </w:p>
    <w:p>
      <w:pPr>
        <w:keepNext w:val="0"/>
        <w:keepLines w:val="0"/>
        <w:pageBreakBefore w:val="0"/>
        <w:kinsoku/>
        <w:wordWrap/>
        <w:overflowPunct/>
        <w:topLinePunct w:val="0"/>
        <w:bidi w:val="0"/>
        <w:spacing w:line="420" w:lineRule="exact"/>
        <w:rPr>
          <w:rFonts w:ascii="宋体" w:hAnsi="宋体"/>
          <w:color w:val="auto"/>
          <w:sz w:val="24"/>
          <w:highlight w:val="none"/>
        </w:rPr>
      </w:pPr>
      <w:r>
        <w:rPr>
          <w:rFonts w:hint="eastAsia" w:ascii="宋体" w:hAnsi="宋体"/>
          <w:color w:val="auto"/>
          <w:sz w:val="24"/>
          <w:highlight w:val="none"/>
        </w:rPr>
        <w:t>帐号：</w:t>
      </w:r>
      <w:r>
        <w:rPr>
          <w:rFonts w:ascii="宋体" w:hAnsi="宋体"/>
          <w:color w:val="auto"/>
          <w:sz w:val="24"/>
          <w:highlight w:val="none"/>
        </w:rPr>
        <w:t xml:space="preserve">                                   </w:t>
      </w:r>
      <w:r>
        <w:rPr>
          <w:rFonts w:hint="eastAsia" w:ascii="宋体" w:hAnsi="宋体"/>
          <w:color w:val="auto"/>
          <w:sz w:val="24"/>
          <w:highlight w:val="none"/>
        </w:rPr>
        <w:t>帐号：</w:t>
      </w:r>
    </w:p>
    <w:p>
      <w:pPr>
        <w:keepNext w:val="0"/>
        <w:keepLines w:val="0"/>
        <w:pageBreakBefore w:val="0"/>
        <w:kinsoku/>
        <w:wordWrap/>
        <w:overflowPunct/>
        <w:topLinePunct w:val="0"/>
        <w:bidi w:val="0"/>
        <w:spacing w:line="420" w:lineRule="exact"/>
        <w:rPr>
          <w:rFonts w:ascii="宋体" w:hAnsi="宋体"/>
          <w:color w:val="auto"/>
          <w:sz w:val="24"/>
          <w:highlight w:val="none"/>
        </w:rPr>
      </w:pPr>
      <w:r>
        <w:rPr>
          <w:rFonts w:hint="eastAsia" w:ascii="宋体" w:hAnsi="宋体"/>
          <w:color w:val="auto"/>
          <w:sz w:val="24"/>
          <w:highlight w:val="none"/>
        </w:rPr>
        <w:t>签订时间：</w:t>
      </w:r>
      <w:r>
        <w:rPr>
          <w:rFonts w:hint="eastAsia" w:ascii="宋体" w:hAnsi="宋体"/>
          <w:color w:val="auto"/>
          <w:sz w:val="24"/>
          <w:highlight w:val="none"/>
          <w:lang w:eastAsia="zh-CN"/>
        </w:rPr>
        <w:t>2023</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pPr>
        <w:keepNext w:val="0"/>
        <w:keepLines w:val="0"/>
        <w:pageBreakBefore w:val="0"/>
        <w:widowControl w:val="0"/>
        <w:kinsoku/>
        <w:wordWrap/>
        <w:overflowPunct/>
        <w:topLinePunct w:val="0"/>
        <w:bidi w:val="0"/>
        <w:spacing w:line="420" w:lineRule="exact"/>
        <w:jc w:val="both"/>
        <w:textAlignment w:val="baseline"/>
        <w:rPr>
          <w:rFonts w:ascii="宋体" w:hAnsi="宋体"/>
          <w:snapToGrid w:val="0"/>
          <w:color w:val="auto"/>
          <w:sz w:val="24"/>
          <w:highlight w:val="none"/>
        </w:rPr>
      </w:pPr>
    </w:p>
    <w:p>
      <w:pPr>
        <w:keepNext w:val="0"/>
        <w:keepLines w:val="0"/>
        <w:pageBreakBefore w:val="0"/>
        <w:widowControl w:val="0"/>
        <w:kinsoku/>
        <w:wordWrap/>
        <w:overflowPunct/>
        <w:topLinePunct w:val="0"/>
        <w:bidi w:val="0"/>
        <w:spacing w:line="420" w:lineRule="exact"/>
        <w:jc w:val="both"/>
        <w:textAlignment w:val="baseline"/>
        <w:rPr>
          <w:rFonts w:hint="eastAsia" w:ascii="宋体" w:hAnsi="宋体"/>
          <w:snapToGrid w:val="0"/>
          <w:color w:val="auto"/>
          <w:sz w:val="24"/>
          <w:highlight w:val="none"/>
        </w:rPr>
      </w:pPr>
    </w:p>
    <w:p>
      <w:pPr>
        <w:keepNext w:val="0"/>
        <w:keepLines w:val="0"/>
        <w:pageBreakBefore w:val="0"/>
        <w:widowControl w:val="0"/>
        <w:kinsoku/>
        <w:wordWrap/>
        <w:overflowPunct/>
        <w:topLinePunct w:val="0"/>
        <w:bidi w:val="0"/>
        <w:spacing w:line="420" w:lineRule="exact"/>
        <w:jc w:val="both"/>
        <w:textAlignment w:val="baseline"/>
        <w:rPr>
          <w:rFonts w:hint="eastAsia" w:ascii="宋体" w:hAnsi="宋体"/>
          <w:snapToGrid w:val="0"/>
          <w:color w:val="auto"/>
          <w:sz w:val="24"/>
          <w:highlight w:val="none"/>
        </w:rPr>
      </w:pPr>
    </w:p>
    <w:p>
      <w:pPr>
        <w:keepNext w:val="0"/>
        <w:keepLines w:val="0"/>
        <w:pageBreakBefore w:val="0"/>
        <w:widowControl w:val="0"/>
        <w:kinsoku/>
        <w:wordWrap/>
        <w:overflowPunct/>
        <w:topLinePunct w:val="0"/>
        <w:bidi w:val="0"/>
        <w:spacing w:line="420" w:lineRule="exact"/>
        <w:jc w:val="both"/>
        <w:textAlignment w:val="baseline"/>
        <w:rPr>
          <w:rFonts w:ascii="宋体" w:hAnsi="宋体"/>
          <w:snapToGrid w:val="0"/>
          <w:color w:val="auto"/>
          <w:sz w:val="24"/>
          <w:highlight w:val="none"/>
        </w:rPr>
      </w:pPr>
      <w:r>
        <w:rPr>
          <w:rFonts w:hint="eastAsia" w:ascii="宋体" w:hAnsi="宋体"/>
          <w:snapToGrid w:val="0"/>
          <w:color w:val="auto"/>
          <w:sz w:val="24"/>
          <w:highlight w:val="none"/>
        </w:rPr>
        <w:t>合同鉴证方：台州市路桥区政府采购中心</w:t>
      </w:r>
    </w:p>
    <w:p>
      <w:pPr>
        <w:pStyle w:val="19"/>
        <w:snapToGrid w:val="0"/>
        <w:spacing w:line="360" w:lineRule="auto"/>
        <w:rPr>
          <w:rFonts w:ascii="宋体" w:hAnsi="宋体" w:eastAsia="宋体" w:cs="Times New Roman"/>
          <w:color w:val="auto"/>
          <w:sz w:val="24"/>
          <w:szCs w:val="24"/>
          <w:highlight w:val="none"/>
        </w:rPr>
      </w:pPr>
      <w:r>
        <w:rPr>
          <w:rFonts w:hint="eastAsia" w:ascii="宋体" w:hAnsi="宋体"/>
          <w:snapToGrid w:val="0"/>
          <w:color w:val="auto"/>
          <w:sz w:val="24"/>
          <w:highlight w:val="none"/>
        </w:rPr>
        <w:t>鉴证日期：</w:t>
      </w:r>
      <w:r>
        <w:rPr>
          <w:rFonts w:hint="eastAsia" w:hAnsi="宋体"/>
          <w:snapToGrid w:val="0"/>
          <w:color w:val="auto"/>
          <w:sz w:val="24"/>
          <w:highlight w:val="none"/>
          <w:lang w:eastAsia="zh-CN"/>
        </w:rPr>
        <w:t>2023</w:t>
      </w:r>
      <w:r>
        <w:rPr>
          <w:rFonts w:hint="eastAsia" w:ascii="宋体" w:hAnsi="宋体"/>
          <w:snapToGrid w:val="0"/>
          <w:color w:val="auto"/>
          <w:sz w:val="24"/>
          <w:highlight w:val="none"/>
        </w:rPr>
        <w:t xml:space="preserve">年  </w:t>
      </w:r>
      <w:r>
        <w:rPr>
          <w:rFonts w:ascii="宋体" w:hAnsi="宋体"/>
          <w:snapToGrid w:val="0"/>
          <w:color w:val="auto"/>
          <w:sz w:val="24"/>
          <w:highlight w:val="none"/>
        </w:rPr>
        <w:t xml:space="preserve"> </w:t>
      </w:r>
      <w:r>
        <w:rPr>
          <w:rFonts w:hint="eastAsia" w:ascii="宋体" w:hAnsi="宋体"/>
          <w:snapToGrid w:val="0"/>
          <w:color w:val="auto"/>
          <w:sz w:val="24"/>
          <w:highlight w:val="none"/>
        </w:rPr>
        <w:t>月</w:t>
      </w:r>
      <w:r>
        <w:rPr>
          <w:rFonts w:ascii="宋体" w:hAnsi="宋体"/>
          <w:snapToGrid w:val="0"/>
          <w:color w:val="auto"/>
          <w:sz w:val="24"/>
          <w:highlight w:val="none"/>
        </w:rPr>
        <w:t xml:space="preserve"> </w:t>
      </w:r>
      <w:r>
        <w:rPr>
          <w:rFonts w:hint="eastAsia" w:ascii="宋体" w:hAnsi="宋体"/>
          <w:snapToGrid w:val="0"/>
          <w:color w:val="auto"/>
          <w:sz w:val="24"/>
          <w:highlight w:val="none"/>
        </w:rPr>
        <w:t xml:space="preserve">  日</w:t>
      </w:r>
    </w:p>
    <w:p>
      <w:pPr>
        <w:pStyle w:val="7"/>
        <w:rPr>
          <w:color w:val="auto"/>
          <w:highlight w:val="none"/>
        </w:rPr>
      </w:pPr>
    </w:p>
    <w:p>
      <w:pPr>
        <w:spacing w:line="360" w:lineRule="auto"/>
        <w:jc w:val="center"/>
        <w:rPr>
          <w:rFonts w:hint="eastAsia" w:ascii="方正小标宋简体" w:hAnsi="方正小标宋简体" w:eastAsia="方正小标宋简体"/>
          <w:color w:val="auto"/>
          <w:sz w:val="40"/>
          <w:szCs w:val="18"/>
          <w:highlight w:val="none"/>
        </w:rPr>
      </w:pPr>
    </w:p>
    <w:p>
      <w:pPr>
        <w:spacing w:line="360" w:lineRule="auto"/>
        <w:jc w:val="center"/>
        <w:rPr>
          <w:rFonts w:ascii="方正小标宋简体" w:hAnsi="方正小标宋简体" w:eastAsia="方正小标宋简体"/>
          <w:color w:val="auto"/>
          <w:sz w:val="40"/>
          <w:szCs w:val="18"/>
          <w:highlight w:val="none"/>
        </w:rPr>
      </w:pPr>
      <w:r>
        <w:rPr>
          <w:rFonts w:hint="eastAsia" w:ascii="方正小标宋简体" w:hAnsi="方正小标宋简体" w:eastAsia="方正小标宋简体"/>
          <w:color w:val="auto"/>
          <w:sz w:val="40"/>
          <w:szCs w:val="18"/>
          <w:highlight w:val="none"/>
        </w:rPr>
        <w:br w:type="page"/>
      </w:r>
      <w:r>
        <w:rPr>
          <w:rFonts w:hint="eastAsia" w:ascii="方正小标宋简体" w:hAnsi="方正小标宋简体" w:eastAsia="方正小标宋简体"/>
          <w:color w:val="auto"/>
          <w:sz w:val="40"/>
          <w:szCs w:val="18"/>
          <w:highlight w:val="none"/>
        </w:rPr>
        <w:t>第六章  投标文件格式</w:t>
      </w:r>
      <w:bookmarkStart w:id="54" w:name="_Toc202235415"/>
      <w:r>
        <w:rPr>
          <w:rFonts w:hint="eastAsia" w:ascii="方正小标宋简体" w:hAnsi="方正小标宋简体" w:eastAsia="方正小标宋简体"/>
          <w:color w:val="auto"/>
          <w:sz w:val="40"/>
          <w:szCs w:val="18"/>
          <w:highlight w:val="none"/>
        </w:rPr>
        <w:t>附件</w:t>
      </w:r>
    </w:p>
    <w:p>
      <w:pPr>
        <w:spacing w:line="360" w:lineRule="auto"/>
        <w:jc w:val="both"/>
        <w:rPr>
          <w:rFonts w:hint="eastAsia" w:ascii="楷体_GB2312" w:eastAsia="楷体_GB2312"/>
          <w:b/>
          <w:snapToGrid w:val="0"/>
          <w:color w:val="auto"/>
          <w:sz w:val="28"/>
          <w:szCs w:val="18"/>
          <w:highlight w:val="none"/>
        </w:rPr>
      </w:pPr>
    </w:p>
    <w:p>
      <w:pPr>
        <w:spacing w:line="360" w:lineRule="auto"/>
        <w:jc w:val="right"/>
        <w:rPr>
          <w:rFonts w:hint="eastAsia" w:ascii="楷体_GB2312" w:eastAsia="楷体_GB2312"/>
          <w:b/>
          <w:snapToGrid w:val="0"/>
          <w:color w:val="auto"/>
          <w:sz w:val="28"/>
          <w:szCs w:val="18"/>
          <w:highlight w:val="none"/>
        </w:rPr>
      </w:pPr>
      <w:r>
        <w:rPr>
          <w:rFonts w:hint="eastAsia" w:ascii="楷体_GB2312" w:eastAsia="楷体_GB2312"/>
          <w:b/>
          <w:snapToGrid w:val="0"/>
          <w:color w:val="auto"/>
          <w:sz w:val="28"/>
          <w:szCs w:val="18"/>
          <w:highlight w:val="none"/>
        </w:rPr>
        <w:t>正本或副本</w:t>
      </w:r>
    </w:p>
    <w:p>
      <w:pPr>
        <w:pStyle w:val="2"/>
      </w:pPr>
    </w:p>
    <w:p>
      <w:pPr>
        <w:spacing w:beforeLines="50" w:line="360" w:lineRule="auto"/>
        <w:ind w:right="-108"/>
        <w:jc w:val="center"/>
        <w:rPr>
          <w:rFonts w:hint="eastAsia" w:ascii="宋体" w:hAnsi="宋体"/>
          <w:color w:val="auto"/>
          <w:sz w:val="32"/>
          <w:szCs w:val="32"/>
          <w:highlight w:val="none"/>
          <w:lang w:eastAsia="zh-CN"/>
        </w:rPr>
      </w:pPr>
      <w:r>
        <w:rPr>
          <w:rFonts w:hint="eastAsia" w:ascii="宋体" w:hAnsi="宋体"/>
          <w:color w:val="auto"/>
          <w:sz w:val="32"/>
          <w:szCs w:val="32"/>
          <w:highlight w:val="none"/>
          <w:lang w:eastAsia="zh-CN"/>
        </w:rPr>
        <w:t>项目名称：2023-2025年路桥区地方教材及</w:t>
      </w:r>
    </w:p>
    <w:p>
      <w:pPr>
        <w:spacing w:beforeLines="50" w:line="360" w:lineRule="auto"/>
        <w:ind w:right="-108"/>
        <w:jc w:val="center"/>
        <w:rPr>
          <w:rFonts w:hint="eastAsia" w:ascii="宋体" w:hAnsi="宋体"/>
          <w:color w:val="auto"/>
          <w:sz w:val="32"/>
          <w:szCs w:val="32"/>
          <w:highlight w:val="none"/>
        </w:rPr>
      </w:pPr>
      <w:r>
        <w:rPr>
          <w:rFonts w:hint="eastAsia" w:ascii="宋体" w:hAnsi="宋体"/>
          <w:color w:val="auto"/>
          <w:sz w:val="32"/>
          <w:szCs w:val="32"/>
          <w:highlight w:val="none"/>
          <w:lang w:eastAsia="zh-CN"/>
        </w:rPr>
        <w:t>配套作业本采购</w:t>
      </w:r>
    </w:p>
    <w:p>
      <w:pPr>
        <w:spacing w:beforeLines="50" w:line="360" w:lineRule="auto"/>
        <w:ind w:right="-108"/>
        <w:jc w:val="center"/>
        <w:rPr>
          <w:rFonts w:ascii="宋体" w:hAnsi="宋体"/>
          <w:color w:val="auto"/>
          <w:sz w:val="32"/>
          <w:szCs w:val="32"/>
          <w:highlight w:val="none"/>
        </w:rPr>
      </w:pPr>
      <w:r>
        <w:rPr>
          <w:rFonts w:hint="eastAsia" w:ascii="宋体" w:hAnsi="宋体"/>
          <w:color w:val="auto"/>
          <w:sz w:val="32"/>
          <w:szCs w:val="32"/>
          <w:highlight w:val="none"/>
        </w:rPr>
        <w:t>项目编号：</w:t>
      </w:r>
      <w:r>
        <w:rPr>
          <w:rFonts w:hint="eastAsia" w:ascii="宋体" w:hAnsi="宋体"/>
          <w:color w:val="auto"/>
          <w:sz w:val="32"/>
          <w:szCs w:val="32"/>
          <w:highlight w:val="none"/>
          <w:lang w:eastAsia="zh-CN"/>
        </w:rPr>
        <w:t>LQCG-2023-GK023号</w:t>
      </w:r>
    </w:p>
    <w:p>
      <w:pPr>
        <w:autoSpaceDE w:val="0"/>
        <w:autoSpaceDN w:val="0"/>
        <w:adjustRightInd w:val="0"/>
        <w:spacing w:line="360" w:lineRule="auto"/>
        <w:jc w:val="center"/>
        <w:rPr>
          <w:rFonts w:hint="eastAsia" w:ascii="宋体" w:hAnsi="宋体" w:cs="宋体"/>
          <w:color w:val="auto"/>
          <w:sz w:val="40"/>
          <w:szCs w:val="40"/>
          <w:highlight w:val="none"/>
          <w:lang w:val="zh-CN"/>
        </w:rPr>
      </w:pPr>
    </w:p>
    <w:p>
      <w:pPr>
        <w:autoSpaceDE w:val="0"/>
        <w:autoSpaceDN w:val="0"/>
        <w:adjustRightInd w:val="0"/>
        <w:spacing w:line="360" w:lineRule="auto"/>
        <w:jc w:val="center"/>
        <w:rPr>
          <w:rFonts w:hint="eastAsia" w:ascii="宋体" w:hAnsi="宋体" w:cs="宋体"/>
          <w:color w:val="auto"/>
          <w:sz w:val="72"/>
          <w:szCs w:val="72"/>
          <w:highlight w:val="none"/>
          <w:lang w:val="zh-CN"/>
        </w:rPr>
      </w:pPr>
    </w:p>
    <w:p>
      <w:pPr>
        <w:autoSpaceDE w:val="0"/>
        <w:autoSpaceDN w:val="0"/>
        <w:adjustRightInd w:val="0"/>
        <w:spacing w:line="360" w:lineRule="auto"/>
        <w:jc w:val="center"/>
        <w:rPr>
          <w:rFonts w:ascii="宋体" w:hAnsi="宋体" w:cs="宋体"/>
          <w:color w:val="auto"/>
          <w:sz w:val="72"/>
          <w:szCs w:val="72"/>
          <w:highlight w:val="none"/>
          <w:lang w:val="zh-CN"/>
        </w:rPr>
      </w:pPr>
      <w:r>
        <w:rPr>
          <w:rFonts w:hint="eastAsia" w:ascii="宋体" w:hAnsi="宋体" w:cs="宋体"/>
          <w:color w:val="auto"/>
          <w:sz w:val="72"/>
          <w:szCs w:val="72"/>
          <w:highlight w:val="none"/>
          <w:lang w:val="zh-CN"/>
        </w:rPr>
        <w:t>投</w:t>
      </w:r>
    </w:p>
    <w:p>
      <w:pPr>
        <w:autoSpaceDE w:val="0"/>
        <w:autoSpaceDN w:val="0"/>
        <w:adjustRightInd w:val="0"/>
        <w:spacing w:line="360" w:lineRule="auto"/>
        <w:jc w:val="center"/>
        <w:rPr>
          <w:rFonts w:ascii="宋体" w:hAnsi="宋体" w:cs="宋体"/>
          <w:color w:val="auto"/>
          <w:sz w:val="72"/>
          <w:szCs w:val="72"/>
          <w:highlight w:val="none"/>
          <w:lang w:val="zh-CN"/>
        </w:rPr>
      </w:pPr>
      <w:r>
        <w:rPr>
          <w:rFonts w:hint="eastAsia" w:ascii="宋体" w:hAnsi="宋体" w:cs="宋体"/>
          <w:color w:val="auto"/>
          <w:sz w:val="72"/>
          <w:szCs w:val="72"/>
          <w:highlight w:val="none"/>
          <w:lang w:val="zh-CN"/>
        </w:rPr>
        <w:t>标</w:t>
      </w:r>
    </w:p>
    <w:p>
      <w:pPr>
        <w:autoSpaceDE w:val="0"/>
        <w:autoSpaceDN w:val="0"/>
        <w:adjustRightInd w:val="0"/>
        <w:spacing w:line="360" w:lineRule="auto"/>
        <w:jc w:val="center"/>
        <w:rPr>
          <w:rFonts w:ascii="宋体" w:hAnsi="宋体"/>
          <w:color w:val="auto"/>
          <w:sz w:val="72"/>
          <w:szCs w:val="72"/>
          <w:highlight w:val="none"/>
        </w:rPr>
      </w:pPr>
      <w:r>
        <w:rPr>
          <w:rFonts w:hint="eastAsia" w:ascii="宋体" w:hAnsi="宋体" w:cs="宋体"/>
          <w:color w:val="auto"/>
          <w:sz w:val="72"/>
          <w:szCs w:val="72"/>
          <w:highlight w:val="none"/>
          <w:lang w:val="zh-CN"/>
        </w:rPr>
        <w:t>文</w:t>
      </w:r>
    </w:p>
    <w:p>
      <w:pPr>
        <w:spacing w:line="360" w:lineRule="auto"/>
        <w:ind w:right="-108"/>
        <w:jc w:val="center"/>
        <w:rPr>
          <w:rFonts w:ascii="宋体" w:hAnsi="宋体" w:cs="宋体"/>
          <w:color w:val="auto"/>
          <w:sz w:val="72"/>
          <w:szCs w:val="72"/>
          <w:highlight w:val="none"/>
          <w:lang w:val="zh-CN"/>
        </w:rPr>
      </w:pPr>
      <w:r>
        <w:rPr>
          <w:rFonts w:hint="eastAsia" w:ascii="宋体" w:hAnsi="宋体" w:cs="宋体"/>
          <w:color w:val="auto"/>
          <w:sz w:val="72"/>
          <w:szCs w:val="72"/>
          <w:highlight w:val="none"/>
          <w:lang w:val="zh-CN"/>
        </w:rPr>
        <w:t>件</w:t>
      </w:r>
    </w:p>
    <w:p>
      <w:pPr>
        <w:spacing w:line="360" w:lineRule="auto"/>
        <w:ind w:right="-108"/>
        <w:jc w:val="center"/>
        <w:rPr>
          <w:rFonts w:ascii="宋体" w:hAnsi="宋体" w:cs="宋体"/>
          <w:color w:val="auto"/>
          <w:sz w:val="72"/>
          <w:szCs w:val="72"/>
          <w:highlight w:val="none"/>
          <w:lang w:val="zh-CN"/>
        </w:rPr>
      </w:pPr>
    </w:p>
    <w:p>
      <w:pPr>
        <w:spacing w:after="100" w:afterAutospacing="1" w:line="360" w:lineRule="auto"/>
        <w:ind w:right="-108"/>
        <w:jc w:val="center"/>
        <w:rPr>
          <w:rFonts w:ascii="宋体" w:hAnsi="宋体"/>
          <w:b/>
          <w:color w:val="auto"/>
          <w:spacing w:val="40"/>
          <w:sz w:val="32"/>
          <w:szCs w:val="32"/>
          <w:highlight w:val="none"/>
        </w:rPr>
      </w:pPr>
      <w:r>
        <w:rPr>
          <w:rFonts w:hint="eastAsia" w:ascii="宋体" w:hAnsi="宋体" w:cs="宋体"/>
          <w:b/>
          <w:color w:val="auto"/>
          <w:sz w:val="32"/>
          <w:szCs w:val="32"/>
          <w:highlight w:val="none"/>
          <w:lang w:val="zh-CN"/>
        </w:rPr>
        <w:t>（</w:t>
      </w:r>
      <w:r>
        <w:rPr>
          <w:rFonts w:hint="eastAsia" w:ascii="宋体" w:hAnsi="宋体" w:cs="宋体"/>
          <w:b/>
          <w:color w:val="auto"/>
          <w:sz w:val="32"/>
          <w:szCs w:val="32"/>
          <w:highlight w:val="none"/>
        </w:rPr>
        <w:t>资格</w:t>
      </w:r>
      <w:r>
        <w:rPr>
          <w:rFonts w:hint="eastAsia" w:ascii="宋体" w:hAnsi="宋体" w:cs="宋体"/>
          <w:b/>
          <w:color w:val="auto"/>
          <w:sz w:val="32"/>
          <w:szCs w:val="32"/>
          <w:highlight w:val="none"/>
          <w:lang w:eastAsia="zh-CN"/>
        </w:rPr>
        <w:t>证明文件或</w:t>
      </w:r>
      <w:r>
        <w:rPr>
          <w:rFonts w:hint="eastAsia" w:ascii="宋体" w:hAnsi="宋体" w:cs="宋体"/>
          <w:b/>
          <w:color w:val="auto"/>
          <w:sz w:val="32"/>
          <w:szCs w:val="32"/>
          <w:highlight w:val="none"/>
        </w:rPr>
        <w:t>商务</w:t>
      </w:r>
      <w:r>
        <w:rPr>
          <w:rFonts w:hint="eastAsia" w:ascii="宋体" w:hAnsi="宋体" w:cs="宋体"/>
          <w:b/>
          <w:color w:val="auto"/>
          <w:sz w:val="32"/>
          <w:szCs w:val="32"/>
          <w:highlight w:val="none"/>
          <w:lang w:eastAsia="zh-CN"/>
        </w:rPr>
        <w:t>与</w:t>
      </w:r>
      <w:r>
        <w:rPr>
          <w:rFonts w:hint="eastAsia" w:ascii="宋体" w:hAnsi="宋体" w:cs="宋体"/>
          <w:b/>
          <w:color w:val="auto"/>
          <w:sz w:val="32"/>
          <w:szCs w:val="32"/>
          <w:highlight w:val="none"/>
        </w:rPr>
        <w:t>技术文件</w:t>
      </w:r>
      <w:r>
        <w:rPr>
          <w:rFonts w:hint="eastAsia" w:ascii="宋体" w:hAnsi="宋体"/>
          <w:b/>
          <w:color w:val="auto"/>
          <w:spacing w:val="40"/>
          <w:sz w:val="32"/>
          <w:szCs w:val="32"/>
          <w:highlight w:val="none"/>
        </w:rPr>
        <w:t>）</w:t>
      </w:r>
    </w:p>
    <w:p>
      <w:pPr>
        <w:spacing w:before="100" w:beforeAutospacing="1" w:line="360" w:lineRule="auto"/>
        <w:ind w:right="533" w:firstLine="640" w:firstLineChars="200"/>
        <w:rPr>
          <w:rFonts w:ascii="宋体" w:hAnsi="宋体"/>
          <w:color w:val="auto"/>
          <w:sz w:val="32"/>
          <w:szCs w:val="32"/>
          <w:highlight w:val="none"/>
        </w:rPr>
      </w:pPr>
      <w:r>
        <w:rPr>
          <w:rFonts w:hint="eastAsia" w:ascii="宋体" w:hAnsi="宋体"/>
          <w:color w:val="auto"/>
          <w:sz w:val="32"/>
          <w:szCs w:val="32"/>
          <w:highlight w:val="none"/>
        </w:rPr>
        <w:t>投标人全称（公章）：</w:t>
      </w:r>
    </w:p>
    <w:p>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时    间：</w:t>
      </w:r>
    </w:p>
    <w:p>
      <w:pPr>
        <w:snapToGrid w:val="0"/>
        <w:spacing w:before="100" w:beforeAutospacing="1" w:after="100" w:afterAutospacing="1" w:line="360" w:lineRule="auto"/>
        <w:jc w:val="both"/>
        <w:rPr>
          <w:rFonts w:ascii="宋体" w:hAnsi="宋体"/>
          <w:b/>
          <w:bCs/>
          <w:color w:val="auto"/>
          <w:sz w:val="36"/>
          <w:szCs w:val="32"/>
          <w:highlight w:val="none"/>
        </w:rPr>
      </w:pPr>
    </w:p>
    <w:p>
      <w:pPr>
        <w:keepNext w:val="0"/>
        <w:keepLines w:val="0"/>
        <w:pageBreakBefore w:val="0"/>
        <w:kinsoku/>
        <w:wordWrap/>
        <w:overflowPunct/>
        <w:topLinePunct w:val="0"/>
        <w:autoSpaceDE/>
        <w:autoSpaceDN/>
        <w:bidi w:val="0"/>
        <w:snapToGrid w:val="0"/>
        <w:spacing w:line="450" w:lineRule="exact"/>
        <w:ind w:firstLine="452" w:firstLineChars="150"/>
        <w:textAlignment w:val="auto"/>
        <w:rPr>
          <w:rFonts w:hint="eastAsia" w:ascii="宋体" w:hAnsi="宋体"/>
          <w:b/>
          <w:bCs/>
          <w:color w:val="auto"/>
          <w:sz w:val="30"/>
          <w:szCs w:val="30"/>
          <w:highlight w:val="none"/>
        </w:rPr>
      </w:pPr>
    </w:p>
    <w:p>
      <w:pPr>
        <w:snapToGrid w:val="0"/>
        <w:spacing w:before="100" w:beforeAutospacing="1" w:after="100" w:afterAutospacing="1" w:line="360" w:lineRule="auto"/>
        <w:jc w:val="center"/>
        <w:rPr>
          <w:rFonts w:ascii="宋体" w:hAnsi="宋体"/>
          <w:b/>
          <w:bCs/>
          <w:color w:val="auto"/>
          <w:sz w:val="36"/>
          <w:szCs w:val="36"/>
          <w:highlight w:val="none"/>
        </w:rPr>
      </w:pPr>
      <w:r>
        <w:rPr>
          <w:rFonts w:hint="eastAsia" w:ascii="宋体" w:hAnsi="宋体"/>
          <w:b/>
          <w:bCs/>
          <w:color w:val="auto"/>
          <w:sz w:val="40"/>
          <w:szCs w:val="40"/>
          <w:highlight w:val="none"/>
        </w:rPr>
        <w:t>资格证明部分目录</w:t>
      </w:r>
    </w:p>
    <w:p>
      <w:pPr>
        <w:keepNext w:val="0"/>
        <w:keepLines w:val="0"/>
        <w:pageBreakBefore w:val="0"/>
        <w:widowControl w:val="0"/>
        <w:kinsoku/>
        <w:wordWrap/>
        <w:overflowPunct/>
        <w:topLinePunct w:val="0"/>
        <w:autoSpaceDE/>
        <w:autoSpaceDN/>
        <w:bidi w:val="0"/>
        <w:snapToGrid w:val="0"/>
        <w:spacing w:line="480" w:lineRule="auto"/>
        <w:ind w:firstLine="480" w:firstLineChars="200"/>
        <w:jc w:val="both"/>
        <w:textAlignment w:val="auto"/>
        <w:rPr>
          <w:rFonts w:ascii="宋体" w:hAnsi="宋体"/>
          <w:color w:val="auto"/>
          <w:sz w:val="24"/>
          <w:highlight w:val="none"/>
        </w:rPr>
      </w:pPr>
      <w:r>
        <w:rPr>
          <w:rFonts w:hint="eastAsia" w:ascii="宋体" w:hAnsi="宋体"/>
          <w:color w:val="auto"/>
          <w:sz w:val="24"/>
          <w:highlight w:val="none"/>
        </w:rPr>
        <w:t>1、投标声明书（</w:t>
      </w:r>
      <w:r>
        <w:rPr>
          <w:rFonts w:hint="eastAsia" w:ascii="宋体" w:hAnsi="宋体"/>
          <w:color w:val="auto"/>
          <w:sz w:val="24"/>
          <w:highlight w:val="none"/>
          <w:lang w:val="en-US" w:eastAsia="zh-CN"/>
        </w:rPr>
        <w:t>含重大违法记录、税收缴纳、社会保障等方面的失信记录声明</w:t>
      </w:r>
      <w:r>
        <w:rPr>
          <w:rFonts w:hint="eastAsia" w:ascii="宋体" w:hAnsi="宋体"/>
          <w:color w:val="auto"/>
          <w:sz w:val="24"/>
          <w:highlight w:val="none"/>
        </w:rPr>
        <w:t>）</w:t>
      </w:r>
      <w:r>
        <w:rPr>
          <w:rFonts w:hint="eastAsia" w:ascii="宋体" w:hAnsi="宋体"/>
          <w:color w:val="auto"/>
          <w:sz w:val="24"/>
          <w:highlight w:val="none"/>
          <w:lang w:eastAsia="zh-CN"/>
        </w:rPr>
        <w:t>（</w:t>
      </w:r>
      <w:r>
        <w:rPr>
          <w:rFonts w:hint="eastAsia" w:ascii="宋体" w:hAnsi="宋体"/>
          <w:color w:val="auto"/>
          <w:sz w:val="24"/>
          <w:highlight w:val="none"/>
        </w:rPr>
        <w:t>附件</w:t>
      </w:r>
      <w:r>
        <w:rPr>
          <w:rFonts w:hint="eastAsia" w:ascii="宋体" w:hAnsi="宋体"/>
          <w:color w:val="auto"/>
          <w:sz w:val="24"/>
          <w:highlight w:val="none"/>
          <w:lang w:val="en-US" w:eastAsia="zh-CN"/>
        </w:rPr>
        <w:t>1）</w:t>
      </w:r>
    </w:p>
    <w:p>
      <w:pPr>
        <w:keepNext w:val="0"/>
        <w:keepLines w:val="0"/>
        <w:pageBreakBefore w:val="0"/>
        <w:widowControl w:val="0"/>
        <w:kinsoku/>
        <w:wordWrap/>
        <w:overflowPunct/>
        <w:topLinePunct w:val="0"/>
        <w:autoSpaceDE/>
        <w:autoSpaceDN/>
        <w:bidi w:val="0"/>
        <w:snapToGrid w:val="0"/>
        <w:spacing w:line="480" w:lineRule="auto"/>
        <w:ind w:left="479" w:leftChars="228" w:firstLine="0" w:firstLineChars="0"/>
        <w:jc w:val="both"/>
        <w:textAlignment w:val="auto"/>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授权</w:t>
      </w:r>
      <w:r>
        <w:rPr>
          <w:rFonts w:hint="eastAsia" w:ascii="宋体" w:hAnsi="宋体"/>
          <w:bCs/>
          <w:color w:val="auto"/>
          <w:sz w:val="24"/>
          <w:highlight w:val="none"/>
        </w:rPr>
        <w:t>委托</w:t>
      </w:r>
      <w:r>
        <w:rPr>
          <w:rFonts w:ascii="宋体" w:hAnsi="宋体"/>
          <w:bCs/>
          <w:color w:val="auto"/>
          <w:sz w:val="24"/>
          <w:highlight w:val="none"/>
        </w:rPr>
        <w:t>书</w:t>
      </w:r>
      <w:r>
        <w:rPr>
          <w:rFonts w:hint="eastAsia" w:ascii="宋体" w:hAnsi="宋体"/>
          <w:bCs/>
          <w:color w:val="auto"/>
          <w:sz w:val="24"/>
          <w:highlight w:val="none"/>
        </w:rPr>
        <w:t>（</w:t>
      </w:r>
      <w:r>
        <w:rPr>
          <w:rFonts w:hint="eastAsia" w:ascii="宋体" w:hAnsi="宋体"/>
          <w:bCs/>
          <w:color w:val="auto"/>
          <w:sz w:val="24"/>
          <w:highlight w:val="none"/>
          <w:lang w:eastAsia="zh-CN"/>
        </w:rPr>
        <w:t>如</w:t>
      </w:r>
      <w:r>
        <w:rPr>
          <w:rFonts w:hint="eastAsia" w:ascii="宋体" w:hAnsi="宋体"/>
          <w:bCs/>
          <w:color w:val="auto"/>
          <w:sz w:val="24"/>
          <w:highlight w:val="none"/>
        </w:rPr>
        <w:t>法定代表人亲自办理投标事宜的，则需提交</w:t>
      </w:r>
      <w:r>
        <w:rPr>
          <w:rFonts w:hint="eastAsia" w:ascii="宋体" w:hAnsi="宋体"/>
          <w:bCs/>
          <w:color w:val="auto"/>
          <w:sz w:val="24"/>
          <w:highlight w:val="none"/>
          <w:lang w:eastAsia="zh-CN"/>
        </w:rPr>
        <w:t>法人身份证明</w:t>
      </w:r>
      <w:r>
        <w:rPr>
          <w:rFonts w:hint="eastAsia" w:ascii="宋体" w:hAnsi="宋体"/>
          <w:bCs/>
          <w:color w:val="auto"/>
          <w:sz w:val="24"/>
          <w:highlight w:val="none"/>
        </w:rPr>
        <w:t>）（附件</w:t>
      </w:r>
      <w:r>
        <w:rPr>
          <w:rFonts w:hint="eastAsia" w:ascii="宋体" w:hAnsi="宋体"/>
          <w:bCs/>
          <w:color w:val="auto"/>
          <w:sz w:val="24"/>
          <w:highlight w:val="none"/>
          <w:lang w:val="en-US" w:eastAsia="zh-CN"/>
        </w:rPr>
        <w:t>2</w:t>
      </w:r>
      <w:r>
        <w:rPr>
          <w:rFonts w:hint="eastAsia" w:ascii="宋体" w:hAnsi="宋体"/>
          <w:bCs/>
          <w:color w:val="auto"/>
          <w:sz w:val="24"/>
          <w:highlight w:val="none"/>
        </w:rPr>
        <w:t>）</w:t>
      </w:r>
    </w:p>
    <w:p>
      <w:pPr>
        <w:keepNext w:val="0"/>
        <w:keepLines w:val="0"/>
        <w:pageBreakBefore w:val="0"/>
        <w:kinsoku/>
        <w:wordWrap/>
        <w:overflowPunct/>
        <w:topLinePunct w:val="0"/>
        <w:autoSpaceDE/>
        <w:autoSpaceDN/>
        <w:bidi w:val="0"/>
        <w:snapToGrid w:val="0"/>
        <w:spacing w:line="480" w:lineRule="auto"/>
        <w:ind w:firstLine="480" w:firstLineChars="200"/>
        <w:textAlignment w:val="auto"/>
        <w:rPr>
          <w:rFonts w:hint="eastAsia" w:eastAsia="宋体"/>
          <w:color w:val="auto"/>
          <w:sz w:val="24"/>
          <w:highlight w:val="none"/>
          <w:lang w:val="en-US" w:eastAsia="zh-CN"/>
        </w:rPr>
      </w:pPr>
      <w:r>
        <w:rPr>
          <w:rFonts w:hint="eastAsia" w:ascii="宋体" w:hAnsi="宋体"/>
          <w:color w:val="auto"/>
          <w:sz w:val="24"/>
          <w:highlight w:val="none"/>
        </w:rPr>
        <w:t>3、</w:t>
      </w:r>
      <w:r>
        <w:rPr>
          <w:color w:val="auto"/>
          <w:sz w:val="24"/>
          <w:highlight w:val="none"/>
        </w:rPr>
        <w:t>法人或者其他组织的营业执照等证明文件，自然人的身份证明</w:t>
      </w:r>
      <w:r>
        <w:rPr>
          <w:rFonts w:hint="eastAsia"/>
          <w:color w:val="auto"/>
          <w:sz w:val="24"/>
          <w:highlight w:val="none"/>
          <w:lang w:eastAsia="zh-CN"/>
        </w:rPr>
        <w:t>。</w:t>
      </w:r>
    </w:p>
    <w:p>
      <w:pPr>
        <w:keepNext w:val="0"/>
        <w:keepLines w:val="0"/>
        <w:pageBreakBefore w:val="0"/>
        <w:kinsoku/>
        <w:wordWrap/>
        <w:overflowPunct/>
        <w:topLinePunct w:val="0"/>
        <w:autoSpaceDE/>
        <w:autoSpaceDN/>
        <w:bidi w:val="0"/>
        <w:snapToGrid w:val="0"/>
        <w:spacing w:line="48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4、</w:t>
      </w:r>
      <w:r>
        <w:rPr>
          <w:color w:val="auto"/>
          <w:sz w:val="24"/>
          <w:highlight w:val="none"/>
        </w:rPr>
        <w:t>具备履行合同所必需的设备和专业</w:t>
      </w:r>
      <w:r>
        <w:rPr>
          <w:rFonts w:hint="eastAsia"/>
          <w:color w:val="auto"/>
          <w:sz w:val="24"/>
          <w:highlight w:val="none"/>
        </w:rPr>
        <w:t>服务（</w:t>
      </w:r>
      <w:r>
        <w:rPr>
          <w:color w:val="auto"/>
          <w:sz w:val="24"/>
          <w:highlight w:val="none"/>
        </w:rPr>
        <w:t>技术</w:t>
      </w:r>
      <w:r>
        <w:rPr>
          <w:rFonts w:hint="eastAsia"/>
          <w:color w:val="auto"/>
          <w:sz w:val="24"/>
          <w:highlight w:val="none"/>
        </w:rPr>
        <w:t>）</w:t>
      </w:r>
      <w:r>
        <w:rPr>
          <w:color w:val="auto"/>
          <w:sz w:val="24"/>
          <w:highlight w:val="none"/>
        </w:rPr>
        <w:t>能力的</w:t>
      </w:r>
      <w:r>
        <w:rPr>
          <w:rFonts w:hint="eastAsia"/>
          <w:color w:val="auto"/>
          <w:sz w:val="24"/>
          <w:highlight w:val="none"/>
        </w:rPr>
        <w:t>承诺函</w:t>
      </w:r>
      <w:r>
        <w:rPr>
          <w:rFonts w:hint="eastAsia" w:ascii="宋体" w:hAnsi="宋体"/>
          <w:bCs/>
          <w:color w:val="auto"/>
          <w:sz w:val="24"/>
          <w:highlight w:val="none"/>
        </w:rPr>
        <w:t>（附件</w:t>
      </w:r>
      <w:r>
        <w:rPr>
          <w:rFonts w:hint="eastAsia" w:ascii="宋体" w:hAnsi="宋体"/>
          <w:bCs/>
          <w:color w:val="auto"/>
          <w:sz w:val="24"/>
          <w:highlight w:val="none"/>
          <w:lang w:val="en-US" w:eastAsia="zh-CN"/>
        </w:rPr>
        <w:t>3</w:t>
      </w:r>
      <w:r>
        <w:rPr>
          <w:rFonts w:hint="eastAsia" w:ascii="宋体" w:hAnsi="宋体"/>
          <w:bCs/>
          <w:color w:val="auto"/>
          <w:sz w:val="24"/>
          <w:highlight w:val="none"/>
        </w:rPr>
        <w:t>）</w:t>
      </w:r>
    </w:p>
    <w:p>
      <w:pPr>
        <w:keepNext w:val="0"/>
        <w:keepLines w:val="0"/>
        <w:pageBreakBefore w:val="0"/>
        <w:kinsoku/>
        <w:wordWrap/>
        <w:overflowPunct/>
        <w:topLinePunct w:val="0"/>
        <w:autoSpaceDE/>
        <w:autoSpaceDN/>
        <w:bidi w:val="0"/>
        <w:snapToGrid w:val="0"/>
        <w:spacing w:line="480" w:lineRule="auto"/>
        <w:ind w:firstLine="480" w:firstLineChars="200"/>
        <w:textAlignment w:val="auto"/>
        <w:rPr>
          <w:rFonts w:hint="eastAsia" w:ascii="Arial" w:hAnsi="宋体" w:cs="Arial"/>
          <w:b/>
          <w:bCs/>
          <w:color w:val="auto"/>
          <w:sz w:val="24"/>
          <w:highlight w:val="none"/>
          <w:lang w:val="en-US" w:eastAsia="zh-CN"/>
        </w:rPr>
      </w:pPr>
      <w:r>
        <w:rPr>
          <w:rFonts w:hint="eastAsia" w:ascii="宋体" w:hAnsi="宋体" w:cs="宋体"/>
          <w:color w:val="auto"/>
          <w:sz w:val="24"/>
          <w:highlight w:val="none"/>
        </w:rPr>
        <w:t>5、</w:t>
      </w:r>
      <w:r>
        <w:rPr>
          <w:rFonts w:hint="eastAsia" w:ascii="宋体" w:hAnsi="宋体"/>
          <w:color w:val="auto"/>
          <w:sz w:val="24"/>
          <w:highlight w:val="none"/>
        </w:rPr>
        <w:t>本项目要求的特定资质证书</w:t>
      </w:r>
      <w:r>
        <w:rPr>
          <w:rFonts w:hint="eastAsia" w:ascii="宋体" w:hAnsi="宋体"/>
          <w:color w:val="auto"/>
          <w:sz w:val="24"/>
          <w:highlight w:val="none"/>
          <w:lang w:eastAsia="zh-CN"/>
        </w:rPr>
        <w:t>：</w:t>
      </w:r>
      <w:r>
        <w:rPr>
          <w:rFonts w:hint="eastAsia" w:ascii="Arial" w:hAnsi="宋体" w:cs="Arial"/>
          <w:color w:val="auto"/>
          <w:sz w:val="24"/>
          <w:highlight w:val="none"/>
        </w:rPr>
        <w:t>投标供应商需</w:t>
      </w:r>
      <w:r>
        <w:rPr>
          <w:rFonts w:hint="eastAsia" w:ascii="Arial" w:hAnsi="宋体" w:cs="Arial"/>
          <w:color w:val="auto"/>
          <w:sz w:val="24"/>
          <w:highlight w:val="none"/>
          <w:lang w:val="en-US" w:eastAsia="zh-CN"/>
        </w:rPr>
        <w:t>提供</w:t>
      </w:r>
      <w:r>
        <w:rPr>
          <w:rFonts w:hint="eastAsia" w:ascii="Arial" w:hAnsi="宋体" w:cs="Arial"/>
          <w:b/>
          <w:bCs/>
          <w:color w:val="auto"/>
          <w:sz w:val="24"/>
          <w:highlight w:val="none"/>
          <w:lang w:val="en-US" w:eastAsia="zh-CN"/>
        </w:rPr>
        <w:t>《</w:t>
      </w:r>
      <w:r>
        <w:rPr>
          <w:rFonts w:hint="eastAsia" w:ascii="Arial" w:hAnsi="宋体" w:cs="Arial"/>
          <w:b/>
          <w:bCs/>
          <w:color w:val="auto"/>
          <w:sz w:val="24"/>
          <w:highlight w:val="none"/>
        </w:rPr>
        <w:t>出版物经营许可证</w:t>
      </w:r>
      <w:r>
        <w:rPr>
          <w:rFonts w:hint="eastAsia" w:ascii="Arial" w:hAnsi="宋体" w:cs="Arial"/>
          <w:b/>
          <w:bCs/>
          <w:color w:val="auto"/>
          <w:sz w:val="24"/>
          <w:highlight w:val="none"/>
          <w:lang w:val="en-US" w:eastAsia="zh-CN"/>
        </w:rPr>
        <w:t>》</w:t>
      </w:r>
    </w:p>
    <w:p>
      <w:pPr>
        <w:keepNext w:val="0"/>
        <w:keepLines w:val="0"/>
        <w:pageBreakBefore w:val="0"/>
        <w:kinsoku/>
        <w:wordWrap/>
        <w:overflowPunct/>
        <w:topLinePunct w:val="0"/>
        <w:autoSpaceDE/>
        <w:autoSpaceDN/>
        <w:bidi w:val="0"/>
        <w:snapToGrid w:val="0"/>
        <w:spacing w:line="480" w:lineRule="auto"/>
        <w:ind w:firstLine="480" w:firstLineChars="200"/>
        <w:textAlignment w:val="auto"/>
        <w:rPr>
          <w:rFonts w:hint="eastAsia" w:hAnsi="宋体"/>
          <w:color w:val="auto"/>
          <w:sz w:val="24"/>
          <w:highlight w:val="none"/>
        </w:rPr>
      </w:pPr>
      <w:r>
        <w:rPr>
          <w:rFonts w:hint="eastAsia" w:ascii="宋体" w:hAnsi="宋体"/>
          <w:color w:val="auto"/>
          <w:sz w:val="24"/>
          <w:highlight w:val="none"/>
          <w:lang w:val="en-US" w:eastAsia="zh-CN"/>
        </w:rPr>
        <w:t>6、</w:t>
      </w:r>
      <w:r>
        <w:rPr>
          <w:rFonts w:hint="eastAsia" w:hAnsi="宋体"/>
          <w:color w:val="auto"/>
          <w:sz w:val="24"/>
          <w:highlight w:val="none"/>
          <w:lang w:eastAsia="zh-CN"/>
        </w:rPr>
        <w:t>中小</w:t>
      </w:r>
      <w:r>
        <w:rPr>
          <w:rFonts w:hAnsi="宋体"/>
          <w:color w:val="auto"/>
          <w:sz w:val="24"/>
          <w:highlight w:val="none"/>
        </w:rPr>
        <w:t>企业声明函</w:t>
      </w:r>
      <w:r>
        <w:rPr>
          <w:rFonts w:hint="eastAsia" w:hAnsi="宋体"/>
          <w:color w:val="auto"/>
          <w:sz w:val="24"/>
          <w:highlight w:val="none"/>
        </w:rPr>
        <w:t>（</w:t>
      </w:r>
      <w:r>
        <w:rPr>
          <w:rFonts w:hint="eastAsia" w:hAnsi="宋体"/>
          <w:color w:val="auto"/>
          <w:sz w:val="24"/>
          <w:highlight w:val="none"/>
          <w:lang w:eastAsia="zh-CN"/>
        </w:rPr>
        <w:t>附件</w:t>
      </w:r>
      <w:r>
        <w:rPr>
          <w:rFonts w:hint="eastAsia" w:hAnsi="宋体"/>
          <w:b w:val="0"/>
          <w:bCs w:val="0"/>
          <w:color w:val="auto"/>
          <w:sz w:val="24"/>
          <w:highlight w:val="none"/>
          <w:lang w:val="en-US" w:eastAsia="zh-CN"/>
        </w:rPr>
        <w:t>A</w:t>
      </w:r>
      <w:r>
        <w:rPr>
          <w:rFonts w:hint="eastAsia" w:hAnsi="宋体"/>
          <w:color w:val="auto"/>
          <w:sz w:val="24"/>
          <w:highlight w:val="none"/>
        </w:rPr>
        <w:t>）</w:t>
      </w:r>
    </w:p>
    <w:p>
      <w:pPr>
        <w:pStyle w:val="83"/>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lang w:val="en-US" w:eastAsia="zh-CN"/>
        </w:rPr>
        <w:t>7、</w:t>
      </w:r>
      <w:r>
        <w:rPr>
          <w:rFonts w:hint="eastAsia" w:ascii="宋体" w:hAnsi="宋体"/>
          <w:color w:val="auto"/>
          <w:kern w:val="0"/>
          <w:sz w:val="24"/>
          <w:highlight w:val="none"/>
          <w:lang w:val="en-GB"/>
        </w:rPr>
        <w:t>残疾人福利性单位声明函</w:t>
      </w:r>
      <w:r>
        <w:rPr>
          <w:rFonts w:hint="eastAsia" w:ascii="宋体" w:hAnsi="宋体"/>
          <w:color w:val="auto"/>
          <w:kern w:val="0"/>
          <w:sz w:val="24"/>
          <w:highlight w:val="none"/>
        </w:rPr>
        <w:t>（如有需提供</w:t>
      </w:r>
      <w:r>
        <w:rPr>
          <w:rFonts w:hint="eastAsia" w:ascii="宋体" w:hAnsi="宋体"/>
          <w:color w:val="auto"/>
          <w:kern w:val="0"/>
          <w:sz w:val="24"/>
          <w:highlight w:val="none"/>
          <w:lang w:eastAsia="zh-CN"/>
        </w:rPr>
        <w:t>，格式见附件</w:t>
      </w:r>
      <w:r>
        <w:rPr>
          <w:rFonts w:hint="eastAsia" w:hAnsi="宋体"/>
          <w:b w:val="0"/>
          <w:bCs w:val="0"/>
          <w:color w:val="auto"/>
          <w:sz w:val="24"/>
          <w:highlight w:val="none"/>
          <w:lang w:val="en-US" w:eastAsia="zh-CN"/>
        </w:rPr>
        <w:t>B</w:t>
      </w:r>
      <w:r>
        <w:rPr>
          <w:rFonts w:hint="eastAsia" w:ascii="宋体" w:hAnsi="宋体"/>
          <w:color w:val="auto"/>
          <w:kern w:val="0"/>
          <w:sz w:val="24"/>
          <w:highlight w:val="none"/>
        </w:rPr>
        <w:t>）</w:t>
      </w:r>
    </w:p>
    <w:p>
      <w:pPr>
        <w:keepNext w:val="0"/>
        <w:keepLines w:val="0"/>
        <w:pageBreakBefore w:val="0"/>
        <w:kinsoku/>
        <w:wordWrap/>
        <w:overflowPunct/>
        <w:topLinePunct w:val="0"/>
        <w:autoSpaceDE/>
        <w:autoSpaceDN/>
        <w:bidi w:val="0"/>
        <w:snapToGrid w:val="0"/>
        <w:spacing w:line="480" w:lineRule="auto"/>
        <w:ind w:firstLine="562" w:firstLineChars="200"/>
        <w:textAlignment w:val="auto"/>
        <w:rPr>
          <w:rFonts w:hint="eastAsia" w:ascii="宋体" w:hAnsi="宋体" w:eastAsia="宋体"/>
          <w:b/>
          <w:color w:val="auto"/>
          <w:sz w:val="28"/>
          <w:highlight w:val="none"/>
          <w:lang w:eastAsia="zh-CN"/>
        </w:rPr>
      </w:pPr>
      <w:r>
        <w:rPr>
          <w:rFonts w:ascii="宋体" w:hAnsi="宋体"/>
          <w:b/>
          <w:color w:val="auto"/>
          <w:sz w:val="28"/>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1</w:t>
      </w:r>
      <w:r>
        <w:rPr>
          <w:rFonts w:hint="eastAsia" w:ascii="宋体" w:hAnsi="宋体"/>
          <w:b/>
          <w:color w:val="auto"/>
          <w:sz w:val="28"/>
          <w:highlight w:val="none"/>
          <w:lang w:eastAsia="zh-CN"/>
        </w:rPr>
        <w:t>：</w:t>
      </w:r>
    </w:p>
    <w:p>
      <w:pPr>
        <w:adjustRightInd w:val="0"/>
        <w:snapToGrid w:val="0"/>
        <w:spacing w:line="360" w:lineRule="auto"/>
        <w:ind w:right="480"/>
        <w:jc w:val="center"/>
        <w:rPr>
          <w:rFonts w:ascii="宋体" w:hAnsi="宋体"/>
          <w:b/>
          <w:color w:val="auto"/>
          <w:sz w:val="32"/>
          <w:szCs w:val="32"/>
          <w:highlight w:val="none"/>
          <w:lang w:val="zh-CN"/>
        </w:rPr>
      </w:pPr>
      <w:r>
        <w:rPr>
          <w:rFonts w:hint="eastAsia" w:ascii="宋体" w:hAnsi="宋体"/>
          <w:b/>
          <w:color w:val="auto"/>
          <w:sz w:val="32"/>
          <w:szCs w:val="32"/>
          <w:highlight w:val="none"/>
          <w:lang w:val="zh-CN"/>
        </w:rPr>
        <w:t>投标声明书</w:t>
      </w:r>
    </w:p>
    <w:p>
      <w:pPr>
        <w:snapToGrid w:val="0"/>
        <w:spacing w:beforeLines="50" w:after="50" w:line="360" w:lineRule="exact"/>
        <w:rPr>
          <w:rFonts w:ascii="宋体" w:hAnsi="宋体" w:cs="宋体"/>
          <w:color w:val="auto"/>
          <w:sz w:val="24"/>
          <w:highlight w:val="none"/>
        </w:rPr>
      </w:pPr>
      <w:r>
        <w:rPr>
          <w:rFonts w:hint="eastAsia" w:ascii="宋体" w:hAnsi="宋体" w:cs="宋体"/>
          <w:color w:val="auto"/>
          <w:sz w:val="24"/>
          <w:highlight w:val="none"/>
        </w:rPr>
        <w:t>台州市路桥区政府采购中心：</w:t>
      </w:r>
    </w:p>
    <w:p>
      <w:pPr>
        <w:snapToGrid w:val="0"/>
        <w:spacing w:beforeLines="50"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beforeLines="50" w:after="50"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投</w:t>
      </w:r>
      <w:r>
        <w:rPr>
          <w:rFonts w:hint="eastAsia" w:ascii="宋体" w:hAnsi="宋体" w:cs="宋体"/>
          <w:color w:val="auto"/>
          <w:sz w:val="24"/>
          <w:highlight w:val="none"/>
          <w:u w:val="single"/>
        </w:rPr>
        <w:t xml:space="preserve">标人名称  </w:t>
      </w:r>
      <w:r>
        <w:rPr>
          <w:rFonts w:hint="eastAsia" w:ascii="宋体" w:hAnsi="宋体" w:cs="宋体"/>
          <w:color w:val="auto"/>
          <w:sz w:val="24"/>
          <w:highlight w:val="none"/>
        </w:rPr>
        <w:t>）的法定代表人，我方自愿参加贵方组织的（</w:t>
      </w:r>
      <w:r>
        <w:rPr>
          <w:rFonts w:hint="eastAsia" w:hAnsi="宋体"/>
          <w:color w:val="auto"/>
          <w:sz w:val="24"/>
          <w:szCs w:val="24"/>
          <w:highlight w:val="none"/>
          <w:u w:val="single"/>
          <w:lang w:val="en-US" w:eastAsia="zh-CN"/>
        </w:rPr>
        <w:t xml:space="preserve">  2023-2025年路桥区地方教材及配套作业本采购</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）（编号为：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）的投标，为此，我方就本次投标有关事项郑重声明如下：</w:t>
      </w:r>
    </w:p>
    <w:p>
      <w:pPr>
        <w:widowControl w:val="0"/>
        <w:snapToGrid w:val="0"/>
        <w:spacing w:beforeLines="50" w:line="360" w:lineRule="exact"/>
        <w:ind w:firstLine="480" w:firstLineChars="200"/>
        <w:jc w:val="both"/>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、我方</w:t>
      </w:r>
      <w:r>
        <w:rPr>
          <w:rFonts w:ascii="宋体" w:hAnsi="宋体" w:cs="宋体"/>
          <w:color w:val="auto"/>
          <w:sz w:val="24"/>
          <w:highlight w:val="none"/>
        </w:rPr>
        <w:t>在参与投标前已</w:t>
      </w:r>
      <w:r>
        <w:rPr>
          <w:rFonts w:hint="eastAsia" w:ascii="宋体" w:hAnsi="宋体" w:cs="宋体"/>
          <w:color w:val="auto"/>
          <w:sz w:val="24"/>
          <w:highlight w:val="none"/>
        </w:rPr>
        <w:t>详细审查</w:t>
      </w:r>
      <w:r>
        <w:rPr>
          <w:rFonts w:ascii="宋体" w:hAnsi="宋体" w:cs="宋体"/>
          <w:color w:val="auto"/>
          <w:sz w:val="24"/>
          <w:highlight w:val="none"/>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auto"/>
          <w:sz w:val="24"/>
          <w:highlight w:val="none"/>
        </w:rPr>
        <w:t>利。</w:t>
      </w:r>
    </w:p>
    <w:p>
      <w:pPr>
        <w:widowControl w:val="0"/>
        <w:snapToGrid w:val="0"/>
        <w:spacing w:beforeLines="50" w:line="360" w:lineRule="exact"/>
        <w:ind w:firstLine="480" w:firstLineChars="200"/>
        <w:jc w:val="both"/>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、我方</w:t>
      </w:r>
      <w:r>
        <w:rPr>
          <w:rFonts w:hint="eastAsia" w:hAnsi="宋体"/>
          <w:color w:val="auto"/>
          <w:sz w:val="24"/>
          <w:szCs w:val="21"/>
          <w:highlight w:val="none"/>
        </w:rPr>
        <w:t>的投标有效期自</w:t>
      </w:r>
      <w:r>
        <w:rPr>
          <w:rFonts w:hint="eastAsia" w:ascii="宋体" w:hAnsi="宋体"/>
          <w:color w:val="auto"/>
          <w:sz w:val="24"/>
          <w:highlight w:val="none"/>
          <w:lang w:val="en-GB"/>
        </w:rPr>
        <w:t>投标截止日</w:t>
      </w:r>
      <w:r>
        <w:rPr>
          <w:rFonts w:hint="eastAsia" w:hAnsi="宋体"/>
          <w:color w:val="auto"/>
          <w:sz w:val="24"/>
          <w:szCs w:val="21"/>
          <w:highlight w:val="none"/>
        </w:rPr>
        <w:t>起</w:t>
      </w:r>
      <w:r>
        <w:rPr>
          <w:rFonts w:hint="eastAsia" w:hAnsi="宋体"/>
          <w:color w:val="auto"/>
          <w:sz w:val="24"/>
          <w:szCs w:val="21"/>
          <w:highlight w:val="none"/>
          <w:u w:val="single"/>
        </w:rPr>
        <w:t xml:space="preserve"> </w:t>
      </w:r>
      <w:r>
        <w:rPr>
          <w:rFonts w:hint="eastAsia" w:ascii="宋体" w:hAnsi="宋体"/>
          <w:color w:val="auto"/>
          <w:sz w:val="24"/>
          <w:szCs w:val="21"/>
          <w:highlight w:val="none"/>
          <w:u w:val="single"/>
        </w:rPr>
        <w:t>90</w:t>
      </w:r>
      <w:r>
        <w:rPr>
          <w:rFonts w:hint="eastAsia" w:hAnsi="宋体"/>
          <w:color w:val="auto"/>
          <w:sz w:val="24"/>
          <w:szCs w:val="21"/>
          <w:highlight w:val="none"/>
        </w:rPr>
        <w:t>天内有效。如果在</w:t>
      </w:r>
      <w:r>
        <w:rPr>
          <w:rFonts w:hint="eastAsia" w:ascii="宋体" w:hAnsi="宋体"/>
          <w:color w:val="auto"/>
          <w:sz w:val="24"/>
          <w:highlight w:val="none"/>
          <w:lang w:val="en-GB"/>
        </w:rPr>
        <w:t>投标</w:t>
      </w:r>
      <w:r>
        <w:rPr>
          <w:rFonts w:hint="eastAsia" w:ascii="宋体" w:hAnsi="宋体"/>
          <w:color w:val="auto"/>
          <w:sz w:val="24"/>
          <w:szCs w:val="24"/>
          <w:highlight w:val="none"/>
        </w:rPr>
        <w:t>截止时间</w:t>
      </w:r>
      <w:r>
        <w:rPr>
          <w:rFonts w:hint="eastAsia" w:hAnsi="宋体"/>
          <w:color w:val="auto"/>
          <w:sz w:val="24"/>
          <w:szCs w:val="21"/>
          <w:highlight w:val="none"/>
        </w:rPr>
        <w:t>后规定的投标有效期内撤回投标，</w:t>
      </w:r>
      <w:r>
        <w:rPr>
          <w:rFonts w:hint="eastAsia" w:ascii="宋体" w:hAnsi="宋体"/>
          <w:color w:val="auto"/>
          <w:sz w:val="24"/>
          <w:szCs w:val="24"/>
          <w:highlight w:val="none"/>
        </w:rPr>
        <w:t>我方愿意接受相关法律、法规处罚。</w:t>
      </w:r>
    </w:p>
    <w:p>
      <w:pPr>
        <w:snapToGrid w:val="0"/>
        <w:spacing w:beforeLines="50" w:after="50" w:line="36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、我方不是采购人的附属机构；在获知本项目采购信息后，与采购人聘请的为此项目提供咨询服务的公司及其附属机构没有任何联系。</w:t>
      </w:r>
    </w:p>
    <w:p>
      <w:pPr>
        <w:snapToGrid w:val="0"/>
        <w:spacing w:beforeLines="50" w:after="50" w:line="360" w:lineRule="exact"/>
        <w:ind w:firstLine="480" w:firstLineChars="200"/>
        <w:rPr>
          <w:rFonts w:ascii="宋体" w:hAnsi="宋体"/>
          <w:color w:val="auto"/>
          <w:sz w:val="24"/>
          <w:highlight w:val="none"/>
          <w:lang w:val="af-ZA"/>
        </w:rPr>
      </w:pP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hint="eastAsia" w:ascii="宋体" w:hAnsi="宋体" w:cs="宋体"/>
          <w:color w:val="auto"/>
          <w:sz w:val="24"/>
          <w:highlight w:val="none"/>
        </w:rPr>
        <w:t>我方保证，</w:t>
      </w:r>
      <w:r>
        <w:rPr>
          <w:rFonts w:hint="eastAsia" w:ascii="宋体" w:hAnsi="宋体"/>
          <w:color w:val="auto"/>
          <w:sz w:val="24"/>
          <w:highlight w:val="none"/>
          <w:lang w:val="af-ZA"/>
        </w:rPr>
        <w:t>采购人在中华人民共和国境内使用</w:t>
      </w:r>
      <w:r>
        <w:rPr>
          <w:rFonts w:hint="eastAsia" w:ascii="宋体" w:hAnsi="宋体" w:cs="宋体"/>
          <w:color w:val="auto"/>
          <w:sz w:val="24"/>
          <w:highlight w:val="none"/>
        </w:rPr>
        <w:t>我方</w:t>
      </w:r>
      <w:r>
        <w:rPr>
          <w:rFonts w:hint="eastAsia" w:ascii="宋体" w:hAnsi="宋体"/>
          <w:color w:val="auto"/>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sz w:val="24"/>
          <w:highlight w:val="none"/>
          <w:lang w:val="af-ZA"/>
        </w:rPr>
        <w:t>我方</w:t>
      </w:r>
      <w:r>
        <w:rPr>
          <w:rFonts w:hint="eastAsia" w:ascii="宋体" w:hAnsi="宋体"/>
          <w:color w:val="auto"/>
          <w:sz w:val="24"/>
          <w:highlight w:val="none"/>
          <w:lang w:val="af-ZA"/>
        </w:rPr>
        <w:t>承担。</w:t>
      </w:r>
      <w:r>
        <w:rPr>
          <w:rFonts w:hint="eastAsia" w:ascii="宋体" w:hAnsi="宋体" w:cs="宋体"/>
          <w:color w:val="auto"/>
          <w:sz w:val="24"/>
          <w:highlight w:val="none"/>
          <w:lang w:val="af-ZA"/>
        </w:rPr>
        <w:t>我方的</w:t>
      </w:r>
      <w:r>
        <w:rPr>
          <w:rFonts w:hint="eastAsia" w:ascii="宋体" w:hAnsi="宋体"/>
          <w:color w:val="auto"/>
          <w:sz w:val="24"/>
          <w:highlight w:val="none"/>
          <w:lang w:val="af-ZA"/>
        </w:rPr>
        <w:t>投标报价</w:t>
      </w:r>
      <w:r>
        <w:rPr>
          <w:rFonts w:hint="eastAsia" w:ascii="宋体" w:hAnsi="宋体" w:cs="宋体"/>
          <w:color w:val="auto"/>
          <w:sz w:val="24"/>
          <w:highlight w:val="none"/>
          <w:lang w:val="af-ZA"/>
        </w:rPr>
        <w:t>已</w:t>
      </w:r>
      <w:r>
        <w:rPr>
          <w:rFonts w:hint="eastAsia" w:ascii="宋体" w:hAnsi="宋体"/>
          <w:color w:val="auto"/>
          <w:sz w:val="24"/>
          <w:highlight w:val="none"/>
          <w:lang w:val="af-ZA"/>
        </w:rPr>
        <w:t>包含所有应向所有权人支付的专利权、商标权或其它知识产权的一切相关费用。</w:t>
      </w:r>
    </w:p>
    <w:p>
      <w:pPr>
        <w:snapToGrid w:val="0"/>
        <w:spacing w:beforeLines="50" w:after="50" w:line="360" w:lineRule="exact"/>
        <w:ind w:firstLine="480" w:firstLineChars="200"/>
        <w:rPr>
          <w:rFonts w:hint="eastAsia" w:ascii="宋体" w:hAnsi="宋体" w:cs="宋体"/>
          <w:color w:val="auto"/>
          <w:sz w:val="24"/>
          <w:highlight w:val="none"/>
          <w:lang w:val="af-ZA"/>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lang w:val="af-ZA"/>
        </w:rPr>
        <w:t>、我方严格履行政府采购合同，不降低合同约定的产品质量和服务，不擅自变更、中止、终止合同，或拒绝履行合同义务。</w:t>
      </w:r>
    </w:p>
    <w:p>
      <w:pPr>
        <w:widowControl w:val="0"/>
        <w:snapToGrid w:val="0"/>
        <w:spacing w:beforeLines="50" w:line="360" w:lineRule="exact"/>
        <w:ind w:firstLine="482" w:firstLineChars="200"/>
        <w:jc w:val="both"/>
        <w:rPr>
          <w:rFonts w:hint="eastAsia" w:ascii="宋体" w:hAnsi="宋体" w:cs="Arial"/>
          <w:b/>
          <w:bCs/>
          <w:color w:val="auto"/>
          <w:sz w:val="24"/>
          <w:highlight w:val="none"/>
          <w:lang w:val="en-US" w:eastAsia="zh-CN"/>
        </w:rPr>
      </w:pPr>
      <w:r>
        <w:rPr>
          <w:rFonts w:hint="eastAsia" w:ascii="宋体" w:hAnsi="宋体" w:cs="Arial"/>
          <w:b/>
          <w:bCs/>
          <w:color w:val="auto"/>
          <w:sz w:val="24"/>
          <w:highlight w:val="none"/>
          <w:lang w:val="en-US" w:eastAsia="zh-CN"/>
        </w:rPr>
        <w:t>6</w:t>
      </w:r>
      <w:r>
        <w:rPr>
          <w:rFonts w:hint="eastAsia" w:ascii="宋体" w:hAnsi="宋体" w:cs="Arial"/>
          <w:b/>
          <w:bCs/>
          <w:color w:val="auto"/>
          <w:sz w:val="24"/>
          <w:highlight w:val="none"/>
        </w:rPr>
        <w:t>、</w:t>
      </w:r>
      <w:r>
        <w:rPr>
          <w:rFonts w:hint="eastAsia" w:ascii="宋体" w:hAnsi="宋体" w:cs="Arial"/>
          <w:b/>
          <w:bCs/>
          <w:color w:val="auto"/>
          <w:sz w:val="24"/>
          <w:highlight w:val="none"/>
          <w:lang w:val="en-US" w:eastAsia="zh-CN"/>
        </w:rPr>
        <w:t>我方通过“信用中国”网站（www.creditchina.gov.cn）、中国政府采购网（www.ccgp.gov.cn）查询，未被列入失信被执行人、重大税收违法案件当事人名单、政府采购严重违法失信行为记录名单。</w:t>
      </w:r>
    </w:p>
    <w:p>
      <w:pPr>
        <w:widowControl w:val="0"/>
        <w:snapToGrid w:val="0"/>
        <w:spacing w:beforeLines="50" w:line="360" w:lineRule="exact"/>
        <w:ind w:firstLine="482" w:firstLineChars="200"/>
        <w:jc w:val="both"/>
        <w:rPr>
          <w:rFonts w:ascii="宋体" w:hAnsi="宋体" w:cs="宋体"/>
          <w:b/>
          <w:color w:val="auto"/>
          <w:sz w:val="24"/>
          <w:highlight w:val="none"/>
        </w:rPr>
      </w:pPr>
      <w:r>
        <w:rPr>
          <w:rFonts w:hint="eastAsia" w:ascii="宋体" w:hAnsi="宋体" w:cs="Arial"/>
          <w:b/>
          <w:bCs/>
          <w:color w:val="auto"/>
          <w:sz w:val="24"/>
          <w:highlight w:val="none"/>
          <w:lang w:val="en-US" w:eastAsia="zh-CN"/>
        </w:rPr>
        <w:t>7</w:t>
      </w:r>
      <w:r>
        <w:rPr>
          <w:rFonts w:hint="eastAsia" w:ascii="宋体" w:hAnsi="宋体" w:cs="Arial"/>
          <w:b/>
          <w:bCs/>
          <w:color w:val="auto"/>
          <w:sz w:val="24"/>
          <w:highlight w:val="none"/>
        </w:rPr>
        <w:t>、</w:t>
      </w:r>
      <w:r>
        <w:rPr>
          <w:rFonts w:hint="eastAsia" w:ascii="宋体" w:hAnsi="宋体" w:cs="Arial"/>
          <w:b/>
          <w:bCs/>
          <w:color w:val="auto"/>
          <w:sz w:val="24"/>
          <w:highlight w:val="none"/>
          <w:lang w:val="en-US" w:eastAsia="zh-CN"/>
        </w:rPr>
        <w:t>我方承诺已经具备参与政府采购活动的资格条件并且没有税收缴纳、社会保障等方面的失信记录。</w:t>
      </w:r>
    </w:p>
    <w:p>
      <w:pPr>
        <w:snapToGrid w:val="0"/>
        <w:spacing w:beforeLines="50" w:after="50" w:line="36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、以上事项如有虚假或隐瞒，我方愿意承担一切后果，并不再寻求任何旨在减轻或免除法律责任的辩解。</w:t>
      </w:r>
    </w:p>
    <w:p>
      <w:pPr>
        <w:pStyle w:val="36"/>
      </w:pPr>
    </w:p>
    <w:p>
      <w:pPr>
        <w:adjustRightInd w:val="0"/>
        <w:snapToGrid w:val="0"/>
        <w:spacing w:line="360" w:lineRule="exact"/>
        <w:ind w:firstLine="4680" w:firstLineChars="1950"/>
        <w:rPr>
          <w:rFonts w:ascii="宋体" w:hAnsi="宋体" w:cs="仿宋_GB2312"/>
          <w:color w:val="auto"/>
          <w:sz w:val="24"/>
          <w:highlight w:val="none"/>
          <w:lang w:val="zh-CN"/>
        </w:rPr>
      </w:pPr>
      <w:r>
        <w:rPr>
          <w:rFonts w:hint="eastAsia" w:ascii="宋体" w:hAnsi="宋体" w:cs="仿宋_GB2312"/>
          <w:color w:val="auto"/>
          <w:sz w:val="24"/>
          <w:highlight w:val="none"/>
          <w:lang w:val="zh-CN"/>
        </w:rPr>
        <w:t xml:space="preserve">    投标人名称(</w:t>
      </w:r>
      <w:r>
        <w:rPr>
          <w:rFonts w:hint="eastAsia" w:ascii="宋体" w:hAnsi="宋体"/>
          <w:sz w:val="24"/>
        </w:rPr>
        <w:t>电子印章</w:t>
      </w:r>
      <w:r>
        <w:rPr>
          <w:rFonts w:hint="eastAsia" w:ascii="宋体" w:hAnsi="宋体" w:cs="仿宋_GB2312"/>
          <w:color w:val="auto"/>
          <w:sz w:val="24"/>
          <w:highlight w:val="none"/>
          <w:lang w:val="zh-CN"/>
        </w:rPr>
        <w:t>)：</w:t>
      </w:r>
    </w:p>
    <w:p>
      <w:pPr>
        <w:adjustRightInd w:val="0"/>
        <w:snapToGrid w:val="0"/>
        <w:spacing w:line="360" w:lineRule="exact"/>
        <w:rPr>
          <w:rFonts w:ascii="宋体" w:hAnsi="宋体" w:cs="仿宋_GB2312"/>
          <w:color w:val="auto"/>
          <w:sz w:val="24"/>
          <w:highlight w:val="none"/>
          <w:lang w:val="zh-CN"/>
        </w:rPr>
      </w:pPr>
      <w:r>
        <w:rPr>
          <w:rFonts w:hint="eastAsia" w:ascii="宋体" w:hAnsi="宋体" w:cs="仿宋_GB2312"/>
          <w:color w:val="auto"/>
          <w:sz w:val="24"/>
          <w:highlight w:val="none"/>
          <w:lang w:val="zh-CN"/>
        </w:rPr>
        <w:t xml:space="preserve">                         </w:t>
      </w:r>
      <w:r>
        <w:rPr>
          <w:rFonts w:hint="eastAsia" w:ascii="宋体" w:hAnsi="宋体" w:cs="仿宋_GB2312"/>
          <w:color w:val="auto"/>
          <w:sz w:val="24"/>
          <w:highlight w:val="none"/>
          <w:lang w:val="en-US" w:eastAsia="zh-CN"/>
        </w:rPr>
        <w:t xml:space="preserve">            </w:t>
      </w:r>
      <w:r>
        <w:rPr>
          <w:rFonts w:hint="eastAsia" w:ascii="宋体" w:hAnsi="宋体" w:cs="仿宋_GB2312"/>
          <w:color w:val="auto"/>
          <w:sz w:val="24"/>
          <w:highlight w:val="none"/>
          <w:lang w:val="zh-CN"/>
        </w:rPr>
        <w:t>法定代表人(</w:t>
      </w:r>
      <w:r>
        <w:rPr>
          <w:rFonts w:hint="eastAsia" w:ascii="宋体" w:hAnsi="宋体"/>
          <w:sz w:val="24"/>
        </w:rPr>
        <w:t>签字或电子印章</w:t>
      </w:r>
      <w:r>
        <w:rPr>
          <w:rFonts w:hint="eastAsia" w:ascii="宋体" w:hAnsi="宋体" w:cs="仿宋_GB2312"/>
          <w:color w:val="auto"/>
          <w:sz w:val="24"/>
          <w:highlight w:val="none"/>
          <w:lang w:val="zh-CN"/>
        </w:rPr>
        <w:t>)：</w:t>
      </w:r>
    </w:p>
    <w:p>
      <w:pPr>
        <w:adjustRightInd w:val="0"/>
        <w:snapToGrid w:val="0"/>
        <w:spacing w:line="360" w:lineRule="exact"/>
        <w:ind w:right="480"/>
        <w:jc w:val="center"/>
        <w:rPr>
          <w:rFonts w:ascii="宋体" w:hAnsi="宋体" w:cs="仿宋_GB2312"/>
          <w:color w:val="auto"/>
          <w:sz w:val="24"/>
          <w:highlight w:val="none"/>
          <w:lang w:val="zh-CN"/>
        </w:rPr>
      </w:pPr>
      <w:r>
        <w:rPr>
          <w:rFonts w:hint="eastAsia" w:ascii="宋体" w:hAnsi="宋体" w:cs="仿宋_GB2312"/>
          <w:color w:val="auto"/>
          <w:sz w:val="24"/>
          <w:highlight w:val="none"/>
          <w:lang w:val="zh-CN"/>
        </w:rPr>
        <w:t xml:space="preserve">                                  日期：</w:t>
      </w:r>
      <w:r>
        <w:rPr>
          <w:rFonts w:hint="eastAsia" w:ascii="宋体" w:hAnsi="宋体" w:cs="仿宋_GB2312"/>
          <w:color w:val="auto"/>
          <w:sz w:val="24"/>
          <w:highlight w:val="none"/>
          <w:lang w:eastAsia="zh-CN"/>
        </w:rPr>
        <w:t>2023</w:t>
      </w:r>
      <w:r>
        <w:rPr>
          <w:rFonts w:hint="eastAsia" w:ascii="宋体" w:hAnsi="宋体" w:cs="仿宋_GB2312"/>
          <w:color w:val="auto"/>
          <w:sz w:val="24"/>
          <w:highlight w:val="none"/>
          <w:lang w:val="zh-CN"/>
        </w:rPr>
        <w:t>年  月   日</w:t>
      </w:r>
    </w:p>
    <w:p>
      <w:pPr>
        <w:adjustRightInd w:val="0"/>
        <w:snapToGrid w:val="0"/>
        <w:spacing w:line="360" w:lineRule="auto"/>
        <w:ind w:right="480"/>
        <w:rPr>
          <w:rFonts w:hint="eastAsia" w:ascii="宋体" w:eastAsia="宋体"/>
          <w:b/>
          <w:color w:val="auto"/>
          <w:sz w:val="30"/>
          <w:szCs w:val="30"/>
          <w:highlight w:val="none"/>
          <w:lang w:eastAsia="zh-CN"/>
        </w:rPr>
      </w:pPr>
      <w:r>
        <w:rPr>
          <w:rFonts w:ascii="宋体" w:hAnsi="宋体"/>
          <w:b/>
          <w:color w:val="auto"/>
          <w:sz w:val="28"/>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2</w:t>
      </w:r>
      <w:r>
        <w:rPr>
          <w:rFonts w:hint="eastAsia" w:ascii="宋体" w:hAnsi="宋体"/>
          <w:b/>
          <w:color w:val="auto"/>
          <w:sz w:val="28"/>
          <w:highlight w:val="none"/>
          <w:lang w:eastAsia="zh-CN"/>
        </w:rPr>
        <w:t>：</w:t>
      </w:r>
    </w:p>
    <w:p>
      <w:pPr>
        <w:spacing w:line="360" w:lineRule="auto"/>
        <w:ind w:firstLine="321" w:firstLineChars="100"/>
        <w:jc w:val="center"/>
        <w:rPr>
          <w:rFonts w:hAnsi="宋体"/>
          <w:b/>
          <w:color w:val="auto"/>
          <w:sz w:val="32"/>
          <w:szCs w:val="32"/>
          <w:highlight w:val="none"/>
          <w:u w:val="single"/>
        </w:rPr>
      </w:pPr>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p>
    <w:p>
      <w:pPr>
        <w:spacing w:line="440" w:lineRule="exact"/>
        <w:rPr>
          <w:rFonts w:ascii="宋体"/>
          <w:color w:val="auto"/>
          <w:sz w:val="24"/>
          <w:szCs w:val="22"/>
          <w:highlight w:val="none"/>
        </w:rPr>
      </w:pPr>
      <w:r>
        <w:rPr>
          <w:rFonts w:hint="eastAsia" w:ascii="宋体"/>
          <w:color w:val="auto"/>
          <w:sz w:val="24"/>
          <w:szCs w:val="22"/>
          <w:highlight w:val="none"/>
        </w:rPr>
        <w:t>台州市路桥区政府采购中心：</w:t>
      </w:r>
    </w:p>
    <w:p>
      <w:pPr>
        <w:spacing w:line="440" w:lineRule="exact"/>
        <w:ind w:firstLine="480" w:firstLineChars="200"/>
        <w:rPr>
          <w:rFonts w:ascii="宋体"/>
          <w:color w:val="auto"/>
          <w:sz w:val="24"/>
          <w:szCs w:val="22"/>
          <w:highlight w:val="none"/>
        </w:rPr>
      </w:pPr>
      <w:r>
        <w:rPr>
          <w:rFonts w:hint="eastAsia" w:ascii="宋体"/>
          <w:color w:val="auto"/>
          <w:sz w:val="24"/>
          <w:szCs w:val="22"/>
          <w:highlight w:val="none"/>
        </w:rPr>
        <w:t>我</w:t>
      </w:r>
      <w:r>
        <w:rPr>
          <w:rFonts w:hint="eastAsia" w:ascii="宋体"/>
          <w:color w:val="auto"/>
          <w:sz w:val="24"/>
          <w:szCs w:val="22"/>
          <w:highlight w:val="none"/>
          <w:u w:val="single"/>
        </w:rPr>
        <w:t xml:space="preserve">       （姓名）</w:t>
      </w:r>
      <w:r>
        <w:rPr>
          <w:rFonts w:hint="eastAsia" w:ascii="宋体"/>
          <w:color w:val="auto"/>
          <w:sz w:val="24"/>
          <w:szCs w:val="22"/>
          <w:highlight w:val="none"/>
        </w:rPr>
        <w:t>系</w:t>
      </w:r>
      <w:r>
        <w:rPr>
          <w:rFonts w:hint="eastAsia" w:ascii="宋体"/>
          <w:color w:val="auto"/>
          <w:sz w:val="24"/>
          <w:szCs w:val="22"/>
          <w:highlight w:val="none"/>
          <w:u w:val="single"/>
        </w:rPr>
        <w:t xml:space="preserve">            （投标人名称）</w:t>
      </w:r>
      <w:r>
        <w:rPr>
          <w:rFonts w:hint="eastAsia" w:ascii="宋体"/>
          <w:color w:val="auto"/>
          <w:sz w:val="24"/>
          <w:szCs w:val="22"/>
          <w:highlight w:val="none"/>
        </w:rPr>
        <w:t>的法定代表人，现授权委托本单位在职职工</w:t>
      </w:r>
      <w:r>
        <w:rPr>
          <w:rFonts w:hint="eastAsia" w:ascii="宋体"/>
          <w:color w:val="auto"/>
          <w:sz w:val="24"/>
          <w:szCs w:val="22"/>
          <w:highlight w:val="none"/>
          <w:u w:val="single"/>
        </w:rPr>
        <w:t xml:space="preserve">            （姓名）</w:t>
      </w:r>
      <w:r>
        <w:rPr>
          <w:rFonts w:hint="eastAsia" w:ascii="宋体"/>
          <w:color w:val="auto"/>
          <w:sz w:val="24"/>
          <w:szCs w:val="22"/>
          <w:highlight w:val="none"/>
        </w:rPr>
        <w:t>为授权代表，以我方的名义参加项目编号：</w:t>
      </w:r>
      <w:r>
        <w:rPr>
          <w:rFonts w:hint="eastAsia" w:ascii="宋体"/>
          <w:color w:val="auto"/>
          <w:sz w:val="24"/>
          <w:szCs w:val="22"/>
          <w:highlight w:val="none"/>
          <w:u w:val="single"/>
          <w:lang w:eastAsia="zh-CN"/>
        </w:rPr>
        <w:t>LQCG-2023-GK023号</w:t>
      </w:r>
      <w:r>
        <w:rPr>
          <w:rFonts w:hint="eastAsia" w:ascii="宋体"/>
          <w:color w:val="auto"/>
          <w:sz w:val="24"/>
          <w:szCs w:val="22"/>
          <w:highlight w:val="none"/>
        </w:rPr>
        <w:t>项目名称：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eastAsia="zh-CN"/>
        </w:rPr>
        <w:t>2023-2025年路桥区地方教材及配套作业本采购</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u w:val="single"/>
        </w:rPr>
        <w:t xml:space="preserve">  </w:t>
      </w:r>
      <w:r>
        <w:rPr>
          <w:rFonts w:hint="eastAsia" w:ascii="宋体"/>
          <w:color w:val="auto"/>
          <w:sz w:val="24"/>
          <w:szCs w:val="22"/>
          <w:highlight w:val="none"/>
        </w:rPr>
        <w:t>的投标活动，并代表我方全权办理针对上述项目的投标、开标、评标、签约等具体事务和签署相关文件。我方对授权代表的签名事项负全部责任。</w:t>
      </w:r>
    </w:p>
    <w:p>
      <w:pPr>
        <w:spacing w:line="440" w:lineRule="exact"/>
        <w:ind w:firstLine="480" w:firstLineChars="200"/>
        <w:rPr>
          <w:rFonts w:ascii="宋体"/>
          <w:color w:val="auto"/>
          <w:sz w:val="24"/>
          <w:szCs w:val="22"/>
          <w:highlight w:val="none"/>
        </w:rPr>
      </w:pPr>
      <w:r>
        <w:rPr>
          <w:rFonts w:hint="eastAsia" w:ascii="宋体"/>
          <w:color w:val="auto"/>
          <w:sz w:val="24"/>
          <w:szCs w:val="22"/>
          <w:highlight w:val="none"/>
        </w:rPr>
        <w:t>在撤销授权的书面通知以前，本授权书一直有效。授权代表在授权书有效期内签署的所有文件不因授权的撤销而失效。</w:t>
      </w:r>
    </w:p>
    <w:p>
      <w:pPr>
        <w:spacing w:line="440" w:lineRule="exact"/>
        <w:ind w:firstLine="480" w:firstLineChars="200"/>
        <w:rPr>
          <w:rFonts w:ascii="宋体"/>
          <w:color w:val="auto"/>
          <w:sz w:val="24"/>
          <w:szCs w:val="22"/>
          <w:highlight w:val="none"/>
        </w:rPr>
      </w:pPr>
      <w:r>
        <w:rPr>
          <w:rFonts w:hint="eastAsia" w:ascii="宋体"/>
          <w:color w:val="auto"/>
          <w:sz w:val="24"/>
          <w:szCs w:val="22"/>
          <w:highlight w:val="none"/>
        </w:rPr>
        <w:t>授权代表无转委托权，特此委托。</w:t>
      </w:r>
    </w:p>
    <w:p>
      <w:pPr>
        <w:spacing w:line="440" w:lineRule="exact"/>
        <w:rPr>
          <w:color w:val="auto"/>
          <w:sz w:val="24"/>
          <w:highlight w:val="none"/>
        </w:rPr>
      </w:pPr>
    </w:p>
    <w:p>
      <w:pPr>
        <w:spacing w:line="440" w:lineRule="exact"/>
        <w:rPr>
          <w:color w:val="auto"/>
          <w:sz w:val="24"/>
          <w:highlight w:val="none"/>
        </w:rPr>
      </w:pPr>
      <w:r>
        <w:rPr>
          <w:rFonts w:hint="eastAsia" w:ascii="宋体"/>
          <w:color w:val="auto"/>
          <w:sz w:val="24"/>
          <w:highlight w:val="none"/>
        </w:rPr>
        <w:t>法定代表人</w:t>
      </w:r>
      <w:r>
        <w:rPr>
          <w:rFonts w:hint="eastAsia" w:ascii="宋体"/>
          <w:color w:val="auto"/>
          <w:sz w:val="24"/>
          <w:highlight w:val="none"/>
          <w:lang w:eastAsia="zh-CN"/>
        </w:rPr>
        <w:t>（</w:t>
      </w:r>
      <w:r>
        <w:rPr>
          <w:rFonts w:hint="eastAsia" w:ascii="宋体" w:hAnsi="宋体"/>
          <w:sz w:val="24"/>
        </w:rPr>
        <w:t>签字或电子印章</w:t>
      </w:r>
      <w:r>
        <w:rPr>
          <w:rFonts w:hint="eastAsia" w:ascii="宋体"/>
          <w:color w:val="auto"/>
          <w:sz w:val="24"/>
          <w:highlight w:val="none"/>
          <w:lang w:eastAsia="zh-CN"/>
        </w:rPr>
        <w:t>）</w:t>
      </w:r>
      <w:r>
        <w:rPr>
          <w:rFonts w:hint="eastAsia" w:ascii="宋体"/>
          <w:color w:val="auto"/>
          <w:sz w:val="24"/>
          <w:highlight w:val="none"/>
        </w:rPr>
        <w:t>：</w:t>
      </w:r>
    </w:p>
    <w:p>
      <w:pPr>
        <w:spacing w:line="440" w:lineRule="exact"/>
        <w:rPr>
          <w:color w:val="auto"/>
          <w:sz w:val="24"/>
          <w:highlight w:val="none"/>
        </w:rPr>
      </w:pPr>
      <w:r>
        <w:rPr>
          <w:rFonts w:hint="eastAsia" w:ascii="宋体"/>
          <w:color w:val="auto"/>
          <w:sz w:val="24"/>
          <w:highlight w:val="none"/>
        </w:rPr>
        <w:t>投标人全称（</w:t>
      </w:r>
      <w:r>
        <w:rPr>
          <w:rFonts w:hint="eastAsia" w:ascii="宋体" w:hAnsi="宋体"/>
          <w:sz w:val="24"/>
        </w:rPr>
        <w:t>电子印章</w:t>
      </w:r>
      <w:r>
        <w:rPr>
          <w:rFonts w:hint="eastAsia" w:ascii="宋体"/>
          <w:color w:val="auto"/>
          <w:sz w:val="24"/>
          <w:highlight w:val="none"/>
        </w:rPr>
        <w:t xml:space="preserve">）：                             </w:t>
      </w:r>
    </w:p>
    <w:p>
      <w:pPr>
        <w:spacing w:line="360" w:lineRule="auto"/>
        <w:rPr>
          <w:color w:val="auto"/>
          <w:sz w:val="24"/>
          <w:highlight w:val="none"/>
        </w:rPr>
      </w:pPr>
    </w:p>
    <w:p>
      <w:pPr>
        <w:spacing w:line="440" w:lineRule="exact"/>
        <w:rPr>
          <w:b/>
          <w:color w:val="auto"/>
          <w:sz w:val="24"/>
          <w:highlight w:val="none"/>
        </w:rPr>
      </w:pPr>
      <w:r>
        <w:rPr>
          <w:rFonts w:hint="eastAsia" w:ascii="宋体"/>
          <w:b/>
          <w:color w:val="auto"/>
          <w:sz w:val="24"/>
          <w:highlight w:val="none"/>
        </w:rPr>
        <w:t>附：</w:t>
      </w:r>
    </w:p>
    <w:tbl>
      <w:tblPr>
        <w:tblStyle w:val="37"/>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color w:val="auto"/>
                <w:sz w:val="24"/>
                <w:highlight w:val="none"/>
              </w:rPr>
            </w:pPr>
          </w:p>
          <w:p>
            <w:pPr>
              <w:spacing w:line="360" w:lineRule="auto"/>
              <w:ind w:firstLine="361" w:firstLineChars="150"/>
              <w:rPr>
                <w:rFonts w:hint="eastAsia" w:ascii="宋体"/>
                <w:b/>
                <w:color w:val="auto"/>
                <w:sz w:val="24"/>
                <w:highlight w:val="none"/>
                <w:lang w:eastAsia="zh-CN"/>
              </w:rPr>
            </w:pPr>
            <w:r>
              <w:rPr>
                <w:rFonts w:hint="eastAsia" w:ascii="宋体"/>
                <w:b/>
                <w:color w:val="auto"/>
                <w:sz w:val="24"/>
                <w:highlight w:val="none"/>
              </w:rPr>
              <w:t>法定代表身份证</w:t>
            </w:r>
            <w:r>
              <w:rPr>
                <w:rFonts w:hint="eastAsia" w:ascii="宋体"/>
                <w:b/>
                <w:color w:val="auto"/>
                <w:sz w:val="24"/>
                <w:highlight w:val="none"/>
                <w:lang w:eastAsia="zh-CN"/>
              </w:rPr>
              <w:t>正反面</w:t>
            </w:r>
          </w:p>
          <w:p>
            <w:pPr>
              <w:spacing w:line="360" w:lineRule="auto"/>
              <w:ind w:firstLine="361" w:firstLineChars="150"/>
              <w:rPr>
                <w:rFonts w:ascii="宋体"/>
                <w:b/>
                <w:color w:val="auto"/>
                <w:sz w:val="24"/>
                <w:highlight w:val="none"/>
              </w:rPr>
            </w:pPr>
            <w:r>
              <w:rPr>
                <w:rFonts w:hint="eastAsia" w:ascii="宋体"/>
                <w:b/>
                <w:color w:val="auto"/>
                <w:sz w:val="24"/>
                <w:highlight w:val="none"/>
              </w:rPr>
              <w:t>复印件粘帖处</w:t>
            </w:r>
          </w:p>
        </w:tc>
      </w:tr>
    </w:tbl>
    <w:p>
      <w:pPr>
        <w:spacing w:line="360" w:lineRule="auto"/>
        <w:rPr>
          <w:color w:val="auto"/>
          <w:sz w:val="24"/>
          <w:highlight w:val="none"/>
        </w:rPr>
      </w:pPr>
      <w:r>
        <w:rPr>
          <w:rFonts w:hint="eastAsia" w:ascii="宋体"/>
          <w:color w:val="auto"/>
          <w:sz w:val="24"/>
          <w:highlight w:val="none"/>
        </w:rPr>
        <w:t xml:space="preserve">法定代表人姓名：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spacing w:line="360" w:lineRule="auto"/>
        <w:rPr>
          <w:b/>
          <w:color w:val="auto"/>
          <w:sz w:val="24"/>
          <w:highlight w:val="none"/>
        </w:rPr>
      </w:pPr>
    </w:p>
    <w:tbl>
      <w:tblPr>
        <w:tblStyle w:val="37"/>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ind w:firstLine="361" w:firstLineChars="150"/>
              <w:rPr>
                <w:rFonts w:ascii="宋体"/>
                <w:b/>
                <w:color w:val="auto"/>
                <w:sz w:val="24"/>
                <w:highlight w:val="none"/>
              </w:rPr>
            </w:pPr>
          </w:p>
          <w:p>
            <w:pPr>
              <w:spacing w:line="360" w:lineRule="auto"/>
              <w:ind w:firstLine="361" w:firstLineChars="150"/>
              <w:rPr>
                <w:rFonts w:hint="eastAsia" w:ascii="宋体"/>
                <w:b/>
                <w:color w:val="auto"/>
                <w:sz w:val="24"/>
                <w:highlight w:val="none"/>
                <w:lang w:eastAsia="zh-CN"/>
              </w:rPr>
            </w:pPr>
            <w:r>
              <w:rPr>
                <w:rFonts w:hint="eastAsia" w:ascii="宋体"/>
                <w:b/>
                <w:color w:val="auto"/>
                <w:sz w:val="24"/>
                <w:highlight w:val="none"/>
              </w:rPr>
              <w:t>授权代表身份证</w:t>
            </w:r>
            <w:r>
              <w:rPr>
                <w:rFonts w:hint="eastAsia" w:ascii="宋体"/>
                <w:b/>
                <w:color w:val="auto"/>
                <w:sz w:val="24"/>
                <w:highlight w:val="none"/>
                <w:lang w:eastAsia="zh-CN"/>
              </w:rPr>
              <w:t>正反面</w:t>
            </w:r>
          </w:p>
          <w:p>
            <w:pPr>
              <w:spacing w:line="360" w:lineRule="auto"/>
              <w:ind w:firstLine="361" w:firstLineChars="150"/>
              <w:rPr>
                <w:rFonts w:ascii="宋体"/>
                <w:b/>
                <w:color w:val="auto"/>
                <w:sz w:val="24"/>
                <w:highlight w:val="none"/>
              </w:rPr>
            </w:pPr>
            <w:r>
              <w:rPr>
                <w:rFonts w:hint="eastAsia" w:ascii="宋体"/>
                <w:b/>
                <w:color w:val="auto"/>
                <w:sz w:val="24"/>
                <w:highlight w:val="none"/>
              </w:rPr>
              <w:t>复印件粘帖处</w:t>
            </w:r>
          </w:p>
        </w:tc>
      </w:tr>
    </w:tbl>
    <w:p>
      <w:pPr>
        <w:spacing w:line="360" w:lineRule="auto"/>
        <w:rPr>
          <w:rFonts w:ascii="宋体"/>
          <w:color w:val="auto"/>
          <w:sz w:val="24"/>
          <w:highlight w:val="none"/>
        </w:rPr>
      </w:pPr>
      <w:r>
        <w:rPr>
          <w:rFonts w:hint="eastAsia" w:ascii="宋体"/>
          <w:color w:val="auto"/>
          <w:sz w:val="24"/>
          <w:highlight w:val="none"/>
        </w:rPr>
        <w:t xml:space="preserve">授权代表姓名：       </w:t>
      </w:r>
    </w:p>
    <w:p>
      <w:pPr>
        <w:spacing w:line="360" w:lineRule="auto"/>
        <w:rPr>
          <w:color w:val="auto"/>
          <w:sz w:val="24"/>
          <w:highlight w:val="none"/>
        </w:rPr>
      </w:pPr>
      <w:r>
        <w:rPr>
          <w:rFonts w:hint="eastAsia" w:ascii="宋体"/>
          <w:color w:val="auto"/>
          <w:sz w:val="24"/>
          <w:highlight w:val="none"/>
        </w:rPr>
        <w:t xml:space="preserve">职务：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手机：</w:t>
      </w:r>
    </w:p>
    <w:p>
      <w:pPr>
        <w:spacing w:line="360" w:lineRule="auto"/>
        <w:rPr>
          <w:color w:val="auto"/>
          <w:sz w:val="24"/>
          <w:highlight w:val="none"/>
        </w:rPr>
      </w:pPr>
      <w:r>
        <w:rPr>
          <w:rFonts w:hint="eastAsia" w:ascii="宋体"/>
          <w:color w:val="auto"/>
          <w:sz w:val="24"/>
          <w:highlight w:val="none"/>
        </w:rPr>
        <w:t>详细通讯地址：</w:t>
      </w:r>
    </w:p>
    <w:p>
      <w:pPr>
        <w:spacing w:line="440" w:lineRule="exact"/>
        <w:ind w:firstLine="480" w:firstLineChars="200"/>
        <w:rPr>
          <w:rFonts w:hint="eastAsia" w:ascii="宋体"/>
          <w:color w:val="auto"/>
          <w:sz w:val="24"/>
          <w:highlight w:val="none"/>
        </w:rPr>
      </w:pPr>
      <w:r>
        <w:rPr>
          <w:rFonts w:hint="eastAsia" w:ascii="宋体"/>
          <w:color w:val="auto"/>
          <w:sz w:val="24"/>
          <w:highlight w:val="none"/>
        </w:rPr>
        <w:t>邮政编码：</w:t>
      </w:r>
    </w:p>
    <w:p>
      <w:pPr>
        <w:pStyle w:val="15"/>
        <w:spacing w:before="258" w:line="225" w:lineRule="auto"/>
        <w:ind w:left="3269"/>
        <w:outlineLvl w:val="0"/>
        <w:rPr>
          <w:b/>
          <w:bCs/>
          <w:spacing w:val="7"/>
          <w:sz w:val="28"/>
          <w:szCs w:val="28"/>
        </w:rPr>
      </w:pPr>
    </w:p>
    <w:p>
      <w:pPr>
        <w:pStyle w:val="15"/>
        <w:spacing w:before="258" w:line="225" w:lineRule="auto"/>
        <w:ind w:left="3269"/>
        <w:outlineLvl w:val="0"/>
        <w:rPr>
          <w:b/>
          <w:bCs/>
          <w:spacing w:val="7"/>
          <w:sz w:val="28"/>
          <w:szCs w:val="28"/>
        </w:rPr>
      </w:pPr>
    </w:p>
    <w:p>
      <w:pPr>
        <w:pStyle w:val="15"/>
        <w:spacing w:before="258" w:line="225" w:lineRule="auto"/>
        <w:ind w:left="3269"/>
        <w:outlineLvl w:val="0"/>
        <w:rPr>
          <w:rFonts w:ascii="Times New Roman" w:hAnsi="Times New Roman" w:eastAsia="Times New Roman" w:cs="Times New Roman"/>
          <w:sz w:val="32"/>
          <w:szCs w:val="32"/>
        </w:rPr>
      </w:pPr>
      <w:r>
        <w:rPr>
          <w:b/>
          <w:bCs/>
          <w:spacing w:val="7"/>
          <w:sz w:val="28"/>
          <w:szCs w:val="28"/>
        </w:rPr>
        <w:t>法人</w:t>
      </w:r>
      <w:r>
        <w:rPr>
          <w:rFonts w:hint="eastAsia"/>
          <w:b/>
          <w:bCs/>
          <w:spacing w:val="7"/>
          <w:sz w:val="28"/>
          <w:szCs w:val="28"/>
          <w:lang w:eastAsia="zh-CN"/>
        </w:rPr>
        <w:t>代表</w:t>
      </w:r>
      <w:r>
        <w:rPr>
          <w:b/>
          <w:bCs/>
          <w:spacing w:val="7"/>
          <w:sz w:val="28"/>
          <w:szCs w:val="28"/>
        </w:rPr>
        <w:t>身份证明</w:t>
      </w:r>
    </w:p>
    <w:p>
      <w:pPr>
        <w:spacing w:line="358" w:lineRule="auto"/>
        <w:rPr>
          <w:rFonts w:ascii="Arial"/>
          <w:sz w:val="21"/>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u w:val="single"/>
          <w:lang w:val="en-US" w:eastAsia="zh-CN"/>
        </w:rPr>
      </w:pPr>
      <w:r>
        <w:rPr>
          <w:rFonts w:hint="eastAsia" w:ascii="宋体" w:hAnsi="宋体" w:cs="仿宋_GB2312"/>
          <w:color w:val="auto"/>
          <w:sz w:val="24"/>
          <w:highlight w:val="none"/>
          <w:lang w:val="zh-CN"/>
        </w:rPr>
        <w:t>供应商名称</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color w:val="0000FF"/>
          <w:sz w:val="24"/>
          <w:szCs w:val="22"/>
          <w:highlight w:val="none"/>
          <w:u w:val="single"/>
        </w:rPr>
        <w:t>（投标人名称）</w:t>
      </w:r>
      <w:r>
        <w:rPr>
          <w:rFonts w:hint="eastAsia" w:ascii="宋体" w:hAnsi="宋体" w:eastAsia="宋体" w:cs="宋体"/>
          <w:sz w:val="24"/>
          <w:szCs w:val="24"/>
          <w:u w:val="single"/>
          <w:lang w:val="en-US" w:eastAsia="zh-CN"/>
        </w:rPr>
        <w:t>。</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单位地址：</w:t>
      </w:r>
      <w:r>
        <w:rPr>
          <w:rFonts w:hint="eastAsia" w:ascii="宋体" w:hAnsi="宋体" w:eastAsia="宋体" w:cs="宋体"/>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成立时间：</w:t>
      </w:r>
      <w:r>
        <w:rPr>
          <w:rFonts w:hint="eastAsia" w:ascii="宋体" w:hAnsi="宋体" w:eastAsia="宋体" w:cs="宋体"/>
          <w:sz w:val="24"/>
          <w:szCs w:val="24"/>
          <w:u w:val="single"/>
          <w:lang w:val="en-US" w:eastAsia="zh-CN"/>
        </w:rPr>
        <w:t xml:space="preserve">        年     月      日 </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经营期限：</w:t>
      </w:r>
      <w:r>
        <w:rPr>
          <w:rFonts w:hint="eastAsia" w:ascii="宋体" w:hAnsi="宋体" w:eastAsia="宋体" w:cs="宋体"/>
          <w:sz w:val="24"/>
          <w:szCs w:val="24"/>
          <w:u w:val="single"/>
          <w:lang w:val="en-US" w:eastAsia="zh-CN"/>
        </w:rPr>
        <w:t xml:space="preserve">        年    月   日至        年    月    日</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姓名：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性别：</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年龄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职务：</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系我公司(或者企业、单位)的法定代表人。</w:t>
      </w:r>
    </w:p>
    <w:p>
      <w:pPr>
        <w:keepNext w:val="0"/>
        <w:keepLines w:val="0"/>
        <w:pageBreakBefore w:val="0"/>
        <w:widowControl/>
        <w:kinsoku/>
        <w:wordWrap/>
        <w:overflowPunct/>
        <w:topLinePunct w:val="0"/>
        <w:autoSpaceDE/>
        <w:autoSpaceDN/>
        <w:bidi w:val="0"/>
        <w:adjustRightInd/>
        <w:snapToGrid/>
        <w:spacing w:line="6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特此证明。</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3120" w:firstLineChars="1300"/>
        <w:textAlignment w:val="auto"/>
        <w:rPr>
          <w:rFonts w:hint="eastAsia" w:ascii="宋体" w:hAnsi="宋体" w:cs="仿宋_GB2312"/>
          <w:color w:val="auto"/>
          <w:sz w:val="24"/>
          <w:highlight w:val="none"/>
          <w:lang w:val="zh-CN"/>
        </w:rPr>
      </w:pPr>
    </w:p>
    <w:p>
      <w:pPr>
        <w:keepNext w:val="0"/>
        <w:keepLines w:val="0"/>
        <w:pageBreakBefore w:val="0"/>
        <w:widowControl/>
        <w:kinsoku/>
        <w:wordWrap/>
        <w:overflowPunct/>
        <w:topLinePunct w:val="0"/>
        <w:autoSpaceDE/>
        <w:autoSpaceDN/>
        <w:bidi w:val="0"/>
        <w:adjustRightInd/>
        <w:snapToGrid/>
        <w:spacing w:line="560" w:lineRule="exact"/>
        <w:ind w:firstLine="3120" w:firstLineChars="1300"/>
        <w:textAlignment w:val="auto"/>
        <w:rPr>
          <w:rFonts w:hint="eastAsia" w:ascii="宋体" w:hAnsi="宋体" w:eastAsia="宋体" w:cs="宋体"/>
          <w:sz w:val="24"/>
          <w:szCs w:val="24"/>
          <w:u w:val="none"/>
          <w:lang w:val="en-US" w:eastAsia="zh-CN"/>
        </w:rPr>
      </w:pPr>
      <w:r>
        <w:rPr>
          <w:rFonts w:hint="eastAsia" w:ascii="宋体" w:hAnsi="宋体" w:cs="仿宋_GB2312"/>
          <w:color w:val="auto"/>
          <w:sz w:val="24"/>
          <w:highlight w:val="none"/>
          <w:lang w:val="zh-CN"/>
        </w:rPr>
        <w:t>供应商名称</w:t>
      </w:r>
      <w:r>
        <w:rPr>
          <w:rFonts w:hint="eastAsia" w:ascii="宋体" w:hAnsi="宋体" w:eastAsia="宋体" w:cs="宋体"/>
          <w:sz w:val="24"/>
          <w:szCs w:val="24"/>
          <w:lang w:val="en-US" w:eastAsia="zh-CN"/>
        </w:rPr>
        <w:t>（电子印章）：</w:t>
      </w:r>
      <w:r>
        <w:rPr>
          <w:rFonts w:hint="eastAsia" w:ascii="宋体" w:hAnsi="宋体" w:eastAsia="宋体" w:cs="宋体"/>
          <w:sz w:val="24"/>
          <w:szCs w:val="24"/>
          <w:u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3120" w:firstLineChars="1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 2023 年   月    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eastAsia="zh-CN"/>
        </w:rPr>
      </w:pPr>
      <w:r>
        <w:rPr>
          <w:rFonts w:hint="eastAsia" w:ascii="宋体" w:hAnsi="宋体" w:eastAsia="宋体" w:cs="宋体"/>
          <w:b/>
          <w:bCs/>
          <w:sz w:val="24"/>
          <w:szCs w:val="24"/>
        </w:rPr>
        <w:t>附：</w:t>
      </w:r>
      <w:r>
        <w:rPr>
          <w:rFonts w:hint="eastAsia" w:ascii="宋体" w:hAnsi="宋体" w:eastAsia="宋体" w:cs="宋体"/>
          <w:b/>
          <w:bCs/>
          <w:sz w:val="24"/>
          <w:szCs w:val="24"/>
          <w:lang w:eastAsia="zh-CN"/>
        </w:rPr>
        <w:t>法人代表身份证明</w:t>
      </w:r>
    </w:p>
    <w:tbl>
      <w:tblPr>
        <w:tblStyle w:val="37"/>
        <w:tblpPr w:leftFromText="180" w:rightFromText="180" w:vertAnchor="text" w:horzAnchor="page" w:tblpX="5543" w:tblpY="40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trPr>
        <w:tc>
          <w:tcPr>
            <w:tcW w:w="4260" w:type="dxa"/>
            <w:noWrap w:val="0"/>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法定代表</w:t>
            </w:r>
            <w:r>
              <w:rPr>
                <w:rFonts w:hint="eastAsia" w:ascii="宋体" w:hAnsi="宋体" w:cs="宋体"/>
                <w:b/>
                <w:color w:val="auto"/>
                <w:sz w:val="24"/>
                <w:highlight w:val="none"/>
                <w:lang w:eastAsia="zh-CN"/>
              </w:rPr>
              <w:t>人</w:t>
            </w:r>
            <w:r>
              <w:rPr>
                <w:rFonts w:hint="eastAsia" w:ascii="宋体" w:hAnsi="宋体" w:cs="宋体"/>
                <w:b/>
                <w:color w:val="auto"/>
                <w:sz w:val="24"/>
                <w:highlight w:val="none"/>
              </w:rPr>
              <w:t>身份证</w:t>
            </w: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lang w:eastAsia="zh-CN"/>
              </w:rPr>
              <w:t>正反面</w:t>
            </w:r>
            <w:r>
              <w:rPr>
                <w:rFonts w:hint="eastAsia" w:ascii="宋体" w:hAnsi="宋体" w:cs="宋体"/>
                <w:b/>
                <w:color w:val="auto"/>
                <w:sz w:val="24"/>
                <w:highlight w:val="none"/>
              </w:rPr>
              <w:t>复印件粘帖处</w:t>
            </w:r>
          </w:p>
        </w:tc>
      </w:tr>
    </w:tbl>
    <w:p>
      <w:pPr>
        <w:spacing w:line="360" w:lineRule="auto"/>
        <w:rPr>
          <w:rFonts w:hint="eastAsia" w:ascii="宋体" w:hAnsi="宋体" w:cs="宋体"/>
          <w:color w:val="auto"/>
          <w:sz w:val="24"/>
          <w:szCs w:val="32"/>
          <w:highlight w:val="none"/>
        </w:rPr>
      </w:pPr>
    </w:p>
    <w:p>
      <w:pPr>
        <w:spacing w:line="360" w:lineRule="auto"/>
        <w:rPr>
          <w:rFonts w:hint="eastAsia" w:ascii="宋体" w:hAnsi="宋体" w:cs="宋体"/>
          <w:b/>
          <w:color w:val="auto"/>
          <w:sz w:val="28"/>
          <w:highlight w:val="none"/>
        </w:rPr>
      </w:pPr>
    </w:p>
    <w:p>
      <w:pPr>
        <w:spacing w:line="360" w:lineRule="auto"/>
        <w:rPr>
          <w:rFonts w:hint="eastAsia" w:ascii="宋体" w:hAnsi="宋体" w:cs="宋体"/>
          <w:b/>
          <w:color w:val="auto"/>
          <w:sz w:val="28"/>
          <w:highlight w:val="none"/>
        </w:rPr>
      </w:pPr>
    </w:p>
    <w:p>
      <w:pPr>
        <w:spacing w:line="360" w:lineRule="auto"/>
        <w:rPr>
          <w:rFonts w:hint="eastAsia" w:ascii="宋体" w:hAnsi="宋体" w:cs="宋体"/>
          <w:b/>
          <w:color w:val="auto"/>
          <w:sz w:val="28"/>
          <w:highlight w:val="none"/>
        </w:rPr>
      </w:pPr>
    </w:p>
    <w:p>
      <w:pPr>
        <w:spacing w:line="360" w:lineRule="auto"/>
        <w:rPr>
          <w:rFonts w:hint="eastAsia" w:ascii="宋体" w:hAnsi="宋体" w:cs="宋体"/>
          <w:b/>
          <w:color w:val="auto"/>
          <w:sz w:val="28"/>
          <w:highlight w:val="none"/>
        </w:rPr>
      </w:pPr>
    </w:p>
    <w:p>
      <w:pPr>
        <w:spacing w:line="440" w:lineRule="exact"/>
        <w:rPr>
          <w:rFonts w:hint="eastAsia" w:ascii="宋体" w:hAnsi="宋体" w:eastAsia="宋体" w:cs="宋体"/>
          <w:b/>
          <w:color w:val="auto"/>
          <w:sz w:val="28"/>
          <w:szCs w:val="24"/>
          <w:highlight w:val="none"/>
          <w:lang w:val="en-US" w:eastAsia="zh-CN" w:bidi="ar-SA"/>
        </w:rPr>
      </w:pPr>
    </w:p>
    <w:p>
      <w:pPr>
        <w:spacing w:line="440" w:lineRule="exact"/>
        <w:ind w:firstLine="562" w:firstLineChars="200"/>
        <w:rPr>
          <w:rFonts w:hint="eastAsia" w:ascii="宋体" w:hAnsi="宋体" w:eastAsia="宋体" w:cs="宋体"/>
          <w:b/>
          <w:color w:val="auto"/>
          <w:sz w:val="28"/>
          <w:szCs w:val="24"/>
          <w:highlight w:val="none"/>
          <w:lang w:val="en-US" w:eastAsia="zh-CN" w:bidi="ar-SA"/>
        </w:rPr>
      </w:pPr>
      <w:r>
        <w:rPr>
          <w:rFonts w:ascii="宋体" w:hAnsi="宋体"/>
          <w:b/>
          <w:color w:val="auto"/>
          <w:sz w:val="28"/>
          <w:highlight w:val="none"/>
        </w:rPr>
        <w:br w:type="page"/>
      </w:r>
      <w:r>
        <w:rPr>
          <w:rFonts w:hint="eastAsia" w:ascii="宋体" w:hAnsi="宋体" w:eastAsia="宋体" w:cs="宋体"/>
          <w:b/>
          <w:color w:val="auto"/>
          <w:sz w:val="28"/>
          <w:szCs w:val="24"/>
          <w:highlight w:val="none"/>
          <w:lang w:val="en-US" w:eastAsia="zh-CN" w:bidi="ar-SA"/>
        </w:rPr>
        <w:t>附件3：</w:t>
      </w:r>
    </w:p>
    <w:p>
      <w:pPr>
        <w:adjustRightInd w:val="0"/>
        <w:snapToGrid w:val="0"/>
        <w:jc w:val="center"/>
        <w:rPr>
          <w:b/>
          <w:bCs/>
          <w:color w:val="auto"/>
          <w:sz w:val="28"/>
          <w:szCs w:val="21"/>
          <w:highlight w:val="none"/>
        </w:rPr>
      </w:pPr>
    </w:p>
    <w:p>
      <w:pPr>
        <w:adjustRightInd w:val="0"/>
        <w:snapToGrid w:val="0"/>
        <w:jc w:val="center"/>
        <w:rPr>
          <w:b/>
          <w:bCs/>
          <w:color w:val="auto"/>
          <w:sz w:val="28"/>
          <w:szCs w:val="21"/>
          <w:highlight w:val="none"/>
        </w:rPr>
      </w:pPr>
    </w:p>
    <w:p>
      <w:pPr>
        <w:adjustRightInd w:val="0"/>
        <w:snapToGrid w:val="0"/>
        <w:jc w:val="center"/>
        <w:rPr>
          <w:rFonts w:ascii="宋体" w:hAnsi="宋体" w:cs="宋体"/>
          <w:b/>
          <w:bCs/>
          <w:color w:val="auto"/>
          <w:szCs w:val="21"/>
          <w:highlight w:val="none"/>
        </w:rPr>
      </w:pPr>
      <w:r>
        <w:rPr>
          <w:b/>
          <w:bCs/>
          <w:color w:val="auto"/>
          <w:sz w:val="28"/>
          <w:szCs w:val="21"/>
          <w:highlight w:val="none"/>
        </w:rPr>
        <w:t>具备履行合同所必需的设备和专业</w:t>
      </w:r>
      <w:r>
        <w:rPr>
          <w:rFonts w:hint="eastAsia"/>
          <w:b/>
          <w:bCs/>
          <w:color w:val="auto"/>
          <w:sz w:val="28"/>
          <w:szCs w:val="21"/>
          <w:highlight w:val="none"/>
        </w:rPr>
        <w:t>服务（</w:t>
      </w:r>
      <w:r>
        <w:rPr>
          <w:b/>
          <w:bCs/>
          <w:color w:val="auto"/>
          <w:sz w:val="28"/>
          <w:szCs w:val="21"/>
          <w:highlight w:val="none"/>
        </w:rPr>
        <w:t>技术</w:t>
      </w:r>
      <w:r>
        <w:rPr>
          <w:rFonts w:hint="eastAsia"/>
          <w:b/>
          <w:bCs/>
          <w:color w:val="auto"/>
          <w:sz w:val="28"/>
          <w:szCs w:val="21"/>
          <w:highlight w:val="none"/>
        </w:rPr>
        <w:t>）</w:t>
      </w:r>
      <w:r>
        <w:rPr>
          <w:b/>
          <w:bCs/>
          <w:color w:val="auto"/>
          <w:sz w:val="28"/>
          <w:szCs w:val="21"/>
          <w:highlight w:val="none"/>
        </w:rPr>
        <w:t>能力的</w:t>
      </w:r>
      <w:r>
        <w:rPr>
          <w:rFonts w:hint="eastAsia"/>
          <w:b/>
          <w:bCs/>
          <w:color w:val="auto"/>
          <w:sz w:val="28"/>
          <w:szCs w:val="21"/>
          <w:highlight w:val="none"/>
        </w:rPr>
        <w:t>承诺函</w:t>
      </w:r>
    </w:p>
    <w:p>
      <w:pPr>
        <w:adjustRightInd w:val="0"/>
        <w:snapToGrid w:val="0"/>
        <w:rPr>
          <w:rFonts w:ascii="宋体" w:hAnsi="宋体" w:cs="宋体"/>
          <w:color w:val="auto"/>
          <w:highlight w:val="none"/>
        </w:rPr>
      </w:pPr>
    </w:p>
    <w:p>
      <w:pPr>
        <w:adjustRightInd w:val="0"/>
        <w:snapToGrid w:val="0"/>
        <w:spacing w:line="360" w:lineRule="auto"/>
        <w:rPr>
          <w:rFonts w:ascii="宋体" w:hAnsi="宋体" w:cs="宋体"/>
          <w:color w:val="auto"/>
          <w:sz w:val="24"/>
          <w:highlight w:val="none"/>
          <w:u w:val="single"/>
        </w:rPr>
      </w:pPr>
    </w:p>
    <w:p>
      <w:pPr>
        <w:adjustRightInd w:val="0"/>
        <w:snapToGrid w:val="0"/>
        <w:spacing w:line="360" w:lineRule="auto"/>
        <w:rPr>
          <w:rFonts w:hint="eastAsia" w:ascii="宋体" w:hAnsi="宋体" w:cs="宋体"/>
          <w:color w:val="auto"/>
          <w:sz w:val="24"/>
          <w:highlight w:val="none"/>
          <w:u w:val="single"/>
        </w:rPr>
      </w:pP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 xml:space="preserve">（招标人）     </w:t>
      </w:r>
      <w:r>
        <w:rPr>
          <w:rFonts w:hint="eastAsia" w:ascii="宋体" w:hAnsi="宋体" w:cs="宋体"/>
          <w:color w:val="auto"/>
          <w:sz w:val="24"/>
          <w:highlight w:val="none"/>
        </w:rPr>
        <w:t>：</w:t>
      </w: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 xml:space="preserve">   （投标人）    </w:t>
      </w:r>
      <w:r>
        <w:rPr>
          <w:rFonts w:hint="eastAsia" w:ascii="宋体" w:hAnsi="宋体" w:cs="宋体"/>
          <w:color w:val="auto"/>
          <w:sz w:val="24"/>
          <w:highlight w:val="none"/>
        </w:rPr>
        <w:t>承诺具有履行合同所必需的设备和专业服务（技术）能力。如有虚假，招标人可取消我方任何资格（投标/中标/签订合同），我方对此无任何异议。</w:t>
      </w: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pPr>
        <w:pStyle w:val="36"/>
        <w:ind w:firstLine="480"/>
        <w:rPr>
          <w:rFonts w:ascii="宋体" w:hAnsi="宋体" w:cs="宋体"/>
          <w:color w:val="auto"/>
          <w:sz w:val="24"/>
          <w:highlight w:val="none"/>
        </w:rPr>
      </w:pPr>
    </w:p>
    <w:p>
      <w:pPr>
        <w:pStyle w:val="36"/>
        <w:ind w:firstLine="48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pStyle w:val="36"/>
        <w:ind w:firstLine="480"/>
        <w:rPr>
          <w:rFonts w:ascii="宋体" w:hAnsi="宋体" w:cs="宋体"/>
          <w:color w:val="auto"/>
          <w:sz w:val="24"/>
          <w:highlight w:val="none"/>
        </w:rPr>
      </w:pPr>
    </w:p>
    <w:p>
      <w:pPr>
        <w:pStyle w:val="36"/>
        <w:ind w:firstLine="480"/>
        <w:rPr>
          <w:rFonts w:ascii="宋体" w:hAnsi="宋体" w:cs="宋体"/>
          <w:color w:val="auto"/>
          <w:sz w:val="24"/>
          <w:highlight w:val="none"/>
        </w:rPr>
      </w:pPr>
    </w:p>
    <w:p>
      <w:pPr>
        <w:pStyle w:val="36"/>
        <w:ind w:firstLine="480"/>
        <w:rPr>
          <w:rFonts w:ascii="宋体" w:hAnsi="宋体" w:cs="宋体"/>
          <w:color w:val="auto"/>
          <w:sz w:val="24"/>
          <w:highlight w:val="none"/>
        </w:rPr>
      </w:pPr>
    </w:p>
    <w:p>
      <w:pPr>
        <w:pStyle w:val="36"/>
        <w:ind w:firstLine="480"/>
        <w:rPr>
          <w:rFonts w:ascii="宋体" w:hAnsi="宋体" w:cs="宋体"/>
          <w:color w:val="auto"/>
          <w:sz w:val="24"/>
          <w:highlight w:val="none"/>
        </w:rPr>
      </w:pPr>
    </w:p>
    <w:p>
      <w:pPr>
        <w:pStyle w:val="36"/>
        <w:ind w:firstLine="480"/>
        <w:rPr>
          <w:rFonts w:ascii="宋体" w:hAnsi="宋体" w:cs="宋体"/>
          <w:color w:val="auto"/>
          <w:sz w:val="24"/>
          <w:highlight w:val="none"/>
        </w:rPr>
      </w:pPr>
    </w:p>
    <w:p>
      <w:pPr>
        <w:pStyle w:val="36"/>
        <w:ind w:firstLine="480"/>
        <w:rPr>
          <w:rFonts w:ascii="宋体" w:hAnsi="宋体" w:cs="宋体"/>
          <w:color w:val="auto"/>
          <w:sz w:val="24"/>
          <w:highlight w:val="none"/>
        </w:rPr>
      </w:pPr>
    </w:p>
    <w:p>
      <w:pPr>
        <w:pStyle w:val="36"/>
        <w:ind w:firstLine="480"/>
        <w:rPr>
          <w:rFonts w:ascii="宋体" w:hAnsi="宋体" w:cs="宋体"/>
          <w:color w:val="auto"/>
          <w:sz w:val="24"/>
          <w:highlight w:val="none"/>
        </w:rPr>
      </w:pPr>
    </w:p>
    <w:p>
      <w:pPr>
        <w:adjustRightInd w:val="0"/>
        <w:snapToGrid w:val="0"/>
        <w:spacing w:line="360" w:lineRule="auto"/>
        <w:ind w:firstLine="4320" w:firstLineChars="1800"/>
        <w:rPr>
          <w:rFonts w:hint="eastAsia" w:ascii="宋体" w:hAnsi="宋体" w:eastAsia="宋体" w:cs="仿宋_GB2312"/>
          <w:color w:val="auto"/>
          <w:sz w:val="24"/>
          <w:highlight w:val="none"/>
          <w:lang w:val="zh-CN"/>
        </w:rPr>
      </w:pPr>
      <w:r>
        <w:rPr>
          <w:rFonts w:hint="eastAsia" w:ascii="宋体" w:hAnsi="宋体" w:eastAsia="宋体" w:cs="仿宋_GB2312"/>
          <w:color w:val="auto"/>
          <w:sz w:val="24"/>
          <w:highlight w:val="none"/>
          <w:lang w:val="zh-CN"/>
        </w:rPr>
        <w:t xml:space="preserve">投标人名称（电子印章）:                </w:t>
      </w:r>
    </w:p>
    <w:p>
      <w:pPr>
        <w:adjustRightInd w:val="0"/>
        <w:snapToGrid w:val="0"/>
        <w:spacing w:line="360" w:lineRule="auto"/>
        <w:ind w:firstLine="4320" w:firstLineChars="1800"/>
        <w:rPr>
          <w:rFonts w:hint="eastAsia" w:ascii="宋体" w:hAnsi="宋体" w:cs="宋体"/>
          <w:color w:val="auto"/>
          <w:sz w:val="24"/>
          <w:highlight w:val="none"/>
        </w:rPr>
      </w:pPr>
    </w:p>
    <w:p>
      <w:pPr>
        <w:adjustRightInd w:val="0"/>
        <w:snapToGrid w:val="0"/>
        <w:spacing w:line="360" w:lineRule="auto"/>
        <w:ind w:firstLine="4320" w:firstLineChars="1800"/>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lang w:eastAsia="zh-CN"/>
        </w:rPr>
        <w:t>2023</w:t>
      </w:r>
      <w:r>
        <w:rPr>
          <w:rFonts w:hint="eastAsia" w:ascii="宋体" w:hAnsi="宋体" w:cs="宋体"/>
          <w:color w:val="auto"/>
          <w:sz w:val="24"/>
          <w:highlight w:val="none"/>
        </w:rPr>
        <w:t>年  月  日</w:t>
      </w:r>
    </w:p>
    <w:p>
      <w:pPr>
        <w:pStyle w:val="52"/>
        <w:spacing w:before="0" w:beforeAutospacing="0" w:after="0" w:afterAutospacing="0" w:line="360" w:lineRule="auto"/>
        <w:rPr>
          <w:rFonts w:hint="eastAsia" w:ascii="宋体" w:hAnsi="宋体"/>
          <w:b/>
          <w:color w:val="auto"/>
          <w:sz w:val="28"/>
          <w:highlight w:val="none"/>
          <w:lang w:val="en-US" w:eastAsia="zh-CN"/>
        </w:rPr>
      </w:pPr>
    </w:p>
    <w:p>
      <w:pPr>
        <w:pStyle w:val="52"/>
        <w:spacing w:before="0" w:beforeAutospacing="0" w:after="0" w:afterAutospacing="0" w:line="360" w:lineRule="auto"/>
        <w:rPr>
          <w:rFonts w:hint="eastAsia" w:ascii="宋体" w:hAnsi="宋体"/>
          <w:b/>
          <w:color w:val="auto"/>
          <w:sz w:val="28"/>
          <w:highlight w:val="none"/>
          <w:lang w:val="en-US" w:eastAsia="zh-CN"/>
        </w:rPr>
      </w:pPr>
    </w:p>
    <w:p>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b/>
          <w:bCs/>
          <w:sz w:val="32"/>
          <w:szCs w:val="40"/>
        </w:rPr>
      </w:pPr>
    </w:p>
    <w:p>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b/>
          <w:bCs/>
          <w:sz w:val="32"/>
          <w:szCs w:val="40"/>
        </w:rPr>
      </w:pPr>
    </w:p>
    <w:p>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b/>
          <w:bCs/>
          <w:sz w:val="32"/>
          <w:szCs w:val="40"/>
        </w:rPr>
      </w:pPr>
      <w:r>
        <w:rPr>
          <w:rFonts w:hint="eastAsia"/>
          <w:b/>
          <w:bCs/>
          <w:sz w:val="32"/>
          <w:szCs w:val="40"/>
        </w:rPr>
        <w:t>落实政府采购政策需满足的资格要求所对应的证明材料</w:t>
      </w:r>
    </w:p>
    <w:p>
      <w:pPr>
        <w:pStyle w:val="2"/>
        <w:numPr>
          <w:ilvl w:val="0"/>
          <w:numId w:val="0"/>
        </w:numPr>
        <w:ind w:left="615" w:leftChars="0"/>
        <w:rPr>
          <w:rFonts w:hint="eastAsia"/>
        </w:rPr>
      </w:pPr>
    </w:p>
    <w:p>
      <w:pPr>
        <w:spacing w:line="360" w:lineRule="auto"/>
        <w:ind w:firstLine="480" w:firstLineChars="200"/>
        <w:jc w:val="left"/>
        <w:rPr>
          <w:rFonts w:ascii="宋体" w:hAnsi="宋体" w:cs="宋体"/>
          <w:bCs/>
          <w:sz w:val="24"/>
        </w:rPr>
      </w:pPr>
      <w:r>
        <w:rPr>
          <w:rFonts w:hint="eastAsia" w:ascii="宋体" w:hAnsi="宋体" w:cs="宋体"/>
          <w:bCs/>
          <w:sz w:val="24"/>
          <w:lang w:val="en-US" w:eastAsia="zh-CN"/>
        </w:rPr>
        <w:t>1</w:t>
      </w:r>
      <w:r>
        <w:rPr>
          <w:rFonts w:hint="eastAsia" w:ascii="宋体" w:hAnsi="宋体" w:cs="宋体"/>
          <w:bCs/>
          <w:sz w:val="24"/>
          <w:lang w:eastAsia="zh-CN"/>
        </w:rPr>
        <w:t>、</w:t>
      </w:r>
      <w:r>
        <w:rPr>
          <w:rFonts w:hint="eastAsia" w:ascii="宋体" w:hAnsi="宋体" w:cs="宋体"/>
          <w:bCs/>
          <w:sz w:val="24"/>
        </w:rPr>
        <w:t>中小企业声明函</w:t>
      </w:r>
      <w:r>
        <w:rPr>
          <w:rFonts w:hint="eastAsia" w:ascii="宋体" w:hAnsi="宋体" w:cs="宋体"/>
          <w:bCs/>
          <w:sz w:val="24"/>
          <w:lang w:eastAsia="zh-CN"/>
        </w:rPr>
        <w:t>（必须提供。格式见附件</w:t>
      </w:r>
      <w:r>
        <w:rPr>
          <w:rFonts w:hint="eastAsia" w:ascii="宋体" w:hAnsi="宋体" w:cs="宋体"/>
          <w:bCs/>
          <w:sz w:val="24"/>
          <w:lang w:val="en-US" w:eastAsia="zh-CN"/>
        </w:rPr>
        <w:t>A</w:t>
      </w:r>
      <w:r>
        <w:rPr>
          <w:rFonts w:hint="eastAsia" w:ascii="宋体" w:hAnsi="宋体" w:cs="宋体"/>
          <w:bCs/>
          <w:sz w:val="24"/>
          <w:lang w:eastAsia="zh-CN"/>
        </w:rPr>
        <w:t>）</w:t>
      </w:r>
      <w:r>
        <w:rPr>
          <w:rFonts w:hint="eastAsia" w:ascii="宋体" w:hAnsi="宋体" w:cs="宋体"/>
          <w:bCs/>
          <w:sz w:val="24"/>
        </w:rPr>
        <w:t>；</w:t>
      </w:r>
    </w:p>
    <w:p>
      <w:pPr>
        <w:spacing w:line="360" w:lineRule="auto"/>
        <w:ind w:firstLine="480" w:firstLineChars="200"/>
        <w:jc w:val="left"/>
        <w:rPr>
          <w:rFonts w:ascii="宋体" w:hAnsi="宋体" w:cs="宋体"/>
          <w:bCs/>
          <w:sz w:val="24"/>
        </w:rPr>
      </w:pPr>
      <w:r>
        <w:rPr>
          <w:rFonts w:hint="eastAsia" w:ascii="宋体" w:hAnsi="宋体" w:cs="宋体"/>
          <w:bCs/>
          <w:sz w:val="24"/>
        </w:rPr>
        <w:t xml:space="preserve">中小企业应当按照《政府采购促进中小企业发展管理办法》规定和《中小企业划型标准规定》（工信部联企业〔2011〕300 号），如实填写并提交《中小企业声明函》。 </w:t>
      </w:r>
    </w:p>
    <w:p>
      <w:pPr>
        <w:spacing w:line="360" w:lineRule="auto"/>
        <w:ind w:firstLine="480" w:firstLineChars="200"/>
        <w:jc w:val="left"/>
        <w:rPr>
          <w:rFonts w:ascii="宋体" w:hAnsi="宋体" w:cs="宋体"/>
          <w:bCs/>
          <w:sz w:val="24"/>
        </w:rPr>
      </w:pPr>
      <w:r>
        <w:rPr>
          <w:rFonts w:hint="eastAsia" w:ascii="宋体" w:hAnsi="宋体" w:cs="宋体"/>
          <w:bCs/>
          <w:sz w:val="24"/>
        </w:rPr>
        <w:t xml:space="preserve">中小企业对其声明内容的真实性负责，声明函内容不实的，属于提供虚假材料谋取中标、成交，依照《中华人民共和国政府采购法》等国家有关规定追究相应责任。 </w:t>
      </w:r>
    </w:p>
    <w:p>
      <w:pPr>
        <w:spacing w:line="360" w:lineRule="auto"/>
        <w:ind w:firstLine="480" w:firstLineChars="200"/>
        <w:jc w:val="left"/>
        <w:rPr>
          <w:rFonts w:ascii="宋体" w:hAnsi="宋体" w:cs="宋体"/>
          <w:bCs/>
          <w:sz w:val="24"/>
          <w:lang w:val="zh-CN"/>
        </w:rPr>
      </w:pPr>
      <w:r>
        <w:rPr>
          <w:rFonts w:hint="eastAsia" w:ascii="宋体" w:hAnsi="宋体" w:cs="宋体"/>
          <w:bCs/>
          <w:sz w:val="24"/>
          <w:lang w:val="en-US" w:eastAsia="zh-CN"/>
        </w:rPr>
        <w:t>2</w:t>
      </w:r>
      <w:r>
        <w:rPr>
          <w:rFonts w:hint="eastAsia" w:ascii="宋体" w:hAnsi="宋体" w:cs="宋体"/>
          <w:bCs/>
          <w:sz w:val="24"/>
          <w:lang w:eastAsia="zh-CN"/>
        </w:rPr>
        <w:t>、</w:t>
      </w:r>
      <w:r>
        <w:rPr>
          <w:rFonts w:hint="eastAsia" w:ascii="宋体" w:hAnsi="宋体" w:cs="宋体"/>
          <w:bCs/>
          <w:sz w:val="24"/>
        </w:rPr>
        <w:t>投标人为监狱企业的证明文件：省级以上监狱管理局、戒毒管理局（含新疆生产建设兵团）出具。（如是</w:t>
      </w:r>
      <w:r>
        <w:rPr>
          <w:rFonts w:hint="eastAsia" w:ascii="宋体" w:hAnsi="宋体" w:cs="宋体"/>
          <w:bCs/>
          <w:sz w:val="24"/>
          <w:lang w:eastAsia="zh-CN"/>
        </w:rPr>
        <w:t>需提供证明文件</w:t>
      </w:r>
      <w:r>
        <w:rPr>
          <w:rFonts w:hint="eastAsia" w:ascii="宋体" w:hAnsi="宋体" w:cs="宋体"/>
          <w:bCs/>
          <w:sz w:val="24"/>
        </w:rPr>
        <w:t>）</w:t>
      </w:r>
      <w:r>
        <w:rPr>
          <w:rFonts w:hint="eastAsia" w:ascii="宋体" w:hAnsi="宋体" w:cs="宋体"/>
          <w:bCs/>
          <w:sz w:val="24"/>
          <w:lang w:val="zh-CN"/>
        </w:rPr>
        <w:t>。</w:t>
      </w:r>
    </w:p>
    <w:p>
      <w:pPr>
        <w:spacing w:line="360" w:lineRule="auto"/>
        <w:ind w:firstLine="480" w:firstLineChars="200"/>
        <w:jc w:val="left"/>
        <w:rPr>
          <w:rFonts w:ascii="宋体" w:hAnsi="宋体" w:cs="宋体"/>
          <w:bCs/>
          <w:sz w:val="24"/>
        </w:rPr>
      </w:pPr>
      <w:r>
        <w:rPr>
          <w:rFonts w:hint="eastAsia" w:ascii="宋体" w:hAnsi="宋体" w:cs="宋体"/>
          <w:bCs/>
          <w:sz w:val="24"/>
          <w:lang w:val="en-US" w:eastAsia="zh-CN"/>
        </w:rPr>
        <w:t>3</w:t>
      </w:r>
      <w:r>
        <w:rPr>
          <w:rFonts w:hint="eastAsia" w:ascii="宋体" w:hAnsi="宋体" w:cs="宋体"/>
          <w:bCs/>
          <w:sz w:val="24"/>
          <w:lang w:eastAsia="zh-CN"/>
        </w:rPr>
        <w:t>、</w:t>
      </w:r>
      <w:r>
        <w:rPr>
          <w:rFonts w:hint="eastAsia" w:ascii="宋体" w:hAnsi="宋体" w:cs="宋体"/>
          <w:bCs/>
          <w:sz w:val="24"/>
        </w:rPr>
        <w:t>投标人如符合《财政部、民政部、中国残疾人联合会关于促进残疾人就业政府采购政策的通知》 （财库〔2017〕141 号）政策规定的，须提供《残疾人福利性单位声明函》；（如是</w:t>
      </w:r>
      <w:r>
        <w:rPr>
          <w:rFonts w:hint="eastAsia" w:ascii="宋体" w:hAnsi="宋体" w:cs="宋体"/>
          <w:bCs/>
          <w:sz w:val="24"/>
          <w:lang w:eastAsia="zh-CN"/>
        </w:rPr>
        <w:t>需提供，格式见附件</w:t>
      </w:r>
      <w:r>
        <w:rPr>
          <w:rFonts w:hint="eastAsia" w:ascii="宋体" w:hAnsi="宋体" w:cs="宋体"/>
          <w:bCs/>
          <w:sz w:val="24"/>
          <w:lang w:val="en-US" w:eastAsia="zh-CN"/>
        </w:rPr>
        <w:t>B</w:t>
      </w:r>
      <w:r>
        <w:rPr>
          <w:rFonts w:hint="eastAsia" w:ascii="宋体" w:hAnsi="宋体" w:cs="宋体"/>
          <w:bCs/>
          <w:sz w:val="24"/>
          <w:lang w:eastAsia="zh-CN"/>
        </w:rPr>
        <w:t>）</w:t>
      </w:r>
      <w:r>
        <w:rPr>
          <w:rFonts w:hint="eastAsia" w:ascii="宋体" w:hAnsi="宋体" w:cs="宋体"/>
          <w:bCs/>
          <w:sz w:val="24"/>
        </w:rPr>
        <w:t>）</w:t>
      </w:r>
    </w:p>
    <w:p>
      <w:pPr>
        <w:rPr>
          <w:rFonts w:hint="eastAsia"/>
        </w:rPr>
      </w:pPr>
    </w:p>
    <w:p>
      <w:pPr>
        <w:rPr>
          <w:rFonts w:hint="eastAsia"/>
        </w:rPr>
      </w:pPr>
    </w:p>
    <w:p>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sz w:val="28"/>
          <w:szCs w:val="36"/>
        </w:rPr>
      </w:pPr>
    </w:p>
    <w:p>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sz w:val="28"/>
          <w:szCs w:val="36"/>
        </w:rPr>
      </w:pPr>
    </w:p>
    <w:p>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sz w:val="28"/>
          <w:szCs w:val="36"/>
        </w:rPr>
      </w:pPr>
    </w:p>
    <w:p>
      <w:pPr>
        <w:snapToGrid w:val="0"/>
        <w:spacing w:line="360" w:lineRule="auto"/>
        <w:rPr>
          <w:rFonts w:hint="eastAsia" w:ascii="宋体" w:hAnsi="宋体" w:eastAsia="宋体" w:cs="宋体"/>
          <w:b/>
          <w:bCs/>
          <w:color w:val="auto"/>
          <w:sz w:val="28"/>
          <w:szCs w:val="28"/>
          <w:highlight w:val="none"/>
        </w:rPr>
      </w:pPr>
    </w:p>
    <w:p>
      <w:pPr>
        <w:snapToGrid w:val="0"/>
        <w:spacing w:line="360" w:lineRule="auto"/>
        <w:rPr>
          <w:rFonts w:hint="eastAsia" w:ascii="宋体" w:hAnsi="宋体" w:eastAsia="宋体" w:cs="宋体"/>
          <w:b/>
          <w:bCs/>
          <w:color w:val="auto"/>
          <w:sz w:val="28"/>
          <w:szCs w:val="28"/>
          <w:highlight w:val="none"/>
        </w:rPr>
      </w:pPr>
    </w:p>
    <w:p>
      <w:pPr>
        <w:snapToGrid w:val="0"/>
        <w:spacing w:line="360" w:lineRule="auto"/>
        <w:rPr>
          <w:rFonts w:hint="eastAsia" w:ascii="宋体" w:hAnsi="宋体" w:eastAsia="宋体" w:cs="宋体"/>
          <w:b/>
          <w:bCs/>
          <w:color w:val="auto"/>
          <w:sz w:val="28"/>
          <w:szCs w:val="28"/>
          <w:highlight w:val="none"/>
        </w:rPr>
      </w:pPr>
    </w:p>
    <w:p>
      <w:pPr>
        <w:snapToGrid w:val="0"/>
        <w:spacing w:line="360" w:lineRule="auto"/>
        <w:rPr>
          <w:rFonts w:hint="eastAsia" w:ascii="宋体" w:hAnsi="宋体" w:eastAsia="宋体" w:cs="宋体"/>
          <w:b/>
          <w:bCs/>
          <w:color w:val="auto"/>
          <w:sz w:val="28"/>
          <w:szCs w:val="28"/>
          <w:highlight w:val="none"/>
        </w:rPr>
      </w:pPr>
    </w:p>
    <w:p>
      <w:pPr>
        <w:snapToGrid w:val="0"/>
        <w:spacing w:line="360" w:lineRule="auto"/>
        <w:rPr>
          <w:rFonts w:hint="eastAsia" w:ascii="宋体" w:hAnsi="宋体" w:eastAsia="宋体" w:cs="宋体"/>
          <w:b/>
          <w:bCs/>
          <w:color w:val="auto"/>
          <w:sz w:val="28"/>
          <w:szCs w:val="28"/>
          <w:highlight w:val="none"/>
        </w:rPr>
      </w:pPr>
    </w:p>
    <w:p>
      <w:pPr>
        <w:snapToGrid w:val="0"/>
        <w:spacing w:line="360" w:lineRule="auto"/>
        <w:rPr>
          <w:rFonts w:hint="eastAsia" w:ascii="宋体" w:hAnsi="宋体" w:eastAsia="宋体" w:cs="宋体"/>
          <w:b/>
          <w:bCs/>
          <w:color w:val="auto"/>
          <w:sz w:val="28"/>
          <w:szCs w:val="28"/>
          <w:highlight w:val="none"/>
        </w:rPr>
      </w:pPr>
    </w:p>
    <w:p>
      <w:pPr>
        <w:snapToGrid w:val="0"/>
        <w:spacing w:line="360" w:lineRule="auto"/>
        <w:rPr>
          <w:rFonts w:hint="eastAsia" w:ascii="宋体" w:hAnsi="宋体" w:eastAsia="宋体" w:cs="宋体"/>
          <w:b/>
          <w:bCs/>
          <w:color w:val="auto"/>
          <w:sz w:val="28"/>
          <w:szCs w:val="28"/>
          <w:highlight w:val="none"/>
        </w:rPr>
      </w:pPr>
    </w:p>
    <w:p>
      <w:pPr>
        <w:snapToGrid w:val="0"/>
        <w:spacing w:line="360" w:lineRule="auto"/>
        <w:rPr>
          <w:rFonts w:hint="eastAsia" w:ascii="宋体" w:hAnsi="宋体" w:eastAsia="宋体" w:cs="宋体"/>
          <w:b/>
          <w:bCs/>
          <w:color w:val="auto"/>
          <w:sz w:val="28"/>
          <w:szCs w:val="28"/>
          <w:highlight w:val="none"/>
        </w:rPr>
      </w:pPr>
    </w:p>
    <w:p>
      <w:pPr>
        <w:snapToGrid w:val="0"/>
        <w:spacing w:line="360" w:lineRule="auto"/>
        <w:rPr>
          <w:rFonts w:hint="eastAsia" w:ascii="宋体" w:hAnsi="宋体" w:eastAsia="宋体" w:cs="宋体"/>
          <w:b/>
          <w:bCs/>
          <w:color w:val="auto"/>
          <w:sz w:val="28"/>
          <w:szCs w:val="28"/>
          <w:highlight w:val="none"/>
        </w:rPr>
      </w:pPr>
    </w:p>
    <w:p>
      <w:pPr>
        <w:snapToGrid w:val="0"/>
        <w:spacing w:line="360" w:lineRule="auto"/>
        <w:rPr>
          <w:rFonts w:hint="eastAsia" w:ascii="宋体" w:hAnsi="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附件</w:t>
      </w:r>
      <w:r>
        <w:rPr>
          <w:rFonts w:hint="eastAsia" w:ascii="宋体" w:hAnsi="宋体" w:cs="宋体"/>
          <w:b/>
          <w:bCs/>
          <w:color w:val="auto"/>
          <w:sz w:val="28"/>
          <w:szCs w:val="28"/>
          <w:highlight w:val="none"/>
          <w:lang w:val="en-US" w:eastAsia="zh-CN"/>
        </w:rPr>
        <w:t>A：</w:t>
      </w:r>
    </w:p>
    <w:p>
      <w:pPr>
        <w:snapToGrid w:val="0"/>
        <w:spacing w:before="50" w:after="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w:t>
      </w:r>
      <w:r>
        <w:rPr>
          <w:rFonts w:hint="eastAsia" w:ascii="宋体" w:hAnsi="宋体" w:cs="宋体"/>
          <w:b/>
          <w:color w:val="auto"/>
          <w:sz w:val="32"/>
          <w:szCs w:val="32"/>
          <w:highlight w:val="none"/>
          <w:lang w:eastAsia="zh-CN"/>
        </w:rPr>
        <w:t>货物类</w:t>
      </w:r>
      <w:r>
        <w:rPr>
          <w:rFonts w:hint="eastAsia" w:ascii="宋体" w:hAnsi="宋体" w:eastAsia="宋体" w:cs="宋体"/>
          <w:b/>
          <w:color w:val="auto"/>
          <w:sz w:val="32"/>
          <w:szCs w:val="32"/>
          <w:highlight w:val="none"/>
        </w:rPr>
        <w:t>）</w:t>
      </w:r>
    </w:p>
    <w:p>
      <w:pPr>
        <w:snapToGrid w:val="0"/>
        <w:spacing w:line="312"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560" w:lineRule="exact"/>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w:t>
      </w:r>
      <w:r>
        <w:rPr>
          <w:rFonts w:hint="eastAsia" w:ascii="宋体" w:hAnsi="宋体" w:eastAsia="宋体" w:cs="宋体"/>
          <w:color w:val="auto"/>
          <w:sz w:val="24"/>
          <w:szCs w:val="24"/>
          <w:highlight w:val="none"/>
          <w:lang w:eastAsia="zh-CN"/>
        </w:rPr>
        <w:t>（联合体）</w:t>
      </w:r>
      <w:r>
        <w:rPr>
          <w:rFonts w:hint="eastAsia" w:ascii="宋体" w:hAnsi="宋体" w:eastAsia="宋体" w:cs="宋体"/>
          <w:color w:val="auto"/>
          <w:sz w:val="24"/>
          <w:szCs w:val="24"/>
          <w:highlight w:val="none"/>
        </w:rPr>
        <w:t>郑重声明，根据《政府采购促进中小企业发展</w:t>
      </w:r>
      <w:r>
        <w:rPr>
          <w:rFonts w:hint="eastAsia" w:ascii="宋体" w:hAnsi="宋体" w:eastAsia="宋体" w:cs="宋体"/>
          <w:color w:val="auto"/>
          <w:sz w:val="24"/>
          <w:szCs w:val="24"/>
          <w:highlight w:val="none"/>
          <w:lang w:eastAsia="zh-CN"/>
        </w:rPr>
        <w:t>管理</w:t>
      </w:r>
      <w:r>
        <w:rPr>
          <w:rFonts w:hint="eastAsia" w:ascii="宋体" w:hAnsi="宋体" w:eastAsia="宋体" w:cs="宋体"/>
          <w:color w:val="auto"/>
          <w:sz w:val="24"/>
          <w:szCs w:val="24"/>
          <w:highlight w:val="none"/>
        </w:rPr>
        <w:t>办法》（财库［2020］46号）的规定，本公司</w:t>
      </w:r>
      <w:r>
        <w:rPr>
          <w:rFonts w:hint="eastAsia" w:ascii="宋体" w:hAnsi="宋体" w:eastAsia="宋体" w:cs="宋体"/>
          <w:color w:val="auto"/>
          <w:sz w:val="24"/>
          <w:szCs w:val="24"/>
          <w:highlight w:val="none"/>
          <w:lang w:eastAsia="zh-CN"/>
        </w:rPr>
        <w:t>（联合体）参加</w:t>
      </w:r>
      <w:r>
        <w:rPr>
          <w:rFonts w:hint="eastAsia" w:ascii="宋体" w:hAnsi="宋体" w:cs="宋体"/>
          <w:color w:val="auto"/>
          <w:sz w:val="24"/>
          <w:szCs w:val="24"/>
          <w:highlight w:val="none"/>
          <w:u w:val="single"/>
          <w:lang w:val="en-US" w:eastAsia="zh-CN"/>
        </w:rPr>
        <w:t xml:space="preserve"> 台州市路桥区教育局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2023-2025年路桥区地方教材及配套作业本采购</w:t>
      </w:r>
      <w:r>
        <w:rPr>
          <w:rFonts w:hint="eastAsia" w:ascii="宋体" w:hAnsi="宋体" w:eastAsia="宋体" w:cs="宋体"/>
          <w:color w:val="auto"/>
          <w:sz w:val="24"/>
          <w:szCs w:val="24"/>
          <w:highlight w:val="none"/>
          <w:lang w:eastAsia="zh-CN"/>
        </w:rPr>
        <w:t>）采购活动，</w:t>
      </w:r>
      <w:r>
        <w:rPr>
          <w:rFonts w:hint="eastAsia" w:ascii="宋体" w:hAnsi="宋体" w:eastAsia="宋体" w:cs="宋体"/>
          <w:b/>
          <w:bCs/>
          <w:color w:val="auto"/>
          <w:sz w:val="24"/>
          <w:szCs w:val="24"/>
          <w:highlight w:val="none"/>
          <w:lang w:eastAsia="zh-CN"/>
        </w:rPr>
        <w:t>提供的货物全部由符合政策要求的中小企业制造</w:t>
      </w:r>
      <w:r>
        <w:rPr>
          <w:rFonts w:hint="eastAsia" w:ascii="宋体" w:hAnsi="宋体" w:eastAsia="宋体" w:cs="宋体"/>
          <w:color w:val="auto"/>
          <w:sz w:val="24"/>
          <w:szCs w:val="24"/>
          <w:highlight w:val="none"/>
          <w:lang w:eastAsia="zh-CN"/>
        </w:rPr>
        <w:t>。相关企业（含联合体中的中小企业、签订分包意向协议的中小企业）的具体情况如下：</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5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0000FF"/>
          <w:sz w:val="24"/>
          <w:szCs w:val="24"/>
          <w:highlight w:val="none"/>
          <w:u w:val="single"/>
          <w:lang w:eastAsia="zh-CN"/>
        </w:rPr>
        <w:t>标的名称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lang w:eastAsia="zh-CN"/>
        </w:rPr>
        <w:t>，属于</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0000FF"/>
          <w:sz w:val="24"/>
          <w:szCs w:val="24"/>
          <w:highlight w:val="none"/>
          <w:u w:val="single"/>
          <w:lang w:val="en-US" w:eastAsia="zh-CN"/>
        </w:rPr>
        <w:t>（</w:t>
      </w:r>
      <w:r>
        <w:rPr>
          <w:rFonts w:hint="eastAsia" w:ascii="宋体" w:hAnsi="宋体" w:eastAsia="宋体" w:cs="宋体"/>
          <w:color w:val="0000FF"/>
          <w:sz w:val="24"/>
          <w:szCs w:val="24"/>
          <w:highlight w:val="none"/>
          <w:u w:val="single"/>
        </w:rPr>
        <w:t>招标文件中明确的所属行业）</w:t>
      </w:r>
      <w:r>
        <w:rPr>
          <w:rFonts w:hint="eastAsia" w:ascii="宋体" w:hAnsi="宋体" w:eastAsia="宋体" w:cs="宋体"/>
          <w:color w:val="auto"/>
          <w:sz w:val="24"/>
          <w:szCs w:val="24"/>
          <w:highlight w:val="none"/>
        </w:rPr>
        <w:t>行业</w:t>
      </w:r>
      <w:r>
        <w:rPr>
          <w:rFonts w:hint="eastAsia" w:ascii="宋体" w:hAnsi="宋体" w:eastAsia="宋体" w:cs="宋体"/>
          <w:color w:val="auto"/>
          <w:sz w:val="24"/>
          <w:szCs w:val="24"/>
          <w:highlight w:val="none"/>
          <w:lang w:eastAsia="zh-CN"/>
        </w:rPr>
        <w:t>，制造商为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0000FF"/>
          <w:sz w:val="24"/>
          <w:szCs w:val="24"/>
          <w:highlight w:val="none"/>
          <w:u w:val="single"/>
          <w:lang w:val="en-US" w:eastAsia="zh-CN"/>
        </w:rPr>
        <w:t>（</w:t>
      </w:r>
      <w:r>
        <w:rPr>
          <w:rFonts w:hint="eastAsia" w:ascii="宋体" w:hAnsi="宋体" w:eastAsia="宋体" w:cs="宋体"/>
          <w:color w:val="0000FF"/>
          <w:sz w:val="24"/>
          <w:szCs w:val="24"/>
          <w:highlight w:val="none"/>
          <w:u w:val="single"/>
          <w:lang w:eastAsia="zh-CN"/>
        </w:rPr>
        <w:t>企业名称）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营业收入</w:t>
      </w:r>
      <w:r>
        <w:rPr>
          <w:rFonts w:hint="eastAsia" w:ascii="宋体" w:hAnsi="宋体" w:eastAsia="宋体" w:cs="宋体"/>
          <w:color w:val="auto"/>
          <w:sz w:val="24"/>
          <w:szCs w:val="24"/>
          <w:highlight w:val="none"/>
          <w:lang w:eastAsia="zh-CN"/>
        </w:rPr>
        <w:t>为</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资产总额</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eastAsia="zh-CN"/>
        </w:rPr>
        <w:t>，属于</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0000FF"/>
          <w:sz w:val="24"/>
          <w:szCs w:val="24"/>
          <w:highlight w:val="none"/>
          <w:u w:val="single"/>
          <w:lang w:eastAsia="zh-CN"/>
        </w:rPr>
        <w:t>（中型企业、</w:t>
      </w:r>
      <w:r>
        <w:rPr>
          <w:rFonts w:hint="eastAsia" w:ascii="宋体" w:hAnsi="宋体" w:eastAsia="宋体" w:cs="宋体"/>
          <w:color w:val="0000FF"/>
          <w:sz w:val="24"/>
          <w:szCs w:val="24"/>
          <w:highlight w:val="none"/>
          <w:u w:val="single"/>
        </w:rPr>
        <w:t>小型</w:t>
      </w:r>
      <w:r>
        <w:rPr>
          <w:rFonts w:hint="eastAsia" w:ascii="宋体" w:hAnsi="宋体" w:eastAsia="宋体" w:cs="宋体"/>
          <w:color w:val="0000FF"/>
          <w:sz w:val="24"/>
          <w:szCs w:val="24"/>
          <w:highlight w:val="none"/>
          <w:u w:val="single"/>
          <w:lang w:eastAsia="zh-CN"/>
        </w:rPr>
        <w:t>企业</w:t>
      </w:r>
      <w:r>
        <w:rPr>
          <w:rFonts w:hint="eastAsia" w:ascii="宋体" w:hAnsi="宋体" w:eastAsia="宋体" w:cs="宋体"/>
          <w:color w:val="0000FF"/>
          <w:sz w:val="24"/>
          <w:szCs w:val="24"/>
          <w:highlight w:val="none"/>
          <w:u w:val="single"/>
        </w:rPr>
        <w:t>、微型</w:t>
      </w:r>
      <w:r>
        <w:rPr>
          <w:rFonts w:hint="eastAsia" w:ascii="宋体" w:hAnsi="宋体" w:eastAsia="宋体" w:cs="宋体"/>
          <w:color w:val="0000FF"/>
          <w:sz w:val="24"/>
          <w:szCs w:val="24"/>
          <w:highlight w:val="none"/>
          <w:u w:val="single"/>
          <w:lang w:eastAsia="zh-CN"/>
        </w:rPr>
        <w:t>企业</w:t>
      </w:r>
      <w:r>
        <w:rPr>
          <w:rFonts w:hint="eastAsia" w:ascii="宋体" w:hAnsi="宋体" w:eastAsia="宋体" w:cs="宋体"/>
          <w:color w:val="0000FF"/>
          <w:sz w:val="24"/>
          <w:szCs w:val="24"/>
          <w:highlight w:val="none"/>
          <w:u w:val="single"/>
        </w:rPr>
        <w:t>）</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5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u w:val="single"/>
          <w:lang w:eastAsia="zh-CN"/>
        </w:rPr>
        <w:t>（标的名称）</w:t>
      </w:r>
      <w:r>
        <w:rPr>
          <w:rFonts w:hint="eastAsia" w:ascii="宋体" w:hAnsi="宋体" w:eastAsia="宋体" w:cs="宋体"/>
          <w:color w:val="auto"/>
          <w:sz w:val="24"/>
          <w:szCs w:val="24"/>
          <w:highlight w:val="none"/>
          <w:lang w:eastAsia="zh-CN"/>
        </w:rPr>
        <w:t>，属于</w:t>
      </w:r>
      <w:r>
        <w:rPr>
          <w:rFonts w:hint="eastAsia" w:ascii="宋体" w:hAnsi="宋体" w:eastAsia="宋体" w:cs="宋体"/>
          <w:color w:val="auto"/>
          <w:sz w:val="24"/>
          <w:szCs w:val="24"/>
          <w:highlight w:val="none"/>
          <w:u w:val="single"/>
        </w:rPr>
        <w:t>（招标文件中明确的所属行业）</w:t>
      </w:r>
      <w:r>
        <w:rPr>
          <w:rFonts w:hint="eastAsia" w:ascii="宋体" w:hAnsi="宋体" w:eastAsia="宋体" w:cs="宋体"/>
          <w:color w:val="auto"/>
          <w:sz w:val="24"/>
          <w:szCs w:val="24"/>
          <w:highlight w:val="none"/>
        </w:rPr>
        <w:t>行业</w:t>
      </w:r>
      <w:r>
        <w:rPr>
          <w:rFonts w:hint="eastAsia" w:ascii="宋体" w:hAnsi="宋体" w:eastAsia="宋体" w:cs="宋体"/>
          <w:color w:val="auto"/>
          <w:sz w:val="24"/>
          <w:szCs w:val="24"/>
          <w:highlight w:val="none"/>
          <w:lang w:eastAsia="zh-CN"/>
        </w:rPr>
        <w:t>，制造商为</w:t>
      </w:r>
      <w:r>
        <w:rPr>
          <w:rFonts w:hint="eastAsia" w:ascii="宋体" w:hAnsi="宋体" w:eastAsia="宋体" w:cs="宋体"/>
          <w:color w:val="auto"/>
          <w:sz w:val="24"/>
          <w:szCs w:val="24"/>
          <w:highlight w:val="none"/>
          <w:u w:val="single"/>
          <w:lang w:eastAsia="zh-CN"/>
        </w:rPr>
        <w:t>（企业名称）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营业收入</w:t>
      </w:r>
      <w:r>
        <w:rPr>
          <w:rFonts w:hint="eastAsia" w:ascii="宋体" w:hAnsi="宋体" w:eastAsia="宋体" w:cs="宋体"/>
          <w:color w:val="auto"/>
          <w:sz w:val="24"/>
          <w:szCs w:val="24"/>
          <w:highlight w:val="none"/>
          <w:lang w:eastAsia="zh-CN"/>
        </w:rPr>
        <w:t>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资产总额</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eastAsia="zh-CN"/>
        </w:rPr>
        <w:t>，属于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（中型企业、</w:t>
      </w:r>
      <w:r>
        <w:rPr>
          <w:rFonts w:hint="eastAsia" w:ascii="宋体" w:hAnsi="宋体" w:eastAsia="宋体" w:cs="宋体"/>
          <w:color w:val="auto"/>
          <w:sz w:val="24"/>
          <w:szCs w:val="24"/>
          <w:highlight w:val="none"/>
          <w:u w:val="single"/>
        </w:rPr>
        <w:t>小型</w:t>
      </w:r>
      <w:r>
        <w:rPr>
          <w:rFonts w:hint="eastAsia" w:ascii="宋体" w:hAnsi="宋体" w:eastAsia="宋体" w:cs="宋体"/>
          <w:color w:val="auto"/>
          <w:sz w:val="24"/>
          <w:szCs w:val="24"/>
          <w:highlight w:val="none"/>
          <w:u w:val="single"/>
          <w:lang w:eastAsia="zh-CN"/>
        </w:rPr>
        <w:t>企业</w:t>
      </w:r>
      <w:r>
        <w:rPr>
          <w:rFonts w:hint="eastAsia" w:ascii="宋体" w:hAnsi="宋体" w:eastAsia="宋体" w:cs="宋体"/>
          <w:color w:val="auto"/>
          <w:sz w:val="24"/>
          <w:szCs w:val="24"/>
          <w:highlight w:val="none"/>
          <w:u w:val="single"/>
        </w:rPr>
        <w:t>、微型</w:t>
      </w:r>
      <w:r>
        <w:rPr>
          <w:rFonts w:hint="eastAsia" w:ascii="宋体" w:hAnsi="宋体" w:eastAsia="宋体" w:cs="宋体"/>
          <w:color w:val="auto"/>
          <w:sz w:val="24"/>
          <w:szCs w:val="24"/>
          <w:highlight w:val="none"/>
          <w:u w:val="single"/>
          <w:lang w:eastAsia="zh-CN"/>
        </w:rPr>
        <w:t>企业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pPr>
        <w:ind w:left="420"/>
        <w:rPr>
          <w:rFonts w:hint="eastAsia" w:ascii="宋体" w:hAnsi="宋体"/>
          <w:b/>
          <w:bCs/>
          <w:color w:val="auto"/>
          <w:sz w:val="21"/>
          <w:szCs w:val="21"/>
          <w:highlight w:val="none"/>
          <w:lang w:eastAsia="zh-CN"/>
        </w:rPr>
      </w:pPr>
    </w:p>
    <w:p>
      <w:pPr>
        <w:ind w:left="420"/>
        <w:rPr>
          <w:rFonts w:hint="eastAsia" w:ascii="宋体" w:hAnsi="宋体"/>
          <w:color w:val="auto"/>
          <w:sz w:val="24"/>
          <w:szCs w:val="24"/>
          <w:highlight w:val="none"/>
        </w:rPr>
      </w:pPr>
      <w:r>
        <w:rPr>
          <w:rFonts w:hint="eastAsia" w:ascii="宋体" w:hAnsi="宋体"/>
          <w:b/>
          <w:bCs/>
          <w:color w:val="auto"/>
          <w:sz w:val="21"/>
          <w:szCs w:val="21"/>
          <w:highlight w:val="none"/>
          <w:lang w:eastAsia="zh-CN"/>
        </w:rPr>
        <w:t>注：</w:t>
      </w:r>
      <w:r>
        <w:rPr>
          <w:rFonts w:hint="eastAsia" w:ascii="宋体" w:hAnsi="宋体" w:eastAsia="宋体" w:cs="宋体"/>
          <w:b/>
          <w:bCs/>
          <w:color w:val="auto"/>
          <w:sz w:val="21"/>
          <w:szCs w:val="21"/>
          <w:highlight w:val="none"/>
        </w:rPr>
        <w:t>从业人员、营业收入、资产总额填报上一年度数据，无上一年度数据的新成立企业可不填报。</w:t>
      </w:r>
      <w:r>
        <w:rPr>
          <w:rFonts w:hint="eastAsia" w:ascii="宋体" w:hAnsi="宋体" w:eastAsia="宋体" w:cs="宋体"/>
          <w:b/>
          <w:bCs/>
          <w:color w:val="auto"/>
          <w:sz w:val="21"/>
          <w:szCs w:val="21"/>
          <w:highlight w:val="none"/>
          <w:lang w:eastAsia="zh-CN"/>
        </w:rPr>
        <w:t>非</w:t>
      </w:r>
      <w:r>
        <w:rPr>
          <w:rFonts w:hint="eastAsia" w:ascii="宋体" w:hAnsi="宋体" w:eastAsia="宋体" w:cs="宋体"/>
          <w:b/>
          <w:bCs/>
          <w:color w:val="auto"/>
          <w:sz w:val="21"/>
          <w:szCs w:val="21"/>
          <w:highlight w:val="none"/>
          <w:lang w:val="en-GB" w:eastAsia="zh-CN"/>
        </w:rPr>
        <w:t>中小企业无需提供此声明函。</w:t>
      </w:r>
    </w:p>
    <w:p>
      <w:pPr>
        <w:ind w:left="420"/>
        <w:rPr>
          <w:rFonts w:hint="eastAsia" w:ascii="宋体" w:hAnsi="宋体"/>
          <w:color w:val="auto"/>
          <w:sz w:val="24"/>
          <w:szCs w:val="24"/>
          <w:highlight w:val="none"/>
        </w:rPr>
      </w:pPr>
    </w:p>
    <w:p>
      <w:pPr>
        <w:ind w:left="420"/>
        <w:rPr>
          <w:rFonts w:hint="eastAsia" w:ascii="宋体" w:hAnsi="宋体"/>
          <w:color w:val="auto"/>
          <w:sz w:val="24"/>
          <w:szCs w:val="24"/>
          <w:highlight w:val="none"/>
        </w:rPr>
      </w:pP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企业名称（盖章）：</w:t>
      </w:r>
    </w:p>
    <w:p>
      <w:pPr>
        <w:spacing w:line="360" w:lineRule="auto"/>
        <w:jc w:val="left"/>
        <w:rPr>
          <w:rFonts w:hint="eastAsia" w:ascii="宋体" w:hAnsi="宋体"/>
          <w:b w:val="0"/>
          <w:bCs/>
          <w:color w:val="auto"/>
          <w:sz w:val="24"/>
          <w:szCs w:val="24"/>
          <w:highlight w:val="none"/>
          <w:lang w:val="en-US" w:eastAsia="zh-CN"/>
        </w:rPr>
      </w:pP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日 期：</w:t>
      </w:r>
      <w:r>
        <w:rPr>
          <w:rFonts w:hint="eastAsia" w:ascii="宋体" w:hAnsi="宋体" w:cs="仿宋_GB2312"/>
          <w:color w:val="auto"/>
          <w:sz w:val="24"/>
          <w:highlight w:val="none"/>
          <w:lang w:eastAsia="zh-CN"/>
        </w:rPr>
        <w:t>2023</w:t>
      </w:r>
      <w:r>
        <w:rPr>
          <w:rFonts w:hint="eastAsia" w:ascii="宋体" w:hAnsi="宋体" w:cs="仿宋_GB2312"/>
          <w:color w:val="auto"/>
          <w:sz w:val="24"/>
          <w:highlight w:val="none"/>
          <w:lang w:val="zh-CN"/>
        </w:rPr>
        <w:t>年  月   日</w:t>
      </w: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80" w:lineRule="exact"/>
        <w:rPr>
          <w:rFonts w:hint="eastAsia" w:ascii="宋体" w:hAnsi="宋体"/>
          <w:b/>
          <w:color w:val="auto"/>
          <w:sz w:val="28"/>
          <w:highlight w:val="none"/>
        </w:rPr>
      </w:pPr>
    </w:p>
    <w:p>
      <w:pPr>
        <w:spacing w:line="380" w:lineRule="exact"/>
        <w:rPr>
          <w:rFonts w:hint="default" w:ascii="仿宋_GB2312" w:hAnsi="宋体" w:eastAsia="宋体"/>
          <w:bCs/>
          <w:color w:val="auto"/>
          <w:sz w:val="30"/>
          <w:szCs w:val="30"/>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B：</w:t>
      </w:r>
    </w:p>
    <w:p>
      <w:pPr>
        <w:pStyle w:val="19"/>
        <w:spacing w:line="360" w:lineRule="auto"/>
        <w:jc w:val="center"/>
        <w:outlineLvl w:val="1"/>
        <w:rPr>
          <w:rFonts w:hAnsi="宋体"/>
          <w:b/>
          <w:color w:val="auto"/>
          <w:sz w:val="32"/>
          <w:szCs w:val="32"/>
          <w:highlight w:val="none"/>
          <w:lang w:val="en-GB"/>
        </w:rPr>
      </w:pPr>
    </w:p>
    <w:p>
      <w:pPr>
        <w:pStyle w:val="19"/>
        <w:spacing w:line="360" w:lineRule="auto"/>
        <w:jc w:val="center"/>
        <w:outlineLvl w:val="1"/>
        <w:rPr>
          <w:rFonts w:hAnsi="宋体"/>
          <w:b/>
          <w:color w:val="auto"/>
          <w:sz w:val="32"/>
          <w:szCs w:val="32"/>
          <w:highlight w:val="none"/>
          <w:lang w:val="en-GB"/>
        </w:rPr>
      </w:pPr>
      <w:r>
        <w:rPr>
          <w:rFonts w:hint="eastAsia" w:hAnsi="宋体"/>
          <w:b/>
          <w:color w:val="auto"/>
          <w:sz w:val="32"/>
          <w:szCs w:val="32"/>
          <w:highlight w:val="none"/>
          <w:lang w:val="en-GB"/>
        </w:rPr>
        <w:t>残疾人福利性单位声明函</w:t>
      </w: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olor w:val="auto"/>
          <w:spacing w:val="6"/>
          <w:sz w:val="24"/>
          <w:highlight w:val="none"/>
          <w:u w:val="single"/>
          <w:lang w:val="en-US" w:eastAsia="zh-CN"/>
        </w:rPr>
        <w:t xml:space="preserve">                  </w:t>
      </w:r>
      <w:r>
        <w:rPr>
          <w:rFonts w:hint="eastAsia" w:ascii="宋体" w:hAnsi="宋体"/>
          <w:color w:val="auto"/>
          <w:spacing w:val="6"/>
          <w:sz w:val="24"/>
          <w:highlight w:val="none"/>
        </w:rPr>
        <w:t>的</w:t>
      </w:r>
      <w:r>
        <w:rPr>
          <w:rFonts w:hint="eastAsia" w:ascii="宋体" w:hAnsi="宋体"/>
          <w:color w:val="auto"/>
          <w:spacing w:val="6"/>
          <w:sz w:val="24"/>
          <w:highlight w:val="none"/>
          <w:u w:val="single"/>
          <w:lang w:val="en-US" w:eastAsia="zh-CN"/>
        </w:rPr>
        <w:t xml:space="preserve">                  </w:t>
      </w:r>
      <w:r>
        <w:rPr>
          <w:rFonts w:hint="eastAsia" w:ascii="宋体" w:hAnsi="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tabs>
          <w:tab w:val="left" w:pos="4860"/>
        </w:tabs>
        <w:spacing w:line="588" w:lineRule="exact"/>
        <w:ind w:right="1560" w:firstLine="504" w:firstLineChars="200"/>
        <w:jc w:val="center"/>
        <w:rPr>
          <w:rFonts w:ascii="宋体" w:hAnsi="宋体"/>
          <w:color w:val="auto"/>
          <w:spacing w:val="6"/>
          <w:sz w:val="24"/>
          <w:highlight w:val="none"/>
        </w:rPr>
      </w:pPr>
    </w:p>
    <w:p>
      <w:pPr>
        <w:tabs>
          <w:tab w:val="left" w:pos="4860"/>
        </w:tabs>
        <w:spacing w:line="588" w:lineRule="exact"/>
        <w:ind w:right="1560" w:firstLine="504" w:firstLineChars="200"/>
        <w:jc w:val="center"/>
        <w:rPr>
          <w:rFonts w:hint="eastAsia" w:ascii="宋体" w:hAnsi="宋体"/>
          <w:color w:val="auto"/>
          <w:spacing w:val="6"/>
          <w:sz w:val="24"/>
          <w:highlight w:val="none"/>
        </w:rPr>
      </w:pPr>
      <w:r>
        <w:rPr>
          <w:rFonts w:hint="eastAsia" w:ascii="宋体" w:hAnsi="宋体"/>
          <w:color w:val="auto"/>
          <w:spacing w:val="6"/>
          <w:sz w:val="24"/>
          <w:highlight w:val="none"/>
        </w:rPr>
        <w:t xml:space="preserve">             </w:t>
      </w:r>
    </w:p>
    <w:p>
      <w:pPr>
        <w:tabs>
          <w:tab w:val="left" w:pos="4860"/>
        </w:tabs>
        <w:spacing w:line="588" w:lineRule="exact"/>
        <w:ind w:right="1560" w:firstLine="504" w:firstLineChars="200"/>
        <w:jc w:val="center"/>
        <w:rPr>
          <w:rFonts w:ascii="宋体" w:hAnsi="宋体"/>
          <w:color w:val="auto"/>
          <w:spacing w:val="6"/>
          <w:sz w:val="24"/>
          <w:highlight w:val="none"/>
        </w:rPr>
      </w:pPr>
      <w:r>
        <w:rPr>
          <w:rFonts w:hint="eastAsia" w:ascii="宋体" w:hAnsi="宋体"/>
          <w:color w:val="auto"/>
          <w:spacing w:val="6"/>
          <w:sz w:val="24"/>
          <w:highlight w:val="none"/>
        </w:rPr>
        <w:t>单位名称（盖章）：</w:t>
      </w:r>
    </w:p>
    <w:p>
      <w:pPr>
        <w:tabs>
          <w:tab w:val="left" w:pos="4860"/>
        </w:tabs>
        <w:spacing w:line="588" w:lineRule="exact"/>
        <w:ind w:right="1560" w:firstLine="504" w:firstLineChars="200"/>
        <w:jc w:val="center"/>
        <w:rPr>
          <w:rFonts w:ascii="宋体" w:hAnsi="宋体"/>
          <w:color w:val="auto"/>
          <w:sz w:val="24"/>
          <w:highlight w:val="none"/>
        </w:rPr>
      </w:pPr>
      <w:r>
        <w:rPr>
          <w:rFonts w:hint="eastAsia" w:ascii="宋体" w:hAnsi="宋体"/>
          <w:color w:val="auto"/>
          <w:spacing w:val="6"/>
          <w:sz w:val="24"/>
          <w:highlight w:val="none"/>
        </w:rPr>
        <w:t xml:space="preserve">                               日  期：</w:t>
      </w:r>
      <w:r>
        <w:rPr>
          <w:rFonts w:hint="eastAsia" w:ascii="宋体" w:hAnsi="宋体" w:cs="Arial"/>
          <w:color w:val="auto"/>
          <w:sz w:val="24"/>
          <w:highlight w:val="none"/>
          <w:lang w:eastAsia="zh-CN"/>
        </w:rPr>
        <w:t>2023</w:t>
      </w:r>
      <w:r>
        <w:rPr>
          <w:rFonts w:hint="eastAsia" w:ascii="宋体" w:hAnsi="宋体" w:cs="Arial"/>
          <w:color w:val="auto"/>
          <w:sz w:val="24"/>
          <w:highlight w:val="none"/>
        </w:rPr>
        <w:t>年   月   日</w:t>
      </w:r>
    </w:p>
    <w:p>
      <w:pPr>
        <w:pStyle w:val="60"/>
        <w:spacing w:line="360" w:lineRule="auto"/>
        <w:rPr>
          <w:rFonts w:ascii="宋体" w:hAnsi="宋体"/>
          <w:b/>
          <w:color w:val="auto"/>
          <w:sz w:val="28"/>
          <w:szCs w:val="28"/>
          <w:highlight w:val="none"/>
        </w:rPr>
      </w:pPr>
    </w:p>
    <w:p>
      <w:pPr>
        <w:pStyle w:val="60"/>
        <w:spacing w:line="360" w:lineRule="auto"/>
        <w:rPr>
          <w:rFonts w:ascii="宋体" w:hAnsi="宋体"/>
          <w:b/>
          <w:color w:val="auto"/>
          <w:sz w:val="28"/>
          <w:szCs w:val="28"/>
          <w:highlight w:val="none"/>
        </w:rPr>
      </w:pPr>
    </w:p>
    <w:p>
      <w:pPr>
        <w:pStyle w:val="60"/>
        <w:spacing w:line="360" w:lineRule="auto"/>
        <w:rPr>
          <w:rFonts w:ascii="宋体" w:hAnsi="宋体"/>
          <w:b/>
          <w:color w:val="auto"/>
          <w:sz w:val="28"/>
          <w:szCs w:val="28"/>
          <w:highlight w:val="none"/>
        </w:rPr>
      </w:pPr>
    </w:p>
    <w:p>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ascii="宋体" w:hAnsi="宋体"/>
          <w:b/>
          <w:bCs/>
          <w:color w:val="auto"/>
          <w:sz w:val="36"/>
          <w:szCs w:val="36"/>
          <w:highlight w:val="none"/>
          <w:lang w:val="zh-CN"/>
        </w:rPr>
      </w:pPr>
      <w:r>
        <w:rPr>
          <w:rFonts w:hint="eastAsia" w:ascii="宋体" w:hAnsi="宋体"/>
          <w:b/>
          <w:color w:val="auto"/>
          <w:sz w:val="24"/>
          <w:szCs w:val="24"/>
          <w:highlight w:val="none"/>
          <w:lang w:eastAsia="zh-CN"/>
        </w:rPr>
        <w:t>注：非</w:t>
      </w:r>
      <w:r>
        <w:rPr>
          <w:rFonts w:hint="eastAsia" w:hAnsi="宋体"/>
          <w:b/>
          <w:color w:val="auto"/>
          <w:sz w:val="24"/>
          <w:szCs w:val="24"/>
          <w:highlight w:val="none"/>
          <w:lang w:val="en-GB"/>
        </w:rPr>
        <w:t>残疾人福利性单位</w:t>
      </w:r>
      <w:r>
        <w:rPr>
          <w:rFonts w:hint="eastAsia" w:hAnsi="宋体"/>
          <w:b/>
          <w:color w:val="auto"/>
          <w:sz w:val="24"/>
          <w:szCs w:val="24"/>
          <w:highlight w:val="none"/>
          <w:lang w:val="en-GB" w:eastAsia="zh-CN"/>
        </w:rPr>
        <w:t>无需提供此声明函。</w:t>
      </w:r>
    </w:p>
    <w:p>
      <w:pPr>
        <w:pStyle w:val="52"/>
        <w:spacing w:before="0" w:beforeAutospacing="0" w:after="0" w:afterAutospacing="0" w:line="360" w:lineRule="auto"/>
        <w:rPr>
          <w:rFonts w:hint="eastAsia"/>
          <w:b/>
          <w:color w:val="auto"/>
          <w:sz w:val="28"/>
          <w:highlight w:val="none"/>
        </w:rPr>
      </w:pPr>
    </w:p>
    <w:p>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ascii="宋体" w:hAnsi="宋体"/>
          <w:b/>
          <w:bCs/>
          <w:color w:val="auto"/>
          <w:sz w:val="36"/>
          <w:szCs w:val="36"/>
          <w:highlight w:val="none"/>
          <w:lang w:val="zh-CN"/>
        </w:rPr>
      </w:pPr>
    </w:p>
    <w:p>
      <w:pPr>
        <w:keepNext w:val="0"/>
        <w:keepLines w:val="0"/>
        <w:pageBreakBefore w:val="0"/>
        <w:numPr>
          <w:ilvl w:val="0"/>
          <w:numId w:val="0"/>
        </w:numPr>
        <w:kinsoku/>
        <w:wordWrap/>
        <w:overflowPunct/>
        <w:topLinePunct w:val="0"/>
        <w:autoSpaceDE/>
        <w:autoSpaceDN/>
        <w:bidi w:val="0"/>
        <w:snapToGrid w:val="0"/>
        <w:spacing w:line="450" w:lineRule="exact"/>
        <w:jc w:val="both"/>
        <w:textAlignment w:val="auto"/>
        <w:rPr>
          <w:rFonts w:hint="eastAsia" w:ascii="宋体" w:hAnsi="宋体"/>
          <w:b/>
          <w:bCs/>
          <w:color w:val="auto"/>
          <w:sz w:val="36"/>
          <w:szCs w:val="36"/>
          <w:highlight w:val="none"/>
          <w:lang w:val="zh-CN"/>
        </w:rPr>
      </w:pPr>
    </w:p>
    <w:p>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ascii="宋体" w:hAnsi="宋体"/>
          <w:b/>
          <w:bCs/>
          <w:color w:val="auto"/>
          <w:sz w:val="36"/>
          <w:szCs w:val="36"/>
          <w:highlight w:val="none"/>
          <w:lang w:val="zh-CN"/>
        </w:rPr>
      </w:pPr>
    </w:p>
    <w:p>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ascii="宋体" w:hAnsi="宋体"/>
          <w:b/>
          <w:bCs/>
          <w:color w:val="auto"/>
          <w:sz w:val="36"/>
          <w:szCs w:val="36"/>
          <w:highlight w:val="none"/>
          <w:lang w:val="zh-CN"/>
        </w:rPr>
      </w:pPr>
    </w:p>
    <w:p>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ascii="宋体" w:hAnsi="宋体"/>
          <w:b/>
          <w:bCs/>
          <w:color w:val="auto"/>
          <w:sz w:val="36"/>
          <w:szCs w:val="36"/>
          <w:highlight w:val="none"/>
          <w:lang w:val="zh-CN"/>
        </w:rPr>
      </w:pPr>
    </w:p>
    <w:p>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ascii="宋体" w:hAnsi="宋体"/>
          <w:b/>
          <w:bCs/>
          <w:color w:val="auto"/>
          <w:sz w:val="36"/>
          <w:szCs w:val="36"/>
          <w:highlight w:val="none"/>
          <w:lang w:val="zh-CN"/>
        </w:rPr>
      </w:pPr>
    </w:p>
    <w:p>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ascii="宋体" w:hAnsi="宋体"/>
          <w:b/>
          <w:bCs/>
          <w:color w:val="auto"/>
          <w:sz w:val="36"/>
          <w:szCs w:val="36"/>
          <w:highlight w:val="none"/>
        </w:rPr>
      </w:pPr>
      <w:r>
        <w:rPr>
          <w:rFonts w:hint="eastAsia" w:ascii="宋体" w:hAnsi="宋体"/>
          <w:b/>
          <w:bCs/>
          <w:color w:val="auto"/>
          <w:sz w:val="36"/>
          <w:szCs w:val="36"/>
          <w:highlight w:val="none"/>
          <w:lang w:val="zh-CN"/>
        </w:rPr>
        <w:t>商务与技术部分</w:t>
      </w:r>
      <w:r>
        <w:rPr>
          <w:rFonts w:hint="eastAsia" w:ascii="宋体" w:hAnsi="宋体"/>
          <w:b/>
          <w:bCs/>
          <w:color w:val="auto"/>
          <w:sz w:val="36"/>
          <w:szCs w:val="36"/>
          <w:highlight w:val="none"/>
        </w:rPr>
        <w:t>目录</w:t>
      </w:r>
    </w:p>
    <w:p>
      <w:pPr>
        <w:pStyle w:val="15"/>
        <w:rPr>
          <w:rFonts w:hint="eastAsia"/>
        </w:rPr>
      </w:pPr>
    </w:p>
    <w:p>
      <w:pPr>
        <w:pStyle w:val="15"/>
        <w:numPr>
          <w:ilvl w:val="0"/>
          <w:numId w:val="0"/>
        </w:numPr>
      </w:pPr>
    </w:p>
    <w:p>
      <w:pPr>
        <w:pStyle w:val="7"/>
        <w:keepNext w:val="0"/>
        <w:keepLines w:val="0"/>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投标方案描述</w:t>
      </w:r>
      <w:r>
        <w:rPr>
          <w:rFonts w:hint="eastAsia" w:ascii="宋体" w:hAnsi="宋体"/>
          <w:color w:val="auto"/>
          <w:sz w:val="24"/>
          <w:szCs w:val="24"/>
          <w:highlight w:val="none"/>
        </w:rPr>
        <w:t>（</w:t>
      </w:r>
      <w:r>
        <w:rPr>
          <w:rFonts w:hint="eastAsia" w:ascii="宋体" w:hAnsi="宋体"/>
          <w:color w:val="auto"/>
          <w:sz w:val="24"/>
          <w:szCs w:val="24"/>
          <w:highlight w:val="none"/>
          <w:lang w:eastAsia="zh-CN"/>
        </w:rPr>
        <w:t>包括对</w:t>
      </w:r>
      <w:r>
        <w:rPr>
          <w:rFonts w:hint="eastAsia" w:ascii="宋体" w:hAnsi="宋体" w:cs="宋体"/>
          <w:color w:val="auto"/>
          <w:sz w:val="24"/>
          <w:szCs w:val="24"/>
          <w:highlight w:val="none"/>
        </w:rPr>
        <w:t>项目需求的理解与分析</w:t>
      </w:r>
      <w:r>
        <w:rPr>
          <w:rFonts w:hint="eastAsia" w:ascii="宋体" w:hAnsi="宋体" w:cs="宋体"/>
          <w:color w:val="auto"/>
          <w:sz w:val="24"/>
          <w:szCs w:val="24"/>
          <w:highlight w:val="none"/>
          <w:lang w:eastAsia="zh-CN"/>
        </w:rPr>
        <w:t>、项目组织实施、配送方案、售后服务方案等，</w:t>
      </w:r>
      <w:r>
        <w:rPr>
          <w:rFonts w:hint="eastAsia" w:ascii="宋体" w:hAnsi="宋体"/>
          <w:color w:val="auto"/>
          <w:sz w:val="24"/>
          <w:szCs w:val="24"/>
          <w:highlight w:val="none"/>
        </w:rPr>
        <w:t>格式自拟）</w:t>
      </w:r>
    </w:p>
    <w:p>
      <w:pPr>
        <w:pStyle w:val="7"/>
        <w:keepNext w:val="0"/>
        <w:keepLines w:val="0"/>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rPr>
          <w:rFonts w:hint="eastAsia" w:ascii="宋体" w:hAnsi="宋体"/>
          <w:color w:val="auto"/>
          <w:sz w:val="24"/>
          <w:highlight w:val="none"/>
        </w:rPr>
      </w:pPr>
      <w:r>
        <w:rPr>
          <w:rFonts w:hint="eastAsia" w:ascii="宋体" w:hAnsi="宋体" w:cs="宋体"/>
          <w:color w:val="auto"/>
          <w:sz w:val="24"/>
          <w:szCs w:val="24"/>
          <w:highlight w:val="none"/>
          <w:lang w:val="en-US" w:eastAsia="zh-CN"/>
        </w:rPr>
        <w:t>2、本</w:t>
      </w:r>
      <w:r>
        <w:rPr>
          <w:rFonts w:hint="eastAsia" w:ascii="宋体" w:hAnsi="宋体" w:cs="宋体"/>
          <w:color w:val="auto"/>
          <w:sz w:val="24"/>
          <w:szCs w:val="24"/>
          <w:highlight w:val="none"/>
        </w:rPr>
        <w:t>项目</w:t>
      </w:r>
      <w:r>
        <w:rPr>
          <w:rFonts w:hint="eastAsia" w:ascii="宋体" w:hAnsi="宋体" w:cs="宋体"/>
          <w:color w:val="auto"/>
          <w:sz w:val="24"/>
          <w:szCs w:val="24"/>
          <w:highlight w:val="none"/>
          <w:lang w:eastAsia="zh-CN"/>
        </w:rPr>
        <w:t>负责</w:t>
      </w:r>
      <w:r>
        <w:rPr>
          <w:rFonts w:hint="eastAsia" w:ascii="宋体" w:hAnsi="宋体" w:cs="宋体"/>
          <w:color w:val="auto"/>
          <w:sz w:val="24"/>
          <w:szCs w:val="24"/>
          <w:highlight w:val="none"/>
        </w:rPr>
        <w:t>人</w:t>
      </w:r>
      <w:r>
        <w:rPr>
          <w:rFonts w:hint="eastAsia" w:ascii="宋体" w:hAnsi="宋体" w:cs="宋体"/>
          <w:color w:val="auto"/>
          <w:sz w:val="24"/>
          <w:szCs w:val="24"/>
          <w:highlight w:val="none"/>
          <w:lang w:eastAsia="zh-CN"/>
        </w:rPr>
        <w:t>情况</w:t>
      </w:r>
      <w:r>
        <w:rPr>
          <w:rFonts w:hint="eastAsia" w:ascii="宋体" w:hAnsi="宋体" w:cs="宋体"/>
          <w:color w:val="auto"/>
          <w:sz w:val="24"/>
          <w:szCs w:val="24"/>
          <w:highlight w:val="none"/>
        </w:rPr>
        <w:t>表</w:t>
      </w:r>
      <w:r>
        <w:rPr>
          <w:rFonts w:hint="eastAsia" w:ascii="宋体" w:hAnsi="宋体" w:cs="宋体"/>
          <w:color w:val="auto"/>
          <w:sz w:val="24"/>
          <w:szCs w:val="24"/>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4</w:t>
      </w:r>
      <w:r>
        <w:rPr>
          <w:rFonts w:hint="eastAsia" w:ascii="宋体" w:hAnsi="宋体"/>
          <w:color w:val="auto"/>
          <w:sz w:val="24"/>
          <w:highlight w:val="none"/>
        </w:rPr>
        <w:t>）</w:t>
      </w:r>
    </w:p>
    <w:p>
      <w:pPr>
        <w:pStyle w:val="7"/>
        <w:keepNext w:val="0"/>
        <w:keepLines w:val="0"/>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rPr>
          <w:color w:val="auto"/>
          <w:highlight w:val="none"/>
          <w:lang w:val="zh-CN"/>
        </w:rPr>
      </w:pPr>
      <w:r>
        <w:rPr>
          <w:rFonts w:hint="eastAsia" w:ascii="宋体" w:hAnsi="宋体" w:cs="宋体"/>
          <w:color w:val="auto"/>
          <w:sz w:val="24"/>
          <w:szCs w:val="24"/>
          <w:highlight w:val="none"/>
          <w:lang w:val="en-US" w:eastAsia="zh-CN"/>
        </w:rPr>
        <w:t>3、</w:t>
      </w:r>
      <w:r>
        <w:rPr>
          <w:rFonts w:hint="eastAsia" w:ascii="宋体" w:hAnsi="宋体"/>
          <w:color w:val="auto"/>
          <w:sz w:val="24"/>
          <w:szCs w:val="22"/>
          <w:highlight w:val="none"/>
        </w:rPr>
        <w:t>商务需求响应表</w:t>
      </w:r>
      <w:r>
        <w:rPr>
          <w:rFonts w:hint="eastAsia" w:ascii="宋体" w:hAnsi="宋体"/>
          <w:color w:val="auto"/>
          <w:sz w:val="24"/>
          <w:szCs w:val="22"/>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5</w:t>
      </w:r>
      <w:r>
        <w:rPr>
          <w:rFonts w:hint="eastAsia" w:ascii="宋体" w:hAnsi="宋体"/>
          <w:color w:val="auto"/>
          <w:sz w:val="24"/>
          <w:highlight w:val="none"/>
        </w:rPr>
        <w:t>）</w:t>
      </w:r>
    </w:p>
    <w:p>
      <w:pPr>
        <w:pStyle w:val="52"/>
        <w:spacing w:before="0" w:beforeAutospacing="0" w:after="0" w:afterAutospacing="0" w:line="360" w:lineRule="auto"/>
        <w:rPr>
          <w:rFonts w:hint="eastAsia" w:ascii="宋体" w:hAnsi="宋体" w:cs="宋体"/>
          <w:color w:val="auto"/>
          <w:sz w:val="24"/>
          <w:highlight w:val="none"/>
        </w:rPr>
      </w:pPr>
      <w:r>
        <w:rPr>
          <w:rFonts w:hint="eastAsia"/>
          <w:color w:val="auto"/>
          <w:sz w:val="24"/>
          <w:highlight w:val="none"/>
          <w:lang w:val="en-US" w:eastAsia="zh-CN"/>
        </w:rPr>
        <w:t>4</w:t>
      </w:r>
      <w:r>
        <w:rPr>
          <w:rFonts w:hint="eastAsia" w:ascii="宋体" w:hAnsi="宋体"/>
          <w:color w:val="auto"/>
          <w:sz w:val="24"/>
          <w:highlight w:val="none"/>
        </w:rPr>
        <w:t>、投标人</w:t>
      </w:r>
      <w:r>
        <w:rPr>
          <w:rFonts w:hint="eastAsia" w:ascii="宋体" w:hAnsi="宋体"/>
          <w:color w:val="auto"/>
          <w:sz w:val="24"/>
          <w:highlight w:val="none"/>
          <w:lang w:eastAsia="zh-CN"/>
        </w:rPr>
        <w:t>认为</w:t>
      </w:r>
      <w:r>
        <w:rPr>
          <w:rFonts w:ascii="宋体" w:hAnsi="宋体"/>
          <w:color w:val="auto"/>
          <w:sz w:val="24"/>
          <w:highlight w:val="none"/>
        </w:rPr>
        <w:t>需要</w:t>
      </w:r>
      <w:r>
        <w:rPr>
          <w:rFonts w:hint="eastAsia" w:ascii="宋体" w:hAnsi="宋体"/>
          <w:color w:val="auto"/>
          <w:sz w:val="24"/>
          <w:highlight w:val="none"/>
          <w:lang w:eastAsia="zh-CN"/>
        </w:rPr>
        <w:t>提供</w:t>
      </w:r>
      <w:r>
        <w:rPr>
          <w:rFonts w:ascii="宋体" w:hAnsi="宋体"/>
          <w:color w:val="auto"/>
          <w:sz w:val="24"/>
          <w:highlight w:val="none"/>
        </w:rPr>
        <w:t>的其他</w:t>
      </w:r>
      <w:r>
        <w:rPr>
          <w:rFonts w:hint="eastAsia" w:ascii="宋体" w:hAnsi="宋体"/>
          <w:color w:val="auto"/>
          <w:sz w:val="24"/>
          <w:highlight w:val="none"/>
          <w:lang w:eastAsia="zh-CN"/>
        </w:rPr>
        <w:t>资料</w:t>
      </w:r>
      <w:r>
        <w:rPr>
          <w:rFonts w:hint="eastAsia" w:ascii="宋体" w:hAnsi="宋体"/>
          <w:color w:val="auto"/>
          <w:sz w:val="24"/>
          <w:highlight w:val="none"/>
        </w:rPr>
        <w:t>；（</w:t>
      </w:r>
      <w:r>
        <w:rPr>
          <w:rFonts w:hint="eastAsia" w:ascii="宋体" w:hAnsi="宋体" w:cs="宋体"/>
          <w:color w:val="auto"/>
          <w:sz w:val="24"/>
          <w:highlight w:val="none"/>
        </w:rPr>
        <w:t>包括可能影响投标人评分的各类证明材料）</w:t>
      </w:r>
    </w:p>
    <w:p>
      <w:pPr>
        <w:pStyle w:val="52"/>
        <w:spacing w:before="0" w:beforeAutospacing="0" w:after="0" w:afterAutospacing="0" w:line="360" w:lineRule="auto"/>
        <w:ind w:firstLine="498" w:firstLineChars="177"/>
        <w:rPr>
          <w:rFonts w:hint="eastAsia"/>
          <w:b/>
          <w:bCs/>
          <w:color w:val="auto"/>
          <w:spacing w:val="11"/>
          <w:sz w:val="28"/>
          <w:szCs w:val="28"/>
          <w:highlight w:val="none"/>
        </w:rPr>
      </w:pPr>
      <w:r>
        <w:rPr>
          <w:rFonts w:hint="eastAsia"/>
          <w:b/>
          <w:color w:val="auto"/>
          <w:sz w:val="28"/>
          <w:highlight w:val="none"/>
        </w:rPr>
        <w:br w:type="page"/>
      </w:r>
      <w:r>
        <w:rPr>
          <w:rFonts w:hint="eastAsia"/>
          <w:b/>
          <w:color w:val="auto"/>
          <w:sz w:val="28"/>
          <w:szCs w:val="28"/>
          <w:highlight w:val="none"/>
        </w:rPr>
        <w:t>附件</w:t>
      </w:r>
      <w:r>
        <w:rPr>
          <w:rFonts w:hint="eastAsia"/>
          <w:b/>
          <w:color w:val="auto"/>
          <w:sz w:val="28"/>
          <w:szCs w:val="28"/>
          <w:highlight w:val="none"/>
          <w:lang w:val="en-US" w:eastAsia="zh-CN"/>
        </w:rPr>
        <w:t>4</w:t>
      </w:r>
      <w:r>
        <w:rPr>
          <w:rFonts w:hint="eastAsia"/>
          <w:b/>
          <w:color w:val="auto"/>
          <w:sz w:val="28"/>
          <w:szCs w:val="28"/>
          <w:highlight w:val="none"/>
          <w:lang w:eastAsia="zh-CN"/>
        </w:rPr>
        <w:t>：</w:t>
      </w:r>
      <w:r>
        <w:rPr>
          <w:rFonts w:hint="eastAsia"/>
          <w:b/>
          <w:bCs/>
          <w:color w:val="auto"/>
          <w:spacing w:val="11"/>
          <w:sz w:val="28"/>
          <w:szCs w:val="28"/>
          <w:highlight w:val="none"/>
        </w:rPr>
        <w:t xml:space="preserve">             </w:t>
      </w:r>
    </w:p>
    <w:p>
      <w:pPr>
        <w:jc w:val="center"/>
        <w:rPr>
          <w:rFonts w:ascii="方正小标宋简体" w:eastAsia="方正小标宋简体"/>
          <w:color w:val="auto"/>
          <w:sz w:val="32"/>
          <w:szCs w:val="32"/>
          <w:highlight w:val="none"/>
        </w:rPr>
      </w:pPr>
    </w:p>
    <w:p>
      <w:pPr>
        <w:pStyle w:val="52"/>
        <w:spacing w:before="0" w:beforeAutospacing="0" w:after="0" w:afterAutospacing="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本项目</w:t>
      </w:r>
      <w:r>
        <w:rPr>
          <w:rFonts w:hint="eastAsia" w:ascii="宋体" w:hAnsi="宋体" w:eastAsia="宋体" w:cs="宋体"/>
          <w:b/>
          <w:color w:val="auto"/>
          <w:sz w:val="32"/>
          <w:szCs w:val="32"/>
          <w:highlight w:val="none"/>
          <w:lang w:eastAsia="zh-CN"/>
        </w:rPr>
        <w:t>负责人</w:t>
      </w:r>
      <w:r>
        <w:rPr>
          <w:rFonts w:hint="eastAsia" w:ascii="宋体" w:hAnsi="宋体" w:eastAsia="宋体" w:cs="宋体"/>
          <w:b/>
          <w:color w:val="auto"/>
          <w:sz w:val="32"/>
          <w:szCs w:val="32"/>
          <w:highlight w:val="none"/>
        </w:rPr>
        <w:t>情况表</w:t>
      </w:r>
    </w:p>
    <w:p>
      <w:pPr>
        <w:pStyle w:val="52"/>
        <w:spacing w:before="0" w:beforeAutospacing="0" w:after="0" w:afterAutospacing="0"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（如表格长度</w:t>
      </w:r>
      <w:r>
        <w:rPr>
          <w:rFonts w:hint="eastAsia" w:ascii="宋体" w:hAnsi="宋体"/>
          <w:color w:val="auto"/>
          <w:sz w:val="24"/>
          <w:szCs w:val="24"/>
          <w:highlight w:val="none"/>
          <w:lang w:eastAsia="zh-CN"/>
        </w:rPr>
        <w:t>或格式</w:t>
      </w:r>
      <w:r>
        <w:rPr>
          <w:rFonts w:hint="eastAsia" w:ascii="宋体" w:hAnsi="宋体"/>
          <w:color w:val="auto"/>
          <w:sz w:val="24"/>
          <w:szCs w:val="24"/>
          <w:highlight w:val="none"/>
        </w:rPr>
        <w:t>不够，</w:t>
      </w:r>
      <w:r>
        <w:rPr>
          <w:rFonts w:hint="eastAsia" w:ascii="宋体" w:hAnsi="宋体"/>
          <w:color w:val="auto"/>
          <w:sz w:val="24"/>
          <w:szCs w:val="24"/>
          <w:highlight w:val="none"/>
          <w:lang w:eastAsia="zh-CN"/>
        </w:rPr>
        <w:t>可按实际需要</w:t>
      </w:r>
      <w:r>
        <w:rPr>
          <w:rFonts w:hint="eastAsia" w:ascii="宋体" w:hAnsi="宋体"/>
          <w:color w:val="auto"/>
          <w:sz w:val="24"/>
          <w:szCs w:val="24"/>
          <w:highlight w:val="none"/>
        </w:rPr>
        <w:t>自制）</w:t>
      </w:r>
    </w:p>
    <w:p>
      <w:pPr>
        <w:pStyle w:val="52"/>
        <w:spacing w:before="0" w:beforeAutospacing="0" w:after="0" w:afterAutospacing="0" w:line="360" w:lineRule="auto"/>
        <w:jc w:val="center"/>
        <w:rPr>
          <w:rFonts w:hint="eastAsia" w:ascii="宋体" w:hAnsi="宋体"/>
          <w:color w:val="auto"/>
          <w:sz w:val="24"/>
          <w:szCs w:val="24"/>
          <w:highlight w:val="none"/>
          <w:lang w:val="en-US" w:eastAsia="zh-CN"/>
        </w:rPr>
      </w:pPr>
    </w:p>
    <w:p>
      <w:pPr>
        <w:jc w:val="center"/>
        <w:rPr>
          <w:rFonts w:ascii="宋体" w:hAnsi="宋体" w:cs="宋体"/>
          <w:color w:val="auto"/>
          <w:sz w:val="24"/>
          <w:szCs w:val="24"/>
          <w:highlight w:val="none"/>
        </w:rPr>
      </w:pPr>
    </w:p>
    <w:tbl>
      <w:tblPr>
        <w:tblStyle w:val="37"/>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2964"/>
        <w:gridCol w:w="3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972" w:type="dxa"/>
            <w:tcBorders>
              <w:top w:val="single" w:color="auto" w:sz="12" w:space="0"/>
              <w:left w:val="single" w:color="auto" w:sz="12" w:space="0"/>
              <w:bottom w:val="single" w:color="auto" w:sz="4" w:space="0"/>
              <w:right w:val="single" w:color="auto" w:sz="4" w:space="0"/>
            </w:tcBorders>
            <w:noWrap w:val="0"/>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姓名</w:t>
            </w:r>
          </w:p>
        </w:tc>
        <w:tc>
          <w:tcPr>
            <w:tcW w:w="2964" w:type="dxa"/>
            <w:tcBorders>
              <w:top w:val="single" w:color="auto" w:sz="12" w:space="0"/>
              <w:left w:val="single" w:color="auto" w:sz="4" w:space="0"/>
              <w:bottom w:val="single" w:color="auto" w:sz="4" w:space="0"/>
              <w:right w:val="single" w:color="auto" w:sz="4" w:space="0"/>
            </w:tcBorders>
            <w:noWrap w:val="0"/>
            <w:vAlign w:val="center"/>
          </w:tcPr>
          <w:p>
            <w:pPr>
              <w:bidi w:val="0"/>
              <w:spacing w:line="240" w:lineRule="auto"/>
              <w:jc w:val="center"/>
              <w:rPr>
                <w:b/>
                <w:bCs/>
                <w:color w:val="auto"/>
                <w:sz w:val="24"/>
                <w:szCs w:val="24"/>
                <w:highlight w:val="none"/>
                <w:lang w:val="zh-CN"/>
              </w:rPr>
            </w:pPr>
          </w:p>
        </w:tc>
        <w:tc>
          <w:tcPr>
            <w:tcW w:w="3682" w:type="dxa"/>
            <w:tcBorders>
              <w:top w:val="single" w:color="auto" w:sz="12" w:space="0"/>
              <w:left w:val="single" w:color="auto" w:sz="4" w:space="0"/>
              <w:bottom w:val="single" w:color="auto" w:sz="4" w:space="0"/>
              <w:right w:val="single" w:color="auto" w:sz="12" w:space="0"/>
            </w:tcBorders>
            <w:noWrap w:val="0"/>
            <w:vAlign w:val="center"/>
          </w:tcPr>
          <w:p>
            <w:pPr>
              <w:bidi w:val="0"/>
              <w:spacing w:line="240" w:lineRule="auto"/>
              <w:jc w:val="center"/>
              <w:rPr>
                <w:b/>
                <w:bCs/>
                <w:color w:val="auto"/>
                <w:sz w:val="24"/>
                <w:szCs w:val="24"/>
                <w:highlight w:val="none"/>
                <w:lang w:val="zh-CN"/>
              </w:rPr>
            </w:pPr>
            <w:r>
              <w:rPr>
                <w:rFonts w:hint="eastAsia" w:ascii="宋体" w:hAnsi="宋体"/>
                <w:color w:val="auto"/>
                <w:sz w:val="24"/>
                <w:szCs w:val="24"/>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top w:val="single" w:color="auto" w:sz="4" w:space="0"/>
              <w:left w:val="single" w:color="auto" w:sz="12" w:space="0"/>
              <w:bottom w:val="single" w:color="auto" w:sz="4" w:space="0"/>
              <w:right w:val="single" w:color="auto" w:sz="4" w:space="0"/>
            </w:tcBorders>
            <w:noWrap w:val="0"/>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性别</w:t>
            </w:r>
          </w:p>
        </w:tc>
        <w:tc>
          <w:tcPr>
            <w:tcW w:w="296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b/>
                <w:bCs/>
                <w:color w:val="auto"/>
                <w:sz w:val="24"/>
                <w:szCs w:val="24"/>
                <w:highlight w:val="none"/>
                <w:lang w:val="zh-CN"/>
              </w:rPr>
            </w:pPr>
          </w:p>
        </w:tc>
        <w:tc>
          <w:tcPr>
            <w:tcW w:w="3682" w:type="dxa"/>
            <w:vMerge w:val="restart"/>
            <w:tcBorders>
              <w:top w:val="single" w:color="auto" w:sz="4" w:space="0"/>
              <w:left w:val="single" w:color="auto" w:sz="4" w:space="0"/>
              <w:bottom w:val="single" w:color="auto" w:sz="4" w:space="0"/>
              <w:right w:val="single" w:color="auto" w:sz="12" w:space="0"/>
            </w:tcBorders>
            <w:noWrap w:val="0"/>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top w:val="single" w:color="auto" w:sz="4" w:space="0"/>
              <w:left w:val="single" w:color="auto" w:sz="12" w:space="0"/>
              <w:bottom w:val="single" w:color="auto" w:sz="4" w:space="0"/>
              <w:right w:val="single" w:color="auto" w:sz="4" w:space="0"/>
            </w:tcBorders>
            <w:noWrap w:val="0"/>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年龄</w:t>
            </w:r>
          </w:p>
        </w:tc>
        <w:tc>
          <w:tcPr>
            <w:tcW w:w="296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b/>
                <w:bCs/>
                <w:color w:val="auto"/>
                <w:sz w:val="24"/>
                <w:szCs w:val="24"/>
                <w:highlight w:val="none"/>
                <w:lang w:val="zh-CN"/>
              </w:rPr>
            </w:pPr>
          </w:p>
        </w:tc>
        <w:tc>
          <w:tcPr>
            <w:tcW w:w="3682" w:type="dxa"/>
            <w:vMerge w:val="continue"/>
            <w:tcBorders>
              <w:top w:val="single" w:color="auto" w:sz="4" w:space="0"/>
              <w:left w:val="single" w:color="auto" w:sz="4" w:space="0"/>
              <w:bottom w:val="single" w:color="auto" w:sz="4" w:space="0"/>
              <w:right w:val="single" w:color="auto" w:sz="12" w:space="0"/>
            </w:tcBorders>
            <w:noWrap w:val="0"/>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top w:val="single" w:color="auto" w:sz="4" w:space="0"/>
              <w:left w:val="single" w:color="auto" w:sz="12" w:space="0"/>
              <w:bottom w:val="single" w:color="auto" w:sz="4" w:space="0"/>
              <w:right w:val="single" w:color="auto" w:sz="4" w:space="0"/>
            </w:tcBorders>
            <w:noWrap w:val="0"/>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职称</w:t>
            </w:r>
          </w:p>
        </w:tc>
        <w:tc>
          <w:tcPr>
            <w:tcW w:w="296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b/>
                <w:bCs/>
                <w:color w:val="auto"/>
                <w:sz w:val="24"/>
                <w:szCs w:val="24"/>
                <w:highlight w:val="none"/>
                <w:lang w:val="zh-CN"/>
              </w:rPr>
            </w:pPr>
          </w:p>
        </w:tc>
        <w:tc>
          <w:tcPr>
            <w:tcW w:w="3682" w:type="dxa"/>
            <w:vMerge w:val="continue"/>
            <w:tcBorders>
              <w:top w:val="single" w:color="auto" w:sz="4" w:space="0"/>
              <w:left w:val="single" w:color="auto" w:sz="4" w:space="0"/>
              <w:bottom w:val="single" w:color="auto" w:sz="4" w:space="0"/>
              <w:right w:val="single" w:color="auto" w:sz="12" w:space="0"/>
            </w:tcBorders>
            <w:noWrap w:val="0"/>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top w:val="single" w:color="auto" w:sz="4" w:space="0"/>
              <w:left w:val="single" w:color="auto" w:sz="12" w:space="0"/>
              <w:bottom w:val="single" w:color="auto" w:sz="4" w:space="0"/>
              <w:right w:val="single" w:color="auto" w:sz="4" w:space="0"/>
            </w:tcBorders>
            <w:noWrap w:val="0"/>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毕业时间</w:t>
            </w:r>
          </w:p>
        </w:tc>
        <w:tc>
          <w:tcPr>
            <w:tcW w:w="296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b/>
                <w:bCs/>
                <w:color w:val="auto"/>
                <w:sz w:val="24"/>
                <w:szCs w:val="24"/>
                <w:highlight w:val="none"/>
                <w:lang w:val="zh-CN"/>
              </w:rPr>
            </w:pPr>
          </w:p>
        </w:tc>
        <w:tc>
          <w:tcPr>
            <w:tcW w:w="3682" w:type="dxa"/>
            <w:vMerge w:val="continue"/>
            <w:tcBorders>
              <w:top w:val="single" w:color="auto" w:sz="4" w:space="0"/>
              <w:left w:val="single" w:color="auto" w:sz="4" w:space="0"/>
              <w:bottom w:val="single" w:color="auto" w:sz="4" w:space="0"/>
              <w:right w:val="single" w:color="auto" w:sz="12" w:space="0"/>
            </w:tcBorders>
            <w:noWrap w:val="0"/>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top w:val="single" w:color="auto" w:sz="4" w:space="0"/>
              <w:left w:val="single" w:color="auto" w:sz="12" w:space="0"/>
              <w:bottom w:val="single" w:color="auto" w:sz="4" w:space="0"/>
              <w:right w:val="single" w:color="auto" w:sz="4" w:space="0"/>
            </w:tcBorders>
            <w:noWrap w:val="0"/>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学校专业</w:t>
            </w:r>
          </w:p>
        </w:tc>
        <w:tc>
          <w:tcPr>
            <w:tcW w:w="296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b/>
                <w:bCs/>
                <w:color w:val="auto"/>
                <w:sz w:val="24"/>
                <w:szCs w:val="24"/>
                <w:highlight w:val="none"/>
                <w:lang w:val="zh-CN"/>
              </w:rPr>
            </w:pPr>
          </w:p>
        </w:tc>
        <w:tc>
          <w:tcPr>
            <w:tcW w:w="3682" w:type="dxa"/>
            <w:vMerge w:val="continue"/>
            <w:tcBorders>
              <w:top w:val="single" w:color="auto" w:sz="4" w:space="0"/>
              <w:left w:val="single" w:color="auto" w:sz="4" w:space="0"/>
              <w:bottom w:val="single" w:color="auto" w:sz="4" w:space="0"/>
              <w:right w:val="single" w:color="auto" w:sz="12" w:space="0"/>
            </w:tcBorders>
            <w:noWrap w:val="0"/>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top w:val="single" w:color="auto" w:sz="4" w:space="0"/>
              <w:left w:val="single" w:color="auto" w:sz="12" w:space="0"/>
              <w:bottom w:val="single" w:color="auto" w:sz="4" w:space="0"/>
              <w:right w:val="single" w:color="auto" w:sz="4" w:space="0"/>
            </w:tcBorders>
            <w:noWrap w:val="0"/>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学历</w:t>
            </w:r>
          </w:p>
        </w:tc>
        <w:tc>
          <w:tcPr>
            <w:tcW w:w="296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b/>
                <w:bCs/>
                <w:color w:val="auto"/>
                <w:sz w:val="24"/>
                <w:szCs w:val="24"/>
                <w:highlight w:val="none"/>
                <w:lang w:val="zh-CN"/>
              </w:rPr>
            </w:pPr>
          </w:p>
        </w:tc>
        <w:tc>
          <w:tcPr>
            <w:tcW w:w="3682" w:type="dxa"/>
            <w:vMerge w:val="continue"/>
            <w:tcBorders>
              <w:top w:val="single" w:color="auto" w:sz="4" w:space="0"/>
              <w:left w:val="single" w:color="auto" w:sz="4" w:space="0"/>
              <w:bottom w:val="single" w:color="auto" w:sz="4" w:space="0"/>
              <w:right w:val="single" w:color="auto" w:sz="12" w:space="0"/>
            </w:tcBorders>
            <w:noWrap w:val="0"/>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top w:val="single" w:color="auto" w:sz="4" w:space="0"/>
              <w:left w:val="single" w:color="auto" w:sz="12" w:space="0"/>
              <w:bottom w:val="single" w:color="auto" w:sz="4" w:space="0"/>
              <w:right w:val="single" w:color="auto" w:sz="4" w:space="0"/>
            </w:tcBorders>
            <w:noWrap w:val="0"/>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联系电话</w:t>
            </w:r>
          </w:p>
        </w:tc>
        <w:tc>
          <w:tcPr>
            <w:tcW w:w="296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b/>
                <w:bCs/>
                <w:color w:val="auto"/>
                <w:sz w:val="24"/>
                <w:szCs w:val="24"/>
                <w:highlight w:val="none"/>
                <w:lang w:val="zh-CN"/>
              </w:rPr>
            </w:pPr>
          </w:p>
        </w:tc>
        <w:tc>
          <w:tcPr>
            <w:tcW w:w="3682" w:type="dxa"/>
            <w:vMerge w:val="continue"/>
            <w:tcBorders>
              <w:top w:val="single" w:color="auto" w:sz="4" w:space="0"/>
              <w:left w:val="single" w:color="auto" w:sz="4" w:space="0"/>
              <w:bottom w:val="single" w:color="auto" w:sz="4" w:space="0"/>
              <w:right w:val="single" w:color="auto" w:sz="12" w:space="0"/>
            </w:tcBorders>
            <w:noWrap w:val="0"/>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972" w:type="dxa"/>
            <w:tcBorders>
              <w:top w:val="single" w:color="auto" w:sz="4" w:space="0"/>
              <w:left w:val="single" w:color="auto" w:sz="12" w:space="0"/>
              <w:bottom w:val="single" w:color="auto" w:sz="12" w:space="0"/>
              <w:right w:val="single" w:color="auto" w:sz="4" w:space="0"/>
            </w:tcBorders>
            <w:noWrap w:val="0"/>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拟在本项目中担任主要工作</w:t>
            </w:r>
          </w:p>
        </w:tc>
        <w:tc>
          <w:tcPr>
            <w:tcW w:w="6646" w:type="dxa"/>
            <w:gridSpan w:val="2"/>
            <w:tcBorders>
              <w:top w:val="single" w:color="auto" w:sz="4" w:space="0"/>
              <w:left w:val="single" w:color="auto" w:sz="4" w:space="0"/>
              <w:bottom w:val="single" w:color="auto" w:sz="12" w:space="0"/>
              <w:right w:val="single" w:color="auto" w:sz="12" w:space="0"/>
            </w:tcBorders>
            <w:noWrap w:val="0"/>
            <w:vAlign w:val="center"/>
          </w:tcPr>
          <w:p>
            <w:pPr>
              <w:bidi w:val="0"/>
              <w:spacing w:line="240" w:lineRule="auto"/>
              <w:jc w:val="center"/>
              <w:rPr>
                <w:b/>
                <w:bCs/>
                <w:color w:val="auto"/>
                <w:sz w:val="24"/>
                <w:szCs w:val="24"/>
                <w:highlight w:val="none"/>
                <w:lang w:val="zh-CN"/>
              </w:rPr>
            </w:pPr>
          </w:p>
        </w:tc>
      </w:tr>
    </w:tbl>
    <w:p>
      <w:pPr>
        <w:pStyle w:val="28"/>
        <w:ind w:left="0" w:leftChars="0" w:firstLine="482" w:firstLineChars="200"/>
        <w:rPr>
          <w:rFonts w:hint="eastAsia" w:ascii="宋体" w:hAnsi="宋体" w:cs="宋体"/>
          <w:b/>
          <w:bCs/>
          <w:color w:val="auto"/>
          <w:sz w:val="24"/>
          <w:szCs w:val="32"/>
          <w:highlight w:val="none"/>
          <w:lang w:eastAsia="zh-CN"/>
        </w:rPr>
      </w:pPr>
    </w:p>
    <w:p>
      <w:pPr>
        <w:pStyle w:val="28"/>
        <w:ind w:left="0" w:leftChars="0" w:firstLine="482" w:firstLineChars="200"/>
        <w:rPr>
          <w:rFonts w:hint="eastAsia" w:ascii="宋体" w:hAnsi="宋体" w:cs="宋体"/>
          <w:color w:val="auto"/>
          <w:sz w:val="24"/>
          <w:highlight w:val="none"/>
          <w:lang w:eastAsia="zh-CN"/>
        </w:rPr>
      </w:pPr>
      <w:r>
        <w:rPr>
          <w:rFonts w:hint="eastAsia" w:ascii="宋体" w:hAnsi="宋体" w:cs="宋体"/>
          <w:b/>
          <w:bCs/>
          <w:color w:val="auto"/>
          <w:sz w:val="24"/>
          <w:szCs w:val="32"/>
          <w:highlight w:val="none"/>
          <w:lang w:eastAsia="zh-CN"/>
        </w:rPr>
        <w:t>注：</w:t>
      </w:r>
      <w:r>
        <w:rPr>
          <w:rFonts w:hint="eastAsia" w:ascii="宋体" w:hAnsi="宋体" w:cs="宋体"/>
          <w:color w:val="auto"/>
          <w:sz w:val="24"/>
          <w:highlight w:val="none"/>
          <w:lang w:eastAsia="zh-CN"/>
        </w:rPr>
        <w:t>项目负责人</w:t>
      </w:r>
      <w:r>
        <w:rPr>
          <w:rFonts w:hint="eastAsia" w:ascii="宋体" w:hAnsi="宋体" w:cs="宋体"/>
          <w:color w:val="auto"/>
          <w:sz w:val="24"/>
          <w:highlight w:val="none"/>
        </w:rPr>
        <w:t>必须为</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在职员工，须提供劳动合同</w:t>
      </w:r>
      <w:r>
        <w:rPr>
          <w:rFonts w:hint="eastAsia" w:ascii="宋体" w:hAnsi="宋体" w:cs="宋体"/>
          <w:color w:val="auto"/>
          <w:sz w:val="24"/>
          <w:highlight w:val="none"/>
          <w:lang w:eastAsia="zh-CN"/>
        </w:rPr>
        <w:t>及</w:t>
      </w:r>
      <w:r>
        <w:rPr>
          <w:rFonts w:hint="eastAsia" w:ascii="宋体" w:hAnsi="宋体" w:cs="宋体"/>
          <w:color w:val="auto"/>
          <w:sz w:val="24"/>
          <w:highlight w:val="none"/>
        </w:rPr>
        <w:t>社保部门出具</w:t>
      </w:r>
      <w:r>
        <w:rPr>
          <w:rFonts w:hint="eastAsia" w:ascii="宋体" w:hAnsi="宋体" w:cs="宋体"/>
          <w:color w:val="auto"/>
          <w:sz w:val="24"/>
          <w:highlight w:val="none"/>
          <w:lang w:eastAsia="zh-CN"/>
        </w:rPr>
        <w:t>的</w:t>
      </w:r>
      <w:r>
        <w:rPr>
          <w:rFonts w:hint="eastAsia" w:ascii="宋体" w:hAnsi="宋体" w:eastAsia="宋体" w:cs="宋体"/>
          <w:b w:val="0"/>
          <w:bCs w:val="0"/>
          <w:color w:val="000000"/>
          <w:sz w:val="24"/>
          <w:szCs w:val="24"/>
          <w:highlight w:val="none"/>
        </w:rPr>
        <w:t>近</w:t>
      </w:r>
      <w:r>
        <w:rPr>
          <w:rFonts w:hint="eastAsia" w:ascii="宋体" w:hAnsi="宋体" w:cs="宋体"/>
          <w:b w:val="0"/>
          <w:bCs w:val="0"/>
          <w:color w:val="000000"/>
          <w:sz w:val="24"/>
          <w:szCs w:val="24"/>
          <w:highlight w:val="none"/>
          <w:lang w:val="en-US" w:eastAsia="zh-CN"/>
        </w:rPr>
        <w:t>3</w:t>
      </w:r>
      <w:r>
        <w:rPr>
          <w:rFonts w:hint="eastAsia" w:ascii="宋体" w:hAnsi="宋体" w:eastAsia="宋体" w:cs="宋体"/>
          <w:b w:val="0"/>
          <w:bCs w:val="0"/>
          <w:color w:val="000000"/>
          <w:sz w:val="24"/>
          <w:szCs w:val="24"/>
          <w:highlight w:val="none"/>
        </w:rPr>
        <w:t>个月社保缴纳证明</w:t>
      </w:r>
      <w:r>
        <w:rPr>
          <w:rFonts w:hint="eastAsia" w:ascii="宋体" w:hAnsi="宋体" w:cs="宋体"/>
          <w:color w:val="auto"/>
          <w:sz w:val="24"/>
          <w:highlight w:val="none"/>
          <w:lang w:eastAsia="zh-CN"/>
        </w:rPr>
        <w:t>（</w:t>
      </w:r>
      <w:r>
        <w:rPr>
          <w:rFonts w:hint="eastAsia" w:ascii="宋体" w:hAnsi="宋体"/>
          <w:color w:val="auto"/>
          <w:sz w:val="24"/>
          <w:highlight w:val="none"/>
          <w:lang w:val="zh-CN"/>
        </w:rPr>
        <w:t>随表提交相应的</w:t>
      </w:r>
      <w:r>
        <w:rPr>
          <w:rFonts w:hint="eastAsia" w:ascii="宋体" w:hAnsi="宋体" w:cs="宋体"/>
          <w:color w:val="auto"/>
          <w:sz w:val="24"/>
          <w:highlight w:val="none"/>
          <w:lang w:eastAsia="zh-CN"/>
        </w:rPr>
        <w:t>劳动合同原件和社保证明</w:t>
      </w:r>
      <w:r>
        <w:rPr>
          <w:rFonts w:hint="eastAsia" w:ascii="宋体" w:hAnsi="宋体" w:cs="宋体"/>
          <w:color w:val="auto"/>
          <w:sz w:val="24"/>
          <w:highlight w:val="none"/>
        </w:rPr>
        <w:t>原件</w:t>
      </w:r>
      <w:r>
        <w:rPr>
          <w:rFonts w:hint="eastAsia" w:ascii="宋体" w:hAnsi="宋体" w:cs="宋体"/>
          <w:color w:val="auto"/>
          <w:sz w:val="24"/>
          <w:highlight w:val="none"/>
          <w:lang w:eastAsia="zh-CN"/>
        </w:rPr>
        <w:t>的扫描件</w:t>
      </w:r>
      <w:r>
        <w:rPr>
          <w:rFonts w:hint="eastAsia" w:ascii="宋体" w:hAnsi="宋体"/>
          <w:color w:val="auto"/>
          <w:sz w:val="24"/>
          <w:highlight w:val="none"/>
          <w:lang w:val="zh-CN"/>
        </w:rPr>
        <w:t>。</w:t>
      </w:r>
      <w:r>
        <w:rPr>
          <w:rFonts w:hint="eastAsia" w:ascii="宋体" w:hAnsi="宋体" w:cs="宋体"/>
          <w:color w:val="auto"/>
          <w:sz w:val="24"/>
          <w:highlight w:val="none"/>
          <w:lang w:eastAsia="zh-CN"/>
        </w:rPr>
        <w:t>）</w:t>
      </w:r>
    </w:p>
    <w:p>
      <w:pPr>
        <w:pStyle w:val="15"/>
        <w:numPr>
          <w:ilvl w:val="0"/>
          <w:numId w:val="0"/>
        </w:numPr>
        <w:rPr>
          <w:color w:val="auto"/>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ascii="宋体" w:hAnsi="宋体"/>
          <w:color w:val="auto"/>
          <w:sz w:val="24"/>
          <w:highlight w:val="none"/>
          <w:u w:val="single"/>
        </w:rPr>
      </w:pPr>
      <w:r>
        <w:rPr>
          <w:rFonts w:hint="eastAsia" w:ascii="宋体" w:hAnsi="宋体"/>
          <w:color w:val="auto"/>
          <w:sz w:val="24"/>
          <w:highlight w:val="none"/>
        </w:rPr>
        <w:t>投标人名称（盖章）：</w:t>
      </w:r>
    </w:p>
    <w:p>
      <w:pPr>
        <w:pStyle w:val="2"/>
        <w:numPr>
          <w:ilvl w:val="0"/>
          <w:numId w:val="0"/>
        </w:numPr>
      </w:pPr>
    </w:p>
    <w:p>
      <w:pPr>
        <w:rPr>
          <w:rFonts w:hAnsi="宋体"/>
          <w:color w:val="auto"/>
          <w:sz w:val="24"/>
          <w:highlight w:val="none"/>
        </w:rPr>
      </w:pPr>
      <w:r>
        <w:rPr>
          <w:rFonts w:hint="eastAsia" w:ascii="宋体" w:hAnsi="宋体"/>
          <w:color w:val="auto"/>
          <w:sz w:val="24"/>
          <w:highlight w:val="none"/>
        </w:rPr>
        <w:t>日     期：</w:t>
      </w:r>
      <w:r>
        <w:rPr>
          <w:rFonts w:hint="eastAsia" w:ascii="宋体" w:hAnsi="宋体" w:cs="仿宋_GB2312"/>
          <w:color w:val="auto"/>
          <w:sz w:val="24"/>
          <w:highlight w:val="none"/>
          <w:lang w:eastAsia="zh-CN"/>
        </w:rPr>
        <w:t>2023</w:t>
      </w:r>
      <w:r>
        <w:rPr>
          <w:rFonts w:hint="eastAsia" w:ascii="宋体" w:hAnsi="宋体" w:cs="仿宋_GB2312"/>
          <w:color w:val="auto"/>
          <w:sz w:val="24"/>
          <w:highlight w:val="none"/>
          <w:lang w:val="zh-CN"/>
        </w:rPr>
        <w:t>年  月   日</w:t>
      </w:r>
    </w:p>
    <w:p>
      <w:pPr>
        <w:spacing w:before="100" w:beforeAutospacing="1"/>
        <w:jc w:val="center"/>
        <w:rPr>
          <w:rFonts w:ascii="宋体" w:hAnsi="宋体"/>
          <w:color w:val="auto"/>
          <w:sz w:val="24"/>
          <w:szCs w:val="24"/>
          <w:highlight w:val="none"/>
        </w:rPr>
      </w:pPr>
    </w:p>
    <w:p>
      <w:pPr>
        <w:spacing w:line="360"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5</w:t>
      </w:r>
      <w:r>
        <w:rPr>
          <w:rFonts w:hint="eastAsia" w:ascii="宋体" w:hAnsi="宋体"/>
          <w:b/>
          <w:color w:val="auto"/>
          <w:sz w:val="28"/>
          <w:highlight w:val="none"/>
          <w:lang w:eastAsia="zh-CN"/>
        </w:rPr>
        <w:t>：</w:t>
      </w:r>
    </w:p>
    <w:p>
      <w:pPr>
        <w:spacing w:line="360" w:lineRule="auto"/>
        <w:ind w:left="549" w:hanging="549" w:hangingChars="171"/>
        <w:jc w:val="center"/>
        <w:rPr>
          <w:rFonts w:ascii="宋体" w:hAnsi="宋体"/>
          <w:b/>
          <w:color w:val="auto"/>
          <w:sz w:val="32"/>
          <w:szCs w:val="32"/>
          <w:highlight w:val="none"/>
        </w:rPr>
      </w:pPr>
      <w:r>
        <w:rPr>
          <w:rFonts w:hint="eastAsia" w:ascii="宋体" w:hAnsi="宋体"/>
          <w:b/>
          <w:color w:val="auto"/>
          <w:sz w:val="32"/>
          <w:szCs w:val="32"/>
          <w:highlight w:val="none"/>
        </w:rPr>
        <w:t>商务需求响应表</w:t>
      </w:r>
    </w:p>
    <w:p>
      <w:pPr>
        <w:spacing w:before="100" w:beforeAutospacing="1"/>
        <w:jc w:val="center"/>
        <w:rPr>
          <w:rFonts w:hint="eastAsia" w:ascii="宋体" w:hAnsi="宋体"/>
          <w:color w:val="auto"/>
          <w:sz w:val="24"/>
          <w:highlight w:val="none"/>
        </w:rPr>
      </w:pPr>
      <w:r>
        <w:rPr>
          <w:rFonts w:hint="eastAsia" w:ascii="宋体" w:hAnsi="宋体"/>
          <w:color w:val="auto"/>
          <w:sz w:val="24"/>
          <w:szCs w:val="24"/>
          <w:highlight w:val="none"/>
        </w:rPr>
        <w:t>（如表格长度</w:t>
      </w:r>
      <w:r>
        <w:rPr>
          <w:rFonts w:hint="eastAsia" w:ascii="宋体" w:hAnsi="宋体"/>
          <w:color w:val="auto"/>
          <w:sz w:val="24"/>
          <w:szCs w:val="24"/>
          <w:highlight w:val="none"/>
          <w:lang w:eastAsia="zh-CN"/>
        </w:rPr>
        <w:t>或格式</w:t>
      </w:r>
      <w:r>
        <w:rPr>
          <w:rFonts w:hint="eastAsia" w:ascii="宋体" w:hAnsi="宋体"/>
          <w:color w:val="auto"/>
          <w:sz w:val="24"/>
          <w:szCs w:val="24"/>
          <w:highlight w:val="none"/>
        </w:rPr>
        <w:t>不够，</w:t>
      </w:r>
      <w:r>
        <w:rPr>
          <w:rFonts w:hint="eastAsia" w:ascii="宋体" w:hAnsi="宋体"/>
          <w:color w:val="auto"/>
          <w:sz w:val="24"/>
          <w:szCs w:val="24"/>
          <w:highlight w:val="none"/>
          <w:lang w:eastAsia="zh-CN"/>
        </w:rPr>
        <w:t>可按实际需要</w:t>
      </w:r>
      <w:r>
        <w:rPr>
          <w:rFonts w:hint="eastAsia" w:ascii="宋体" w:hAnsi="宋体"/>
          <w:color w:val="auto"/>
          <w:sz w:val="24"/>
          <w:szCs w:val="24"/>
          <w:highlight w:val="none"/>
        </w:rPr>
        <w:t>自制）</w:t>
      </w:r>
    </w:p>
    <w:p>
      <w:pPr>
        <w:spacing w:line="360" w:lineRule="auto"/>
        <w:ind w:left="481" w:leftChars="229" w:firstLine="813" w:firstLineChars="450"/>
        <w:rPr>
          <w:rFonts w:ascii="宋体" w:hAnsi="宋体"/>
          <w:b/>
          <w:color w:val="auto"/>
          <w:sz w:val="18"/>
          <w:szCs w:val="18"/>
          <w:highlight w:val="none"/>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35" w:type="dxa"/>
            <w:noWrap w:val="0"/>
            <w:vAlign w:val="center"/>
          </w:tcPr>
          <w:p>
            <w:pPr>
              <w:rPr>
                <w:rFonts w:ascii="宋体" w:hAnsi="宋体"/>
                <w:b/>
                <w:color w:val="auto"/>
                <w:sz w:val="24"/>
                <w:highlight w:val="none"/>
              </w:rPr>
            </w:pPr>
            <w:r>
              <w:rPr>
                <w:rFonts w:hint="eastAsia" w:ascii="宋体" w:hAnsi="宋体"/>
                <w:b/>
                <w:color w:val="auto"/>
                <w:sz w:val="24"/>
                <w:highlight w:val="none"/>
              </w:rPr>
              <w:t>序号</w:t>
            </w:r>
          </w:p>
        </w:tc>
        <w:tc>
          <w:tcPr>
            <w:tcW w:w="1785" w:type="dxa"/>
            <w:noWrap w:val="0"/>
            <w:vAlign w:val="center"/>
          </w:tcPr>
          <w:p>
            <w:pPr>
              <w:rPr>
                <w:rFonts w:ascii="宋体" w:hAnsi="宋体"/>
                <w:b/>
                <w:color w:val="auto"/>
                <w:sz w:val="24"/>
                <w:highlight w:val="none"/>
              </w:rPr>
            </w:pPr>
            <w:r>
              <w:rPr>
                <w:rFonts w:hint="eastAsia" w:ascii="宋体" w:hAnsi="宋体"/>
                <w:b/>
                <w:color w:val="auto"/>
                <w:sz w:val="24"/>
                <w:highlight w:val="none"/>
              </w:rPr>
              <w:t xml:space="preserve">   内容</w:t>
            </w:r>
          </w:p>
        </w:tc>
        <w:tc>
          <w:tcPr>
            <w:tcW w:w="1785" w:type="dxa"/>
            <w:noWrap w:val="0"/>
            <w:vAlign w:val="center"/>
          </w:tcPr>
          <w:p>
            <w:pPr>
              <w:ind w:left="53" w:leftChars="25" w:firstLine="241" w:firstLineChars="100"/>
              <w:rPr>
                <w:rFonts w:ascii="宋体" w:hAnsi="宋体"/>
                <w:b/>
                <w:color w:val="auto"/>
                <w:sz w:val="24"/>
                <w:highlight w:val="none"/>
              </w:rPr>
            </w:pPr>
            <w:r>
              <w:rPr>
                <w:rFonts w:hint="eastAsia" w:ascii="宋体" w:hAnsi="宋体"/>
                <w:b/>
                <w:color w:val="auto"/>
                <w:sz w:val="24"/>
                <w:highlight w:val="none"/>
              </w:rPr>
              <w:t>招标需求</w:t>
            </w:r>
          </w:p>
        </w:tc>
        <w:tc>
          <w:tcPr>
            <w:tcW w:w="1365" w:type="dxa"/>
            <w:noWrap w:val="0"/>
            <w:vAlign w:val="center"/>
          </w:tcPr>
          <w:p>
            <w:pPr>
              <w:ind w:left="152"/>
              <w:rPr>
                <w:rFonts w:ascii="宋体" w:hAnsi="宋体"/>
                <w:b/>
                <w:color w:val="auto"/>
                <w:sz w:val="24"/>
                <w:highlight w:val="none"/>
              </w:rPr>
            </w:pPr>
            <w:r>
              <w:rPr>
                <w:rFonts w:hint="eastAsia" w:ascii="宋体" w:hAnsi="宋体"/>
                <w:b/>
                <w:color w:val="auto"/>
                <w:sz w:val="24"/>
                <w:highlight w:val="none"/>
              </w:rPr>
              <w:t>是否响应</w:t>
            </w:r>
          </w:p>
        </w:tc>
        <w:tc>
          <w:tcPr>
            <w:tcW w:w="2625" w:type="dxa"/>
            <w:noWrap w:val="0"/>
            <w:vAlign w:val="center"/>
          </w:tcPr>
          <w:p>
            <w:pPr>
              <w:jc w:val="center"/>
              <w:rPr>
                <w:rFonts w:ascii="宋体" w:hAnsi="宋体"/>
                <w:b/>
                <w:color w:val="auto"/>
                <w:sz w:val="24"/>
                <w:highlight w:val="none"/>
              </w:rPr>
            </w:pPr>
            <w:r>
              <w:rPr>
                <w:rFonts w:hint="eastAsia" w:ascii="宋体" w:hAnsi="宋体"/>
                <w:b/>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1</w:t>
            </w:r>
          </w:p>
        </w:tc>
        <w:tc>
          <w:tcPr>
            <w:tcW w:w="1785" w:type="dxa"/>
            <w:noWrap w:val="0"/>
            <w:vAlign w:val="center"/>
          </w:tcPr>
          <w:p>
            <w:pPr>
              <w:snapToGrid w:val="0"/>
              <w:jc w:val="both"/>
              <w:rPr>
                <w:rFonts w:hint="eastAsia" w:ascii="宋体" w:hAnsi="宋体" w:eastAsia="宋体"/>
                <w:color w:val="auto"/>
                <w:sz w:val="24"/>
                <w:highlight w:val="none"/>
                <w:lang w:eastAsia="zh-CN"/>
              </w:rPr>
            </w:pPr>
            <w:r>
              <w:rPr>
                <w:rFonts w:hint="eastAsia" w:ascii="宋体" w:hAnsi="宋体"/>
                <w:color w:val="auto"/>
                <w:sz w:val="24"/>
                <w:highlight w:val="none"/>
                <w:lang w:eastAsia="zh-CN"/>
              </w:rPr>
              <w:t>售后响应</w:t>
            </w:r>
          </w:p>
        </w:tc>
        <w:tc>
          <w:tcPr>
            <w:tcW w:w="1785" w:type="dxa"/>
            <w:noWrap w:val="0"/>
            <w:vAlign w:val="center"/>
          </w:tcPr>
          <w:p>
            <w:pPr>
              <w:rPr>
                <w:rFonts w:ascii="宋体" w:hAnsi="宋体"/>
                <w:color w:val="auto"/>
                <w:sz w:val="24"/>
                <w:highlight w:val="none"/>
              </w:rPr>
            </w:pPr>
          </w:p>
        </w:tc>
        <w:tc>
          <w:tcPr>
            <w:tcW w:w="1365" w:type="dxa"/>
            <w:noWrap w:val="0"/>
            <w:vAlign w:val="center"/>
          </w:tcPr>
          <w:p>
            <w:pPr>
              <w:rPr>
                <w:rFonts w:ascii="宋体" w:hAnsi="宋体"/>
                <w:color w:val="auto"/>
                <w:sz w:val="24"/>
                <w:highlight w:val="none"/>
              </w:rPr>
            </w:pPr>
          </w:p>
        </w:tc>
        <w:tc>
          <w:tcPr>
            <w:tcW w:w="2625" w:type="dxa"/>
            <w:noWrap w:val="0"/>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2</w:t>
            </w:r>
          </w:p>
        </w:tc>
        <w:tc>
          <w:tcPr>
            <w:tcW w:w="1785" w:type="dxa"/>
            <w:noWrap w:val="0"/>
            <w:vAlign w:val="center"/>
          </w:tcPr>
          <w:p>
            <w:pPr>
              <w:snapToGrid w:val="0"/>
              <w:jc w:val="both"/>
              <w:rPr>
                <w:rFonts w:hint="eastAsia" w:ascii="宋体" w:hAnsi="宋体" w:eastAsia="宋体"/>
                <w:color w:val="auto"/>
                <w:sz w:val="24"/>
                <w:highlight w:val="none"/>
                <w:lang w:eastAsia="zh-CN"/>
              </w:rPr>
            </w:pPr>
            <w:r>
              <w:rPr>
                <w:rFonts w:hint="eastAsia" w:ascii="宋体" w:hAnsi="宋体"/>
                <w:color w:val="auto"/>
                <w:sz w:val="24"/>
                <w:highlight w:val="none"/>
                <w:lang w:eastAsia="zh-CN"/>
              </w:rPr>
              <w:t>质量保证</w:t>
            </w:r>
          </w:p>
        </w:tc>
        <w:tc>
          <w:tcPr>
            <w:tcW w:w="1785" w:type="dxa"/>
            <w:noWrap w:val="0"/>
            <w:vAlign w:val="center"/>
          </w:tcPr>
          <w:p>
            <w:pPr>
              <w:rPr>
                <w:rFonts w:ascii="宋体" w:hAnsi="宋体"/>
                <w:color w:val="auto"/>
                <w:sz w:val="24"/>
                <w:highlight w:val="none"/>
              </w:rPr>
            </w:pPr>
          </w:p>
        </w:tc>
        <w:tc>
          <w:tcPr>
            <w:tcW w:w="1365" w:type="dxa"/>
            <w:noWrap w:val="0"/>
            <w:vAlign w:val="center"/>
          </w:tcPr>
          <w:p>
            <w:pPr>
              <w:rPr>
                <w:rFonts w:ascii="宋体" w:hAnsi="宋体"/>
                <w:color w:val="auto"/>
                <w:sz w:val="24"/>
                <w:highlight w:val="none"/>
              </w:rPr>
            </w:pPr>
          </w:p>
        </w:tc>
        <w:tc>
          <w:tcPr>
            <w:tcW w:w="2625" w:type="dxa"/>
            <w:noWrap w:val="0"/>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3</w:t>
            </w:r>
          </w:p>
        </w:tc>
        <w:tc>
          <w:tcPr>
            <w:tcW w:w="1785" w:type="dxa"/>
            <w:noWrap w:val="0"/>
            <w:vAlign w:val="center"/>
          </w:tcPr>
          <w:p>
            <w:pPr>
              <w:snapToGrid w:val="0"/>
              <w:jc w:val="both"/>
              <w:rPr>
                <w:rFonts w:hint="eastAsia" w:ascii="宋体" w:hAnsi="宋体" w:eastAsia="宋体"/>
                <w:color w:val="auto"/>
                <w:sz w:val="24"/>
                <w:highlight w:val="none"/>
                <w:lang w:eastAsia="zh-CN"/>
              </w:rPr>
            </w:pPr>
            <w:r>
              <w:rPr>
                <w:rFonts w:hint="eastAsia" w:ascii="宋体" w:hAnsi="宋体"/>
                <w:color w:val="auto"/>
                <w:sz w:val="24"/>
                <w:highlight w:val="none"/>
                <w:lang w:eastAsia="zh-CN"/>
              </w:rPr>
              <w:t>中标后的授权证明</w:t>
            </w:r>
          </w:p>
        </w:tc>
        <w:tc>
          <w:tcPr>
            <w:tcW w:w="1785" w:type="dxa"/>
            <w:noWrap w:val="0"/>
            <w:vAlign w:val="center"/>
          </w:tcPr>
          <w:p>
            <w:pPr>
              <w:rPr>
                <w:rFonts w:ascii="宋体" w:hAnsi="宋体"/>
                <w:color w:val="auto"/>
                <w:sz w:val="24"/>
                <w:highlight w:val="none"/>
              </w:rPr>
            </w:pPr>
          </w:p>
        </w:tc>
        <w:tc>
          <w:tcPr>
            <w:tcW w:w="1365" w:type="dxa"/>
            <w:noWrap w:val="0"/>
            <w:vAlign w:val="center"/>
          </w:tcPr>
          <w:p>
            <w:pPr>
              <w:rPr>
                <w:rFonts w:ascii="宋体" w:hAnsi="宋体"/>
                <w:color w:val="auto"/>
                <w:sz w:val="24"/>
                <w:highlight w:val="none"/>
              </w:rPr>
            </w:pPr>
          </w:p>
        </w:tc>
        <w:tc>
          <w:tcPr>
            <w:tcW w:w="2625" w:type="dxa"/>
            <w:noWrap w:val="0"/>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4</w:t>
            </w:r>
          </w:p>
        </w:tc>
        <w:tc>
          <w:tcPr>
            <w:tcW w:w="1785" w:type="dxa"/>
            <w:noWrap w:val="0"/>
            <w:vAlign w:val="center"/>
          </w:tcPr>
          <w:p>
            <w:pPr>
              <w:snapToGrid w:val="0"/>
              <w:jc w:val="both"/>
              <w:rPr>
                <w:rFonts w:hint="eastAsia" w:ascii="宋体" w:hAnsi="宋体" w:eastAsia="宋体"/>
                <w:color w:val="auto"/>
                <w:sz w:val="24"/>
                <w:highlight w:val="none"/>
                <w:lang w:eastAsia="zh-CN"/>
              </w:rPr>
            </w:pPr>
            <w:r>
              <w:rPr>
                <w:rFonts w:hint="eastAsia" w:ascii="宋体" w:hAnsi="宋体"/>
                <w:color w:val="auto"/>
                <w:sz w:val="24"/>
                <w:highlight w:val="none"/>
                <w:lang w:eastAsia="zh-CN"/>
              </w:rPr>
              <w:t>交货期</w:t>
            </w:r>
          </w:p>
        </w:tc>
        <w:tc>
          <w:tcPr>
            <w:tcW w:w="1785" w:type="dxa"/>
            <w:noWrap w:val="0"/>
            <w:vAlign w:val="center"/>
          </w:tcPr>
          <w:p>
            <w:pPr>
              <w:rPr>
                <w:rFonts w:ascii="宋体" w:hAnsi="宋体"/>
                <w:color w:val="auto"/>
                <w:sz w:val="24"/>
                <w:highlight w:val="none"/>
              </w:rPr>
            </w:pPr>
          </w:p>
        </w:tc>
        <w:tc>
          <w:tcPr>
            <w:tcW w:w="1365" w:type="dxa"/>
            <w:noWrap w:val="0"/>
            <w:vAlign w:val="center"/>
          </w:tcPr>
          <w:p>
            <w:pPr>
              <w:rPr>
                <w:rFonts w:ascii="宋体" w:hAnsi="宋体"/>
                <w:color w:val="auto"/>
                <w:sz w:val="24"/>
                <w:highlight w:val="none"/>
              </w:rPr>
            </w:pPr>
          </w:p>
        </w:tc>
        <w:tc>
          <w:tcPr>
            <w:tcW w:w="2625" w:type="dxa"/>
            <w:noWrap w:val="0"/>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noWrap w:val="0"/>
            <w:vAlign w:val="center"/>
          </w:tcPr>
          <w:p>
            <w:pPr>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5</w:t>
            </w:r>
          </w:p>
        </w:tc>
        <w:tc>
          <w:tcPr>
            <w:tcW w:w="1785" w:type="dxa"/>
            <w:noWrap w:val="0"/>
            <w:vAlign w:val="center"/>
          </w:tcPr>
          <w:p>
            <w:pPr>
              <w:snapToGrid w:val="0"/>
              <w:jc w:val="both"/>
              <w:rPr>
                <w:rFonts w:hint="eastAsia" w:ascii="宋体" w:hAnsi="宋体" w:eastAsia="宋体"/>
                <w:color w:val="auto"/>
                <w:sz w:val="24"/>
                <w:highlight w:val="none"/>
                <w:lang w:eastAsia="zh-CN"/>
              </w:rPr>
            </w:pPr>
            <w:r>
              <w:rPr>
                <w:rFonts w:hint="eastAsia" w:ascii="宋体" w:hAnsi="宋体"/>
                <w:color w:val="auto"/>
                <w:sz w:val="24"/>
                <w:highlight w:val="none"/>
                <w:lang w:eastAsia="zh-CN"/>
              </w:rPr>
              <w:t>付款方式</w:t>
            </w:r>
          </w:p>
        </w:tc>
        <w:tc>
          <w:tcPr>
            <w:tcW w:w="1785" w:type="dxa"/>
            <w:noWrap w:val="0"/>
            <w:vAlign w:val="center"/>
          </w:tcPr>
          <w:p>
            <w:pPr>
              <w:rPr>
                <w:rFonts w:ascii="宋体" w:hAnsi="宋体"/>
                <w:color w:val="auto"/>
                <w:sz w:val="24"/>
                <w:highlight w:val="none"/>
              </w:rPr>
            </w:pPr>
          </w:p>
        </w:tc>
        <w:tc>
          <w:tcPr>
            <w:tcW w:w="1365" w:type="dxa"/>
            <w:noWrap w:val="0"/>
            <w:vAlign w:val="center"/>
          </w:tcPr>
          <w:p>
            <w:pPr>
              <w:rPr>
                <w:rFonts w:ascii="宋体" w:hAnsi="宋体"/>
                <w:color w:val="auto"/>
                <w:sz w:val="24"/>
                <w:highlight w:val="none"/>
              </w:rPr>
            </w:pPr>
          </w:p>
        </w:tc>
        <w:tc>
          <w:tcPr>
            <w:tcW w:w="2625" w:type="dxa"/>
            <w:noWrap w:val="0"/>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noWrap w:val="0"/>
            <w:vAlign w:val="center"/>
          </w:tcPr>
          <w:p>
            <w:pP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w:t>
            </w:r>
          </w:p>
        </w:tc>
        <w:tc>
          <w:tcPr>
            <w:tcW w:w="1785" w:type="dxa"/>
            <w:noWrap w:val="0"/>
            <w:vAlign w:val="center"/>
          </w:tcPr>
          <w:p>
            <w:pPr>
              <w:snapToGrid w:val="0"/>
              <w:jc w:val="both"/>
              <w:rPr>
                <w:rFonts w:ascii="宋体" w:hAnsi="宋体"/>
                <w:color w:val="auto"/>
                <w:sz w:val="24"/>
                <w:highlight w:val="none"/>
              </w:rPr>
            </w:pPr>
          </w:p>
        </w:tc>
        <w:tc>
          <w:tcPr>
            <w:tcW w:w="1785" w:type="dxa"/>
            <w:noWrap w:val="0"/>
            <w:vAlign w:val="center"/>
          </w:tcPr>
          <w:p>
            <w:pPr>
              <w:rPr>
                <w:rFonts w:ascii="宋体" w:hAnsi="宋体"/>
                <w:color w:val="auto"/>
                <w:sz w:val="24"/>
                <w:highlight w:val="none"/>
              </w:rPr>
            </w:pPr>
          </w:p>
        </w:tc>
        <w:tc>
          <w:tcPr>
            <w:tcW w:w="1365" w:type="dxa"/>
            <w:noWrap w:val="0"/>
            <w:vAlign w:val="center"/>
          </w:tcPr>
          <w:p>
            <w:pPr>
              <w:rPr>
                <w:rFonts w:ascii="宋体" w:hAnsi="宋体"/>
                <w:color w:val="auto"/>
                <w:sz w:val="24"/>
                <w:highlight w:val="none"/>
              </w:rPr>
            </w:pPr>
          </w:p>
        </w:tc>
        <w:tc>
          <w:tcPr>
            <w:tcW w:w="2625" w:type="dxa"/>
            <w:noWrap w:val="0"/>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noWrap w:val="0"/>
            <w:vAlign w:val="center"/>
          </w:tcPr>
          <w:p>
            <w:pPr>
              <w:rPr>
                <w:rFonts w:ascii="宋体" w:hAnsi="宋体"/>
                <w:color w:val="auto"/>
                <w:sz w:val="24"/>
                <w:highlight w:val="none"/>
              </w:rPr>
            </w:pPr>
          </w:p>
        </w:tc>
        <w:tc>
          <w:tcPr>
            <w:tcW w:w="1785" w:type="dxa"/>
            <w:noWrap w:val="0"/>
            <w:vAlign w:val="center"/>
          </w:tcPr>
          <w:p>
            <w:pPr>
              <w:snapToGrid w:val="0"/>
              <w:jc w:val="both"/>
              <w:rPr>
                <w:rFonts w:ascii="宋体" w:hAnsi="宋体"/>
                <w:color w:val="auto"/>
                <w:sz w:val="24"/>
                <w:highlight w:val="none"/>
              </w:rPr>
            </w:pPr>
          </w:p>
        </w:tc>
        <w:tc>
          <w:tcPr>
            <w:tcW w:w="1785" w:type="dxa"/>
            <w:noWrap w:val="0"/>
            <w:vAlign w:val="center"/>
          </w:tcPr>
          <w:p>
            <w:pPr>
              <w:rPr>
                <w:rFonts w:ascii="宋体" w:hAnsi="宋体"/>
                <w:color w:val="auto"/>
                <w:sz w:val="24"/>
                <w:highlight w:val="none"/>
              </w:rPr>
            </w:pPr>
          </w:p>
        </w:tc>
        <w:tc>
          <w:tcPr>
            <w:tcW w:w="1365" w:type="dxa"/>
            <w:noWrap w:val="0"/>
            <w:vAlign w:val="center"/>
          </w:tcPr>
          <w:p>
            <w:pPr>
              <w:rPr>
                <w:rFonts w:ascii="宋体" w:hAnsi="宋体"/>
                <w:color w:val="auto"/>
                <w:sz w:val="24"/>
                <w:highlight w:val="none"/>
              </w:rPr>
            </w:pPr>
          </w:p>
        </w:tc>
        <w:tc>
          <w:tcPr>
            <w:tcW w:w="2625" w:type="dxa"/>
            <w:noWrap w:val="0"/>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noWrap w:val="0"/>
            <w:vAlign w:val="center"/>
          </w:tcPr>
          <w:p>
            <w:pPr>
              <w:rPr>
                <w:rFonts w:ascii="宋体" w:hAnsi="宋体"/>
                <w:color w:val="auto"/>
                <w:sz w:val="24"/>
                <w:highlight w:val="none"/>
              </w:rPr>
            </w:pPr>
          </w:p>
        </w:tc>
        <w:tc>
          <w:tcPr>
            <w:tcW w:w="1785" w:type="dxa"/>
            <w:noWrap w:val="0"/>
            <w:vAlign w:val="top"/>
          </w:tcPr>
          <w:p>
            <w:pPr>
              <w:snapToGrid w:val="0"/>
              <w:rPr>
                <w:rFonts w:ascii="宋体" w:hAnsi="宋体"/>
                <w:color w:val="auto"/>
                <w:sz w:val="24"/>
                <w:highlight w:val="none"/>
              </w:rPr>
            </w:pPr>
          </w:p>
        </w:tc>
        <w:tc>
          <w:tcPr>
            <w:tcW w:w="1785" w:type="dxa"/>
            <w:noWrap w:val="0"/>
            <w:vAlign w:val="center"/>
          </w:tcPr>
          <w:p>
            <w:pPr>
              <w:rPr>
                <w:rFonts w:ascii="宋体" w:hAnsi="宋体"/>
                <w:color w:val="auto"/>
                <w:sz w:val="24"/>
                <w:highlight w:val="none"/>
              </w:rPr>
            </w:pPr>
          </w:p>
        </w:tc>
        <w:tc>
          <w:tcPr>
            <w:tcW w:w="1365" w:type="dxa"/>
            <w:noWrap w:val="0"/>
            <w:vAlign w:val="center"/>
          </w:tcPr>
          <w:p>
            <w:pPr>
              <w:rPr>
                <w:rFonts w:ascii="宋体" w:hAnsi="宋体"/>
                <w:color w:val="auto"/>
                <w:sz w:val="24"/>
                <w:highlight w:val="none"/>
              </w:rPr>
            </w:pPr>
          </w:p>
        </w:tc>
        <w:tc>
          <w:tcPr>
            <w:tcW w:w="2625" w:type="dxa"/>
            <w:noWrap w:val="0"/>
            <w:vAlign w:val="center"/>
          </w:tcPr>
          <w:p>
            <w:pPr>
              <w:rPr>
                <w:rFonts w:ascii="宋体" w:hAnsi="宋体"/>
                <w:color w:val="auto"/>
                <w:sz w:val="24"/>
                <w:highlight w:val="none"/>
              </w:rPr>
            </w:pPr>
          </w:p>
        </w:tc>
      </w:tr>
    </w:tbl>
    <w:p>
      <w:pPr>
        <w:spacing w:line="360" w:lineRule="auto"/>
        <w:ind w:firstLine="422" w:firstLineChars="200"/>
        <w:rPr>
          <w:rFonts w:hint="eastAsia" w:ascii="宋体"/>
          <w:b/>
          <w:bCs/>
          <w:szCs w:val="21"/>
          <w:lang w:eastAsia="zh-CN"/>
        </w:rPr>
      </w:pPr>
    </w:p>
    <w:p>
      <w:pPr>
        <w:ind w:left="420"/>
        <w:rPr>
          <w:rFonts w:hint="eastAsia" w:ascii="宋体"/>
          <w:b/>
          <w:bCs/>
          <w:szCs w:val="21"/>
          <w:lang w:val="en-US" w:eastAsia="zh-CN"/>
        </w:rPr>
      </w:pPr>
      <w:r>
        <w:rPr>
          <w:rFonts w:hint="eastAsia" w:ascii="宋体"/>
          <w:b/>
          <w:bCs/>
          <w:szCs w:val="21"/>
          <w:lang w:val="en-US" w:eastAsia="zh-CN"/>
        </w:rPr>
        <w:t xml:space="preserve"> </w:t>
      </w:r>
    </w:p>
    <w:p>
      <w:pPr>
        <w:pStyle w:val="36"/>
        <w:rPr>
          <w:rFonts w:hint="eastAsia"/>
        </w:rPr>
      </w:pPr>
    </w:p>
    <w:p>
      <w:pPr>
        <w:ind w:left="420"/>
        <w:rPr>
          <w:rFonts w:ascii="宋体" w:hAnsi="宋体"/>
          <w:color w:val="auto"/>
          <w:sz w:val="24"/>
          <w:highlight w:val="none"/>
          <w:u w:val="single"/>
        </w:rPr>
      </w:pPr>
      <w:r>
        <w:rPr>
          <w:rFonts w:hint="eastAsia" w:ascii="宋体" w:hAnsi="宋体"/>
          <w:color w:val="auto"/>
          <w:sz w:val="24"/>
          <w:highlight w:val="none"/>
        </w:rPr>
        <w:t>投标人名称（盖章）：</w:t>
      </w:r>
    </w:p>
    <w:p>
      <w:pPr>
        <w:ind w:left="420"/>
        <w:rPr>
          <w:rFonts w:ascii="宋体" w:hAnsi="宋体"/>
          <w:color w:val="auto"/>
          <w:sz w:val="24"/>
          <w:highlight w:val="none"/>
        </w:rPr>
      </w:pPr>
    </w:p>
    <w:p>
      <w:pPr>
        <w:rPr>
          <w:rFonts w:ascii="宋体" w:hAnsi="宋体"/>
          <w:color w:val="auto"/>
          <w:sz w:val="24"/>
          <w:highlight w:val="none"/>
        </w:rPr>
      </w:pPr>
    </w:p>
    <w:p>
      <w:pPr>
        <w:ind w:firstLine="435"/>
        <w:rPr>
          <w:rFonts w:ascii="宋体" w:hAnsi="宋体"/>
          <w:color w:val="auto"/>
          <w:sz w:val="24"/>
          <w:highlight w:val="none"/>
        </w:rPr>
      </w:pPr>
      <w:r>
        <w:rPr>
          <w:rFonts w:hint="eastAsia" w:ascii="宋体" w:hAnsi="宋体"/>
          <w:color w:val="auto"/>
          <w:sz w:val="24"/>
          <w:highlight w:val="none"/>
        </w:rPr>
        <w:t>日        期：</w:t>
      </w:r>
      <w:r>
        <w:rPr>
          <w:rFonts w:hint="eastAsia" w:ascii="宋体" w:hAnsi="宋体" w:cs="仿宋_GB2312"/>
          <w:color w:val="auto"/>
          <w:sz w:val="24"/>
          <w:highlight w:val="none"/>
          <w:lang w:eastAsia="zh-CN"/>
        </w:rPr>
        <w:t>2023</w:t>
      </w:r>
      <w:r>
        <w:rPr>
          <w:rFonts w:hint="eastAsia" w:ascii="宋体" w:hAnsi="宋体" w:cs="仿宋_GB2312"/>
          <w:color w:val="auto"/>
          <w:sz w:val="24"/>
          <w:highlight w:val="none"/>
          <w:lang w:val="zh-CN"/>
        </w:rPr>
        <w:t>年  月   日</w:t>
      </w:r>
    </w:p>
    <w:p>
      <w:pPr>
        <w:ind w:firstLine="435"/>
        <w:rPr>
          <w:rFonts w:ascii="宋体" w:hAnsi="宋体"/>
          <w:color w:val="auto"/>
          <w:sz w:val="24"/>
          <w:highlight w:val="none"/>
          <w:u w:val="single"/>
        </w:rPr>
      </w:pPr>
    </w:p>
    <w:p>
      <w:pPr>
        <w:spacing w:line="360" w:lineRule="auto"/>
        <w:jc w:val="right"/>
        <w:rPr>
          <w:rFonts w:hint="eastAsia" w:ascii="宋体" w:hAnsi="宋体" w:eastAsia="宋体" w:cs="Times New Roman"/>
          <w:color w:val="auto"/>
          <w:sz w:val="36"/>
          <w:szCs w:val="36"/>
          <w:highlight w:val="none"/>
          <w:lang w:val="en-US" w:eastAsia="zh-CN"/>
        </w:rPr>
      </w:pPr>
      <w:r>
        <w:rPr>
          <w:rFonts w:ascii="宋体" w:hAnsi="宋体"/>
          <w:b/>
          <w:color w:val="auto"/>
          <w:sz w:val="28"/>
          <w:highlight w:val="none"/>
        </w:rPr>
        <w:br w:type="page"/>
      </w:r>
      <w:r>
        <w:rPr>
          <w:rFonts w:hint="eastAsia" w:ascii="楷体_GB2312" w:eastAsia="楷体_GB2312"/>
          <w:b/>
          <w:snapToGrid w:val="0"/>
          <w:color w:val="auto"/>
          <w:sz w:val="32"/>
          <w:highlight w:val="none"/>
        </w:rPr>
        <w:t>正本或副本</w:t>
      </w:r>
    </w:p>
    <w:p>
      <w:pPr>
        <w:spacing w:beforeLines="100" w:line="360" w:lineRule="auto"/>
        <w:ind w:right="-108"/>
        <w:jc w:val="center"/>
        <w:rPr>
          <w:rFonts w:hint="eastAsia" w:ascii="宋体" w:hAnsi="宋体" w:cs="Times New Roman"/>
          <w:color w:val="auto"/>
          <w:sz w:val="36"/>
          <w:szCs w:val="36"/>
          <w:highlight w:val="none"/>
          <w:lang w:eastAsia="zh-CN"/>
        </w:rPr>
      </w:pPr>
    </w:p>
    <w:p>
      <w:pPr>
        <w:spacing w:beforeLines="100" w:line="360" w:lineRule="auto"/>
        <w:ind w:right="-108"/>
        <w:jc w:val="center"/>
        <w:rPr>
          <w:rFonts w:hint="eastAsia" w:ascii="宋体" w:hAnsi="宋体" w:cs="Times New Roman"/>
          <w:color w:val="auto"/>
          <w:sz w:val="36"/>
          <w:szCs w:val="36"/>
          <w:highlight w:val="none"/>
          <w:lang w:eastAsia="zh-CN"/>
        </w:rPr>
      </w:pPr>
      <w:r>
        <w:rPr>
          <w:rFonts w:hint="eastAsia" w:ascii="宋体" w:hAnsi="宋体" w:cs="Times New Roman"/>
          <w:color w:val="auto"/>
          <w:sz w:val="36"/>
          <w:szCs w:val="36"/>
          <w:highlight w:val="none"/>
          <w:lang w:eastAsia="zh-CN"/>
        </w:rPr>
        <w:t>项目名称：2023-2025年路桥区地方教材及</w:t>
      </w:r>
    </w:p>
    <w:p>
      <w:pPr>
        <w:spacing w:beforeLines="100" w:line="360" w:lineRule="auto"/>
        <w:ind w:right="-108"/>
        <w:jc w:val="center"/>
        <w:rPr>
          <w:rFonts w:hint="eastAsia" w:ascii="宋体" w:hAnsi="宋体" w:eastAsia="宋体" w:cs="Times New Roman"/>
          <w:color w:val="auto"/>
          <w:sz w:val="36"/>
          <w:szCs w:val="36"/>
          <w:highlight w:val="none"/>
        </w:rPr>
      </w:pPr>
      <w:r>
        <w:rPr>
          <w:rFonts w:hint="eastAsia" w:ascii="宋体" w:hAnsi="宋体" w:cs="Times New Roman"/>
          <w:color w:val="auto"/>
          <w:sz w:val="36"/>
          <w:szCs w:val="36"/>
          <w:highlight w:val="none"/>
          <w:lang w:eastAsia="zh-CN"/>
        </w:rPr>
        <w:t>配套作业本采购</w:t>
      </w:r>
    </w:p>
    <w:p>
      <w:pPr>
        <w:spacing w:beforeLines="100" w:line="360" w:lineRule="auto"/>
        <w:ind w:right="-108"/>
        <w:jc w:val="center"/>
        <w:rPr>
          <w:rFonts w:hint="eastAsia" w:ascii="宋体" w:hAnsi="宋体"/>
          <w:color w:val="auto"/>
          <w:sz w:val="36"/>
          <w:szCs w:val="36"/>
          <w:highlight w:val="none"/>
          <w:lang w:eastAsia="zh-CN"/>
        </w:rPr>
      </w:pPr>
      <w:r>
        <w:rPr>
          <w:rFonts w:hint="eastAsia" w:ascii="宋体" w:hAnsi="宋体"/>
          <w:color w:val="auto"/>
          <w:sz w:val="36"/>
          <w:szCs w:val="36"/>
          <w:highlight w:val="none"/>
        </w:rPr>
        <w:t>项目编号：</w:t>
      </w:r>
      <w:r>
        <w:rPr>
          <w:rFonts w:hint="eastAsia" w:ascii="宋体" w:hAnsi="宋体"/>
          <w:color w:val="auto"/>
          <w:sz w:val="36"/>
          <w:szCs w:val="36"/>
          <w:highlight w:val="none"/>
          <w:lang w:eastAsia="zh-CN"/>
        </w:rPr>
        <w:t>LQCG-2023-GK023号</w:t>
      </w:r>
    </w:p>
    <w:p>
      <w:pPr>
        <w:pStyle w:val="45"/>
      </w:pP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报</w:t>
      </w: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价</w:t>
      </w: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文</w:t>
      </w:r>
    </w:p>
    <w:p>
      <w:pPr>
        <w:spacing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件</w:t>
      </w:r>
    </w:p>
    <w:p>
      <w:pPr>
        <w:ind w:right="533"/>
        <w:jc w:val="both"/>
        <w:rPr>
          <w:rFonts w:ascii="宋体" w:hAnsi="宋体"/>
          <w:color w:val="auto"/>
          <w:sz w:val="40"/>
          <w:szCs w:val="40"/>
          <w:highlight w:val="none"/>
        </w:rPr>
      </w:pPr>
    </w:p>
    <w:p>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供应商全称（公章）：</w:t>
      </w:r>
    </w:p>
    <w:p>
      <w:pPr>
        <w:spacing w:line="360" w:lineRule="auto"/>
        <w:ind w:right="-108"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pPr>
        <w:spacing w:line="360" w:lineRule="auto"/>
        <w:ind w:right="-108" w:firstLine="640" w:firstLineChars="200"/>
        <w:rPr>
          <w:rFonts w:ascii="仿宋_GB2312" w:hAnsi="宋体" w:eastAsia="仿宋_GB2312"/>
          <w:b/>
          <w:color w:val="auto"/>
          <w:sz w:val="36"/>
          <w:szCs w:val="36"/>
          <w:highlight w:val="none"/>
        </w:rPr>
      </w:pPr>
      <w:r>
        <w:rPr>
          <w:rFonts w:hint="eastAsia" w:ascii="宋体" w:hAnsi="宋体"/>
          <w:color w:val="auto"/>
          <w:sz w:val="32"/>
          <w:szCs w:val="32"/>
          <w:highlight w:val="none"/>
        </w:rPr>
        <w:t>时    间：</w:t>
      </w:r>
      <w:r>
        <w:rPr>
          <w:rFonts w:ascii="仿宋_GB2312" w:hAnsi="宋体" w:eastAsia="仿宋_GB2312"/>
          <w:b/>
          <w:color w:val="auto"/>
          <w:sz w:val="36"/>
          <w:szCs w:val="36"/>
          <w:highlight w:val="none"/>
        </w:rPr>
        <w:br w:type="page"/>
      </w:r>
    </w:p>
    <w:p>
      <w:pPr>
        <w:spacing w:line="360" w:lineRule="auto"/>
        <w:ind w:right="-108"/>
        <w:jc w:val="center"/>
        <w:rPr>
          <w:rFonts w:ascii="宋体" w:hAnsi="宋体"/>
          <w:b/>
          <w:color w:val="auto"/>
          <w:sz w:val="36"/>
          <w:szCs w:val="32"/>
          <w:highlight w:val="none"/>
        </w:rPr>
      </w:pPr>
    </w:p>
    <w:p>
      <w:pPr>
        <w:spacing w:line="360" w:lineRule="auto"/>
        <w:ind w:right="-108"/>
        <w:jc w:val="center"/>
        <w:rPr>
          <w:rFonts w:ascii="宋体" w:hAnsi="宋体"/>
          <w:b/>
          <w:color w:val="auto"/>
          <w:sz w:val="36"/>
          <w:szCs w:val="32"/>
          <w:highlight w:val="none"/>
        </w:rPr>
      </w:pPr>
      <w:r>
        <w:rPr>
          <w:rFonts w:hint="eastAsia" w:ascii="宋体" w:hAnsi="宋体"/>
          <w:b/>
          <w:color w:val="auto"/>
          <w:sz w:val="36"/>
          <w:szCs w:val="32"/>
          <w:highlight w:val="none"/>
        </w:rPr>
        <w:t>报价文件目录</w:t>
      </w:r>
    </w:p>
    <w:p>
      <w:pPr>
        <w:snapToGrid w:val="0"/>
        <w:spacing w:line="360" w:lineRule="auto"/>
        <w:ind w:firstLine="480" w:firstLineChars="200"/>
        <w:rPr>
          <w:rFonts w:ascii="宋体" w:hAnsi="宋体"/>
          <w:color w:val="auto"/>
          <w:sz w:val="24"/>
          <w:highlight w:val="none"/>
        </w:rPr>
      </w:pP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1、开标一览表（附件</w:t>
      </w:r>
      <w:r>
        <w:rPr>
          <w:rFonts w:hint="eastAsia" w:ascii="宋体" w:hAnsi="宋体"/>
          <w:color w:val="auto"/>
          <w:sz w:val="24"/>
          <w:highlight w:val="none"/>
          <w:lang w:val="en-US" w:eastAsia="zh-CN"/>
        </w:rPr>
        <w:t>6</w:t>
      </w:r>
      <w:r>
        <w:rPr>
          <w:rFonts w:hint="eastAsia" w:ascii="宋体" w:hAnsi="宋体"/>
          <w:color w:val="auto"/>
          <w:sz w:val="24"/>
          <w:highlight w:val="none"/>
        </w:rPr>
        <w:t>）；</w:t>
      </w:r>
    </w:p>
    <w:p>
      <w:pPr>
        <w:pStyle w:val="21"/>
        <w:snapToGrid w:val="0"/>
        <w:spacing w:line="360" w:lineRule="auto"/>
        <w:ind w:left="0" w:leftChars="0" w:firstLine="480" w:firstLineChars="200"/>
        <w:rPr>
          <w:color w:val="auto"/>
          <w:szCs w:val="24"/>
          <w:highlight w:val="none"/>
        </w:rPr>
      </w:pPr>
      <w:r>
        <w:rPr>
          <w:rFonts w:hint="eastAsia"/>
          <w:color w:val="auto"/>
          <w:szCs w:val="24"/>
          <w:highlight w:val="none"/>
        </w:rPr>
        <w:t>2、报价</w:t>
      </w:r>
      <w:r>
        <w:rPr>
          <w:rFonts w:hint="eastAsia"/>
          <w:color w:val="auto"/>
          <w:szCs w:val="24"/>
          <w:highlight w:val="none"/>
          <w:lang w:eastAsia="zh-CN"/>
        </w:rPr>
        <w:t>明细</w:t>
      </w:r>
      <w:r>
        <w:rPr>
          <w:rFonts w:hint="eastAsia"/>
          <w:color w:val="auto"/>
          <w:szCs w:val="24"/>
          <w:highlight w:val="none"/>
        </w:rPr>
        <w:t>表</w:t>
      </w:r>
      <w:r>
        <w:rPr>
          <w:rFonts w:hint="eastAsia"/>
          <w:color w:val="auto"/>
          <w:highlight w:val="none"/>
        </w:rPr>
        <w:t>（附件</w:t>
      </w:r>
      <w:r>
        <w:rPr>
          <w:rFonts w:hint="eastAsia"/>
          <w:color w:val="auto"/>
          <w:highlight w:val="none"/>
          <w:lang w:val="en-US" w:eastAsia="zh-CN"/>
        </w:rPr>
        <w:t>7</w:t>
      </w:r>
      <w:r>
        <w:rPr>
          <w:rFonts w:hint="eastAsia"/>
          <w:color w:val="auto"/>
          <w:highlight w:val="none"/>
        </w:rPr>
        <w:t>）</w:t>
      </w:r>
      <w:r>
        <w:rPr>
          <w:rFonts w:hint="eastAsia"/>
          <w:color w:val="auto"/>
          <w:szCs w:val="24"/>
          <w:highlight w:val="none"/>
        </w:rPr>
        <w:t>；</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3、针对报价投标人认为其他需要说明的</w:t>
      </w:r>
      <w:r>
        <w:rPr>
          <w:rFonts w:hint="eastAsia" w:ascii="宋体" w:hAnsi="宋体"/>
          <w:color w:val="auto"/>
          <w:sz w:val="24"/>
          <w:highlight w:val="none"/>
          <w:lang w:eastAsia="zh-CN"/>
        </w:rPr>
        <w:t>（格式自拟）</w:t>
      </w:r>
      <w:r>
        <w:rPr>
          <w:rFonts w:hint="eastAsia" w:ascii="宋体" w:hAnsi="宋体"/>
          <w:color w:val="auto"/>
          <w:sz w:val="24"/>
          <w:highlight w:val="none"/>
        </w:rPr>
        <w:t>；</w:t>
      </w:r>
    </w:p>
    <w:p>
      <w:pPr>
        <w:spacing w:line="360" w:lineRule="auto"/>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rPr>
          <w:rFonts w:hint="default" w:ascii="宋体" w:hAnsi="宋体" w:eastAsia="宋体"/>
          <w:b/>
          <w:color w:val="auto"/>
          <w:sz w:val="28"/>
          <w:highlight w:val="none"/>
          <w:lang w:val="en-US" w:eastAsia="zh-CN"/>
        </w:rPr>
      </w:pPr>
      <w:r>
        <w:rPr>
          <w:rFonts w:ascii="宋体" w:hAnsi="宋体"/>
          <w:b/>
          <w:color w:val="auto"/>
          <w:sz w:val="28"/>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6：</w:t>
      </w:r>
    </w:p>
    <w:p>
      <w:pPr>
        <w:spacing w:line="360" w:lineRule="auto"/>
        <w:ind w:left="-2" w:hanging="2"/>
        <w:jc w:val="center"/>
        <w:rPr>
          <w:rFonts w:ascii="宋体" w:hAnsi="宋体"/>
          <w:b/>
          <w:color w:val="auto"/>
          <w:sz w:val="32"/>
          <w:szCs w:val="32"/>
          <w:highlight w:val="none"/>
        </w:rPr>
      </w:pPr>
      <w:r>
        <w:rPr>
          <w:rFonts w:hint="eastAsia" w:ascii="宋体" w:hAnsi="宋体"/>
          <w:b/>
          <w:color w:val="auto"/>
          <w:sz w:val="32"/>
          <w:szCs w:val="32"/>
          <w:highlight w:val="none"/>
        </w:rPr>
        <w:t>开标一览表</w:t>
      </w:r>
    </w:p>
    <w:p>
      <w:pPr>
        <w:pStyle w:val="67"/>
        <w:spacing w:line="360" w:lineRule="auto"/>
        <w:ind w:firstLine="480" w:firstLineChars="200"/>
        <w:jc w:val="left"/>
        <w:rPr>
          <w:rFonts w:hint="eastAsia" w:hAnsi="宋体"/>
          <w:b w:val="0"/>
          <w:bCs/>
          <w:color w:val="auto"/>
          <w:sz w:val="24"/>
          <w:highlight w:val="none"/>
          <w:lang w:val="en-US" w:eastAsia="zh-CN"/>
        </w:rPr>
      </w:pPr>
    </w:p>
    <w:p>
      <w:pPr>
        <w:pStyle w:val="67"/>
        <w:spacing w:line="360" w:lineRule="auto"/>
        <w:ind w:firstLine="480" w:firstLineChars="200"/>
        <w:jc w:val="left"/>
        <w:rPr>
          <w:rFonts w:hAnsi="宋体"/>
          <w:color w:val="auto"/>
          <w:sz w:val="24"/>
          <w:highlight w:val="none"/>
        </w:rPr>
      </w:pPr>
      <w:r>
        <w:rPr>
          <w:rFonts w:hint="eastAsia" w:hAnsi="宋体"/>
          <w:b w:val="0"/>
          <w:bCs/>
          <w:color w:val="auto"/>
          <w:sz w:val="24"/>
          <w:highlight w:val="none"/>
          <w:lang w:val="en-US" w:eastAsia="zh-CN"/>
        </w:rPr>
        <w:t xml:space="preserve"> </w:t>
      </w:r>
      <w:r>
        <w:rPr>
          <w:rFonts w:hint="eastAsia" w:ascii="宋体" w:hAnsi="宋体"/>
          <w:color w:val="auto"/>
          <w:sz w:val="24"/>
          <w:highlight w:val="none"/>
        </w:rPr>
        <w:t>单位：人民币/元</w:t>
      </w:r>
    </w:p>
    <w:tbl>
      <w:tblPr>
        <w:tblStyle w:val="37"/>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708"/>
        <w:gridCol w:w="1356"/>
        <w:gridCol w:w="465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25" w:hRule="atLeast"/>
          <w:jc w:val="center"/>
        </w:trPr>
        <w:tc>
          <w:tcPr>
            <w:tcW w:w="2708"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投标</w:t>
            </w:r>
            <w:r>
              <w:rPr>
                <w:rFonts w:hint="eastAsia" w:ascii="宋体" w:hAnsi="宋体"/>
                <w:b/>
                <w:color w:val="auto"/>
                <w:sz w:val="24"/>
                <w:highlight w:val="none"/>
                <w:lang w:eastAsia="zh-CN"/>
              </w:rPr>
              <w:t>总报</w:t>
            </w:r>
            <w:r>
              <w:rPr>
                <w:rFonts w:hint="eastAsia" w:ascii="宋体" w:hAnsi="宋体"/>
                <w:b/>
                <w:color w:val="auto"/>
                <w:sz w:val="24"/>
                <w:highlight w:val="none"/>
              </w:rPr>
              <w:t>价</w:t>
            </w:r>
          </w:p>
          <w:p>
            <w:pPr>
              <w:jc w:val="center"/>
              <w:rPr>
                <w:rFonts w:ascii="宋体" w:hAnsi="宋体"/>
                <w:b/>
                <w:color w:val="auto"/>
                <w:sz w:val="24"/>
                <w:highlight w:val="none"/>
              </w:rPr>
            </w:pPr>
            <w:r>
              <w:rPr>
                <w:rFonts w:hint="eastAsia" w:ascii="宋体" w:hAnsi="宋体"/>
                <w:b/>
                <w:color w:val="auto"/>
                <w:sz w:val="24"/>
                <w:highlight w:val="none"/>
              </w:rPr>
              <w:t>(</w:t>
            </w:r>
            <w:r>
              <w:rPr>
                <w:rFonts w:hint="eastAsia" w:ascii="宋体" w:hAnsi="宋体" w:eastAsia="宋体" w:cs="宋体"/>
                <w:b/>
                <w:bCs/>
                <w:color w:val="000000"/>
                <w:kern w:val="0"/>
                <w:sz w:val="24"/>
                <w:szCs w:val="24"/>
                <w:lang w:val="en-US" w:eastAsia="zh-CN" w:bidi="ar"/>
              </w:rPr>
              <w:t>单位：人民币元，精确到分</w:t>
            </w:r>
            <w:r>
              <w:rPr>
                <w:rFonts w:hint="eastAsia" w:ascii="宋体" w:hAnsi="宋体"/>
                <w:b/>
                <w:color w:val="auto"/>
                <w:sz w:val="24"/>
                <w:highlight w:val="none"/>
              </w:rPr>
              <w:t>)</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50" w:lineRule="exact"/>
              <w:jc w:val="center"/>
              <w:textAlignment w:val="bottom"/>
              <w:rPr>
                <w:rFonts w:ascii="宋体" w:hAnsi="宋体"/>
                <w:b/>
                <w:color w:val="auto"/>
                <w:sz w:val="24"/>
                <w:highlight w:val="none"/>
              </w:rPr>
            </w:pPr>
            <w:r>
              <w:rPr>
                <w:rFonts w:hint="eastAsia" w:ascii="宋体" w:hAnsi="宋体"/>
                <w:b/>
                <w:color w:val="auto"/>
                <w:sz w:val="24"/>
                <w:highlight w:val="none"/>
              </w:rPr>
              <w:t>大写</w:t>
            </w:r>
          </w:p>
        </w:tc>
        <w:tc>
          <w:tcPr>
            <w:tcW w:w="465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50" w:lineRule="exact"/>
              <w:jc w:val="center"/>
              <w:textAlignment w:val="bottom"/>
              <w:rPr>
                <w:rFonts w:ascii="宋体" w:hAnsi="宋体"/>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59" w:hRule="atLeast"/>
          <w:jc w:val="center"/>
        </w:trPr>
        <w:tc>
          <w:tcPr>
            <w:tcW w:w="2708"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b/>
                <w:color w:val="auto"/>
                <w:sz w:val="24"/>
                <w:highlight w:val="none"/>
                <w:lang w:eastAsia="zh-CN"/>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50" w:lineRule="exact"/>
              <w:jc w:val="center"/>
              <w:textAlignment w:val="bottom"/>
              <w:rPr>
                <w:rFonts w:hint="eastAsia" w:ascii="宋体" w:hAnsi="宋体" w:eastAsia="宋体" w:cs="Times New Roman"/>
                <w:b/>
                <w:color w:val="auto"/>
                <w:sz w:val="24"/>
                <w:highlight w:val="none"/>
                <w:lang w:val="en-US" w:eastAsia="zh-CN" w:bidi="ar-SA"/>
              </w:rPr>
            </w:pPr>
            <w:r>
              <w:rPr>
                <w:rFonts w:hint="eastAsia" w:ascii="宋体" w:hAnsi="宋体"/>
                <w:b/>
                <w:color w:val="auto"/>
                <w:sz w:val="24"/>
                <w:highlight w:val="none"/>
              </w:rPr>
              <w:t>小写</w:t>
            </w:r>
          </w:p>
        </w:tc>
        <w:tc>
          <w:tcPr>
            <w:tcW w:w="465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50" w:lineRule="exact"/>
              <w:jc w:val="center"/>
              <w:textAlignment w:val="bottom"/>
              <w:rPr>
                <w:rFonts w:ascii="宋体" w:hAnsi="宋体"/>
                <w:b/>
                <w:color w:val="auto"/>
                <w:sz w:val="24"/>
                <w:highlight w:val="none"/>
              </w:rPr>
            </w:pPr>
          </w:p>
        </w:tc>
      </w:tr>
    </w:tbl>
    <w:p>
      <w:pPr>
        <w:spacing w:before="100" w:beforeAutospacing="1" w:line="360" w:lineRule="auto"/>
        <w:rPr>
          <w:rFonts w:ascii="宋体" w:hAnsi="宋体"/>
          <w:color w:val="auto"/>
          <w:sz w:val="24"/>
          <w:szCs w:val="24"/>
          <w:highlight w:val="none"/>
        </w:rPr>
      </w:pPr>
      <w:r>
        <w:rPr>
          <w:rFonts w:hint="eastAsia" w:ascii="宋体" w:hAnsi="宋体"/>
          <w:b/>
          <w:color w:val="auto"/>
          <w:sz w:val="24"/>
          <w:szCs w:val="24"/>
          <w:highlight w:val="none"/>
        </w:rPr>
        <w:t>填报要求：</w:t>
      </w:r>
    </w:p>
    <w:p>
      <w:pPr>
        <w:widowControl w:val="0"/>
        <w:spacing w:line="360" w:lineRule="auto"/>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rPr>
        <w:t>1、</w:t>
      </w:r>
      <w:r>
        <w:rPr>
          <w:rFonts w:hint="eastAsia" w:ascii="宋体" w:hAnsi="宋体"/>
          <w:bCs/>
          <w:color w:val="auto"/>
          <w:sz w:val="24"/>
          <w:szCs w:val="24"/>
          <w:highlight w:val="none"/>
          <w:lang w:val="zh-CN"/>
        </w:rPr>
        <w:t>投标报价是履行合同的最终价格，包括货款、标准附件、备品备件、专用工具、包装、运输、装卸、保险、税金、货到就位以及安装、调试、验收、培训、保修、合同包含的所有风险责任等各项费用及不可预见费等一切费用。</w:t>
      </w:r>
    </w:p>
    <w:p>
      <w:pPr>
        <w:spacing w:line="360" w:lineRule="auto"/>
        <w:ind w:firstLine="480" w:firstLineChars="200"/>
        <w:rPr>
          <w:rFonts w:ascii="宋体" w:hAnsi="宋体"/>
          <w:b/>
          <w:i/>
          <w:color w:val="auto"/>
          <w:sz w:val="24"/>
          <w:szCs w:val="24"/>
          <w:highlight w:val="none"/>
          <w:u w:val="single"/>
        </w:rPr>
      </w:pPr>
      <w:r>
        <w:rPr>
          <w:rFonts w:hint="eastAsia" w:ascii="宋体" w:hAnsi="宋体"/>
          <w:color w:val="auto"/>
          <w:sz w:val="24"/>
          <w:szCs w:val="24"/>
          <w:highlight w:val="none"/>
        </w:rPr>
        <w:t>2、报价一经涂改，应在涂改处加盖单位公章，或者由法定代表人或投标人代表签名或盖章，否则其投标作无效标处理。</w:t>
      </w:r>
    </w:p>
    <w:p>
      <w:pPr>
        <w:spacing w:line="360" w:lineRule="auto"/>
        <w:ind w:left="420"/>
        <w:rPr>
          <w:rFonts w:ascii="宋体" w:hAnsi="宋体"/>
          <w:color w:val="auto"/>
          <w:sz w:val="24"/>
          <w:szCs w:val="24"/>
          <w:highlight w:val="none"/>
        </w:rPr>
      </w:pPr>
    </w:p>
    <w:p>
      <w:pPr>
        <w:ind w:left="420"/>
        <w:rPr>
          <w:rFonts w:hint="eastAsia" w:ascii="宋体" w:hAnsi="宋体"/>
          <w:color w:val="auto"/>
          <w:sz w:val="24"/>
          <w:szCs w:val="24"/>
          <w:highlight w:val="none"/>
        </w:rPr>
      </w:pPr>
    </w:p>
    <w:p>
      <w:pPr>
        <w:ind w:left="420"/>
        <w:rPr>
          <w:rFonts w:ascii="宋体" w:hAnsi="宋体"/>
          <w:color w:val="auto"/>
          <w:sz w:val="24"/>
          <w:szCs w:val="24"/>
          <w:highlight w:val="none"/>
          <w:u w:val="single"/>
        </w:rPr>
      </w:pPr>
      <w:r>
        <w:rPr>
          <w:rFonts w:hint="eastAsia" w:ascii="宋体" w:hAnsi="宋体"/>
          <w:color w:val="auto"/>
          <w:sz w:val="24"/>
          <w:szCs w:val="24"/>
          <w:highlight w:val="none"/>
        </w:rPr>
        <w:t>投标人名称（盖章）：</w:t>
      </w:r>
    </w:p>
    <w:p>
      <w:pPr>
        <w:ind w:left="420"/>
        <w:rPr>
          <w:rFonts w:ascii="宋体" w:hAnsi="宋体"/>
          <w:color w:val="auto"/>
          <w:sz w:val="24"/>
          <w:szCs w:val="24"/>
          <w:highlight w:val="none"/>
        </w:rPr>
      </w:pPr>
    </w:p>
    <w:p>
      <w:pPr>
        <w:ind w:firstLine="435"/>
        <w:rPr>
          <w:rFonts w:ascii="宋体" w:hAnsi="宋体"/>
          <w:color w:val="auto"/>
          <w:sz w:val="24"/>
          <w:szCs w:val="24"/>
          <w:highlight w:val="none"/>
        </w:rPr>
      </w:pPr>
      <w:r>
        <w:rPr>
          <w:rFonts w:hint="eastAsia" w:ascii="宋体" w:hAnsi="宋体" w:cs="仿宋_GB2312"/>
          <w:color w:val="auto"/>
          <w:sz w:val="24"/>
          <w:highlight w:val="none"/>
          <w:lang w:val="zh-CN"/>
        </w:rPr>
        <w:t>法定代表人或授权代表(签字或电子印章)</w:t>
      </w:r>
      <w:r>
        <w:rPr>
          <w:rFonts w:hint="eastAsia" w:ascii="宋体" w:hAnsi="宋体"/>
          <w:color w:val="auto"/>
          <w:sz w:val="24"/>
          <w:szCs w:val="24"/>
          <w:highlight w:val="none"/>
        </w:rPr>
        <w:t>：</w:t>
      </w:r>
    </w:p>
    <w:p>
      <w:pPr>
        <w:rPr>
          <w:rFonts w:ascii="宋体" w:hAnsi="宋体"/>
          <w:color w:val="auto"/>
          <w:sz w:val="24"/>
          <w:szCs w:val="24"/>
          <w:highlight w:val="none"/>
        </w:rPr>
      </w:pPr>
    </w:p>
    <w:p>
      <w:pPr>
        <w:ind w:firstLine="435"/>
        <w:rPr>
          <w:rFonts w:hint="default" w:ascii="宋体" w:hAnsi="宋体"/>
          <w:b/>
          <w:color w:val="auto"/>
          <w:sz w:val="28"/>
          <w:highlight w:val="none"/>
          <w:lang w:val="en-US"/>
        </w:rPr>
        <w:sectPr>
          <w:headerReference r:id="rId8" w:type="first"/>
          <w:footerReference r:id="rId10" w:type="first"/>
          <w:headerReference r:id="rId7" w:type="default"/>
          <w:footerReference r:id="rId9" w:type="default"/>
          <w:pgSz w:w="11907" w:h="16840"/>
          <w:pgMar w:top="1417" w:right="1474" w:bottom="1247" w:left="1474" w:header="851" w:footer="992" w:gutter="0"/>
          <w:pgBorders>
            <w:top w:val="none" w:sz="0" w:space="0"/>
            <w:left w:val="none" w:sz="0" w:space="0"/>
            <w:bottom w:val="none" w:sz="0" w:space="0"/>
            <w:right w:val="none" w:sz="0" w:space="0"/>
          </w:pgBorders>
          <w:cols w:space="720" w:num="1"/>
          <w:titlePg/>
          <w:docGrid w:type="lines" w:linePitch="319" w:charSpace="0"/>
        </w:sectPr>
      </w:pPr>
      <w:r>
        <w:rPr>
          <w:rFonts w:hint="eastAsia" w:ascii="宋体" w:hAnsi="宋体"/>
          <w:color w:val="auto"/>
          <w:sz w:val="24"/>
          <w:szCs w:val="24"/>
          <w:highlight w:val="none"/>
        </w:rPr>
        <w:t>日        期：</w:t>
      </w:r>
      <w:r>
        <w:rPr>
          <w:rFonts w:hint="eastAsia" w:ascii="宋体" w:hAnsi="宋体"/>
          <w:color w:val="auto"/>
          <w:sz w:val="24"/>
          <w:highlight w:val="none"/>
          <w:lang w:val="en-US" w:eastAsia="zh-CN"/>
        </w:rPr>
        <w:t>2023年   月   日</w:t>
      </w:r>
    </w:p>
    <w:p>
      <w:pPr>
        <w:spacing w:line="360" w:lineRule="auto"/>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7：</w:t>
      </w:r>
    </w:p>
    <w:p>
      <w:pPr>
        <w:spacing w:line="360" w:lineRule="auto"/>
        <w:ind w:left="480"/>
        <w:jc w:val="center"/>
        <w:rPr>
          <w:rFonts w:hint="eastAsia"/>
          <w:lang w:eastAsia="zh-CN"/>
        </w:rPr>
      </w:pPr>
      <w:r>
        <w:rPr>
          <w:rFonts w:hint="eastAsia" w:ascii="宋体" w:hAnsi="宋体"/>
          <w:b/>
          <w:color w:val="auto"/>
          <w:sz w:val="32"/>
          <w:szCs w:val="32"/>
          <w:highlight w:val="none"/>
        </w:rPr>
        <w:t>报价明细表</w:t>
      </w:r>
    </w:p>
    <w:p>
      <w:pPr>
        <w:spacing w:line="360" w:lineRule="auto"/>
        <w:jc w:val="right"/>
        <w:rPr>
          <w:rFonts w:hint="eastAsia" w:ascii="宋体" w:hAnsi="宋体"/>
          <w:color w:val="auto"/>
          <w:sz w:val="24"/>
          <w:highlight w:val="none"/>
        </w:rPr>
      </w:pPr>
      <w:r>
        <w:rPr>
          <w:rFonts w:hint="eastAsia" w:ascii="宋体" w:hAnsi="宋体"/>
          <w:color w:val="auto"/>
          <w:sz w:val="24"/>
          <w:highlight w:val="none"/>
        </w:rPr>
        <w:t>[货币单位：人民币/元]</w:t>
      </w:r>
    </w:p>
    <w:p>
      <w:pPr>
        <w:spacing w:line="360" w:lineRule="auto"/>
        <w:jc w:val="center"/>
        <w:rPr>
          <w:rFonts w:hint="eastAsia" w:ascii="宋体" w:hAnsi="宋体"/>
          <w:color w:val="auto"/>
          <w:sz w:val="24"/>
          <w:highlight w:val="none"/>
        </w:rPr>
      </w:pPr>
      <w:r>
        <w:rPr>
          <w:rFonts w:hint="eastAsia" w:ascii="宋体" w:hAnsi="宋体"/>
          <w:color w:val="auto"/>
          <w:sz w:val="24"/>
          <w:szCs w:val="24"/>
          <w:highlight w:val="none"/>
        </w:rPr>
        <w:t>（如表格长度</w:t>
      </w:r>
      <w:r>
        <w:rPr>
          <w:rFonts w:hint="eastAsia" w:ascii="宋体" w:hAnsi="宋体"/>
          <w:color w:val="auto"/>
          <w:sz w:val="24"/>
          <w:szCs w:val="24"/>
          <w:highlight w:val="none"/>
          <w:lang w:eastAsia="zh-CN"/>
        </w:rPr>
        <w:t>或格式</w:t>
      </w:r>
      <w:r>
        <w:rPr>
          <w:rFonts w:hint="eastAsia" w:ascii="宋体" w:hAnsi="宋体"/>
          <w:color w:val="auto"/>
          <w:sz w:val="24"/>
          <w:szCs w:val="24"/>
          <w:highlight w:val="none"/>
        </w:rPr>
        <w:t>不够，</w:t>
      </w:r>
      <w:r>
        <w:rPr>
          <w:rFonts w:hint="eastAsia" w:ascii="宋体" w:hAnsi="宋体"/>
          <w:color w:val="auto"/>
          <w:sz w:val="24"/>
          <w:szCs w:val="24"/>
          <w:highlight w:val="none"/>
          <w:lang w:eastAsia="zh-CN"/>
        </w:rPr>
        <w:t>可按实际需要</w:t>
      </w:r>
      <w:r>
        <w:rPr>
          <w:rFonts w:hint="eastAsia" w:ascii="宋体" w:hAnsi="宋体"/>
          <w:color w:val="auto"/>
          <w:sz w:val="24"/>
          <w:szCs w:val="24"/>
          <w:highlight w:val="none"/>
        </w:rPr>
        <w:t>自制）</w:t>
      </w:r>
    </w:p>
    <w:p>
      <w:pPr>
        <w:spacing w:line="520" w:lineRule="exact"/>
        <w:jc w:val="center"/>
        <w:rPr>
          <w:rFonts w:asciiTheme="minorEastAsia" w:hAnsiTheme="minorEastAsia"/>
          <w:b/>
          <w:sz w:val="24"/>
        </w:rPr>
      </w:pPr>
    </w:p>
    <w:tbl>
      <w:tblPr>
        <w:tblStyle w:val="37"/>
        <w:tblW w:w="9025" w:type="dxa"/>
        <w:jc w:val="center"/>
        <w:tblLayout w:type="fixed"/>
        <w:tblCellMar>
          <w:top w:w="0" w:type="dxa"/>
          <w:left w:w="108" w:type="dxa"/>
          <w:bottom w:w="0" w:type="dxa"/>
          <w:right w:w="108" w:type="dxa"/>
        </w:tblCellMar>
      </w:tblPr>
      <w:tblGrid>
        <w:gridCol w:w="1160"/>
        <w:gridCol w:w="4383"/>
        <w:gridCol w:w="922"/>
        <w:gridCol w:w="1134"/>
        <w:gridCol w:w="1426"/>
      </w:tblGrid>
      <w:tr>
        <w:tblPrEx>
          <w:tblCellMar>
            <w:top w:w="0" w:type="dxa"/>
            <w:left w:w="108" w:type="dxa"/>
            <w:bottom w:w="0" w:type="dxa"/>
            <w:right w:w="108" w:type="dxa"/>
          </w:tblCellMar>
        </w:tblPrEx>
        <w:trPr>
          <w:trHeight w:val="345" w:hRule="atLeast"/>
          <w:jc w:val="center"/>
        </w:trPr>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版别</w:t>
            </w:r>
          </w:p>
        </w:tc>
        <w:tc>
          <w:tcPr>
            <w:tcW w:w="43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书名</w:t>
            </w:r>
          </w:p>
        </w:tc>
        <w:tc>
          <w:tcPr>
            <w:tcW w:w="9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lang w:eastAsia="zh-CN"/>
              </w:rPr>
              <w:t>报价单</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数量</w:t>
            </w: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lang w:eastAsia="zh-CN"/>
              </w:rPr>
              <w:t>实洋</w:t>
            </w: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浙江教育</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安全教育资源包(1上)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24000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浙江教育</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安全教育资源包(2上)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浙江教育</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安全教育资源包(3上)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浙江教育</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安全教育资源包(4上)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浙江教育</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安全教育资源包(5上)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浙江教育</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安全教育资源包(6上)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22500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浙江教育</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安全教育资源包(7上)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浙江教育</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安全教育资源包(8上)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浙江教育</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安全教育资源包(9上)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北京师大</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心理健康(1上)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24000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北京师大</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心理健康(2上)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北京师大</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心理健康(3上)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北京师大</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心理健康(4上)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北京师大</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心理健康(5上)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北京师大</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心理健康(6上)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22500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北京师大</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心理健康(7上)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北京师大</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心理健康(8上)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北京师大</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心理健康(9上)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浙江教育</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语文素养读本(7上)/义教拓展性课程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7000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浙江教育</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语文素养读本(8上)/义教拓展性课程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7000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浙江教育</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语文素养读本(9上)/义教拓展性课程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7000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中国妇女</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爱国主义读书活动（小学低年级）</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45000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中国妇女</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爱国主义读书活动（小学高年级）</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85500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中国妇女</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爱国主义读书活动（初中）</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63000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浙江教育</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安全教育资源包(1下)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24000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浙江教育</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安全教育资源包(2下)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浙江教育</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安全教育资源包(3下)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浙江教育</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安全教育资源包(4下)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浙江教育</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安全教育资源包(5下)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浙江教育</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安全教育资源包(6下)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22500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浙江教育</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安全教育资源包(7下)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浙江教育</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安全教育资源包(8下)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浙江教育</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安全教育资源包(9下)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北京师大</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心理健康(1下)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24000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北京师大</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心理健康(2下)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北京师大</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心理健康(3下)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北京师大</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心理健康(4下)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北京师大</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心理健康(5下)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北京师大</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心理健康(6下)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22500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北京师大</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心理健康(7下)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北京师大</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心理健康(8下)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北京师大</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心理健康(9下)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p>
        </w:tc>
      </w:tr>
      <w:tr>
        <w:tblPrEx>
          <w:tblCellMar>
            <w:top w:w="0" w:type="dxa"/>
            <w:left w:w="108" w:type="dxa"/>
            <w:bottom w:w="0" w:type="dxa"/>
            <w:right w:w="108" w:type="dxa"/>
          </w:tblCellMar>
        </w:tblPrEx>
        <w:trPr>
          <w:trHeight w:val="993" w:hRule="atLeast"/>
          <w:jc w:val="center"/>
        </w:trPr>
        <w:tc>
          <w:tcPr>
            <w:tcW w:w="6465" w:type="dxa"/>
            <w:gridSpan w:val="3"/>
            <w:tcBorders>
              <w:top w:val="nil"/>
              <w:left w:val="single" w:color="auto" w:sz="4" w:space="0"/>
              <w:bottom w:val="single" w:color="auto" w:sz="4" w:space="0"/>
              <w:right w:val="single" w:color="auto" w:sz="4" w:space="0"/>
            </w:tcBorders>
            <w:shd w:val="clear" w:color="auto" w:fill="auto"/>
            <w:noWrap/>
            <w:vAlign w:val="center"/>
          </w:tcPr>
          <w:p>
            <w:pPr>
              <w:snapToGrid w:val="0"/>
              <w:spacing w:line="460" w:lineRule="exact"/>
              <w:rPr>
                <w:rFonts w:hint="eastAsia" w:ascii="宋体" w:hAnsi="宋体" w:eastAsia="宋体" w:cs="宋体"/>
                <w:kern w:val="0"/>
                <w:sz w:val="22"/>
                <w:szCs w:val="22"/>
                <w:highlight w:val="none"/>
              </w:rPr>
            </w:pPr>
            <w:r>
              <w:rPr>
                <w:rFonts w:hint="eastAsia" w:cs="宋体" w:asciiTheme="minorEastAsia" w:hAnsiTheme="minorEastAsia"/>
                <w:b/>
                <w:bCs w:val="0"/>
                <w:sz w:val="22"/>
                <w:szCs w:val="18"/>
                <w:highlight w:val="none"/>
              </w:rPr>
              <w:t>《爱国主义读书活动》、《心理健康》、《安全教育资源包》、《语文素养读本》</w:t>
            </w:r>
            <w:r>
              <w:rPr>
                <w:rFonts w:hint="eastAsia" w:cs="宋体" w:asciiTheme="minorEastAsia" w:hAnsiTheme="minorEastAsia"/>
                <w:b/>
                <w:bCs w:val="0"/>
                <w:sz w:val="22"/>
                <w:szCs w:val="18"/>
                <w:highlight w:val="none"/>
                <w:lang w:eastAsia="zh-CN"/>
              </w:rPr>
              <w:t>用书小计。</w:t>
            </w:r>
            <w:r>
              <w:rPr>
                <w:rFonts w:hint="eastAsia" w:cs="宋体" w:asciiTheme="minorEastAsia" w:hAnsiTheme="minorEastAsia"/>
                <w:b/>
                <w:bCs w:val="0"/>
                <w:sz w:val="22"/>
                <w:szCs w:val="18"/>
                <w:highlight w:val="none"/>
                <w:lang w:val="en-US" w:eastAsia="zh-CN"/>
              </w:rPr>
              <w:t>小计报价</w:t>
            </w:r>
            <w:r>
              <w:rPr>
                <w:rFonts w:hint="eastAsia" w:hAnsi="宋体" w:cs="宋体"/>
                <w:b/>
                <w:bCs w:val="0"/>
                <w:sz w:val="22"/>
                <w:szCs w:val="22"/>
                <w:highlight w:val="none"/>
              </w:rPr>
              <w:t>折扣率：</w:t>
            </w:r>
            <w:r>
              <w:rPr>
                <w:rFonts w:hint="eastAsia" w:hAnsi="宋体" w:cs="宋体"/>
                <w:b/>
                <w:bCs w:val="0"/>
                <w:sz w:val="22"/>
                <w:szCs w:val="22"/>
                <w:highlight w:val="none"/>
                <w:u w:val="single"/>
              </w:rPr>
              <w:t xml:space="preserve">  </w:t>
            </w:r>
            <w:r>
              <w:rPr>
                <w:rFonts w:hint="eastAsia" w:hAnsi="宋体" w:cs="宋体"/>
                <w:b/>
                <w:bCs w:val="0"/>
                <w:sz w:val="22"/>
                <w:szCs w:val="22"/>
                <w:highlight w:val="none"/>
                <w:u w:val="single"/>
                <w:lang w:val="en-US" w:eastAsia="zh-CN"/>
              </w:rPr>
              <w:t xml:space="preserve">         </w:t>
            </w:r>
            <w:r>
              <w:rPr>
                <w:rFonts w:hint="eastAsia" w:hAnsi="宋体" w:cs="宋体"/>
                <w:b/>
                <w:bCs w:val="0"/>
                <w:sz w:val="22"/>
                <w:szCs w:val="22"/>
                <w:highlight w:val="none"/>
                <w:u w:val="single"/>
              </w:rPr>
              <w:t xml:space="preserve">       </w:t>
            </w:r>
            <w:r>
              <w:rPr>
                <w:rFonts w:hint="eastAsia" w:hAnsi="宋体" w:cs="宋体"/>
                <w:b/>
                <w:bCs w:val="0"/>
                <w:sz w:val="22"/>
                <w:szCs w:val="22"/>
                <w:highlight w:val="none"/>
                <w:u w:val="single"/>
                <w:lang w:val="en-US" w:eastAsia="zh-CN"/>
              </w:rPr>
              <w:t xml:space="preserve">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fldChar w:fldCharType="begin"/>
            </w:r>
            <w:r>
              <w:rPr>
                <w:rFonts w:hint="eastAsia" w:ascii="宋体" w:hAnsi="宋体" w:eastAsia="宋体" w:cs="宋体"/>
                <w:kern w:val="0"/>
                <w:sz w:val="22"/>
                <w:szCs w:val="22"/>
                <w:highlight w:val="none"/>
              </w:rPr>
              <w:instrText xml:space="preserve"> = sum(D2:D43) \* MERGEFORMAT </w:instrText>
            </w:r>
            <w:r>
              <w:rPr>
                <w:rFonts w:hint="eastAsia" w:ascii="宋体" w:hAnsi="宋体" w:eastAsia="宋体" w:cs="宋体"/>
                <w:kern w:val="0"/>
                <w:sz w:val="22"/>
                <w:szCs w:val="22"/>
                <w:highlight w:val="none"/>
              </w:rPr>
              <w:fldChar w:fldCharType="separate"/>
            </w:r>
            <w:r>
              <w:rPr>
                <w:rFonts w:hint="eastAsia" w:ascii="宋体" w:hAnsi="宋体" w:eastAsia="宋体" w:cs="宋体"/>
                <w:kern w:val="0"/>
                <w:sz w:val="22"/>
                <w:szCs w:val="22"/>
                <w:highlight w:val="none"/>
              </w:rPr>
              <w:t>988500</w:t>
            </w:r>
            <w:r>
              <w:rPr>
                <w:rFonts w:hint="eastAsia" w:ascii="宋体" w:hAnsi="宋体" w:eastAsia="宋体" w:cs="宋体"/>
                <w:kern w:val="0"/>
                <w:sz w:val="22"/>
                <w:szCs w:val="22"/>
                <w:highlight w:val="none"/>
              </w:rPr>
              <w:fldChar w:fldCharType="end"/>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highlight w:val="none"/>
                <w:lang w:val="en-US" w:eastAsia="zh-CN"/>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szCs w:val="22"/>
                <w:highlight w:val="yellow"/>
              </w:rPr>
            </w:pPr>
            <w:r>
              <w:rPr>
                <w:rFonts w:hint="eastAsia" w:ascii="宋体" w:hAnsi="宋体" w:eastAsia="宋体" w:cs="宋体"/>
                <w:kern w:val="0"/>
                <w:sz w:val="22"/>
                <w:szCs w:val="22"/>
              </w:rPr>
              <w:t>数学(7上)/巩固与提高(文教版)</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7000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p>
        </w:tc>
      </w:tr>
      <w:tr>
        <w:tblPrEx>
          <w:tblCellMar>
            <w:top w:w="0" w:type="dxa"/>
            <w:left w:w="108" w:type="dxa"/>
            <w:bottom w:w="0" w:type="dxa"/>
            <w:right w:w="108" w:type="dxa"/>
          </w:tblCellMar>
        </w:tblPrEx>
        <w:trPr>
          <w:trHeight w:val="90"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szCs w:val="22"/>
                <w:highlight w:val="yellow"/>
              </w:rPr>
            </w:pPr>
            <w:r>
              <w:rPr>
                <w:rFonts w:hint="eastAsia" w:ascii="宋体" w:hAnsi="宋体" w:eastAsia="宋体" w:cs="宋体"/>
                <w:kern w:val="0"/>
                <w:sz w:val="22"/>
                <w:szCs w:val="22"/>
              </w:rPr>
              <w:t>数学(8上)/巩固与提高(文教版)</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7000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szCs w:val="22"/>
                <w:highlight w:val="yellow"/>
              </w:rPr>
            </w:pPr>
            <w:r>
              <w:rPr>
                <w:rFonts w:hint="eastAsia" w:ascii="宋体" w:hAnsi="宋体" w:eastAsia="宋体" w:cs="宋体"/>
                <w:kern w:val="0"/>
                <w:sz w:val="22"/>
                <w:szCs w:val="22"/>
              </w:rPr>
              <w:t>数学(9上)/巩固与提高(文教版)</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7000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浙江科技</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szCs w:val="22"/>
                <w:highlight w:val="yellow"/>
              </w:rPr>
            </w:pPr>
            <w:r>
              <w:rPr>
                <w:rFonts w:hint="eastAsia" w:ascii="宋体" w:hAnsi="宋体" w:eastAsia="宋体" w:cs="宋体"/>
                <w:kern w:val="0"/>
                <w:sz w:val="22"/>
                <w:szCs w:val="22"/>
              </w:rPr>
              <w:t>走进国学(1年级)/经典润泽生命读本(文教版)</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8000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浙江科技</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szCs w:val="22"/>
                <w:highlight w:val="yellow"/>
              </w:rPr>
            </w:pPr>
            <w:r>
              <w:rPr>
                <w:rFonts w:hint="eastAsia" w:ascii="宋体" w:hAnsi="宋体" w:eastAsia="宋体" w:cs="宋体"/>
                <w:kern w:val="0"/>
                <w:sz w:val="22"/>
                <w:szCs w:val="22"/>
              </w:rPr>
              <w:t>走进国学(2年级)/经典润泽生命读本(文教版)</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7000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浙江科技</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szCs w:val="22"/>
                <w:highlight w:val="yellow"/>
              </w:rPr>
            </w:pPr>
            <w:r>
              <w:rPr>
                <w:rFonts w:hint="eastAsia" w:ascii="宋体" w:hAnsi="宋体" w:eastAsia="宋体" w:cs="宋体"/>
                <w:kern w:val="0"/>
                <w:sz w:val="22"/>
                <w:szCs w:val="22"/>
              </w:rPr>
              <w:t>走进国学(3年级)/经典润泽生命读本(文教版)</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7000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浙江科技</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szCs w:val="22"/>
                <w:highlight w:val="yellow"/>
              </w:rPr>
            </w:pPr>
            <w:r>
              <w:rPr>
                <w:rFonts w:hint="eastAsia" w:ascii="宋体" w:hAnsi="宋体" w:eastAsia="宋体" w:cs="宋体"/>
                <w:kern w:val="0"/>
                <w:sz w:val="22"/>
                <w:szCs w:val="22"/>
              </w:rPr>
              <w:t>走进国学(4年级)/经典润泽生命读本(文教版)</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7000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浙江科技</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szCs w:val="22"/>
                <w:highlight w:val="yellow"/>
              </w:rPr>
            </w:pPr>
            <w:r>
              <w:rPr>
                <w:rFonts w:hint="eastAsia" w:ascii="宋体" w:hAnsi="宋体" w:eastAsia="宋体" w:cs="宋体"/>
                <w:kern w:val="0"/>
                <w:sz w:val="22"/>
                <w:szCs w:val="22"/>
              </w:rPr>
              <w:t>走进国学(5年级)/经典润泽生命读本(文教版)</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7000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浙江科技</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szCs w:val="22"/>
                <w:highlight w:val="yellow"/>
              </w:rPr>
            </w:pPr>
            <w:r>
              <w:rPr>
                <w:rFonts w:hint="eastAsia" w:ascii="宋体" w:hAnsi="宋体" w:eastAsia="宋体" w:cs="宋体"/>
                <w:kern w:val="0"/>
                <w:sz w:val="22"/>
                <w:szCs w:val="22"/>
              </w:rPr>
              <w:t>走进国学(6年级)/经典润泽生命读本(文教版)</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7500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浙江科技</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szCs w:val="22"/>
                <w:highlight w:val="yellow"/>
              </w:rPr>
            </w:pPr>
            <w:r>
              <w:rPr>
                <w:rFonts w:hint="eastAsia" w:ascii="宋体" w:hAnsi="宋体" w:eastAsia="宋体" w:cs="宋体"/>
                <w:kern w:val="0"/>
                <w:sz w:val="22"/>
                <w:szCs w:val="22"/>
              </w:rPr>
              <w:t>走进国学(中学卷上)/经典润泽生命读本(文教版)</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7000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浙江科技</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szCs w:val="22"/>
                <w:highlight w:val="yellow"/>
              </w:rPr>
            </w:pPr>
            <w:r>
              <w:rPr>
                <w:rFonts w:hint="eastAsia" w:ascii="宋体" w:hAnsi="宋体" w:eastAsia="宋体" w:cs="宋体"/>
                <w:kern w:val="0"/>
                <w:sz w:val="22"/>
                <w:szCs w:val="22"/>
              </w:rPr>
              <w:t>走进国学(中学卷下)/经典润泽生命读本(文教版)</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r>
              <w:rPr>
                <w:rFonts w:hint="eastAsia" w:ascii="宋体" w:hAnsi="宋体" w:eastAsia="宋体" w:cs="宋体"/>
                <w:kern w:val="0"/>
                <w:sz w:val="22"/>
                <w:szCs w:val="22"/>
              </w:rPr>
              <w:t>7000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highlight w:val="yellow"/>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语文 三年级上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语文 四年级上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语文 五年级上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语文 六年级上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22500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数学 三年级上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19500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数学 四年级上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19500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数学 五年级上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19500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数学 六年级上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英语 三年级上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英语 四年级上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英语 五年级上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英语 六年级上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22500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科学 三年级上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科学 四年级上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科学 五年级上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科学 六年级上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22500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语文 七年级上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14000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语文 八年级上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14000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语文 九年级上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14000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数学 七年级上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14000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数学 八年级上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14000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数学 九年级上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14000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英语 七年级上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14000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英语 八年级上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14000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英语 九年级上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14000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科学 七年级上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科学 八年级上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科学 九年级上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30"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历史与社会(中国历史7上)/巩固与提高</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7000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30"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历史与社会(人文地理上)/巩固与提高</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7000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30"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历史与社会(中国历史8上)/巩固与提高</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7000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30"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历史与社会(人文地理下)/巩固与提高</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7000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30"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历史与社会(世界历史9上)/巩固与提高</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7000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道德与法治 七年级上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道德与法治 八年级上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道德与法治 九年级上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历史与社会(中国历史7上)/学能评价</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14000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历史与社会(人文地理上)/学能评价</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14000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历史与社会(中国历史8上)/学能评价</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14000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历史与社会(人文地理下)/学能评价</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14000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历史与社会(世界历史9上)/学能评价</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14000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语文(7上)/学能评价</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7000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语文(8上)/学能评价</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7000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语文(9上)/学能评价</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7000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英语(7上R)/学能评价</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7000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英语(8上R)/学能评价</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7000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英语(9年级全R)/学能评价</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7000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浙江教育</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口算小能手(3上)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1500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浙江教育</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口算小能手(4上)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1500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浙江教育</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口算小能手(5上)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1500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浙江教育</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口算小能手(6上)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1500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浙江大学</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学数学长智慧(3上)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1500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浙江大学</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学数学长智慧(4上)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1500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浙江大学</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学数学长智慧(5上)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1500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浙江大学</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学数学长智慧(6上)</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1500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浙江科技</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走进国学(3年级)/经典润泽生命读本</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14000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浙江科技</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走进国学(4年级)/经典润泽生命读本</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14000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浙江科技</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走进国学(5年级)/经典润泽生命读本</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14000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浙江科技</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走进国学(6年级)/经典润泽生命读本</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15000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浙江科技</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走进国学(中学卷上)/经典润泽生命读本</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14000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浙江科技</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走进国学(中学卷下)/经典润泽生命读本</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14000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浙江教育</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口算小能手(3下)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1500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浙江教育</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口算小能手(4下)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1500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浙江教育</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口算小能手(5下)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1500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浙江教育</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口算小能手(6下)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1500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浙江大学</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学数学长智慧(3下)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1500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浙江大学</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学数学长智慧(4下)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1500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浙江大学</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学数学长智慧(5下)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1500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浙江大学</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学数学长智慧(6下)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1500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语文 三年级下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语文 四年级下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语文 五年级下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语文 六年级下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22500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数学 三年级下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19500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数学 四年级下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19500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数学 五年级下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19500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数学 六年级下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英语 三年级下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英语 四年级下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英语 五年级下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英语 六年级下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22500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科学 三年级下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科学 四年级下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科学 五年级下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科学 六年级下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22500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语文 七年级下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语文 八年级下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语文 九年级下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数学 七年级下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数学 八年级下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数学 九年级下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英语 七年级下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英语 八年级下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英语 九年级下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14000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科学 七年级下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科学 八年级下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科学 九年级下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道德与法治 七年级下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道德与法治 八年级下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巩固与提高 道德与法治 九年级下</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历史与社会(中国历史7下)/学能评价</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历史与社会(中国历史8下)/学能评价</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浙江教育</w:t>
            </w:r>
          </w:p>
        </w:tc>
        <w:tc>
          <w:tcPr>
            <w:tcW w:w="43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历史与社会(世界历史9下)/学能评价</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21000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5" w:hRule="atLeast"/>
          <w:jc w:val="center"/>
        </w:trPr>
        <w:tc>
          <w:tcPr>
            <w:tcW w:w="646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b/>
                <w:bCs w:val="0"/>
                <w:sz w:val="22"/>
                <w:szCs w:val="18"/>
                <w:lang w:eastAsia="zh-CN"/>
              </w:rPr>
            </w:pPr>
            <w:r>
              <w:rPr>
                <w:rFonts w:hint="eastAsia" w:cs="宋体" w:asciiTheme="minorEastAsia" w:hAnsiTheme="minorEastAsia"/>
                <w:b/>
                <w:bCs w:val="0"/>
                <w:sz w:val="22"/>
                <w:szCs w:val="18"/>
              </w:rPr>
              <w:t>《走进国学》、《巩固</w:t>
            </w:r>
            <w:r>
              <w:rPr>
                <w:rFonts w:hint="eastAsia" w:cs="宋体" w:asciiTheme="minorEastAsia" w:hAnsiTheme="minorEastAsia"/>
                <w:b/>
                <w:bCs w:val="0"/>
                <w:sz w:val="22"/>
                <w:szCs w:val="18"/>
                <w:lang w:val="en-US" w:eastAsia="zh-CN"/>
              </w:rPr>
              <w:t>与</w:t>
            </w:r>
            <w:r>
              <w:rPr>
                <w:rFonts w:hint="eastAsia" w:cs="宋体" w:asciiTheme="minorEastAsia" w:hAnsiTheme="minorEastAsia"/>
                <w:b/>
                <w:bCs w:val="0"/>
                <w:sz w:val="22"/>
                <w:szCs w:val="18"/>
              </w:rPr>
              <w:t>提高》、《学能评价》</w:t>
            </w:r>
            <w:r>
              <w:rPr>
                <w:rFonts w:hint="eastAsia" w:cs="宋体" w:asciiTheme="minorEastAsia" w:hAnsiTheme="minorEastAsia"/>
                <w:b/>
                <w:bCs w:val="0"/>
                <w:sz w:val="22"/>
                <w:szCs w:val="18"/>
                <w:lang w:eastAsia="zh-CN"/>
              </w:rPr>
              <w:t>等</w:t>
            </w:r>
          </w:p>
          <w:p>
            <w:pPr>
              <w:widowControl/>
              <w:jc w:val="center"/>
              <w:rPr>
                <w:rFonts w:hint="eastAsia" w:ascii="宋体" w:hAnsi="宋体" w:eastAsia="宋体" w:cs="宋体"/>
                <w:b/>
                <w:bCs w:val="0"/>
                <w:kern w:val="0"/>
                <w:sz w:val="22"/>
                <w:szCs w:val="22"/>
              </w:rPr>
            </w:pPr>
            <w:r>
              <w:rPr>
                <w:rFonts w:hint="eastAsia" w:cs="宋体" w:asciiTheme="minorEastAsia" w:hAnsiTheme="minorEastAsia"/>
                <w:b/>
                <w:bCs w:val="0"/>
                <w:sz w:val="22"/>
                <w:szCs w:val="18"/>
                <w:lang w:val="en-US" w:eastAsia="zh-CN"/>
              </w:rPr>
              <w:t>小计报价</w:t>
            </w:r>
            <w:r>
              <w:rPr>
                <w:rFonts w:hint="eastAsia" w:hAnsi="宋体" w:cs="宋体"/>
                <w:b/>
                <w:bCs w:val="0"/>
                <w:sz w:val="22"/>
                <w:szCs w:val="22"/>
              </w:rPr>
              <w:t>折扣率：</w:t>
            </w:r>
            <w:r>
              <w:rPr>
                <w:rFonts w:hint="eastAsia" w:hAnsi="宋体" w:cs="宋体"/>
                <w:b/>
                <w:bCs w:val="0"/>
                <w:sz w:val="22"/>
                <w:szCs w:val="22"/>
                <w:u w:val="single"/>
              </w:rPr>
              <w:t xml:space="preserve">  </w:t>
            </w:r>
            <w:r>
              <w:rPr>
                <w:rFonts w:hint="eastAsia" w:hAnsi="宋体" w:cs="宋体"/>
                <w:b/>
                <w:bCs w:val="0"/>
                <w:sz w:val="22"/>
                <w:szCs w:val="22"/>
                <w:u w:val="single"/>
                <w:lang w:val="en-US" w:eastAsia="zh-CN"/>
              </w:rPr>
              <w:t xml:space="preserve">         </w:t>
            </w:r>
            <w:r>
              <w:rPr>
                <w:rFonts w:hint="eastAsia" w:hAnsi="宋体" w:cs="宋体"/>
                <w:b/>
                <w:bCs w:val="0"/>
                <w:sz w:val="22"/>
                <w:szCs w:val="22"/>
                <w:u w:val="single"/>
              </w:rPr>
              <w:t xml:space="preserve">       </w:t>
            </w:r>
            <w:r>
              <w:rPr>
                <w:rFonts w:hint="eastAsia" w:hAnsi="宋体" w:cs="宋体"/>
                <w:b/>
                <w:bCs w:val="0"/>
                <w:sz w:val="22"/>
                <w:szCs w:val="22"/>
                <w:u w:val="single"/>
                <w:lang w:val="en-US" w:eastAsia="zh-CN"/>
              </w:rPr>
              <w:t xml:space="preserve">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val="0"/>
                <w:kern w:val="0"/>
                <w:sz w:val="22"/>
                <w:szCs w:val="22"/>
              </w:rPr>
            </w:pPr>
            <w:r>
              <w:rPr>
                <w:rFonts w:hint="eastAsia" w:ascii="宋体" w:hAnsi="宋体" w:cs="宋体"/>
                <w:b/>
                <w:bCs w:val="0"/>
                <w:kern w:val="0"/>
                <w:sz w:val="22"/>
                <w:szCs w:val="22"/>
                <w:lang w:val="en-US" w:eastAsia="zh-CN"/>
              </w:rPr>
              <w:t>1629500</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val="0"/>
                <w:kern w:val="0"/>
                <w:sz w:val="22"/>
                <w:szCs w:val="22"/>
              </w:rPr>
            </w:pPr>
          </w:p>
        </w:tc>
      </w:tr>
      <w:tr>
        <w:tblPrEx>
          <w:tblCellMar>
            <w:top w:w="0" w:type="dxa"/>
            <w:left w:w="108" w:type="dxa"/>
            <w:bottom w:w="0" w:type="dxa"/>
            <w:right w:w="108" w:type="dxa"/>
          </w:tblCellMar>
        </w:tblPrEx>
        <w:trPr>
          <w:trHeight w:val="492" w:hRule="atLeast"/>
          <w:jc w:val="center"/>
        </w:trPr>
        <w:tc>
          <w:tcPr>
            <w:tcW w:w="6465"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rPr>
                <w:rFonts w:hint="eastAsia" w:ascii="宋体" w:hAnsi="宋体" w:eastAsia="宋体" w:cs="宋体"/>
                <w:kern w:val="0"/>
                <w:sz w:val="22"/>
                <w:szCs w:val="22"/>
                <w:lang w:eastAsia="zh-CN"/>
              </w:rPr>
            </w:pPr>
            <w:r>
              <w:rPr>
                <w:rFonts w:hint="eastAsia" w:ascii="宋体" w:hAnsi="宋体" w:eastAsia="宋体" w:cs="宋体"/>
                <w:b/>
                <w:bCs/>
                <w:color w:val="000000"/>
                <w:kern w:val="0"/>
                <w:sz w:val="24"/>
                <w:szCs w:val="24"/>
                <w:lang w:val="en-US" w:eastAsia="zh-CN" w:bidi="ar"/>
              </w:rPr>
              <w:t>投标总报价合计（单位：人民币元，精确到分）</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b/>
                <w:bCs/>
                <w:kern w:val="0"/>
                <w:sz w:val="22"/>
                <w:szCs w:val="22"/>
              </w:rPr>
              <w:t xml:space="preserve">2618000 </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bl>
    <w:p>
      <w:pPr>
        <w:spacing w:line="360" w:lineRule="auto"/>
        <w:rPr>
          <w:rFonts w:ascii="宋体" w:hAnsi="宋体"/>
          <w:b/>
          <w:color w:val="auto"/>
          <w:sz w:val="24"/>
          <w:szCs w:val="24"/>
          <w:highlight w:val="none"/>
        </w:rPr>
      </w:pPr>
      <w:r>
        <w:rPr>
          <w:rFonts w:hint="eastAsia" w:ascii="宋体" w:hAnsi="宋体"/>
          <w:b/>
          <w:color w:val="auto"/>
          <w:sz w:val="24"/>
          <w:szCs w:val="24"/>
          <w:highlight w:val="none"/>
        </w:rPr>
        <w:t>要求：</w:t>
      </w:r>
    </w:p>
    <w:p>
      <w:pPr>
        <w:spacing w:line="360" w:lineRule="auto"/>
        <w:ind w:left="435"/>
        <w:rPr>
          <w:rFonts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本表为《开标一览表》的报价明细表，如有缺项、漏项，视为投标报价中已包含相关费用，采购人无需另外支付任何费用。</w:t>
      </w:r>
    </w:p>
    <w:p>
      <w:pPr>
        <w:spacing w:line="360" w:lineRule="auto"/>
        <w:ind w:left="435"/>
        <w:rPr>
          <w:rFonts w:ascii="宋体"/>
          <w:color w:val="auto"/>
          <w:sz w:val="24"/>
          <w:szCs w:val="24"/>
          <w:highlight w:val="none"/>
          <w:lang w:val="zh-CN"/>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w:t>
      </w:r>
      <w:r>
        <w:rPr>
          <w:rFonts w:hint="eastAsia" w:ascii="宋体"/>
          <w:color w:val="auto"/>
          <w:sz w:val="24"/>
          <w:szCs w:val="24"/>
          <w:highlight w:val="none"/>
          <w:lang w:val="zh-CN"/>
        </w:rPr>
        <w:t>“投标报价明细表”中的投标总报价应与“开标一览表”中的投标总报价相一致，不一致时，以开标一览表为准。</w:t>
      </w:r>
    </w:p>
    <w:p>
      <w:pPr>
        <w:spacing w:line="360" w:lineRule="auto"/>
        <w:ind w:left="435"/>
        <w:rPr>
          <w:rFonts w:ascii="宋体"/>
          <w:color w:val="auto"/>
          <w:sz w:val="24"/>
          <w:szCs w:val="24"/>
          <w:highlight w:val="none"/>
          <w:lang w:val="zh-CN"/>
        </w:rPr>
      </w:pPr>
    </w:p>
    <w:p>
      <w:pPr>
        <w:rPr>
          <w:rFonts w:hint="eastAsia" w:ascii="宋体" w:hAnsi="宋体"/>
          <w:color w:val="auto"/>
          <w:sz w:val="24"/>
          <w:szCs w:val="24"/>
          <w:highlight w:val="none"/>
        </w:rPr>
      </w:pPr>
    </w:p>
    <w:p>
      <w:pPr>
        <w:ind w:left="420"/>
        <w:rPr>
          <w:rFonts w:ascii="宋体" w:hAnsi="宋体"/>
          <w:color w:val="auto"/>
          <w:sz w:val="24"/>
          <w:szCs w:val="24"/>
          <w:highlight w:val="none"/>
          <w:u w:val="single"/>
        </w:rPr>
      </w:pPr>
      <w:r>
        <w:rPr>
          <w:rFonts w:hint="eastAsia" w:ascii="宋体" w:hAnsi="宋体"/>
          <w:color w:val="auto"/>
          <w:sz w:val="24"/>
          <w:szCs w:val="24"/>
          <w:highlight w:val="none"/>
        </w:rPr>
        <w:t>投标人名称（盖章）：</w:t>
      </w:r>
    </w:p>
    <w:p>
      <w:pPr>
        <w:rPr>
          <w:rFonts w:ascii="宋体" w:hAnsi="宋体"/>
          <w:color w:val="auto"/>
          <w:sz w:val="24"/>
          <w:szCs w:val="24"/>
          <w:highlight w:val="none"/>
        </w:rPr>
      </w:pPr>
    </w:p>
    <w:p>
      <w:pPr>
        <w:ind w:firstLine="435"/>
        <w:rPr>
          <w:rFonts w:ascii="宋体" w:hAnsi="宋体"/>
          <w:color w:val="auto"/>
          <w:sz w:val="24"/>
          <w:highlight w:val="none"/>
        </w:rPr>
      </w:pPr>
      <w:r>
        <w:rPr>
          <w:rFonts w:hint="eastAsia" w:ascii="宋体" w:hAnsi="宋体"/>
          <w:color w:val="auto"/>
          <w:sz w:val="24"/>
          <w:szCs w:val="24"/>
          <w:highlight w:val="none"/>
        </w:rPr>
        <w:t>日        期：</w:t>
      </w:r>
      <w:r>
        <w:rPr>
          <w:rFonts w:hint="eastAsia" w:ascii="宋体" w:hAnsi="宋体" w:cs="仿宋_GB2312"/>
          <w:color w:val="auto"/>
          <w:sz w:val="24"/>
          <w:highlight w:val="none"/>
          <w:lang w:eastAsia="zh-CN"/>
        </w:rPr>
        <w:t>2023</w:t>
      </w:r>
      <w:r>
        <w:rPr>
          <w:rFonts w:hint="eastAsia" w:ascii="宋体" w:hAnsi="宋体" w:cs="仿宋_GB2312"/>
          <w:color w:val="auto"/>
          <w:sz w:val="24"/>
          <w:highlight w:val="none"/>
          <w:lang w:val="zh-CN"/>
        </w:rPr>
        <w:t>年  月   日</w:t>
      </w:r>
    </w:p>
    <w:p>
      <w:pPr>
        <w:snapToGrid w:val="0"/>
        <w:spacing w:line="360" w:lineRule="auto"/>
        <w:rPr>
          <w:rFonts w:hint="eastAsia" w:ascii="宋体" w:hAnsi="宋体" w:eastAsia="宋体" w:cs="宋体"/>
          <w:b/>
          <w:bCs/>
          <w:color w:val="auto"/>
          <w:sz w:val="28"/>
          <w:szCs w:val="28"/>
          <w:highlight w:val="none"/>
        </w:rPr>
      </w:pPr>
    </w:p>
    <w:bookmarkEnd w:id="44"/>
    <w:bookmarkEnd w:id="54"/>
    <w:p>
      <w:pPr>
        <w:pStyle w:val="60"/>
        <w:spacing w:line="360" w:lineRule="auto"/>
        <w:rPr>
          <w:rFonts w:hint="default" w:ascii="方正小标宋简体" w:eastAsia="宋体"/>
          <w:snapToGrid w:val="0"/>
          <w:color w:val="auto"/>
          <w:sz w:val="36"/>
          <w:highlight w:val="none"/>
          <w:lang w:val="en-US" w:eastAsia="zh-CN"/>
        </w:rPr>
      </w:pPr>
    </w:p>
    <w:p>
      <w:pPr>
        <w:widowControl w:val="0"/>
        <w:spacing w:line="640" w:lineRule="exact"/>
        <w:jc w:val="center"/>
        <w:textAlignment w:val="baseline"/>
        <w:rPr>
          <w:rFonts w:ascii="方正小标宋简体" w:eastAsia="方正小标宋简体"/>
          <w:snapToGrid w:val="0"/>
          <w:color w:val="auto"/>
          <w:sz w:val="44"/>
          <w:highlight w:val="none"/>
        </w:rPr>
      </w:pPr>
    </w:p>
    <w:p>
      <w:pPr>
        <w:widowControl w:val="0"/>
        <w:spacing w:line="640" w:lineRule="exact"/>
        <w:jc w:val="center"/>
        <w:textAlignment w:val="baseline"/>
        <w:rPr>
          <w:rFonts w:ascii="方正小标宋简体" w:eastAsia="方正小标宋简体"/>
          <w:snapToGrid w:val="0"/>
          <w:color w:val="auto"/>
          <w:sz w:val="44"/>
          <w:highlight w:val="none"/>
        </w:rPr>
      </w:pPr>
      <w:r>
        <w:rPr>
          <w:rFonts w:hint="eastAsia" w:ascii="方正小标宋简体" w:eastAsia="方正小标宋简体"/>
          <w:snapToGrid w:val="0"/>
          <w:color w:val="auto"/>
          <w:sz w:val="44"/>
          <w:highlight w:val="none"/>
        </w:rPr>
        <w:t>投标文件</w:t>
      </w:r>
      <w:r>
        <w:rPr>
          <w:rFonts w:hint="eastAsia" w:ascii="方正小标宋简体" w:hAnsi="宋体" w:eastAsia="方正小标宋简体"/>
          <w:color w:val="auto"/>
          <w:sz w:val="44"/>
          <w:szCs w:val="44"/>
          <w:highlight w:val="none"/>
        </w:rPr>
        <w:t>密封袋</w:t>
      </w:r>
      <w:r>
        <w:rPr>
          <w:rFonts w:hint="eastAsia" w:ascii="方正小标宋简体" w:eastAsia="方正小标宋简体"/>
          <w:snapToGrid w:val="0"/>
          <w:color w:val="auto"/>
          <w:sz w:val="44"/>
          <w:highlight w:val="none"/>
        </w:rPr>
        <w:t>格式</w:t>
      </w:r>
    </w:p>
    <w:p>
      <w:pPr>
        <w:widowControl w:val="0"/>
        <w:spacing w:line="640" w:lineRule="exact"/>
        <w:jc w:val="center"/>
        <w:textAlignment w:val="baseline"/>
        <w:rPr>
          <w:rFonts w:ascii="宋体" w:hAnsi="宋体"/>
          <w:snapToGrid w:val="0"/>
          <w:color w:val="auto"/>
          <w:sz w:val="30"/>
          <w:szCs w:val="30"/>
          <w:highlight w:val="none"/>
        </w:rPr>
      </w:pPr>
      <w:r>
        <w:rPr>
          <w:rFonts w:hint="eastAsia" w:ascii="宋体" w:hAnsi="宋体"/>
          <w:snapToGrid w:val="0"/>
          <w:color w:val="auto"/>
          <w:sz w:val="30"/>
          <w:szCs w:val="30"/>
          <w:highlight w:val="none"/>
        </w:rPr>
        <w:t>（</w:t>
      </w:r>
      <w:r>
        <w:rPr>
          <w:rFonts w:hint="eastAsia" w:ascii="宋体" w:hAnsi="宋体"/>
          <w:color w:val="auto"/>
          <w:sz w:val="30"/>
          <w:szCs w:val="30"/>
          <w:highlight w:val="none"/>
        </w:rPr>
        <w:t>密封袋的封口处应有投标单位公章或投标人代表签名</w:t>
      </w:r>
      <w:r>
        <w:rPr>
          <w:rFonts w:hint="eastAsia" w:ascii="宋体" w:hAnsi="宋体"/>
          <w:snapToGrid w:val="0"/>
          <w:color w:val="auto"/>
          <w:sz w:val="30"/>
          <w:szCs w:val="30"/>
          <w:highlight w:val="none"/>
        </w:rPr>
        <w:t>）</w:t>
      </w:r>
    </w:p>
    <w:p>
      <w:pPr>
        <w:widowControl w:val="0"/>
        <w:spacing w:line="640" w:lineRule="exact"/>
        <w:jc w:val="center"/>
        <w:textAlignment w:val="baseline"/>
        <w:rPr>
          <w:rFonts w:ascii="方正小标宋简体" w:eastAsia="方正小标宋简体"/>
          <w:snapToGrid w:val="0"/>
          <w:color w:val="auto"/>
          <w:sz w:val="44"/>
          <w:highlight w:val="none"/>
        </w:rPr>
      </w:pPr>
    </w:p>
    <w:p>
      <w:pPr>
        <w:widowControl w:val="0"/>
        <w:spacing w:line="640" w:lineRule="exact"/>
        <w:jc w:val="center"/>
        <w:textAlignment w:val="baseline"/>
        <w:rPr>
          <w:rFonts w:ascii="方正小标宋简体" w:eastAsia="方正小标宋简体"/>
          <w:snapToGrid w:val="0"/>
          <w:color w:val="auto"/>
          <w:sz w:val="44"/>
          <w:highlight w:val="none"/>
        </w:rPr>
      </w:pPr>
    </w:p>
    <w:p>
      <w:pPr>
        <w:widowControl w:val="0"/>
        <w:spacing w:line="640" w:lineRule="exact"/>
        <w:jc w:val="center"/>
        <w:textAlignment w:val="baseline"/>
        <w:rPr>
          <w:rFonts w:ascii="方正小标宋简体" w:eastAsia="方正小标宋简体"/>
          <w:snapToGrid w:val="0"/>
          <w:color w:val="auto"/>
          <w:sz w:val="44"/>
          <w:highlight w:val="none"/>
        </w:rPr>
      </w:pPr>
    </w:p>
    <w:p>
      <w:pPr>
        <w:widowControl w:val="0"/>
        <w:spacing w:line="480" w:lineRule="auto"/>
        <w:jc w:val="center"/>
        <w:textAlignment w:val="baseline"/>
        <w:rPr>
          <w:rFonts w:ascii="方正小标宋简体" w:hAnsi="宋体" w:eastAsia="方正小标宋简体"/>
          <w:b/>
          <w:snapToGrid w:val="0"/>
          <w:color w:val="auto"/>
          <w:sz w:val="32"/>
          <w:szCs w:val="32"/>
          <w:highlight w:val="none"/>
        </w:rPr>
      </w:pPr>
      <w:r>
        <w:rPr>
          <w:rFonts w:hint="eastAsia" w:ascii="宋体" w:hAnsi="宋体"/>
          <w:b/>
          <w:color w:val="auto"/>
          <w:sz w:val="32"/>
          <w:szCs w:val="32"/>
          <w:highlight w:val="none"/>
        </w:rPr>
        <w:t>开标时启封</w:t>
      </w:r>
      <w:r>
        <w:rPr>
          <w:rFonts w:hint="eastAsia" w:ascii="宋体" w:hAnsi="宋体"/>
          <w:b/>
          <w:snapToGrid w:val="0"/>
          <w:color w:val="auto"/>
          <w:sz w:val="32"/>
          <w:szCs w:val="32"/>
          <w:highlight w:val="none"/>
        </w:rPr>
        <w:t>。</w:t>
      </w:r>
    </w:p>
    <w:p>
      <w:pPr>
        <w:widowControl w:val="0"/>
        <w:spacing w:line="480" w:lineRule="auto"/>
        <w:ind w:firstLine="480" w:firstLineChars="200"/>
        <w:textAlignment w:val="baseline"/>
        <w:rPr>
          <w:rFonts w:ascii="宋体" w:hAnsi="宋体"/>
          <w:snapToGrid w:val="0"/>
          <w:color w:val="auto"/>
          <w:sz w:val="24"/>
          <w:szCs w:val="24"/>
          <w:highlight w:val="none"/>
        </w:rPr>
      </w:pPr>
      <w:r>
        <w:rPr>
          <w:rFonts w:hint="eastAsia" w:ascii="宋体" w:hAnsi="宋体"/>
          <w:bCs/>
          <w:color w:val="auto"/>
          <w:sz w:val="24"/>
          <w:szCs w:val="24"/>
          <w:highlight w:val="none"/>
        </w:rPr>
        <w:t>投标文件名称：</w:t>
      </w:r>
      <w:r>
        <w:rPr>
          <w:rFonts w:hint="eastAsia" w:ascii="宋体" w:hAnsi="宋体" w:cs="宋体"/>
          <w:b/>
          <w:color w:val="auto"/>
          <w:sz w:val="32"/>
          <w:szCs w:val="32"/>
          <w:highlight w:val="none"/>
        </w:rPr>
        <w:t>资格</w:t>
      </w:r>
      <w:r>
        <w:rPr>
          <w:rFonts w:hint="eastAsia" w:ascii="宋体" w:hAnsi="宋体" w:cs="宋体"/>
          <w:b/>
          <w:color w:val="auto"/>
          <w:sz w:val="32"/>
          <w:szCs w:val="32"/>
          <w:highlight w:val="none"/>
          <w:lang w:eastAsia="zh-CN"/>
        </w:rPr>
        <w:t>证明文件、</w:t>
      </w:r>
      <w:r>
        <w:rPr>
          <w:rFonts w:hint="eastAsia" w:ascii="宋体" w:hAnsi="宋体" w:cs="宋体"/>
          <w:b/>
          <w:color w:val="auto"/>
          <w:sz w:val="32"/>
          <w:szCs w:val="32"/>
          <w:highlight w:val="none"/>
        </w:rPr>
        <w:t>商务</w:t>
      </w:r>
      <w:r>
        <w:rPr>
          <w:rFonts w:hint="eastAsia" w:ascii="宋体" w:hAnsi="宋体" w:cs="宋体"/>
          <w:b/>
          <w:color w:val="auto"/>
          <w:sz w:val="32"/>
          <w:szCs w:val="32"/>
          <w:highlight w:val="none"/>
          <w:lang w:eastAsia="zh-CN"/>
        </w:rPr>
        <w:t>与</w:t>
      </w:r>
      <w:r>
        <w:rPr>
          <w:rFonts w:hint="eastAsia" w:ascii="宋体" w:hAnsi="宋体" w:cs="宋体"/>
          <w:b/>
          <w:color w:val="auto"/>
          <w:sz w:val="32"/>
          <w:szCs w:val="32"/>
          <w:highlight w:val="none"/>
        </w:rPr>
        <w:t>技术文件</w:t>
      </w:r>
      <w:r>
        <w:rPr>
          <w:rFonts w:hint="eastAsia" w:ascii="宋体" w:hAnsi="宋体"/>
          <w:b/>
          <w:snapToGrid w:val="0"/>
          <w:color w:val="auto"/>
          <w:sz w:val="32"/>
          <w:szCs w:val="32"/>
          <w:highlight w:val="none"/>
        </w:rPr>
        <w:t>或报价文件</w:t>
      </w:r>
    </w:p>
    <w:p>
      <w:pPr>
        <w:widowControl w:val="0"/>
        <w:spacing w:line="480" w:lineRule="auto"/>
        <w:ind w:firstLine="480" w:firstLineChars="200"/>
        <w:textAlignment w:val="baseline"/>
        <w:rPr>
          <w:rFonts w:hint="eastAsia" w:hAnsi="宋体"/>
          <w:b w:val="0"/>
          <w:bCs/>
          <w:color w:val="auto"/>
          <w:sz w:val="24"/>
          <w:highlight w:val="none"/>
        </w:rPr>
      </w:pPr>
      <w:r>
        <w:rPr>
          <w:rFonts w:hint="eastAsia" w:ascii="宋体" w:hAnsi="宋体"/>
          <w:snapToGrid w:val="0"/>
          <w:color w:val="auto"/>
          <w:sz w:val="24"/>
          <w:szCs w:val="24"/>
          <w:highlight w:val="none"/>
        </w:rPr>
        <w:t>项目名称：</w:t>
      </w:r>
      <w:r>
        <w:rPr>
          <w:rFonts w:hint="eastAsia" w:ascii="宋体" w:hAnsi="宋体" w:cs="宋体"/>
          <w:kern w:val="0"/>
          <w:sz w:val="24"/>
          <w:highlight w:val="none"/>
          <w:lang w:eastAsia="zh-CN"/>
        </w:rPr>
        <w:t>2023-2025年路桥区地方教材及配套作业本采购</w:t>
      </w:r>
    </w:p>
    <w:p>
      <w:pPr>
        <w:widowControl w:val="0"/>
        <w:spacing w:line="480" w:lineRule="auto"/>
        <w:ind w:firstLine="480" w:firstLineChars="200"/>
        <w:textAlignment w:val="baseline"/>
        <w:rPr>
          <w:rFonts w:ascii="宋体" w:hAnsi="宋体"/>
          <w:snapToGrid w:val="0"/>
          <w:color w:val="auto"/>
          <w:sz w:val="24"/>
          <w:szCs w:val="24"/>
          <w:highlight w:val="none"/>
        </w:rPr>
      </w:pPr>
      <w:r>
        <w:rPr>
          <w:rFonts w:hint="eastAsia" w:ascii="宋体" w:hAnsi="宋体"/>
          <w:snapToGrid w:val="0"/>
          <w:color w:val="auto"/>
          <w:sz w:val="24"/>
          <w:szCs w:val="24"/>
          <w:highlight w:val="none"/>
        </w:rPr>
        <w:t>项目编号：</w:t>
      </w:r>
      <w:r>
        <w:rPr>
          <w:rFonts w:hint="eastAsia" w:ascii="宋体" w:hAnsi="宋体"/>
          <w:snapToGrid w:val="0"/>
          <w:color w:val="auto"/>
          <w:sz w:val="24"/>
          <w:szCs w:val="24"/>
          <w:highlight w:val="none"/>
          <w:lang w:eastAsia="zh-CN"/>
        </w:rPr>
        <w:t>LQCG-2023-GK023号</w:t>
      </w:r>
    </w:p>
    <w:p>
      <w:pPr>
        <w:widowControl w:val="0"/>
        <w:spacing w:line="480" w:lineRule="auto"/>
        <w:ind w:firstLine="480" w:firstLineChars="200"/>
        <w:textAlignment w:val="baseline"/>
        <w:rPr>
          <w:rFonts w:ascii="宋体" w:hAnsi="宋体"/>
          <w:snapToGrid w:val="0"/>
          <w:color w:val="auto"/>
          <w:sz w:val="24"/>
          <w:szCs w:val="24"/>
          <w:highlight w:val="none"/>
        </w:rPr>
      </w:pPr>
      <w:r>
        <w:rPr>
          <w:rFonts w:hint="eastAsia" w:ascii="宋体" w:hAnsi="宋体"/>
          <w:snapToGrid w:val="0"/>
          <w:color w:val="auto"/>
          <w:sz w:val="24"/>
          <w:szCs w:val="24"/>
          <w:highlight w:val="none"/>
        </w:rPr>
        <w:t>投标人名称：</w:t>
      </w:r>
    </w:p>
    <w:p>
      <w:pPr>
        <w:widowControl w:val="0"/>
        <w:ind w:firstLine="480" w:firstLineChars="200"/>
        <w:textAlignment w:val="baseline"/>
        <w:rPr>
          <w:rFonts w:ascii="宋体" w:hAnsi="宋体"/>
          <w:snapToGrid w:val="0"/>
          <w:color w:val="auto"/>
          <w:sz w:val="24"/>
          <w:szCs w:val="24"/>
          <w:highlight w:val="none"/>
        </w:rPr>
      </w:pPr>
    </w:p>
    <w:p>
      <w:pPr>
        <w:widowControl w:val="0"/>
        <w:rPr>
          <w:rFonts w:ascii="宋体" w:hAnsi="宋体"/>
          <w:snapToGrid w:val="0"/>
          <w:color w:val="auto"/>
          <w:sz w:val="24"/>
          <w:highlight w:val="none"/>
        </w:rPr>
      </w:pPr>
    </w:p>
    <w:sectPr>
      <w:pgSz w:w="11907" w:h="16840"/>
      <w:pgMar w:top="1701" w:right="1474" w:bottom="1701" w:left="1474" w:header="851" w:footer="992" w:gutter="0"/>
      <w:pgBorders>
        <w:top w:val="none" w:sz="0" w:space="0"/>
        <w:left w:val="none" w:sz="0" w:space="0"/>
        <w:bottom w:val="none" w:sz="0" w:space="0"/>
        <w:right w:val="none" w:sz="0" w:space="0"/>
      </w:pgBorders>
      <w:cols w:space="72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简体">
    <w:altName w:val="宋体-方正超大字符集"/>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4153"/>
        <w:tab w:val="right" w:pos="8306"/>
        <w:tab w:val="clear" w:pos="4140"/>
        <w:tab w:val="clear" w:pos="8300"/>
      </w:tabs>
      <w:jc w:val="center"/>
      <w:rPr>
        <w:rFonts w:ascii="宋体" w:hAnsi="宋体"/>
      </w:rPr>
    </w:pPr>
  </w:p>
  <w:p>
    <w:pPr>
      <w:pStyle w:val="24"/>
      <w:tabs>
        <w:tab w:val="center" w:pos="4153"/>
        <w:tab w:val="right" w:pos="8306"/>
        <w:tab w:val="clear" w:pos="4140"/>
        <w:tab w:val="clear" w:pos="8300"/>
      </w:tabs>
      <w:jc w:val="center"/>
      <w:rPr>
        <w:rFonts w:ascii="宋体" w:hAnsi="宋体"/>
      </w:rPr>
    </w:pPr>
    <w:r>
      <w:pict>
        <v:shape id="文本框 1025" o:spid="_x0000_s409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tabs>
        <w:tab w:val="center" w:pos="4153"/>
        <w:tab w:val="right" w:pos="8306"/>
        <w:tab w:val="clear" w:pos="4140"/>
        <w:tab w:val="clear" w:pos="8300"/>
      </w:tabs>
      <w:rPr>
        <w:rStyle w:val="41"/>
      </w:rPr>
    </w:pPr>
    <w:r>
      <w:fldChar w:fldCharType="begin"/>
    </w:r>
    <w:r>
      <w:rPr>
        <w:rStyle w:val="41"/>
      </w:rPr>
      <w:instrText xml:space="preserve">PAGE  </w:instrText>
    </w:r>
    <w:r>
      <w:fldChar w:fldCharType="end"/>
    </w:r>
  </w:p>
  <w:p>
    <w:pPr>
      <w:pStyle w:val="24"/>
      <w:tabs>
        <w:tab w:val="center" w:pos="4153"/>
        <w:tab w:val="right" w:pos="8306"/>
        <w:tab w:val="clear" w:pos="4140"/>
        <w:tab w:val="clear" w:pos="83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4153"/>
        <w:tab w:val="right" w:pos="8306"/>
        <w:tab w:val="clear" w:pos="4140"/>
        <w:tab w:val="clear" w:pos="8300"/>
      </w:tabs>
      <w:jc w:val="center"/>
      <w:rPr>
        <w:rFonts w:ascii="宋体" w:hAnsi="宋体"/>
        <w:sz w:val="24"/>
        <w:szCs w:val="24"/>
      </w:rPr>
    </w:pPr>
    <w:r>
      <w:rPr>
        <w:sz w:val="24"/>
      </w:rPr>
      <w:pict>
        <v:shape id="文本框 102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4"/>
                  <w:tabs>
                    <w:tab w:val="center" w:pos="4153"/>
                    <w:tab w:val="right" w:pos="8306"/>
                    <w:tab w:val="clear" w:pos="4140"/>
                    <w:tab w:val="clear" w:pos="8300"/>
                  </w:tabs>
                  <w:jc w:val="center"/>
                </w:pPr>
                <w:r>
                  <w:rPr>
                    <w:rFonts w:ascii="宋体" w:hAnsi="宋体"/>
                    <w:sz w:val="24"/>
                    <w:szCs w:val="24"/>
                  </w:rPr>
                  <w:t xml:space="preserve">- </w:t>
                </w: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42</w:t>
                </w:r>
                <w:r>
                  <w:rPr>
                    <w:rFonts w:hint="eastAsia" w:ascii="宋体" w:hAnsi="宋体"/>
                    <w:sz w:val="24"/>
                    <w:szCs w:val="24"/>
                  </w:rPr>
                  <w:fldChar w:fldCharType="end"/>
                </w:r>
                <w:r>
                  <w:rPr>
                    <w:rFonts w:ascii="宋体" w:hAnsi="宋体"/>
                    <w:sz w:val="24"/>
                    <w:szCs w:val="24"/>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4153"/>
        <w:tab w:val="right" w:pos="8306"/>
        <w:tab w:val="clear" w:pos="4140"/>
        <w:tab w:val="clear" w:pos="8300"/>
      </w:tabs>
      <w:jc w:val="center"/>
      <w:rPr>
        <w:sz w:val="24"/>
        <w:szCs w:val="24"/>
      </w:rPr>
    </w:pPr>
    <w:r>
      <w:rPr>
        <w:sz w:val="24"/>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4"/>
                  <w:tabs>
                    <w:tab w:val="center" w:pos="4153"/>
                    <w:tab w:val="right" w:pos="8306"/>
                    <w:tab w:val="clear" w:pos="4140"/>
                    <w:tab w:val="clear" w:pos="8300"/>
                  </w:tabs>
                  <w:jc w:val="center"/>
                </w:pPr>
                <w:r>
                  <w:rPr>
                    <w:rFonts w:ascii="宋体" w:hAnsi="宋体"/>
                    <w:sz w:val="24"/>
                    <w:szCs w:val="24"/>
                  </w:rPr>
                  <w:t xml:space="preserve">- </w:t>
                </w: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2</w:t>
                </w:r>
                <w:r>
                  <w:rPr>
                    <w:rFonts w:hint="eastAsia" w:ascii="宋体" w:hAnsi="宋体"/>
                    <w:sz w:val="24"/>
                    <w:szCs w:val="24"/>
                  </w:rPr>
                  <w:fldChar w:fldCharType="end"/>
                </w:r>
                <w:r>
                  <w:rPr>
                    <w:rFonts w:ascii="宋体" w:hAnsi="宋体"/>
                    <w:sz w:val="24"/>
                    <w:szCs w:val="24"/>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4156"/>
        <w:tab w:val="left" w:pos="6279"/>
        <w:tab w:val="right" w:pos="8306"/>
        <w:tab w:val="clear" w:pos="4140"/>
        <w:tab w:val="clear" w:pos="8300"/>
      </w:tabs>
      <w:rPr>
        <w:sz w:val="24"/>
      </w:rPr>
    </w:pPr>
    <w:r>
      <w:rPr>
        <w:rFonts w:hint="eastAsia" w:ascii="仿宋_GB2312" w:eastAsia="仿宋_GB2312"/>
        <w:color w:val="000000"/>
        <w:sz w:val="24"/>
        <w:lang w:eastAsia="zh-CN"/>
      </w:rPr>
      <w:t>台州市</w:t>
    </w:r>
    <w:r>
      <w:rPr>
        <w:rFonts w:hint="eastAsia" w:ascii="仿宋_GB2312" w:eastAsia="仿宋_GB2312"/>
        <w:color w:val="000000"/>
        <w:sz w:val="24"/>
      </w:rPr>
      <w:t>路桥区政府采购中心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4153"/>
        <w:tab w:val="left" w:pos="6279"/>
        <w:tab w:val="right" w:pos="8306"/>
        <w:tab w:val="clear" w:pos="4140"/>
        <w:tab w:val="clear" w:pos="8300"/>
      </w:tabs>
      <w:rPr>
        <w:sz w:val="24"/>
      </w:rPr>
    </w:pPr>
    <w:r>
      <w:rPr>
        <w:rFonts w:hint="eastAsia" w:ascii="仿宋_GB2312" w:eastAsia="仿宋_GB2312"/>
        <w:color w:val="000000"/>
        <w:sz w:val="24"/>
      </w:rPr>
      <w:t>路桥区政府采购中心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4156"/>
        <w:tab w:val="left" w:pos="6279"/>
        <w:tab w:val="right" w:pos="8306"/>
        <w:tab w:val="clear" w:pos="4140"/>
        <w:tab w:val="clear" w:pos="8300"/>
      </w:tabs>
      <w:rPr>
        <w:sz w:val="24"/>
      </w:rPr>
    </w:pPr>
    <w:r>
      <w:rPr>
        <w:rFonts w:hint="eastAsia" w:ascii="仿宋_GB2312" w:eastAsia="仿宋_GB2312"/>
        <w:color w:val="000000"/>
        <w:sz w:val="24"/>
        <w:lang w:eastAsia="zh-CN"/>
      </w:rPr>
      <w:t>台州市</w:t>
    </w:r>
    <w:r>
      <w:rPr>
        <w:rFonts w:hint="eastAsia" w:ascii="仿宋_GB2312" w:eastAsia="仿宋_GB2312"/>
        <w:color w:val="000000"/>
        <w:sz w:val="24"/>
      </w:rPr>
      <w:t>路桥区政府采购中心</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4153"/>
        <w:tab w:val="left" w:pos="6279"/>
        <w:tab w:val="right" w:pos="8306"/>
        <w:tab w:val="clear" w:pos="4140"/>
        <w:tab w:val="clear" w:pos="8300"/>
      </w:tabs>
      <w:rPr>
        <w:sz w:val="24"/>
      </w:rPr>
    </w:pPr>
    <w:r>
      <w:rPr>
        <w:rFonts w:hint="eastAsia" w:ascii="仿宋_GB2312" w:eastAsia="仿宋_GB2312"/>
        <w:color w:val="000000"/>
        <w:sz w:val="24"/>
        <w:lang w:eastAsia="zh-CN"/>
      </w:rPr>
      <w:t>台州市</w:t>
    </w:r>
    <w:r>
      <w:rPr>
        <w:rFonts w:hint="eastAsia" w:ascii="仿宋_GB2312" w:eastAsia="仿宋_GB2312"/>
        <w:color w:val="000000"/>
        <w:sz w:val="24"/>
      </w:rPr>
      <w:t>路桥区政府采购中心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DFFEF"/>
    <w:multiLevelType w:val="singleLevel"/>
    <w:tmpl w:val="91BDFFEF"/>
    <w:lvl w:ilvl="0" w:tentative="0">
      <w:start w:val="5"/>
      <w:numFmt w:val="chineseCounting"/>
      <w:suff w:val="nothing"/>
      <w:lvlText w:val="%1、"/>
      <w:lvlJc w:val="left"/>
      <w:rPr>
        <w:rFonts w:hint="eastAsia"/>
      </w:rPr>
    </w:lvl>
  </w:abstractNum>
  <w:abstractNum w:abstractNumId="1">
    <w:nsid w:val="9A693741"/>
    <w:multiLevelType w:val="singleLevel"/>
    <w:tmpl w:val="9A693741"/>
    <w:lvl w:ilvl="0" w:tentative="0">
      <w:start w:val="1"/>
      <w:numFmt w:val="chineseCounting"/>
      <w:suff w:val="nothing"/>
      <w:lvlText w:val="%1、"/>
      <w:lvlJc w:val="left"/>
      <w:rPr>
        <w:rFonts w:hint="eastAsia"/>
      </w:rPr>
    </w:lvl>
  </w:abstractNum>
  <w:abstractNum w:abstractNumId="2">
    <w:nsid w:val="00000003"/>
    <w:multiLevelType w:val="singleLevel"/>
    <w:tmpl w:val="00000003"/>
    <w:lvl w:ilvl="0" w:tentative="0">
      <w:start w:val="1"/>
      <w:numFmt w:val="upperLetter"/>
      <w:pStyle w:val="2"/>
      <w:lvlText w:val="%1、"/>
      <w:lvlJc w:val="left"/>
      <w:pPr>
        <w:tabs>
          <w:tab w:val="left" w:pos="1335"/>
        </w:tabs>
        <w:ind w:left="1335" w:hanging="720"/>
      </w:pPr>
      <w:rPr>
        <w:rFonts w:hint="eastAsia"/>
      </w:rPr>
    </w:lvl>
  </w:abstractNum>
  <w:abstractNum w:abstractNumId="3">
    <w:nsid w:val="00000005"/>
    <w:multiLevelType w:val="multilevel"/>
    <w:tmpl w:val="00000005"/>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720"/>
        </w:tabs>
        <w:ind w:left="0" w:firstLine="0"/>
      </w:pPr>
      <w:rPr>
        <w:rFonts w:hint="eastAsia"/>
      </w:rPr>
    </w:lvl>
    <w:lvl w:ilvl="2" w:tentative="0">
      <w:start w:val="1"/>
      <w:numFmt w:val="decimal"/>
      <w:pStyle w:val="6"/>
      <w:lvlText w:val="%1.%2.%3"/>
      <w:lvlJc w:val="left"/>
      <w:pPr>
        <w:tabs>
          <w:tab w:val="left" w:pos="1080"/>
        </w:tabs>
        <w:ind w:left="0" w:firstLine="0"/>
      </w:pPr>
      <w:rPr>
        <w:rFonts w:hint="eastAsia"/>
      </w:rPr>
    </w:lvl>
    <w:lvl w:ilvl="3" w:tentative="0">
      <w:start w:val="1"/>
      <w:numFmt w:val="decimal"/>
      <w:lvlText w:val="%1.%2.%3.%4"/>
      <w:lvlJc w:val="left"/>
      <w:pPr>
        <w:tabs>
          <w:tab w:val="left" w:pos="271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031B72DD"/>
    <w:multiLevelType w:val="singleLevel"/>
    <w:tmpl w:val="031B72DD"/>
    <w:lvl w:ilvl="0" w:tentative="0">
      <w:start w:val="8"/>
      <w:numFmt w:val="chineseCounting"/>
      <w:suff w:val="nothing"/>
      <w:lvlText w:val="%1、"/>
      <w:lvlJc w:val="left"/>
      <w:rPr>
        <w:rFonts w:hint="eastAsia"/>
      </w:rPr>
    </w:lvl>
  </w:abstractNum>
  <w:abstractNum w:abstractNumId="5">
    <w:nsid w:val="30268E1E"/>
    <w:multiLevelType w:val="singleLevel"/>
    <w:tmpl w:val="30268E1E"/>
    <w:lvl w:ilvl="0" w:tentative="0">
      <w:start w:val="2"/>
      <w:numFmt w:val="decimal"/>
      <w:suff w:val="nothing"/>
      <w:lvlText w:val="%1、"/>
      <w:lvlJc w:val="left"/>
    </w:lvl>
  </w:abstractNum>
  <w:abstractNum w:abstractNumId="6">
    <w:nsid w:val="46C514C3"/>
    <w:multiLevelType w:val="singleLevel"/>
    <w:tmpl w:val="46C514C3"/>
    <w:lvl w:ilvl="0" w:tentative="0">
      <w:start w:val="1"/>
      <w:numFmt w:val="chineseCounting"/>
      <w:suff w:val="nothing"/>
      <w:lvlText w:val="%1、"/>
      <w:lvlJc w:val="left"/>
      <w:rPr>
        <w:rFonts w:hint="eastAsia"/>
      </w:rPr>
    </w:lvl>
  </w:abstractNum>
  <w:abstractNum w:abstractNumId="7">
    <w:nsid w:val="6A0B8EEB"/>
    <w:multiLevelType w:val="singleLevel"/>
    <w:tmpl w:val="6A0B8EEB"/>
    <w:lvl w:ilvl="0" w:tentative="0">
      <w:start w:val="4"/>
      <w:numFmt w:val="chineseCounting"/>
      <w:suff w:val="space"/>
      <w:lvlText w:val="第%1章"/>
      <w:lvlJc w:val="left"/>
      <w:rPr>
        <w:rFonts w:hint="eastAsia"/>
      </w:rPr>
    </w:lvl>
  </w:abstractNum>
  <w:num w:numId="1">
    <w:abstractNumId w:val="2"/>
  </w:num>
  <w:num w:numId="2">
    <w:abstractNumId w:val="3"/>
  </w:num>
  <w:num w:numId="3">
    <w:abstractNumId w:val="6"/>
  </w:num>
  <w:num w:numId="4">
    <w:abstractNumId w:val="1"/>
  </w:num>
  <w:num w:numId="5">
    <w:abstractNumId w:val="4"/>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720"/>
  <w:hyphenationZone w:val="360"/>
  <w:drawingGridHorizontalSpacing w:val="210"/>
  <w:drawingGridVerticalSpacing w:val="159"/>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doNotValidateAgainstSchema/>
  <w:doNotDemarcateInvalidXml/>
  <w:hdrShapeDefaults>
    <o:shapelayout v:ext="edit">
      <o:idmap v:ext="edit" data="3,4"/>
    </o:shapelayout>
  </w:hdrShapeDefaults>
  <w:compat>
    <w:spaceForUL/>
    <w:doNotLeaveBackslashAlon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AzN2QwYzAwNThmODhjZjk3YzJkNWM0MjIwZTJjMWMifQ=="/>
  </w:docVars>
  <w:rsids>
    <w:rsidRoot w:val="00172A27"/>
    <w:rsid w:val="00002F9E"/>
    <w:rsid w:val="0000358B"/>
    <w:rsid w:val="0000395E"/>
    <w:rsid w:val="00003DBD"/>
    <w:rsid w:val="00004655"/>
    <w:rsid w:val="0000486D"/>
    <w:rsid w:val="000057CF"/>
    <w:rsid w:val="00005E3A"/>
    <w:rsid w:val="00006761"/>
    <w:rsid w:val="000068C5"/>
    <w:rsid w:val="000073D6"/>
    <w:rsid w:val="00007AE7"/>
    <w:rsid w:val="00011A13"/>
    <w:rsid w:val="00011E28"/>
    <w:rsid w:val="00012C1E"/>
    <w:rsid w:val="00012F1C"/>
    <w:rsid w:val="00013498"/>
    <w:rsid w:val="000136B5"/>
    <w:rsid w:val="00013C8E"/>
    <w:rsid w:val="0001414A"/>
    <w:rsid w:val="00014717"/>
    <w:rsid w:val="00015742"/>
    <w:rsid w:val="000158EA"/>
    <w:rsid w:val="00015CC5"/>
    <w:rsid w:val="000173B8"/>
    <w:rsid w:val="000174CF"/>
    <w:rsid w:val="00017947"/>
    <w:rsid w:val="00017B07"/>
    <w:rsid w:val="000213AB"/>
    <w:rsid w:val="00021917"/>
    <w:rsid w:val="00021C5F"/>
    <w:rsid w:val="00022A08"/>
    <w:rsid w:val="00023160"/>
    <w:rsid w:val="00023930"/>
    <w:rsid w:val="000243B0"/>
    <w:rsid w:val="0002461E"/>
    <w:rsid w:val="0002672C"/>
    <w:rsid w:val="00026C20"/>
    <w:rsid w:val="00030368"/>
    <w:rsid w:val="00030B87"/>
    <w:rsid w:val="00033506"/>
    <w:rsid w:val="00033701"/>
    <w:rsid w:val="00033A33"/>
    <w:rsid w:val="00033A54"/>
    <w:rsid w:val="000348FC"/>
    <w:rsid w:val="000354FD"/>
    <w:rsid w:val="0003689D"/>
    <w:rsid w:val="00036C38"/>
    <w:rsid w:val="00036FAE"/>
    <w:rsid w:val="000402C1"/>
    <w:rsid w:val="00040C67"/>
    <w:rsid w:val="00041594"/>
    <w:rsid w:val="000416FC"/>
    <w:rsid w:val="00042B58"/>
    <w:rsid w:val="00043030"/>
    <w:rsid w:val="000432E6"/>
    <w:rsid w:val="0004365C"/>
    <w:rsid w:val="0004541C"/>
    <w:rsid w:val="00046512"/>
    <w:rsid w:val="00046635"/>
    <w:rsid w:val="00046B68"/>
    <w:rsid w:val="00046F59"/>
    <w:rsid w:val="000505F3"/>
    <w:rsid w:val="00050726"/>
    <w:rsid w:val="000515F3"/>
    <w:rsid w:val="00051639"/>
    <w:rsid w:val="0005184E"/>
    <w:rsid w:val="00051D91"/>
    <w:rsid w:val="000533A6"/>
    <w:rsid w:val="00053786"/>
    <w:rsid w:val="0005548B"/>
    <w:rsid w:val="00055AE7"/>
    <w:rsid w:val="000567F2"/>
    <w:rsid w:val="00057485"/>
    <w:rsid w:val="00057ACA"/>
    <w:rsid w:val="00060453"/>
    <w:rsid w:val="00060504"/>
    <w:rsid w:val="00061170"/>
    <w:rsid w:val="00061EC0"/>
    <w:rsid w:val="000628DC"/>
    <w:rsid w:val="00062A30"/>
    <w:rsid w:val="00064095"/>
    <w:rsid w:val="00064FF7"/>
    <w:rsid w:val="00065D44"/>
    <w:rsid w:val="00067466"/>
    <w:rsid w:val="00067DCE"/>
    <w:rsid w:val="000704C0"/>
    <w:rsid w:val="00071F8C"/>
    <w:rsid w:val="00072176"/>
    <w:rsid w:val="00072234"/>
    <w:rsid w:val="00072EC6"/>
    <w:rsid w:val="000746D0"/>
    <w:rsid w:val="00075DA1"/>
    <w:rsid w:val="0007693E"/>
    <w:rsid w:val="0007713C"/>
    <w:rsid w:val="000803B3"/>
    <w:rsid w:val="00080A32"/>
    <w:rsid w:val="00080C6B"/>
    <w:rsid w:val="00081CF0"/>
    <w:rsid w:val="0008234C"/>
    <w:rsid w:val="000827CC"/>
    <w:rsid w:val="0008293D"/>
    <w:rsid w:val="000830C1"/>
    <w:rsid w:val="000830C5"/>
    <w:rsid w:val="00083ACB"/>
    <w:rsid w:val="000842F0"/>
    <w:rsid w:val="00086909"/>
    <w:rsid w:val="00086C75"/>
    <w:rsid w:val="00086E16"/>
    <w:rsid w:val="00086F80"/>
    <w:rsid w:val="00087444"/>
    <w:rsid w:val="00090F99"/>
    <w:rsid w:val="00091560"/>
    <w:rsid w:val="00092919"/>
    <w:rsid w:val="00093BE0"/>
    <w:rsid w:val="00094A63"/>
    <w:rsid w:val="00095C55"/>
    <w:rsid w:val="00095CAF"/>
    <w:rsid w:val="00096501"/>
    <w:rsid w:val="000965B9"/>
    <w:rsid w:val="000A069B"/>
    <w:rsid w:val="000A1057"/>
    <w:rsid w:val="000A27C0"/>
    <w:rsid w:val="000A3221"/>
    <w:rsid w:val="000A5006"/>
    <w:rsid w:val="000A5094"/>
    <w:rsid w:val="000A5394"/>
    <w:rsid w:val="000A54F5"/>
    <w:rsid w:val="000A56C2"/>
    <w:rsid w:val="000A588F"/>
    <w:rsid w:val="000A5FA2"/>
    <w:rsid w:val="000A71D0"/>
    <w:rsid w:val="000A79C3"/>
    <w:rsid w:val="000B0EE5"/>
    <w:rsid w:val="000B0EF7"/>
    <w:rsid w:val="000B1EA0"/>
    <w:rsid w:val="000B1F6C"/>
    <w:rsid w:val="000B2299"/>
    <w:rsid w:val="000B2503"/>
    <w:rsid w:val="000B2E6A"/>
    <w:rsid w:val="000B3997"/>
    <w:rsid w:val="000B39CF"/>
    <w:rsid w:val="000B39E0"/>
    <w:rsid w:val="000B4F5A"/>
    <w:rsid w:val="000B5489"/>
    <w:rsid w:val="000B6168"/>
    <w:rsid w:val="000B6BF9"/>
    <w:rsid w:val="000B6DD9"/>
    <w:rsid w:val="000B739F"/>
    <w:rsid w:val="000C1867"/>
    <w:rsid w:val="000C1BD0"/>
    <w:rsid w:val="000C2C66"/>
    <w:rsid w:val="000C3CF4"/>
    <w:rsid w:val="000C42FC"/>
    <w:rsid w:val="000C5252"/>
    <w:rsid w:val="000C5C01"/>
    <w:rsid w:val="000C5D0B"/>
    <w:rsid w:val="000C657B"/>
    <w:rsid w:val="000C692F"/>
    <w:rsid w:val="000D0526"/>
    <w:rsid w:val="000D094E"/>
    <w:rsid w:val="000D0BB8"/>
    <w:rsid w:val="000D101B"/>
    <w:rsid w:val="000D118F"/>
    <w:rsid w:val="000D145D"/>
    <w:rsid w:val="000D1C6E"/>
    <w:rsid w:val="000D1D29"/>
    <w:rsid w:val="000D2C22"/>
    <w:rsid w:val="000D3C3F"/>
    <w:rsid w:val="000D4396"/>
    <w:rsid w:val="000D767B"/>
    <w:rsid w:val="000D7F54"/>
    <w:rsid w:val="000E038B"/>
    <w:rsid w:val="000E1981"/>
    <w:rsid w:val="000E205C"/>
    <w:rsid w:val="000E3EF9"/>
    <w:rsid w:val="000E4D4C"/>
    <w:rsid w:val="000E596A"/>
    <w:rsid w:val="000E6455"/>
    <w:rsid w:val="000F077A"/>
    <w:rsid w:val="000F0EDA"/>
    <w:rsid w:val="000F2EAE"/>
    <w:rsid w:val="000F34EE"/>
    <w:rsid w:val="000F352A"/>
    <w:rsid w:val="000F39F8"/>
    <w:rsid w:val="000F4117"/>
    <w:rsid w:val="000F46A2"/>
    <w:rsid w:val="000F4E19"/>
    <w:rsid w:val="000F6182"/>
    <w:rsid w:val="000F628F"/>
    <w:rsid w:val="00101124"/>
    <w:rsid w:val="0010162D"/>
    <w:rsid w:val="001018AF"/>
    <w:rsid w:val="00101A75"/>
    <w:rsid w:val="001022ED"/>
    <w:rsid w:val="00102797"/>
    <w:rsid w:val="00102964"/>
    <w:rsid w:val="001033D9"/>
    <w:rsid w:val="001035D3"/>
    <w:rsid w:val="00105393"/>
    <w:rsid w:val="00105D74"/>
    <w:rsid w:val="00105E98"/>
    <w:rsid w:val="00106690"/>
    <w:rsid w:val="00106881"/>
    <w:rsid w:val="00107C70"/>
    <w:rsid w:val="00110A8C"/>
    <w:rsid w:val="001128F8"/>
    <w:rsid w:val="001130C0"/>
    <w:rsid w:val="0011312F"/>
    <w:rsid w:val="00114246"/>
    <w:rsid w:val="001152A5"/>
    <w:rsid w:val="0011594A"/>
    <w:rsid w:val="00115B03"/>
    <w:rsid w:val="00116999"/>
    <w:rsid w:val="00116AA8"/>
    <w:rsid w:val="00116CAB"/>
    <w:rsid w:val="00116E94"/>
    <w:rsid w:val="00117257"/>
    <w:rsid w:val="00117403"/>
    <w:rsid w:val="00120078"/>
    <w:rsid w:val="00120F3E"/>
    <w:rsid w:val="00121A0F"/>
    <w:rsid w:val="00124AAF"/>
    <w:rsid w:val="00126050"/>
    <w:rsid w:val="00126845"/>
    <w:rsid w:val="001277A7"/>
    <w:rsid w:val="0013003E"/>
    <w:rsid w:val="0013061A"/>
    <w:rsid w:val="00130CF1"/>
    <w:rsid w:val="001311D6"/>
    <w:rsid w:val="00131EC6"/>
    <w:rsid w:val="001327DD"/>
    <w:rsid w:val="0013329E"/>
    <w:rsid w:val="001346DC"/>
    <w:rsid w:val="00134775"/>
    <w:rsid w:val="00137267"/>
    <w:rsid w:val="00137640"/>
    <w:rsid w:val="00137C1F"/>
    <w:rsid w:val="00141586"/>
    <w:rsid w:val="00141E3A"/>
    <w:rsid w:val="001427A2"/>
    <w:rsid w:val="00143853"/>
    <w:rsid w:val="00143F4E"/>
    <w:rsid w:val="00143FFD"/>
    <w:rsid w:val="00144337"/>
    <w:rsid w:val="00146010"/>
    <w:rsid w:val="00147758"/>
    <w:rsid w:val="001512FA"/>
    <w:rsid w:val="00151B7A"/>
    <w:rsid w:val="00151D98"/>
    <w:rsid w:val="00153999"/>
    <w:rsid w:val="00153FF3"/>
    <w:rsid w:val="00154172"/>
    <w:rsid w:val="0015488C"/>
    <w:rsid w:val="00154C5F"/>
    <w:rsid w:val="00156DAC"/>
    <w:rsid w:val="0015701A"/>
    <w:rsid w:val="00157DFC"/>
    <w:rsid w:val="00157FEB"/>
    <w:rsid w:val="00160872"/>
    <w:rsid w:val="0016097F"/>
    <w:rsid w:val="001615F3"/>
    <w:rsid w:val="00161A0D"/>
    <w:rsid w:val="00161C44"/>
    <w:rsid w:val="00162B01"/>
    <w:rsid w:val="0016336F"/>
    <w:rsid w:val="001635D4"/>
    <w:rsid w:val="0016386B"/>
    <w:rsid w:val="00163A14"/>
    <w:rsid w:val="001672EA"/>
    <w:rsid w:val="00170AD3"/>
    <w:rsid w:val="001721B2"/>
    <w:rsid w:val="001721DC"/>
    <w:rsid w:val="001722CC"/>
    <w:rsid w:val="00172A27"/>
    <w:rsid w:val="00172F7A"/>
    <w:rsid w:val="00173D03"/>
    <w:rsid w:val="00173FC5"/>
    <w:rsid w:val="0017403B"/>
    <w:rsid w:val="001740F1"/>
    <w:rsid w:val="00174801"/>
    <w:rsid w:val="00175135"/>
    <w:rsid w:val="001764B8"/>
    <w:rsid w:val="001773FB"/>
    <w:rsid w:val="001776B9"/>
    <w:rsid w:val="00177FA1"/>
    <w:rsid w:val="00180C37"/>
    <w:rsid w:val="001811DC"/>
    <w:rsid w:val="001834B6"/>
    <w:rsid w:val="0018438D"/>
    <w:rsid w:val="001844BE"/>
    <w:rsid w:val="00185DDD"/>
    <w:rsid w:val="001868D6"/>
    <w:rsid w:val="001877E5"/>
    <w:rsid w:val="00187B2B"/>
    <w:rsid w:val="00187C16"/>
    <w:rsid w:val="00191601"/>
    <w:rsid w:val="001947D3"/>
    <w:rsid w:val="00194CA5"/>
    <w:rsid w:val="00194F88"/>
    <w:rsid w:val="00197BED"/>
    <w:rsid w:val="00197E34"/>
    <w:rsid w:val="001A0E9E"/>
    <w:rsid w:val="001A2349"/>
    <w:rsid w:val="001A27AB"/>
    <w:rsid w:val="001A291D"/>
    <w:rsid w:val="001A319E"/>
    <w:rsid w:val="001A533A"/>
    <w:rsid w:val="001A5C3A"/>
    <w:rsid w:val="001A7825"/>
    <w:rsid w:val="001A7DCA"/>
    <w:rsid w:val="001B0145"/>
    <w:rsid w:val="001B0176"/>
    <w:rsid w:val="001B020E"/>
    <w:rsid w:val="001B0BDB"/>
    <w:rsid w:val="001B0ECE"/>
    <w:rsid w:val="001B10C2"/>
    <w:rsid w:val="001B17AA"/>
    <w:rsid w:val="001B2A38"/>
    <w:rsid w:val="001B377A"/>
    <w:rsid w:val="001B3AEB"/>
    <w:rsid w:val="001B3E27"/>
    <w:rsid w:val="001B3EF1"/>
    <w:rsid w:val="001B530C"/>
    <w:rsid w:val="001B550D"/>
    <w:rsid w:val="001B6394"/>
    <w:rsid w:val="001C23CA"/>
    <w:rsid w:val="001C2BF9"/>
    <w:rsid w:val="001C2C3A"/>
    <w:rsid w:val="001C3B71"/>
    <w:rsid w:val="001C3D24"/>
    <w:rsid w:val="001C68AA"/>
    <w:rsid w:val="001C6B14"/>
    <w:rsid w:val="001C6B74"/>
    <w:rsid w:val="001D0D71"/>
    <w:rsid w:val="001D1D9C"/>
    <w:rsid w:val="001D1DB3"/>
    <w:rsid w:val="001D263A"/>
    <w:rsid w:val="001D2C9D"/>
    <w:rsid w:val="001D44FD"/>
    <w:rsid w:val="001D4776"/>
    <w:rsid w:val="001D47C8"/>
    <w:rsid w:val="001D5154"/>
    <w:rsid w:val="001D54F7"/>
    <w:rsid w:val="001D577D"/>
    <w:rsid w:val="001D58D3"/>
    <w:rsid w:val="001D66BF"/>
    <w:rsid w:val="001E0DAC"/>
    <w:rsid w:val="001E0EB9"/>
    <w:rsid w:val="001E191D"/>
    <w:rsid w:val="001E1AD1"/>
    <w:rsid w:val="001E1D0C"/>
    <w:rsid w:val="001E2710"/>
    <w:rsid w:val="001E3200"/>
    <w:rsid w:val="001E33EF"/>
    <w:rsid w:val="001E3432"/>
    <w:rsid w:val="001E367F"/>
    <w:rsid w:val="001E3F74"/>
    <w:rsid w:val="001E4C39"/>
    <w:rsid w:val="001E4CCB"/>
    <w:rsid w:val="001E4E41"/>
    <w:rsid w:val="001E4F50"/>
    <w:rsid w:val="001E5A86"/>
    <w:rsid w:val="001E6155"/>
    <w:rsid w:val="001E621E"/>
    <w:rsid w:val="001F0CBC"/>
    <w:rsid w:val="001F0CCA"/>
    <w:rsid w:val="001F1048"/>
    <w:rsid w:val="001F25EF"/>
    <w:rsid w:val="001F48D1"/>
    <w:rsid w:val="001F4DEE"/>
    <w:rsid w:val="001F507A"/>
    <w:rsid w:val="001F5807"/>
    <w:rsid w:val="001F5DE4"/>
    <w:rsid w:val="001F6BC2"/>
    <w:rsid w:val="001F6D52"/>
    <w:rsid w:val="002000E0"/>
    <w:rsid w:val="00200A30"/>
    <w:rsid w:val="00200A33"/>
    <w:rsid w:val="00201B6A"/>
    <w:rsid w:val="00201BD4"/>
    <w:rsid w:val="002029EB"/>
    <w:rsid w:val="002033AE"/>
    <w:rsid w:val="00203967"/>
    <w:rsid w:val="0020470B"/>
    <w:rsid w:val="00204E7B"/>
    <w:rsid w:val="00207F27"/>
    <w:rsid w:val="00210C25"/>
    <w:rsid w:val="00211B5F"/>
    <w:rsid w:val="00213689"/>
    <w:rsid w:val="00213DE5"/>
    <w:rsid w:val="0021403F"/>
    <w:rsid w:val="0021578E"/>
    <w:rsid w:val="00216791"/>
    <w:rsid w:val="00216F7F"/>
    <w:rsid w:val="002177A1"/>
    <w:rsid w:val="00217CF1"/>
    <w:rsid w:val="00220B49"/>
    <w:rsid w:val="00221061"/>
    <w:rsid w:val="00222031"/>
    <w:rsid w:val="00222EEA"/>
    <w:rsid w:val="002232EF"/>
    <w:rsid w:val="002253C8"/>
    <w:rsid w:val="00225677"/>
    <w:rsid w:val="0022629D"/>
    <w:rsid w:val="0022635A"/>
    <w:rsid w:val="00226380"/>
    <w:rsid w:val="00227211"/>
    <w:rsid w:val="002278F6"/>
    <w:rsid w:val="002279A4"/>
    <w:rsid w:val="002320CE"/>
    <w:rsid w:val="002344C1"/>
    <w:rsid w:val="00234E44"/>
    <w:rsid w:val="00236025"/>
    <w:rsid w:val="0023642F"/>
    <w:rsid w:val="0023646D"/>
    <w:rsid w:val="002368D0"/>
    <w:rsid w:val="00237734"/>
    <w:rsid w:val="00237C2D"/>
    <w:rsid w:val="00237F2C"/>
    <w:rsid w:val="0024006B"/>
    <w:rsid w:val="00241D40"/>
    <w:rsid w:val="002424F3"/>
    <w:rsid w:val="00243055"/>
    <w:rsid w:val="00243ABB"/>
    <w:rsid w:val="00244809"/>
    <w:rsid w:val="00245559"/>
    <w:rsid w:val="0024623B"/>
    <w:rsid w:val="002463E2"/>
    <w:rsid w:val="00246C35"/>
    <w:rsid w:val="002470E9"/>
    <w:rsid w:val="00247606"/>
    <w:rsid w:val="002476F7"/>
    <w:rsid w:val="002478AF"/>
    <w:rsid w:val="00250E61"/>
    <w:rsid w:val="0025125A"/>
    <w:rsid w:val="00253A85"/>
    <w:rsid w:val="0025614A"/>
    <w:rsid w:val="00256379"/>
    <w:rsid w:val="002576AA"/>
    <w:rsid w:val="00257C5C"/>
    <w:rsid w:val="00257E31"/>
    <w:rsid w:val="002611F7"/>
    <w:rsid w:val="002629C5"/>
    <w:rsid w:val="00262B76"/>
    <w:rsid w:val="0026383A"/>
    <w:rsid w:val="0026399A"/>
    <w:rsid w:val="00265D5A"/>
    <w:rsid w:val="00266611"/>
    <w:rsid w:val="00267C20"/>
    <w:rsid w:val="00267DDA"/>
    <w:rsid w:val="00267E1E"/>
    <w:rsid w:val="002708F1"/>
    <w:rsid w:val="002723A3"/>
    <w:rsid w:val="00272C10"/>
    <w:rsid w:val="00274640"/>
    <w:rsid w:val="00275381"/>
    <w:rsid w:val="00275A23"/>
    <w:rsid w:val="002773C6"/>
    <w:rsid w:val="002775FA"/>
    <w:rsid w:val="00280614"/>
    <w:rsid w:val="00280896"/>
    <w:rsid w:val="002809D5"/>
    <w:rsid w:val="00281194"/>
    <w:rsid w:val="00281656"/>
    <w:rsid w:val="00281828"/>
    <w:rsid w:val="002818EA"/>
    <w:rsid w:val="00281F5F"/>
    <w:rsid w:val="00281F91"/>
    <w:rsid w:val="00282774"/>
    <w:rsid w:val="00282DDE"/>
    <w:rsid w:val="00282E39"/>
    <w:rsid w:val="00282FB4"/>
    <w:rsid w:val="00283288"/>
    <w:rsid w:val="00283965"/>
    <w:rsid w:val="00283D2C"/>
    <w:rsid w:val="00283FF8"/>
    <w:rsid w:val="002843E9"/>
    <w:rsid w:val="002847DA"/>
    <w:rsid w:val="002850BF"/>
    <w:rsid w:val="002850F4"/>
    <w:rsid w:val="00285C95"/>
    <w:rsid w:val="00292521"/>
    <w:rsid w:val="0029284A"/>
    <w:rsid w:val="00292CFA"/>
    <w:rsid w:val="00292D5C"/>
    <w:rsid w:val="00293403"/>
    <w:rsid w:val="00293E14"/>
    <w:rsid w:val="00295C42"/>
    <w:rsid w:val="002976E3"/>
    <w:rsid w:val="002A0B5B"/>
    <w:rsid w:val="002A1669"/>
    <w:rsid w:val="002A2DA3"/>
    <w:rsid w:val="002A3F82"/>
    <w:rsid w:val="002A4263"/>
    <w:rsid w:val="002A4F16"/>
    <w:rsid w:val="002A725F"/>
    <w:rsid w:val="002A776D"/>
    <w:rsid w:val="002A7898"/>
    <w:rsid w:val="002B1699"/>
    <w:rsid w:val="002B2D56"/>
    <w:rsid w:val="002B39A4"/>
    <w:rsid w:val="002B3E96"/>
    <w:rsid w:val="002B4268"/>
    <w:rsid w:val="002B4767"/>
    <w:rsid w:val="002B54A9"/>
    <w:rsid w:val="002B5C80"/>
    <w:rsid w:val="002B5FFD"/>
    <w:rsid w:val="002B635A"/>
    <w:rsid w:val="002B6513"/>
    <w:rsid w:val="002C0D77"/>
    <w:rsid w:val="002C1D91"/>
    <w:rsid w:val="002C2690"/>
    <w:rsid w:val="002C2836"/>
    <w:rsid w:val="002C2C5B"/>
    <w:rsid w:val="002C2CEC"/>
    <w:rsid w:val="002C72D0"/>
    <w:rsid w:val="002C7BC3"/>
    <w:rsid w:val="002D0D95"/>
    <w:rsid w:val="002D1EFA"/>
    <w:rsid w:val="002D33ED"/>
    <w:rsid w:val="002D3EC5"/>
    <w:rsid w:val="002D4D33"/>
    <w:rsid w:val="002D501B"/>
    <w:rsid w:val="002D5171"/>
    <w:rsid w:val="002D5B85"/>
    <w:rsid w:val="002D61D2"/>
    <w:rsid w:val="002D6554"/>
    <w:rsid w:val="002D7755"/>
    <w:rsid w:val="002E037E"/>
    <w:rsid w:val="002E073A"/>
    <w:rsid w:val="002E07F6"/>
    <w:rsid w:val="002E2CC0"/>
    <w:rsid w:val="002E4183"/>
    <w:rsid w:val="002E4D02"/>
    <w:rsid w:val="002E519F"/>
    <w:rsid w:val="002E5601"/>
    <w:rsid w:val="002E601C"/>
    <w:rsid w:val="002E6697"/>
    <w:rsid w:val="002E6A6E"/>
    <w:rsid w:val="002F1EC3"/>
    <w:rsid w:val="002F2ECF"/>
    <w:rsid w:val="002F371E"/>
    <w:rsid w:val="002F39CA"/>
    <w:rsid w:val="002F49B1"/>
    <w:rsid w:val="002F5581"/>
    <w:rsid w:val="002F6A1F"/>
    <w:rsid w:val="002F7336"/>
    <w:rsid w:val="002F7D98"/>
    <w:rsid w:val="00300379"/>
    <w:rsid w:val="0030133F"/>
    <w:rsid w:val="00303102"/>
    <w:rsid w:val="00304322"/>
    <w:rsid w:val="0030728D"/>
    <w:rsid w:val="00307348"/>
    <w:rsid w:val="00310FD1"/>
    <w:rsid w:val="00312A1F"/>
    <w:rsid w:val="00313D96"/>
    <w:rsid w:val="0031480A"/>
    <w:rsid w:val="00314FF5"/>
    <w:rsid w:val="00315ABA"/>
    <w:rsid w:val="0031608B"/>
    <w:rsid w:val="003205B5"/>
    <w:rsid w:val="00320C8F"/>
    <w:rsid w:val="00320DEB"/>
    <w:rsid w:val="00321030"/>
    <w:rsid w:val="00321D83"/>
    <w:rsid w:val="00321DDC"/>
    <w:rsid w:val="003229E0"/>
    <w:rsid w:val="00324EFD"/>
    <w:rsid w:val="0032586D"/>
    <w:rsid w:val="0032601F"/>
    <w:rsid w:val="00326E29"/>
    <w:rsid w:val="00330598"/>
    <w:rsid w:val="00332791"/>
    <w:rsid w:val="00332985"/>
    <w:rsid w:val="00332B45"/>
    <w:rsid w:val="003336EE"/>
    <w:rsid w:val="00334C69"/>
    <w:rsid w:val="00334F54"/>
    <w:rsid w:val="003350EB"/>
    <w:rsid w:val="0033510F"/>
    <w:rsid w:val="00335398"/>
    <w:rsid w:val="003366B5"/>
    <w:rsid w:val="003376EE"/>
    <w:rsid w:val="003416AA"/>
    <w:rsid w:val="0034360E"/>
    <w:rsid w:val="00344280"/>
    <w:rsid w:val="0034466E"/>
    <w:rsid w:val="00344AFD"/>
    <w:rsid w:val="00344BE8"/>
    <w:rsid w:val="0034514F"/>
    <w:rsid w:val="00345643"/>
    <w:rsid w:val="00345E66"/>
    <w:rsid w:val="00347436"/>
    <w:rsid w:val="00347882"/>
    <w:rsid w:val="00347AC2"/>
    <w:rsid w:val="00350460"/>
    <w:rsid w:val="00350A68"/>
    <w:rsid w:val="00350EA2"/>
    <w:rsid w:val="003514EB"/>
    <w:rsid w:val="00351B19"/>
    <w:rsid w:val="00351C35"/>
    <w:rsid w:val="0035256C"/>
    <w:rsid w:val="00352777"/>
    <w:rsid w:val="003527F6"/>
    <w:rsid w:val="00353DBD"/>
    <w:rsid w:val="00355A0F"/>
    <w:rsid w:val="00360FC9"/>
    <w:rsid w:val="00361A0D"/>
    <w:rsid w:val="003624CF"/>
    <w:rsid w:val="00362A22"/>
    <w:rsid w:val="00363C0E"/>
    <w:rsid w:val="003655C9"/>
    <w:rsid w:val="00365745"/>
    <w:rsid w:val="003670F3"/>
    <w:rsid w:val="00367C94"/>
    <w:rsid w:val="00367F8B"/>
    <w:rsid w:val="00370061"/>
    <w:rsid w:val="0037035F"/>
    <w:rsid w:val="00370D47"/>
    <w:rsid w:val="00371000"/>
    <w:rsid w:val="0037233D"/>
    <w:rsid w:val="003726C1"/>
    <w:rsid w:val="00373E0F"/>
    <w:rsid w:val="003743EA"/>
    <w:rsid w:val="0037441E"/>
    <w:rsid w:val="00374C23"/>
    <w:rsid w:val="00374E3F"/>
    <w:rsid w:val="00376892"/>
    <w:rsid w:val="003775E8"/>
    <w:rsid w:val="00377710"/>
    <w:rsid w:val="00377A90"/>
    <w:rsid w:val="00380365"/>
    <w:rsid w:val="003815C9"/>
    <w:rsid w:val="00381DAD"/>
    <w:rsid w:val="003831FF"/>
    <w:rsid w:val="00383701"/>
    <w:rsid w:val="00383B65"/>
    <w:rsid w:val="003850A9"/>
    <w:rsid w:val="00385210"/>
    <w:rsid w:val="003852DC"/>
    <w:rsid w:val="00385CEF"/>
    <w:rsid w:val="003865BB"/>
    <w:rsid w:val="00386BDD"/>
    <w:rsid w:val="0038748D"/>
    <w:rsid w:val="003878DD"/>
    <w:rsid w:val="003879C1"/>
    <w:rsid w:val="0039030A"/>
    <w:rsid w:val="00391238"/>
    <w:rsid w:val="00391995"/>
    <w:rsid w:val="00391CC9"/>
    <w:rsid w:val="00392591"/>
    <w:rsid w:val="00393DD8"/>
    <w:rsid w:val="0039408E"/>
    <w:rsid w:val="00394E33"/>
    <w:rsid w:val="00394F63"/>
    <w:rsid w:val="0039683E"/>
    <w:rsid w:val="00396EDD"/>
    <w:rsid w:val="00397A98"/>
    <w:rsid w:val="003A0046"/>
    <w:rsid w:val="003A087B"/>
    <w:rsid w:val="003A0963"/>
    <w:rsid w:val="003A0F3C"/>
    <w:rsid w:val="003A11A0"/>
    <w:rsid w:val="003A2112"/>
    <w:rsid w:val="003A246E"/>
    <w:rsid w:val="003A307D"/>
    <w:rsid w:val="003A33C7"/>
    <w:rsid w:val="003A37E4"/>
    <w:rsid w:val="003A433E"/>
    <w:rsid w:val="003A44E6"/>
    <w:rsid w:val="003A5843"/>
    <w:rsid w:val="003A586C"/>
    <w:rsid w:val="003A6587"/>
    <w:rsid w:val="003A796D"/>
    <w:rsid w:val="003B0B5F"/>
    <w:rsid w:val="003B1794"/>
    <w:rsid w:val="003B2210"/>
    <w:rsid w:val="003B249A"/>
    <w:rsid w:val="003B2A91"/>
    <w:rsid w:val="003B4716"/>
    <w:rsid w:val="003B5649"/>
    <w:rsid w:val="003B5E17"/>
    <w:rsid w:val="003B640E"/>
    <w:rsid w:val="003C1119"/>
    <w:rsid w:val="003C1213"/>
    <w:rsid w:val="003C17FF"/>
    <w:rsid w:val="003C1861"/>
    <w:rsid w:val="003C275C"/>
    <w:rsid w:val="003C2C24"/>
    <w:rsid w:val="003C3709"/>
    <w:rsid w:val="003C583C"/>
    <w:rsid w:val="003C6A69"/>
    <w:rsid w:val="003C6E52"/>
    <w:rsid w:val="003C7177"/>
    <w:rsid w:val="003D209E"/>
    <w:rsid w:val="003D28C3"/>
    <w:rsid w:val="003D36D8"/>
    <w:rsid w:val="003D406D"/>
    <w:rsid w:val="003D46EE"/>
    <w:rsid w:val="003D4A48"/>
    <w:rsid w:val="003D5117"/>
    <w:rsid w:val="003D6548"/>
    <w:rsid w:val="003D76EF"/>
    <w:rsid w:val="003E4815"/>
    <w:rsid w:val="003E5519"/>
    <w:rsid w:val="003E6BCC"/>
    <w:rsid w:val="003E7003"/>
    <w:rsid w:val="003E76C3"/>
    <w:rsid w:val="003E76E9"/>
    <w:rsid w:val="003F0080"/>
    <w:rsid w:val="003F0316"/>
    <w:rsid w:val="003F0834"/>
    <w:rsid w:val="003F099E"/>
    <w:rsid w:val="003F0A58"/>
    <w:rsid w:val="003F0D94"/>
    <w:rsid w:val="003F13D2"/>
    <w:rsid w:val="003F2B05"/>
    <w:rsid w:val="003F2D24"/>
    <w:rsid w:val="003F3051"/>
    <w:rsid w:val="003F38D2"/>
    <w:rsid w:val="003F3AF2"/>
    <w:rsid w:val="003F3B3E"/>
    <w:rsid w:val="003F4C52"/>
    <w:rsid w:val="003F4EFA"/>
    <w:rsid w:val="003F6146"/>
    <w:rsid w:val="003F6EA4"/>
    <w:rsid w:val="003F78BB"/>
    <w:rsid w:val="004002A3"/>
    <w:rsid w:val="00400440"/>
    <w:rsid w:val="0040213E"/>
    <w:rsid w:val="004025FD"/>
    <w:rsid w:val="004029E1"/>
    <w:rsid w:val="00403551"/>
    <w:rsid w:val="004035E4"/>
    <w:rsid w:val="0040367F"/>
    <w:rsid w:val="00403B08"/>
    <w:rsid w:val="00404CF5"/>
    <w:rsid w:val="00404DD5"/>
    <w:rsid w:val="004055A6"/>
    <w:rsid w:val="0040570A"/>
    <w:rsid w:val="0040593C"/>
    <w:rsid w:val="004062F4"/>
    <w:rsid w:val="0040630A"/>
    <w:rsid w:val="00406F9E"/>
    <w:rsid w:val="00410FA3"/>
    <w:rsid w:val="0041160A"/>
    <w:rsid w:val="004116A1"/>
    <w:rsid w:val="00411C0B"/>
    <w:rsid w:val="00412A80"/>
    <w:rsid w:val="00412C01"/>
    <w:rsid w:val="00412E2D"/>
    <w:rsid w:val="00413405"/>
    <w:rsid w:val="004137E3"/>
    <w:rsid w:val="00413940"/>
    <w:rsid w:val="00413BA8"/>
    <w:rsid w:val="0041464F"/>
    <w:rsid w:val="0041491A"/>
    <w:rsid w:val="00417818"/>
    <w:rsid w:val="00417ADF"/>
    <w:rsid w:val="004217AA"/>
    <w:rsid w:val="00421A5E"/>
    <w:rsid w:val="00422010"/>
    <w:rsid w:val="0042256F"/>
    <w:rsid w:val="004226C2"/>
    <w:rsid w:val="00422ABC"/>
    <w:rsid w:val="00423720"/>
    <w:rsid w:val="0042372C"/>
    <w:rsid w:val="00424FAA"/>
    <w:rsid w:val="0042520B"/>
    <w:rsid w:val="004252DF"/>
    <w:rsid w:val="00426F41"/>
    <w:rsid w:val="00427485"/>
    <w:rsid w:val="004303F0"/>
    <w:rsid w:val="00431CB4"/>
    <w:rsid w:val="00432189"/>
    <w:rsid w:val="004321EE"/>
    <w:rsid w:val="004323F7"/>
    <w:rsid w:val="0043316A"/>
    <w:rsid w:val="004335EE"/>
    <w:rsid w:val="00433D06"/>
    <w:rsid w:val="00433D48"/>
    <w:rsid w:val="00434370"/>
    <w:rsid w:val="004354F6"/>
    <w:rsid w:val="00435BA7"/>
    <w:rsid w:val="0043617A"/>
    <w:rsid w:val="00436A6A"/>
    <w:rsid w:val="004375B1"/>
    <w:rsid w:val="004402E7"/>
    <w:rsid w:val="004411B7"/>
    <w:rsid w:val="00441A2F"/>
    <w:rsid w:val="004425ED"/>
    <w:rsid w:val="00443412"/>
    <w:rsid w:val="00444198"/>
    <w:rsid w:val="004442BC"/>
    <w:rsid w:val="00445C70"/>
    <w:rsid w:val="004464C8"/>
    <w:rsid w:val="00446897"/>
    <w:rsid w:val="00447A91"/>
    <w:rsid w:val="00450662"/>
    <w:rsid w:val="004510AD"/>
    <w:rsid w:val="00451CA1"/>
    <w:rsid w:val="004521C0"/>
    <w:rsid w:val="00452DEB"/>
    <w:rsid w:val="00453547"/>
    <w:rsid w:val="0045468E"/>
    <w:rsid w:val="00455169"/>
    <w:rsid w:val="0045595E"/>
    <w:rsid w:val="00455B03"/>
    <w:rsid w:val="0045748F"/>
    <w:rsid w:val="004574C7"/>
    <w:rsid w:val="00457626"/>
    <w:rsid w:val="004608D2"/>
    <w:rsid w:val="00460B37"/>
    <w:rsid w:val="00461C41"/>
    <w:rsid w:val="00461FEE"/>
    <w:rsid w:val="004626D9"/>
    <w:rsid w:val="0046283C"/>
    <w:rsid w:val="00463CE6"/>
    <w:rsid w:val="0046536A"/>
    <w:rsid w:val="004658B6"/>
    <w:rsid w:val="0046656E"/>
    <w:rsid w:val="004665D0"/>
    <w:rsid w:val="00466649"/>
    <w:rsid w:val="00466E2F"/>
    <w:rsid w:val="00466F24"/>
    <w:rsid w:val="00467041"/>
    <w:rsid w:val="004679D1"/>
    <w:rsid w:val="00467F66"/>
    <w:rsid w:val="004703F2"/>
    <w:rsid w:val="00471298"/>
    <w:rsid w:val="004715E8"/>
    <w:rsid w:val="0047192E"/>
    <w:rsid w:val="00471B66"/>
    <w:rsid w:val="004727F8"/>
    <w:rsid w:val="0047467D"/>
    <w:rsid w:val="0047761E"/>
    <w:rsid w:val="00480586"/>
    <w:rsid w:val="00480D78"/>
    <w:rsid w:val="00481343"/>
    <w:rsid w:val="004820E7"/>
    <w:rsid w:val="004825C1"/>
    <w:rsid w:val="00483AC4"/>
    <w:rsid w:val="00484D14"/>
    <w:rsid w:val="00484DFA"/>
    <w:rsid w:val="00484EAF"/>
    <w:rsid w:val="00485A14"/>
    <w:rsid w:val="00485B9C"/>
    <w:rsid w:val="004864D3"/>
    <w:rsid w:val="00486962"/>
    <w:rsid w:val="00486EFD"/>
    <w:rsid w:val="004874B4"/>
    <w:rsid w:val="00487A31"/>
    <w:rsid w:val="00487B6B"/>
    <w:rsid w:val="004908F0"/>
    <w:rsid w:val="00490B75"/>
    <w:rsid w:val="00491DD8"/>
    <w:rsid w:val="004921F8"/>
    <w:rsid w:val="0049261B"/>
    <w:rsid w:val="00492F44"/>
    <w:rsid w:val="0049323F"/>
    <w:rsid w:val="00493C83"/>
    <w:rsid w:val="004952CF"/>
    <w:rsid w:val="0049532A"/>
    <w:rsid w:val="00495DF1"/>
    <w:rsid w:val="00496141"/>
    <w:rsid w:val="00496567"/>
    <w:rsid w:val="00496B1F"/>
    <w:rsid w:val="004978C5"/>
    <w:rsid w:val="00497A5D"/>
    <w:rsid w:val="004A022A"/>
    <w:rsid w:val="004A081C"/>
    <w:rsid w:val="004A153E"/>
    <w:rsid w:val="004A15F4"/>
    <w:rsid w:val="004A2390"/>
    <w:rsid w:val="004A299E"/>
    <w:rsid w:val="004A3692"/>
    <w:rsid w:val="004A3812"/>
    <w:rsid w:val="004A3EE9"/>
    <w:rsid w:val="004A47C0"/>
    <w:rsid w:val="004A4C75"/>
    <w:rsid w:val="004A4D10"/>
    <w:rsid w:val="004A5A43"/>
    <w:rsid w:val="004A5B9F"/>
    <w:rsid w:val="004A5F5B"/>
    <w:rsid w:val="004A68B5"/>
    <w:rsid w:val="004B0C8C"/>
    <w:rsid w:val="004B2534"/>
    <w:rsid w:val="004B274C"/>
    <w:rsid w:val="004B3126"/>
    <w:rsid w:val="004B3515"/>
    <w:rsid w:val="004B5E28"/>
    <w:rsid w:val="004B6009"/>
    <w:rsid w:val="004B6EE7"/>
    <w:rsid w:val="004C0E2C"/>
    <w:rsid w:val="004C0EEA"/>
    <w:rsid w:val="004C10FC"/>
    <w:rsid w:val="004C1119"/>
    <w:rsid w:val="004C1A01"/>
    <w:rsid w:val="004C2002"/>
    <w:rsid w:val="004C363F"/>
    <w:rsid w:val="004C3874"/>
    <w:rsid w:val="004C3CDC"/>
    <w:rsid w:val="004C4234"/>
    <w:rsid w:val="004C4CC0"/>
    <w:rsid w:val="004C7C10"/>
    <w:rsid w:val="004D0D53"/>
    <w:rsid w:val="004D15DB"/>
    <w:rsid w:val="004D20B2"/>
    <w:rsid w:val="004D2302"/>
    <w:rsid w:val="004D2FC5"/>
    <w:rsid w:val="004D53E7"/>
    <w:rsid w:val="004D5A99"/>
    <w:rsid w:val="004D5D81"/>
    <w:rsid w:val="004D6197"/>
    <w:rsid w:val="004D76E6"/>
    <w:rsid w:val="004D7B5E"/>
    <w:rsid w:val="004E0BA2"/>
    <w:rsid w:val="004E103D"/>
    <w:rsid w:val="004E20D5"/>
    <w:rsid w:val="004E25BA"/>
    <w:rsid w:val="004E32E0"/>
    <w:rsid w:val="004E34B1"/>
    <w:rsid w:val="004E3AB5"/>
    <w:rsid w:val="004E493E"/>
    <w:rsid w:val="004E4D57"/>
    <w:rsid w:val="004E599D"/>
    <w:rsid w:val="004E5F3D"/>
    <w:rsid w:val="004E6725"/>
    <w:rsid w:val="004E706B"/>
    <w:rsid w:val="004E7095"/>
    <w:rsid w:val="004E70D2"/>
    <w:rsid w:val="004E7613"/>
    <w:rsid w:val="004E7C78"/>
    <w:rsid w:val="004F0707"/>
    <w:rsid w:val="004F08F2"/>
    <w:rsid w:val="004F0AEE"/>
    <w:rsid w:val="004F27A5"/>
    <w:rsid w:val="004F34FD"/>
    <w:rsid w:val="004F3612"/>
    <w:rsid w:val="004F3B27"/>
    <w:rsid w:val="004F3C39"/>
    <w:rsid w:val="004F3E2F"/>
    <w:rsid w:val="004F453A"/>
    <w:rsid w:val="004F497E"/>
    <w:rsid w:val="004F6B7C"/>
    <w:rsid w:val="004F7B1C"/>
    <w:rsid w:val="004F7FD8"/>
    <w:rsid w:val="00500241"/>
    <w:rsid w:val="00500EBB"/>
    <w:rsid w:val="0050165D"/>
    <w:rsid w:val="0050179D"/>
    <w:rsid w:val="00501A0F"/>
    <w:rsid w:val="0050208D"/>
    <w:rsid w:val="00502C26"/>
    <w:rsid w:val="00502DB1"/>
    <w:rsid w:val="0050406B"/>
    <w:rsid w:val="00505134"/>
    <w:rsid w:val="0050519B"/>
    <w:rsid w:val="00506255"/>
    <w:rsid w:val="0050666A"/>
    <w:rsid w:val="005076EC"/>
    <w:rsid w:val="0051045A"/>
    <w:rsid w:val="00510B6A"/>
    <w:rsid w:val="00510EA1"/>
    <w:rsid w:val="00511445"/>
    <w:rsid w:val="00511BE8"/>
    <w:rsid w:val="00512CF8"/>
    <w:rsid w:val="005140BC"/>
    <w:rsid w:val="00516118"/>
    <w:rsid w:val="00516EC7"/>
    <w:rsid w:val="00516FD7"/>
    <w:rsid w:val="00517049"/>
    <w:rsid w:val="0051707C"/>
    <w:rsid w:val="00517725"/>
    <w:rsid w:val="00520146"/>
    <w:rsid w:val="00521383"/>
    <w:rsid w:val="005235F4"/>
    <w:rsid w:val="00526E37"/>
    <w:rsid w:val="00527233"/>
    <w:rsid w:val="00527482"/>
    <w:rsid w:val="005278E1"/>
    <w:rsid w:val="00527B25"/>
    <w:rsid w:val="0053017E"/>
    <w:rsid w:val="005311A8"/>
    <w:rsid w:val="005319F1"/>
    <w:rsid w:val="00531B51"/>
    <w:rsid w:val="00531F92"/>
    <w:rsid w:val="00532CFB"/>
    <w:rsid w:val="00532F35"/>
    <w:rsid w:val="00533263"/>
    <w:rsid w:val="00533612"/>
    <w:rsid w:val="00533938"/>
    <w:rsid w:val="00533F72"/>
    <w:rsid w:val="0053434D"/>
    <w:rsid w:val="0053442F"/>
    <w:rsid w:val="00536B9C"/>
    <w:rsid w:val="00536FBF"/>
    <w:rsid w:val="0053735A"/>
    <w:rsid w:val="005378C9"/>
    <w:rsid w:val="00541533"/>
    <w:rsid w:val="00541C1D"/>
    <w:rsid w:val="00541C8E"/>
    <w:rsid w:val="005425F8"/>
    <w:rsid w:val="00543333"/>
    <w:rsid w:val="005433CA"/>
    <w:rsid w:val="00543BC2"/>
    <w:rsid w:val="0054449A"/>
    <w:rsid w:val="00545A00"/>
    <w:rsid w:val="005469FD"/>
    <w:rsid w:val="005474FB"/>
    <w:rsid w:val="00550007"/>
    <w:rsid w:val="00550AB4"/>
    <w:rsid w:val="00551ED2"/>
    <w:rsid w:val="005534BF"/>
    <w:rsid w:val="00554575"/>
    <w:rsid w:val="0055613C"/>
    <w:rsid w:val="00556DC4"/>
    <w:rsid w:val="0055777B"/>
    <w:rsid w:val="00560732"/>
    <w:rsid w:val="00561956"/>
    <w:rsid w:val="0056222E"/>
    <w:rsid w:val="005623D0"/>
    <w:rsid w:val="005637FB"/>
    <w:rsid w:val="00563C1B"/>
    <w:rsid w:val="0056409F"/>
    <w:rsid w:val="005670E8"/>
    <w:rsid w:val="00567A40"/>
    <w:rsid w:val="00567B76"/>
    <w:rsid w:val="005704B6"/>
    <w:rsid w:val="0057094A"/>
    <w:rsid w:val="00570A8E"/>
    <w:rsid w:val="00570D9C"/>
    <w:rsid w:val="00571586"/>
    <w:rsid w:val="005720A2"/>
    <w:rsid w:val="00572BA3"/>
    <w:rsid w:val="00573E12"/>
    <w:rsid w:val="00573FC0"/>
    <w:rsid w:val="00574C92"/>
    <w:rsid w:val="00575888"/>
    <w:rsid w:val="00575B1D"/>
    <w:rsid w:val="00575F19"/>
    <w:rsid w:val="005766D1"/>
    <w:rsid w:val="00576904"/>
    <w:rsid w:val="00577B63"/>
    <w:rsid w:val="00581313"/>
    <w:rsid w:val="0058286C"/>
    <w:rsid w:val="00583484"/>
    <w:rsid w:val="005864F7"/>
    <w:rsid w:val="005874E8"/>
    <w:rsid w:val="005877BB"/>
    <w:rsid w:val="00590228"/>
    <w:rsid w:val="005914C8"/>
    <w:rsid w:val="00593617"/>
    <w:rsid w:val="00593A44"/>
    <w:rsid w:val="00595DC0"/>
    <w:rsid w:val="00596092"/>
    <w:rsid w:val="00596A30"/>
    <w:rsid w:val="0059710E"/>
    <w:rsid w:val="0059726D"/>
    <w:rsid w:val="005972BC"/>
    <w:rsid w:val="00597C7E"/>
    <w:rsid w:val="005A0D9F"/>
    <w:rsid w:val="005A23A9"/>
    <w:rsid w:val="005A2CB6"/>
    <w:rsid w:val="005A34B8"/>
    <w:rsid w:val="005A4273"/>
    <w:rsid w:val="005A4823"/>
    <w:rsid w:val="005A4A83"/>
    <w:rsid w:val="005A4C57"/>
    <w:rsid w:val="005A5F67"/>
    <w:rsid w:val="005A652B"/>
    <w:rsid w:val="005A72F1"/>
    <w:rsid w:val="005A76B6"/>
    <w:rsid w:val="005A7AB7"/>
    <w:rsid w:val="005A7FF8"/>
    <w:rsid w:val="005B050B"/>
    <w:rsid w:val="005B1076"/>
    <w:rsid w:val="005B1F27"/>
    <w:rsid w:val="005B3017"/>
    <w:rsid w:val="005B3440"/>
    <w:rsid w:val="005B3D95"/>
    <w:rsid w:val="005B3E4E"/>
    <w:rsid w:val="005B45B9"/>
    <w:rsid w:val="005B6E8C"/>
    <w:rsid w:val="005B7184"/>
    <w:rsid w:val="005B7715"/>
    <w:rsid w:val="005C0472"/>
    <w:rsid w:val="005C06D4"/>
    <w:rsid w:val="005C0EAF"/>
    <w:rsid w:val="005C17F8"/>
    <w:rsid w:val="005C18AC"/>
    <w:rsid w:val="005C2A4D"/>
    <w:rsid w:val="005C2C02"/>
    <w:rsid w:val="005C377C"/>
    <w:rsid w:val="005C4546"/>
    <w:rsid w:val="005C459D"/>
    <w:rsid w:val="005C4AE9"/>
    <w:rsid w:val="005C5127"/>
    <w:rsid w:val="005C56CC"/>
    <w:rsid w:val="005C5F80"/>
    <w:rsid w:val="005D0371"/>
    <w:rsid w:val="005D2877"/>
    <w:rsid w:val="005D2EC2"/>
    <w:rsid w:val="005D3BBB"/>
    <w:rsid w:val="005D3D89"/>
    <w:rsid w:val="005D49CB"/>
    <w:rsid w:val="005D5176"/>
    <w:rsid w:val="005D6E0B"/>
    <w:rsid w:val="005D7181"/>
    <w:rsid w:val="005E0078"/>
    <w:rsid w:val="005E025E"/>
    <w:rsid w:val="005E035B"/>
    <w:rsid w:val="005E0D62"/>
    <w:rsid w:val="005E156F"/>
    <w:rsid w:val="005E1CFF"/>
    <w:rsid w:val="005E1DC1"/>
    <w:rsid w:val="005E1E85"/>
    <w:rsid w:val="005E2100"/>
    <w:rsid w:val="005E3F4A"/>
    <w:rsid w:val="005E495F"/>
    <w:rsid w:val="005E4C38"/>
    <w:rsid w:val="005E6811"/>
    <w:rsid w:val="005E6FA3"/>
    <w:rsid w:val="005E7187"/>
    <w:rsid w:val="005E72F0"/>
    <w:rsid w:val="005E7BBB"/>
    <w:rsid w:val="005F07A2"/>
    <w:rsid w:val="005F148A"/>
    <w:rsid w:val="005F2D65"/>
    <w:rsid w:val="005F3424"/>
    <w:rsid w:val="005F58D6"/>
    <w:rsid w:val="005F605C"/>
    <w:rsid w:val="005F6704"/>
    <w:rsid w:val="005F6A9E"/>
    <w:rsid w:val="005F6EB8"/>
    <w:rsid w:val="005F7FC0"/>
    <w:rsid w:val="00600039"/>
    <w:rsid w:val="00600F9A"/>
    <w:rsid w:val="00601243"/>
    <w:rsid w:val="00602D0D"/>
    <w:rsid w:val="00603935"/>
    <w:rsid w:val="00604593"/>
    <w:rsid w:val="00604C61"/>
    <w:rsid w:val="00605F8F"/>
    <w:rsid w:val="0060657E"/>
    <w:rsid w:val="00606C4D"/>
    <w:rsid w:val="00610351"/>
    <w:rsid w:val="00610C40"/>
    <w:rsid w:val="0061328A"/>
    <w:rsid w:val="006136CE"/>
    <w:rsid w:val="0061638E"/>
    <w:rsid w:val="00616920"/>
    <w:rsid w:val="00616D13"/>
    <w:rsid w:val="00617E7E"/>
    <w:rsid w:val="00620221"/>
    <w:rsid w:val="00621726"/>
    <w:rsid w:val="006220B8"/>
    <w:rsid w:val="0062437B"/>
    <w:rsid w:val="006244F0"/>
    <w:rsid w:val="00624689"/>
    <w:rsid w:val="00624945"/>
    <w:rsid w:val="00624AF2"/>
    <w:rsid w:val="00625229"/>
    <w:rsid w:val="00625251"/>
    <w:rsid w:val="00625BAD"/>
    <w:rsid w:val="00625CE9"/>
    <w:rsid w:val="00625D28"/>
    <w:rsid w:val="00626837"/>
    <w:rsid w:val="00626B4B"/>
    <w:rsid w:val="00626FB5"/>
    <w:rsid w:val="0063090C"/>
    <w:rsid w:val="00630AD3"/>
    <w:rsid w:val="006310FA"/>
    <w:rsid w:val="0063136F"/>
    <w:rsid w:val="00631A6E"/>
    <w:rsid w:val="00631B07"/>
    <w:rsid w:val="00632BB9"/>
    <w:rsid w:val="00633ABF"/>
    <w:rsid w:val="0063458A"/>
    <w:rsid w:val="00634846"/>
    <w:rsid w:val="00635530"/>
    <w:rsid w:val="0063743E"/>
    <w:rsid w:val="00637ECD"/>
    <w:rsid w:val="006414CD"/>
    <w:rsid w:val="006442AA"/>
    <w:rsid w:val="0064478D"/>
    <w:rsid w:val="00644C42"/>
    <w:rsid w:val="0064584F"/>
    <w:rsid w:val="0064623B"/>
    <w:rsid w:val="006467C3"/>
    <w:rsid w:val="006469D8"/>
    <w:rsid w:val="006476F6"/>
    <w:rsid w:val="00647B60"/>
    <w:rsid w:val="00647C8C"/>
    <w:rsid w:val="00647FBC"/>
    <w:rsid w:val="0065068F"/>
    <w:rsid w:val="00650794"/>
    <w:rsid w:val="00650951"/>
    <w:rsid w:val="0065134B"/>
    <w:rsid w:val="006516C6"/>
    <w:rsid w:val="0065184E"/>
    <w:rsid w:val="00651871"/>
    <w:rsid w:val="00652DDC"/>
    <w:rsid w:val="00652E4D"/>
    <w:rsid w:val="00652FD8"/>
    <w:rsid w:val="00653601"/>
    <w:rsid w:val="00653628"/>
    <w:rsid w:val="00653D37"/>
    <w:rsid w:val="00653DFA"/>
    <w:rsid w:val="00654F41"/>
    <w:rsid w:val="006554E1"/>
    <w:rsid w:val="00656EAA"/>
    <w:rsid w:val="00657253"/>
    <w:rsid w:val="00657694"/>
    <w:rsid w:val="006577A4"/>
    <w:rsid w:val="0066015B"/>
    <w:rsid w:val="006606C9"/>
    <w:rsid w:val="0066134B"/>
    <w:rsid w:val="0066163B"/>
    <w:rsid w:val="0066177A"/>
    <w:rsid w:val="006634AB"/>
    <w:rsid w:val="00666099"/>
    <w:rsid w:val="0066718C"/>
    <w:rsid w:val="00667525"/>
    <w:rsid w:val="00667909"/>
    <w:rsid w:val="00667DBB"/>
    <w:rsid w:val="00667FA1"/>
    <w:rsid w:val="00670A32"/>
    <w:rsid w:val="00671314"/>
    <w:rsid w:val="00671F87"/>
    <w:rsid w:val="0067397D"/>
    <w:rsid w:val="0067409E"/>
    <w:rsid w:val="00675657"/>
    <w:rsid w:val="00675B9E"/>
    <w:rsid w:val="00676607"/>
    <w:rsid w:val="006806F1"/>
    <w:rsid w:val="006810E0"/>
    <w:rsid w:val="00681627"/>
    <w:rsid w:val="00682576"/>
    <w:rsid w:val="00682655"/>
    <w:rsid w:val="00682C2B"/>
    <w:rsid w:val="00683510"/>
    <w:rsid w:val="00683692"/>
    <w:rsid w:val="006838DB"/>
    <w:rsid w:val="00683BCD"/>
    <w:rsid w:val="006841B3"/>
    <w:rsid w:val="00684277"/>
    <w:rsid w:val="006850CC"/>
    <w:rsid w:val="00686826"/>
    <w:rsid w:val="00686E9A"/>
    <w:rsid w:val="00687D97"/>
    <w:rsid w:val="00690592"/>
    <w:rsid w:val="00693131"/>
    <w:rsid w:val="0069320F"/>
    <w:rsid w:val="00693D16"/>
    <w:rsid w:val="00694C37"/>
    <w:rsid w:val="00695595"/>
    <w:rsid w:val="00697052"/>
    <w:rsid w:val="00697CF4"/>
    <w:rsid w:val="006A1157"/>
    <w:rsid w:val="006A3C9A"/>
    <w:rsid w:val="006A534C"/>
    <w:rsid w:val="006A5CBA"/>
    <w:rsid w:val="006A5FD1"/>
    <w:rsid w:val="006A6974"/>
    <w:rsid w:val="006A6A7F"/>
    <w:rsid w:val="006A6E70"/>
    <w:rsid w:val="006A70D8"/>
    <w:rsid w:val="006A7783"/>
    <w:rsid w:val="006B0228"/>
    <w:rsid w:val="006B06F9"/>
    <w:rsid w:val="006B0900"/>
    <w:rsid w:val="006B1668"/>
    <w:rsid w:val="006B1FE0"/>
    <w:rsid w:val="006B2506"/>
    <w:rsid w:val="006B2A87"/>
    <w:rsid w:val="006B3060"/>
    <w:rsid w:val="006B31E4"/>
    <w:rsid w:val="006B3C42"/>
    <w:rsid w:val="006B3CAF"/>
    <w:rsid w:val="006B5401"/>
    <w:rsid w:val="006B5584"/>
    <w:rsid w:val="006B69D4"/>
    <w:rsid w:val="006B70CA"/>
    <w:rsid w:val="006C0646"/>
    <w:rsid w:val="006C09A9"/>
    <w:rsid w:val="006C0EAB"/>
    <w:rsid w:val="006C1131"/>
    <w:rsid w:val="006C1482"/>
    <w:rsid w:val="006C1EBA"/>
    <w:rsid w:val="006C1ECA"/>
    <w:rsid w:val="006C2716"/>
    <w:rsid w:val="006C2D19"/>
    <w:rsid w:val="006C4974"/>
    <w:rsid w:val="006C49D9"/>
    <w:rsid w:val="006C4C39"/>
    <w:rsid w:val="006C547A"/>
    <w:rsid w:val="006C6983"/>
    <w:rsid w:val="006C6F6F"/>
    <w:rsid w:val="006C7533"/>
    <w:rsid w:val="006C7809"/>
    <w:rsid w:val="006D048E"/>
    <w:rsid w:val="006D1EA8"/>
    <w:rsid w:val="006D33A4"/>
    <w:rsid w:val="006D4EDA"/>
    <w:rsid w:val="006D558A"/>
    <w:rsid w:val="006D57B7"/>
    <w:rsid w:val="006D5B32"/>
    <w:rsid w:val="006D70BB"/>
    <w:rsid w:val="006E0F48"/>
    <w:rsid w:val="006E1516"/>
    <w:rsid w:val="006E160B"/>
    <w:rsid w:val="006E213F"/>
    <w:rsid w:val="006E2552"/>
    <w:rsid w:val="006E2BB6"/>
    <w:rsid w:val="006E3CD2"/>
    <w:rsid w:val="006E43D1"/>
    <w:rsid w:val="006E546B"/>
    <w:rsid w:val="006E6612"/>
    <w:rsid w:val="006E7C24"/>
    <w:rsid w:val="006F090B"/>
    <w:rsid w:val="006F09E2"/>
    <w:rsid w:val="006F0DD6"/>
    <w:rsid w:val="006F13E2"/>
    <w:rsid w:val="006F1A55"/>
    <w:rsid w:val="006F48C2"/>
    <w:rsid w:val="006F49DB"/>
    <w:rsid w:val="006F4C4A"/>
    <w:rsid w:val="006F5AAD"/>
    <w:rsid w:val="006F5D4D"/>
    <w:rsid w:val="006F747D"/>
    <w:rsid w:val="006F7B30"/>
    <w:rsid w:val="007010C5"/>
    <w:rsid w:val="00701CBA"/>
    <w:rsid w:val="00702561"/>
    <w:rsid w:val="0070385C"/>
    <w:rsid w:val="00703BE6"/>
    <w:rsid w:val="00704778"/>
    <w:rsid w:val="0070496D"/>
    <w:rsid w:val="00707297"/>
    <w:rsid w:val="0070738E"/>
    <w:rsid w:val="00707E1B"/>
    <w:rsid w:val="00710938"/>
    <w:rsid w:val="00710BC1"/>
    <w:rsid w:val="00710BC2"/>
    <w:rsid w:val="007110EA"/>
    <w:rsid w:val="00711BB6"/>
    <w:rsid w:val="007125DA"/>
    <w:rsid w:val="0071299F"/>
    <w:rsid w:val="00712AD7"/>
    <w:rsid w:val="00713735"/>
    <w:rsid w:val="007145CB"/>
    <w:rsid w:val="00715294"/>
    <w:rsid w:val="0071529F"/>
    <w:rsid w:val="007163F9"/>
    <w:rsid w:val="00716426"/>
    <w:rsid w:val="0071721D"/>
    <w:rsid w:val="00717D3A"/>
    <w:rsid w:val="007200CE"/>
    <w:rsid w:val="007252B4"/>
    <w:rsid w:val="00725537"/>
    <w:rsid w:val="0072640F"/>
    <w:rsid w:val="00726797"/>
    <w:rsid w:val="00726A79"/>
    <w:rsid w:val="007270D7"/>
    <w:rsid w:val="00727865"/>
    <w:rsid w:val="00732AFC"/>
    <w:rsid w:val="00733587"/>
    <w:rsid w:val="00734366"/>
    <w:rsid w:val="00734C9E"/>
    <w:rsid w:val="00734F45"/>
    <w:rsid w:val="00735965"/>
    <w:rsid w:val="00735E70"/>
    <w:rsid w:val="00735F34"/>
    <w:rsid w:val="00736FD5"/>
    <w:rsid w:val="0073718A"/>
    <w:rsid w:val="0073767E"/>
    <w:rsid w:val="00740BF2"/>
    <w:rsid w:val="0074171A"/>
    <w:rsid w:val="00742076"/>
    <w:rsid w:val="00742095"/>
    <w:rsid w:val="0074262D"/>
    <w:rsid w:val="00745561"/>
    <w:rsid w:val="00745D8F"/>
    <w:rsid w:val="00745F48"/>
    <w:rsid w:val="00746AC5"/>
    <w:rsid w:val="00746BB2"/>
    <w:rsid w:val="00746E06"/>
    <w:rsid w:val="007474FC"/>
    <w:rsid w:val="00747692"/>
    <w:rsid w:val="00750C2E"/>
    <w:rsid w:val="007512DD"/>
    <w:rsid w:val="00751412"/>
    <w:rsid w:val="00751C9C"/>
    <w:rsid w:val="007520F6"/>
    <w:rsid w:val="00752F4A"/>
    <w:rsid w:val="007532B7"/>
    <w:rsid w:val="007537F6"/>
    <w:rsid w:val="00753F75"/>
    <w:rsid w:val="00754A41"/>
    <w:rsid w:val="007552BF"/>
    <w:rsid w:val="00755756"/>
    <w:rsid w:val="00756F52"/>
    <w:rsid w:val="00757EA9"/>
    <w:rsid w:val="00757F26"/>
    <w:rsid w:val="007600CE"/>
    <w:rsid w:val="00760C93"/>
    <w:rsid w:val="00761929"/>
    <w:rsid w:val="007622D5"/>
    <w:rsid w:val="007629B2"/>
    <w:rsid w:val="00762AED"/>
    <w:rsid w:val="00763592"/>
    <w:rsid w:val="00763F49"/>
    <w:rsid w:val="00765254"/>
    <w:rsid w:val="0076540C"/>
    <w:rsid w:val="00766682"/>
    <w:rsid w:val="00767C35"/>
    <w:rsid w:val="007700FB"/>
    <w:rsid w:val="00770CDE"/>
    <w:rsid w:val="00770E74"/>
    <w:rsid w:val="007719B9"/>
    <w:rsid w:val="00771C91"/>
    <w:rsid w:val="00772052"/>
    <w:rsid w:val="00772724"/>
    <w:rsid w:val="00772905"/>
    <w:rsid w:val="00773166"/>
    <w:rsid w:val="007732C3"/>
    <w:rsid w:val="00774789"/>
    <w:rsid w:val="007753E0"/>
    <w:rsid w:val="0077578E"/>
    <w:rsid w:val="007765AB"/>
    <w:rsid w:val="00777171"/>
    <w:rsid w:val="00777416"/>
    <w:rsid w:val="00780F82"/>
    <w:rsid w:val="00783295"/>
    <w:rsid w:val="00784D08"/>
    <w:rsid w:val="00785055"/>
    <w:rsid w:val="00786266"/>
    <w:rsid w:val="0078657B"/>
    <w:rsid w:val="0079066E"/>
    <w:rsid w:val="00790D34"/>
    <w:rsid w:val="00791986"/>
    <w:rsid w:val="0079282F"/>
    <w:rsid w:val="0079301F"/>
    <w:rsid w:val="0079358F"/>
    <w:rsid w:val="00793644"/>
    <w:rsid w:val="00793734"/>
    <w:rsid w:val="00793755"/>
    <w:rsid w:val="007946BA"/>
    <w:rsid w:val="00794F7F"/>
    <w:rsid w:val="00797DBA"/>
    <w:rsid w:val="007A0907"/>
    <w:rsid w:val="007A19BE"/>
    <w:rsid w:val="007A276C"/>
    <w:rsid w:val="007A2882"/>
    <w:rsid w:val="007A28DE"/>
    <w:rsid w:val="007A5895"/>
    <w:rsid w:val="007A5975"/>
    <w:rsid w:val="007A727C"/>
    <w:rsid w:val="007A72C0"/>
    <w:rsid w:val="007B0748"/>
    <w:rsid w:val="007B11EC"/>
    <w:rsid w:val="007B29DD"/>
    <w:rsid w:val="007B2B30"/>
    <w:rsid w:val="007B2D18"/>
    <w:rsid w:val="007B3116"/>
    <w:rsid w:val="007B375C"/>
    <w:rsid w:val="007B4B21"/>
    <w:rsid w:val="007B4B60"/>
    <w:rsid w:val="007B51C3"/>
    <w:rsid w:val="007B56EA"/>
    <w:rsid w:val="007B6844"/>
    <w:rsid w:val="007B7377"/>
    <w:rsid w:val="007B7A9C"/>
    <w:rsid w:val="007C02F0"/>
    <w:rsid w:val="007C12FE"/>
    <w:rsid w:val="007C1560"/>
    <w:rsid w:val="007C1561"/>
    <w:rsid w:val="007C1E56"/>
    <w:rsid w:val="007C23D3"/>
    <w:rsid w:val="007C25EC"/>
    <w:rsid w:val="007C2605"/>
    <w:rsid w:val="007C2D7F"/>
    <w:rsid w:val="007C4578"/>
    <w:rsid w:val="007C5238"/>
    <w:rsid w:val="007C56A8"/>
    <w:rsid w:val="007C59EC"/>
    <w:rsid w:val="007C656A"/>
    <w:rsid w:val="007C6D14"/>
    <w:rsid w:val="007C714F"/>
    <w:rsid w:val="007D0402"/>
    <w:rsid w:val="007D06C8"/>
    <w:rsid w:val="007D0F15"/>
    <w:rsid w:val="007D1DF4"/>
    <w:rsid w:val="007D25E7"/>
    <w:rsid w:val="007D2AFE"/>
    <w:rsid w:val="007D3AC8"/>
    <w:rsid w:val="007D4153"/>
    <w:rsid w:val="007D4520"/>
    <w:rsid w:val="007D4E1E"/>
    <w:rsid w:val="007D5457"/>
    <w:rsid w:val="007D67DD"/>
    <w:rsid w:val="007D7552"/>
    <w:rsid w:val="007D7C37"/>
    <w:rsid w:val="007E283C"/>
    <w:rsid w:val="007E2AAF"/>
    <w:rsid w:val="007E3BB4"/>
    <w:rsid w:val="007E4424"/>
    <w:rsid w:val="007E4A52"/>
    <w:rsid w:val="007E546D"/>
    <w:rsid w:val="007E55A1"/>
    <w:rsid w:val="007E6C85"/>
    <w:rsid w:val="007F0067"/>
    <w:rsid w:val="007F0DC9"/>
    <w:rsid w:val="007F6294"/>
    <w:rsid w:val="007F6346"/>
    <w:rsid w:val="007F7269"/>
    <w:rsid w:val="00800670"/>
    <w:rsid w:val="00802B15"/>
    <w:rsid w:val="00803C72"/>
    <w:rsid w:val="00803F39"/>
    <w:rsid w:val="008046F7"/>
    <w:rsid w:val="0080512C"/>
    <w:rsid w:val="00806933"/>
    <w:rsid w:val="00806E1A"/>
    <w:rsid w:val="00806FB5"/>
    <w:rsid w:val="00807DD7"/>
    <w:rsid w:val="00811BB4"/>
    <w:rsid w:val="008129C4"/>
    <w:rsid w:val="008129DD"/>
    <w:rsid w:val="00815E21"/>
    <w:rsid w:val="00816B7E"/>
    <w:rsid w:val="00817714"/>
    <w:rsid w:val="00817987"/>
    <w:rsid w:val="00817CF1"/>
    <w:rsid w:val="0082023B"/>
    <w:rsid w:val="00820C40"/>
    <w:rsid w:val="0082116B"/>
    <w:rsid w:val="00822385"/>
    <w:rsid w:val="0082454B"/>
    <w:rsid w:val="00824965"/>
    <w:rsid w:val="00824CDC"/>
    <w:rsid w:val="00825051"/>
    <w:rsid w:val="00825DAE"/>
    <w:rsid w:val="0082622C"/>
    <w:rsid w:val="00827028"/>
    <w:rsid w:val="00827300"/>
    <w:rsid w:val="008303C7"/>
    <w:rsid w:val="008304C0"/>
    <w:rsid w:val="008307DF"/>
    <w:rsid w:val="00831CA6"/>
    <w:rsid w:val="0083211C"/>
    <w:rsid w:val="008328C8"/>
    <w:rsid w:val="00833403"/>
    <w:rsid w:val="00833C7B"/>
    <w:rsid w:val="00833DA9"/>
    <w:rsid w:val="0083584A"/>
    <w:rsid w:val="00836453"/>
    <w:rsid w:val="00836611"/>
    <w:rsid w:val="00836C21"/>
    <w:rsid w:val="00836D37"/>
    <w:rsid w:val="00836FDC"/>
    <w:rsid w:val="00840311"/>
    <w:rsid w:val="00841870"/>
    <w:rsid w:val="0084275B"/>
    <w:rsid w:val="008430E2"/>
    <w:rsid w:val="00843173"/>
    <w:rsid w:val="00843904"/>
    <w:rsid w:val="00843A6C"/>
    <w:rsid w:val="00843F7C"/>
    <w:rsid w:val="0084502D"/>
    <w:rsid w:val="00845451"/>
    <w:rsid w:val="008473A0"/>
    <w:rsid w:val="00847A5A"/>
    <w:rsid w:val="00851550"/>
    <w:rsid w:val="00851587"/>
    <w:rsid w:val="00856BB3"/>
    <w:rsid w:val="00856E18"/>
    <w:rsid w:val="00857841"/>
    <w:rsid w:val="00857D58"/>
    <w:rsid w:val="008614F6"/>
    <w:rsid w:val="0086165A"/>
    <w:rsid w:val="00861783"/>
    <w:rsid w:val="00862F7F"/>
    <w:rsid w:val="00863116"/>
    <w:rsid w:val="008633A3"/>
    <w:rsid w:val="00864C4B"/>
    <w:rsid w:val="00866532"/>
    <w:rsid w:val="00867551"/>
    <w:rsid w:val="0086782D"/>
    <w:rsid w:val="0087005E"/>
    <w:rsid w:val="0087032A"/>
    <w:rsid w:val="0087099F"/>
    <w:rsid w:val="00871EBA"/>
    <w:rsid w:val="0087205C"/>
    <w:rsid w:val="008727B6"/>
    <w:rsid w:val="008732F6"/>
    <w:rsid w:val="00874639"/>
    <w:rsid w:val="00875A72"/>
    <w:rsid w:val="00875A85"/>
    <w:rsid w:val="008768D6"/>
    <w:rsid w:val="00876946"/>
    <w:rsid w:val="0087798F"/>
    <w:rsid w:val="00877991"/>
    <w:rsid w:val="008806E5"/>
    <w:rsid w:val="008808E3"/>
    <w:rsid w:val="00880CBF"/>
    <w:rsid w:val="00882F82"/>
    <w:rsid w:val="00883054"/>
    <w:rsid w:val="00885102"/>
    <w:rsid w:val="008859E6"/>
    <w:rsid w:val="00885A5F"/>
    <w:rsid w:val="00887994"/>
    <w:rsid w:val="00890260"/>
    <w:rsid w:val="00890580"/>
    <w:rsid w:val="00890794"/>
    <w:rsid w:val="008911F9"/>
    <w:rsid w:val="00891509"/>
    <w:rsid w:val="00891757"/>
    <w:rsid w:val="008936D8"/>
    <w:rsid w:val="008938C8"/>
    <w:rsid w:val="00893FC0"/>
    <w:rsid w:val="00894224"/>
    <w:rsid w:val="00894681"/>
    <w:rsid w:val="008948CC"/>
    <w:rsid w:val="0089666C"/>
    <w:rsid w:val="008975BA"/>
    <w:rsid w:val="008A0788"/>
    <w:rsid w:val="008A0B27"/>
    <w:rsid w:val="008A1750"/>
    <w:rsid w:val="008A1B77"/>
    <w:rsid w:val="008A1D3D"/>
    <w:rsid w:val="008A29C6"/>
    <w:rsid w:val="008A456B"/>
    <w:rsid w:val="008A4C61"/>
    <w:rsid w:val="008A540F"/>
    <w:rsid w:val="008A568D"/>
    <w:rsid w:val="008A5D59"/>
    <w:rsid w:val="008A5F2A"/>
    <w:rsid w:val="008A6BA4"/>
    <w:rsid w:val="008A6EB5"/>
    <w:rsid w:val="008B09D3"/>
    <w:rsid w:val="008B2081"/>
    <w:rsid w:val="008B253B"/>
    <w:rsid w:val="008B2C87"/>
    <w:rsid w:val="008B2DCD"/>
    <w:rsid w:val="008B309C"/>
    <w:rsid w:val="008B3750"/>
    <w:rsid w:val="008B4748"/>
    <w:rsid w:val="008B4F5B"/>
    <w:rsid w:val="008C005B"/>
    <w:rsid w:val="008C031E"/>
    <w:rsid w:val="008C3E42"/>
    <w:rsid w:val="008C3EE9"/>
    <w:rsid w:val="008C4F6D"/>
    <w:rsid w:val="008C6C6F"/>
    <w:rsid w:val="008C6E1F"/>
    <w:rsid w:val="008C7BB7"/>
    <w:rsid w:val="008D031F"/>
    <w:rsid w:val="008D0968"/>
    <w:rsid w:val="008D1163"/>
    <w:rsid w:val="008D1A92"/>
    <w:rsid w:val="008D1C42"/>
    <w:rsid w:val="008D1D1B"/>
    <w:rsid w:val="008D235A"/>
    <w:rsid w:val="008D406A"/>
    <w:rsid w:val="008D4893"/>
    <w:rsid w:val="008D48B3"/>
    <w:rsid w:val="008D50D8"/>
    <w:rsid w:val="008D5A2E"/>
    <w:rsid w:val="008D6BBC"/>
    <w:rsid w:val="008D74FA"/>
    <w:rsid w:val="008D763B"/>
    <w:rsid w:val="008D7A02"/>
    <w:rsid w:val="008D7F86"/>
    <w:rsid w:val="008E1F39"/>
    <w:rsid w:val="008E2653"/>
    <w:rsid w:val="008E2EEF"/>
    <w:rsid w:val="008E3B99"/>
    <w:rsid w:val="008E493D"/>
    <w:rsid w:val="008E60DE"/>
    <w:rsid w:val="008E6FA2"/>
    <w:rsid w:val="008E711F"/>
    <w:rsid w:val="008E7644"/>
    <w:rsid w:val="008F1340"/>
    <w:rsid w:val="008F227F"/>
    <w:rsid w:val="008F25EA"/>
    <w:rsid w:val="008F26A2"/>
    <w:rsid w:val="008F3125"/>
    <w:rsid w:val="008F3ABB"/>
    <w:rsid w:val="008F3E99"/>
    <w:rsid w:val="008F438B"/>
    <w:rsid w:val="008F441E"/>
    <w:rsid w:val="008F4578"/>
    <w:rsid w:val="008F4582"/>
    <w:rsid w:val="008F46D8"/>
    <w:rsid w:val="008F487C"/>
    <w:rsid w:val="008F56EA"/>
    <w:rsid w:val="008F6644"/>
    <w:rsid w:val="008F70EB"/>
    <w:rsid w:val="008F748C"/>
    <w:rsid w:val="008F769D"/>
    <w:rsid w:val="008F7AD4"/>
    <w:rsid w:val="0090078C"/>
    <w:rsid w:val="00901252"/>
    <w:rsid w:val="009012B8"/>
    <w:rsid w:val="00901495"/>
    <w:rsid w:val="00902AD1"/>
    <w:rsid w:val="00904079"/>
    <w:rsid w:val="0090417B"/>
    <w:rsid w:val="009052F4"/>
    <w:rsid w:val="00906BC1"/>
    <w:rsid w:val="00907A33"/>
    <w:rsid w:val="009133D2"/>
    <w:rsid w:val="0091373A"/>
    <w:rsid w:val="00913EF5"/>
    <w:rsid w:val="009149E5"/>
    <w:rsid w:val="00915EA5"/>
    <w:rsid w:val="00916004"/>
    <w:rsid w:val="009164B0"/>
    <w:rsid w:val="00917D6A"/>
    <w:rsid w:val="009206AF"/>
    <w:rsid w:val="009213C3"/>
    <w:rsid w:val="00922789"/>
    <w:rsid w:val="00922949"/>
    <w:rsid w:val="009234AD"/>
    <w:rsid w:val="009247B2"/>
    <w:rsid w:val="00925068"/>
    <w:rsid w:val="00925BA0"/>
    <w:rsid w:val="00926ED4"/>
    <w:rsid w:val="009300D5"/>
    <w:rsid w:val="00931018"/>
    <w:rsid w:val="00932398"/>
    <w:rsid w:val="0093248A"/>
    <w:rsid w:val="00932C01"/>
    <w:rsid w:val="009331B8"/>
    <w:rsid w:val="00933AE9"/>
    <w:rsid w:val="00933C2B"/>
    <w:rsid w:val="009341EF"/>
    <w:rsid w:val="00934E60"/>
    <w:rsid w:val="009353A6"/>
    <w:rsid w:val="009379F2"/>
    <w:rsid w:val="00940B39"/>
    <w:rsid w:val="00941522"/>
    <w:rsid w:val="009418EC"/>
    <w:rsid w:val="00942239"/>
    <w:rsid w:val="00942DE2"/>
    <w:rsid w:val="009466A3"/>
    <w:rsid w:val="00946972"/>
    <w:rsid w:val="009469A6"/>
    <w:rsid w:val="009470A9"/>
    <w:rsid w:val="00951302"/>
    <w:rsid w:val="009528C7"/>
    <w:rsid w:val="00952A0D"/>
    <w:rsid w:val="00952DE7"/>
    <w:rsid w:val="00953217"/>
    <w:rsid w:val="00953F06"/>
    <w:rsid w:val="00955B17"/>
    <w:rsid w:val="00956118"/>
    <w:rsid w:val="0095617A"/>
    <w:rsid w:val="00956C02"/>
    <w:rsid w:val="009574AE"/>
    <w:rsid w:val="00960DA5"/>
    <w:rsid w:val="00961845"/>
    <w:rsid w:val="0096199B"/>
    <w:rsid w:val="0096219C"/>
    <w:rsid w:val="00962869"/>
    <w:rsid w:val="0096439F"/>
    <w:rsid w:val="00964592"/>
    <w:rsid w:val="0096472C"/>
    <w:rsid w:val="00964747"/>
    <w:rsid w:val="00964D1D"/>
    <w:rsid w:val="009667BA"/>
    <w:rsid w:val="00966835"/>
    <w:rsid w:val="009672C1"/>
    <w:rsid w:val="009709A0"/>
    <w:rsid w:val="00970C4C"/>
    <w:rsid w:val="009711B2"/>
    <w:rsid w:val="009730E9"/>
    <w:rsid w:val="0097370E"/>
    <w:rsid w:val="00973871"/>
    <w:rsid w:val="00973A67"/>
    <w:rsid w:val="00973F91"/>
    <w:rsid w:val="00975603"/>
    <w:rsid w:val="0097631E"/>
    <w:rsid w:val="009765FD"/>
    <w:rsid w:val="009776BC"/>
    <w:rsid w:val="00980086"/>
    <w:rsid w:val="0098088C"/>
    <w:rsid w:val="0098129A"/>
    <w:rsid w:val="00982CE1"/>
    <w:rsid w:val="0098302C"/>
    <w:rsid w:val="00983FCE"/>
    <w:rsid w:val="00984BED"/>
    <w:rsid w:val="00986678"/>
    <w:rsid w:val="00987049"/>
    <w:rsid w:val="0098711D"/>
    <w:rsid w:val="009875AD"/>
    <w:rsid w:val="00987BFF"/>
    <w:rsid w:val="00990BA4"/>
    <w:rsid w:val="0099158F"/>
    <w:rsid w:val="00991C62"/>
    <w:rsid w:val="00992505"/>
    <w:rsid w:val="00994ABB"/>
    <w:rsid w:val="00994C21"/>
    <w:rsid w:val="00994DC8"/>
    <w:rsid w:val="009953AD"/>
    <w:rsid w:val="0099570B"/>
    <w:rsid w:val="009966E9"/>
    <w:rsid w:val="009A022B"/>
    <w:rsid w:val="009A1511"/>
    <w:rsid w:val="009A2603"/>
    <w:rsid w:val="009A379E"/>
    <w:rsid w:val="009A3EE5"/>
    <w:rsid w:val="009A4CBA"/>
    <w:rsid w:val="009A5286"/>
    <w:rsid w:val="009A5348"/>
    <w:rsid w:val="009A691C"/>
    <w:rsid w:val="009B0BFA"/>
    <w:rsid w:val="009B10EC"/>
    <w:rsid w:val="009B1860"/>
    <w:rsid w:val="009B3A7A"/>
    <w:rsid w:val="009B3E8E"/>
    <w:rsid w:val="009B4C26"/>
    <w:rsid w:val="009B530E"/>
    <w:rsid w:val="009B550E"/>
    <w:rsid w:val="009B611F"/>
    <w:rsid w:val="009B7AD0"/>
    <w:rsid w:val="009C0198"/>
    <w:rsid w:val="009C085E"/>
    <w:rsid w:val="009C221E"/>
    <w:rsid w:val="009C28B5"/>
    <w:rsid w:val="009C2ADD"/>
    <w:rsid w:val="009C2D5D"/>
    <w:rsid w:val="009C38E4"/>
    <w:rsid w:val="009C71E0"/>
    <w:rsid w:val="009D06D7"/>
    <w:rsid w:val="009D1133"/>
    <w:rsid w:val="009D11A3"/>
    <w:rsid w:val="009D1A0C"/>
    <w:rsid w:val="009D1C84"/>
    <w:rsid w:val="009D1D2F"/>
    <w:rsid w:val="009D20BA"/>
    <w:rsid w:val="009D3B24"/>
    <w:rsid w:val="009D3CE6"/>
    <w:rsid w:val="009D3FD2"/>
    <w:rsid w:val="009D568E"/>
    <w:rsid w:val="009D5CBE"/>
    <w:rsid w:val="009D716A"/>
    <w:rsid w:val="009D7A37"/>
    <w:rsid w:val="009E08F1"/>
    <w:rsid w:val="009E0BE4"/>
    <w:rsid w:val="009E2341"/>
    <w:rsid w:val="009E23FB"/>
    <w:rsid w:val="009E29C3"/>
    <w:rsid w:val="009E3902"/>
    <w:rsid w:val="009E3B0C"/>
    <w:rsid w:val="009E3E5E"/>
    <w:rsid w:val="009E42D0"/>
    <w:rsid w:val="009E4DDA"/>
    <w:rsid w:val="009E4E5E"/>
    <w:rsid w:val="009E531E"/>
    <w:rsid w:val="009E57F8"/>
    <w:rsid w:val="009E6BF4"/>
    <w:rsid w:val="009E70E9"/>
    <w:rsid w:val="009F0EEB"/>
    <w:rsid w:val="009F1016"/>
    <w:rsid w:val="009F2FD4"/>
    <w:rsid w:val="009F38D9"/>
    <w:rsid w:val="009F4301"/>
    <w:rsid w:val="009F57A4"/>
    <w:rsid w:val="009F67BE"/>
    <w:rsid w:val="009F6E4B"/>
    <w:rsid w:val="00A0052D"/>
    <w:rsid w:val="00A00738"/>
    <w:rsid w:val="00A0164D"/>
    <w:rsid w:val="00A01B27"/>
    <w:rsid w:val="00A02100"/>
    <w:rsid w:val="00A02E55"/>
    <w:rsid w:val="00A032AA"/>
    <w:rsid w:val="00A041D3"/>
    <w:rsid w:val="00A0443C"/>
    <w:rsid w:val="00A055F5"/>
    <w:rsid w:val="00A0627F"/>
    <w:rsid w:val="00A06473"/>
    <w:rsid w:val="00A06E46"/>
    <w:rsid w:val="00A06F51"/>
    <w:rsid w:val="00A11303"/>
    <w:rsid w:val="00A12599"/>
    <w:rsid w:val="00A12BD1"/>
    <w:rsid w:val="00A142E4"/>
    <w:rsid w:val="00A1481B"/>
    <w:rsid w:val="00A16DD5"/>
    <w:rsid w:val="00A2061B"/>
    <w:rsid w:val="00A20989"/>
    <w:rsid w:val="00A21F3F"/>
    <w:rsid w:val="00A23480"/>
    <w:rsid w:val="00A235C0"/>
    <w:rsid w:val="00A2383E"/>
    <w:rsid w:val="00A24868"/>
    <w:rsid w:val="00A2612A"/>
    <w:rsid w:val="00A2613A"/>
    <w:rsid w:val="00A26AC9"/>
    <w:rsid w:val="00A26CB9"/>
    <w:rsid w:val="00A2741F"/>
    <w:rsid w:val="00A27C1A"/>
    <w:rsid w:val="00A30308"/>
    <w:rsid w:val="00A30412"/>
    <w:rsid w:val="00A30815"/>
    <w:rsid w:val="00A31F66"/>
    <w:rsid w:val="00A34286"/>
    <w:rsid w:val="00A34A45"/>
    <w:rsid w:val="00A3569A"/>
    <w:rsid w:val="00A357A8"/>
    <w:rsid w:val="00A36186"/>
    <w:rsid w:val="00A3660D"/>
    <w:rsid w:val="00A37485"/>
    <w:rsid w:val="00A3752C"/>
    <w:rsid w:val="00A37CAC"/>
    <w:rsid w:val="00A40102"/>
    <w:rsid w:val="00A4125F"/>
    <w:rsid w:val="00A41455"/>
    <w:rsid w:val="00A41A25"/>
    <w:rsid w:val="00A41E54"/>
    <w:rsid w:val="00A4235D"/>
    <w:rsid w:val="00A423FA"/>
    <w:rsid w:val="00A42813"/>
    <w:rsid w:val="00A443DB"/>
    <w:rsid w:val="00A44E93"/>
    <w:rsid w:val="00A455E7"/>
    <w:rsid w:val="00A458FE"/>
    <w:rsid w:val="00A46500"/>
    <w:rsid w:val="00A469C5"/>
    <w:rsid w:val="00A47E90"/>
    <w:rsid w:val="00A500BF"/>
    <w:rsid w:val="00A50147"/>
    <w:rsid w:val="00A5107E"/>
    <w:rsid w:val="00A530B5"/>
    <w:rsid w:val="00A53878"/>
    <w:rsid w:val="00A54A87"/>
    <w:rsid w:val="00A56819"/>
    <w:rsid w:val="00A57028"/>
    <w:rsid w:val="00A57D19"/>
    <w:rsid w:val="00A57F4D"/>
    <w:rsid w:val="00A6067B"/>
    <w:rsid w:val="00A62EE6"/>
    <w:rsid w:val="00A63C65"/>
    <w:rsid w:val="00A6444C"/>
    <w:rsid w:val="00A64548"/>
    <w:rsid w:val="00A656CE"/>
    <w:rsid w:val="00A6571B"/>
    <w:rsid w:val="00A6681F"/>
    <w:rsid w:val="00A67044"/>
    <w:rsid w:val="00A67EF0"/>
    <w:rsid w:val="00A70E94"/>
    <w:rsid w:val="00A73514"/>
    <w:rsid w:val="00A7353B"/>
    <w:rsid w:val="00A74FD5"/>
    <w:rsid w:val="00A75657"/>
    <w:rsid w:val="00A75753"/>
    <w:rsid w:val="00A75B64"/>
    <w:rsid w:val="00A767AC"/>
    <w:rsid w:val="00A80AE8"/>
    <w:rsid w:val="00A80C43"/>
    <w:rsid w:val="00A80D0B"/>
    <w:rsid w:val="00A82DCC"/>
    <w:rsid w:val="00A8360C"/>
    <w:rsid w:val="00A84CD6"/>
    <w:rsid w:val="00A86694"/>
    <w:rsid w:val="00A8743F"/>
    <w:rsid w:val="00A87F32"/>
    <w:rsid w:val="00A9046B"/>
    <w:rsid w:val="00A90533"/>
    <w:rsid w:val="00A92097"/>
    <w:rsid w:val="00A92129"/>
    <w:rsid w:val="00A92425"/>
    <w:rsid w:val="00A92A73"/>
    <w:rsid w:val="00A9339F"/>
    <w:rsid w:val="00A93F45"/>
    <w:rsid w:val="00A941DB"/>
    <w:rsid w:val="00A95677"/>
    <w:rsid w:val="00A956F3"/>
    <w:rsid w:val="00A9641D"/>
    <w:rsid w:val="00A96FB4"/>
    <w:rsid w:val="00A97602"/>
    <w:rsid w:val="00A97852"/>
    <w:rsid w:val="00A97EE0"/>
    <w:rsid w:val="00AA149F"/>
    <w:rsid w:val="00AA2C10"/>
    <w:rsid w:val="00AA3410"/>
    <w:rsid w:val="00AA3741"/>
    <w:rsid w:val="00AA43AF"/>
    <w:rsid w:val="00AA5CFB"/>
    <w:rsid w:val="00AA5E06"/>
    <w:rsid w:val="00AA63CE"/>
    <w:rsid w:val="00AA7471"/>
    <w:rsid w:val="00AB26DA"/>
    <w:rsid w:val="00AB316F"/>
    <w:rsid w:val="00AB4098"/>
    <w:rsid w:val="00AB465D"/>
    <w:rsid w:val="00AB4887"/>
    <w:rsid w:val="00AB4A5D"/>
    <w:rsid w:val="00AB4DDF"/>
    <w:rsid w:val="00AB5A79"/>
    <w:rsid w:val="00AB5B1E"/>
    <w:rsid w:val="00AB5FEC"/>
    <w:rsid w:val="00AB6035"/>
    <w:rsid w:val="00AB7830"/>
    <w:rsid w:val="00AB7C5A"/>
    <w:rsid w:val="00AB7E8A"/>
    <w:rsid w:val="00AC1807"/>
    <w:rsid w:val="00AC239B"/>
    <w:rsid w:val="00AC2C90"/>
    <w:rsid w:val="00AC2F5C"/>
    <w:rsid w:val="00AC300A"/>
    <w:rsid w:val="00AC3296"/>
    <w:rsid w:val="00AC3E8D"/>
    <w:rsid w:val="00AC45AA"/>
    <w:rsid w:val="00AC4748"/>
    <w:rsid w:val="00AC53CE"/>
    <w:rsid w:val="00AC53E0"/>
    <w:rsid w:val="00AC54EA"/>
    <w:rsid w:val="00AC5EDA"/>
    <w:rsid w:val="00AC6EC0"/>
    <w:rsid w:val="00AC7079"/>
    <w:rsid w:val="00AD01AB"/>
    <w:rsid w:val="00AD0382"/>
    <w:rsid w:val="00AD1306"/>
    <w:rsid w:val="00AD2B80"/>
    <w:rsid w:val="00AD30B6"/>
    <w:rsid w:val="00AD3569"/>
    <w:rsid w:val="00AD3C63"/>
    <w:rsid w:val="00AD4687"/>
    <w:rsid w:val="00AD4A76"/>
    <w:rsid w:val="00AD5A62"/>
    <w:rsid w:val="00AD64C0"/>
    <w:rsid w:val="00AD6D0D"/>
    <w:rsid w:val="00AD7CAC"/>
    <w:rsid w:val="00AD7F3C"/>
    <w:rsid w:val="00AD7F79"/>
    <w:rsid w:val="00AE082C"/>
    <w:rsid w:val="00AE18B7"/>
    <w:rsid w:val="00AE326D"/>
    <w:rsid w:val="00AE409B"/>
    <w:rsid w:val="00AE4B5A"/>
    <w:rsid w:val="00AE4D10"/>
    <w:rsid w:val="00AE4FAF"/>
    <w:rsid w:val="00AE4FB2"/>
    <w:rsid w:val="00AE56F2"/>
    <w:rsid w:val="00AE56F7"/>
    <w:rsid w:val="00AE67F9"/>
    <w:rsid w:val="00AE6A2B"/>
    <w:rsid w:val="00AE7415"/>
    <w:rsid w:val="00AE769B"/>
    <w:rsid w:val="00AF006C"/>
    <w:rsid w:val="00AF0082"/>
    <w:rsid w:val="00AF11D8"/>
    <w:rsid w:val="00AF2CC5"/>
    <w:rsid w:val="00AF2F57"/>
    <w:rsid w:val="00AF33FF"/>
    <w:rsid w:val="00AF3F20"/>
    <w:rsid w:val="00AF4A05"/>
    <w:rsid w:val="00AF4D60"/>
    <w:rsid w:val="00AF5977"/>
    <w:rsid w:val="00AF6FE0"/>
    <w:rsid w:val="00AF77C5"/>
    <w:rsid w:val="00AF7CAE"/>
    <w:rsid w:val="00B00008"/>
    <w:rsid w:val="00B01463"/>
    <w:rsid w:val="00B045A0"/>
    <w:rsid w:val="00B06883"/>
    <w:rsid w:val="00B10D7F"/>
    <w:rsid w:val="00B117A2"/>
    <w:rsid w:val="00B12744"/>
    <w:rsid w:val="00B12BB5"/>
    <w:rsid w:val="00B13CB0"/>
    <w:rsid w:val="00B15044"/>
    <w:rsid w:val="00B15788"/>
    <w:rsid w:val="00B16326"/>
    <w:rsid w:val="00B20247"/>
    <w:rsid w:val="00B20375"/>
    <w:rsid w:val="00B210EA"/>
    <w:rsid w:val="00B2130D"/>
    <w:rsid w:val="00B21820"/>
    <w:rsid w:val="00B2191C"/>
    <w:rsid w:val="00B2336D"/>
    <w:rsid w:val="00B23401"/>
    <w:rsid w:val="00B23504"/>
    <w:rsid w:val="00B23B76"/>
    <w:rsid w:val="00B24306"/>
    <w:rsid w:val="00B244B2"/>
    <w:rsid w:val="00B2460A"/>
    <w:rsid w:val="00B24E9C"/>
    <w:rsid w:val="00B2557D"/>
    <w:rsid w:val="00B257D4"/>
    <w:rsid w:val="00B25ADA"/>
    <w:rsid w:val="00B262DE"/>
    <w:rsid w:val="00B26816"/>
    <w:rsid w:val="00B26AE3"/>
    <w:rsid w:val="00B26F5C"/>
    <w:rsid w:val="00B27029"/>
    <w:rsid w:val="00B3127A"/>
    <w:rsid w:val="00B31AE2"/>
    <w:rsid w:val="00B32207"/>
    <w:rsid w:val="00B32F1C"/>
    <w:rsid w:val="00B3475C"/>
    <w:rsid w:val="00B34E27"/>
    <w:rsid w:val="00B35812"/>
    <w:rsid w:val="00B37071"/>
    <w:rsid w:val="00B37CC9"/>
    <w:rsid w:val="00B41591"/>
    <w:rsid w:val="00B42C2B"/>
    <w:rsid w:val="00B431C5"/>
    <w:rsid w:val="00B47B07"/>
    <w:rsid w:val="00B50E62"/>
    <w:rsid w:val="00B513D5"/>
    <w:rsid w:val="00B51ADF"/>
    <w:rsid w:val="00B51AE3"/>
    <w:rsid w:val="00B528FC"/>
    <w:rsid w:val="00B533CA"/>
    <w:rsid w:val="00B5398C"/>
    <w:rsid w:val="00B54CCC"/>
    <w:rsid w:val="00B55B6D"/>
    <w:rsid w:val="00B571D4"/>
    <w:rsid w:val="00B572E3"/>
    <w:rsid w:val="00B573EE"/>
    <w:rsid w:val="00B57C90"/>
    <w:rsid w:val="00B6019F"/>
    <w:rsid w:val="00B6039D"/>
    <w:rsid w:val="00B603F7"/>
    <w:rsid w:val="00B60AC0"/>
    <w:rsid w:val="00B60DD6"/>
    <w:rsid w:val="00B61ED4"/>
    <w:rsid w:val="00B624B3"/>
    <w:rsid w:val="00B635A7"/>
    <w:rsid w:val="00B63AD6"/>
    <w:rsid w:val="00B643BB"/>
    <w:rsid w:val="00B64DE8"/>
    <w:rsid w:val="00B65792"/>
    <w:rsid w:val="00B657DA"/>
    <w:rsid w:val="00B6591A"/>
    <w:rsid w:val="00B667B9"/>
    <w:rsid w:val="00B66907"/>
    <w:rsid w:val="00B70865"/>
    <w:rsid w:val="00B71CD0"/>
    <w:rsid w:val="00B72324"/>
    <w:rsid w:val="00B72FC6"/>
    <w:rsid w:val="00B73F31"/>
    <w:rsid w:val="00B74AAB"/>
    <w:rsid w:val="00B75588"/>
    <w:rsid w:val="00B75C4A"/>
    <w:rsid w:val="00B7703D"/>
    <w:rsid w:val="00B8081D"/>
    <w:rsid w:val="00B81126"/>
    <w:rsid w:val="00B8224B"/>
    <w:rsid w:val="00B822DD"/>
    <w:rsid w:val="00B82698"/>
    <w:rsid w:val="00B82B57"/>
    <w:rsid w:val="00B83E1E"/>
    <w:rsid w:val="00B8435C"/>
    <w:rsid w:val="00B84EEB"/>
    <w:rsid w:val="00B86455"/>
    <w:rsid w:val="00B86790"/>
    <w:rsid w:val="00B8696B"/>
    <w:rsid w:val="00B86B23"/>
    <w:rsid w:val="00B86D71"/>
    <w:rsid w:val="00B87A07"/>
    <w:rsid w:val="00B90435"/>
    <w:rsid w:val="00B9083E"/>
    <w:rsid w:val="00B90A02"/>
    <w:rsid w:val="00B9184C"/>
    <w:rsid w:val="00B919DB"/>
    <w:rsid w:val="00B91F6B"/>
    <w:rsid w:val="00B92C21"/>
    <w:rsid w:val="00B92C31"/>
    <w:rsid w:val="00B93A69"/>
    <w:rsid w:val="00B94379"/>
    <w:rsid w:val="00B95A63"/>
    <w:rsid w:val="00B962E8"/>
    <w:rsid w:val="00B96EA8"/>
    <w:rsid w:val="00B97558"/>
    <w:rsid w:val="00BA1131"/>
    <w:rsid w:val="00BA1F8D"/>
    <w:rsid w:val="00BA1FB5"/>
    <w:rsid w:val="00BA2C1A"/>
    <w:rsid w:val="00BA2D92"/>
    <w:rsid w:val="00BA3010"/>
    <w:rsid w:val="00BA3463"/>
    <w:rsid w:val="00BA473E"/>
    <w:rsid w:val="00BA4B3A"/>
    <w:rsid w:val="00BA676B"/>
    <w:rsid w:val="00BA73DB"/>
    <w:rsid w:val="00BA7558"/>
    <w:rsid w:val="00BA7BFE"/>
    <w:rsid w:val="00BB01D7"/>
    <w:rsid w:val="00BB2034"/>
    <w:rsid w:val="00BB27E4"/>
    <w:rsid w:val="00BB293C"/>
    <w:rsid w:val="00BB41D7"/>
    <w:rsid w:val="00BB43DE"/>
    <w:rsid w:val="00BB5730"/>
    <w:rsid w:val="00BB5FFD"/>
    <w:rsid w:val="00BB60E7"/>
    <w:rsid w:val="00BB68AC"/>
    <w:rsid w:val="00BB6BF7"/>
    <w:rsid w:val="00BB7A0C"/>
    <w:rsid w:val="00BC05B0"/>
    <w:rsid w:val="00BC1074"/>
    <w:rsid w:val="00BC1EDC"/>
    <w:rsid w:val="00BC22C6"/>
    <w:rsid w:val="00BC3B05"/>
    <w:rsid w:val="00BC4416"/>
    <w:rsid w:val="00BC58DC"/>
    <w:rsid w:val="00BC6F5F"/>
    <w:rsid w:val="00BC75FF"/>
    <w:rsid w:val="00BC7E04"/>
    <w:rsid w:val="00BD08AA"/>
    <w:rsid w:val="00BD09FB"/>
    <w:rsid w:val="00BD206B"/>
    <w:rsid w:val="00BD36C1"/>
    <w:rsid w:val="00BD426E"/>
    <w:rsid w:val="00BD446B"/>
    <w:rsid w:val="00BD4CD0"/>
    <w:rsid w:val="00BE028A"/>
    <w:rsid w:val="00BE0B97"/>
    <w:rsid w:val="00BE1539"/>
    <w:rsid w:val="00BE211B"/>
    <w:rsid w:val="00BE2C06"/>
    <w:rsid w:val="00BE2E46"/>
    <w:rsid w:val="00BE3F77"/>
    <w:rsid w:val="00BE41B4"/>
    <w:rsid w:val="00BE59CD"/>
    <w:rsid w:val="00BE67AE"/>
    <w:rsid w:val="00BE7083"/>
    <w:rsid w:val="00BE7606"/>
    <w:rsid w:val="00BE7AA3"/>
    <w:rsid w:val="00BE7D59"/>
    <w:rsid w:val="00BF0B8E"/>
    <w:rsid w:val="00BF3D09"/>
    <w:rsid w:val="00BF48C6"/>
    <w:rsid w:val="00BF6393"/>
    <w:rsid w:val="00BF7110"/>
    <w:rsid w:val="00BF7491"/>
    <w:rsid w:val="00C01FCF"/>
    <w:rsid w:val="00C02091"/>
    <w:rsid w:val="00C02A94"/>
    <w:rsid w:val="00C02AFF"/>
    <w:rsid w:val="00C02C68"/>
    <w:rsid w:val="00C038CC"/>
    <w:rsid w:val="00C040AA"/>
    <w:rsid w:val="00C048C9"/>
    <w:rsid w:val="00C05E2A"/>
    <w:rsid w:val="00C064BD"/>
    <w:rsid w:val="00C06A3D"/>
    <w:rsid w:val="00C11289"/>
    <w:rsid w:val="00C1163F"/>
    <w:rsid w:val="00C11714"/>
    <w:rsid w:val="00C11A2F"/>
    <w:rsid w:val="00C11E92"/>
    <w:rsid w:val="00C123A8"/>
    <w:rsid w:val="00C129FB"/>
    <w:rsid w:val="00C13635"/>
    <w:rsid w:val="00C13780"/>
    <w:rsid w:val="00C140AD"/>
    <w:rsid w:val="00C14FF3"/>
    <w:rsid w:val="00C157DB"/>
    <w:rsid w:val="00C15921"/>
    <w:rsid w:val="00C16A9A"/>
    <w:rsid w:val="00C17806"/>
    <w:rsid w:val="00C20065"/>
    <w:rsid w:val="00C21541"/>
    <w:rsid w:val="00C21947"/>
    <w:rsid w:val="00C22B05"/>
    <w:rsid w:val="00C23B33"/>
    <w:rsid w:val="00C27D3F"/>
    <w:rsid w:val="00C30A30"/>
    <w:rsid w:val="00C31430"/>
    <w:rsid w:val="00C31735"/>
    <w:rsid w:val="00C31B59"/>
    <w:rsid w:val="00C31DD6"/>
    <w:rsid w:val="00C31E06"/>
    <w:rsid w:val="00C34199"/>
    <w:rsid w:val="00C34548"/>
    <w:rsid w:val="00C34794"/>
    <w:rsid w:val="00C3576B"/>
    <w:rsid w:val="00C35A6C"/>
    <w:rsid w:val="00C35D00"/>
    <w:rsid w:val="00C35EFC"/>
    <w:rsid w:val="00C35FAA"/>
    <w:rsid w:val="00C3622F"/>
    <w:rsid w:val="00C364A5"/>
    <w:rsid w:val="00C36794"/>
    <w:rsid w:val="00C36F1C"/>
    <w:rsid w:val="00C372BA"/>
    <w:rsid w:val="00C37556"/>
    <w:rsid w:val="00C37686"/>
    <w:rsid w:val="00C37CD0"/>
    <w:rsid w:val="00C403B8"/>
    <w:rsid w:val="00C406A1"/>
    <w:rsid w:val="00C406F4"/>
    <w:rsid w:val="00C4070A"/>
    <w:rsid w:val="00C4183C"/>
    <w:rsid w:val="00C41992"/>
    <w:rsid w:val="00C41D66"/>
    <w:rsid w:val="00C43905"/>
    <w:rsid w:val="00C4431B"/>
    <w:rsid w:val="00C44B51"/>
    <w:rsid w:val="00C45299"/>
    <w:rsid w:val="00C4642D"/>
    <w:rsid w:val="00C46E79"/>
    <w:rsid w:val="00C46FE4"/>
    <w:rsid w:val="00C471CE"/>
    <w:rsid w:val="00C506D4"/>
    <w:rsid w:val="00C50EB6"/>
    <w:rsid w:val="00C525BD"/>
    <w:rsid w:val="00C52FED"/>
    <w:rsid w:val="00C53A27"/>
    <w:rsid w:val="00C53FC2"/>
    <w:rsid w:val="00C542F2"/>
    <w:rsid w:val="00C54367"/>
    <w:rsid w:val="00C574C3"/>
    <w:rsid w:val="00C578E3"/>
    <w:rsid w:val="00C60318"/>
    <w:rsid w:val="00C605F9"/>
    <w:rsid w:val="00C6222D"/>
    <w:rsid w:val="00C6260D"/>
    <w:rsid w:val="00C62637"/>
    <w:rsid w:val="00C62EAB"/>
    <w:rsid w:val="00C6322E"/>
    <w:rsid w:val="00C6369F"/>
    <w:rsid w:val="00C6381D"/>
    <w:rsid w:val="00C644C1"/>
    <w:rsid w:val="00C6467B"/>
    <w:rsid w:val="00C64ADB"/>
    <w:rsid w:val="00C6542B"/>
    <w:rsid w:val="00C66FD3"/>
    <w:rsid w:val="00C67A7A"/>
    <w:rsid w:val="00C67A96"/>
    <w:rsid w:val="00C70083"/>
    <w:rsid w:val="00C705C3"/>
    <w:rsid w:val="00C710FA"/>
    <w:rsid w:val="00C7256F"/>
    <w:rsid w:val="00C726F9"/>
    <w:rsid w:val="00C73C95"/>
    <w:rsid w:val="00C740AA"/>
    <w:rsid w:val="00C740C8"/>
    <w:rsid w:val="00C74170"/>
    <w:rsid w:val="00C74773"/>
    <w:rsid w:val="00C75737"/>
    <w:rsid w:val="00C75852"/>
    <w:rsid w:val="00C75E17"/>
    <w:rsid w:val="00C760A4"/>
    <w:rsid w:val="00C76644"/>
    <w:rsid w:val="00C76AE7"/>
    <w:rsid w:val="00C77133"/>
    <w:rsid w:val="00C83133"/>
    <w:rsid w:val="00C836A9"/>
    <w:rsid w:val="00C84BBF"/>
    <w:rsid w:val="00C852D0"/>
    <w:rsid w:val="00C8566D"/>
    <w:rsid w:val="00C85C35"/>
    <w:rsid w:val="00C935FD"/>
    <w:rsid w:val="00C93670"/>
    <w:rsid w:val="00C938BA"/>
    <w:rsid w:val="00C93B62"/>
    <w:rsid w:val="00C94517"/>
    <w:rsid w:val="00C950C6"/>
    <w:rsid w:val="00C9572E"/>
    <w:rsid w:val="00C95992"/>
    <w:rsid w:val="00C96075"/>
    <w:rsid w:val="00C964FB"/>
    <w:rsid w:val="00C96972"/>
    <w:rsid w:val="00C96BC0"/>
    <w:rsid w:val="00C972C7"/>
    <w:rsid w:val="00C97AB3"/>
    <w:rsid w:val="00CA0E06"/>
    <w:rsid w:val="00CA1306"/>
    <w:rsid w:val="00CA21B0"/>
    <w:rsid w:val="00CA281F"/>
    <w:rsid w:val="00CA2AF5"/>
    <w:rsid w:val="00CA2D36"/>
    <w:rsid w:val="00CA3349"/>
    <w:rsid w:val="00CA3815"/>
    <w:rsid w:val="00CA66F3"/>
    <w:rsid w:val="00CA7C08"/>
    <w:rsid w:val="00CA7CC0"/>
    <w:rsid w:val="00CB0B0A"/>
    <w:rsid w:val="00CB0CA4"/>
    <w:rsid w:val="00CB1562"/>
    <w:rsid w:val="00CB455F"/>
    <w:rsid w:val="00CB46FC"/>
    <w:rsid w:val="00CB52B4"/>
    <w:rsid w:val="00CB6084"/>
    <w:rsid w:val="00CB6600"/>
    <w:rsid w:val="00CB784A"/>
    <w:rsid w:val="00CB7B13"/>
    <w:rsid w:val="00CB7B3C"/>
    <w:rsid w:val="00CC06A4"/>
    <w:rsid w:val="00CC086E"/>
    <w:rsid w:val="00CC09D8"/>
    <w:rsid w:val="00CC0A0C"/>
    <w:rsid w:val="00CC0C9F"/>
    <w:rsid w:val="00CC4631"/>
    <w:rsid w:val="00CC4ED5"/>
    <w:rsid w:val="00CC74EC"/>
    <w:rsid w:val="00CD00B7"/>
    <w:rsid w:val="00CD0199"/>
    <w:rsid w:val="00CD20B8"/>
    <w:rsid w:val="00CD30EC"/>
    <w:rsid w:val="00CD39DB"/>
    <w:rsid w:val="00CD3B6C"/>
    <w:rsid w:val="00CD407B"/>
    <w:rsid w:val="00CD4C3E"/>
    <w:rsid w:val="00CD5C49"/>
    <w:rsid w:val="00CD6B2B"/>
    <w:rsid w:val="00CD7300"/>
    <w:rsid w:val="00CD7384"/>
    <w:rsid w:val="00CD76EB"/>
    <w:rsid w:val="00CE025E"/>
    <w:rsid w:val="00CE0EEC"/>
    <w:rsid w:val="00CE109E"/>
    <w:rsid w:val="00CE18D1"/>
    <w:rsid w:val="00CE25C3"/>
    <w:rsid w:val="00CE3733"/>
    <w:rsid w:val="00CE61E4"/>
    <w:rsid w:val="00CE6798"/>
    <w:rsid w:val="00CF0394"/>
    <w:rsid w:val="00CF0B4A"/>
    <w:rsid w:val="00CF0FA5"/>
    <w:rsid w:val="00CF165D"/>
    <w:rsid w:val="00CF1D91"/>
    <w:rsid w:val="00CF3F55"/>
    <w:rsid w:val="00CF4839"/>
    <w:rsid w:val="00CF5CD0"/>
    <w:rsid w:val="00CF78DC"/>
    <w:rsid w:val="00CF7E69"/>
    <w:rsid w:val="00D00E61"/>
    <w:rsid w:val="00D0156D"/>
    <w:rsid w:val="00D016EB"/>
    <w:rsid w:val="00D022F1"/>
    <w:rsid w:val="00D02523"/>
    <w:rsid w:val="00D02FAC"/>
    <w:rsid w:val="00D04BB1"/>
    <w:rsid w:val="00D0577B"/>
    <w:rsid w:val="00D06B73"/>
    <w:rsid w:val="00D075F9"/>
    <w:rsid w:val="00D1087A"/>
    <w:rsid w:val="00D1104F"/>
    <w:rsid w:val="00D128D1"/>
    <w:rsid w:val="00D12CA0"/>
    <w:rsid w:val="00D1475D"/>
    <w:rsid w:val="00D152A6"/>
    <w:rsid w:val="00D17C07"/>
    <w:rsid w:val="00D21953"/>
    <w:rsid w:val="00D21F1F"/>
    <w:rsid w:val="00D22BA0"/>
    <w:rsid w:val="00D22D6C"/>
    <w:rsid w:val="00D255FE"/>
    <w:rsid w:val="00D266A5"/>
    <w:rsid w:val="00D266BC"/>
    <w:rsid w:val="00D275FA"/>
    <w:rsid w:val="00D30926"/>
    <w:rsid w:val="00D30DA7"/>
    <w:rsid w:val="00D32082"/>
    <w:rsid w:val="00D34381"/>
    <w:rsid w:val="00D34813"/>
    <w:rsid w:val="00D34B9D"/>
    <w:rsid w:val="00D35E4E"/>
    <w:rsid w:val="00D366CA"/>
    <w:rsid w:val="00D3724D"/>
    <w:rsid w:val="00D37EAC"/>
    <w:rsid w:val="00D4010B"/>
    <w:rsid w:val="00D403B2"/>
    <w:rsid w:val="00D4181C"/>
    <w:rsid w:val="00D4196E"/>
    <w:rsid w:val="00D41EEC"/>
    <w:rsid w:val="00D43000"/>
    <w:rsid w:val="00D43514"/>
    <w:rsid w:val="00D441C2"/>
    <w:rsid w:val="00D446BA"/>
    <w:rsid w:val="00D449E2"/>
    <w:rsid w:val="00D450E2"/>
    <w:rsid w:val="00D45F06"/>
    <w:rsid w:val="00D47F9B"/>
    <w:rsid w:val="00D511F1"/>
    <w:rsid w:val="00D51AFD"/>
    <w:rsid w:val="00D527A6"/>
    <w:rsid w:val="00D52E31"/>
    <w:rsid w:val="00D53739"/>
    <w:rsid w:val="00D540B6"/>
    <w:rsid w:val="00D54BF4"/>
    <w:rsid w:val="00D55BDF"/>
    <w:rsid w:val="00D57829"/>
    <w:rsid w:val="00D578A2"/>
    <w:rsid w:val="00D5792E"/>
    <w:rsid w:val="00D57A3E"/>
    <w:rsid w:val="00D62177"/>
    <w:rsid w:val="00D62628"/>
    <w:rsid w:val="00D62A7D"/>
    <w:rsid w:val="00D62B1F"/>
    <w:rsid w:val="00D62EB6"/>
    <w:rsid w:val="00D638EC"/>
    <w:rsid w:val="00D644C0"/>
    <w:rsid w:val="00D6472D"/>
    <w:rsid w:val="00D65627"/>
    <w:rsid w:val="00D65C41"/>
    <w:rsid w:val="00D65F2B"/>
    <w:rsid w:val="00D663B2"/>
    <w:rsid w:val="00D66BCF"/>
    <w:rsid w:val="00D6779C"/>
    <w:rsid w:val="00D703C9"/>
    <w:rsid w:val="00D717F1"/>
    <w:rsid w:val="00D71A1D"/>
    <w:rsid w:val="00D72A63"/>
    <w:rsid w:val="00D72D24"/>
    <w:rsid w:val="00D745BF"/>
    <w:rsid w:val="00D74D09"/>
    <w:rsid w:val="00D75288"/>
    <w:rsid w:val="00D7533D"/>
    <w:rsid w:val="00D75A79"/>
    <w:rsid w:val="00D76ADE"/>
    <w:rsid w:val="00D76C06"/>
    <w:rsid w:val="00D77184"/>
    <w:rsid w:val="00D80FF6"/>
    <w:rsid w:val="00D8125D"/>
    <w:rsid w:val="00D82C52"/>
    <w:rsid w:val="00D845D3"/>
    <w:rsid w:val="00D84676"/>
    <w:rsid w:val="00D8629C"/>
    <w:rsid w:val="00D863AA"/>
    <w:rsid w:val="00D8676E"/>
    <w:rsid w:val="00D90A22"/>
    <w:rsid w:val="00D92024"/>
    <w:rsid w:val="00D93AA1"/>
    <w:rsid w:val="00D94658"/>
    <w:rsid w:val="00D9649E"/>
    <w:rsid w:val="00D970D4"/>
    <w:rsid w:val="00D97B39"/>
    <w:rsid w:val="00DA0804"/>
    <w:rsid w:val="00DA0D61"/>
    <w:rsid w:val="00DA0E56"/>
    <w:rsid w:val="00DA124C"/>
    <w:rsid w:val="00DA183A"/>
    <w:rsid w:val="00DA1BF3"/>
    <w:rsid w:val="00DA229C"/>
    <w:rsid w:val="00DA2E1A"/>
    <w:rsid w:val="00DA3240"/>
    <w:rsid w:val="00DA369D"/>
    <w:rsid w:val="00DA5540"/>
    <w:rsid w:val="00DA61E5"/>
    <w:rsid w:val="00DA6BB6"/>
    <w:rsid w:val="00DA6C59"/>
    <w:rsid w:val="00DA7094"/>
    <w:rsid w:val="00DB0465"/>
    <w:rsid w:val="00DB047A"/>
    <w:rsid w:val="00DB157C"/>
    <w:rsid w:val="00DB4A2A"/>
    <w:rsid w:val="00DB547A"/>
    <w:rsid w:val="00DB60BF"/>
    <w:rsid w:val="00DB67AC"/>
    <w:rsid w:val="00DB6EF3"/>
    <w:rsid w:val="00DC0C3B"/>
    <w:rsid w:val="00DC10A2"/>
    <w:rsid w:val="00DC27E3"/>
    <w:rsid w:val="00DC27EA"/>
    <w:rsid w:val="00DC4B15"/>
    <w:rsid w:val="00DC516C"/>
    <w:rsid w:val="00DC53BE"/>
    <w:rsid w:val="00DC55C0"/>
    <w:rsid w:val="00DC5D11"/>
    <w:rsid w:val="00DC6DFE"/>
    <w:rsid w:val="00DC6E72"/>
    <w:rsid w:val="00DC7541"/>
    <w:rsid w:val="00DC7D76"/>
    <w:rsid w:val="00DD050B"/>
    <w:rsid w:val="00DD12F0"/>
    <w:rsid w:val="00DD1E41"/>
    <w:rsid w:val="00DD1FF4"/>
    <w:rsid w:val="00DD3FCD"/>
    <w:rsid w:val="00DD46FF"/>
    <w:rsid w:val="00DD4AE0"/>
    <w:rsid w:val="00DD5A91"/>
    <w:rsid w:val="00DD6039"/>
    <w:rsid w:val="00DD6266"/>
    <w:rsid w:val="00DD719C"/>
    <w:rsid w:val="00DD7B31"/>
    <w:rsid w:val="00DE02F8"/>
    <w:rsid w:val="00DE0515"/>
    <w:rsid w:val="00DE0A2C"/>
    <w:rsid w:val="00DE142A"/>
    <w:rsid w:val="00DE2DA0"/>
    <w:rsid w:val="00DE3C51"/>
    <w:rsid w:val="00DE3F8D"/>
    <w:rsid w:val="00DE4EF3"/>
    <w:rsid w:val="00DE5DAF"/>
    <w:rsid w:val="00DE698A"/>
    <w:rsid w:val="00DF05A9"/>
    <w:rsid w:val="00DF0886"/>
    <w:rsid w:val="00DF0D37"/>
    <w:rsid w:val="00DF22A9"/>
    <w:rsid w:val="00DF4A1F"/>
    <w:rsid w:val="00DF4F88"/>
    <w:rsid w:val="00DF6B94"/>
    <w:rsid w:val="00DF71F7"/>
    <w:rsid w:val="00DF7550"/>
    <w:rsid w:val="00DF7997"/>
    <w:rsid w:val="00DF7D45"/>
    <w:rsid w:val="00E00007"/>
    <w:rsid w:val="00E01626"/>
    <w:rsid w:val="00E02A6B"/>
    <w:rsid w:val="00E02EF2"/>
    <w:rsid w:val="00E03B65"/>
    <w:rsid w:val="00E0453B"/>
    <w:rsid w:val="00E0578B"/>
    <w:rsid w:val="00E061F3"/>
    <w:rsid w:val="00E0634F"/>
    <w:rsid w:val="00E06506"/>
    <w:rsid w:val="00E0669F"/>
    <w:rsid w:val="00E06A16"/>
    <w:rsid w:val="00E10473"/>
    <w:rsid w:val="00E10C2E"/>
    <w:rsid w:val="00E10C6A"/>
    <w:rsid w:val="00E1204D"/>
    <w:rsid w:val="00E12478"/>
    <w:rsid w:val="00E13A4D"/>
    <w:rsid w:val="00E13E58"/>
    <w:rsid w:val="00E1415E"/>
    <w:rsid w:val="00E14CEF"/>
    <w:rsid w:val="00E1507C"/>
    <w:rsid w:val="00E15C55"/>
    <w:rsid w:val="00E20879"/>
    <w:rsid w:val="00E21204"/>
    <w:rsid w:val="00E21CD6"/>
    <w:rsid w:val="00E21F6F"/>
    <w:rsid w:val="00E22102"/>
    <w:rsid w:val="00E245ED"/>
    <w:rsid w:val="00E24BC7"/>
    <w:rsid w:val="00E25F3E"/>
    <w:rsid w:val="00E2623E"/>
    <w:rsid w:val="00E26DE4"/>
    <w:rsid w:val="00E27E3C"/>
    <w:rsid w:val="00E31C58"/>
    <w:rsid w:val="00E31E61"/>
    <w:rsid w:val="00E320E0"/>
    <w:rsid w:val="00E32323"/>
    <w:rsid w:val="00E32A7B"/>
    <w:rsid w:val="00E333F1"/>
    <w:rsid w:val="00E34842"/>
    <w:rsid w:val="00E358E3"/>
    <w:rsid w:val="00E35A8B"/>
    <w:rsid w:val="00E3692D"/>
    <w:rsid w:val="00E373B5"/>
    <w:rsid w:val="00E4043E"/>
    <w:rsid w:val="00E40D5D"/>
    <w:rsid w:val="00E41068"/>
    <w:rsid w:val="00E41238"/>
    <w:rsid w:val="00E41839"/>
    <w:rsid w:val="00E44A35"/>
    <w:rsid w:val="00E45811"/>
    <w:rsid w:val="00E46BC0"/>
    <w:rsid w:val="00E46F3E"/>
    <w:rsid w:val="00E47693"/>
    <w:rsid w:val="00E47CEB"/>
    <w:rsid w:val="00E50869"/>
    <w:rsid w:val="00E50BED"/>
    <w:rsid w:val="00E51461"/>
    <w:rsid w:val="00E54765"/>
    <w:rsid w:val="00E54A8F"/>
    <w:rsid w:val="00E56C3C"/>
    <w:rsid w:val="00E57067"/>
    <w:rsid w:val="00E576C5"/>
    <w:rsid w:val="00E5784E"/>
    <w:rsid w:val="00E606F6"/>
    <w:rsid w:val="00E619EA"/>
    <w:rsid w:val="00E620F5"/>
    <w:rsid w:val="00E621FA"/>
    <w:rsid w:val="00E62C53"/>
    <w:rsid w:val="00E62D1E"/>
    <w:rsid w:val="00E6562C"/>
    <w:rsid w:val="00E65E42"/>
    <w:rsid w:val="00E66468"/>
    <w:rsid w:val="00E6657D"/>
    <w:rsid w:val="00E71064"/>
    <w:rsid w:val="00E71C2A"/>
    <w:rsid w:val="00E72934"/>
    <w:rsid w:val="00E731EF"/>
    <w:rsid w:val="00E73315"/>
    <w:rsid w:val="00E735E5"/>
    <w:rsid w:val="00E7363C"/>
    <w:rsid w:val="00E74C78"/>
    <w:rsid w:val="00E7568A"/>
    <w:rsid w:val="00E76A17"/>
    <w:rsid w:val="00E76FEA"/>
    <w:rsid w:val="00E771AB"/>
    <w:rsid w:val="00E77569"/>
    <w:rsid w:val="00E77AC3"/>
    <w:rsid w:val="00E77B12"/>
    <w:rsid w:val="00E77F30"/>
    <w:rsid w:val="00E82005"/>
    <w:rsid w:val="00E8202B"/>
    <w:rsid w:val="00E82074"/>
    <w:rsid w:val="00E82658"/>
    <w:rsid w:val="00E82E28"/>
    <w:rsid w:val="00E82E77"/>
    <w:rsid w:val="00E83116"/>
    <w:rsid w:val="00E840FB"/>
    <w:rsid w:val="00E84A3B"/>
    <w:rsid w:val="00E84D01"/>
    <w:rsid w:val="00E84FA6"/>
    <w:rsid w:val="00E85313"/>
    <w:rsid w:val="00E85935"/>
    <w:rsid w:val="00E86332"/>
    <w:rsid w:val="00E86E3C"/>
    <w:rsid w:val="00E87DC2"/>
    <w:rsid w:val="00E87EE8"/>
    <w:rsid w:val="00E87F60"/>
    <w:rsid w:val="00E90784"/>
    <w:rsid w:val="00E90B78"/>
    <w:rsid w:val="00E90C09"/>
    <w:rsid w:val="00E910C4"/>
    <w:rsid w:val="00E92D08"/>
    <w:rsid w:val="00E936C4"/>
    <w:rsid w:val="00E9399C"/>
    <w:rsid w:val="00E94B34"/>
    <w:rsid w:val="00E957E5"/>
    <w:rsid w:val="00E96292"/>
    <w:rsid w:val="00E96414"/>
    <w:rsid w:val="00E97353"/>
    <w:rsid w:val="00E9764A"/>
    <w:rsid w:val="00EA0585"/>
    <w:rsid w:val="00EA090E"/>
    <w:rsid w:val="00EA10D6"/>
    <w:rsid w:val="00EA17B7"/>
    <w:rsid w:val="00EA17B9"/>
    <w:rsid w:val="00EA1EB2"/>
    <w:rsid w:val="00EA286B"/>
    <w:rsid w:val="00EA2B53"/>
    <w:rsid w:val="00EA38C0"/>
    <w:rsid w:val="00EA6A2C"/>
    <w:rsid w:val="00EB025E"/>
    <w:rsid w:val="00EB0312"/>
    <w:rsid w:val="00EB053B"/>
    <w:rsid w:val="00EB187F"/>
    <w:rsid w:val="00EB22F9"/>
    <w:rsid w:val="00EB2D5B"/>
    <w:rsid w:val="00EB40C2"/>
    <w:rsid w:val="00EB422A"/>
    <w:rsid w:val="00EB5823"/>
    <w:rsid w:val="00EB5F49"/>
    <w:rsid w:val="00EB77C3"/>
    <w:rsid w:val="00EC0E95"/>
    <w:rsid w:val="00EC245D"/>
    <w:rsid w:val="00EC4CD2"/>
    <w:rsid w:val="00EC50EE"/>
    <w:rsid w:val="00EC6358"/>
    <w:rsid w:val="00ED0551"/>
    <w:rsid w:val="00ED15DE"/>
    <w:rsid w:val="00ED1AC6"/>
    <w:rsid w:val="00ED25D3"/>
    <w:rsid w:val="00ED27F8"/>
    <w:rsid w:val="00ED3E0E"/>
    <w:rsid w:val="00ED47BB"/>
    <w:rsid w:val="00ED6A39"/>
    <w:rsid w:val="00ED79A9"/>
    <w:rsid w:val="00EE0C22"/>
    <w:rsid w:val="00EE0F40"/>
    <w:rsid w:val="00EE21FB"/>
    <w:rsid w:val="00EE3BAD"/>
    <w:rsid w:val="00EE3FF6"/>
    <w:rsid w:val="00EE40C5"/>
    <w:rsid w:val="00EE53C5"/>
    <w:rsid w:val="00EE563F"/>
    <w:rsid w:val="00EE5886"/>
    <w:rsid w:val="00EE5BDB"/>
    <w:rsid w:val="00EE5CB6"/>
    <w:rsid w:val="00EE69B7"/>
    <w:rsid w:val="00EF18ED"/>
    <w:rsid w:val="00EF1953"/>
    <w:rsid w:val="00EF3096"/>
    <w:rsid w:val="00EF4186"/>
    <w:rsid w:val="00EF4233"/>
    <w:rsid w:val="00EF649A"/>
    <w:rsid w:val="00EF686E"/>
    <w:rsid w:val="00EF73A9"/>
    <w:rsid w:val="00EF755A"/>
    <w:rsid w:val="00F00711"/>
    <w:rsid w:val="00F009A5"/>
    <w:rsid w:val="00F00F21"/>
    <w:rsid w:val="00F0338E"/>
    <w:rsid w:val="00F034F6"/>
    <w:rsid w:val="00F04970"/>
    <w:rsid w:val="00F04C17"/>
    <w:rsid w:val="00F04C9B"/>
    <w:rsid w:val="00F052CA"/>
    <w:rsid w:val="00F05303"/>
    <w:rsid w:val="00F06B95"/>
    <w:rsid w:val="00F06CA9"/>
    <w:rsid w:val="00F07855"/>
    <w:rsid w:val="00F1237C"/>
    <w:rsid w:val="00F127DA"/>
    <w:rsid w:val="00F12F8D"/>
    <w:rsid w:val="00F14B4E"/>
    <w:rsid w:val="00F159F4"/>
    <w:rsid w:val="00F17144"/>
    <w:rsid w:val="00F17F0A"/>
    <w:rsid w:val="00F20805"/>
    <w:rsid w:val="00F20C33"/>
    <w:rsid w:val="00F21604"/>
    <w:rsid w:val="00F21709"/>
    <w:rsid w:val="00F21CE7"/>
    <w:rsid w:val="00F23A92"/>
    <w:rsid w:val="00F24276"/>
    <w:rsid w:val="00F245AE"/>
    <w:rsid w:val="00F24EC1"/>
    <w:rsid w:val="00F250D8"/>
    <w:rsid w:val="00F252F0"/>
    <w:rsid w:val="00F2551C"/>
    <w:rsid w:val="00F2555A"/>
    <w:rsid w:val="00F25B15"/>
    <w:rsid w:val="00F25C6E"/>
    <w:rsid w:val="00F25D48"/>
    <w:rsid w:val="00F25E48"/>
    <w:rsid w:val="00F2631E"/>
    <w:rsid w:val="00F271CE"/>
    <w:rsid w:val="00F3094D"/>
    <w:rsid w:val="00F32D09"/>
    <w:rsid w:val="00F32F46"/>
    <w:rsid w:val="00F346DF"/>
    <w:rsid w:val="00F34A75"/>
    <w:rsid w:val="00F355D3"/>
    <w:rsid w:val="00F35B17"/>
    <w:rsid w:val="00F37DCD"/>
    <w:rsid w:val="00F40CD6"/>
    <w:rsid w:val="00F41C7D"/>
    <w:rsid w:val="00F41EB5"/>
    <w:rsid w:val="00F4341D"/>
    <w:rsid w:val="00F455F3"/>
    <w:rsid w:val="00F47F92"/>
    <w:rsid w:val="00F501B4"/>
    <w:rsid w:val="00F52280"/>
    <w:rsid w:val="00F54296"/>
    <w:rsid w:val="00F5497B"/>
    <w:rsid w:val="00F54B78"/>
    <w:rsid w:val="00F54C1E"/>
    <w:rsid w:val="00F54C7F"/>
    <w:rsid w:val="00F562A3"/>
    <w:rsid w:val="00F57262"/>
    <w:rsid w:val="00F57321"/>
    <w:rsid w:val="00F57D45"/>
    <w:rsid w:val="00F60715"/>
    <w:rsid w:val="00F60BF2"/>
    <w:rsid w:val="00F615D2"/>
    <w:rsid w:val="00F6187F"/>
    <w:rsid w:val="00F61CA0"/>
    <w:rsid w:val="00F61ED8"/>
    <w:rsid w:val="00F62705"/>
    <w:rsid w:val="00F62B4B"/>
    <w:rsid w:val="00F632CE"/>
    <w:rsid w:val="00F658D0"/>
    <w:rsid w:val="00F65997"/>
    <w:rsid w:val="00F676A5"/>
    <w:rsid w:val="00F7000B"/>
    <w:rsid w:val="00F71E71"/>
    <w:rsid w:val="00F7360A"/>
    <w:rsid w:val="00F73AAE"/>
    <w:rsid w:val="00F742F7"/>
    <w:rsid w:val="00F744B8"/>
    <w:rsid w:val="00F74E4A"/>
    <w:rsid w:val="00F74E57"/>
    <w:rsid w:val="00F74E6A"/>
    <w:rsid w:val="00F75039"/>
    <w:rsid w:val="00F7644E"/>
    <w:rsid w:val="00F76536"/>
    <w:rsid w:val="00F76AB0"/>
    <w:rsid w:val="00F77B44"/>
    <w:rsid w:val="00F802F0"/>
    <w:rsid w:val="00F8159B"/>
    <w:rsid w:val="00F82650"/>
    <w:rsid w:val="00F834AE"/>
    <w:rsid w:val="00F834E5"/>
    <w:rsid w:val="00F839F3"/>
    <w:rsid w:val="00F842C6"/>
    <w:rsid w:val="00F872FC"/>
    <w:rsid w:val="00F87A0B"/>
    <w:rsid w:val="00F90BFF"/>
    <w:rsid w:val="00F90C07"/>
    <w:rsid w:val="00F91A76"/>
    <w:rsid w:val="00F91C95"/>
    <w:rsid w:val="00F92B3A"/>
    <w:rsid w:val="00F94474"/>
    <w:rsid w:val="00F94690"/>
    <w:rsid w:val="00F94D5A"/>
    <w:rsid w:val="00F952F0"/>
    <w:rsid w:val="00F95B00"/>
    <w:rsid w:val="00F95EC0"/>
    <w:rsid w:val="00F96153"/>
    <w:rsid w:val="00F9633C"/>
    <w:rsid w:val="00F9698D"/>
    <w:rsid w:val="00F97243"/>
    <w:rsid w:val="00FA02B7"/>
    <w:rsid w:val="00FA0A4D"/>
    <w:rsid w:val="00FA0E5B"/>
    <w:rsid w:val="00FA1421"/>
    <w:rsid w:val="00FA2156"/>
    <w:rsid w:val="00FA2217"/>
    <w:rsid w:val="00FA262E"/>
    <w:rsid w:val="00FA272E"/>
    <w:rsid w:val="00FA2B75"/>
    <w:rsid w:val="00FA3EF8"/>
    <w:rsid w:val="00FA464D"/>
    <w:rsid w:val="00FA559B"/>
    <w:rsid w:val="00FA561C"/>
    <w:rsid w:val="00FA5D36"/>
    <w:rsid w:val="00FA61CA"/>
    <w:rsid w:val="00FA6838"/>
    <w:rsid w:val="00FB0141"/>
    <w:rsid w:val="00FB1259"/>
    <w:rsid w:val="00FB1CE3"/>
    <w:rsid w:val="00FB317C"/>
    <w:rsid w:val="00FB336C"/>
    <w:rsid w:val="00FB3B78"/>
    <w:rsid w:val="00FB3BC4"/>
    <w:rsid w:val="00FB5464"/>
    <w:rsid w:val="00FB5ADB"/>
    <w:rsid w:val="00FC00EC"/>
    <w:rsid w:val="00FC0DAE"/>
    <w:rsid w:val="00FC1B8A"/>
    <w:rsid w:val="00FC2DB2"/>
    <w:rsid w:val="00FC4283"/>
    <w:rsid w:val="00FC467C"/>
    <w:rsid w:val="00FC4F1A"/>
    <w:rsid w:val="00FC5388"/>
    <w:rsid w:val="00FC5459"/>
    <w:rsid w:val="00FC55E8"/>
    <w:rsid w:val="00FC60C5"/>
    <w:rsid w:val="00FC657D"/>
    <w:rsid w:val="00FC65B0"/>
    <w:rsid w:val="00FC6A9E"/>
    <w:rsid w:val="00FC6DD5"/>
    <w:rsid w:val="00FC7903"/>
    <w:rsid w:val="00FD073E"/>
    <w:rsid w:val="00FD0793"/>
    <w:rsid w:val="00FD07BD"/>
    <w:rsid w:val="00FD30C9"/>
    <w:rsid w:val="00FD3240"/>
    <w:rsid w:val="00FD35F4"/>
    <w:rsid w:val="00FD7DEF"/>
    <w:rsid w:val="00FE0D18"/>
    <w:rsid w:val="00FE16AD"/>
    <w:rsid w:val="00FE246E"/>
    <w:rsid w:val="00FE2571"/>
    <w:rsid w:val="00FE270A"/>
    <w:rsid w:val="00FE27DE"/>
    <w:rsid w:val="00FE2ACB"/>
    <w:rsid w:val="00FE48E2"/>
    <w:rsid w:val="00FE66E2"/>
    <w:rsid w:val="00FE75F9"/>
    <w:rsid w:val="00FF019D"/>
    <w:rsid w:val="00FF1569"/>
    <w:rsid w:val="00FF242C"/>
    <w:rsid w:val="00FF2627"/>
    <w:rsid w:val="00FF34C3"/>
    <w:rsid w:val="00FF36B8"/>
    <w:rsid w:val="00FF57FC"/>
    <w:rsid w:val="00FF6677"/>
    <w:rsid w:val="00FF7A2B"/>
    <w:rsid w:val="010F1457"/>
    <w:rsid w:val="012836AB"/>
    <w:rsid w:val="01313B61"/>
    <w:rsid w:val="01467270"/>
    <w:rsid w:val="015A2254"/>
    <w:rsid w:val="016E5345"/>
    <w:rsid w:val="01936896"/>
    <w:rsid w:val="01A1515B"/>
    <w:rsid w:val="01A5051B"/>
    <w:rsid w:val="01BC694C"/>
    <w:rsid w:val="01BE41B4"/>
    <w:rsid w:val="01CF1393"/>
    <w:rsid w:val="01DE06EF"/>
    <w:rsid w:val="01E01E72"/>
    <w:rsid w:val="01E25409"/>
    <w:rsid w:val="01E67B95"/>
    <w:rsid w:val="02141E34"/>
    <w:rsid w:val="022E19A6"/>
    <w:rsid w:val="024332FC"/>
    <w:rsid w:val="02641762"/>
    <w:rsid w:val="02645FCD"/>
    <w:rsid w:val="02672492"/>
    <w:rsid w:val="02810BAA"/>
    <w:rsid w:val="0289274A"/>
    <w:rsid w:val="029479EF"/>
    <w:rsid w:val="02A05BF8"/>
    <w:rsid w:val="02AF65EE"/>
    <w:rsid w:val="02B31491"/>
    <w:rsid w:val="02BC7A87"/>
    <w:rsid w:val="02D210B5"/>
    <w:rsid w:val="02D63416"/>
    <w:rsid w:val="02EC6717"/>
    <w:rsid w:val="02F01FD6"/>
    <w:rsid w:val="02F17925"/>
    <w:rsid w:val="03084089"/>
    <w:rsid w:val="032441CD"/>
    <w:rsid w:val="032B6844"/>
    <w:rsid w:val="03477FD7"/>
    <w:rsid w:val="0349048D"/>
    <w:rsid w:val="03521790"/>
    <w:rsid w:val="035646E8"/>
    <w:rsid w:val="036F0A09"/>
    <w:rsid w:val="03880FBC"/>
    <w:rsid w:val="038B52E4"/>
    <w:rsid w:val="038E7529"/>
    <w:rsid w:val="039D3ACF"/>
    <w:rsid w:val="03A215C5"/>
    <w:rsid w:val="03A81539"/>
    <w:rsid w:val="03B52C9F"/>
    <w:rsid w:val="03DE5488"/>
    <w:rsid w:val="03E71BA1"/>
    <w:rsid w:val="04053849"/>
    <w:rsid w:val="04325583"/>
    <w:rsid w:val="043D4027"/>
    <w:rsid w:val="04402C33"/>
    <w:rsid w:val="046866E8"/>
    <w:rsid w:val="047273A7"/>
    <w:rsid w:val="04731F18"/>
    <w:rsid w:val="049E7D14"/>
    <w:rsid w:val="04A4660C"/>
    <w:rsid w:val="04B7399C"/>
    <w:rsid w:val="04D454AC"/>
    <w:rsid w:val="04DA6E5D"/>
    <w:rsid w:val="04E90B26"/>
    <w:rsid w:val="04F77C89"/>
    <w:rsid w:val="0505573F"/>
    <w:rsid w:val="052A12A6"/>
    <w:rsid w:val="05493801"/>
    <w:rsid w:val="055A7DAD"/>
    <w:rsid w:val="056224AE"/>
    <w:rsid w:val="056E00E6"/>
    <w:rsid w:val="05743E7D"/>
    <w:rsid w:val="05756DDB"/>
    <w:rsid w:val="058406E3"/>
    <w:rsid w:val="05972BB1"/>
    <w:rsid w:val="059B3217"/>
    <w:rsid w:val="059D6138"/>
    <w:rsid w:val="05A76A6B"/>
    <w:rsid w:val="05AE452E"/>
    <w:rsid w:val="05AF0003"/>
    <w:rsid w:val="05C4665B"/>
    <w:rsid w:val="05D074D8"/>
    <w:rsid w:val="05DA5BB6"/>
    <w:rsid w:val="06011C8F"/>
    <w:rsid w:val="0601209F"/>
    <w:rsid w:val="060E3AC1"/>
    <w:rsid w:val="063F04B4"/>
    <w:rsid w:val="06493E30"/>
    <w:rsid w:val="065770DE"/>
    <w:rsid w:val="0668582F"/>
    <w:rsid w:val="066F2FDB"/>
    <w:rsid w:val="069B1EDA"/>
    <w:rsid w:val="06A01F59"/>
    <w:rsid w:val="06A86537"/>
    <w:rsid w:val="06B11CB1"/>
    <w:rsid w:val="06C36EBD"/>
    <w:rsid w:val="06C46847"/>
    <w:rsid w:val="06C91A39"/>
    <w:rsid w:val="06EC712E"/>
    <w:rsid w:val="06F25C5E"/>
    <w:rsid w:val="06FA07E4"/>
    <w:rsid w:val="072A5E0B"/>
    <w:rsid w:val="07427B69"/>
    <w:rsid w:val="07485449"/>
    <w:rsid w:val="074919E0"/>
    <w:rsid w:val="074C3A1B"/>
    <w:rsid w:val="0758193C"/>
    <w:rsid w:val="076062D1"/>
    <w:rsid w:val="076D37B1"/>
    <w:rsid w:val="0770185E"/>
    <w:rsid w:val="07711FB9"/>
    <w:rsid w:val="0790434A"/>
    <w:rsid w:val="07911444"/>
    <w:rsid w:val="07987BB6"/>
    <w:rsid w:val="07BD6315"/>
    <w:rsid w:val="07C66394"/>
    <w:rsid w:val="07CC02E2"/>
    <w:rsid w:val="07F03130"/>
    <w:rsid w:val="07F97F0A"/>
    <w:rsid w:val="07FF49CB"/>
    <w:rsid w:val="08010E93"/>
    <w:rsid w:val="080D02E6"/>
    <w:rsid w:val="08413F01"/>
    <w:rsid w:val="08581177"/>
    <w:rsid w:val="086157C9"/>
    <w:rsid w:val="08641B39"/>
    <w:rsid w:val="087E632A"/>
    <w:rsid w:val="088D4034"/>
    <w:rsid w:val="08B17016"/>
    <w:rsid w:val="08B75413"/>
    <w:rsid w:val="08D60380"/>
    <w:rsid w:val="08F76E29"/>
    <w:rsid w:val="09076DD4"/>
    <w:rsid w:val="090A1282"/>
    <w:rsid w:val="092F1D8A"/>
    <w:rsid w:val="093127E7"/>
    <w:rsid w:val="093530B4"/>
    <w:rsid w:val="093F74A5"/>
    <w:rsid w:val="094B4D7F"/>
    <w:rsid w:val="09571134"/>
    <w:rsid w:val="096A3384"/>
    <w:rsid w:val="09716D1D"/>
    <w:rsid w:val="09835F50"/>
    <w:rsid w:val="09860D84"/>
    <w:rsid w:val="098849A1"/>
    <w:rsid w:val="0994031E"/>
    <w:rsid w:val="099B44B1"/>
    <w:rsid w:val="09AB118C"/>
    <w:rsid w:val="09B4249C"/>
    <w:rsid w:val="09B81DF8"/>
    <w:rsid w:val="09D1358C"/>
    <w:rsid w:val="09D82983"/>
    <w:rsid w:val="09F1515E"/>
    <w:rsid w:val="0A0568B8"/>
    <w:rsid w:val="0A0A1A02"/>
    <w:rsid w:val="0A122DE9"/>
    <w:rsid w:val="0A134D8C"/>
    <w:rsid w:val="0A203C7F"/>
    <w:rsid w:val="0A2C2AA0"/>
    <w:rsid w:val="0A313491"/>
    <w:rsid w:val="0A3678CB"/>
    <w:rsid w:val="0A64493F"/>
    <w:rsid w:val="0A771B42"/>
    <w:rsid w:val="0A784B8F"/>
    <w:rsid w:val="0A8B2365"/>
    <w:rsid w:val="0AB14B3A"/>
    <w:rsid w:val="0ABA3A4D"/>
    <w:rsid w:val="0AD30F8B"/>
    <w:rsid w:val="0AE77A89"/>
    <w:rsid w:val="0AEC712A"/>
    <w:rsid w:val="0AF614D2"/>
    <w:rsid w:val="0B246E3A"/>
    <w:rsid w:val="0B3D46A1"/>
    <w:rsid w:val="0B6D16D3"/>
    <w:rsid w:val="0B6E3627"/>
    <w:rsid w:val="0B720E98"/>
    <w:rsid w:val="0B862E0B"/>
    <w:rsid w:val="0B8B46B2"/>
    <w:rsid w:val="0B8D5A02"/>
    <w:rsid w:val="0B9A470E"/>
    <w:rsid w:val="0BAA5135"/>
    <w:rsid w:val="0BAF504F"/>
    <w:rsid w:val="0BC35889"/>
    <w:rsid w:val="0BC4527F"/>
    <w:rsid w:val="0BE8220E"/>
    <w:rsid w:val="0C1F7A17"/>
    <w:rsid w:val="0C2174CA"/>
    <w:rsid w:val="0C385CDB"/>
    <w:rsid w:val="0C526721"/>
    <w:rsid w:val="0C5C3CF4"/>
    <w:rsid w:val="0C643E15"/>
    <w:rsid w:val="0C797A47"/>
    <w:rsid w:val="0C7C1E00"/>
    <w:rsid w:val="0C9F20C6"/>
    <w:rsid w:val="0CB81220"/>
    <w:rsid w:val="0CCF22C5"/>
    <w:rsid w:val="0CE40418"/>
    <w:rsid w:val="0CF86F62"/>
    <w:rsid w:val="0D0F183E"/>
    <w:rsid w:val="0D1156C0"/>
    <w:rsid w:val="0D12359B"/>
    <w:rsid w:val="0D231D6B"/>
    <w:rsid w:val="0D45798F"/>
    <w:rsid w:val="0D4B74CA"/>
    <w:rsid w:val="0D4F3A4A"/>
    <w:rsid w:val="0D635C60"/>
    <w:rsid w:val="0D7144B5"/>
    <w:rsid w:val="0DD80C88"/>
    <w:rsid w:val="0DDA7E4C"/>
    <w:rsid w:val="0DE336F6"/>
    <w:rsid w:val="0DF16786"/>
    <w:rsid w:val="0DFE2ACA"/>
    <w:rsid w:val="0E1705E2"/>
    <w:rsid w:val="0E1B3CE7"/>
    <w:rsid w:val="0E2415A7"/>
    <w:rsid w:val="0E2D25E1"/>
    <w:rsid w:val="0E4B4619"/>
    <w:rsid w:val="0E4E7A83"/>
    <w:rsid w:val="0E712BB1"/>
    <w:rsid w:val="0EC17C44"/>
    <w:rsid w:val="0ED81D2A"/>
    <w:rsid w:val="0EF06CED"/>
    <w:rsid w:val="0F1E2C34"/>
    <w:rsid w:val="0F3251D7"/>
    <w:rsid w:val="0F4966D4"/>
    <w:rsid w:val="0F657AA4"/>
    <w:rsid w:val="0F684963"/>
    <w:rsid w:val="0F735E00"/>
    <w:rsid w:val="0F8F5323"/>
    <w:rsid w:val="0FA10B50"/>
    <w:rsid w:val="0FB17097"/>
    <w:rsid w:val="0FBF4992"/>
    <w:rsid w:val="0FC5254C"/>
    <w:rsid w:val="0FC71A8E"/>
    <w:rsid w:val="0FCB1D2B"/>
    <w:rsid w:val="0FCD0E93"/>
    <w:rsid w:val="0FCE5575"/>
    <w:rsid w:val="0FEB39D9"/>
    <w:rsid w:val="0FF94935"/>
    <w:rsid w:val="101D1605"/>
    <w:rsid w:val="10247196"/>
    <w:rsid w:val="10302817"/>
    <w:rsid w:val="10321D0D"/>
    <w:rsid w:val="10420DF2"/>
    <w:rsid w:val="10516C6D"/>
    <w:rsid w:val="106C75C2"/>
    <w:rsid w:val="10865CE4"/>
    <w:rsid w:val="10983E16"/>
    <w:rsid w:val="10AD5147"/>
    <w:rsid w:val="10CF0248"/>
    <w:rsid w:val="10EE7C14"/>
    <w:rsid w:val="114E6938"/>
    <w:rsid w:val="11604ED1"/>
    <w:rsid w:val="11637D0E"/>
    <w:rsid w:val="11646494"/>
    <w:rsid w:val="117402B1"/>
    <w:rsid w:val="117F6ACF"/>
    <w:rsid w:val="11807396"/>
    <w:rsid w:val="118F6B82"/>
    <w:rsid w:val="11960235"/>
    <w:rsid w:val="11985138"/>
    <w:rsid w:val="11BB452B"/>
    <w:rsid w:val="11D377F0"/>
    <w:rsid w:val="11E8114C"/>
    <w:rsid w:val="11E835B0"/>
    <w:rsid w:val="11F009E3"/>
    <w:rsid w:val="11F209C0"/>
    <w:rsid w:val="11FB2072"/>
    <w:rsid w:val="122347E7"/>
    <w:rsid w:val="12247572"/>
    <w:rsid w:val="122F07C6"/>
    <w:rsid w:val="123221E3"/>
    <w:rsid w:val="124216FA"/>
    <w:rsid w:val="124C701F"/>
    <w:rsid w:val="124E0FE8"/>
    <w:rsid w:val="124F30D4"/>
    <w:rsid w:val="12557964"/>
    <w:rsid w:val="12644CDC"/>
    <w:rsid w:val="12712DD6"/>
    <w:rsid w:val="129F39F4"/>
    <w:rsid w:val="12A92EA8"/>
    <w:rsid w:val="12B121A2"/>
    <w:rsid w:val="12BE6787"/>
    <w:rsid w:val="12C13BBD"/>
    <w:rsid w:val="12C27010"/>
    <w:rsid w:val="12CB6FA3"/>
    <w:rsid w:val="12F9530B"/>
    <w:rsid w:val="13033FDB"/>
    <w:rsid w:val="130E74F4"/>
    <w:rsid w:val="13405962"/>
    <w:rsid w:val="1363260B"/>
    <w:rsid w:val="136E1C5E"/>
    <w:rsid w:val="13736AE7"/>
    <w:rsid w:val="13765309"/>
    <w:rsid w:val="13AE3138"/>
    <w:rsid w:val="13D55A90"/>
    <w:rsid w:val="13D94299"/>
    <w:rsid w:val="13EF21DA"/>
    <w:rsid w:val="13F548A2"/>
    <w:rsid w:val="140A176B"/>
    <w:rsid w:val="140D4561"/>
    <w:rsid w:val="141E5215"/>
    <w:rsid w:val="142735E0"/>
    <w:rsid w:val="143F6A31"/>
    <w:rsid w:val="144A1B83"/>
    <w:rsid w:val="145F1156"/>
    <w:rsid w:val="148643DB"/>
    <w:rsid w:val="14956E55"/>
    <w:rsid w:val="14BA61D0"/>
    <w:rsid w:val="14BB4554"/>
    <w:rsid w:val="14BE77B5"/>
    <w:rsid w:val="14E91105"/>
    <w:rsid w:val="14EC010C"/>
    <w:rsid w:val="14EE1265"/>
    <w:rsid w:val="14EE40CB"/>
    <w:rsid w:val="14EF43A6"/>
    <w:rsid w:val="14F36F96"/>
    <w:rsid w:val="14FB043E"/>
    <w:rsid w:val="15236152"/>
    <w:rsid w:val="15260831"/>
    <w:rsid w:val="15336765"/>
    <w:rsid w:val="15366D60"/>
    <w:rsid w:val="15386876"/>
    <w:rsid w:val="153F7072"/>
    <w:rsid w:val="155470A1"/>
    <w:rsid w:val="155C2501"/>
    <w:rsid w:val="157C35E9"/>
    <w:rsid w:val="15861E4C"/>
    <w:rsid w:val="1589314D"/>
    <w:rsid w:val="159A54F3"/>
    <w:rsid w:val="15DC577B"/>
    <w:rsid w:val="15F278A5"/>
    <w:rsid w:val="162963ED"/>
    <w:rsid w:val="162C303A"/>
    <w:rsid w:val="164E62CB"/>
    <w:rsid w:val="1662152F"/>
    <w:rsid w:val="16735A30"/>
    <w:rsid w:val="16950B84"/>
    <w:rsid w:val="169D08EE"/>
    <w:rsid w:val="16AE5FD3"/>
    <w:rsid w:val="16B674EF"/>
    <w:rsid w:val="16BB453F"/>
    <w:rsid w:val="16E65218"/>
    <w:rsid w:val="16FB7F28"/>
    <w:rsid w:val="16FD3E78"/>
    <w:rsid w:val="170B4925"/>
    <w:rsid w:val="170C6559"/>
    <w:rsid w:val="171830E0"/>
    <w:rsid w:val="17304F9C"/>
    <w:rsid w:val="17347B2F"/>
    <w:rsid w:val="1736351B"/>
    <w:rsid w:val="174029F3"/>
    <w:rsid w:val="174A6688"/>
    <w:rsid w:val="177A1862"/>
    <w:rsid w:val="1785299A"/>
    <w:rsid w:val="178727D3"/>
    <w:rsid w:val="17952E1F"/>
    <w:rsid w:val="17B37B2B"/>
    <w:rsid w:val="17BE3205"/>
    <w:rsid w:val="17E34612"/>
    <w:rsid w:val="17E6780D"/>
    <w:rsid w:val="17F1286F"/>
    <w:rsid w:val="17FD68B7"/>
    <w:rsid w:val="181548AB"/>
    <w:rsid w:val="18166861"/>
    <w:rsid w:val="181737A8"/>
    <w:rsid w:val="181B0B6B"/>
    <w:rsid w:val="183B1636"/>
    <w:rsid w:val="18413B99"/>
    <w:rsid w:val="18555E72"/>
    <w:rsid w:val="18950FEF"/>
    <w:rsid w:val="189700ED"/>
    <w:rsid w:val="189803AA"/>
    <w:rsid w:val="18A71F2D"/>
    <w:rsid w:val="18A752D9"/>
    <w:rsid w:val="18B8540F"/>
    <w:rsid w:val="18C32E5E"/>
    <w:rsid w:val="18E2316A"/>
    <w:rsid w:val="18F72DB0"/>
    <w:rsid w:val="190120E7"/>
    <w:rsid w:val="19052716"/>
    <w:rsid w:val="191064DA"/>
    <w:rsid w:val="19323839"/>
    <w:rsid w:val="19504F97"/>
    <w:rsid w:val="196373C1"/>
    <w:rsid w:val="198A32BC"/>
    <w:rsid w:val="19916CB6"/>
    <w:rsid w:val="199A1B89"/>
    <w:rsid w:val="19B259F9"/>
    <w:rsid w:val="19B97D58"/>
    <w:rsid w:val="19BA5B92"/>
    <w:rsid w:val="19D13599"/>
    <w:rsid w:val="19ED2094"/>
    <w:rsid w:val="19FB5C3F"/>
    <w:rsid w:val="1A01637E"/>
    <w:rsid w:val="1A02235B"/>
    <w:rsid w:val="1A141D7E"/>
    <w:rsid w:val="1A15364C"/>
    <w:rsid w:val="1A207237"/>
    <w:rsid w:val="1A462EA7"/>
    <w:rsid w:val="1A7F20BE"/>
    <w:rsid w:val="1A8A26F3"/>
    <w:rsid w:val="1AA03C83"/>
    <w:rsid w:val="1AB858B3"/>
    <w:rsid w:val="1AB87DA0"/>
    <w:rsid w:val="1AD9358B"/>
    <w:rsid w:val="1AE10336"/>
    <w:rsid w:val="1AE57BC0"/>
    <w:rsid w:val="1AE709FD"/>
    <w:rsid w:val="1AF5783F"/>
    <w:rsid w:val="1B045F43"/>
    <w:rsid w:val="1B087C80"/>
    <w:rsid w:val="1B16625F"/>
    <w:rsid w:val="1B180363"/>
    <w:rsid w:val="1B260A4F"/>
    <w:rsid w:val="1B3C73DD"/>
    <w:rsid w:val="1B3D2AC3"/>
    <w:rsid w:val="1B5121F2"/>
    <w:rsid w:val="1B552F03"/>
    <w:rsid w:val="1B6768E5"/>
    <w:rsid w:val="1B746C0E"/>
    <w:rsid w:val="1B7F1749"/>
    <w:rsid w:val="1B865F0D"/>
    <w:rsid w:val="1B8D054D"/>
    <w:rsid w:val="1B900A47"/>
    <w:rsid w:val="1BA0157A"/>
    <w:rsid w:val="1BC44873"/>
    <w:rsid w:val="1BD3486C"/>
    <w:rsid w:val="1BD70C7A"/>
    <w:rsid w:val="1BDC201A"/>
    <w:rsid w:val="1BE200EA"/>
    <w:rsid w:val="1BE6112E"/>
    <w:rsid w:val="1C0350F3"/>
    <w:rsid w:val="1C2761E9"/>
    <w:rsid w:val="1C3D5EF1"/>
    <w:rsid w:val="1C40165E"/>
    <w:rsid w:val="1C507A73"/>
    <w:rsid w:val="1C5C0E07"/>
    <w:rsid w:val="1C802DCA"/>
    <w:rsid w:val="1C845DB7"/>
    <w:rsid w:val="1CB76584"/>
    <w:rsid w:val="1CB76FE3"/>
    <w:rsid w:val="1CBA333B"/>
    <w:rsid w:val="1CC12F73"/>
    <w:rsid w:val="1CE41C38"/>
    <w:rsid w:val="1CE62F81"/>
    <w:rsid w:val="1CF15A2E"/>
    <w:rsid w:val="1D036957"/>
    <w:rsid w:val="1D086962"/>
    <w:rsid w:val="1D171D9D"/>
    <w:rsid w:val="1D34623A"/>
    <w:rsid w:val="1D4F036D"/>
    <w:rsid w:val="1D5D25F7"/>
    <w:rsid w:val="1D7C10B8"/>
    <w:rsid w:val="1D875C5D"/>
    <w:rsid w:val="1D9B167E"/>
    <w:rsid w:val="1DA056E4"/>
    <w:rsid w:val="1DDD79FE"/>
    <w:rsid w:val="1DE60A78"/>
    <w:rsid w:val="1DEF78F1"/>
    <w:rsid w:val="1E0219FF"/>
    <w:rsid w:val="1E053B72"/>
    <w:rsid w:val="1E156DA1"/>
    <w:rsid w:val="1E18431B"/>
    <w:rsid w:val="1E342EB0"/>
    <w:rsid w:val="1E470609"/>
    <w:rsid w:val="1E6341ED"/>
    <w:rsid w:val="1E674B72"/>
    <w:rsid w:val="1E6830D1"/>
    <w:rsid w:val="1E70677F"/>
    <w:rsid w:val="1E78777E"/>
    <w:rsid w:val="1E9611F9"/>
    <w:rsid w:val="1EA24EB9"/>
    <w:rsid w:val="1EB342A2"/>
    <w:rsid w:val="1ED75BF2"/>
    <w:rsid w:val="1EF71079"/>
    <w:rsid w:val="1EFC4A67"/>
    <w:rsid w:val="1F033F33"/>
    <w:rsid w:val="1F186525"/>
    <w:rsid w:val="1F1A3F97"/>
    <w:rsid w:val="1F3222D3"/>
    <w:rsid w:val="1F377773"/>
    <w:rsid w:val="1F4C1BCF"/>
    <w:rsid w:val="1F4D4ED3"/>
    <w:rsid w:val="1F7F1573"/>
    <w:rsid w:val="1F8C4EA3"/>
    <w:rsid w:val="1F900E29"/>
    <w:rsid w:val="1FA85D93"/>
    <w:rsid w:val="1FBC09E1"/>
    <w:rsid w:val="1FC33BE4"/>
    <w:rsid w:val="1FD84971"/>
    <w:rsid w:val="202B1DDC"/>
    <w:rsid w:val="202D1DEC"/>
    <w:rsid w:val="203505F3"/>
    <w:rsid w:val="203567AB"/>
    <w:rsid w:val="203675AA"/>
    <w:rsid w:val="203E27EF"/>
    <w:rsid w:val="20496AA1"/>
    <w:rsid w:val="204B5250"/>
    <w:rsid w:val="204E462E"/>
    <w:rsid w:val="20546077"/>
    <w:rsid w:val="206921B9"/>
    <w:rsid w:val="20970256"/>
    <w:rsid w:val="20AA353D"/>
    <w:rsid w:val="20B3596D"/>
    <w:rsid w:val="20B64CFF"/>
    <w:rsid w:val="20B77F9F"/>
    <w:rsid w:val="21033200"/>
    <w:rsid w:val="211B6C9E"/>
    <w:rsid w:val="213D2D2C"/>
    <w:rsid w:val="21507A24"/>
    <w:rsid w:val="216D6944"/>
    <w:rsid w:val="219213A8"/>
    <w:rsid w:val="21A95773"/>
    <w:rsid w:val="21AC0DE5"/>
    <w:rsid w:val="21B87ABA"/>
    <w:rsid w:val="21EB2C99"/>
    <w:rsid w:val="21F8721A"/>
    <w:rsid w:val="220315D9"/>
    <w:rsid w:val="222C6789"/>
    <w:rsid w:val="223D1C96"/>
    <w:rsid w:val="224274DB"/>
    <w:rsid w:val="224D5E56"/>
    <w:rsid w:val="2256442B"/>
    <w:rsid w:val="22616671"/>
    <w:rsid w:val="226944BD"/>
    <w:rsid w:val="228F2486"/>
    <w:rsid w:val="22924ADF"/>
    <w:rsid w:val="229975EA"/>
    <w:rsid w:val="22A2301D"/>
    <w:rsid w:val="22B227B1"/>
    <w:rsid w:val="22E17B76"/>
    <w:rsid w:val="22E22013"/>
    <w:rsid w:val="23060E83"/>
    <w:rsid w:val="233711B9"/>
    <w:rsid w:val="2339017E"/>
    <w:rsid w:val="233968C3"/>
    <w:rsid w:val="23420873"/>
    <w:rsid w:val="234E237A"/>
    <w:rsid w:val="23515A40"/>
    <w:rsid w:val="235B0367"/>
    <w:rsid w:val="236B0627"/>
    <w:rsid w:val="236B5133"/>
    <w:rsid w:val="23711DE0"/>
    <w:rsid w:val="23814BAB"/>
    <w:rsid w:val="23A16EF0"/>
    <w:rsid w:val="23A462FF"/>
    <w:rsid w:val="23A6663E"/>
    <w:rsid w:val="23AA303C"/>
    <w:rsid w:val="24013431"/>
    <w:rsid w:val="242475BD"/>
    <w:rsid w:val="24420670"/>
    <w:rsid w:val="244439FC"/>
    <w:rsid w:val="244472A9"/>
    <w:rsid w:val="245660D2"/>
    <w:rsid w:val="24610820"/>
    <w:rsid w:val="24715820"/>
    <w:rsid w:val="247950E5"/>
    <w:rsid w:val="247E1EA1"/>
    <w:rsid w:val="24837C87"/>
    <w:rsid w:val="249D7573"/>
    <w:rsid w:val="24AF07F7"/>
    <w:rsid w:val="24DA54EA"/>
    <w:rsid w:val="24ED2E6B"/>
    <w:rsid w:val="24F67473"/>
    <w:rsid w:val="25000996"/>
    <w:rsid w:val="252D2B03"/>
    <w:rsid w:val="252F6899"/>
    <w:rsid w:val="254A0B89"/>
    <w:rsid w:val="256709E9"/>
    <w:rsid w:val="2567551F"/>
    <w:rsid w:val="256A3574"/>
    <w:rsid w:val="257930FB"/>
    <w:rsid w:val="25951CC7"/>
    <w:rsid w:val="25B36DA5"/>
    <w:rsid w:val="25D71715"/>
    <w:rsid w:val="25F3597F"/>
    <w:rsid w:val="26015603"/>
    <w:rsid w:val="2618419A"/>
    <w:rsid w:val="26471449"/>
    <w:rsid w:val="26501D9C"/>
    <w:rsid w:val="266661B1"/>
    <w:rsid w:val="266B01B8"/>
    <w:rsid w:val="268E6C47"/>
    <w:rsid w:val="26907325"/>
    <w:rsid w:val="26937A1E"/>
    <w:rsid w:val="26A4028B"/>
    <w:rsid w:val="26A45DC6"/>
    <w:rsid w:val="26D568A8"/>
    <w:rsid w:val="26DF312E"/>
    <w:rsid w:val="26FF4019"/>
    <w:rsid w:val="270242CE"/>
    <w:rsid w:val="270322B5"/>
    <w:rsid w:val="270E4E76"/>
    <w:rsid w:val="271A4528"/>
    <w:rsid w:val="274102F8"/>
    <w:rsid w:val="274B5C93"/>
    <w:rsid w:val="27510394"/>
    <w:rsid w:val="276302B5"/>
    <w:rsid w:val="27B532B4"/>
    <w:rsid w:val="27EE17FA"/>
    <w:rsid w:val="283B57DB"/>
    <w:rsid w:val="2852620E"/>
    <w:rsid w:val="2862716C"/>
    <w:rsid w:val="28676D2A"/>
    <w:rsid w:val="287E5F7A"/>
    <w:rsid w:val="288B7B7B"/>
    <w:rsid w:val="289266E8"/>
    <w:rsid w:val="28A62A29"/>
    <w:rsid w:val="28A773F8"/>
    <w:rsid w:val="28A8197C"/>
    <w:rsid w:val="28AE0D69"/>
    <w:rsid w:val="28CF53FB"/>
    <w:rsid w:val="28D70D73"/>
    <w:rsid w:val="28E63FAD"/>
    <w:rsid w:val="28E72C12"/>
    <w:rsid w:val="28E832F5"/>
    <w:rsid w:val="29093F2A"/>
    <w:rsid w:val="29142B05"/>
    <w:rsid w:val="292278EC"/>
    <w:rsid w:val="29270B7B"/>
    <w:rsid w:val="29404F42"/>
    <w:rsid w:val="29416EE0"/>
    <w:rsid w:val="294431F0"/>
    <w:rsid w:val="296A73EC"/>
    <w:rsid w:val="296C128F"/>
    <w:rsid w:val="2972419C"/>
    <w:rsid w:val="298564F9"/>
    <w:rsid w:val="298B3301"/>
    <w:rsid w:val="29B322A3"/>
    <w:rsid w:val="29C26E32"/>
    <w:rsid w:val="29D40BAB"/>
    <w:rsid w:val="29E40680"/>
    <w:rsid w:val="29F5442D"/>
    <w:rsid w:val="29FB7609"/>
    <w:rsid w:val="2A022FA4"/>
    <w:rsid w:val="2A0A5577"/>
    <w:rsid w:val="2A0E6E81"/>
    <w:rsid w:val="2A2711D5"/>
    <w:rsid w:val="2A290F42"/>
    <w:rsid w:val="2A407E45"/>
    <w:rsid w:val="2A6E0CE3"/>
    <w:rsid w:val="2A785ACA"/>
    <w:rsid w:val="2A87175D"/>
    <w:rsid w:val="2A9406BB"/>
    <w:rsid w:val="2AA64E95"/>
    <w:rsid w:val="2AC51155"/>
    <w:rsid w:val="2ADF3319"/>
    <w:rsid w:val="2AEF7B62"/>
    <w:rsid w:val="2AF672CF"/>
    <w:rsid w:val="2B071154"/>
    <w:rsid w:val="2B072593"/>
    <w:rsid w:val="2B076855"/>
    <w:rsid w:val="2B174737"/>
    <w:rsid w:val="2B421EAD"/>
    <w:rsid w:val="2B533C47"/>
    <w:rsid w:val="2B66534F"/>
    <w:rsid w:val="2B837037"/>
    <w:rsid w:val="2BB80308"/>
    <w:rsid w:val="2BC3634F"/>
    <w:rsid w:val="2BD145B3"/>
    <w:rsid w:val="2BDA157A"/>
    <w:rsid w:val="2BE02F8A"/>
    <w:rsid w:val="2BFB2468"/>
    <w:rsid w:val="2BFF4F94"/>
    <w:rsid w:val="2C0458B5"/>
    <w:rsid w:val="2C143318"/>
    <w:rsid w:val="2C15018D"/>
    <w:rsid w:val="2C223FF3"/>
    <w:rsid w:val="2C2830CC"/>
    <w:rsid w:val="2C2C7325"/>
    <w:rsid w:val="2C3052D2"/>
    <w:rsid w:val="2C56440E"/>
    <w:rsid w:val="2C8207CE"/>
    <w:rsid w:val="2C871104"/>
    <w:rsid w:val="2C9C4788"/>
    <w:rsid w:val="2CAC07C0"/>
    <w:rsid w:val="2CFC0845"/>
    <w:rsid w:val="2CFD2AE3"/>
    <w:rsid w:val="2D031F57"/>
    <w:rsid w:val="2D0F5EEB"/>
    <w:rsid w:val="2D1D4D20"/>
    <w:rsid w:val="2D1F13E2"/>
    <w:rsid w:val="2D215E7C"/>
    <w:rsid w:val="2D220053"/>
    <w:rsid w:val="2D2B234B"/>
    <w:rsid w:val="2D734E99"/>
    <w:rsid w:val="2D794E7F"/>
    <w:rsid w:val="2D7F135A"/>
    <w:rsid w:val="2D854DFA"/>
    <w:rsid w:val="2D864F32"/>
    <w:rsid w:val="2D9B57C3"/>
    <w:rsid w:val="2DA16859"/>
    <w:rsid w:val="2DAE5E05"/>
    <w:rsid w:val="2DB54F89"/>
    <w:rsid w:val="2DD50979"/>
    <w:rsid w:val="2DD755F8"/>
    <w:rsid w:val="2DE05DB7"/>
    <w:rsid w:val="2DE24075"/>
    <w:rsid w:val="2DEA3988"/>
    <w:rsid w:val="2DFD075B"/>
    <w:rsid w:val="2DFE6DCE"/>
    <w:rsid w:val="2E112BC3"/>
    <w:rsid w:val="2E135AF6"/>
    <w:rsid w:val="2E1450AE"/>
    <w:rsid w:val="2E2C0453"/>
    <w:rsid w:val="2E2C082E"/>
    <w:rsid w:val="2E395903"/>
    <w:rsid w:val="2E3D61CB"/>
    <w:rsid w:val="2E6F7294"/>
    <w:rsid w:val="2E7018B3"/>
    <w:rsid w:val="2E7B32A0"/>
    <w:rsid w:val="2E9976CD"/>
    <w:rsid w:val="2E9C4881"/>
    <w:rsid w:val="2EA426A2"/>
    <w:rsid w:val="2EA96DDB"/>
    <w:rsid w:val="2EEF1A9A"/>
    <w:rsid w:val="2EFF6258"/>
    <w:rsid w:val="2F033656"/>
    <w:rsid w:val="2F2D7F6F"/>
    <w:rsid w:val="2F3B056A"/>
    <w:rsid w:val="2F5E39C7"/>
    <w:rsid w:val="2F656241"/>
    <w:rsid w:val="2F730FC1"/>
    <w:rsid w:val="2F806BEE"/>
    <w:rsid w:val="2F833313"/>
    <w:rsid w:val="2F84485B"/>
    <w:rsid w:val="2F8D0C6C"/>
    <w:rsid w:val="2F987882"/>
    <w:rsid w:val="2F9B2FC0"/>
    <w:rsid w:val="2F9C2C9B"/>
    <w:rsid w:val="2FA40DB9"/>
    <w:rsid w:val="2FAC1798"/>
    <w:rsid w:val="2FBC3359"/>
    <w:rsid w:val="2FD4253A"/>
    <w:rsid w:val="2FD92D63"/>
    <w:rsid w:val="2FE757AD"/>
    <w:rsid w:val="300A30F9"/>
    <w:rsid w:val="301048EC"/>
    <w:rsid w:val="30200D2D"/>
    <w:rsid w:val="304822FC"/>
    <w:rsid w:val="30567C88"/>
    <w:rsid w:val="30585760"/>
    <w:rsid w:val="30647F48"/>
    <w:rsid w:val="30657AE3"/>
    <w:rsid w:val="307B4848"/>
    <w:rsid w:val="308D6491"/>
    <w:rsid w:val="30924889"/>
    <w:rsid w:val="30A93A3E"/>
    <w:rsid w:val="30B46C17"/>
    <w:rsid w:val="30B935A0"/>
    <w:rsid w:val="30C04342"/>
    <w:rsid w:val="30CA23A8"/>
    <w:rsid w:val="30D3118B"/>
    <w:rsid w:val="30D60F59"/>
    <w:rsid w:val="3102026B"/>
    <w:rsid w:val="310D1D0A"/>
    <w:rsid w:val="311F27C4"/>
    <w:rsid w:val="31203C10"/>
    <w:rsid w:val="313F55FF"/>
    <w:rsid w:val="31415A6B"/>
    <w:rsid w:val="31614900"/>
    <w:rsid w:val="31653BA4"/>
    <w:rsid w:val="31767C2B"/>
    <w:rsid w:val="317D0F1C"/>
    <w:rsid w:val="3193367D"/>
    <w:rsid w:val="319611C3"/>
    <w:rsid w:val="31B579E5"/>
    <w:rsid w:val="31BF0288"/>
    <w:rsid w:val="31D15EAE"/>
    <w:rsid w:val="31D5081C"/>
    <w:rsid w:val="31D73AA7"/>
    <w:rsid w:val="31DF5E3D"/>
    <w:rsid w:val="31E108C9"/>
    <w:rsid w:val="31E400E7"/>
    <w:rsid w:val="31E50AA9"/>
    <w:rsid w:val="31EF31FB"/>
    <w:rsid w:val="32072E57"/>
    <w:rsid w:val="322E5C62"/>
    <w:rsid w:val="322F4594"/>
    <w:rsid w:val="32307ABE"/>
    <w:rsid w:val="32413A62"/>
    <w:rsid w:val="32452715"/>
    <w:rsid w:val="3253185A"/>
    <w:rsid w:val="32674F8B"/>
    <w:rsid w:val="326E3302"/>
    <w:rsid w:val="3273182D"/>
    <w:rsid w:val="328F2013"/>
    <w:rsid w:val="329865EF"/>
    <w:rsid w:val="32C3769A"/>
    <w:rsid w:val="32DF7E8D"/>
    <w:rsid w:val="32E00AFB"/>
    <w:rsid w:val="32E829BE"/>
    <w:rsid w:val="332005EB"/>
    <w:rsid w:val="332B2843"/>
    <w:rsid w:val="332E5076"/>
    <w:rsid w:val="333872C2"/>
    <w:rsid w:val="3343768E"/>
    <w:rsid w:val="33582E91"/>
    <w:rsid w:val="335A3CBB"/>
    <w:rsid w:val="3363590D"/>
    <w:rsid w:val="33664C07"/>
    <w:rsid w:val="336749AC"/>
    <w:rsid w:val="336A6DFA"/>
    <w:rsid w:val="33751273"/>
    <w:rsid w:val="33783DF6"/>
    <w:rsid w:val="337B3959"/>
    <w:rsid w:val="337D28AA"/>
    <w:rsid w:val="33860224"/>
    <w:rsid w:val="338B1FDE"/>
    <w:rsid w:val="33962600"/>
    <w:rsid w:val="33987442"/>
    <w:rsid w:val="339A3413"/>
    <w:rsid w:val="33A06F34"/>
    <w:rsid w:val="33C37925"/>
    <w:rsid w:val="33DD477A"/>
    <w:rsid w:val="33E11DFA"/>
    <w:rsid w:val="341370BD"/>
    <w:rsid w:val="341C2519"/>
    <w:rsid w:val="341C2C0D"/>
    <w:rsid w:val="342F0D9B"/>
    <w:rsid w:val="34312300"/>
    <w:rsid w:val="344D4701"/>
    <w:rsid w:val="347505BE"/>
    <w:rsid w:val="34755873"/>
    <w:rsid w:val="347D5CAE"/>
    <w:rsid w:val="34800A79"/>
    <w:rsid w:val="34851FD3"/>
    <w:rsid w:val="349246D9"/>
    <w:rsid w:val="34A03C89"/>
    <w:rsid w:val="34B10968"/>
    <w:rsid w:val="34D327E6"/>
    <w:rsid w:val="34E425CD"/>
    <w:rsid w:val="34E60E9A"/>
    <w:rsid w:val="34FC0BFD"/>
    <w:rsid w:val="3507764B"/>
    <w:rsid w:val="351E1066"/>
    <w:rsid w:val="3520395D"/>
    <w:rsid w:val="3521502B"/>
    <w:rsid w:val="35354043"/>
    <w:rsid w:val="355E5AD1"/>
    <w:rsid w:val="35680382"/>
    <w:rsid w:val="35844722"/>
    <w:rsid w:val="3589155F"/>
    <w:rsid w:val="359A57B7"/>
    <w:rsid w:val="359B203F"/>
    <w:rsid w:val="359F7753"/>
    <w:rsid w:val="35A53398"/>
    <w:rsid w:val="35D356D0"/>
    <w:rsid w:val="35E21C9A"/>
    <w:rsid w:val="35EF44A1"/>
    <w:rsid w:val="35F119E8"/>
    <w:rsid w:val="35F15ACF"/>
    <w:rsid w:val="35F7511F"/>
    <w:rsid w:val="35FE4BC9"/>
    <w:rsid w:val="362641F0"/>
    <w:rsid w:val="362A5657"/>
    <w:rsid w:val="36312EFB"/>
    <w:rsid w:val="36355178"/>
    <w:rsid w:val="3649337E"/>
    <w:rsid w:val="366025AA"/>
    <w:rsid w:val="367C16EC"/>
    <w:rsid w:val="369B29C7"/>
    <w:rsid w:val="369C6127"/>
    <w:rsid w:val="36BA3D0F"/>
    <w:rsid w:val="36BC7FF0"/>
    <w:rsid w:val="36BF250B"/>
    <w:rsid w:val="36C606E8"/>
    <w:rsid w:val="36C93C0A"/>
    <w:rsid w:val="36D10EAE"/>
    <w:rsid w:val="36FA61F2"/>
    <w:rsid w:val="3712263F"/>
    <w:rsid w:val="371A2D05"/>
    <w:rsid w:val="371B2B6D"/>
    <w:rsid w:val="372066CC"/>
    <w:rsid w:val="372D788E"/>
    <w:rsid w:val="37501C96"/>
    <w:rsid w:val="37666A85"/>
    <w:rsid w:val="376F35EB"/>
    <w:rsid w:val="37806480"/>
    <w:rsid w:val="37A27B41"/>
    <w:rsid w:val="37B53632"/>
    <w:rsid w:val="37B77DF6"/>
    <w:rsid w:val="37BB6A10"/>
    <w:rsid w:val="37D77CE9"/>
    <w:rsid w:val="37DF589E"/>
    <w:rsid w:val="3800745C"/>
    <w:rsid w:val="380F3919"/>
    <w:rsid w:val="38232540"/>
    <w:rsid w:val="382B3E68"/>
    <w:rsid w:val="383A520B"/>
    <w:rsid w:val="383B7DB2"/>
    <w:rsid w:val="383F34B2"/>
    <w:rsid w:val="386140A0"/>
    <w:rsid w:val="38783410"/>
    <w:rsid w:val="38785CA3"/>
    <w:rsid w:val="387D3A85"/>
    <w:rsid w:val="38951808"/>
    <w:rsid w:val="38C43ED0"/>
    <w:rsid w:val="38C64C42"/>
    <w:rsid w:val="38D76F4E"/>
    <w:rsid w:val="38ED0DEE"/>
    <w:rsid w:val="38EF3C50"/>
    <w:rsid w:val="391C4B83"/>
    <w:rsid w:val="391F4B95"/>
    <w:rsid w:val="39210694"/>
    <w:rsid w:val="393A6CBF"/>
    <w:rsid w:val="39557916"/>
    <w:rsid w:val="395875CB"/>
    <w:rsid w:val="39790E55"/>
    <w:rsid w:val="39C02B34"/>
    <w:rsid w:val="39C945C3"/>
    <w:rsid w:val="39CA4A0F"/>
    <w:rsid w:val="39CF1402"/>
    <w:rsid w:val="39E06A55"/>
    <w:rsid w:val="39EE6480"/>
    <w:rsid w:val="39F63954"/>
    <w:rsid w:val="3A0207E2"/>
    <w:rsid w:val="3A02190E"/>
    <w:rsid w:val="3A03618A"/>
    <w:rsid w:val="3A177134"/>
    <w:rsid w:val="3A280408"/>
    <w:rsid w:val="3A2E248B"/>
    <w:rsid w:val="3A310217"/>
    <w:rsid w:val="3A3B6A3F"/>
    <w:rsid w:val="3A6201EB"/>
    <w:rsid w:val="3A6F27F2"/>
    <w:rsid w:val="3A72247D"/>
    <w:rsid w:val="3A8C7039"/>
    <w:rsid w:val="3A9A7800"/>
    <w:rsid w:val="3AA90280"/>
    <w:rsid w:val="3ABE4758"/>
    <w:rsid w:val="3AC07B28"/>
    <w:rsid w:val="3AC52864"/>
    <w:rsid w:val="3ADC63F6"/>
    <w:rsid w:val="3AF36E4F"/>
    <w:rsid w:val="3B047629"/>
    <w:rsid w:val="3B13132B"/>
    <w:rsid w:val="3B144C0F"/>
    <w:rsid w:val="3B161B52"/>
    <w:rsid w:val="3B181C56"/>
    <w:rsid w:val="3B5457FF"/>
    <w:rsid w:val="3B620B6F"/>
    <w:rsid w:val="3B646A37"/>
    <w:rsid w:val="3B6A3BAF"/>
    <w:rsid w:val="3B814A64"/>
    <w:rsid w:val="3B9C4CB8"/>
    <w:rsid w:val="3BB23479"/>
    <w:rsid w:val="3BCD6080"/>
    <w:rsid w:val="3C090C3D"/>
    <w:rsid w:val="3C136DB5"/>
    <w:rsid w:val="3C197AED"/>
    <w:rsid w:val="3C1D4E4C"/>
    <w:rsid w:val="3C2C31E4"/>
    <w:rsid w:val="3C35570C"/>
    <w:rsid w:val="3C367675"/>
    <w:rsid w:val="3C5719E3"/>
    <w:rsid w:val="3C5D4E87"/>
    <w:rsid w:val="3C6B52A6"/>
    <w:rsid w:val="3C970A66"/>
    <w:rsid w:val="3C9F6CB2"/>
    <w:rsid w:val="3CB15A8A"/>
    <w:rsid w:val="3CC44D9F"/>
    <w:rsid w:val="3CD43102"/>
    <w:rsid w:val="3CD7622E"/>
    <w:rsid w:val="3CD81A93"/>
    <w:rsid w:val="3CDA4A83"/>
    <w:rsid w:val="3CEA0167"/>
    <w:rsid w:val="3CEB7DBB"/>
    <w:rsid w:val="3CEF520D"/>
    <w:rsid w:val="3CFE26DD"/>
    <w:rsid w:val="3D405E28"/>
    <w:rsid w:val="3D5C05EC"/>
    <w:rsid w:val="3D643744"/>
    <w:rsid w:val="3D7A232D"/>
    <w:rsid w:val="3D7D2E9D"/>
    <w:rsid w:val="3D89101F"/>
    <w:rsid w:val="3DAA40CA"/>
    <w:rsid w:val="3DB469BA"/>
    <w:rsid w:val="3DB52BDD"/>
    <w:rsid w:val="3DC678FB"/>
    <w:rsid w:val="3DCA40B4"/>
    <w:rsid w:val="3DD7535B"/>
    <w:rsid w:val="3DD94891"/>
    <w:rsid w:val="3DE03BA2"/>
    <w:rsid w:val="3DE50851"/>
    <w:rsid w:val="3E3E2F90"/>
    <w:rsid w:val="3E3F5E0E"/>
    <w:rsid w:val="3E416325"/>
    <w:rsid w:val="3E552C22"/>
    <w:rsid w:val="3E560328"/>
    <w:rsid w:val="3E5F4D29"/>
    <w:rsid w:val="3E7C4764"/>
    <w:rsid w:val="3E7C7FFD"/>
    <w:rsid w:val="3E80351F"/>
    <w:rsid w:val="3E8D3A7F"/>
    <w:rsid w:val="3E8F2193"/>
    <w:rsid w:val="3E926B8E"/>
    <w:rsid w:val="3E93623E"/>
    <w:rsid w:val="3EA60185"/>
    <w:rsid w:val="3EB7176B"/>
    <w:rsid w:val="3EBF13D7"/>
    <w:rsid w:val="3EDE44DF"/>
    <w:rsid w:val="3EE24BE5"/>
    <w:rsid w:val="3F055788"/>
    <w:rsid w:val="3F071A9F"/>
    <w:rsid w:val="3F185371"/>
    <w:rsid w:val="3F265447"/>
    <w:rsid w:val="3F3338ED"/>
    <w:rsid w:val="3F35554A"/>
    <w:rsid w:val="3F453B1B"/>
    <w:rsid w:val="3F60215B"/>
    <w:rsid w:val="3F7B4848"/>
    <w:rsid w:val="3F9C1B4D"/>
    <w:rsid w:val="3F9D21FD"/>
    <w:rsid w:val="3FAA6588"/>
    <w:rsid w:val="3FAC4683"/>
    <w:rsid w:val="3FBA6C71"/>
    <w:rsid w:val="3FBB44EA"/>
    <w:rsid w:val="3FCB719D"/>
    <w:rsid w:val="3FF86AFD"/>
    <w:rsid w:val="3FFA0F4B"/>
    <w:rsid w:val="3FFF4CB5"/>
    <w:rsid w:val="400F1BBD"/>
    <w:rsid w:val="401C1CB3"/>
    <w:rsid w:val="402A197B"/>
    <w:rsid w:val="403103A6"/>
    <w:rsid w:val="4039029B"/>
    <w:rsid w:val="4043702F"/>
    <w:rsid w:val="40502FD3"/>
    <w:rsid w:val="405F3590"/>
    <w:rsid w:val="40637A0F"/>
    <w:rsid w:val="406E4030"/>
    <w:rsid w:val="407D69C0"/>
    <w:rsid w:val="408727EB"/>
    <w:rsid w:val="409704B5"/>
    <w:rsid w:val="40AC34B9"/>
    <w:rsid w:val="40D02AD4"/>
    <w:rsid w:val="40F2660A"/>
    <w:rsid w:val="40F8380A"/>
    <w:rsid w:val="410439F7"/>
    <w:rsid w:val="41140C3E"/>
    <w:rsid w:val="412B6D90"/>
    <w:rsid w:val="413071D1"/>
    <w:rsid w:val="414450CB"/>
    <w:rsid w:val="41535CBA"/>
    <w:rsid w:val="41621926"/>
    <w:rsid w:val="416D36BD"/>
    <w:rsid w:val="4171661B"/>
    <w:rsid w:val="4176581B"/>
    <w:rsid w:val="419251BF"/>
    <w:rsid w:val="41B02301"/>
    <w:rsid w:val="41BC0B35"/>
    <w:rsid w:val="41C00F1E"/>
    <w:rsid w:val="41C41CCC"/>
    <w:rsid w:val="41CD6AD2"/>
    <w:rsid w:val="41D73B82"/>
    <w:rsid w:val="41DB7DBE"/>
    <w:rsid w:val="41E7616B"/>
    <w:rsid w:val="41F6182A"/>
    <w:rsid w:val="42005143"/>
    <w:rsid w:val="420D0A10"/>
    <w:rsid w:val="420D0AEE"/>
    <w:rsid w:val="420F7880"/>
    <w:rsid w:val="421B63B4"/>
    <w:rsid w:val="422022D0"/>
    <w:rsid w:val="423152D7"/>
    <w:rsid w:val="4233136A"/>
    <w:rsid w:val="42395EE0"/>
    <w:rsid w:val="42460C3F"/>
    <w:rsid w:val="42932517"/>
    <w:rsid w:val="42A85AE3"/>
    <w:rsid w:val="42B60E6C"/>
    <w:rsid w:val="42BA534A"/>
    <w:rsid w:val="42C1343B"/>
    <w:rsid w:val="42C86A01"/>
    <w:rsid w:val="42CE4ABC"/>
    <w:rsid w:val="42E225EC"/>
    <w:rsid w:val="42F7075B"/>
    <w:rsid w:val="433810A7"/>
    <w:rsid w:val="43494F8B"/>
    <w:rsid w:val="435B3028"/>
    <w:rsid w:val="436402C2"/>
    <w:rsid w:val="436B74C1"/>
    <w:rsid w:val="4372687F"/>
    <w:rsid w:val="438C4983"/>
    <w:rsid w:val="438D2D05"/>
    <w:rsid w:val="439F566E"/>
    <w:rsid w:val="43B34CB9"/>
    <w:rsid w:val="43BD0F66"/>
    <w:rsid w:val="43C97DB2"/>
    <w:rsid w:val="43CB49FE"/>
    <w:rsid w:val="43EC07D9"/>
    <w:rsid w:val="4402367B"/>
    <w:rsid w:val="44091C00"/>
    <w:rsid w:val="440E49EF"/>
    <w:rsid w:val="44230AC2"/>
    <w:rsid w:val="444A6A14"/>
    <w:rsid w:val="444D0300"/>
    <w:rsid w:val="44720D73"/>
    <w:rsid w:val="447B7530"/>
    <w:rsid w:val="448171FF"/>
    <w:rsid w:val="44817AA4"/>
    <w:rsid w:val="44CA54C3"/>
    <w:rsid w:val="44CE5204"/>
    <w:rsid w:val="44CF745E"/>
    <w:rsid w:val="44DF0186"/>
    <w:rsid w:val="44F27761"/>
    <w:rsid w:val="44FC5855"/>
    <w:rsid w:val="44FE4782"/>
    <w:rsid w:val="450319F0"/>
    <w:rsid w:val="45537046"/>
    <w:rsid w:val="457B4379"/>
    <w:rsid w:val="4594719D"/>
    <w:rsid w:val="45A308CB"/>
    <w:rsid w:val="45C83B16"/>
    <w:rsid w:val="45CF52AB"/>
    <w:rsid w:val="45F12E6A"/>
    <w:rsid w:val="45F865CB"/>
    <w:rsid w:val="460B627B"/>
    <w:rsid w:val="46324801"/>
    <w:rsid w:val="464000B5"/>
    <w:rsid w:val="46482AC3"/>
    <w:rsid w:val="464B4902"/>
    <w:rsid w:val="464E715C"/>
    <w:rsid w:val="46677292"/>
    <w:rsid w:val="466A6238"/>
    <w:rsid w:val="46AD1C5F"/>
    <w:rsid w:val="46C42A4C"/>
    <w:rsid w:val="46E241D9"/>
    <w:rsid w:val="46E9298E"/>
    <w:rsid w:val="46F73D44"/>
    <w:rsid w:val="47021076"/>
    <w:rsid w:val="47165344"/>
    <w:rsid w:val="471B7D96"/>
    <w:rsid w:val="471C241E"/>
    <w:rsid w:val="472741D1"/>
    <w:rsid w:val="47412B84"/>
    <w:rsid w:val="474943C6"/>
    <w:rsid w:val="474B7C34"/>
    <w:rsid w:val="4758576E"/>
    <w:rsid w:val="476D2662"/>
    <w:rsid w:val="47764B16"/>
    <w:rsid w:val="479A1C8E"/>
    <w:rsid w:val="47A0234E"/>
    <w:rsid w:val="47A3366D"/>
    <w:rsid w:val="47C36B62"/>
    <w:rsid w:val="47C94762"/>
    <w:rsid w:val="47F17689"/>
    <w:rsid w:val="47F4319F"/>
    <w:rsid w:val="48043476"/>
    <w:rsid w:val="48060812"/>
    <w:rsid w:val="48136F82"/>
    <w:rsid w:val="4832622E"/>
    <w:rsid w:val="4835217B"/>
    <w:rsid w:val="48432EE0"/>
    <w:rsid w:val="484802BA"/>
    <w:rsid w:val="484A2CB8"/>
    <w:rsid w:val="48592741"/>
    <w:rsid w:val="485C6846"/>
    <w:rsid w:val="485E04E5"/>
    <w:rsid w:val="485F7DEE"/>
    <w:rsid w:val="4863714C"/>
    <w:rsid w:val="48A06F9B"/>
    <w:rsid w:val="48AE18BC"/>
    <w:rsid w:val="48AF1739"/>
    <w:rsid w:val="48B57794"/>
    <w:rsid w:val="48DA08FB"/>
    <w:rsid w:val="493B187A"/>
    <w:rsid w:val="494D5220"/>
    <w:rsid w:val="4960505A"/>
    <w:rsid w:val="49634EBF"/>
    <w:rsid w:val="49706BCD"/>
    <w:rsid w:val="498E5B81"/>
    <w:rsid w:val="49902929"/>
    <w:rsid w:val="499135FB"/>
    <w:rsid w:val="49BB4D47"/>
    <w:rsid w:val="49BC221E"/>
    <w:rsid w:val="49C40710"/>
    <w:rsid w:val="49CD5155"/>
    <w:rsid w:val="49E102DB"/>
    <w:rsid w:val="49E9072A"/>
    <w:rsid w:val="49ED78B3"/>
    <w:rsid w:val="49EE2057"/>
    <w:rsid w:val="49F65078"/>
    <w:rsid w:val="49FA3FD3"/>
    <w:rsid w:val="4A275DEF"/>
    <w:rsid w:val="4A3D387A"/>
    <w:rsid w:val="4A406708"/>
    <w:rsid w:val="4A421423"/>
    <w:rsid w:val="4A4D472D"/>
    <w:rsid w:val="4A5D7B84"/>
    <w:rsid w:val="4A677A51"/>
    <w:rsid w:val="4A9836E7"/>
    <w:rsid w:val="4A9E3137"/>
    <w:rsid w:val="4AA55BDE"/>
    <w:rsid w:val="4AB7293A"/>
    <w:rsid w:val="4ABE4B13"/>
    <w:rsid w:val="4AC65A9A"/>
    <w:rsid w:val="4AE52091"/>
    <w:rsid w:val="4AE90CCB"/>
    <w:rsid w:val="4AE96EF9"/>
    <w:rsid w:val="4AF1219F"/>
    <w:rsid w:val="4AFF0234"/>
    <w:rsid w:val="4AFF5B9C"/>
    <w:rsid w:val="4B06554B"/>
    <w:rsid w:val="4B1A64B8"/>
    <w:rsid w:val="4B1F3585"/>
    <w:rsid w:val="4B214EEB"/>
    <w:rsid w:val="4B2225AF"/>
    <w:rsid w:val="4B294DDA"/>
    <w:rsid w:val="4B321ACE"/>
    <w:rsid w:val="4B5E2798"/>
    <w:rsid w:val="4B625472"/>
    <w:rsid w:val="4B633583"/>
    <w:rsid w:val="4B7575DC"/>
    <w:rsid w:val="4B773789"/>
    <w:rsid w:val="4B7D565C"/>
    <w:rsid w:val="4B85035E"/>
    <w:rsid w:val="4B954798"/>
    <w:rsid w:val="4B961795"/>
    <w:rsid w:val="4B9E747A"/>
    <w:rsid w:val="4BB4579A"/>
    <w:rsid w:val="4BB80DD9"/>
    <w:rsid w:val="4BC318DA"/>
    <w:rsid w:val="4BC43AB0"/>
    <w:rsid w:val="4BCE5F30"/>
    <w:rsid w:val="4BE3410F"/>
    <w:rsid w:val="4C056C04"/>
    <w:rsid w:val="4C21124C"/>
    <w:rsid w:val="4C566580"/>
    <w:rsid w:val="4C795801"/>
    <w:rsid w:val="4C7C5EB0"/>
    <w:rsid w:val="4C806881"/>
    <w:rsid w:val="4C840E8A"/>
    <w:rsid w:val="4C8E1BE9"/>
    <w:rsid w:val="4C985BF4"/>
    <w:rsid w:val="4CD63930"/>
    <w:rsid w:val="4CF22148"/>
    <w:rsid w:val="4CFD59CA"/>
    <w:rsid w:val="4D1F063D"/>
    <w:rsid w:val="4D2364BB"/>
    <w:rsid w:val="4D2B6A7D"/>
    <w:rsid w:val="4D3A37E5"/>
    <w:rsid w:val="4D5B69AC"/>
    <w:rsid w:val="4D720627"/>
    <w:rsid w:val="4DA349C1"/>
    <w:rsid w:val="4DA74D6F"/>
    <w:rsid w:val="4DA94899"/>
    <w:rsid w:val="4DCB0391"/>
    <w:rsid w:val="4DE8173E"/>
    <w:rsid w:val="4DF510D1"/>
    <w:rsid w:val="4DFD4262"/>
    <w:rsid w:val="4E112224"/>
    <w:rsid w:val="4E122CAD"/>
    <w:rsid w:val="4E2C5043"/>
    <w:rsid w:val="4E3119F2"/>
    <w:rsid w:val="4E3F2A27"/>
    <w:rsid w:val="4E4E1BAA"/>
    <w:rsid w:val="4E6F1092"/>
    <w:rsid w:val="4E8A2CE5"/>
    <w:rsid w:val="4E9D63D1"/>
    <w:rsid w:val="4EAE123E"/>
    <w:rsid w:val="4EB27A77"/>
    <w:rsid w:val="4EC00FBC"/>
    <w:rsid w:val="4EF60057"/>
    <w:rsid w:val="4F123838"/>
    <w:rsid w:val="4F160280"/>
    <w:rsid w:val="4F3D55AF"/>
    <w:rsid w:val="4F561F6B"/>
    <w:rsid w:val="4F592AAA"/>
    <w:rsid w:val="4F5E4CD0"/>
    <w:rsid w:val="4F9A3895"/>
    <w:rsid w:val="4FAD1EC2"/>
    <w:rsid w:val="4FB2111F"/>
    <w:rsid w:val="4FD91CD1"/>
    <w:rsid w:val="4FE43BD6"/>
    <w:rsid w:val="4FF721F0"/>
    <w:rsid w:val="50037719"/>
    <w:rsid w:val="5006515D"/>
    <w:rsid w:val="500E6D4B"/>
    <w:rsid w:val="50321ED3"/>
    <w:rsid w:val="503421E0"/>
    <w:rsid w:val="503C787C"/>
    <w:rsid w:val="503D0938"/>
    <w:rsid w:val="50477848"/>
    <w:rsid w:val="504C0278"/>
    <w:rsid w:val="50900C87"/>
    <w:rsid w:val="50903B3A"/>
    <w:rsid w:val="50951237"/>
    <w:rsid w:val="509A1058"/>
    <w:rsid w:val="50A70A76"/>
    <w:rsid w:val="50B705D3"/>
    <w:rsid w:val="50BE3DD1"/>
    <w:rsid w:val="50CC2903"/>
    <w:rsid w:val="50D23802"/>
    <w:rsid w:val="50E55EF6"/>
    <w:rsid w:val="50FD4E79"/>
    <w:rsid w:val="51036EF4"/>
    <w:rsid w:val="510B29AA"/>
    <w:rsid w:val="51110DBF"/>
    <w:rsid w:val="51452154"/>
    <w:rsid w:val="51452B82"/>
    <w:rsid w:val="514F53C8"/>
    <w:rsid w:val="515074F8"/>
    <w:rsid w:val="515A4AB9"/>
    <w:rsid w:val="51694182"/>
    <w:rsid w:val="51811320"/>
    <w:rsid w:val="51914DDE"/>
    <w:rsid w:val="51A649EB"/>
    <w:rsid w:val="51AA61F9"/>
    <w:rsid w:val="51EA36AB"/>
    <w:rsid w:val="52163234"/>
    <w:rsid w:val="52165232"/>
    <w:rsid w:val="521F5DE8"/>
    <w:rsid w:val="52414F39"/>
    <w:rsid w:val="524E477D"/>
    <w:rsid w:val="52603B9D"/>
    <w:rsid w:val="526D3860"/>
    <w:rsid w:val="52781629"/>
    <w:rsid w:val="528C7799"/>
    <w:rsid w:val="528F7B2F"/>
    <w:rsid w:val="52A55760"/>
    <w:rsid w:val="52C703C4"/>
    <w:rsid w:val="52E50C98"/>
    <w:rsid w:val="52E60DB2"/>
    <w:rsid w:val="53001957"/>
    <w:rsid w:val="53051283"/>
    <w:rsid w:val="531248F5"/>
    <w:rsid w:val="5318568A"/>
    <w:rsid w:val="53245530"/>
    <w:rsid w:val="53464DE5"/>
    <w:rsid w:val="535B443A"/>
    <w:rsid w:val="536A52DA"/>
    <w:rsid w:val="538B66CB"/>
    <w:rsid w:val="53C3272B"/>
    <w:rsid w:val="53CE3258"/>
    <w:rsid w:val="53DA64A6"/>
    <w:rsid w:val="53EF7959"/>
    <w:rsid w:val="53FD5056"/>
    <w:rsid w:val="53FF6D28"/>
    <w:rsid w:val="5400109C"/>
    <w:rsid w:val="54143544"/>
    <w:rsid w:val="541B39AE"/>
    <w:rsid w:val="5421528D"/>
    <w:rsid w:val="54222258"/>
    <w:rsid w:val="542B6B62"/>
    <w:rsid w:val="543677BB"/>
    <w:rsid w:val="54634209"/>
    <w:rsid w:val="54773981"/>
    <w:rsid w:val="54857AB0"/>
    <w:rsid w:val="54885549"/>
    <w:rsid w:val="54D05485"/>
    <w:rsid w:val="54DC05AA"/>
    <w:rsid w:val="54E90D27"/>
    <w:rsid w:val="54FD7EE2"/>
    <w:rsid w:val="5513257F"/>
    <w:rsid w:val="55174AE0"/>
    <w:rsid w:val="552C4101"/>
    <w:rsid w:val="552D4163"/>
    <w:rsid w:val="55443A1E"/>
    <w:rsid w:val="55770C3A"/>
    <w:rsid w:val="5589149C"/>
    <w:rsid w:val="55B54592"/>
    <w:rsid w:val="55E633B0"/>
    <w:rsid w:val="55E64893"/>
    <w:rsid w:val="55F90918"/>
    <w:rsid w:val="55FA2F99"/>
    <w:rsid w:val="560C7CB4"/>
    <w:rsid w:val="56191E14"/>
    <w:rsid w:val="561C2F07"/>
    <w:rsid w:val="562B5F3D"/>
    <w:rsid w:val="562C2AE4"/>
    <w:rsid w:val="563A29E2"/>
    <w:rsid w:val="56427EB0"/>
    <w:rsid w:val="564D1D0F"/>
    <w:rsid w:val="566601D4"/>
    <w:rsid w:val="5666084C"/>
    <w:rsid w:val="566F7200"/>
    <w:rsid w:val="5677623D"/>
    <w:rsid w:val="56876685"/>
    <w:rsid w:val="5694322C"/>
    <w:rsid w:val="56A31EE4"/>
    <w:rsid w:val="56B0415D"/>
    <w:rsid w:val="56CD4FDB"/>
    <w:rsid w:val="56CF2329"/>
    <w:rsid w:val="56FD2B09"/>
    <w:rsid w:val="571E4B7D"/>
    <w:rsid w:val="57227E77"/>
    <w:rsid w:val="573D76AA"/>
    <w:rsid w:val="57485E22"/>
    <w:rsid w:val="579E7522"/>
    <w:rsid w:val="57A02153"/>
    <w:rsid w:val="57A14A77"/>
    <w:rsid w:val="57C01983"/>
    <w:rsid w:val="57C90386"/>
    <w:rsid w:val="57C94F71"/>
    <w:rsid w:val="57D759FC"/>
    <w:rsid w:val="57FD7E56"/>
    <w:rsid w:val="581375D9"/>
    <w:rsid w:val="58264F43"/>
    <w:rsid w:val="584769AD"/>
    <w:rsid w:val="58493972"/>
    <w:rsid w:val="58682EAC"/>
    <w:rsid w:val="587010FA"/>
    <w:rsid w:val="588A40A5"/>
    <w:rsid w:val="588B00EF"/>
    <w:rsid w:val="589A7317"/>
    <w:rsid w:val="58AB32D2"/>
    <w:rsid w:val="58AB6E48"/>
    <w:rsid w:val="58BD1752"/>
    <w:rsid w:val="58BD1B10"/>
    <w:rsid w:val="58C90B56"/>
    <w:rsid w:val="58CA2FFA"/>
    <w:rsid w:val="59042B51"/>
    <w:rsid w:val="591801AD"/>
    <w:rsid w:val="592C4768"/>
    <w:rsid w:val="59435BE5"/>
    <w:rsid w:val="595079D6"/>
    <w:rsid w:val="59555E94"/>
    <w:rsid w:val="595F01D4"/>
    <w:rsid w:val="59711199"/>
    <w:rsid w:val="59721FFE"/>
    <w:rsid w:val="597861FB"/>
    <w:rsid w:val="599A13C3"/>
    <w:rsid w:val="599F22C8"/>
    <w:rsid w:val="59A51CBC"/>
    <w:rsid w:val="59C86DD1"/>
    <w:rsid w:val="59FE3811"/>
    <w:rsid w:val="5A0D4984"/>
    <w:rsid w:val="5A125C3D"/>
    <w:rsid w:val="5A207830"/>
    <w:rsid w:val="5A2844A0"/>
    <w:rsid w:val="5A552A46"/>
    <w:rsid w:val="5A576FD8"/>
    <w:rsid w:val="5A624E1F"/>
    <w:rsid w:val="5A6F693F"/>
    <w:rsid w:val="5A775470"/>
    <w:rsid w:val="5A8D08BF"/>
    <w:rsid w:val="5AB20ED5"/>
    <w:rsid w:val="5AC6483C"/>
    <w:rsid w:val="5AC959BE"/>
    <w:rsid w:val="5AE36D9A"/>
    <w:rsid w:val="5AEA5F22"/>
    <w:rsid w:val="5AF57FFB"/>
    <w:rsid w:val="5B063F0F"/>
    <w:rsid w:val="5B1206A7"/>
    <w:rsid w:val="5B241698"/>
    <w:rsid w:val="5B2D3F75"/>
    <w:rsid w:val="5B31320C"/>
    <w:rsid w:val="5B554A58"/>
    <w:rsid w:val="5B5D424E"/>
    <w:rsid w:val="5B8950E1"/>
    <w:rsid w:val="5BA175EA"/>
    <w:rsid w:val="5BAE17EA"/>
    <w:rsid w:val="5BD23921"/>
    <w:rsid w:val="5BD377BC"/>
    <w:rsid w:val="5BE541CE"/>
    <w:rsid w:val="5BE86CC0"/>
    <w:rsid w:val="5BF1312B"/>
    <w:rsid w:val="5C15450E"/>
    <w:rsid w:val="5C1641D8"/>
    <w:rsid w:val="5C1A525E"/>
    <w:rsid w:val="5C1E1C10"/>
    <w:rsid w:val="5C243DEB"/>
    <w:rsid w:val="5C3418B7"/>
    <w:rsid w:val="5C3B74D1"/>
    <w:rsid w:val="5C3D00D6"/>
    <w:rsid w:val="5C442032"/>
    <w:rsid w:val="5C461148"/>
    <w:rsid w:val="5C766724"/>
    <w:rsid w:val="5C811BCC"/>
    <w:rsid w:val="5C8A35FB"/>
    <w:rsid w:val="5C8A38A0"/>
    <w:rsid w:val="5CCC6C60"/>
    <w:rsid w:val="5CD45D2F"/>
    <w:rsid w:val="5CEB7ED5"/>
    <w:rsid w:val="5D071C0A"/>
    <w:rsid w:val="5D0D0DC4"/>
    <w:rsid w:val="5D1017D3"/>
    <w:rsid w:val="5D2B0CC6"/>
    <w:rsid w:val="5D341346"/>
    <w:rsid w:val="5D3D32A9"/>
    <w:rsid w:val="5D61171E"/>
    <w:rsid w:val="5D715B0D"/>
    <w:rsid w:val="5D790EC8"/>
    <w:rsid w:val="5D7B00ED"/>
    <w:rsid w:val="5DB807D8"/>
    <w:rsid w:val="5DD360B3"/>
    <w:rsid w:val="5DFC517B"/>
    <w:rsid w:val="5E091D1E"/>
    <w:rsid w:val="5E176F08"/>
    <w:rsid w:val="5E183B49"/>
    <w:rsid w:val="5E1D1D98"/>
    <w:rsid w:val="5E2B7895"/>
    <w:rsid w:val="5E3E0AF4"/>
    <w:rsid w:val="5E3E6DDE"/>
    <w:rsid w:val="5E4B3CC9"/>
    <w:rsid w:val="5E874A7F"/>
    <w:rsid w:val="5E911953"/>
    <w:rsid w:val="5E92674E"/>
    <w:rsid w:val="5E934F4C"/>
    <w:rsid w:val="5EE54836"/>
    <w:rsid w:val="5EE70A03"/>
    <w:rsid w:val="5EEC2ADA"/>
    <w:rsid w:val="5EF81FC4"/>
    <w:rsid w:val="5F096BCD"/>
    <w:rsid w:val="5F0D6445"/>
    <w:rsid w:val="5F105496"/>
    <w:rsid w:val="5F1A3ADA"/>
    <w:rsid w:val="5F3406E8"/>
    <w:rsid w:val="5F465D78"/>
    <w:rsid w:val="5F467E77"/>
    <w:rsid w:val="5F64596F"/>
    <w:rsid w:val="5F762E35"/>
    <w:rsid w:val="5F7A79FD"/>
    <w:rsid w:val="5F881C5C"/>
    <w:rsid w:val="5F885362"/>
    <w:rsid w:val="5F9052D1"/>
    <w:rsid w:val="5F920F7A"/>
    <w:rsid w:val="5F923248"/>
    <w:rsid w:val="5FD30784"/>
    <w:rsid w:val="5FEE5BAD"/>
    <w:rsid w:val="5FFF55D0"/>
    <w:rsid w:val="604C0310"/>
    <w:rsid w:val="606B19BF"/>
    <w:rsid w:val="606B25C6"/>
    <w:rsid w:val="60764101"/>
    <w:rsid w:val="60C072C6"/>
    <w:rsid w:val="60C978BE"/>
    <w:rsid w:val="60D904B7"/>
    <w:rsid w:val="60E4518E"/>
    <w:rsid w:val="60F60FBB"/>
    <w:rsid w:val="60F7294C"/>
    <w:rsid w:val="60FB4FCD"/>
    <w:rsid w:val="611E6323"/>
    <w:rsid w:val="6133640D"/>
    <w:rsid w:val="613F47A1"/>
    <w:rsid w:val="61457631"/>
    <w:rsid w:val="615C0565"/>
    <w:rsid w:val="615C785F"/>
    <w:rsid w:val="616F6A9E"/>
    <w:rsid w:val="61A24663"/>
    <w:rsid w:val="61AE5CE7"/>
    <w:rsid w:val="61B814DA"/>
    <w:rsid w:val="61DC33DC"/>
    <w:rsid w:val="61E11B0F"/>
    <w:rsid w:val="61EC3AB0"/>
    <w:rsid w:val="620550B4"/>
    <w:rsid w:val="620B76FE"/>
    <w:rsid w:val="62121A84"/>
    <w:rsid w:val="62514C9A"/>
    <w:rsid w:val="625F5177"/>
    <w:rsid w:val="62793065"/>
    <w:rsid w:val="62812EEC"/>
    <w:rsid w:val="62A755A6"/>
    <w:rsid w:val="62A91495"/>
    <w:rsid w:val="62C701FA"/>
    <w:rsid w:val="62E10E11"/>
    <w:rsid w:val="62E40635"/>
    <w:rsid w:val="62EC10DD"/>
    <w:rsid w:val="62EE627F"/>
    <w:rsid w:val="630D55FF"/>
    <w:rsid w:val="632B2AFE"/>
    <w:rsid w:val="633272E6"/>
    <w:rsid w:val="63386F8B"/>
    <w:rsid w:val="633B4BAF"/>
    <w:rsid w:val="635B2486"/>
    <w:rsid w:val="63704850"/>
    <w:rsid w:val="63755827"/>
    <w:rsid w:val="63780255"/>
    <w:rsid w:val="638037CF"/>
    <w:rsid w:val="63940A56"/>
    <w:rsid w:val="63A1584F"/>
    <w:rsid w:val="63A64DC2"/>
    <w:rsid w:val="63A65FD3"/>
    <w:rsid w:val="63C33BCF"/>
    <w:rsid w:val="63C40A17"/>
    <w:rsid w:val="63E437A9"/>
    <w:rsid w:val="63ED45E2"/>
    <w:rsid w:val="63F0010F"/>
    <w:rsid w:val="640843AA"/>
    <w:rsid w:val="64091905"/>
    <w:rsid w:val="641625B0"/>
    <w:rsid w:val="64215A38"/>
    <w:rsid w:val="64224F96"/>
    <w:rsid w:val="64302E5A"/>
    <w:rsid w:val="644350E0"/>
    <w:rsid w:val="64596BA9"/>
    <w:rsid w:val="64680B07"/>
    <w:rsid w:val="646A7ECA"/>
    <w:rsid w:val="64816F70"/>
    <w:rsid w:val="648A5CC9"/>
    <w:rsid w:val="649517DB"/>
    <w:rsid w:val="64A90EA4"/>
    <w:rsid w:val="64C814EC"/>
    <w:rsid w:val="64E10045"/>
    <w:rsid w:val="64FE177B"/>
    <w:rsid w:val="650318C3"/>
    <w:rsid w:val="650758D4"/>
    <w:rsid w:val="65077911"/>
    <w:rsid w:val="6508233B"/>
    <w:rsid w:val="651805A4"/>
    <w:rsid w:val="65191978"/>
    <w:rsid w:val="652553ED"/>
    <w:rsid w:val="652F01FD"/>
    <w:rsid w:val="65366FDD"/>
    <w:rsid w:val="656166CD"/>
    <w:rsid w:val="658E6E6B"/>
    <w:rsid w:val="6593347A"/>
    <w:rsid w:val="65954CAD"/>
    <w:rsid w:val="659E1391"/>
    <w:rsid w:val="65AA408D"/>
    <w:rsid w:val="65B51B73"/>
    <w:rsid w:val="65DD251E"/>
    <w:rsid w:val="660D2F77"/>
    <w:rsid w:val="66137A5E"/>
    <w:rsid w:val="662538D7"/>
    <w:rsid w:val="663A5407"/>
    <w:rsid w:val="663A64C8"/>
    <w:rsid w:val="66412194"/>
    <w:rsid w:val="66680019"/>
    <w:rsid w:val="66697BDB"/>
    <w:rsid w:val="668A15E7"/>
    <w:rsid w:val="66B84FF2"/>
    <w:rsid w:val="66D50CAE"/>
    <w:rsid w:val="66EA4A2E"/>
    <w:rsid w:val="670A7059"/>
    <w:rsid w:val="672B1DC9"/>
    <w:rsid w:val="67483CC7"/>
    <w:rsid w:val="676648E6"/>
    <w:rsid w:val="676B346A"/>
    <w:rsid w:val="677D12B1"/>
    <w:rsid w:val="67AB2491"/>
    <w:rsid w:val="67C47E0C"/>
    <w:rsid w:val="67CB2826"/>
    <w:rsid w:val="67D12002"/>
    <w:rsid w:val="67D30744"/>
    <w:rsid w:val="67D6379C"/>
    <w:rsid w:val="67FD21CF"/>
    <w:rsid w:val="68090DD1"/>
    <w:rsid w:val="681E1C85"/>
    <w:rsid w:val="6827597B"/>
    <w:rsid w:val="687D5A50"/>
    <w:rsid w:val="687E0650"/>
    <w:rsid w:val="68801660"/>
    <w:rsid w:val="68975AC8"/>
    <w:rsid w:val="689F57D3"/>
    <w:rsid w:val="68E01602"/>
    <w:rsid w:val="68F857A3"/>
    <w:rsid w:val="69052EC9"/>
    <w:rsid w:val="690B0E62"/>
    <w:rsid w:val="691025E6"/>
    <w:rsid w:val="69225430"/>
    <w:rsid w:val="69245425"/>
    <w:rsid w:val="692A5C4B"/>
    <w:rsid w:val="692D7FCB"/>
    <w:rsid w:val="693A6830"/>
    <w:rsid w:val="694337E1"/>
    <w:rsid w:val="696B5A16"/>
    <w:rsid w:val="69740148"/>
    <w:rsid w:val="69792A99"/>
    <w:rsid w:val="69862CE1"/>
    <w:rsid w:val="69B47AF9"/>
    <w:rsid w:val="69B83A10"/>
    <w:rsid w:val="69C32674"/>
    <w:rsid w:val="69C9039E"/>
    <w:rsid w:val="69D46296"/>
    <w:rsid w:val="69DC398E"/>
    <w:rsid w:val="69DC3E69"/>
    <w:rsid w:val="69E94348"/>
    <w:rsid w:val="69EA1C9B"/>
    <w:rsid w:val="6A4C5980"/>
    <w:rsid w:val="6A540DCD"/>
    <w:rsid w:val="6A594D9F"/>
    <w:rsid w:val="6A6449E5"/>
    <w:rsid w:val="6A83104C"/>
    <w:rsid w:val="6A872614"/>
    <w:rsid w:val="6AA661F0"/>
    <w:rsid w:val="6AAC7200"/>
    <w:rsid w:val="6ADF0E38"/>
    <w:rsid w:val="6AFF6CED"/>
    <w:rsid w:val="6B3A0719"/>
    <w:rsid w:val="6B4B4654"/>
    <w:rsid w:val="6B4F0B8E"/>
    <w:rsid w:val="6B611397"/>
    <w:rsid w:val="6B71537B"/>
    <w:rsid w:val="6B793F08"/>
    <w:rsid w:val="6B7E1E35"/>
    <w:rsid w:val="6B887791"/>
    <w:rsid w:val="6B933494"/>
    <w:rsid w:val="6BA16A56"/>
    <w:rsid w:val="6BD73D6C"/>
    <w:rsid w:val="6BF0316F"/>
    <w:rsid w:val="6BF25D01"/>
    <w:rsid w:val="6C182647"/>
    <w:rsid w:val="6C1922F4"/>
    <w:rsid w:val="6C2B781E"/>
    <w:rsid w:val="6C2E21ED"/>
    <w:rsid w:val="6C351122"/>
    <w:rsid w:val="6C40586F"/>
    <w:rsid w:val="6C4250FC"/>
    <w:rsid w:val="6C540486"/>
    <w:rsid w:val="6C617627"/>
    <w:rsid w:val="6C655544"/>
    <w:rsid w:val="6C754D97"/>
    <w:rsid w:val="6C895D8C"/>
    <w:rsid w:val="6C9621C0"/>
    <w:rsid w:val="6C9965B9"/>
    <w:rsid w:val="6CA0176C"/>
    <w:rsid w:val="6CAE638A"/>
    <w:rsid w:val="6CBC16B5"/>
    <w:rsid w:val="6CC3323B"/>
    <w:rsid w:val="6CCB0292"/>
    <w:rsid w:val="6CEE15AB"/>
    <w:rsid w:val="6CF918E1"/>
    <w:rsid w:val="6D0D10BE"/>
    <w:rsid w:val="6D1042DD"/>
    <w:rsid w:val="6D200C8D"/>
    <w:rsid w:val="6D377024"/>
    <w:rsid w:val="6D431F29"/>
    <w:rsid w:val="6D481AA7"/>
    <w:rsid w:val="6D492C06"/>
    <w:rsid w:val="6D5565BE"/>
    <w:rsid w:val="6D5C072C"/>
    <w:rsid w:val="6D631076"/>
    <w:rsid w:val="6D824DC4"/>
    <w:rsid w:val="6D864D03"/>
    <w:rsid w:val="6D9426FD"/>
    <w:rsid w:val="6DB77826"/>
    <w:rsid w:val="6DC43BE8"/>
    <w:rsid w:val="6DD22C1D"/>
    <w:rsid w:val="6DE23B91"/>
    <w:rsid w:val="6DE50C94"/>
    <w:rsid w:val="6DF37B12"/>
    <w:rsid w:val="6DFC4576"/>
    <w:rsid w:val="6E4165FE"/>
    <w:rsid w:val="6E473C06"/>
    <w:rsid w:val="6E4D00A4"/>
    <w:rsid w:val="6E532F96"/>
    <w:rsid w:val="6E533D98"/>
    <w:rsid w:val="6E602C56"/>
    <w:rsid w:val="6E6E2980"/>
    <w:rsid w:val="6E744D77"/>
    <w:rsid w:val="6E8C3364"/>
    <w:rsid w:val="6E923460"/>
    <w:rsid w:val="6E993583"/>
    <w:rsid w:val="6EB7487C"/>
    <w:rsid w:val="6EBA079B"/>
    <w:rsid w:val="6EEA7111"/>
    <w:rsid w:val="6EEF4944"/>
    <w:rsid w:val="6F223DB7"/>
    <w:rsid w:val="6F4722E4"/>
    <w:rsid w:val="6F654AC2"/>
    <w:rsid w:val="6F6C54B3"/>
    <w:rsid w:val="6F7A0434"/>
    <w:rsid w:val="6F7F302B"/>
    <w:rsid w:val="6F823570"/>
    <w:rsid w:val="6F856B16"/>
    <w:rsid w:val="6F8C056C"/>
    <w:rsid w:val="6FD65244"/>
    <w:rsid w:val="6FE05AA0"/>
    <w:rsid w:val="6FFC7B09"/>
    <w:rsid w:val="700E65A5"/>
    <w:rsid w:val="70124CBA"/>
    <w:rsid w:val="70243B95"/>
    <w:rsid w:val="703322CD"/>
    <w:rsid w:val="705D6FAC"/>
    <w:rsid w:val="70672FD1"/>
    <w:rsid w:val="708031CE"/>
    <w:rsid w:val="708E1FF4"/>
    <w:rsid w:val="70B16233"/>
    <w:rsid w:val="70CE16F5"/>
    <w:rsid w:val="70DA3C6B"/>
    <w:rsid w:val="70DF3F90"/>
    <w:rsid w:val="70EC0382"/>
    <w:rsid w:val="710234DE"/>
    <w:rsid w:val="71220ACC"/>
    <w:rsid w:val="712C599F"/>
    <w:rsid w:val="71591C44"/>
    <w:rsid w:val="717F793F"/>
    <w:rsid w:val="71C85743"/>
    <w:rsid w:val="71CB1698"/>
    <w:rsid w:val="71CF3580"/>
    <w:rsid w:val="71DD07EB"/>
    <w:rsid w:val="71F12AFA"/>
    <w:rsid w:val="71F65F21"/>
    <w:rsid w:val="71FA22F1"/>
    <w:rsid w:val="71FD2118"/>
    <w:rsid w:val="72052AA9"/>
    <w:rsid w:val="721175B9"/>
    <w:rsid w:val="72373460"/>
    <w:rsid w:val="72534367"/>
    <w:rsid w:val="72534C70"/>
    <w:rsid w:val="72557FAC"/>
    <w:rsid w:val="72934F5E"/>
    <w:rsid w:val="729E75F1"/>
    <w:rsid w:val="72AB27B3"/>
    <w:rsid w:val="72AD4AF1"/>
    <w:rsid w:val="72D81BBC"/>
    <w:rsid w:val="72D83910"/>
    <w:rsid w:val="72F962C0"/>
    <w:rsid w:val="7306564A"/>
    <w:rsid w:val="7316696B"/>
    <w:rsid w:val="731A685B"/>
    <w:rsid w:val="731F0D86"/>
    <w:rsid w:val="732D0862"/>
    <w:rsid w:val="7344121A"/>
    <w:rsid w:val="73542DA9"/>
    <w:rsid w:val="7359185B"/>
    <w:rsid w:val="736729E6"/>
    <w:rsid w:val="73870154"/>
    <w:rsid w:val="7394570A"/>
    <w:rsid w:val="739B08A2"/>
    <w:rsid w:val="73B00B8A"/>
    <w:rsid w:val="73B80334"/>
    <w:rsid w:val="73B96347"/>
    <w:rsid w:val="73DB1A8C"/>
    <w:rsid w:val="73F64CB7"/>
    <w:rsid w:val="740252B5"/>
    <w:rsid w:val="74217211"/>
    <w:rsid w:val="7428542E"/>
    <w:rsid w:val="742B485F"/>
    <w:rsid w:val="743B3D55"/>
    <w:rsid w:val="744628D0"/>
    <w:rsid w:val="74470A6B"/>
    <w:rsid w:val="74476AE7"/>
    <w:rsid w:val="74541F94"/>
    <w:rsid w:val="745E0F58"/>
    <w:rsid w:val="745E44A5"/>
    <w:rsid w:val="747C0124"/>
    <w:rsid w:val="748F1FC1"/>
    <w:rsid w:val="74985A95"/>
    <w:rsid w:val="74A54FA2"/>
    <w:rsid w:val="74C04A71"/>
    <w:rsid w:val="74D37193"/>
    <w:rsid w:val="74E83A33"/>
    <w:rsid w:val="750C62B1"/>
    <w:rsid w:val="7511573C"/>
    <w:rsid w:val="751A7246"/>
    <w:rsid w:val="751B457F"/>
    <w:rsid w:val="75285AE6"/>
    <w:rsid w:val="75454825"/>
    <w:rsid w:val="7565357C"/>
    <w:rsid w:val="7565786A"/>
    <w:rsid w:val="757922AB"/>
    <w:rsid w:val="75A11A70"/>
    <w:rsid w:val="75B13007"/>
    <w:rsid w:val="75B558D6"/>
    <w:rsid w:val="75CB4D48"/>
    <w:rsid w:val="75CC00F0"/>
    <w:rsid w:val="75CC03A8"/>
    <w:rsid w:val="75CF4003"/>
    <w:rsid w:val="75E72DA6"/>
    <w:rsid w:val="75FB104B"/>
    <w:rsid w:val="760309B4"/>
    <w:rsid w:val="7605176F"/>
    <w:rsid w:val="76445AED"/>
    <w:rsid w:val="7660574F"/>
    <w:rsid w:val="767A58E4"/>
    <w:rsid w:val="769F32B5"/>
    <w:rsid w:val="76B92446"/>
    <w:rsid w:val="76CD0F92"/>
    <w:rsid w:val="76DE01EA"/>
    <w:rsid w:val="76E92322"/>
    <w:rsid w:val="76FF12D4"/>
    <w:rsid w:val="771D0C64"/>
    <w:rsid w:val="77584858"/>
    <w:rsid w:val="776069F0"/>
    <w:rsid w:val="776D2CD1"/>
    <w:rsid w:val="776E1451"/>
    <w:rsid w:val="77711C78"/>
    <w:rsid w:val="77732246"/>
    <w:rsid w:val="777F4BC4"/>
    <w:rsid w:val="779B1805"/>
    <w:rsid w:val="77A64A45"/>
    <w:rsid w:val="77A65182"/>
    <w:rsid w:val="77AC6EEE"/>
    <w:rsid w:val="77FF1C07"/>
    <w:rsid w:val="780221C4"/>
    <w:rsid w:val="780D69BD"/>
    <w:rsid w:val="781372EC"/>
    <w:rsid w:val="78184FA7"/>
    <w:rsid w:val="78205738"/>
    <w:rsid w:val="7822522C"/>
    <w:rsid w:val="7833479B"/>
    <w:rsid w:val="784B4E4B"/>
    <w:rsid w:val="785411CA"/>
    <w:rsid w:val="78616FBE"/>
    <w:rsid w:val="7864172F"/>
    <w:rsid w:val="787008D1"/>
    <w:rsid w:val="78955D13"/>
    <w:rsid w:val="789A45BC"/>
    <w:rsid w:val="78AC75A3"/>
    <w:rsid w:val="78AE23C3"/>
    <w:rsid w:val="78BC1289"/>
    <w:rsid w:val="78D86C57"/>
    <w:rsid w:val="78D91283"/>
    <w:rsid w:val="78EB40FD"/>
    <w:rsid w:val="78F629F8"/>
    <w:rsid w:val="7901465B"/>
    <w:rsid w:val="790221D8"/>
    <w:rsid w:val="790464F1"/>
    <w:rsid w:val="790C085A"/>
    <w:rsid w:val="790C1B0A"/>
    <w:rsid w:val="791278F8"/>
    <w:rsid w:val="791B3B2C"/>
    <w:rsid w:val="793B6575"/>
    <w:rsid w:val="793F0E09"/>
    <w:rsid w:val="79592A8B"/>
    <w:rsid w:val="79672E2F"/>
    <w:rsid w:val="796C3879"/>
    <w:rsid w:val="797163AB"/>
    <w:rsid w:val="797A28BF"/>
    <w:rsid w:val="798E0212"/>
    <w:rsid w:val="7992121C"/>
    <w:rsid w:val="79962917"/>
    <w:rsid w:val="79E04993"/>
    <w:rsid w:val="79E82110"/>
    <w:rsid w:val="79FF4DD4"/>
    <w:rsid w:val="7A1F30F0"/>
    <w:rsid w:val="7A431C56"/>
    <w:rsid w:val="7A432D37"/>
    <w:rsid w:val="7A471131"/>
    <w:rsid w:val="7AA26316"/>
    <w:rsid w:val="7AAF37F8"/>
    <w:rsid w:val="7AB56968"/>
    <w:rsid w:val="7AD550FC"/>
    <w:rsid w:val="7AFA7914"/>
    <w:rsid w:val="7AFC7C00"/>
    <w:rsid w:val="7B0E3AAE"/>
    <w:rsid w:val="7B164E65"/>
    <w:rsid w:val="7B1C266B"/>
    <w:rsid w:val="7B1E0789"/>
    <w:rsid w:val="7B493CDE"/>
    <w:rsid w:val="7B5945D3"/>
    <w:rsid w:val="7B8A25D8"/>
    <w:rsid w:val="7BC46065"/>
    <w:rsid w:val="7BCE2216"/>
    <w:rsid w:val="7BF34AAE"/>
    <w:rsid w:val="7BFC4D12"/>
    <w:rsid w:val="7C0220B2"/>
    <w:rsid w:val="7C2657BF"/>
    <w:rsid w:val="7C2D49CA"/>
    <w:rsid w:val="7C363D22"/>
    <w:rsid w:val="7C455059"/>
    <w:rsid w:val="7C481105"/>
    <w:rsid w:val="7C487F90"/>
    <w:rsid w:val="7C5320F5"/>
    <w:rsid w:val="7C64199C"/>
    <w:rsid w:val="7C7628C5"/>
    <w:rsid w:val="7C7C44BA"/>
    <w:rsid w:val="7CA115BF"/>
    <w:rsid w:val="7CAF239E"/>
    <w:rsid w:val="7CBD545C"/>
    <w:rsid w:val="7CDE1864"/>
    <w:rsid w:val="7CFD6155"/>
    <w:rsid w:val="7D0342D1"/>
    <w:rsid w:val="7D1A0699"/>
    <w:rsid w:val="7D39279E"/>
    <w:rsid w:val="7D4C6425"/>
    <w:rsid w:val="7D512E09"/>
    <w:rsid w:val="7D5C4C0F"/>
    <w:rsid w:val="7D8070E6"/>
    <w:rsid w:val="7D9A4CB6"/>
    <w:rsid w:val="7DA56537"/>
    <w:rsid w:val="7DC60028"/>
    <w:rsid w:val="7DD246CA"/>
    <w:rsid w:val="7DEC3E7E"/>
    <w:rsid w:val="7DFE73CB"/>
    <w:rsid w:val="7E346AE6"/>
    <w:rsid w:val="7E4C423C"/>
    <w:rsid w:val="7E551D52"/>
    <w:rsid w:val="7E593BB0"/>
    <w:rsid w:val="7E59673F"/>
    <w:rsid w:val="7E6F50F5"/>
    <w:rsid w:val="7E834093"/>
    <w:rsid w:val="7EA73FA7"/>
    <w:rsid w:val="7EB273B0"/>
    <w:rsid w:val="7EC121A0"/>
    <w:rsid w:val="7EC53C46"/>
    <w:rsid w:val="7ECC4517"/>
    <w:rsid w:val="7EDD3655"/>
    <w:rsid w:val="7EE6719B"/>
    <w:rsid w:val="7F0954A7"/>
    <w:rsid w:val="7F0C4167"/>
    <w:rsid w:val="7F135E0F"/>
    <w:rsid w:val="7F441982"/>
    <w:rsid w:val="7F4464D8"/>
    <w:rsid w:val="7F53287B"/>
    <w:rsid w:val="7F6E5576"/>
    <w:rsid w:val="7F8045D8"/>
    <w:rsid w:val="7FC90A31"/>
    <w:rsid w:val="7FC94C2F"/>
    <w:rsid w:val="7FE835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3">
    <w:name w:val="heading 1"/>
    <w:basedOn w:val="1"/>
    <w:next w:val="1"/>
    <w:qFormat/>
    <w:uiPriority w:val="0"/>
    <w:pPr>
      <w:keepNext/>
      <w:widowControl w:val="0"/>
      <w:spacing w:line="360" w:lineRule="auto"/>
      <w:jc w:val="center"/>
      <w:outlineLvl w:val="0"/>
    </w:pPr>
    <w:rPr>
      <w:rFonts w:ascii="宋体" w:hAnsi="宋体"/>
      <w:b/>
      <w:kern w:val="2"/>
      <w:sz w:val="24"/>
    </w:rPr>
  </w:style>
  <w:style w:type="paragraph" w:styleId="2">
    <w:name w:val="heading 2"/>
    <w:basedOn w:val="1"/>
    <w:next w:val="1"/>
    <w:qFormat/>
    <w:uiPriority w:val="0"/>
    <w:pPr>
      <w:keepNext/>
      <w:widowControl w:val="0"/>
      <w:numPr>
        <w:ilvl w:val="0"/>
        <w:numId w:val="1"/>
      </w:numPr>
      <w:spacing w:line="216" w:lineRule="auto"/>
      <w:jc w:val="both"/>
      <w:outlineLvl w:val="1"/>
    </w:pPr>
    <w:rPr>
      <w:rFonts w:ascii="宋体"/>
      <w:kern w:val="2"/>
      <w:sz w:val="28"/>
    </w:rPr>
  </w:style>
  <w:style w:type="paragraph" w:styleId="4">
    <w:name w:val="heading 3"/>
    <w:basedOn w:val="1"/>
    <w:next w:val="1"/>
    <w:qFormat/>
    <w:uiPriority w:val="0"/>
    <w:pPr>
      <w:keepNext/>
      <w:widowControl w:val="0"/>
      <w:tabs>
        <w:tab w:val="left" w:pos="1260"/>
      </w:tabs>
      <w:spacing w:line="216" w:lineRule="auto"/>
      <w:jc w:val="both"/>
      <w:outlineLvl w:val="2"/>
    </w:pPr>
    <w:rPr>
      <w:rFonts w:ascii="宋体"/>
      <w:b/>
      <w:bCs/>
      <w:kern w:val="2"/>
      <w:sz w:val="28"/>
    </w:rPr>
  </w:style>
  <w:style w:type="paragraph" w:styleId="5">
    <w:name w:val="heading 4"/>
    <w:basedOn w:val="1"/>
    <w:next w:val="1"/>
    <w:qFormat/>
    <w:uiPriority w:val="0"/>
    <w:pPr>
      <w:keepNext/>
      <w:widowControl w:val="0"/>
      <w:jc w:val="both"/>
      <w:outlineLvl w:val="3"/>
    </w:pPr>
    <w:rPr>
      <w:color w:val="FF0000"/>
      <w:kern w:val="2"/>
      <w:sz w:val="24"/>
      <w:u w:val="single"/>
    </w:rPr>
  </w:style>
  <w:style w:type="paragraph" w:styleId="6">
    <w:name w:val="heading 5"/>
    <w:basedOn w:val="1"/>
    <w:next w:val="7"/>
    <w:qFormat/>
    <w:uiPriority w:val="0"/>
    <w:pPr>
      <w:widowControl w:val="0"/>
      <w:numPr>
        <w:ilvl w:val="2"/>
        <w:numId w:val="2"/>
      </w:numPr>
      <w:tabs>
        <w:tab w:val="left" w:pos="720"/>
        <w:tab w:val="clear" w:pos="1080"/>
      </w:tabs>
      <w:spacing w:line="480" w:lineRule="exact"/>
      <w:ind w:left="720" w:hanging="720"/>
      <w:jc w:val="both"/>
      <w:outlineLvl w:val="4"/>
    </w:pPr>
    <w:rPr>
      <w:rFonts w:eastAsia="楷体_GB2312"/>
      <w:kern w:val="2"/>
      <w:sz w:val="24"/>
    </w:rPr>
  </w:style>
  <w:style w:type="paragraph" w:styleId="8">
    <w:name w:val="heading 6"/>
    <w:basedOn w:val="1"/>
    <w:next w:val="1"/>
    <w:qFormat/>
    <w:uiPriority w:val="0"/>
    <w:pPr>
      <w:keepNext/>
      <w:outlineLvl w:val="5"/>
    </w:pPr>
    <w:rPr>
      <w:color w:val="0000FF"/>
      <w:sz w:val="24"/>
    </w:rPr>
  </w:style>
  <w:style w:type="paragraph" w:styleId="9">
    <w:name w:val="heading 7"/>
    <w:basedOn w:val="1"/>
    <w:next w:val="1"/>
    <w:qFormat/>
    <w:uiPriority w:val="0"/>
    <w:pPr>
      <w:keepNext/>
      <w:spacing w:line="480" w:lineRule="exact"/>
      <w:outlineLvl w:val="6"/>
    </w:pPr>
    <w:rPr>
      <w:rFonts w:ascii="仿宋_GB2312" w:hAnsi="宋体" w:eastAsia="仿宋_GB2312"/>
      <w:sz w:val="28"/>
    </w:rPr>
  </w:style>
  <w:style w:type="character" w:default="1" w:styleId="39">
    <w:name w:val="Default Paragraph Font"/>
    <w:unhideWhenUsed/>
    <w:qFormat/>
    <w:uiPriority w:val="1"/>
  </w:style>
  <w:style w:type="table" w:default="1" w:styleId="37">
    <w:name w:val="Normal Table"/>
    <w:unhideWhenUsed/>
    <w:qFormat/>
    <w:uiPriority w:val="99"/>
    <w:tblPr>
      <w:tblCellMar>
        <w:top w:w="0" w:type="dxa"/>
        <w:left w:w="108" w:type="dxa"/>
        <w:bottom w:w="0" w:type="dxa"/>
        <w:right w:w="108" w:type="dxa"/>
      </w:tblCellMar>
    </w:tblPr>
  </w:style>
  <w:style w:type="paragraph" w:styleId="7">
    <w:name w:val="Normal Indent"/>
    <w:basedOn w:val="1"/>
    <w:next w:val="1"/>
    <w:qFormat/>
    <w:uiPriority w:val="0"/>
    <w:pPr>
      <w:widowControl w:val="0"/>
      <w:ind w:firstLine="420"/>
      <w:jc w:val="both"/>
    </w:pPr>
    <w:rPr>
      <w:kern w:val="2"/>
    </w:rPr>
  </w:style>
  <w:style w:type="paragraph" w:styleId="10">
    <w:name w:val="toc 7"/>
    <w:basedOn w:val="1"/>
    <w:next w:val="1"/>
    <w:qFormat/>
    <w:uiPriority w:val="0"/>
    <w:pPr>
      <w:ind w:left="1200"/>
    </w:pPr>
    <w:rPr>
      <w:sz w:val="18"/>
    </w:rPr>
  </w:style>
  <w:style w:type="paragraph" w:styleId="11">
    <w:name w:val="List Number"/>
    <w:basedOn w:val="1"/>
    <w:qFormat/>
    <w:uiPriority w:val="0"/>
    <w:pPr>
      <w:widowControl w:val="0"/>
      <w:tabs>
        <w:tab w:val="left" w:pos="360"/>
        <w:tab w:val="left" w:pos="1320"/>
      </w:tabs>
      <w:jc w:val="both"/>
    </w:pPr>
    <w:rPr>
      <w:kern w:val="2"/>
      <w:szCs w:val="24"/>
    </w:rPr>
  </w:style>
  <w:style w:type="paragraph" w:styleId="12">
    <w:name w:val="Document Map"/>
    <w:basedOn w:val="1"/>
    <w:qFormat/>
    <w:uiPriority w:val="0"/>
    <w:pPr>
      <w:shd w:val="clear" w:color="auto" w:fill="000080"/>
    </w:pPr>
  </w:style>
  <w:style w:type="paragraph" w:styleId="13">
    <w:name w:val="annotation text"/>
    <w:basedOn w:val="1"/>
    <w:link w:val="49"/>
    <w:qFormat/>
    <w:uiPriority w:val="0"/>
    <w:pPr>
      <w:widowControl w:val="0"/>
    </w:pPr>
    <w:rPr>
      <w:kern w:val="2"/>
      <w:szCs w:val="24"/>
    </w:rPr>
  </w:style>
  <w:style w:type="paragraph" w:styleId="14">
    <w:name w:val="Body Text 3"/>
    <w:basedOn w:val="1"/>
    <w:qFormat/>
    <w:uiPriority w:val="0"/>
    <w:pPr>
      <w:jc w:val="center"/>
    </w:pPr>
    <w:rPr>
      <w:sz w:val="24"/>
    </w:rPr>
  </w:style>
  <w:style w:type="paragraph" w:styleId="15">
    <w:name w:val="Body Text"/>
    <w:basedOn w:val="1"/>
    <w:qFormat/>
    <w:uiPriority w:val="0"/>
    <w:pPr>
      <w:snapToGrid w:val="0"/>
      <w:spacing w:line="360" w:lineRule="auto"/>
    </w:pPr>
    <w:rPr>
      <w:rFonts w:ascii="宋体"/>
      <w:sz w:val="24"/>
    </w:rPr>
  </w:style>
  <w:style w:type="paragraph" w:styleId="16">
    <w:name w:val="Body Text Indent"/>
    <w:basedOn w:val="1"/>
    <w:next w:val="1"/>
    <w:link w:val="48"/>
    <w:qFormat/>
    <w:uiPriority w:val="0"/>
    <w:pPr>
      <w:autoSpaceDE w:val="0"/>
      <w:autoSpaceDN w:val="0"/>
      <w:snapToGrid w:val="0"/>
      <w:spacing w:line="480" w:lineRule="auto"/>
      <w:ind w:firstLine="560" w:firstLineChars="200"/>
      <w:jc w:val="both"/>
    </w:pPr>
    <w:rPr>
      <w:sz w:val="28"/>
    </w:rPr>
  </w:style>
  <w:style w:type="paragraph" w:styleId="17">
    <w:name w:val="toc 5"/>
    <w:basedOn w:val="1"/>
    <w:next w:val="1"/>
    <w:qFormat/>
    <w:uiPriority w:val="0"/>
    <w:pPr>
      <w:ind w:left="800"/>
    </w:pPr>
    <w:rPr>
      <w:sz w:val="18"/>
    </w:rPr>
  </w:style>
  <w:style w:type="paragraph" w:styleId="18">
    <w:name w:val="toc 3"/>
    <w:basedOn w:val="1"/>
    <w:next w:val="1"/>
    <w:qFormat/>
    <w:uiPriority w:val="0"/>
    <w:pPr>
      <w:ind w:left="400"/>
    </w:pPr>
    <w:rPr>
      <w:i/>
    </w:rPr>
  </w:style>
  <w:style w:type="paragraph" w:styleId="19">
    <w:name w:val="Plain Text"/>
    <w:basedOn w:val="1"/>
    <w:next w:val="1"/>
    <w:link w:val="50"/>
    <w:qFormat/>
    <w:uiPriority w:val="0"/>
    <w:pPr>
      <w:widowControl w:val="0"/>
      <w:tabs>
        <w:tab w:val="right" w:leader="dot" w:pos="8494"/>
      </w:tabs>
      <w:jc w:val="both"/>
    </w:pPr>
    <w:rPr>
      <w:rFonts w:ascii="宋体" w:hAnsi="Courier New"/>
      <w:kern w:val="2"/>
    </w:rPr>
  </w:style>
  <w:style w:type="paragraph" w:styleId="20">
    <w:name w:val="toc 8"/>
    <w:basedOn w:val="1"/>
    <w:next w:val="1"/>
    <w:qFormat/>
    <w:uiPriority w:val="0"/>
    <w:pPr>
      <w:ind w:left="1400"/>
    </w:pPr>
    <w:rPr>
      <w:sz w:val="18"/>
    </w:rPr>
  </w:style>
  <w:style w:type="paragraph" w:styleId="21">
    <w:name w:val="Date"/>
    <w:basedOn w:val="1"/>
    <w:next w:val="1"/>
    <w:qFormat/>
    <w:uiPriority w:val="0"/>
    <w:pPr>
      <w:ind w:left="100" w:leftChars="2500"/>
    </w:pPr>
    <w:rPr>
      <w:rFonts w:ascii="宋体" w:hAnsi="宋体"/>
      <w:sz w:val="24"/>
    </w:rPr>
  </w:style>
  <w:style w:type="paragraph" w:styleId="22">
    <w:name w:val="Body Text Indent 2"/>
    <w:basedOn w:val="1"/>
    <w:qFormat/>
    <w:uiPriority w:val="0"/>
    <w:pPr>
      <w:snapToGrid w:val="0"/>
      <w:spacing w:line="312" w:lineRule="auto"/>
      <w:ind w:firstLine="480"/>
    </w:pPr>
    <w:rPr>
      <w:rFonts w:ascii="宋体" w:hAnsi="宋体"/>
      <w:sz w:val="24"/>
    </w:rPr>
  </w:style>
  <w:style w:type="paragraph" w:styleId="23">
    <w:name w:val="Balloon Text"/>
    <w:basedOn w:val="1"/>
    <w:qFormat/>
    <w:uiPriority w:val="0"/>
    <w:rPr>
      <w:sz w:val="18"/>
    </w:rPr>
  </w:style>
  <w:style w:type="paragraph" w:styleId="24">
    <w:name w:val="footer"/>
    <w:basedOn w:val="1"/>
    <w:qFormat/>
    <w:uiPriority w:val="0"/>
    <w:pPr>
      <w:widowControl w:val="0"/>
      <w:tabs>
        <w:tab w:val="center" w:pos="4140"/>
        <w:tab w:val="right" w:pos="8300"/>
      </w:tabs>
      <w:adjustRightInd w:val="0"/>
      <w:snapToGrid w:val="0"/>
    </w:pPr>
    <w:rPr>
      <w:sz w:val="18"/>
    </w:rPr>
  </w:style>
  <w:style w:type="paragraph" w:styleId="25">
    <w:name w:val="header"/>
    <w:basedOn w:val="1"/>
    <w:qFormat/>
    <w:uiPriority w:val="0"/>
    <w:pPr>
      <w:widowControl w:val="0"/>
      <w:pBdr>
        <w:bottom w:val="single" w:color="000000" w:sz="6" w:space="1"/>
      </w:pBdr>
      <w:tabs>
        <w:tab w:val="center" w:pos="4140"/>
        <w:tab w:val="right" w:pos="8300"/>
      </w:tabs>
      <w:adjustRightInd w:val="0"/>
      <w:snapToGrid w:val="0"/>
      <w:jc w:val="center"/>
    </w:pPr>
    <w:rPr>
      <w:sz w:val="18"/>
    </w:rPr>
  </w:style>
  <w:style w:type="paragraph" w:styleId="26">
    <w:name w:val="toc 1"/>
    <w:basedOn w:val="1"/>
    <w:next w:val="1"/>
    <w:qFormat/>
    <w:uiPriority w:val="0"/>
    <w:pPr>
      <w:spacing w:before="120" w:after="120"/>
    </w:pPr>
    <w:rPr>
      <w:b/>
      <w:bCs/>
      <w:caps/>
    </w:rPr>
  </w:style>
  <w:style w:type="paragraph" w:styleId="27">
    <w:name w:val="toc 4"/>
    <w:basedOn w:val="1"/>
    <w:next w:val="1"/>
    <w:qFormat/>
    <w:uiPriority w:val="0"/>
    <w:pPr>
      <w:ind w:left="600"/>
    </w:pPr>
    <w:rPr>
      <w:sz w:val="18"/>
    </w:rPr>
  </w:style>
  <w:style w:type="paragraph" w:styleId="28">
    <w:name w:val="toc 6"/>
    <w:basedOn w:val="1"/>
    <w:next w:val="1"/>
    <w:qFormat/>
    <w:uiPriority w:val="0"/>
    <w:pPr>
      <w:ind w:left="1000"/>
    </w:pPr>
    <w:rPr>
      <w:sz w:val="18"/>
    </w:rPr>
  </w:style>
  <w:style w:type="paragraph" w:styleId="29">
    <w:name w:val="Body Text Indent 3"/>
    <w:basedOn w:val="1"/>
    <w:qFormat/>
    <w:uiPriority w:val="0"/>
    <w:pPr>
      <w:ind w:left="570"/>
    </w:pPr>
    <w:rPr>
      <w:sz w:val="24"/>
    </w:rPr>
  </w:style>
  <w:style w:type="paragraph" w:styleId="30">
    <w:name w:val="toc 2"/>
    <w:basedOn w:val="1"/>
    <w:next w:val="1"/>
    <w:qFormat/>
    <w:uiPriority w:val="0"/>
    <w:pPr>
      <w:tabs>
        <w:tab w:val="right" w:leader="dot" w:pos="8494"/>
      </w:tabs>
      <w:ind w:left="200"/>
    </w:pPr>
    <w:rPr>
      <w:smallCaps/>
      <w:sz w:val="24"/>
    </w:rPr>
  </w:style>
  <w:style w:type="paragraph" w:styleId="31">
    <w:name w:val="toc 9"/>
    <w:basedOn w:val="1"/>
    <w:next w:val="1"/>
    <w:qFormat/>
    <w:uiPriority w:val="0"/>
    <w:pPr>
      <w:ind w:left="1600"/>
    </w:pPr>
    <w:rPr>
      <w:sz w:val="18"/>
    </w:rPr>
  </w:style>
  <w:style w:type="paragraph" w:styleId="32">
    <w:name w:val="Body Text 2"/>
    <w:basedOn w:val="1"/>
    <w:qFormat/>
    <w:uiPriority w:val="0"/>
    <w:pPr>
      <w:tabs>
        <w:tab w:val="left" w:pos="360"/>
        <w:tab w:val="left" w:pos="900"/>
      </w:tabs>
    </w:pPr>
    <w:rPr>
      <w:rFonts w:ascii="宋体" w:hAnsi="宋体"/>
      <w:sz w:val="24"/>
      <w:u w:val="single"/>
    </w:rPr>
  </w:style>
  <w:style w:type="paragraph" w:styleId="33">
    <w:name w:val="Normal (Web)"/>
    <w:basedOn w:val="1"/>
    <w:qFormat/>
    <w:uiPriority w:val="0"/>
    <w:pPr>
      <w:spacing w:before="100" w:beforeAutospacing="1" w:after="100" w:afterAutospacing="1"/>
    </w:pPr>
    <w:rPr>
      <w:rFonts w:ascii="宋体" w:hAnsi="宋体"/>
      <w:sz w:val="24"/>
    </w:rPr>
  </w:style>
  <w:style w:type="paragraph" w:styleId="34">
    <w:name w:val="Title"/>
    <w:basedOn w:val="1"/>
    <w:next w:val="1"/>
    <w:qFormat/>
    <w:uiPriority w:val="99"/>
    <w:pPr>
      <w:autoSpaceDE w:val="0"/>
      <w:autoSpaceDN w:val="0"/>
      <w:adjustRightInd w:val="0"/>
      <w:spacing w:before="240" w:after="60"/>
      <w:jc w:val="center"/>
      <w:outlineLvl w:val="0"/>
    </w:pPr>
    <w:rPr>
      <w:rFonts w:ascii="Cambria" w:hAnsi="Cambria"/>
      <w:b/>
      <w:color w:val="000000"/>
      <w:kern w:val="0"/>
      <w:sz w:val="32"/>
      <w:szCs w:val="32"/>
    </w:rPr>
  </w:style>
  <w:style w:type="paragraph" w:styleId="35">
    <w:name w:val="Body Text First Indent"/>
    <w:basedOn w:val="15"/>
    <w:next w:val="28"/>
    <w:qFormat/>
    <w:uiPriority w:val="0"/>
    <w:pPr>
      <w:spacing w:after="120" w:line="240" w:lineRule="auto"/>
      <w:ind w:firstLine="420" w:firstLineChars="100"/>
    </w:pPr>
  </w:style>
  <w:style w:type="paragraph" w:styleId="36">
    <w:name w:val="Body Text First Indent 2"/>
    <w:basedOn w:val="16"/>
    <w:next w:val="1"/>
    <w:qFormat/>
    <w:uiPriority w:val="0"/>
    <w:pPr>
      <w:spacing w:after="120" w:line="240" w:lineRule="auto"/>
      <w:ind w:left="420" w:leftChars="200" w:firstLine="420"/>
    </w:pPr>
    <w:rPr>
      <w:sz w:val="21"/>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qFormat/>
    <w:uiPriority w:val="0"/>
    <w:rPr>
      <w:rFonts w:ascii="Arial" w:hAnsi="Arial" w:eastAsia="宋体" w:cs="Times New Roman"/>
      <w:b/>
      <w:sz w:val="26"/>
      <w:u w:val="none"/>
    </w:rPr>
  </w:style>
  <w:style w:type="character" w:styleId="41">
    <w:name w:val="page number"/>
    <w:basedOn w:val="39"/>
    <w:qFormat/>
    <w:uiPriority w:val="0"/>
    <w:rPr>
      <w:rFonts w:ascii="Times New Roman" w:hAnsi="Times New Roman" w:eastAsia="宋体" w:cs="Times New Roman"/>
    </w:rPr>
  </w:style>
  <w:style w:type="character" w:styleId="42">
    <w:name w:val="FollowedHyperlink"/>
    <w:basedOn w:val="39"/>
    <w:qFormat/>
    <w:uiPriority w:val="0"/>
    <w:rPr>
      <w:rFonts w:ascii="Times New Roman" w:hAnsi="Times New Roman" w:eastAsia="宋体" w:cs="Times New Roman"/>
      <w:color w:val="800080"/>
      <w:u w:val="single"/>
    </w:rPr>
  </w:style>
  <w:style w:type="character" w:styleId="43">
    <w:name w:val="Hyperlink"/>
    <w:basedOn w:val="39"/>
    <w:qFormat/>
    <w:uiPriority w:val="0"/>
    <w:rPr>
      <w:rFonts w:ascii="Times New Roman" w:hAnsi="Times New Roman" w:eastAsia="宋体" w:cs="Times New Roman"/>
      <w:color w:val="0000FF"/>
      <w:u w:val="single"/>
    </w:rPr>
  </w:style>
  <w:style w:type="character" w:styleId="44">
    <w:name w:val="annotation reference"/>
    <w:basedOn w:val="39"/>
    <w:qFormat/>
    <w:uiPriority w:val="0"/>
    <w:rPr>
      <w:rFonts w:ascii="Times New Roman" w:hAnsi="Times New Roman" w:eastAsia="宋体" w:cs="Times New Roman"/>
      <w:sz w:val="21"/>
      <w:szCs w:val="21"/>
    </w:rPr>
  </w:style>
  <w:style w:type="paragraph" w:customStyle="1" w:styleId="45">
    <w:name w:val="_Style 1"/>
    <w:qFormat/>
    <w:uiPriority w:val="0"/>
    <w:rPr>
      <w:rFonts w:ascii="Calibri" w:hAnsi="Calibri" w:eastAsia="宋体" w:cs="宋体"/>
      <w:kern w:val="2"/>
      <w:sz w:val="28"/>
      <w:szCs w:val="22"/>
      <w:lang w:val="en-US" w:eastAsia="zh-CN" w:bidi="ar-SA"/>
    </w:rPr>
  </w:style>
  <w:style w:type="paragraph" w:customStyle="1" w:styleId="46">
    <w:name w:val="标准正文"/>
    <w:basedOn w:val="1"/>
    <w:qFormat/>
    <w:uiPriority w:val="0"/>
    <w:pPr>
      <w:spacing w:line="360" w:lineRule="auto"/>
      <w:ind w:firstLine="200" w:firstLineChars="200"/>
    </w:pPr>
    <w:rPr>
      <w:sz w:val="24"/>
      <w:szCs w:val="20"/>
    </w:rPr>
  </w:style>
  <w:style w:type="paragraph" w:customStyle="1" w:styleId="47">
    <w:name w:val="表格文字"/>
    <w:basedOn w:val="1"/>
    <w:next w:val="15"/>
    <w:qFormat/>
    <w:uiPriority w:val="0"/>
    <w:pPr>
      <w:adjustRightInd w:val="0"/>
      <w:spacing w:line="420" w:lineRule="atLeast"/>
      <w:jc w:val="left"/>
      <w:textAlignment w:val="baseline"/>
    </w:pPr>
    <w:rPr>
      <w:rFonts w:ascii="Calibri" w:hAnsi="Calibri" w:eastAsia="宋体" w:cs="Times New Roman"/>
      <w:kern w:val="0"/>
    </w:rPr>
  </w:style>
  <w:style w:type="character" w:customStyle="1" w:styleId="48">
    <w:name w:val="正文文本缩进 Char"/>
    <w:basedOn w:val="39"/>
    <w:link w:val="16"/>
    <w:qFormat/>
    <w:uiPriority w:val="0"/>
    <w:rPr>
      <w:rFonts w:ascii="Times New Roman" w:hAnsi="Times New Roman" w:eastAsia="宋体" w:cs="Times New Roman"/>
      <w:sz w:val="28"/>
      <w:lang w:val="en-US" w:eastAsia="zh-CN" w:bidi="ar-SA"/>
    </w:rPr>
  </w:style>
  <w:style w:type="character" w:customStyle="1" w:styleId="49">
    <w:name w:val="批注文字 Char"/>
    <w:basedOn w:val="39"/>
    <w:link w:val="13"/>
    <w:qFormat/>
    <w:uiPriority w:val="0"/>
    <w:rPr>
      <w:rFonts w:ascii="Times New Roman" w:hAnsi="Times New Roman" w:eastAsia="宋体" w:cs="Times New Roman"/>
      <w:kern w:val="2"/>
      <w:sz w:val="21"/>
      <w:szCs w:val="24"/>
      <w:lang w:val="en-US" w:eastAsia="zh-CN" w:bidi="ar-SA"/>
    </w:rPr>
  </w:style>
  <w:style w:type="character" w:customStyle="1" w:styleId="50">
    <w:name w:val="纯文本 Char"/>
    <w:link w:val="19"/>
    <w:qFormat/>
    <w:uiPriority w:val="0"/>
    <w:rPr>
      <w:rFonts w:ascii="宋体" w:hAnsi="Courier New" w:eastAsia="宋体" w:cs="Times New Roman"/>
      <w:kern w:val="2"/>
      <w:sz w:val="21"/>
      <w:lang w:val="en-US" w:eastAsia="zh-CN" w:bidi="ar-SA"/>
    </w:rPr>
  </w:style>
  <w:style w:type="paragraph" w:customStyle="1" w:styleId="51">
    <w:name w:val="纯文本1"/>
    <w:basedOn w:val="1"/>
    <w:qFormat/>
    <w:uiPriority w:val="0"/>
    <w:pPr>
      <w:widowControl w:val="0"/>
      <w:jc w:val="both"/>
    </w:pPr>
    <w:rPr>
      <w:rFonts w:hint="eastAsia" w:hAnsi="Courier New"/>
      <w:kern w:val="2"/>
    </w:rPr>
  </w:style>
  <w:style w:type="paragraph" w:customStyle="1" w:styleId="52">
    <w:name w:val="reader-word-layer"/>
    <w:basedOn w:val="1"/>
    <w:qFormat/>
    <w:uiPriority w:val="0"/>
    <w:pPr>
      <w:spacing w:before="100" w:beforeAutospacing="1" w:after="100" w:afterAutospacing="1"/>
    </w:pPr>
    <w:rPr>
      <w:rFonts w:ascii="宋体" w:hAnsi="宋体" w:cs="宋体"/>
      <w:sz w:val="24"/>
      <w:szCs w:val="24"/>
    </w:rPr>
  </w:style>
  <w:style w:type="paragraph" w:customStyle="1" w:styleId="53">
    <w:name w:val="纯文本_3"/>
    <w:basedOn w:val="54"/>
    <w:qFormat/>
    <w:uiPriority w:val="0"/>
    <w:pPr>
      <w:widowControl/>
      <w:jc w:val="left"/>
    </w:pPr>
    <w:rPr>
      <w:rFonts w:ascii="宋体" w:hAnsi="Courier New"/>
      <w:szCs w:val="21"/>
    </w:rPr>
  </w:style>
  <w:style w:type="paragraph" w:customStyle="1" w:styleId="54">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Char Char Char Char Char Char Char Char Char Char"/>
    <w:basedOn w:val="1"/>
    <w:qFormat/>
    <w:uiPriority w:val="0"/>
    <w:pPr>
      <w:spacing w:line="360" w:lineRule="auto"/>
      <w:ind w:firstLine="200" w:firstLineChars="200"/>
    </w:pPr>
  </w:style>
  <w:style w:type="paragraph" w:customStyle="1" w:styleId="56">
    <w:name w:val="p0"/>
    <w:basedOn w:val="1"/>
    <w:qFormat/>
    <w:uiPriority w:val="0"/>
    <w:pPr>
      <w:jc w:val="both"/>
    </w:pPr>
    <w:rPr>
      <w:szCs w:val="21"/>
    </w:rPr>
  </w:style>
  <w:style w:type="paragraph" w:customStyle="1" w:styleId="57">
    <w:name w:val="Char"/>
    <w:basedOn w:val="1"/>
    <w:qFormat/>
    <w:uiPriority w:val="0"/>
    <w:pPr>
      <w:widowControl w:val="0"/>
      <w:jc w:val="both"/>
    </w:pPr>
    <w:rPr>
      <w:rFonts w:ascii="宋体" w:hAnsi="宋体"/>
      <w:b/>
      <w:kern w:val="2"/>
      <w:sz w:val="24"/>
      <w:szCs w:val="24"/>
    </w:rPr>
  </w:style>
  <w:style w:type="paragraph" w:customStyle="1" w:styleId="58">
    <w:name w:val="样式 楷体_GB2312 小四 Char Char Char Char Char Char Char Char Char Char Char Char"/>
    <w:basedOn w:val="1"/>
    <w:next w:val="1"/>
    <w:qFormat/>
    <w:uiPriority w:val="0"/>
    <w:pPr>
      <w:widowControl w:val="0"/>
      <w:spacing w:line="360" w:lineRule="auto"/>
      <w:jc w:val="both"/>
    </w:pPr>
    <w:rPr>
      <w:rFonts w:ascii="楷体_GB2312" w:eastAsia="楷体_GB2312"/>
      <w:kern w:val="2"/>
      <w:sz w:val="24"/>
    </w:rPr>
  </w:style>
  <w:style w:type="paragraph" w:customStyle="1" w:styleId="59">
    <w:name w:val="默认段落字体 Para Char Char Char Char Char Char Char Char Char1 Char Char Char Char"/>
    <w:basedOn w:val="1"/>
    <w:qFormat/>
    <w:uiPriority w:val="0"/>
    <w:pPr>
      <w:widowControl w:val="0"/>
      <w:jc w:val="both"/>
    </w:pPr>
    <w:rPr>
      <w:rFonts w:ascii="Tahoma" w:hAnsi="Tahoma"/>
      <w:kern w:val="2"/>
      <w:sz w:val="24"/>
    </w:rPr>
  </w:style>
  <w:style w:type="paragraph" w:customStyle="1" w:styleId="6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纯文本_0_1"/>
    <w:basedOn w:val="1"/>
    <w:qFormat/>
    <w:uiPriority w:val="0"/>
    <w:rPr>
      <w:rFonts w:ascii="宋体" w:hAnsi="Courier New"/>
      <w:kern w:val="2"/>
      <w:szCs w:val="21"/>
    </w:rPr>
  </w:style>
  <w:style w:type="paragraph" w:customStyle="1" w:styleId="62">
    <w:name w:val="Char Char Char Char Char Char Char"/>
    <w:basedOn w:val="1"/>
    <w:qFormat/>
    <w:uiPriority w:val="0"/>
    <w:pPr>
      <w:widowControl w:val="0"/>
      <w:jc w:val="both"/>
    </w:pPr>
    <w:rPr>
      <w:kern w:val="2"/>
    </w:rPr>
  </w:style>
  <w:style w:type="paragraph" w:customStyle="1" w:styleId="63">
    <w:name w:val="列出段落1"/>
    <w:basedOn w:val="1"/>
    <w:qFormat/>
    <w:uiPriority w:val="0"/>
    <w:pPr>
      <w:widowControl w:val="0"/>
      <w:ind w:firstLine="420" w:firstLineChars="200"/>
      <w:jc w:val="both"/>
    </w:pPr>
    <w:rPr>
      <w:rFonts w:ascii="Calibri" w:hAnsi="Calibri"/>
      <w:kern w:val="2"/>
      <w:szCs w:val="22"/>
    </w:rPr>
  </w:style>
  <w:style w:type="paragraph" w:customStyle="1" w:styleId="64">
    <w:name w:val="Char Char2 Char Char Char Char Char Char Char Char Char Char"/>
    <w:basedOn w:val="1"/>
    <w:qFormat/>
    <w:uiPriority w:val="0"/>
    <w:pPr>
      <w:widowControl w:val="0"/>
      <w:jc w:val="both"/>
    </w:pPr>
    <w:rPr>
      <w:kern w:val="2"/>
      <w:sz w:val="24"/>
      <w:szCs w:val="24"/>
    </w:rPr>
  </w:style>
  <w:style w:type="paragraph" w:customStyle="1" w:styleId="6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Blockquote"/>
    <w:basedOn w:val="1"/>
    <w:qFormat/>
    <w:uiPriority w:val="0"/>
    <w:pPr>
      <w:widowControl w:val="0"/>
      <w:autoSpaceDE w:val="0"/>
      <w:autoSpaceDN w:val="0"/>
      <w:adjustRightInd w:val="0"/>
      <w:spacing w:before="100" w:after="100"/>
      <w:ind w:left="360" w:right="360"/>
      <w:jc w:val="both"/>
    </w:pPr>
    <w:rPr>
      <w:rFonts w:ascii="宋体" w:hAnsi="宋体" w:cs="宋体"/>
      <w:sz w:val="34"/>
      <w:szCs w:val="34"/>
    </w:rPr>
  </w:style>
  <w:style w:type="paragraph" w:customStyle="1" w:styleId="6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69">
    <w:name w:val="列出段落11"/>
    <w:basedOn w:val="1"/>
    <w:qFormat/>
    <w:uiPriority w:val="0"/>
    <w:pPr>
      <w:widowControl w:val="0"/>
      <w:ind w:firstLine="420" w:firstLineChars="200"/>
      <w:jc w:val="both"/>
    </w:pPr>
    <w:rPr>
      <w:rFonts w:ascii="Calibri" w:hAnsi="Calibri"/>
    </w:rPr>
  </w:style>
  <w:style w:type="paragraph" w:customStyle="1" w:styleId="70">
    <w:name w:val="正文_14"/>
    <w:qFormat/>
    <w:uiPriority w:val="0"/>
    <w:rPr>
      <w:rFonts w:ascii="Times New Roman" w:hAnsi="Times New Roman" w:eastAsia="宋体" w:cs="Times New Roman"/>
      <w:sz w:val="21"/>
      <w:szCs w:val="22"/>
      <w:lang w:val="en-US" w:eastAsia="zh-CN" w:bidi="ar-SA"/>
    </w:rPr>
  </w:style>
  <w:style w:type="paragraph" w:customStyle="1" w:styleId="7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zw"/>
    <w:basedOn w:val="1"/>
    <w:qFormat/>
    <w:uiPriority w:val="0"/>
    <w:pPr>
      <w:spacing w:before="30"/>
      <w:ind w:left="100" w:right="100"/>
      <w:jc w:val="both"/>
    </w:pPr>
    <w:rPr>
      <w:rFonts w:ascii="方正书宋简体" w:hAnsi="宋体" w:eastAsia="方正书宋简体"/>
      <w:color w:val="000000"/>
      <w:szCs w:val="21"/>
    </w:rPr>
  </w:style>
  <w:style w:type="paragraph" w:customStyle="1" w:styleId="73">
    <w:name w:val="_Style 3"/>
    <w:basedOn w:val="1"/>
    <w:next w:val="1"/>
    <w:qFormat/>
    <w:uiPriority w:val="0"/>
    <w:pPr>
      <w:pBdr>
        <w:top w:val="single" w:color="auto" w:sz="6" w:space="1"/>
      </w:pBdr>
      <w:jc w:val="center"/>
    </w:pPr>
    <w:rPr>
      <w:rFonts w:ascii="Arial"/>
      <w:vanish/>
      <w:sz w:val="16"/>
    </w:rPr>
  </w:style>
  <w:style w:type="paragraph" w:customStyle="1" w:styleId="7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
    <w:name w:val="表内文字"/>
    <w:basedOn w:val="1"/>
    <w:qFormat/>
    <w:uiPriority w:val="0"/>
    <w:pPr>
      <w:widowControl w:val="0"/>
      <w:tabs>
        <w:tab w:val="left" w:pos="1418"/>
      </w:tabs>
      <w:spacing w:line="360" w:lineRule="auto"/>
      <w:jc w:val="center"/>
    </w:pPr>
    <w:rPr>
      <w:rFonts w:ascii="仿宋_GB2312" w:eastAsia="仿宋_GB2312"/>
      <w:spacing w:val="-20"/>
      <w:sz w:val="24"/>
      <w:szCs w:val="24"/>
    </w:rPr>
  </w:style>
  <w:style w:type="paragraph" w:customStyle="1" w:styleId="77">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Char11"/>
    <w:basedOn w:val="1"/>
    <w:qFormat/>
    <w:uiPriority w:val="0"/>
    <w:pPr>
      <w:widowControl w:val="0"/>
      <w:jc w:val="both"/>
    </w:pPr>
    <w:rPr>
      <w:rFonts w:ascii="仿宋_GB2312" w:eastAsia="仿宋_GB2312"/>
      <w:b/>
      <w:kern w:val="2"/>
      <w:sz w:val="32"/>
      <w:szCs w:val="32"/>
    </w:rPr>
  </w:style>
  <w:style w:type="paragraph" w:customStyle="1" w:styleId="79">
    <w:name w:val="标题6"/>
    <w:basedOn w:val="1"/>
    <w:next w:val="3"/>
    <w:qFormat/>
    <w:uiPriority w:val="0"/>
    <w:pPr>
      <w:snapToGrid w:val="0"/>
      <w:spacing w:beforeLines="50" w:afterLines="50" w:line="520" w:lineRule="atLeast"/>
      <w:ind w:firstLine="200" w:firstLineChars="200"/>
      <w:jc w:val="both"/>
    </w:pPr>
    <w:rPr>
      <w:rFonts w:cs="Arial"/>
      <w:b/>
      <w:kern w:val="2"/>
      <w:sz w:val="24"/>
      <w:szCs w:val="24"/>
    </w:rPr>
  </w:style>
  <w:style w:type="paragraph" w:customStyle="1" w:styleId="80">
    <w:name w:val="无间隔1"/>
    <w:qFormat/>
    <w:uiPriority w:val="0"/>
    <w:pPr>
      <w:adjustRightInd w:val="0"/>
      <w:snapToGrid w:val="0"/>
    </w:pPr>
    <w:rPr>
      <w:rFonts w:ascii="Tahoma" w:hAnsi="Tahoma" w:eastAsia="微软雅黑" w:cs="Times New Roman"/>
      <w:sz w:val="22"/>
      <w:szCs w:val="22"/>
      <w:lang w:val="en-US" w:eastAsia="zh-CN" w:bidi="ar-SA"/>
    </w:rPr>
  </w:style>
  <w:style w:type="paragraph" w:customStyle="1" w:styleId="81">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普通(网站)11"/>
    <w:basedOn w:val="1"/>
    <w:qFormat/>
    <w:uiPriority w:val="0"/>
    <w:pPr>
      <w:spacing w:beforeAutospacing="1" w:afterAutospacing="1"/>
    </w:pPr>
    <w:rPr>
      <w:rFonts w:ascii="宋体" w:hAnsi="宋体"/>
      <w:sz w:val="24"/>
    </w:rPr>
  </w:style>
  <w:style w:type="paragraph" w:customStyle="1" w:styleId="8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Char1"/>
    <w:basedOn w:val="1"/>
    <w:qFormat/>
    <w:uiPriority w:val="0"/>
    <w:pPr>
      <w:widowControl w:val="0"/>
      <w:jc w:val="both"/>
    </w:pPr>
    <w:rPr>
      <w:kern w:val="2"/>
      <w:sz w:val="24"/>
      <w:szCs w:val="24"/>
    </w:rPr>
  </w:style>
  <w:style w:type="character" w:customStyle="1" w:styleId="85">
    <w:name w:val="tpc_content1"/>
    <w:basedOn w:val="39"/>
    <w:qFormat/>
    <w:uiPriority w:val="0"/>
    <w:rPr>
      <w:rFonts w:ascii="Times New Roman" w:hAnsi="Times New Roman" w:eastAsia="宋体" w:cs="Times New Roman"/>
      <w:sz w:val="20"/>
    </w:rPr>
  </w:style>
  <w:style w:type="character" w:customStyle="1" w:styleId="86">
    <w:name w:val="正文对齐 Char"/>
    <w:basedOn w:val="39"/>
    <w:qFormat/>
    <w:uiPriority w:val="0"/>
    <w:rPr>
      <w:rFonts w:ascii="Times New Roman" w:hAnsi="Times New Roman" w:eastAsia="宋体" w:cs="Times New Roman"/>
      <w:kern w:val="2"/>
      <w:sz w:val="21"/>
      <w:lang w:val="en-US" w:eastAsia="zh-CN"/>
    </w:rPr>
  </w:style>
  <w:style w:type="character" w:customStyle="1" w:styleId="87">
    <w:name w:val="wj1"/>
    <w:basedOn w:val="39"/>
    <w:qFormat/>
    <w:uiPriority w:val="0"/>
    <w:rPr>
      <w:rFonts w:ascii="Times New Roman" w:hAnsi="Times New Roman" w:eastAsia="宋体" w:cs="Times New Roman"/>
      <w:color w:val="000000"/>
      <w:sz w:val="18"/>
      <w:u w:val="none"/>
    </w:rPr>
  </w:style>
  <w:style w:type="character" w:customStyle="1" w:styleId="88">
    <w:name w:val="style6"/>
    <w:basedOn w:val="39"/>
    <w:qFormat/>
    <w:uiPriority w:val="0"/>
    <w:rPr>
      <w:rFonts w:ascii="Times New Roman" w:hAnsi="Times New Roman" w:eastAsia="宋体" w:cs="Times New Roman"/>
      <w:sz w:val="18"/>
    </w:rPr>
  </w:style>
  <w:style w:type="character" w:customStyle="1" w:styleId="89">
    <w:name w:val="htd0"/>
    <w:basedOn w:val="39"/>
    <w:qFormat/>
    <w:uiPriority w:val="0"/>
    <w:rPr>
      <w:rFonts w:ascii="Times New Roman" w:hAnsi="Times New Roman" w:eastAsia="宋体" w:cs="Times New Roman"/>
    </w:rPr>
  </w:style>
  <w:style w:type="character" w:customStyle="1" w:styleId="90">
    <w:name w:val="Char Char1"/>
    <w:basedOn w:val="39"/>
    <w:qFormat/>
    <w:uiPriority w:val="0"/>
    <w:rPr>
      <w:rFonts w:ascii="宋体" w:hAnsi="Courier New" w:eastAsia="宋体" w:cs="Times New Roman"/>
      <w:kern w:val="2"/>
      <w:sz w:val="21"/>
      <w:lang w:val="en-US" w:eastAsia="zh-CN" w:bidi="ar-SA"/>
    </w:rPr>
  </w:style>
  <w:style w:type="character" w:customStyle="1" w:styleId="91">
    <w:name w:val="普通文字 Char Char1"/>
    <w:basedOn w:val="39"/>
    <w:qFormat/>
    <w:uiPriority w:val="0"/>
    <w:rPr>
      <w:rFonts w:ascii="宋体" w:hAnsi="Courier New" w:eastAsia="宋体" w:cs="Times New Roman"/>
      <w:kern w:val="2"/>
      <w:sz w:val="21"/>
      <w:lang w:val="en-US" w:eastAsia="zh-CN"/>
    </w:rPr>
  </w:style>
  <w:style w:type="character" w:customStyle="1" w:styleId="92">
    <w:name w:val="样式 标题 3 + 加粗 Char"/>
    <w:basedOn w:val="39"/>
    <w:qFormat/>
    <w:uiPriority w:val="0"/>
    <w:rPr>
      <w:rFonts w:ascii="Arial" w:hAnsi="Arial" w:eastAsia="黑体" w:cs="Times New Roman"/>
      <w:b/>
      <w:spacing w:val="14"/>
      <w:kern w:val="24"/>
      <w:sz w:val="24"/>
      <w:lang w:val="en-US" w:eastAsia="zh-CN"/>
    </w:rPr>
  </w:style>
  <w:style w:type="paragraph" w:customStyle="1" w:styleId="93">
    <w:name w:val="BodyText1I2"/>
    <w:basedOn w:val="94"/>
    <w:next w:val="1"/>
    <w:qFormat/>
    <w:uiPriority w:val="0"/>
    <w:pPr>
      <w:tabs>
        <w:tab w:val="left" w:pos="1680"/>
      </w:tabs>
      <w:autoSpaceDE/>
      <w:autoSpaceDN/>
      <w:spacing w:before="0" w:after="120" w:line="360" w:lineRule="auto"/>
      <w:ind w:left="420" w:leftChars="200" w:firstLine="420" w:firstLineChars="200"/>
      <w:jc w:val="both"/>
      <w:textAlignment w:val="auto"/>
    </w:pPr>
    <w:rPr>
      <w:rFonts w:ascii="Calibri" w:hAnsi="Calibri" w:eastAsia="宋体"/>
      <w:kern w:val="2"/>
      <w:sz w:val="21"/>
      <w:szCs w:val="22"/>
      <w:lang w:val="en-US" w:eastAsia="zh-CN" w:bidi="ar-SA"/>
    </w:rPr>
  </w:style>
  <w:style w:type="paragraph" w:customStyle="1" w:styleId="94">
    <w:name w:val="BodyTextIndent"/>
    <w:basedOn w:val="1"/>
    <w:next w:val="1"/>
    <w:qFormat/>
    <w:uiPriority w:val="0"/>
    <w:pPr>
      <w:widowControl/>
      <w:snapToGrid w:val="0"/>
      <w:spacing w:before="120" w:line="400" w:lineRule="atLeast"/>
      <w:ind w:firstLine="570"/>
      <w:jc w:val="both"/>
      <w:textAlignment w:val="bottom"/>
    </w:pPr>
    <w:rPr>
      <w:rFonts w:ascii="宋体" w:hAnsi="Times New Roman" w:eastAsia="宋体"/>
      <w:kern w:val="0"/>
      <w:sz w:val="24"/>
      <w:szCs w:val="20"/>
      <w:lang w:val="en-US" w:eastAsia="zh-CN" w:bidi="ar-SA"/>
    </w:rPr>
  </w:style>
  <w:style w:type="paragraph" w:styleId="95">
    <w:name w:val="List Paragraph"/>
    <w:basedOn w:val="1"/>
    <w:qFormat/>
    <w:uiPriority w:val="0"/>
    <w:pPr>
      <w:ind w:firstLine="420" w:firstLineChars="200"/>
    </w:pPr>
    <w:rPr>
      <w:rFonts w:ascii="Calibri" w:hAnsi="Calibri" w:eastAsia="宋体" w:cs="Times New Roman"/>
    </w:rPr>
  </w:style>
  <w:style w:type="paragraph" w:customStyle="1" w:styleId="96">
    <w:name w:val="[Normal]"/>
    <w:qFormat/>
    <w:uiPriority w:val="0"/>
    <w:rPr>
      <w:rFonts w:ascii="宋体" w:hAnsi="宋体" w:eastAsia="宋体" w:cs="Times New Roman"/>
      <w:sz w:val="24"/>
      <w:szCs w:val="22"/>
      <w:lang w:val="zh-CN" w:eastAsia="zh-CN" w:bidi="ar-SA"/>
    </w:rPr>
  </w:style>
  <w:style w:type="paragraph" w:customStyle="1" w:styleId="97">
    <w:name w:val="正文（首行缩进2字符）"/>
    <w:basedOn w:val="1"/>
    <w:qFormat/>
    <w:uiPriority w:val="0"/>
    <w:pPr>
      <w:spacing w:line="360" w:lineRule="auto"/>
      <w:ind w:firstLine="420" w:firstLineChars="200"/>
    </w:pPr>
    <w:rPr>
      <w:szCs w:val="21"/>
    </w:rPr>
  </w:style>
  <w:style w:type="paragraph" w:customStyle="1" w:styleId="98">
    <w:name w:val="Table Paragraph"/>
    <w:basedOn w:val="1"/>
    <w:qFormat/>
    <w:uiPriority w:val="1"/>
    <w:rPr>
      <w:rFonts w:ascii="宋体" w:hAnsi="宋体" w:cs="宋体"/>
      <w:lang w:val="zh-CN" w:bidi="zh-CN"/>
    </w:rPr>
  </w:style>
  <w:style w:type="paragraph" w:customStyle="1" w:styleId="99">
    <w:name w:val="正文首行缩进1"/>
    <w:basedOn w:val="15"/>
    <w:qFormat/>
    <w:uiPriority w:val="0"/>
    <w:pPr>
      <w:ind w:firstLine="420" w:firstLineChars="100"/>
    </w:pPr>
  </w:style>
  <w:style w:type="character" w:customStyle="1" w:styleId="100">
    <w:name w:val="bjh-p"/>
    <w:qFormat/>
    <w:uiPriority w:val="0"/>
    <w:rPr>
      <w:rFonts w:ascii="Calibri" w:hAnsi="Calibri" w:eastAsia="宋体" w:cs="Times New Roman"/>
    </w:rPr>
  </w:style>
  <w:style w:type="paragraph" w:customStyle="1" w:styleId="101">
    <w:name w:val="列表段落1"/>
    <w:basedOn w:val="1"/>
    <w:qFormat/>
    <w:uiPriority w:val="0"/>
    <w:pPr>
      <w:widowControl w:val="0"/>
      <w:ind w:firstLine="420" w:firstLineChars="200"/>
      <w:jc w:val="both"/>
    </w:pPr>
    <w:rPr>
      <w:rFonts w:ascii="Calibri" w:hAnsi="Calibri" w:eastAsia="宋体" w:cs="Times New Roman"/>
      <w:kern w:val="2"/>
      <w:sz w:val="21"/>
      <w:szCs w:val="22"/>
    </w:rPr>
  </w:style>
  <w:style w:type="paragraph" w:customStyle="1" w:styleId="102">
    <w:name w:val="_Style 2"/>
    <w:qFormat/>
    <w:uiPriority w:val="99"/>
    <w:pPr>
      <w:adjustRightInd w:val="0"/>
      <w:snapToGrid w:val="0"/>
    </w:pPr>
    <w:rPr>
      <w:rFonts w:ascii="Tahoma" w:hAnsi="Tahoma" w:eastAsia="微软雅黑" w:cs="Tahoma"/>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6"/>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环境监测站 </Company>
  <Pages>66</Pages>
  <Words>32963</Words>
  <Characters>34596</Characters>
  <Lines>308</Lines>
  <Paragraphs>86</Paragraphs>
  <TotalTime>15</TotalTime>
  <ScaleCrop>false</ScaleCrop>
  <LinksUpToDate>false</LinksUpToDate>
  <CharactersWithSpaces>36992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2020-11-10T06:34:00Z</dcterms:created>
  <dc:creator>xx</dc:creator>
  <cp:lastModifiedBy>Administrator</cp:lastModifiedBy>
  <cp:lastPrinted>2022-07-18T03:16:00Z</cp:lastPrinted>
  <dcterms:modified xsi:type="dcterms:W3CDTF">2023-11-24T03:38:20Z</dcterms:modified>
  <dc:title>路桥区政府采购文件</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4065787428DF40E688F807E0BBF4D6D4_13</vt:lpwstr>
  </property>
</Properties>
</file>