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81912B">
      <w:pPr>
        <w:pStyle w:val="3"/>
        <w:ind w:left="0" w:leftChars="0" w:firstLine="0" w:firstLineChars="0"/>
        <w:rPr>
          <w:rFonts w:ascii="宋体" w:hAnsi="宋体"/>
          <w:color w:val="auto"/>
          <w:sz w:val="52"/>
          <w:szCs w:val="52"/>
          <w:highlight w:val="none"/>
        </w:rPr>
      </w:pPr>
    </w:p>
    <w:p w14:paraId="606B0882">
      <w:pPr>
        <w:pStyle w:val="2"/>
      </w:pPr>
    </w:p>
    <w:p w14:paraId="5DA737FF"/>
    <w:p w14:paraId="359D9DB2">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路桥区政府采购竞争性磋商</w:t>
      </w:r>
      <w:r>
        <w:rPr>
          <w:rFonts w:hint="eastAsia" w:ascii="方正小标宋简体" w:hAnsi="方正小标宋简体" w:eastAsia="方正小标宋简体"/>
          <w:color w:val="auto"/>
          <w:sz w:val="52"/>
          <w:szCs w:val="52"/>
          <w:highlight w:val="none"/>
        </w:rPr>
        <w:t>文件</w:t>
      </w:r>
    </w:p>
    <w:p w14:paraId="76E93BE7">
      <w:pPr>
        <w:widowControl w:val="0"/>
        <w:jc w:val="center"/>
        <w:rPr>
          <w:rFonts w:ascii="宋体" w:hAnsi="宋体"/>
          <w:b/>
          <w:color w:val="auto"/>
          <w:sz w:val="32"/>
          <w:szCs w:val="32"/>
          <w:highlight w:val="none"/>
        </w:rPr>
      </w:pPr>
      <w:r>
        <w:rPr>
          <w:rFonts w:hint="eastAsia" w:ascii="宋体" w:hAnsi="宋体"/>
          <w:b/>
          <w:color w:val="auto"/>
          <w:sz w:val="32"/>
          <w:szCs w:val="32"/>
          <w:highlight w:val="none"/>
          <w:lang w:eastAsia="zh-CN"/>
        </w:rPr>
        <w:t>LQCG-2025-CS003号</w:t>
      </w:r>
    </w:p>
    <w:p w14:paraId="17D43281">
      <w:pPr>
        <w:widowControl w:val="0"/>
        <w:jc w:val="center"/>
        <w:rPr>
          <w:rFonts w:ascii="宋体" w:hAnsi="宋体"/>
          <w:b/>
          <w:color w:val="auto"/>
          <w:sz w:val="28"/>
          <w:szCs w:val="28"/>
          <w:highlight w:val="none"/>
        </w:rPr>
      </w:pPr>
    </w:p>
    <w:p w14:paraId="79AA3F0B">
      <w:pPr>
        <w:widowControl w:val="0"/>
        <w:ind w:firstLine="1546" w:firstLineChars="550"/>
        <w:rPr>
          <w:rFonts w:ascii="宋体" w:hAnsi="宋体"/>
          <w:b/>
          <w:color w:val="auto"/>
          <w:sz w:val="28"/>
          <w:szCs w:val="28"/>
          <w:highlight w:val="none"/>
        </w:rPr>
      </w:pPr>
    </w:p>
    <w:p w14:paraId="0DD4AEDC">
      <w:pPr>
        <w:pStyle w:val="2"/>
      </w:pPr>
    </w:p>
    <w:p w14:paraId="1C0034AC">
      <w:pPr>
        <w:pStyle w:val="3"/>
      </w:pPr>
    </w:p>
    <w:p w14:paraId="5AFAF760">
      <w:pPr>
        <w:pStyle w:val="4"/>
      </w:pPr>
    </w:p>
    <w:p w14:paraId="600E5BFC">
      <w:pPr>
        <w:widowControl w:val="0"/>
        <w:ind w:firstLine="1546" w:firstLineChars="550"/>
        <w:rPr>
          <w:rFonts w:ascii="宋体" w:hAnsi="宋体"/>
          <w:b/>
          <w:color w:val="auto"/>
          <w:sz w:val="28"/>
          <w:szCs w:val="28"/>
          <w:highlight w:val="none"/>
        </w:rPr>
      </w:pPr>
    </w:p>
    <w:p w14:paraId="343A465B">
      <w:pPr>
        <w:widowControl w:val="0"/>
        <w:ind w:firstLine="1546" w:firstLineChars="550"/>
        <w:rPr>
          <w:rFonts w:ascii="宋体" w:hAnsi="宋体"/>
          <w:b/>
          <w:color w:val="auto"/>
          <w:sz w:val="28"/>
          <w:szCs w:val="28"/>
          <w:highlight w:val="none"/>
        </w:rPr>
      </w:pPr>
    </w:p>
    <w:p w14:paraId="2B81D9FD">
      <w:pPr>
        <w:widowControl w:val="0"/>
        <w:adjustRightInd w:val="0"/>
        <w:snapToGrid w:val="0"/>
        <w:spacing w:line="360" w:lineRule="auto"/>
        <w:ind w:left="3640" w:hanging="3640" w:hangingChars="1300"/>
        <w:rPr>
          <w:rFonts w:hint="default" w:ascii="宋体" w:hAnsi="宋体" w:eastAsia="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采购项目：</w:t>
      </w:r>
      <w:r>
        <w:rPr>
          <w:rFonts w:hint="eastAsia"/>
          <w:sz w:val="28"/>
          <w:szCs w:val="28"/>
          <w:lang w:val="en-US" w:eastAsia="zh-CN"/>
        </w:rPr>
        <w:t>加油服务采购项目</w:t>
      </w:r>
    </w:p>
    <w:p w14:paraId="1B5A9DA0">
      <w:pPr>
        <w:widowControl w:val="0"/>
        <w:adjustRightInd w:val="0"/>
        <w:snapToGrid w:val="0"/>
        <w:spacing w:line="360" w:lineRule="auto"/>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采 购 人：</w:t>
      </w:r>
      <w:r>
        <w:rPr>
          <w:rFonts w:hint="eastAsia" w:ascii="宋体" w:hAnsi="宋体"/>
          <w:color w:val="auto"/>
          <w:sz w:val="28"/>
          <w:szCs w:val="28"/>
          <w:highlight w:val="none"/>
          <w:lang w:val="en-US" w:eastAsia="zh-CN"/>
        </w:rPr>
        <w:t>台州市公安局路桥分局</w:t>
      </w:r>
      <w:r>
        <w:rPr>
          <w:rFonts w:hint="eastAsia" w:ascii="宋体" w:hAnsi="宋体"/>
          <w:color w:val="auto"/>
          <w:sz w:val="28"/>
          <w:szCs w:val="28"/>
          <w:highlight w:val="none"/>
        </w:rPr>
        <w:t>　　　　　　　　　</w:t>
      </w:r>
    </w:p>
    <w:p w14:paraId="3281BED5">
      <w:pPr>
        <w:widowControl w:val="0"/>
        <w:spacing w:line="360" w:lineRule="auto"/>
        <w:ind w:firstLine="2231" w:firstLineChars="797"/>
        <w:rPr>
          <w:rFonts w:ascii="宋体" w:hAnsi="宋体"/>
          <w:color w:val="auto"/>
          <w:sz w:val="28"/>
          <w:szCs w:val="28"/>
          <w:highlight w:val="none"/>
        </w:rPr>
      </w:pPr>
    </w:p>
    <w:p w14:paraId="1B7DEAB1">
      <w:pPr>
        <w:widowControl w:val="0"/>
        <w:rPr>
          <w:rFonts w:ascii="宋体" w:hAnsi="宋体"/>
          <w:color w:val="auto"/>
          <w:sz w:val="28"/>
          <w:szCs w:val="28"/>
          <w:highlight w:val="none"/>
        </w:rPr>
      </w:pPr>
    </w:p>
    <w:p w14:paraId="3EE6FD98">
      <w:pPr>
        <w:pStyle w:val="2"/>
      </w:pPr>
    </w:p>
    <w:p w14:paraId="744E3764">
      <w:pPr>
        <w:widowControl w:val="0"/>
        <w:rPr>
          <w:rFonts w:ascii="宋体" w:hAnsi="宋体"/>
          <w:color w:val="auto"/>
          <w:sz w:val="28"/>
          <w:szCs w:val="28"/>
          <w:highlight w:val="none"/>
        </w:rPr>
      </w:pPr>
    </w:p>
    <w:p w14:paraId="165F3001">
      <w:pPr>
        <w:widowControl w:val="0"/>
        <w:rPr>
          <w:rFonts w:ascii="宋体" w:hAnsi="宋体"/>
          <w:color w:val="auto"/>
          <w:sz w:val="28"/>
          <w:szCs w:val="28"/>
          <w:highlight w:val="none"/>
        </w:rPr>
      </w:pPr>
    </w:p>
    <w:p w14:paraId="0B5F6E2D">
      <w:pPr>
        <w:pStyle w:val="2"/>
      </w:pPr>
    </w:p>
    <w:p w14:paraId="458D606D">
      <w:pPr>
        <w:pStyle w:val="2"/>
      </w:pPr>
    </w:p>
    <w:p w14:paraId="7EB9B4B2">
      <w:pPr>
        <w:widowControl w:val="0"/>
        <w:rPr>
          <w:rFonts w:ascii="宋体" w:hAnsi="宋体"/>
          <w:color w:val="auto"/>
          <w:sz w:val="28"/>
          <w:szCs w:val="28"/>
          <w:highlight w:val="none"/>
        </w:rPr>
      </w:pPr>
    </w:p>
    <w:p w14:paraId="2D8DDB8D">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14:paraId="638F7829">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p>
    <w:p w14:paraId="719B2023">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cols w:space="720" w:num="1"/>
          <w:docGrid w:linePitch="312" w:charSpace="0"/>
        </w:sectPr>
      </w:pPr>
    </w:p>
    <w:p w14:paraId="6C3A9B77">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14:paraId="3D267B68">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14:paraId="6942D641">
      <w:pPr>
        <w:pStyle w:val="30"/>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14:paraId="786C3BB3">
      <w:pPr>
        <w:rPr>
          <w:color w:val="auto"/>
          <w:sz w:val="28"/>
          <w:szCs w:val="28"/>
          <w:highlight w:val="none"/>
        </w:rPr>
      </w:pPr>
    </w:p>
    <w:p w14:paraId="1A90034F">
      <w:pPr>
        <w:rPr>
          <w:color w:val="auto"/>
          <w:sz w:val="28"/>
          <w:szCs w:val="28"/>
          <w:highlight w:val="none"/>
        </w:rPr>
      </w:pPr>
    </w:p>
    <w:p w14:paraId="622ABC6F">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b/>
          <w:color w:val="auto"/>
          <w:sz w:val="28"/>
          <w:szCs w:val="28"/>
          <w:highlight w:val="none"/>
          <w:lang w:eastAsia="zh-CN"/>
        </w:rPr>
        <w:t>竞争性磋商邀请</w:t>
      </w:r>
      <w:r>
        <w:rPr>
          <w:rFonts w:hint="eastAsia" w:ascii="宋体" w:hAnsi="宋体" w:eastAsia="宋体"/>
          <w:b/>
          <w:color w:val="auto"/>
          <w:sz w:val="28"/>
          <w:szCs w:val="28"/>
          <w:highlight w:val="none"/>
        </w:rPr>
        <w:t>公告</w:t>
      </w:r>
    </w:p>
    <w:p w14:paraId="1645BFB4">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w:t>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须知</w:t>
      </w:r>
    </w:p>
    <w:p w14:paraId="56F2E2C5">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w:t>
      </w:r>
      <w:r>
        <w:rPr>
          <w:rFonts w:hint="eastAsia" w:ascii="宋体" w:hAnsi="宋体"/>
          <w:b/>
          <w:color w:val="auto"/>
          <w:sz w:val="28"/>
          <w:szCs w:val="28"/>
          <w:highlight w:val="none"/>
          <w:lang w:eastAsia="zh-CN"/>
        </w:rPr>
        <w:t>审</w:t>
      </w:r>
      <w:r>
        <w:rPr>
          <w:rFonts w:hint="eastAsia" w:ascii="宋体" w:hAnsi="宋体"/>
          <w:b/>
          <w:color w:val="auto"/>
          <w:sz w:val="28"/>
          <w:szCs w:val="28"/>
          <w:highlight w:val="none"/>
        </w:rPr>
        <w:t>办法及评分标准</w:t>
      </w:r>
    </w:p>
    <w:p w14:paraId="2128EDCE">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w:t>
      </w:r>
      <w:r>
        <w:rPr>
          <w:rFonts w:hint="eastAsia" w:ascii="宋体" w:hAnsi="宋体"/>
          <w:b/>
          <w:color w:val="auto"/>
          <w:sz w:val="28"/>
          <w:szCs w:val="28"/>
          <w:highlight w:val="none"/>
          <w:lang w:eastAsia="zh-CN"/>
        </w:rPr>
        <w:t>采购</w:t>
      </w:r>
      <w:r>
        <w:rPr>
          <w:rFonts w:hint="eastAsia" w:ascii="宋体" w:hAnsi="宋体"/>
          <w:b/>
          <w:color w:val="auto"/>
          <w:sz w:val="28"/>
          <w:szCs w:val="28"/>
          <w:highlight w:val="none"/>
        </w:rPr>
        <w:t>需求</w:t>
      </w:r>
    </w:p>
    <w:p w14:paraId="378B1EB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14:paraId="63FB9E9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w:t>
      </w:r>
      <w:r>
        <w:rPr>
          <w:rFonts w:hint="eastAsia" w:ascii="宋体" w:hAnsi="宋体"/>
          <w:b/>
          <w:color w:val="auto"/>
          <w:sz w:val="28"/>
          <w:szCs w:val="28"/>
          <w:highlight w:val="none"/>
          <w:lang w:eastAsia="zh-CN"/>
        </w:rPr>
        <w:t>响应</w:t>
      </w:r>
      <w:r>
        <w:rPr>
          <w:rFonts w:hint="eastAsia" w:ascii="宋体" w:hAnsi="宋体"/>
          <w:b/>
          <w:color w:val="auto"/>
          <w:sz w:val="28"/>
          <w:szCs w:val="28"/>
          <w:highlight w:val="none"/>
        </w:rPr>
        <w:t>文件格式附件</w:t>
      </w:r>
    </w:p>
    <w:p w14:paraId="6BB729F3">
      <w:pPr>
        <w:widowControl w:val="0"/>
        <w:spacing w:line="360" w:lineRule="auto"/>
        <w:ind w:firstLine="480" w:firstLineChars="200"/>
        <w:jc w:val="both"/>
        <w:textAlignment w:val="baseline"/>
        <w:rPr>
          <w:rFonts w:ascii="宋体" w:hAnsi="宋体"/>
          <w:color w:val="auto"/>
          <w:sz w:val="24"/>
          <w:highlight w:val="none"/>
        </w:rPr>
      </w:pPr>
    </w:p>
    <w:p w14:paraId="0162C818">
      <w:pPr>
        <w:widowControl w:val="0"/>
        <w:spacing w:line="360" w:lineRule="auto"/>
        <w:ind w:firstLine="480" w:firstLineChars="200"/>
        <w:jc w:val="both"/>
        <w:textAlignment w:val="baseline"/>
        <w:rPr>
          <w:rFonts w:ascii="宋体" w:hAnsi="宋体"/>
          <w:color w:val="auto"/>
          <w:sz w:val="24"/>
          <w:highlight w:val="none"/>
        </w:rPr>
      </w:pPr>
    </w:p>
    <w:p w14:paraId="5E6A0B3E">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b/>
          <w:bCs/>
          <w:color w:val="auto"/>
          <w:sz w:val="44"/>
          <w:szCs w:val="44"/>
          <w:highlight w:val="none"/>
        </w:rPr>
        <w:t>第一章  竞争性磋商邀请公告</w:t>
      </w:r>
    </w:p>
    <w:p w14:paraId="5C1EDA88">
      <w:pPr>
        <w:pStyle w:val="5"/>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52055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参加台州市公安局路桥分局加油服务采购项目</w:t>
      </w:r>
      <w:r>
        <w:rPr>
          <w:rFonts w:hint="eastAsia" w:ascii="宋体" w:hAnsi="宋体" w:cs="宋体"/>
          <w:color w:val="auto"/>
          <w:sz w:val="24"/>
          <w:szCs w:val="24"/>
          <w:highlight w:val="none"/>
        </w:rPr>
        <w:t>的潜在投标人应在“浙江省政府采购网”（http://</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rPr>
        <w:fldChar w:fldCharType="begin"/>
      </w:r>
      <w:r>
        <w:rPr>
          <w:rFonts w:hint="eastAsia" w:ascii="宋体" w:hAnsi="宋体" w:cs="宋体"/>
          <w:color w:val="auto"/>
          <w:sz w:val="24"/>
          <w:szCs w:val="24"/>
          <w:highlight w:val="none"/>
          <w:u w:val="none"/>
        </w:rPr>
        <w:instrText xml:space="preserve"> HYPERLINK "http://www.zjzfcg.gov.cn）获取招标文件，并于2023年5月" </w:instrText>
      </w:r>
      <w:r>
        <w:rPr>
          <w:rFonts w:hint="eastAsia" w:ascii="宋体" w:hAnsi="宋体" w:cs="宋体"/>
          <w:color w:val="auto"/>
          <w:sz w:val="24"/>
          <w:szCs w:val="24"/>
          <w:highlight w:val="none"/>
          <w:u w:val="none"/>
        </w:rPr>
        <w:fldChar w:fldCharType="separate"/>
      </w:r>
      <w:r>
        <w:rPr>
          <w:rStyle w:val="44"/>
          <w:rFonts w:hint="eastAsia" w:ascii="宋体" w:hAnsi="宋体" w:cs="宋体"/>
          <w:color w:val="auto"/>
          <w:sz w:val="24"/>
          <w:szCs w:val="24"/>
          <w:highlight w:val="none"/>
          <w:u w:val="none"/>
        </w:rPr>
        <w:t>www.zjzfcg.gov.cn）获取</w:t>
      </w:r>
      <w:r>
        <w:rPr>
          <w:rStyle w:val="44"/>
          <w:rFonts w:hint="eastAsia" w:ascii="宋体" w:hAnsi="宋体" w:cs="宋体"/>
          <w:color w:val="auto"/>
          <w:sz w:val="24"/>
          <w:szCs w:val="24"/>
          <w:highlight w:val="none"/>
          <w:u w:val="none"/>
          <w:lang w:eastAsia="zh-CN"/>
        </w:rPr>
        <w:t>采购</w:t>
      </w:r>
      <w:r>
        <w:rPr>
          <w:rStyle w:val="44"/>
          <w:rFonts w:hint="eastAsia" w:ascii="宋体" w:hAnsi="宋体" w:cs="宋体"/>
          <w:color w:val="auto"/>
          <w:sz w:val="24"/>
          <w:szCs w:val="24"/>
          <w:highlight w:val="none"/>
          <w:u w:val="none"/>
        </w:rPr>
        <w:t>文件，并于</w:t>
      </w:r>
      <w:r>
        <w:rPr>
          <w:rStyle w:val="44"/>
          <w:rFonts w:hint="eastAsia" w:ascii="宋体" w:hAnsi="宋体" w:cs="宋体"/>
          <w:color w:val="auto"/>
          <w:sz w:val="24"/>
          <w:szCs w:val="24"/>
          <w:highlight w:val="none"/>
          <w:u w:val="none"/>
          <w:lang w:eastAsia="zh-CN"/>
        </w:rPr>
        <w:t>2025</w:t>
      </w:r>
      <w:r>
        <w:rPr>
          <w:rStyle w:val="44"/>
          <w:rFonts w:hint="eastAsia" w:ascii="宋体" w:hAnsi="宋体" w:cs="宋体"/>
          <w:color w:val="auto"/>
          <w:sz w:val="24"/>
          <w:szCs w:val="24"/>
          <w:highlight w:val="none"/>
          <w:u w:val="none"/>
        </w:rPr>
        <w:t>年</w:t>
      </w:r>
      <w:r>
        <w:rPr>
          <w:rStyle w:val="44"/>
          <w:rFonts w:hint="eastAsia" w:ascii="宋体" w:hAnsi="宋体" w:cs="宋体"/>
          <w:color w:val="auto"/>
          <w:sz w:val="24"/>
          <w:szCs w:val="24"/>
          <w:highlight w:val="none"/>
          <w:u w:val="none"/>
          <w:lang w:val="en-US" w:eastAsia="zh-CN"/>
        </w:rPr>
        <w:t>7</w:t>
      </w:r>
      <w:r>
        <w:rPr>
          <w:rStyle w:val="44"/>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yellow"/>
          <w:u w:val="none"/>
          <w:lang w:val="en-US" w:eastAsia="zh-CN"/>
        </w:rPr>
        <w:t>29</w:t>
      </w:r>
      <w:r>
        <w:rPr>
          <w:rFonts w:hint="eastAsia" w:ascii="宋体" w:hAnsi="宋体" w:cs="宋体"/>
          <w:sz w:val="24"/>
          <w:szCs w:val="24"/>
          <w:highlight w:val="none"/>
        </w:rPr>
        <w:t>日</w:t>
      </w:r>
      <w:r>
        <w:rPr>
          <w:rFonts w:ascii="宋体" w:hAnsi="宋体" w:cs="宋体"/>
          <w:sz w:val="24"/>
          <w:szCs w:val="24"/>
          <w:highlight w:val="none"/>
        </w:rPr>
        <w:t>9</w:t>
      </w:r>
      <w:r>
        <w:rPr>
          <w:rFonts w:hint="eastAsia" w:ascii="宋体" w:hAnsi="宋体" w:cs="宋体"/>
          <w:sz w:val="24"/>
          <w:szCs w:val="24"/>
          <w:highlight w:val="none"/>
        </w:rPr>
        <w:t>点整</w:t>
      </w:r>
      <w:r>
        <w:rPr>
          <w:rFonts w:hint="eastAsia" w:ascii="宋体" w:hAnsi="宋体" w:cs="宋体"/>
          <w:color w:val="auto"/>
          <w:sz w:val="24"/>
          <w:szCs w:val="24"/>
          <w:highlight w:val="none"/>
        </w:rPr>
        <w:t>（北京时间）前在浙江政府采购云平台递交电子投标</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w:t>
      </w:r>
    </w:p>
    <w:p w14:paraId="4B6E56C8">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14:paraId="69040A18">
      <w:pPr>
        <w:tabs>
          <w:tab w:val="left" w:pos="180"/>
          <w:tab w:val="left" w:pos="360"/>
          <w:tab w:val="left" w:pos="540"/>
          <w:tab w:val="left" w:pos="8280"/>
        </w:tabs>
        <w:autoSpaceDE w:val="0"/>
        <w:autoSpaceDN w:val="0"/>
        <w:adjustRightInd w:val="0"/>
        <w:spacing w:line="440" w:lineRule="exact"/>
        <w:ind w:right="23" w:firstLine="720" w:firstLineChars="300"/>
        <w:rPr>
          <w:rFonts w:ascii="宋体" w:hAnsi="宋体"/>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LQCG-2025-CS003号</w:t>
      </w:r>
    </w:p>
    <w:tbl>
      <w:tblPr>
        <w:tblStyle w:val="3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28"/>
        <w:gridCol w:w="1933"/>
        <w:gridCol w:w="1913"/>
        <w:gridCol w:w="2193"/>
      </w:tblGrid>
      <w:tr w14:paraId="3C6B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71" w:type="dxa"/>
            <w:noWrap w:val="0"/>
            <w:vAlign w:val="center"/>
          </w:tcPr>
          <w:p w14:paraId="1591F6B5">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标项</w:t>
            </w:r>
          </w:p>
        </w:tc>
        <w:tc>
          <w:tcPr>
            <w:tcW w:w="2228" w:type="dxa"/>
            <w:noWrap w:val="0"/>
            <w:vAlign w:val="center"/>
          </w:tcPr>
          <w:p w14:paraId="09CCB600">
            <w:pPr>
              <w:tabs>
                <w:tab w:val="left" w:pos="8280"/>
              </w:tabs>
              <w:autoSpaceDE w:val="0"/>
              <w:autoSpaceDN w:val="0"/>
              <w:adjustRightInd w:val="0"/>
              <w:ind w:right="25" w:firstLine="120" w:firstLineChars="50"/>
              <w:jc w:val="center"/>
              <w:rPr>
                <w:rFonts w:ascii="宋体" w:hAnsi="宋体"/>
                <w:b/>
                <w:color w:val="000000"/>
                <w:sz w:val="24"/>
                <w:szCs w:val="24"/>
              </w:rPr>
            </w:pPr>
            <w:r>
              <w:rPr>
                <w:rFonts w:hint="eastAsia" w:ascii="宋体" w:hAnsi="宋体"/>
                <w:b/>
                <w:color w:val="000000"/>
                <w:sz w:val="24"/>
                <w:szCs w:val="24"/>
                <w:lang w:eastAsia="zh-CN"/>
              </w:rPr>
              <w:t>项目</w:t>
            </w:r>
            <w:r>
              <w:rPr>
                <w:rFonts w:hint="eastAsia" w:ascii="宋体" w:hAnsi="宋体"/>
                <w:b/>
                <w:color w:val="000000"/>
                <w:sz w:val="24"/>
                <w:szCs w:val="24"/>
              </w:rPr>
              <w:t>名称</w:t>
            </w:r>
          </w:p>
        </w:tc>
        <w:tc>
          <w:tcPr>
            <w:tcW w:w="1933" w:type="dxa"/>
            <w:noWrap w:val="0"/>
            <w:vAlign w:val="center"/>
          </w:tcPr>
          <w:p w14:paraId="7246D46E">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cs="宋体"/>
                <w:b/>
                <w:color w:val="000000"/>
                <w:sz w:val="24"/>
                <w:szCs w:val="24"/>
              </w:rPr>
              <w:t>简要技术要求</w:t>
            </w:r>
          </w:p>
        </w:tc>
        <w:tc>
          <w:tcPr>
            <w:tcW w:w="1913" w:type="dxa"/>
            <w:noWrap w:val="0"/>
            <w:vAlign w:val="center"/>
          </w:tcPr>
          <w:p w14:paraId="7A65BCA3">
            <w:pPr>
              <w:tabs>
                <w:tab w:val="left" w:pos="8280"/>
              </w:tabs>
              <w:autoSpaceDE w:val="0"/>
              <w:autoSpaceDN w:val="0"/>
              <w:adjustRightInd w:val="0"/>
              <w:ind w:right="25"/>
              <w:jc w:val="center"/>
              <w:rPr>
                <w:rFonts w:hint="eastAsia" w:ascii="宋体" w:hAnsi="宋体" w:eastAsia="宋体" w:cs="Times New Roman"/>
                <w:b/>
                <w:sz w:val="24"/>
                <w:szCs w:val="24"/>
                <w:lang w:val="en-US" w:eastAsia="zh-CN" w:bidi="ar-SA"/>
              </w:rPr>
            </w:pPr>
            <w:r>
              <w:rPr>
                <w:rFonts w:hint="eastAsia" w:asciiTheme="minorEastAsia" w:hAnsiTheme="minorEastAsia" w:eastAsiaTheme="minorEastAsia" w:cstheme="minorEastAsia"/>
                <w:b/>
                <w:szCs w:val="21"/>
                <w:lang w:eastAsia="zh-CN"/>
              </w:rPr>
              <w:t>总</w:t>
            </w:r>
            <w:r>
              <w:rPr>
                <w:rFonts w:hint="eastAsia" w:asciiTheme="minorEastAsia" w:hAnsiTheme="minorEastAsia" w:eastAsiaTheme="minorEastAsia" w:cstheme="minorEastAsia"/>
                <w:b/>
                <w:szCs w:val="21"/>
              </w:rPr>
              <w:t>预算/最高限价</w:t>
            </w:r>
          </w:p>
        </w:tc>
        <w:tc>
          <w:tcPr>
            <w:tcW w:w="2193" w:type="dxa"/>
            <w:noWrap w:val="0"/>
            <w:vAlign w:val="center"/>
          </w:tcPr>
          <w:p w14:paraId="127EC8EE">
            <w:pPr>
              <w:tabs>
                <w:tab w:val="left" w:pos="8280"/>
              </w:tabs>
              <w:autoSpaceDE w:val="0"/>
              <w:autoSpaceDN w:val="0"/>
              <w:adjustRightInd w:val="0"/>
              <w:ind w:right="25"/>
              <w:jc w:val="center"/>
              <w:rPr>
                <w:rFonts w:hint="eastAsia" w:ascii="宋体" w:hAnsi="宋体" w:eastAsia="宋体"/>
                <w:b/>
                <w:sz w:val="24"/>
                <w:szCs w:val="24"/>
                <w:lang w:eastAsia="zh-CN"/>
              </w:rPr>
            </w:pPr>
            <w:r>
              <w:rPr>
                <w:rFonts w:hint="eastAsia" w:ascii="宋体" w:hAnsi="宋体" w:eastAsia="宋体"/>
                <w:b/>
                <w:color w:val="000000"/>
                <w:sz w:val="24"/>
                <w:szCs w:val="24"/>
                <w:lang w:eastAsia="zh-CN"/>
              </w:rPr>
              <w:t>服务期限</w:t>
            </w:r>
          </w:p>
        </w:tc>
      </w:tr>
      <w:tr w14:paraId="3B14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exact"/>
          <w:jc w:val="center"/>
        </w:trPr>
        <w:tc>
          <w:tcPr>
            <w:tcW w:w="771" w:type="dxa"/>
            <w:noWrap w:val="0"/>
            <w:vAlign w:val="center"/>
          </w:tcPr>
          <w:p w14:paraId="27E59C3A">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rPr>
              <w:t>一</w:t>
            </w:r>
          </w:p>
        </w:tc>
        <w:tc>
          <w:tcPr>
            <w:tcW w:w="2228" w:type="dxa"/>
            <w:noWrap w:val="0"/>
            <w:vAlign w:val="center"/>
          </w:tcPr>
          <w:p w14:paraId="3F00770E">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lang w:eastAsia="zh-CN"/>
              </w:rPr>
              <w:t>加油服务采购项目</w:t>
            </w:r>
          </w:p>
        </w:tc>
        <w:tc>
          <w:tcPr>
            <w:tcW w:w="1933" w:type="dxa"/>
            <w:noWrap w:val="0"/>
            <w:vAlign w:val="center"/>
          </w:tcPr>
          <w:p w14:paraId="7F5F7B6C">
            <w:pPr>
              <w:jc w:val="center"/>
              <w:rPr>
                <w:rFonts w:hint="eastAsia" w:ascii="宋体" w:hAnsi="宋体"/>
                <w:sz w:val="24"/>
                <w:szCs w:val="24"/>
              </w:rPr>
            </w:pPr>
            <w:r>
              <w:rPr>
                <w:rFonts w:hint="eastAsia" w:ascii="宋体" w:hAnsi="宋体"/>
                <w:sz w:val="24"/>
                <w:szCs w:val="24"/>
              </w:rPr>
              <w:t>具体内容见磋商文件第四章采购需求</w:t>
            </w:r>
          </w:p>
        </w:tc>
        <w:tc>
          <w:tcPr>
            <w:tcW w:w="1913" w:type="dxa"/>
            <w:noWrap w:val="0"/>
            <w:vAlign w:val="center"/>
          </w:tcPr>
          <w:p w14:paraId="08527E55">
            <w:pPr>
              <w:tabs>
                <w:tab w:val="left" w:pos="8280"/>
              </w:tabs>
              <w:autoSpaceDE w:val="0"/>
              <w:autoSpaceDN w:val="0"/>
              <w:adjustRightInd w:val="0"/>
              <w:ind w:right="25" w:rightChars="0"/>
              <w:jc w:val="center"/>
              <w:rPr>
                <w:rFonts w:hint="default" w:ascii="宋体" w:hAnsi="宋体" w:eastAsia="宋体" w:cs="Times New Roman"/>
                <w:kern w:val="2"/>
                <w:sz w:val="24"/>
                <w:szCs w:val="24"/>
                <w:lang w:val="en-US" w:eastAsia="zh-CN" w:bidi="ar-SA"/>
              </w:rPr>
            </w:pPr>
            <w:r>
              <w:rPr>
                <w:rFonts w:hint="eastAsia" w:asciiTheme="minorEastAsia" w:hAnsiTheme="minorEastAsia" w:eastAsiaTheme="minorEastAsia" w:cstheme="minorEastAsia"/>
                <w:b/>
                <w:sz w:val="24"/>
                <w:szCs w:val="24"/>
                <w:lang w:val="en-US" w:eastAsia="zh-CN"/>
              </w:rPr>
              <w:t>268</w:t>
            </w:r>
            <w:r>
              <w:rPr>
                <w:rFonts w:hint="eastAsia" w:asciiTheme="minorEastAsia" w:hAnsiTheme="minorEastAsia" w:eastAsiaTheme="minorEastAsia" w:cstheme="minorEastAsia"/>
                <w:b/>
                <w:sz w:val="24"/>
                <w:szCs w:val="24"/>
              </w:rPr>
              <w:t>万元</w:t>
            </w:r>
          </w:p>
        </w:tc>
        <w:tc>
          <w:tcPr>
            <w:tcW w:w="2193" w:type="dxa"/>
            <w:noWrap w:val="0"/>
            <w:vAlign w:val="center"/>
          </w:tcPr>
          <w:p w14:paraId="653C863F">
            <w:pPr>
              <w:tabs>
                <w:tab w:val="left" w:pos="8280"/>
              </w:tabs>
              <w:autoSpaceDE w:val="0"/>
              <w:autoSpaceDN w:val="0"/>
              <w:adjustRightInd w:val="0"/>
              <w:ind w:right="25"/>
              <w:jc w:val="center"/>
              <w:rPr>
                <w:rFonts w:hint="eastAsia" w:ascii="宋体" w:hAnsi="宋体" w:eastAsia="宋体"/>
                <w:kern w:val="2"/>
                <w:sz w:val="24"/>
                <w:szCs w:val="24"/>
                <w:lang w:val="en-US" w:eastAsia="zh-CN"/>
              </w:rPr>
            </w:pPr>
            <w:r>
              <w:rPr>
                <w:rFonts w:hint="eastAsia" w:ascii="宋体" w:hAnsi="宋体"/>
                <w:kern w:val="2"/>
                <w:sz w:val="24"/>
                <w:szCs w:val="24"/>
                <w:highlight w:val="none"/>
                <w:lang w:eastAsia="zh-CN"/>
              </w:rPr>
              <w:t>一年，</w:t>
            </w:r>
            <w:r>
              <w:rPr>
                <w:rFonts w:hint="eastAsia" w:ascii="宋体" w:hAnsi="宋体"/>
                <w:kern w:val="2"/>
                <w:sz w:val="24"/>
                <w:szCs w:val="24"/>
                <w:highlight w:val="none"/>
              </w:rPr>
              <w:t>具体起讫日期以合同中约定时间为准。</w:t>
            </w:r>
          </w:p>
        </w:tc>
      </w:tr>
    </w:tbl>
    <w:p w14:paraId="547EE44D">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磋商供应商</w:t>
      </w:r>
      <w:r>
        <w:rPr>
          <w:rFonts w:hint="eastAsia" w:ascii="宋体" w:hAnsi="宋体"/>
          <w:b/>
          <w:color w:val="auto"/>
          <w:sz w:val="24"/>
          <w:szCs w:val="24"/>
          <w:highlight w:val="none"/>
        </w:rPr>
        <w:t>的资格要求：</w:t>
      </w:r>
    </w:p>
    <w:p w14:paraId="1BF7B536">
      <w:pPr>
        <w:pStyle w:val="72"/>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14:paraId="209D2C44">
      <w:pPr>
        <w:pStyle w:val="73"/>
        <w:spacing w:line="440" w:lineRule="exact"/>
        <w:rPr>
          <w:color w:val="auto"/>
          <w:highlight w:val="none"/>
        </w:rPr>
      </w:pPr>
      <w:r>
        <w:rPr>
          <w:color w:val="auto"/>
          <w:highlight w:val="none"/>
        </w:rPr>
        <w:t>窗体底端</w:t>
      </w:r>
    </w:p>
    <w:p w14:paraId="31232E19">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宋体" w:hAnsi="宋体" w:cs="宋体"/>
          <w:sz w:val="24"/>
        </w:rPr>
        <w:t>信用记录：未被列入“信用中国”失信被执行人或重大税收违法案件当事人名单；未处</w:t>
      </w:r>
      <w:r>
        <w:rPr>
          <w:rFonts w:hint="eastAsia" w:ascii="宋体" w:hAnsi="宋体" w:cs="宋体"/>
          <w:sz w:val="24"/>
          <w:highlight w:val="none"/>
        </w:rPr>
        <w:t>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30C7B929">
      <w:pPr>
        <w:spacing w:line="360" w:lineRule="auto"/>
        <w:ind w:firstLine="480" w:firstLineChars="200"/>
        <w:rPr>
          <w:rFonts w:hint="eastAsia" w:ascii="宋体" w:hAnsi="宋体" w:cs="宋体"/>
          <w:sz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w:t>
      </w:r>
      <w:r>
        <w:rPr>
          <w:rFonts w:hint="eastAsia" w:ascii="宋体" w:hAnsi="宋体" w:cs="宋体"/>
          <w:sz w:val="24"/>
          <w:highlight w:val="none"/>
        </w:rPr>
        <w:t>法律、行政法规规定的其他条件：单位负责人为同一人或者存在直接控股、管理关系的不同供应商，不得同时参加同一项目磋商；为本项目提供整体设计、规范编制或者项目管理、监理、检测等服务的供应商，不得再参与本项目磋商。</w:t>
      </w:r>
    </w:p>
    <w:p w14:paraId="7C647EE5">
      <w:pPr>
        <w:pStyle w:val="72"/>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eastAsia="方正书宋简体" w:cs="宋体"/>
          <w:color w:val="auto"/>
          <w:sz w:val="24"/>
          <w:highlight w:val="none"/>
          <w:lang w:eastAsia="zh-CN"/>
        </w:rPr>
      </w:pPr>
      <w:r>
        <w:rPr>
          <w:rFonts w:hint="eastAsia" w:asci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cs="宋体"/>
          <w:color w:val="auto"/>
          <w:sz w:val="24"/>
          <w:highlight w:val="none"/>
          <w:lang w:eastAsia="zh-CN"/>
        </w:rPr>
        <w:t>无</w:t>
      </w:r>
    </w:p>
    <w:p w14:paraId="56F500B6">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1FF3B6A5">
      <w:pPr>
        <w:pStyle w:val="72"/>
        <w:keepNext w:val="0"/>
        <w:keepLines w:val="0"/>
        <w:pageBreakBefore w:val="0"/>
        <w:kinsoku/>
        <w:wordWrap/>
        <w:overflowPunct/>
        <w:topLinePunct w:val="0"/>
        <w:bidi w:val="0"/>
        <w:adjustRightInd w:val="0"/>
        <w:snapToGrid w:val="0"/>
        <w:spacing w:before="0" w:line="400" w:lineRule="exact"/>
        <w:ind w:left="0" w:leftChars="0" w:right="0" w:firstLine="480" w:firstLineChars="200"/>
        <w:rPr>
          <w:rFonts w:hint="eastAsia" w:ascii="宋体" w:cs="宋体"/>
          <w:b/>
          <w:bCs/>
          <w:color w:val="auto"/>
          <w:sz w:val="24"/>
          <w:highlight w:val="none"/>
          <w:lang w:val="en-US" w:eastAsia="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68C82ED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w:t>
      </w:r>
      <w:r>
        <w:rPr>
          <w:rFonts w:hint="eastAsia" w:ascii="宋体" w:hAnsi="宋体"/>
          <w:b/>
          <w:color w:val="auto"/>
          <w:sz w:val="24"/>
          <w:szCs w:val="24"/>
          <w:highlight w:val="none"/>
          <w:lang w:eastAsia="zh-CN"/>
        </w:rPr>
        <w:t>（下载）采购</w:t>
      </w:r>
      <w:r>
        <w:rPr>
          <w:rFonts w:hint="eastAsia" w:ascii="宋体" w:hAnsi="宋体"/>
          <w:b/>
          <w:color w:val="auto"/>
          <w:sz w:val="24"/>
          <w:szCs w:val="24"/>
          <w:highlight w:val="none"/>
        </w:rPr>
        <w:t>文件</w:t>
      </w:r>
    </w:p>
    <w:p w14:paraId="291F2B9C">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至至</w:t>
      </w:r>
      <w:r>
        <w:rPr>
          <w:rFonts w:hint="eastAsia" w:ascii="宋体" w:hAnsi="宋体"/>
          <w:color w:val="auto"/>
          <w:sz w:val="24"/>
          <w:szCs w:val="24"/>
          <w:highlight w:val="none"/>
          <w:lang w:val="en-US" w:eastAsia="zh-CN"/>
        </w:rPr>
        <w:t>2025年7月</w:t>
      </w:r>
      <w:r>
        <w:rPr>
          <w:rFonts w:hint="eastAsia" w:ascii="宋体" w:hAnsi="宋体"/>
          <w:color w:val="auto"/>
          <w:sz w:val="24"/>
          <w:szCs w:val="24"/>
          <w:highlight w:val="yellow"/>
          <w:lang w:val="en-US" w:eastAsia="zh-CN"/>
        </w:rPr>
        <w:t>29</w:t>
      </w:r>
      <w:r>
        <w:rPr>
          <w:rFonts w:hint="eastAsia" w:ascii="宋体" w:hAnsi="宋体"/>
          <w:color w:val="auto"/>
          <w:sz w:val="24"/>
          <w:szCs w:val="24"/>
          <w:highlight w:val="none"/>
          <w:lang w:val="en-US" w:eastAsia="zh-CN"/>
        </w:rPr>
        <w:t>日9</w:t>
      </w:r>
      <w:r>
        <w:rPr>
          <w:rFonts w:hint="eastAsia" w:ascii="宋体" w:hAnsi="宋体"/>
          <w:color w:val="auto"/>
          <w:sz w:val="24"/>
          <w:szCs w:val="24"/>
          <w:highlight w:val="none"/>
        </w:rPr>
        <w:t>时00分</w:t>
      </w:r>
    </w:p>
    <w:p w14:paraId="76516158">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14:paraId="0935AE9F">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highlight w:val="none"/>
        </w:rPr>
        <w:t>https://zfcg.czt.zj.gov.cn/）</w:t>
      </w:r>
      <w:r>
        <w:rPr>
          <w:rFonts w:hint="eastAsia" w:ascii="宋体" w:hAnsi="宋体" w:cs="宋体"/>
          <w:sz w:val="24"/>
          <w:highlight w:val="none"/>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14:paraId="658CB571">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highlight w:val="none"/>
        </w:rPr>
        <w:t>法律法规所指的投标人获取采购文件时间以投标人通过“政府采购云平台”在线</w:t>
      </w:r>
      <w:r>
        <w:rPr>
          <w:rFonts w:hint="eastAsia" w:ascii="宋体" w:hAnsi="宋体"/>
          <w:sz w:val="24"/>
          <w:szCs w:val="24"/>
          <w:highlight w:val="none"/>
          <w:lang w:eastAsia="zh-CN"/>
        </w:rPr>
        <w:t>报名并</w:t>
      </w:r>
      <w:r>
        <w:rPr>
          <w:rFonts w:hint="eastAsia" w:ascii="宋体" w:hAnsi="宋体"/>
          <w:sz w:val="24"/>
          <w:szCs w:val="24"/>
          <w:highlight w:val="none"/>
        </w:rPr>
        <w:t>获取采购文件的时间为准。</w:t>
      </w:r>
      <w:r>
        <w:rPr>
          <w:rFonts w:hint="eastAsia" w:ascii="宋体" w:hAnsi="宋体"/>
          <w:sz w:val="24"/>
          <w:szCs w:val="24"/>
          <w:highlight w:val="none"/>
          <w:lang w:val="en-US" w:eastAsia="zh-CN"/>
        </w:rPr>
        <w:t>)</w:t>
      </w:r>
    </w:p>
    <w:p w14:paraId="68B8806E">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w:t>
      </w:r>
      <w:r>
        <w:rPr>
          <w:rFonts w:hint="eastAsia" w:ascii="宋体" w:hAnsi="宋体"/>
          <w:b/>
          <w:bCs/>
          <w:color w:val="auto"/>
          <w:sz w:val="24"/>
          <w:szCs w:val="24"/>
          <w:highlight w:val="none"/>
          <w:lang w:eastAsia="zh-CN"/>
        </w:rPr>
        <w:t>响应</w:t>
      </w:r>
      <w:r>
        <w:rPr>
          <w:rFonts w:hint="eastAsia" w:ascii="宋体" w:hAnsi="宋体"/>
          <w:b/>
          <w:bCs/>
          <w:color w:val="auto"/>
          <w:sz w:val="24"/>
          <w:szCs w:val="24"/>
          <w:highlight w:val="none"/>
        </w:rPr>
        <w:t>文件截止时间、开标时间和地点</w:t>
      </w:r>
    </w:p>
    <w:p w14:paraId="174F4576">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文件截止时间：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月</w:t>
      </w:r>
      <w:r>
        <w:rPr>
          <w:rFonts w:hint="eastAsia" w:ascii="宋体" w:hAnsi="宋体"/>
          <w:color w:val="auto"/>
          <w:sz w:val="24"/>
          <w:szCs w:val="24"/>
          <w:highlight w:val="yellow"/>
          <w:lang w:val="en-US" w:eastAsia="zh-CN"/>
        </w:rPr>
        <w:t>29</w:t>
      </w:r>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时00分（北京时间）</w:t>
      </w:r>
    </w:p>
    <w:p w14:paraId="2035583A">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。本项目只接受电子投标文件，具体操作见前附表。</w:t>
      </w:r>
    </w:p>
    <w:p w14:paraId="0D00D8A9">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月</w:t>
      </w:r>
      <w:r>
        <w:rPr>
          <w:rFonts w:hint="eastAsia" w:ascii="宋体" w:hAnsi="宋体"/>
          <w:color w:val="auto"/>
          <w:sz w:val="24"/>
          <w:szCs w:val="24"/>
          <w:highlight w:val="yellow"/>
          <w:lang w:val="en-US" w:eastAsia="zh-CN"/>
        </w:rPr>
        <w:t>29</w:t>
      </w:r>
      <w:bookmarkStart w:id="50" w:name="_GoBack"/>
      <w:bookmarkEnd w:id="50"/>
      <w:r>
        <w:rPr>
          <w:rFonts w:hint="eastAsia" w:ascii="宋体" w:hAnsi="宋体"/>
          <w:color w:val="auto"/>
          <w:sz w:val="24"/>
          <w:szCs w:val="24"/>
          <w:highlight w:val="none"/>
          <w:lang w:eastAsia="zh-CN"/>
        </w:rPr>
        <w:t>日</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时00分（北京时间）</w:t>
      </w:r>
    </w:p>
    <w:p w14:paraId="1E72DC19">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lang w:eastAsia="zh-CN"/>
        </w:rPr>
        <w:t>政采云平台</w:t>
      </w:r>
    </w:p>
    <w:p w14:paraId="7F279F91">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14:paraId="7D6A84D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14:paraId="6D4F203B">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328378">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2</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FB2753">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721E8F">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35393627"/>
      <w:bookmarkStart w:id="4" w:name="_Toc28359085"/>
      <w:bookmarkStart w:id="5" w:name="_Toc35393796"/>
      <w:bookmarkStart w:id="6" w:name="_Toc28359008"/>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14:paraId="014D440A">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14:paraId="10304785">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名称：</w:t>
      </w:r>
      <w:r>
        <w:rPr>
          <w:rFonts w:hint="eastAsia" w:ascii="宋体" w:hAnsi="宋体" w:cs="Arial"/>
          <w:color w:val="auto"/>
          <w:sz w:val="24"/>
          <w:szCs w:val="24"/>
          <w:highlight w:val="none"/>
          <w:lang w:eastAsia="zh-CN"/>
        </w:rPr>
        <w:t>台州市公安局路桥分局</w:t>
      </w:r>
    </w:p>
    <w:p w14:paraId="50C57541">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地址：浙江省台州市路桥区腾达西路1298号</w:t>
      </w:r>
    </w:p>
    <w:p w14:paraId="4493168E">
      <w:pPr>
        <w:snapToGrid w:val="0"/>
        <w:spacing w:line="44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 项目联系人（询问）：潘善华 </w:t>
      </w:r>
    </w:p>
    <w:p w14:paraId="565D4822">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项目联系方式（询问）：0576-82999152</w:t>
      </w:r>
    </w:p>
    <w:p w14:paraId="047BAE59">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质疑联系人：郦剑勇    </w:t>
      </w:r>
    </w:p>
    <w:p w14:paraId="6065FAA5">
      <w:pPr>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质疑联系方式：0576-82999150</w:t>
      </w:r>
    </w:p>
    <w:p w14:paraId="3BD0952A">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14:paraId="6FAFF186">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14:paraId="7553F43B">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14:paraId="736791CB">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项目联系人：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rPr>
        <w:t xml:space="preserve"> </w:t>
      </w:r>
    </w:p>
    <w:p w14:paraId="6B7C34B0">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581369</w:t>
      </w:r>
      <w:r>
        <w:rPr>
          <w:rFonts w:hint="eastAsia" w:ascii="宋体" w:hAnsi="宋体" w:cs="Arial"/>
          <w:color w:val="auto"/>
          <w:sz w:val="24"/>
          <w:szCs w:val="24"/>
          <w:highlight w:val="none"/>
        </w:rPr>
        <w:t xml:space="preserve">   </w:t>
      </w:r>
    </w:p>
    <w:p w14:paraId="3C44E774">
      <w:pPr>
        <w:snapToGrid w:val="0"/>
        <w:spacing w:line="440" w:lineRule="exact"/>
        <w:ind w:firstLine="720" w:firstLineChars="3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质疑联系人：</w:t>
      </w:r>
      <w:r>
        <w:rPr>
          <w:rFonts w:hint="eastAsia" w:ascii="宋体" w:hAnsi="宋体" w:cs="Arial"/>
          <w:color w:val="auto"/>
          <w:sz w:val="24"/>
          <w:szCs w:val="24"/>
          <w:highlight w:val="none"/>
          <w:lang w:eastAsia="zh-CN"/>
        </w:rPr>
        <w:t>潘雅琴</w:t>
      </w:r>
    </w:p>
    <w:p w14:paraId="343D0C47">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质疑联系方式：0576-82</w:t>
      </w:r>
      <w:r>
        <w:rPr>
          <w:rFonts w:hint="eastAsia" w:ascii="宋体" w:hAnsi="宋体" w:cs="Arial"/>
          <w:color w:val="auto"/>
          <w:sz w:val="24"/>
          <w:szCs w:val="24"/>
          <w:highlight w:val="none"/>
          <w:lang w:val="en-US" w:eastAsia="zh-CN"/>
        </w:rPr>
        <w:t>921169</w:t>
      </w:r>
      <w:r>
        <w:rPr>
          <w:rFonts w:hint="eastAsia" w:ascii="宋体" w:hAnsi="宋体" w:cs="Arial"/>
          <w:color w:val="auto"/>
          <w:sz w:val="24"/>
          <w:szCs w:val="24"/>
          <w:highlight w:val="none"/>
        </w:rPr>
        <w:t xml:space="preserve">  </w:t>
      </w:r>
    </w:p>
    <w:p w14:paraId="7D094458">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14:paraId="4EE381C8">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14:paraId="30D77B74">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14:paraId="27249B1A">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w:t>
      </w:r>
      <w:r>
        <w:rPr>
          <w:rFonts w:hint="eastAsia" w:ascii="宋体" w:hAnsi="宋体" w:cs="宋体"/>
          <w:sz w:val="24"/>
          <w:szCs w:val="24"/>
          <w:lang w:eastAsia="zh-CN"/>
        </w:rPr>
        <w:t>王小健</w:t>
      </w:r>
    </w:p>
    <w:p w14:paraId="2D479B91">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14:paraId="2E78E27F">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14:paraId="2CE8F0EA">
      <w:pPr>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14:paraId="4B7803E2">
      <w:pPr>
        <w:spacing w:line="360" w:lineRule="auto"/>
        <w:jc w:val="center"/>
        <w:rPr>
          <w:b/>
          <w:bCs/>
          <w:color w:val="auto"/>
          <w:highlight w:val="none"/>
        </w:rPr>
      </w:pPr>
      <w:r>
        <w:rPr>
          <w:rFonts w:hint="eastAsia" w:ascii="宋体" w:hAnsi="宋体" w:cs="宋体"/>
          <w:color w:val="auto"/>
          <w:sz w:val="24"/>
          <w:szCs w:val="24"/>
          <w:highlight w:val="none"/>
        </w:rPr>
        <w:br w:type="page"/>
      </w:r>
      <w:r>
        <w:rPr>
          <w:rFonts w:hint="eastAsia" w:ascii="方正小标宋简体" w:hAnsi="宋体" w:eastAsia="方正小标宋简体"/>
          <w:b/>
          <w:bCs/>
          <w:color w:val="auto"/>
          <w:sz w:val="44"/>
          <w:szCs w:val="44"/>
          <w:highlight w:val="none"/>
        </w:rPr>
        <w:t xml:space="preserve">第二章  </w:t>
      </w:r>
      <w:r>
        <w:rPr>
          <w:rFonts w:hint="eastAsia" w:ascii="方正小标宋简体" w:hAnsi="宋体" w:eastAsia="方正小标宋简体"/>
          <w:b/>
          <w:bCs/>
          <w:color w:val="auto"/>
          <w:sz w:val="44"/>
          <w:szCs w:val="44"/>
          <w:highlight w:val="none"/>
          <w:lang w:eastAsia="zh-CN"/>
        </w:rPr>
        <w:t>供应商</w:t>
      </w:r>
      <w:r>
        <w:rPr>
          <w:rFonts w:hint="eastAsia" w:ascii="方正小标宋简体" w:hAnsi="宋体" w:eastAsia="方正小标宋简体"/>
          <w:b/>
          <w:bCs/>
          <w:color w:val="auto"/>
          <w:sz w:val="44"/>
          <w:szCs w:val="44"/>
          <w:highlight w:val="none"/>
        </w:rPr>
        <w:t>须知</w:t>
      </w:r>
    </w:p>
    <w:p w14:paraId="3D4E301E">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705E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AFD55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1C118B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83082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14:paraId="14C2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3EA6D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F812D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17BA9F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符合</w:t>
            </w:r>
            <w:r>
              <w:rPr>
                <w:rFonts w:hint="eastAsia" w:ascii="宋体" w:hAnsi="宋体" w:cs="宋体"/>
                <w:color w:val="auto"/>
                <w:sz w:val="24"/>
                <w:highlight w:val="none"/>
                <w:lang w:eastAsia="zh-CN"/>
              </w:rPr>
              <w:t>采购</w:t>
            </w:r>
            <w:r>
              <w:rPr>
                <w:rFonts w:hint="eastAsia" w:ascii="宋体" w:hAnsi="宋体" w:cs="宋体"/>
                <w:color w:val="auto"/>
                <w:sz w:val="24"/>
                <w:highlight w:val="none"/>
              </w:rPr>
              <w:t>公告资格要求的供应商</w:t>
            </w:r>
          </w:p>
        </w:tc>
      </w:tr>
      <w:tr w14:paraId="0C90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77B4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846AF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9B2D35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14:paraId="2BB4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3258F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14B94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3E47B1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14:paraId="5728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DFD8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0CA983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cs="宋体"/>
                <w:color w:val="auto"/>
                <w:sz w:val="24"/>
                <w:highlight w:val="none"/>
              </w:rPr>
            </w:pPr>
            <w:r>
              <w:rPr>
                <w:rFonts w:hint="eastAsia" w:hAnsi="宋体" w:cs="宋体"/>
                <w:color w:val="auto"/>
                <w:kern w:val="0"/>
                <w:sz w:val="24"/>
                <w:szCs w:val="22"/>
                <w:highlight w:val="none"/>
                <w:lang w:eastAsia="zh-CN"/>
              </w:rPr>
              <w:t>磋商</w:t>
            </w:r>
            <w:r>
              <w:rPr>
                <w:rFonts w:hint="eastAsia" w:hAnsi="宋体" w:cs="宋体"/>
                <w:color w:val="auto"/>
                <w:kern w:val="0"/>
                <w:sz w:val="24"/>
                <w:szCs w:val="22"/>
                <w:highlight w:val="none"/>
              </w:rPr>
              <w:t>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75201F1">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Ansi="宋体" w:cs="宋体"/>
                <w:color w:val="auto"/>
                <w:sz w:val="24"/>
                <w:highlight w:val="none"/>
              </w:rPr>
            </w:pPr>
            <w:r>
              <w:rPr>
                <w:rFonts w:hint="eastAsia" w:ascii="宋体" w:hAnsi="宋体" w:eastAsia="宋体" w:cs="宋体"/>
                <w:color w:val="auto"/>
                <w:sz w:val="24"/>
                <w:highlight w:val="none"/>
              </w:rPr>
              <w:t>零元</w:t>
            </w:r>
          </w:p>
        </w:tc>
      </w:tr>
      <w:tr w14:paraId="1694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ADCCB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BB09B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17B77FD">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14:paraId="5A30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27DC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3BAE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DAA785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根据《政府采购促进中小企业发展管理办法》财库〔2020〕46号文件的规定，本项目</w:t>
            </w:r>
            <w:r>
              <w:rPr>
                <w:rFonts w:hint="eastAsia" w:ascii="宋体" w:hAnsi="宋体" w:cs="Times New Roman"/>
                <w:color w:val="auto"/>
                <w:kern w:val="2"/>
                <w:sz w:val="24"/>
                <w:szCs w:val="22"/>
                <w:highlight w:val="none"/>
                <w:u w:val="single"/>
                <w:lang w:val="en-US" w:eastAsia="zh-CN" w:bidi="ar-SA"/>
              </w:rPr>
              <w:t xml:space="preserve"> 否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14:paraId="24E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958C1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1A930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1EAFDF4">
            <w:pPr>
              <w:pStyle w:val="95"/>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eastAsia="宋体" w:cs="Times New Roman"/>
                <w:b/>
                <w:bCs/>
                <w:color w:val="auto"/>
                <w:kern w:val="2"/>
                <w:sz w:val="24"/>
                <w:szCs w:val="22"/>
                <w:highlight w:val="none"/>
                <w:u w:val="single"/>
                <w:lang w:val="en-US" w:eastAsia="zh-CN" w:bidi="ar-SA"/>
              </w:rPr>
              <w:t>服务类</w:t>
            </w:r>
            <w:r>
              <w:rPr>
                <w:rFonts w:hint="eastAsia" w:ascii="宋体" w:hAnsi="宋体" w:eastAsia="宋体" w:cs="Times New Roman"/>
                <w:b/>
                <w:bCs/>
                <w:color w:val="auto"/>
                <w:kern w:val="2"/>
                <w:sz w:val="24"/>
                <w:szCs w:val="22"/>
                <w:highlight w:val="none"/>
                <w:lang w:val="en-US" w:eastAsia="zh-CN" w:bidi="ar-SA"/>
              </w:rPr>
              <w:t>）</w:t>
            </w:r>
          </w:p>
          <w:p w14:paraId="2D95DD9E">
            <w:pPr>
              <w:pStyle w:val="95"/>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14:paraId="7898882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Times New Roman"/>
                <w:b/>
                <w:bCs/>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加油</w:t>
            </w:r>
            <w:r>
              <w:rPr>
                <w:rFonts w:hint="eastAsia" w:ascii="宋体" w:hAnsi="宋体" w:eastAsia="宋体" w:cs="Times New Roman"/>
                <w:b/>
                <w:bCs/>
                <w:color w:val="auto"/>
                <w:kern w:val="2"/>
                <w:sz w:val="24"/>
                <w:szCs w:val="22"/>
                <w:highlight w:val="none"/>
                <w:u w:val="single"/>
                <w:lang w:val="en-US" w:eastAsia="zh-CN" w:bidi="ar-SA"/>
              </w:rPr>
              <w:t>服务</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cs="Times New Roman"/>
                <w:b/>
                <w:bCs/>
                <w:color w:val="auto"/>
                <w:kern w:val="2"/>
                <w:sz w:val="24"/>
                <w:szCs w:val="22"/>
                <w:highlight w:val="none"/>
                <w:u w:val="single"/>
                <w:lang w:val="en-US" w:eastAsia="zh-CN" w:bidi="ar-SA"/>
              </w:rPr>
              <w:t>零售</w:t>
            </w:r>
            <w:r>
              <w:rPr>
                <w:rFonts w:hint="eastAsia" w:ascii="宋体" w:hAnsi="宋体" w:eastAsia="宋体" w:cs="Times New Roman"/>
                <w:b/>
                <w:bCs/>
                <w:color w:val="auto"/>
                <w:kern w:val="2"/>
                <w:sz w:val="24"/>
                <w:szCs w:val="22"/>
                <w:highlight w:val="none"/>
                <w:u w:val="single"/>
                <w:lang w:val="en-US" w:eastAsia="zh-CN" w:bidi="ar-SA"/>
              </w:rPr>
              <w:t>类</w:t>
            </w:r>
          </w:p>
          <w:p w14:paraId="457E0B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3.根据财库〔2020〕46号</w:t>
            </w:r>
            <w:r>
              <w:rPr>
                <w:rFonts w:hint="eastAsia" w:ascii="宋体" w:hAnsi="宋体" w:cs="Times New Roman"/>
                <w:color w:val="auto"/>
                <w:kern w:val="2"/>
                <w:sz w:val="24"/>
                <w:szCs w:val="22"/>
                <w:highlight w:val="none"/>
                <w:lang w:val="en-US" w:eastAsia="zh-CN" w:bidi="ar-SA"/>
              </w:rPr>
              <w:t>、</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w:t>
            </w:r>
            <w:r>
              <w:rPr>
                <w:rFonts w:hint="eastAsia" w:ascii="宋体" w:hAnsi="宋体" w:eastAsia="宋体" w:cs="Times New Roman"/>
                <w:color w:val="auto"/>
                <w:kern w:val="2"/>
                <w:sz w:val="24"/>
                <w:szCs w:val="22"/>
                <w:highlight w:val="none"/>
                <w:lang w:val="en-US" w:eastAsia="zh-CN" w:bidi="ar-SA"/>
              </w:rPr>
              <w:t>的相关规定，未预留份额专门面向中小企业采购的采购项目</w:t>
            </w:r>
            <w:r>
              <w:rPr>
                <w:rFonts w:hint="eastAsia" w:ascii="宋体" w:hAnsi="宋体" w:cs="Times New Roman"/>
                <w:color w:val="auto"/>
                <w:kern w:val="2"/>
                <w:sz w:val="24"/>
                <w:szCs w:val="22"/>
                <w:highlight w:val="none"/>
                <w:lang w:val="en-US" w:eastAsia="zh-CN" w:bidi="ar-SA"/>
              </w:rPr>
              <w:t>，</w:t>
            </w:r>
            <w:r>
              <w:rPr>
                <w:rFonts w:hint="eastAsia" w:ascii="宋体" w:hAnsi="宋体" w:eastAsia="宋体" w:cs="Times New Roman"/>
                <w:color w:val="auto"/>
                <w:kern w:val="2"/>
                <w:sz w:val="24"/>
                <w:szCs w:val="22"/>
                <w:highlight w:val="none"/>
                <w:lang w:val="en-US" w:eastAsia="zh-CN" w:bidi="ar-SA"/>
              </w:rPr>
              <w:t>在评审时对符合本办法规定的小微企业报价给予</w:t>
            </w:r>
            <w:r>
              <w:rPr>
                <w:rFonts w:hint="eastAsia" w:ascii="宋体" w:hAnsi="宋体" w:cs="Times New Roman"/>
                <w:color w:val="auto"/>
                <w:kern w:val="2"/>
                <w:sz w:val="24"/>
                <w:szCs w:val="22"/>
                <w:highlight w:val="none"/>
                <w:u w:val="single"/>
                <w:lang w:val="en-US" w:eastAsia="zh-CN" w:bidi="ar-SA"/>
              </w:rPr>
              <w:t xml:space="preserve">  1</w:t>
            </w:r>
            <w:r>
              <w:rPr>
                <w:rFonts w:hint="eastAsia" w:ascii="宋体" w:hAnsi="宋体" w:eastAsia="宋体" w:cs="Times New Roman"/>
                <w:color w:val="auto"/>
                <w:kern w:val="2"/>
                <w:sz w:val="24"/>
                <w:szCs w:val="22"/>
                <w:highlight w:val="none"/>
                <w:u w:val="single"/>
                <w:lang w:val="en-US" w:eastAsia="zh-CN" w:bidi="ar-SA"/>
              </w:rPr>
              <w:t>0%</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lang w:val="en-US" w:eastAsia="zh-CN" w:bidi="ar-SA"/>
              </w:rPr>
              <w:t>的扣除，取扣除后的价格作为最终投标报价（此最终投标报价仅作为价格分计算）。中小企业参加政府采购活动，应当出具本办法规定的《中小企业声明函》，否则不得享受相关中小企业扶持政策。</w:t>
            </w:r>
          </w:p>
          <w:p w14:paraId="01816C7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 xml:space="preserve">  6%  </w:t>
            </w:r>
            <w:r>
              <w:rPr>
                <w:rFonts w:hint="eastAsia" w:ascii="宋体" w:hAnsi="宋体" w:eastAsia="宋体" w:cs="Times New Roman"/>
                <w:color w:val="auto"/>
                <w:kern w:val="2"/>
                <w:sz w:val="24"/>
                <w:szCs w:val="22"/>
                <w:highlight w:val="none"/>
                <w:lang w:val="en-US" w:eastAsia="zh-CN" w:bidi="ar-SA"/>
              </w:rPr>
              <w:t>（工程项目为（2%））的扣除，用扣除后的价格参加评审。</w:t>
            </w:r>
          </w:p>
          <w:p w14:paraId="23A2A3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组成联合体或者接受分包 的小微企业与联合体内其他企业、分包企业之间存在直接控 股、管理关系的，不享受价格扣除优惠政策。</w:t>
            </w:r>
          </w:p>
          <w:p w14:paraId="104A63A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41DBC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注：未提供以上材料的，均不给予价格扣除）</w:t>
            </w:r>
          </w:p>
        </w:tc>
      </w:tr>
      <w:tr w14:paraId="02F2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7024C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D70D3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0F7D25A">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sz w:val="24"/>
                <w:szCs w:val="22"/>
              </w:rPr>
            </w:pPr>
            <w:r>
              <w:rPr>
                <w:rFonts w:hint="eastAsia"/>
                <w:sz w:val="24"/>
                <w:szCs w:val="22"/>
              </w:rPr>
              <w:t>1、本项目实行电子开评标。若供应商参与投标，自行承担投标一切费用。</w:t>
            </w:r>
          </w:p>
          <w:p w14:paraId="18FA5157">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14:paraId="106599EE">
            <w:pPr>
              <w:pStyle w:val="23"/>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14:paraId="6A73457A">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eastAsia="宋体"/>
                <w:lang w:val="en-US" w:eastAsia="zh-CN"/>
              </w:rPr>
            </w:pPr>
            <w:r>
              <w:rPr>
                <w:sz w:val="24"/>
                <w:szCs w:val="24"/>
              </w:rPr>
              <w:t>4</w:t>
            </w:r>
            <w:r>
              <w:rPr>
                <w:rFonts w:hint="eastAsia"/>
                <w:sz w:val="24"/>
                <w:szCs w:val="24"/>
              </w:rPr>
              <w:t>、投标人通过“政采云”平台电子投标工具制作电子投标文件，电子投标工具请供应商自行前往浙江省政府采购网下载并安装</w:t>
            </w:r>
            <w:r>
              <w:rPr>
                <w:rFonts w:hint="eastAsia"/>
                <w:sz w:val="24"/>
                <w:szCs w:val="24"/>
                <w:lang w:eastAsia="zh-CN"/>
              </w:rPr>
              <w:t>。</w:t>
            </w:r>
          </w:p>
        </w:tc>
      </w:tr>
      <w:tr w14:paraId="5559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C4B18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2C33BFA">
            <w:pPr>
              <w:pStyle w:val="11"/>
              <w:keepNext w:val="0"/>
              <w:keepLines w:val="0"/>
              <w:pageBreakBefore w:val="0"/>
              <w:widowControl/>
              <w:kinsoku/>
              <w:wordWrap/>
              <w:overflowPunct/>
              <w:topLinePunct w:val="0"/>
              <w:autoSpaceDE/>
              <w:autoSpaceDN/>
              <w:bidi w:val="0"/>
              <w:adjustRightInd/>
              <w:snapToGrid/>
              <w:spacing w:line="320" w:lineRule="exac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14:paraId="3CDFBD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D0C456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14:paraId="2921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2119E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ADF8549">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D5E84D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14:paraId="4A121907">
            <w:pPr>
              <w:pStyle w:val="11"/>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5A66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E66AE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22780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82812E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lang w:eastAsia="zh-CN"/>
              </w:rPr>
              <w:t>开标后</w:t>
            </w:r>
            <w:r>
              <w:rPr>
                <w:rFonts w:hint="eastAsia" w:ascii="宋体" w:hAnsi="宋体" w:eastAsia="宋体" w:cs="宋体"/>
                <w:sz w:val="24"/>
                <w:lang w:val="en-US" w:eastAsia="zh-CN"/>
              </w:rPr>
              <w:t>30分钟之内。</w:t>
            </w:r>
          </w:p>
          <w:p w14:paraId="4291967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14:paraId="2D34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F14E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EBB8A3B">
            <w:pPr>
              <w:pStyle w:val="23"/>
              <w:keepNext w:val="0"/>
              <w:keepLines w:val="0"/>
              <w:pageBreakBefore w:val="0"/>
              <w:widowControl/>
              <w:kinsoku/>
              <w:wordWrap/>
              <w:overflowPunct/>
              <w:topLinePunct w:val="0"/>
              <w:autoSpaceDE/>
              <w:autoSpaceDN/>
              <w:bidi w:val="0"/>
              <w:adjustRightInd/>
              <w:snapToGrid/>
              <w:spacing w:line="320" w:lineRule="exac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1D37910">
            <w:pPr>
              <w:pStyle w:val="11"/>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14:paraId="3472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9DBF8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2715410">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7388C5E">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14:paraId="3EFF597E">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r>
              <w:rPr>
                <w:rFonts w:hint="eastAsia" w:hAnsi="宋体" w:cs="宋体"/>
                <w:sz w:val="24"/>
                <w:szCs w:val="24"/>
                <w:lang w:val="en-US" w:eastAsia="zh-CN"/>
              </w:rPr>
              <w:t>。</w:t>
            </w:r>
          </w:p>
          <w:p w14:paraId="34FEAA91">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14:paraId="559109A1">
            <w:pPr>
              <w:pStyle w:val="23"/>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14:paraId="7F8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82A51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D322FC">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14:paraId="2D7626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CC8F32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14:paraId="4831CFD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14:paraId="029C858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14:paraId="043FEAFB">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760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A31AC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7C507F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573CCB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r w14:paraId="5370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D744986">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微软雅黑"/>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92DB82F">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DF44574">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无</w:t>
            </w:r>
          </w:p>
        </w:tc>
      </w:tr>
      <w:tr w14:paraId="2601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841F001">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微软雅黑"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1BAE7B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演  示</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862CAC0">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新宋体" w:cs="Courier New"/>
                <w:color w:val="auto"/>
                <w:kern w:val="0"/>
                <w:sz w:val="24"/>
                <w:szCs w:val="22"/>
                <w:highlight w:val="none"/>
                <w:lang w:eastAsia="zh-CN"/>
              </w:rPr>
            </w:pPr>
            <w:r>
              <w:rPr>
                <w:rFonts w:hint="eastAsia" w:ascii="新宋体" w:hAnsi="新宋体" w:eastAsia="新宋体" w:cs="Courier New"/>
                <w:color w:val="auto"/>
                <w:kern w:val="0"/>
                <w:sz w:val="24"/>
                <w:szCs w:val="22"/>
                <w:highlight w:val="none"/>
                <w:lang w:eastAsia="zh-CN"/>
              </w:rPr>
              <w:t>无</w:t>
            </w:r>
          </w:p>
        </w:tc>
      </w:tr>
      <w:tr w14:paraId="1E92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389AABB">
            <w:pPr>
              <w:pStyle w:val="8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2BD5F97">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节能环保</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0ECC76F">
            <w:pPr>
              <w:pStyle w:val="23"/>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新宋体" w:hAnsi="新宋体" w:eastAsia="新宋体" w:cs="Courier New"/>
                <w:color w:val="auto"/>
                <w:kern w:val="0"/>
                <w:sz w:val="24"/>
                <w:szCs w:val="22"/>
                <w:highlight w:val="none"/>
                <w:lang w:eastAsia="zh-CN"/>
              </w:rPr>
            </w:pPr>
            <w:r>
              <w:rPr>
                <w:rFonts w:hint="eastAsia" w:ascii="新宋体" w:hAnsi="新宋体" w:eastAsia="新宋体" w:cs="Courier New"/>
                <w:color w:val="auto"/>
                <w:kern w:val="0"/>
                <w:sz w:val="24"/>
                <w:szCs w:val="22"/>
                <w:highlight w:val="none"/>
                <w:lang w:eastAsia="zh-CN"/>
              </w:rPr>
              <w:t>无</w:t>
            </w:r>
          </w:p>
        </w:tc>
      </w:tr>
    </w:tbl>
    <w:p w14:paraId="2C77C6FA">
      <w:pPr>
        <w:pStyle w:val="23"/>
        <w:keepNext w:val="0"/>
        <w:keepLines w:val="0"/>
        <w:pageBreakBefore w:val="0"/>
        <w:kinsoku/>
        <w:wordWrap/>
        <w:overflowPunct/>
        <w:topLinePunct w:val="0"/>
        <w:bidi w:val="0"/>
        <w:snapToGrid w:val="0"/>
        <w:spacing w:line="440" w:lineRule="exact"/>
        <w:textAlignment w:val="auto"/>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14:paraId="55B5152A">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1. 适用范围</w:t>
      </w:r>
    </w:p>
    <w:p w14:paraId="406D269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本磋商文件适用于该项目的邀请、响应、开启响应文件、信用信息查询、资格性审查、评审、成交、合同、验收等行为（法律、法规另有规定的，从其规定）。</w:t>
      </w:r>
    </w:p>
    <w:p w14:paraId="12010BE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2.定义</w:t>
      </w:r>
    </w:p>
    <w:p w14:paraId="72C864E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2.1 “采购人”系指磋商邀请公告中载明的本项目的采购人。</w:t>
      </w:r>
    </w:p>
    <w:p w14:paraId="1AE33C2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2.2 “</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”系指磋商邀请公告中载明的本项目的</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w:t>
      </w:r>
    </w:p>
    <w:p w14:paraId="28C5CBF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2.3 “供应商”“</w:t>
      </w:r>
      <w:r>
        <w:rPr>
          <w:rFonts w:hint="eastAsia" w:ascii="宋体" w:hAnsi="宋体"/>
          <w:b w:val="0"/>
          <w:bCs/>
          <w:color w:val="auto"/>
          <w:sz w:val="24"/>
          <w:szCs w:val="24"/>
          <w:highlight w:val="none"/>
          <w:lang w:eastAsia="zh-CN"/>
        </w:rPr>
        <w:t>投标人</w:t>
      </w:r>
      <w:r>
        <w:rPr>
          <w:rFonts w:hint="eastAsia" w:ascii="宋体" w:hAnsi="宋体"/>
          <w:b w:val="0"/>
          <w:bCs/>
          <w:color w:val="auto"/>
          <w:sz w:val="24"/>
          <w:szCs w:val="24"/>
          <w:highlight w:val="none"/>
        </w:rPr>
        <w:t>”系指响应磋商、参加本次竞争的法人、其他组织或自然人。</w:t>
      </w:r>
    </w:p>
    <w:p w14:paraId="21F50C2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2.4 “负责人”系指法人企业的法定负责人，或其他组织为法律、行政法规规定代表单位行使职权的主要负责人，或自然人本人。</w:t>
      </w:r>
    </w:p>
    <w:p w14:paraId="7907ED4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2.5 “成交人”系指经评审确定的成交供应商。</w:t>
      </w:r>
    </w:p>
    <w:p w14:paraId="721A7E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2.6“响应文件”系指供应商提交的商务技术文件。供应商提交最后报价后，最后报价是供应商响应文件的有效组成部分。</w:t>
      </w:r>
    </w:p>
    <w:p w14:paraId="2F7F0E7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2.7“电子交易平台”</w:t>
      </w:r>
      <w:r>
        <w:rPr>
          <w:rFonts w:hint="eastAsia" w:ascii="宋体" w:hAnsi="宋体"/>
          <w:b w:val="0"/>
          <w:bCs/>
          <w:color w:val="auto"/>
          <w:sz w:val="24"/>
          <w:szCs w:val="24"/>
          <w:highlight w:val="none"/>
          <w:lang w:val="en-US" w:eastAsia="zh-CN"/>
        </w:rPr>
        <w:t>系</w:t>
      </w:r>
      <w:r>
        <w:rPr>
          <w:rFonts w:hint="eastAsia" w:ascii="宋体" w:hAnsi="宋体"/>
          <w:b w:val="0"/>
          <w:bCs/>
          <w:color w:val="auto"/>
          <w:sz w:val="24"/>
          <w:szCs w:val="24"/>
          <w:highlight w:val="none"/>
        </w:rPr>
        <w:t>指本项目政府采购活动所依托的政府采购云平台（</w:t>
      </w:r>
      <w:r>
        <w:rPr>
          <w:rFonts w:hint="eastAsia" w:ascii="宋体" w:hAnsi="宋体"/>
          <w:b w:val="0"/>
          <w:bCs/>
          <w:color w:val="auto"/>
          <w:sz w:val="24"/>
          <w:szCs w:val="24"/>
          <w:highlight w:val="none"/>
        </w:rPr>
        <w:fldChar w:fldCharType="begin"/>
      </w:r>
      <w:r>
        <w:rPr>
          <w:rFonts w:hint="eastAsia" w:ascii="宋体" w:hAnsi="宋体"/>
          <w:b w:val="0"/>
          <w:bCs/>
          <w:color w:val="auto"/>
          <w:sz w:val="24"/>
          <w:szCs w:val="24"/>
          <w:highlight w:val="none"/>
        </w:rPr>
        <w:instrText xml:space="preserve"> HYPERLINK "https://www.zcygov.cn/" </w:instrText>
      </w:r>
      <w:r>
        <w:rPr>
          <w:rFonts w:hint="eastAsia" w:ascii="宋体" w:hAnsi="宋体"/>
          <w:b w:val="0"/>
          <w:bCs/>
          <w:color w:val="auto"/>
          <w:sz w:val="24"/>
          <w:szCs w:val="24"/>
          <w:highlight w:val="none"/>
        </w:rPr>
        <w:fldChar w:fldCharType="separate"/>
      </w:r>
      <w:r>
        <w:rPr>
          <w:rFonts w:hint="eastAsia" w:ascii="宋体" w:hAnsi="宋体"/>
          <w:b w:val="0"/>
          <w:bCs/>
          <w:color w:val="auto"/>
          <w:sz w:val="24"/>
          <w:szCs w:val="24"/>
          <w:highlight w:val="none"/>
        </w:rPr>
        <w:t>https://www.zcygov.cn/</w:t>
      </w:r>
      <w:r>
        <w:rPr>
          <w:rFonts w:hint="eastAsia" w:ascii="宋体" w:hAnsi="宋体"/>
          <w:b w:val="0"/>
          <w:bCs/>
          <w:color w:val="auto"/>
          <w:sz w:val="24"/>
          <w:szCs w:val="24"/>
          <w:highlight w:val="none"/>
        </w:rPr>
        <w:fldChar w:fldCharType="end"/>
      </w:r>
      <w:r>
        <w:rPr>
          <w:rFonts w:hint="eastAsia" w:ascii="宋体" w:hAnsi="宋体"/>
          <w:b w:val="0"/>
          <w:bCs/>
          <w:color w:val="auto"/>
          <w:sz w:val="24"/>
          <w:szCs w:val="24"/>
          <w:highlight w:val="none"/>
        </w:rPr>
        <w:t>）。</w:t>
      </w:r>
    </w:p>
    <w:p w14:paraId="2B4E5CF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2.8“电子签名”系指数据电文中以电子形式所含、所附用于识别签名人身份并表明签名人认可其中内容的数据；“公章”系指单位法定名称章。</w:t>
      </w:r>
    </w:p>
    <w:p w14:paraId="4A8B3A0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2.9 “书面形式”包括数据电文形式与纸质形式。数据电文形式与纸质形式的采购活动具有同等法律效力。</w:t>
      </w:r>
    </w:p>
    <w:p w14:paraId="1ACAAA8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2.10 “▲” 系指实质性要求条款， “※”系指磋商过程中可能实质性变动的内容。</w:t>
      </w:r>
    </w:p>
    <w:p w14:paraId="24A2733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 响应费用</w:t>
      </w:r>
    </w:p>
    <w:p w14:paraId="53BF3FBA">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lang w:val="zh-CN"/>
        </w:rPr>
      </w:pPr>
      <w:r>
        <w:rPr>
          <w:rFonts w:hint="eastAsia" w:ascii="宋体" w:hAnsi="宋体"/>
          <w:b w:val="0"/>
          <w:bCs/>
          <w:color w:val="auto"/>
          <w:sz w:val="24"/>
          <w:szCs w:val="24"/>
          <w:highlight w:val="none"/>
        </w:rPr>
        <w:t>供应商需自行承担涉及响应的一切费用</w:t>
      </w:r>
      <w:r>
        <w:rPr>
          <w:rFonts w:hint="eastAsia" w:ascii="宋体" w:hAnsi="宋体"/>
          <w:b w:val="0"/>
          <w:bCs/>
          <w:color w:val="auto"/>
          <w:sz w:val="24"/>
          <w:szCs w:val="24"/>
          <w:highlight w:val="none"/>
          <w:lang w:val="zh-CN"/>
        </w:rPr>
        <w:t>。</w:t>
      </w:r>
    </w:p>
    <w:p w14:paraId="4D5B0AFB">
      <w:pPr>
        <w:keepNext w:val="0"/>
        <w:keepLines w:val="0"/>
        <w:pageBreakBefore w:val="0"/>
        <w:kinsoku/>
        <w:wordWrap/>
        <w:overflowPunct/>
        <w:topLinePunct w:val="0"/>
        <w:bidi w:val="0"/>
        <w:snapToGrid w:val="0"/>
        <w:spacing w:line="440" w:lineRule="exact"/>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、需要落实的政府采购政策</w:t>
      </w:r>
    </w:p>
    <w:p w14:paraId="6D9BFFB3">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支持中小企业发展</w:t>
      </w:r>
    </w:p>
    <w:p w14:paraId="67ABEA1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9D98E1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符合中小企业划分标准的个体工商户，在政府采购活动中视同中小企业。</w:t>
      </w:r>
    </w:p>
    <w:p w14:paraId="705CBE7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2</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在政府采购活动中，服务类项目采购，服务由中小企业承接，即提供服务的人员为中小企业依照《中华人民共和国劳动合同法》订立劳动合同的从业人员，享受中小企业扶持政策。</w:t>
      </w:r>
    </w:p>
    <w:p w14:paraId="2449A726">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以联合体形式参加政府采购活动，联合体各方均为中小企业的，联合体视同中小企业。其中，联合体各方均为小微企业的，联合体视同小微企业。</w:t>
      </w:r>
    </w:p>
    <w:p w14:paraId="141C27C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7CD99D7">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符合《关于促进残疾人就业政府采购政策的通知》（财库〔2017〕141号）规定的条件并提供《残疾人福利性单位声明函》（附件3）的残疾人福利性单位视同小型、微型企业；</w:t>
      </w:r>
    </w:p>
    <w:p w14:paraId="674DFD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5</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64106B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6</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95C837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7</w:t>
      </w:r>
      <w:r>
        <w:rPr>
          <w:rFonts w:hint="eastAsia" w:ascii="宋体" w:hAnsi="宋体"/>
          <w:b w:val="0"/>
          <w:bCs/>
          <w:color w:val="auto"/>
          <w:sz w:val="24"/>
          <w:szCs w:val="24"/>
          <w:highlight w:val="none"/>
          <w:lang w:val="en-US" w:eastAsia="zh-CN"/>
        </w:rPr>
        <w:t>.</w:t>
      </w:r>
      <w:r>
        <w:rPr>
          <w:rFonts w:hint="eastAsia" w:ascii="宋体" w:hAnsi="宋体"/>
          <w:b w:val="0"/>
          <w:bCs/>
          <w:color w:val="auto"/>
          <w:sz w:val="24"/>
          <w:szCs w:val="24"/>
          <w:highlight w:val="none"/>
        </w:rPr>
        <w:t>中小企业享受扶持政策获得政府采购合同的，小微企业不得将合同分包给大中型企业，中型企业不得将合同分包给大型企业。</w:t>
      </w:r>
    </w:p>
    <w:p w14:paraId="44CFD61A">
      <w:pPr>
        <w:keepNext w:val="0"/>
        <w:keepLines w:val="0"/>
        <w:pageBreakBefore w:val="0"/>
        <w:kinsoku/>
        <w:wordWrap/>
        <w:overflowPunct/>
        <w:topLinePunct w:val="0"/>
        <w:bidi w:val="0"/>
        <w:snapToGrid w:val="0"/>
        <w:spacing w:line="440" w:lineRule="exact"/>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、询问、质疑与投诉</w:t>
      </w:r>
    </w:p>
    <w:p w14:paraId="51B3DDA0">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1.在线询问、质疑、投诉</w:t>
      </w:r>
    </w:p>
    <w:p w14:paraId="1A4948D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963E68">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2. 供应商询问</w:t>
      </w:r>
    </w:p>
    <w:p w14:paraId="069EA1E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color w:val="auto"/>
          <w:sz w:val="24"/>
          <w:szCs w:val="24"/>
          <w:highlight w:val="none"/>
          <w:lang w:val="zh-CN"/>
        </w:rPr>
      </w:pPr>
      <w:r>
        <w:rPr>
          <w:rFonts w:hint="eastAsia" w:ascii="宋体" w:hAnsi="宋体"/>
          <w:b w:val="0"/>
          <w:bCs/>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B1D584">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b/>
          <w:color w:val="auto"/>
          <w:sz w:val="24"/>
          <w:szCs w:val="24"/>
          <w:highlight w:val="none"/>
        </w:rPr>
      </w:pPr>
      <w:r>
        <w:rPr>
          <w:rFonts w:hint="eastAsia" w:ascii="宋体" w:hAnsi="宋体"/>
          <w:b/>
          <w:color w:val="auto"/>
          <w:sz w:val="24"/>
          <w:szCs w:val="24"/>
          <w:highlight w:val="none"/>
        </w:rPr>
        <w:t>3. 供应商质疑</w:t>
      </w:r>
    </w:p>
    <w:p w14:paraId="3BD9DAC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w:t>
      </w:r>
      <w:r>
        <w:rPr>
          <w:rFonts w:hint="eastAsia" w:ascii="宋体" w:hAnsi="宋体"/>
          <w:b w:val="0"/>
          <w:bCs/>
          <w:color w:val="auto"/>
          <w:sz w:val="24"/>
          <w:szCs w:val="24"/>
          <w:highlight w:val="none"/>
        </w:rPr>
        <w:t>.1质疑提出时效</w:t>
      </w:r>
    </w:p>
    <w:p w14:paraId="6B3917C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3.1.1提出质疑的供应商应当是参与所质疑项目采购活动的供应商。潜在供应商已依法获取其可质疑的采购文件的，可以对该文件提出质疑。</w:t>
      </w:r>
    </w:p>
    <w:p w14:paraId="46168E82">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w:t>
      </w:r>
      <w:r>
        <w:rPr>
          <w:rFonts w:hint="eastAsia" w:ascii="宋体" w:hAnsi="宋体"/>
          <w:b w:val="0"/>
          <w:bCs/>
          <w:color w:val="auto"/>
          <w:sz w:val="24"/>
          <w:szCs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提出质疑，否则，采购人或者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不予受理：</w:t>
      </w:r>
    </w:p>
    <w:p w14:paraId="2F63EA68">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879A54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3.1.2.2对采购过程提出质疑的，质疑期限为各采购程序环节结束之日起计算。</w:t>
      </w:r>
    </w:p>
    <w:p w14:paraId="003D5A1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3.1.2.3对采购结果提出质疑的，质疑期限自采购结果公告期限届满之日起计算。</w:t>
      </w:r>
    </w:p>
    <w:p w14:paraId="743A5020">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3.1.2.4对同一采购程序环节的质疑，供应商须一次性提出。</w:t>
      </w:r>
    </w:p>
    <w:p w14:paraId="6B2493E3">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3.2质疑答复</w:t>
      </w:r>
    </w:p>
    <w:p w14:paraId="366C0DE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3.2.1根据采购人与</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签订的《集中采购委托协议》的规定，质疑答复责任主体如下：</w:t>
      </w:r>
    </w:p>
    <w:p w14:paraId="74651A7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质疑答复责任主体一览表</w:t>
      </w:r>
    </w:p>
    <w:tbl>
      <w:tblPr>
        <w:tblStyle w:val="3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4311"/>
        <w:gridCol w:w="2176"/>
      </w:tblGrid>
      <w:tr w14:paraId="286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7" w:type="dxa"/>
            <w:gridSpan w:val="2"/>
            <w:vAlign w:val="center"/>
          </w:tcPr>
          <w:p w14:paraId="40752ACD">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质疑内容</w:t>
            </w:r>
          </w:p>
        </w:tc>
        <w:tc>
          <w:tcPr>
            <w:tcW w:w="2176" w:type="dxa"/>
            <w:vAlign w:val="center"/>
          </w:tcPr>
          <w:p w14:paraId="419F3B36">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质疑答复责任主体</w:t>
            </w:r>
          </w:p>
        </w:tc>
      </w:tr>
      <w:tr w14:paraId="5082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0A298C3C">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对采购文件提出质疑</w:t>
            </w:r>
          </w:p>
        </w:tc>
        <w:tc>
          <w:tcPr>
            <w:tcW w:w="4311" w:type="dxa"/>
            <w:vAlign w:val="center"/>
          </w:tcPr>
          <w:p w14:paraId="60795356">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对采购文件中特定资格条件、采购需求、评审办法、评审标准提出的质疑</w:t>
            </w:r>
          </w:p>
        </w:tc>
        <w:tc>
          <w:tcPr>
            <w:tcW w:w="2176" w:type="dxa"/>
            <w:vAlign w:val="center"/>
          </w:tcPr>
          <w:p w14:paraId="584FB243">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采购人</w:t>
            </w:r>
          </w:p>
        </w:tc>
      </w:tr>
      <w:tr w14:paraId="07C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082A6D1E">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p>
        </w:tc>
        <w:tc>
          <w:tcPr>
            <w:tcW w:w="4311" w:type="dxa"/>
            <w:vAlign w:val="center"/>
          </w:tcPr>
          <w:p w14:paraId="758A1144">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对采购文件中其他内容提出的质疑</w:t>
            </w:r>
          </w:p>
        </w:tc>
        <w:tc>
          <w:tcPr>
            <w:tcW w:w="2176" w:type="dxa"/>
            <w:vAlign w:val="center"/>
          </w:tcPr>
          <w:p w14:paraId="04DF5A7B">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r w14:paraId="7CB7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46846AC8">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对采购过程提出质疑</w:t>
            </w:r>
          </w:p>
        </w:tc>
        <w:tc>
          <w:tcPr>
            <w:tcW w:w="4311" w:type="dxa"/>
            <w:vAlign w:val="center"/>
          </w:tcPr>
          <w:p w14:paraId="5BB29454">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有关现场考察或开启响应文件前答疑会事项提出的质疑</w:t>
            </w:r>
          </w:p>
        </w:tc>
        <w:tc>
          <w:tcPr>
            <w:tcW w:w="2176" w:type="dxa"/>
            <w:vAlign w:val="center"/>
          </w:tcPr>
          <w:p w14:paraId="7CDC6807">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采购人</w:t>
            </w:r>
          </w:p>
        </w:tc>
      </w:tr>
      <w:tr w14:paraId="3D36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28DE4AE9">
            <w:pPr>
              <w:keepNext w:val="0"/>
              <w:keepLines w:val="0"/>
              <w:pageBreakBefore w:val="0"/>
              <w:widowControl w:val="0"/>
              <w:kinsoku/>
              <w:wordWrap/>
              <w:overflowPunct/>
              <w:topLinePunct w:val="0"/>
              <w:bidi w:val="0"/>
              <w:snapToGrid w:val="0"/>
              <w:spacing w:line="440" w:lineRule="exact"/>
              <w:ind w:firstLine="480" w:firstLineChars="200"/>
              <w:jc w:val="both"/>
              <w:textAlignment w:val="auto"/>
              <w:outlineLvl w:val="1"/>
              <w:rPr>
                <w:rFonts w:hint="eastAsia" w:ascii="宋体" w:hAnsi="宋体"/>
                <w:b w:val="0"/>
                <w:bCs/>
                <w:color w:val="auto"/>
                <w:sz w:val="24"/>
                <w:szCs w:val="24"/>
                <w:highlight w:val="none"/>
              </w:rPr>
            </w:pPr>
          </w:p>
        </w:tc>
        <w:tc>
          <w:tcPr>
            <w:tcW w:w="4311" w:type="dxa"/>
            <w:vAlign w:val="center"/>
          </w:tcPr>
          <w:p w14:paraId="002D9F32">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对采购过程中其它事项提出的质疑</w:t>
            </w:r>
          </w:p>
        </w:tc>
        <w:tc>
          <w:tcPr>
            <w:tcW w:w="2176" w:type="dxa"/>
            <w:vAlign w:val="center"/>
          </w:tcPr>
          <w:p w14:paraId="29E05C1F">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r w14:paraId="37AD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Align w:val="center"/>
          </w:tcPr>
          <w:p w14:paraId="59EA278F">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对采购结果提出质疑</w:t>
            </w:r>
          </w:p>
        </w:tc>
        <w:tc>
          <w:tcPr>
            <w:tcW w:w="4311" w:type="dxa"/>
            <w:vAlign w:val="center"/>
          </w:tcPr>
          <w:p w14:paraId="0A7B5359">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对采购结果提出的质疑</w:t>
            </w:r>
          </w:p>
        </w:tc>
        <w:tc>
          <w:tcPr>
            <w:tcW w:w="2176" w:type="dxa"/>
            <w:vAlign w:val="center"/>
          </w:tcPr>
          <w:p w14:paraId="7953E232">
            <w:pPr>
              <w:keepNext w:val="0"/>
              <w:keepLines w:val="0"/>
              <w:pageBreakBefore w:val="0"/>
              <w:widowControl w:val="0"/>
              <w:kinsoku/>
              <w:wordWrap/>
              <w:overflowPunct/>
              <w:topLinePunct w:val="0"/>
              <w:bidi w:val="0"/>
              <w:snapToGrid w:val="0"/>
              <w:spacing w:line="440" w:lineRule="exact"/>
              <w:jc w:val="both"/>
              <w:textAlignment w:val="auto"/>
              <w:outlineLvl w:val="1"/>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采购代理机构</w:t>
            </w:r>
          </w:p>
        </w:tc>
      </w:tr>
    </w:tbl>
    <w:p w14:paraId="4F03ACA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3.2.2采购人或者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b w:val="0"/>
          <w:bCs/>
          <w:color w:val="auto"/>
          <w:sz w:val="24"/>
          <w:szCs w:val="24"/>
          <w:highlight w:val="none"/>
          <w:lang w:eastAsia="zh-CN"/>
        </w:rPr>
        <w:t>浙江省</w:t>
      </w:r>
      <w:r>
        <w:rPr>
          <w:rFonts w:hint="eastAsia" w:ascii="宋体" w:hAnsi="宋体"/>
          <w:b w:val="0"/>
          <w:bCs/>
          <w:color w:val="auto"/>
          <w:sz w:val="24"/>
          <w:szCs w:val="24"/>
          <w:highlight w:val="none"/>
        </w:rPr>
        <w:t>财政</w:t>
      </w:r>
      <w:r>
        <w:rPr>
          <w:rFonts w:hint="eastAsia" w:ascii="宋体" w:hAnsi="宋体"/>
          <w:b w:val="0"/>
          <w:bCs/>
          <w:color w:val="auto"/>
          <w:sz w:val="24"/>
          <w:szCs w:val="24"/>
          <w:highlight w:val="none"/>
          <w:lang w:eastAsia="zh-CN"/>
        </w:rPr>
        <w:t>厅</w:t>
      </w:r>
      <w:r>
        <w:rPr>
          <w:rFonts w:hint="eastAsia" w:ascii="宋体" w:hAnsi="宋体"/>
          <w:b w:val="0"/>
          <w:bCs/>
          <w:color w:val="auto"/>
          <w:sz w:val="24"/>
          <w:szCs w:val="24"/>
          <w:highlight w:val="none"/>
        </w:rPr>
        <w:t>关于进一步</w:t>
      </w:r>
      <w:r>
        <w:rPr>
          <w:rFonts w:hint="eastAsia" w:ascii="宋体" w:hAnsi="宋体"/>
          <w:b w:val="0"/>
          <w:bCs/>
          <w:color w:val="auto"/>
          <w:sz w:val="24"/>
          <w:szCs w:val="24"/>
          <w:highlight w:val="none"/>
          <w:lang w:eastAsia="zh-CN"/>
        </w:rPr>
        <w:t>促进</w:t>
      </w:r>
      <w:r>
        <w:rPr>
          <w:rFonts w:hint="eastAsia" w:ascii="宋体" w:hAnsi="宋体"/>
          <w:b w:val="0"/>
          <w:bCs/>
          <w:color w:val="auto"/>
          <w:sz w:val="24"/>
          <w:szCs w:val="24"/>
          <w:highlight w:val="none"/>
        </w:rPr>
        <w:t>政府采购</w:t>
      </w:r>
      <w:r>
        <w:rPr>
          <w:rFonts w:hint="eastAsia" w:ascii="宋体" w:hAnsi="宋体"/>
          <w:b w:val="0"/>
          <w:bCs/>
          <w:color w:val="auto"/>
          <w:sz w:val="24"/>
          <w:szCs w:val="24"/>
          <w:highlight w:val="none"/>
          <w:lang w:eastAsia="zh-CN"/>
        </w:rPr>
        <w:t>公平竞争打造最</w:t>
      </w:r>
      <w:r>
        <w:rPr>
          <w:rFonts w:hint="eastAsia" w:ascii="宋体" w:hAnsi="宋体"/>
          <w:b w:val="0"/>
          <w:bCs/>
          <w:color w:val="auto"/>
          <w:sz w:val="24"/>
          <w:szCs w:val="24"/>
          <w:highlight w:val="none"/>
        </w:rPr>
        <w:t>优营商环境的通知》（</w:t>
      </w:r>
      <w:r>
        <w:rPr>
          <w:rFonts w:hint="eastAsia" w:ascii="宋体" w:hAnsi="宋体"/>
          <w:b w:val="0"/>
          <w:bCs/>
          <w:color w:val="auto"/>
          <w:sz w:val="24"/>
          <w:szCs w:val="24"/>
          <w:highlight w:val="none"/>
          <w:lang w:eastAsia="zh-CN"/>
        </w:rPr>
        <w:t>浙</w:t>
      </w:r>
      <w:r>
        <w:rPr>
          <w:rFonts w:hint="eastAsia" w:ascii="宋体" w:hAnsi="宋体"/>
          <w:b w:val="0"/>
          <w:bCs/>
          <w:color w:val="auto"/>
          <w:sz w:val="24"/>
          <w:szCs w:val="24"/>
          <w:highlight w:val="none"/>
        </w:rPr>
        <w:t>财采监〔2021〕</w:t>
      </w:r>
      <w:r>
        <w:rPr>
          <w:rFonts w:hint="eastAsia" w:ascii="宋体" w:hAnsi="宋体"/>
          <w:b w:val="0"/>
          <w:bCs/>
          <w:color w:val="auto"/>
          <w:sz w:val="24"/>
          <w:szCs w:val="24"/>
          <w:highlight w:val="none"/>
          <w:lang w:val="en-US" w:eastAsia="zh-CN"/>
        </w:rPr>
        <w:t>22</w:t>
      </w:r>
      <w:r>
        <w:rPr>
          <w:rFonts w:hint="eastAsia" w:ascii="宋体" w:hAnsi="宋体"/>
          <w:b w:val="0"/>
          <w:bCs/>
          <w:color w:val="auto"/>
          <w:sz w:val="24"/>
          <w:szCs w:val="24"/>
          <w:highlight w:val="none"/>
        </w:rPr>
        <w:t>号）,采购人或者</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在质疑回复后5个工作日内，在浙江政府采购网的“其他公告”栏目公开质疑答复，答复内容应当完整。质疑函作为附件上传。</w:t>
      </w:r>
    </w:p>
    <w:p w14:paraId="56FD597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3.2.3询问或者质疑事项可能影响采购结果的，采购人应当暂停签订合同，已经签订合同的，应当中止履行合同。</w:t>
      </w:r>
    </w:p>
    <w:p w14:paraId="00DAC73F">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lang w:val="zh-CN"/>
        </w:rPr>
        <w:t>3.3质疑函</w:t>
      </w:r>
    </w:p>
    <w:p w14:paraId="5718C0F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3.3.1供应商提出质疑应当提交质疑函和必要的证明材料。质疑函应当包括下列内容：</w:t>
      </w:r>
    </w:p>
    <w:p w14:paraId="7D1E893E">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供应商的姓名或者名称、地址、邮编、联系人及联系电话；</w:t>
      </w:r>
    </w:p>
    <w:p w14:paraId="19CBAF9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质疑项目的名称、编号；</w:t>
      </w:r>
    </w:p>
    <w:p w14:paraId="67BCCEB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具体、明确的质疑事项和与质疑事项相关的请求；</w:t>
      </w:r>
    </w:p>
    <w:p w14:paraId="470E65D1">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事实依据；</w:t>
      </w:r>
    </w:p>
    <w:p w14:paraId="0FC06329">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必要的法律依据；</w:t>
      </w:r>
    </w:p>
    <w:p w14:paraId="78B6D5C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 xml:space="preserve"> </w:t>
      </w:r>
      <w:r>
        <w:rPr>
          <w:rFonts w:hint="eastAsia" w:ascii="宋体" w:hAnsi="宋体"/>
          <w:b w:val="0"/>
          <w:bCs/>
          <w:color w:val="auto"/>
          <w:sz w:val="24"/>
          <w:szCs w:val="24"/>
          <w:highlight w:val="none"/>
        </w:rPr>
        <w:t>提出质疑的日期。</w:t>
      </w:r>
    </w:p>
    <w:p w14:paraId="08F36AD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B2AABEB">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4.供应商投诉</w:t>
      </w:r>
    </w:p>
    <w:p w14:paraId="5DC5E707">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4.1质疑供应商对采购人、</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的答复不满意或者采购人、</w:t>
      </w:r>
      <w:r>
        <w:rPr>
          <w:rFonts w:hint="eastAsia" w:ascii="宋体" w:hAnsi="宋体"/>
          <w:b w:val="0"/>
          <w:bCs/>
          <w:color w:val="auto"/>
          <w:sz w:val="24"/>
          <w:szCs w:val="24"/>
          <w:highlight w:val="none"/>
          <w:lang w:eastAsia="zh-CN"/>
        </w:rPr>
        <w:t>采购代理机构</w:t>
      </w:r>
      <w:r>
        <w:rPr>
          <w:rFonts w:hint="eastAsia" w:ascii="宋体" w:hAnsi="宋体"/>
          <w:b w:val="0"/>
          <w:bCs/>
          <w:color w:val="auto"/>
          <w:sz w:val="24"/>
          <w:szCs w:val="24"/>
          <w:highlight w:val="none"/>
        </w:rPr>
        <w:t>未在规定的时间内作出答复的，可以在答复期满后十五个工作日内向同级政府采购监督管理部门提出投诉。</w:t>
      </w:r>
    </w:p>
    <w:p w14:paraId="22D441ED">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4.2供应商投诉的事项不得超出已质疑事项的范围，基于质疑答复内容提出的投诉事项除外。</w:t>
      </w:r>
    </w:p>
    <w:p w14:paraId="79432322">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4.3供应商投诉应当有明确的请求和必要的证明材料。</w:t>
      </w:r>
    </w:p>
    <w:p w14:paraId="44F857A5">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b w:val="0"/>
          <w:bCs/>
          <w:color w:val="auto"/>
          <w:sz w:val="24"/>
          <w:szCs w:val="24"/>
          <w:highlight w:val="none"/>
        </w:rPr>
      </w:pPr>
      <w:r>
        <w:rPr>
          <w:rFonts w:hint="eastAsia" w:ascii="宋体" w:hAnsi="宋体"/>
          <w:b w:val="0"/>
          <w:bCs/>
          <w:color w:val="auto"/>
          <w:sz w:val="24"/>
          <w:szCs w:val="24"/>
          <w:highlight w:val="none"/>
        </w:rPr>
        <w:t>4.4以联合体形式参加政府采购活动的，其投诉应当由组成联合体的所有供应商共同提出。</w:t>
      </w:r>
    </w:p>
    <w:p w14:paraId="5773F91B">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磋商</w:t>
      </w:r>
      <w:r>
        <w:rPr>
          <w:rFonts w:hint="eastAsia" w:ascii="宋体" w:hAnsi="宋体"/>
          <w:b/>
          <w:color w:val="auto"/>
          <w:sz w:val="24"/>
          <w:szCs w:val="24"/>
          <w:highlight w:val="none"/>
        </w:rPr>
        <w:t>文件</w:t>
      </w:r>
    </w:p>
    <w:p w14:paraId="5453D226">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olor w:val="auto"/>
          <w:sz w:val="24"/>
          <w:szCs w:val="24"/>
          <w:highlight w:val="none"/>
        </w:rPr>
      </w:pP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文件由文件总目录所列内容组成。</w:t>
      </w:r>
    </w:p>
    <w:p w14:paraId="7D12E8F1">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的风险</w:t>
      </w:r>
    </w:p>
    <w:p w14:paraId="0B0DADB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没有按照</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文件要求提供全部资料，或者</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没有对</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文件在各方面作出实质性响应是</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的风险，并可能导致其投标被拒绝。</w:t>
      </w:r>
    </w:p>
    <w:p w14:paraId="1911F573">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（三）</w:t>
      </w:r>
      <w:r>
        <w:rPr>
          <w:rFonts w:hint="eastAsia" w:ascii="宋体" w:hAnsi="宋体"/>
          <w:b/>
          <w:bCs/>
          <w:color w:val="auto"/>
          <w:sz w:val="24"/>
          <w:szCs w:val="24"/>
          <w:highlight w:val="none"/>
          <w:lang w:eastAsia="zh-CN"/>
        </w:rPr>
        <w:t>磋商</w:t>
      </w:r>
      <w:r>
        <w:rPr>
          <w:rFonts w:hint="eastAsia" w:ascii="宋体" w:hAnsi="宋体"/>
          <w:b/>
          <w:bCs/>
          <w:color w:val="auto"/>
          <w:sz w:val="24"/>
          <w:szCs w:val="24"/>
          <w:highlight w:val="none"/>
        </w:rPr>
        <w:t>文件的澄清或修改</w:t>
      </w:r>
    </w:p>
    <w:p w14:paraId="045D5D1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应认真阅读本</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文件，发现其中有误或有要求不合理的，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必须在投标须知前附表规定的招标文件答疑与澄清截止时间前以书面形式要求采购组织机构澄清。</w:t>
      </w:r>
    </w:p>
    <w:p w14:paraId="1EAEAAC4">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采购组织机构必须以书面形式答复投标人要求澄清的问题，并将不包含问题来源的答复书面通知所有依法获取</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p>
    <w:p w14:paraId="018B575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w:t>
      </w:r>
      <w:r>
        <w:rPr>
          <w:rFonts w:hint="eastAsia" w:ascii="宋体" w:hAnsi="宋体"/>
          <w:color w:val="auto"/>
          <w:sz w:val="24"/>
          <w:highlight w:val="none"/>
        </w:rPr>
        <w:t>采购组织机构</w:t>
      </w:r>
      <w:r>
        <w:rPr>
          <w:rFonts w:hint="eastAsia" w:ascii="宋体" w:hAnsi="宋体"/>
          <w:color w:val="auto"/>
          <w:sz w:val="24"/>
          <w:szCs w:val="24"/>
          <w:highlight w:val="none"/>
        </w:rPr>
        <w:t>可视采购具体情况对已发出的</w:t>
      </w:r>
      <w:r>
        <w:rPr>
          <w:rFonts w:hint="eastAsia" w:ascii="宋体" w:hAnsi="宋体"/>
          <w:color w:val="auto"/>
          <w:sz w:val="24"/>
          <w:szCs w:val="24"/>
          <w:highlight w:val="none"/>
          <w:lang w:eastAsia="zh-CN"/>
        </w:rPr>
        <w:t>磋商文</w:t>
      </w:r>
      <w:r>
        <w:rPr>
          <w:rFonts w:hint="eastAsia" w:ascii="宋体" w:hAnsi="宋体"/>
          <w:color w:val="auto"/>
          <w:sz w:val="24"/>
          <w:szCs w:val="24"/>
          <w:highlight w:val="none"/>
        </w:rPr>
        <w:t xml:space="preserve">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0328696">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文件澄清、答复、修改、补充的内容为</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文件的组成部分。当</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文件与</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文件的答复、澄清、修改、补充通知就同一内容的表述不一致时，以最后发出的书面文件为准。</w:t>
      </w:r>
    </w:p>
    <w:p w14:paraId="17699E0F">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供应商</w:t>
      </w:r>
      <w:r>
        <w:rPr>
          <w:rFonts w:ascii="宋体" w:hAnsi="宋体"/>
          <w:color w:val="auto"/>
          <w:sz w:val="24"/>
          <w:szCs w:val="24"/>
          <w:highlight w:val="none"/>
        </w:rPr>
        <w:t>在规定的时间内未对</w:t>
      </w:r>
      <w:r>
        <w:rPr>
          <w:rFonts w:hint="eastAsia" w:ascii="宋体" w:hAnsi="宋体"/>
          <w:color w:val="auto"/>
          <w:sz w:val="24"/>
          <w:szCs w:val="24"/>
          <w:highlight w:val="none"/>
          <w:lang w:eastAsia="zh-CN"/>
        </w:rPr>
        <w:t>磋商</w:t>
      </w:r>
      <w:r>
        <w:rPr>
          <w:rFonts w:ascii="宋体" w:hAnsi="宋体"/>
          <w:color w:val="auto"/>
          <w:sz w:val="24"/>
          <w:szCs w:val="24"/>
          <w:highlight w:val="none"/>
        </w:rPr>
        <w:t>文件提出疑问、质疑或要求澄清的，将视其为无异议。对</w:t>
      </w:r>
      <w:r>
        <w:rPr>
          <w:rFonts w:hint="eastAsia" w:ascii="宋体" w:hAnsi="宋体"/>
          <w:color w:val="auto"/>
          <w:sz w:val="24"/>
          <w:szCs w:val="24"/>
          <w:highlight w:val="none"/>
          <w:lang w:eastAsia="zh-CN"/>
        </w:rPr>
        <w:t>磋商</w:t>
      </w:r>
      <w:r>
        <w:rPr>
          <w:rFonts w:ascii="宋体" w:hAnsi="宋体"/>
          <w:color w:val="auto"/>
          <w:sz w:val="24"/>
          <w:szCs w:val="24"/>
          <w:highlight w:val="none"/>
        </w:rPr>
        <w:t>文件中描述有歧义或前后不一致的地方，评标委员会有权进行评判，但对同一条款的评判应适用于每个</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p>
    <w:p w14:paraId="4EBAE98D">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三、</w:t>
      </w:r>
      <w:r>
        <w:rPr>
          <w:rFonts w:hint="eastAsia" w:ascii="宋体" w:hAnsi="宋体"/>
          <w:b/>
          <w:color w:val="auto"/>
          <w:sz w:val="24"/>
          <w:szCs w:val="24"/>
          <w:highlight w:val="none"/>
          <w:lang w:eastAsia="zh-CN"/>
        </w:rPr>
        <w:t>磋商响应</w:t>
      </w:r>
      <w:r>
        <w:rPr>
          <w:rFonts w:hint="eastAsia" w:ascii="宋体" w:hAnsi="宋体"/>
          <w:b/>
          <w:color w:val="auto"/>
          <w:sz w:val="24"/>
          <w:szCs w:val="24"/>
          <w:highlight w:val="none"/>
        </w:rPr>
        <w:t>文件</w:t>
      </w:r>
    </w:p>
    <w:p w14:paraId="7E5513CD">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（一）响应文件的形式</w:t>
      </w:r>
    </w:p>
    <w:p w14:paraId="3B2EFDD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响应文件的形式：电子加密响应文件（是指通过“政采云电子交易客户端”完成响应文件编制后生成并加密的数据电文形式的响应文件，文件格式“.jmbs”）。</w:t>
      </w:r>
    </w:p>
    <w:p w14:paraId="4A5D7C97">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lang w:eastAsia="zh-CN"/>
        </w:rPr>
        <w:t>响应</w:t>
      </w:r>
      <w:r>
        <w:rPr>
          <w:rFonts w:hint="eastAsia" w:ascii="宋体" w:hAnsi="宋体"/>
          <w:b/>
          <w:bCs/>
          <w:color w:val="auto"/>
          <w:sz w:val="24"/>
          <w:szCs w:val="24"/>
          <w:highlight w:val="none"/>
        </w:rPr>
        <w:t>文件的组成</w:t>
      </w:r>
    </w:p>
    <w:p w14:paraId="5CE853C4">
      <w:pPr>
        <w:keepNext w:val="0"/>
        <w:keepLines w:val="0"/>
        <w:pageBreakBefore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bCs/>
          <w:kern w:val="0"/>
          <w:sz w:val="24"/>
          <w:lang w:eastAsia="zh-CN"/>
        </w:rPr>
        <w:t>响应</w:t>
      </w:r>
      <w:r>
        <w:rPr>
          <w:rFonts w:hint="eastAsia" w:ascii="宋体" w:hAnsi="宋体" w:eastAsia="宋体"/>
          <w:bCs/>
          <w:kern w:val="0"/>
          <w:sz w:val="24"/>
        </w:rPr>
        <w:t>文件应按照</w:t>
      </w:r>
      <w:r>
        <w:rPr>
          <w:rFonts w:hint="eastAsia" w:ascii="宋体" w:hAnsi="宋体"/>
          <w:bCs/>
          <w:kern w:val="0"/>
          <w:sz w:val="24"/>
          <w:lang w:eastAsia="zh-CN"/>
        </w:rPr>
        <w:t>磋商</w:t>
      </w:r>
      <w:r>
        <w:rPr>
          <w:rFonts w:hint="eastAsia" w:ascii="宋体" w:hAnsi="宋体" w:eastAsia="宋体"/>
          <w:bCs/>
          <w:kern w:val="0"/>
          <w:sz w:val="24"/>
        </w:rPr>
        <w:t>文件</w:t>
      </w:r>
      <w:r>
        <w:rPr>
          <w:rFonts w:hint="eastAsia" w:ascii="宋体" w:hAnsi="宋体" w:eastAsia="宋体"/>
          <w:b/>
          <w:bCs w:val="0"/>
          <w:kern w:val="0"/>
          <w:sz w:val="24"/>
        </w:rPr>
        <w:t>第六章“</w:t>
      </w:r>
      <w:r>
        <w:rPr>
          <w:rFonts w:hint="eastAsia" w:ascii="宋体" w:hAnsi="宋体"/>
          <w:b/>
          <w:bCs w:val="0"/>
          <w:kern w:val="0"/>
          <w:sz w:val="24"/>
          <w:lang w:eastAsia="zh-CN"/>
        </w:rPr>
        <w:t>响应</w:t>
      </w:r>
      <w:r>
        <w:rPr>
          <w:rFonts w:hint="eastAsia" w:ascii="宋体" w:hAnsi="宋体" w:eastAsia="宋体"/>
          <w:b/>
          <w:bCs w:val="0"/>
          <w:kern w:val="0"/>
          <w:sz w:val="24"/>
        </w:rPr>
        <w:t>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bCs/>
          <w:kern w:val="0"/>
          <w:sz w:val="24"/>
          <w:lang w:eastAsia="zh-CN"/>
        </w:rPr>
        <w:t>响应</w:t>
      </w:r>
      <w:r>
        <w:rPr>
          <w:rFonts w:hint="eastAsia" w:ascii="宋体" w:hAnsi="宋体" w:cs="宋体"/>
          <w:bCs/>
          <w:color w:val="auto"/>
          <w:sz w:val="24"/>
          <w:szCs w:val="24"/>
          <w:highlight w:val="none"/>
        </w:rPr>
        <w:t>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w:t>
      </w:r>
      <w:r>
        <w:rPr>
          <w:rFonts w:hint="eastAsia" w:ascii="宋体" w:hAnsi="宋体" w:cs="宋体"/>
          <w:bCs/>
          <w:color w:val="auto"/>
          <w:sz w:val="24"/>
          <w:szCs w:val="24"/>
          <w:highlight w:val="none"/>
          <w:lang w:eastAsia="zh-CN"/>
        </w:rPr>
        <w:t>响应</w:t>
      </w:r>
      <w:r>
        <w:rPr>
          <w:rFonts w:hint="eastAsia" w:ascii="宋体" w:hAnsi="宋体" w:cs="宋体"/>
          <w:bCs/>
          <w:color w:val="auto"/>
          <w:sz w:val="24"/>
          <w:szCs w:val="24"/>
          <w:highlight w:val="none"/>
        </w:rPr>
        <w:t>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14:paraId="237A3AD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（三）</w:t>
      </w:r>
      <w:r>
        <w:rPr>
          <w:rFonts w:hint="eastAsia" w:ascii="宋体" w:hAnsi="宋体"/>
          <w:b/>
          <w:bCs w:val="0"/>
          <w:kern w:val="0"/>
          <w:sz w:val="24"/>
          <w:lang w:eastAsia="zh-CN"/>
        </w:rPr>
        <w:t>响应</w:t>
      </w:r>
      <w:r>
        <w:rPr>
          <w:rFonts w:hint="eastAsia" w:ascii="宋体" w:hAnsi="宋体"/>
          <w:b/>
          <w:color w:val="auto"/>
          <w:sz w:val="24"/>
          <w:szCs w:val="24"/>
          <w:highlight w:val="none"/>
          <w:lang w:val="zh-CN"/>
        </w:rPr>
        <w:t>文件的编制</w:t>
      </w:r>
    </w:p>
    <w:p w14:paraId="3FF823F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www.zcygov.cn）实行电子交易（在线投标响应）。供应商参加本项目电子交易应当安装“政采云电子交易客户端”，并按照本采购文件规定和“政府采购云平台”的要求编制电子响应文件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14:paraId="7E9D999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kern w:val="0"/>
          <w:sz w:val="24"/>
          <w:lang w:eastAsia="zh-CN"/>
        </w:rPr>
        <w:t>响应</w:t>
      </w:r>
      <w:r>
        <w:rPr>
          <w:rFonts w:hint="eastAsia" w:ascii="宋体" w:hAnsi="宋体"/>
          <w:bCs/>
          <w:color w:val="auto"/>
          <w:sz w:val="24"/>
          <w:szCs w:val="24"/>
          <w:highlight w:val="none"/>
          <w:lang w:val="zh-CN"/>
        </w:rPr>
        <w:t>文件内容不完整、编排混乱导致投标文件被误读、漏读或者查找不到相关内容的，是供应商的责任。</w:t>
      </w:r>
    </w:p>
    <w:p w14:paraId="3FB010F9">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bCs/>
          <w:sz w:val="24"/>
        </w:rPr>
      </w:pPr>
      <w:r>
        <w:rPr>
          <w:rFonts w:hint="eastAsia" w:ascii="宋体" w:hAnsi="宋体"/>
          <w:kern w:val="0"/>
          <w:sz w:val="24"/>
          <w:lang w:val="en-US" w:eastAsia="zh-CN"/>
        </w:rPr>
        <w:t>3.“备份电子</w:t>
      </w:r>
      <w:r>
        <w:rPr>
          <w:rFonts w:hint="eastAsia" w:ascii="宋体" w:hAnsi="宋体"/>
          <w:bCs/>
          <w:kern w:val="0"/>
          <w:sz w:val="24"/>
          <w:lang w:eastAsia="zh-CN"/>
        </w:rPr>
        <w:t>响应</w:t>
      </w:r>
      <w:r>
        <w:rPr>
          <w:rFonts w:hint="eastAsia" w:ascii="宋体" w:hAnsi="宋体"/>
          <w:kern w:val="0"/>
          <w:sz w:val="24"/>
          <w:lang w:val="en-US" w:eastAsia="zh-CN"/>
        </w:rPr>
        <w:t>文件”是指与“电子</w:t>
      </w:r>
      <w:r>
        <w:rPr>
          <w:rFonts w:hint="eastAsia" w:ascii="宋体" w:hAnsi="宋体"/>
          <w:bCs/>
          <w:kern w:val="0"/>
          <w:sz w:val="24"/>
          <w:lang w:eastAsia="zh-CN"/>
        </w:rPr>
        <w:t>响应</w:t>
      </w:r>
      <w:r>
        <w:rPr>
          <w:rFonts w:hint="eastAsia" w:ascii="宋体" w:hAnsi="宋体"/>
          <w:kern w:val="0"/>
          <w:sz w:val="24"/>
          <w:lang w:val="en-US" w:eastAsia="zh-CN"/>
        </w:rPr>
        <w:t>文件”同时生成的数据电文形式的电子文件（文件格式“.bfbs”），其他方式编制的备份</w:t>
      </w:r>
      <w:r>
        <w:rPr>
          <w:rFonts w:hint="eastAsia" w:ascii="宋体" w:hAnsi="宋体"/>
          <w:bCs/>
          <w:kern w:val="0"/>
          <w:sz w:val="24"/>
          <w:lang w:eastAsia="zh-CN"/>
        </w:rPr>
        <w:t>响应</w:t>
      </w:r>
      <w:r>
        <w:rPr>
          <w:rFonts w:hint="eastAsia" w:ascii="宋体" w:hAnsi="宋体"/>
          <w:kern w:val="0"/>
          <w:sz w:val="24"/>
          <w:lang w:val="en-US" w:eastAsia="zh-CN"/>
        </w:rPr>
        <w:t>文件视为无效备份</w:t>
      </w:r>
      <w:r>
        <w:rPr>
          <w:rFonts w:hint="eastAsia" w:ascii="宋体" w:hAnsi="宋体"/>
          <w:bCs/>
          <w:kern w:val="0"/>
          <w:sz w:val="24"/>
          <w:lang w:eastAsia="zh-CN"/>
        </w:rPr>
        <w:t>响应</w:t>
      </w:r>
      <w:r>
        <w:rPr>
          <w:rFonts w:hint="eastAsia" w:ascii="宋体" w:hAnsi="宋体"/>
          <w:kern w:val="0"/>
          <w:sz w:val="24"/>
          <w:lang w:val="en-US" w:eastAsia="zh-CN"/>
        </w:rPr>
        <w:t>文件，请供应商自行妥善保管。</w:t>
      </w:r>
    </w:p>
    <w:p w14:paraId="7DB30632">
      <w:pPr>
        <w:pStyle w:val="18"/>
        <w:keepNext w:val="0"/>
        <w:keepLines w:val="0"/>
        <w:pageBreakBefore w:val="0"/>
        <w:kinsoku/>
        <w:wordWrap/>
        <w:overflowPunct/>
        <w:topLinePunct w:val="0"/>
        <w:bidi w:val="0"/>
        <w:spacing w:line="440" w:lineRule="exact"/>
        <w:ind w:firstLine="480" w:firstLineChars="200"/>
        <w:textAlignment w:val="auto"/>
      </w:pPr>
      <w:r>
        <w:rPr>
          <w:rFonts w:hint="eastAsia" w:ascii="宋体" w:hAnsi="宋体"/>
          <w:sz w:val="24"/>
          <w:lang w:val="en-US" w:eastAsia="zh-CN"/>
        </w:rPr>
        <w:t>4.</w:t>
      </w:r>
      <w:r>
        <w:rPr>
          <w:rFonts w:hint="eastAsia" w:ascii="宋体" w:hAnsi="宋体"/>
          <w:sz w:val="24"/>
          <w:lang w:eastAsia="zh-CN"/>
        </w:rPr>
        <w:t>供应商</w:t>
      </w:r>
      <w:r>
        <w:rPr>
          <w:rFonts w:hint="eastAsia" w:ascii="宋体" w:hAnsi="宋体"/>
          <w:sz w:val="24"/>
        </w:rPr>
        <w:t>应对所提供的全部资料的真实性、有效性承担法律责任，电子</w:t>
      </w:r>
      <w:r>
        <w:rPr>
          <w:rFonts w:hint="eastAsia" w:ascii="宋体" w:hAnsi="宋体"/>
          <w:bCs/>
          <w:kern w:val="0"/>
          <w:sz w:val="24"/>
          <w:lang w:eastAsia="zh-CN"/>
        </w:rPr>
        <w:t>响应</w:t>
      </w:r>
      <w:r>
        <w:rPr>
          <w:rFonts w:hint="eastAsia" w:ascii="宋体" w:hAnsi="宋体"/>
          <w:sz w:val="24"/>
        </w:rPr>
        <w:t>文件中盖章之处必须加盖电子印章。</w:t>
      </w:r>
    </w:p>
    <w:p w14:paraId="637B2861">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sz w:val="24"/>
          <w:lang w:val="en-US" w:eastAsia="zh-CN"/>
        </w:rPr>
        <w:t>5</w:t>
      </w:r>
      <w:r>
        <w:rPr>
          <w:rFonts w:hint="eastAsia" w:ascii="宋体" w:hAnsi="宋体"/>
          <w:sz w:val="24"/>
          <w:lang w:val="en-US" w:eastAsia="zh-CN"/>
        </w:rPr>
        <w:t>.</w:t>
      </w:r>
      <w:r>
        <w:rPr>
          <w:rFonts w:ascii="宋体" w:hAnsi="宋体" w:eastAsia="宋体"/>
          <w:sz w:val="24"/>
        </w:rPr>
        <w:t>若</w:t>
      </w:r>
      <w:r>
        <w:rPr>
          <w:rFonts w:hint="eastAsia" w:ascii="宋体" w:hAnsi="宋体"/>
          <w:sz w:val="24"/>
          <w:lang w:eastAsia="zh-CN"/>
        </w:rPr>
        <w:t>供应商</w:t>
      </w:r>
      <w:r>
        <w:rPr>
          <w:rFonts w:ascii="宋体" w:hAnsi="宋体" w:eastAsia="宋体"/>
          <w:sz w:val="24"/>
        </w:rPr>
        <w:t>不按</w:t>
      </w:r>
      <w:r>
        <w:rPr>
          <w:rFonts w:hint="eastAsia" w:ascii="宋体" w:hAnsi="宋体"/>
          <w:sz w:val="24"/>
          <w:lang w:eastAsia="zh-CN"/>
        </w:rPr>
        <w:t>磋商</w:t>
      </w:r>
      <w:r>
        <w:rPr>
          <w:rFonts w:ascii="宋体" w:hAnsi="宋体" w:eastAsia="宋体"/>
          <w:sz w:val="24"/>
        </w:rPr>
        <w:t>文件的要求提供资格审查材料，其风险由</w:t>
      </w:r>
      <w:r>
        <w:rPr>
          <w:rFonts w:hint="eastAsia" w:ascii="宋体" w:hAnsi="宋体"/>
          <w:sz w:val="24"/>
          <w:lang w:eastAsia="zh-CN"/>
        </w:rPr>
        <w:t>供应商</w:t>
      </w:r>
      <w:r>
        <w:rPr>
          <w:rFonts w:ascii="宋体" w:hAnsi="宋体" w:eastAsia="宋体"/>
          <w:sz w:val="24"/>
        </w:rPr>
        <w:t>自行承担。</w:t>
      </w:r>
    </w:p>
    <w:p w14:paraId="44E9A1AF">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sz w:val="24"/>
        </w:rPr>
      </w:pPr>
      <w:r>
        <w:rPr>
          <w:rFonts w:hint="eastAsia" w:ascii="宋体" w:hAnsi="宋体" w:eastAsia="宋体"/>
          <w:kern w:val="0"/>
          <w:sz w:val="24"/>
          <w:lang w:val="en-US" w:eastAsia="zh-CN"/>
        </w:rPr>
        <w:t>6</w:t>
      </w:r>
      <w:r>
        <w:rPr>
          <w:rFonts w:hint="eastAsia" w:ascii="宋体" w:hAnsi="宋体"/>
          <w:kern w:val="0"/>
          <w:sz w:val="24"/>
          <w:lang w:val="en-US" w:eastAsia="zh-CN"/>
        </w:rPr>
        <w:t>.</w:t>
      </w:r>
      <w:r>
        <w:rPr>
          <w:rFonts w:hint="eastAsia" w:ascii="宋体" w:hAnsi="宋体" w:eastAsia="宋体"/>
          <w:sz w:val="24"/>
        </w:rPr>
        <w:t>与本次投标</w:t>
      </w:r>
      <w:r>
        <w:rPr>
          <w:rFonts w:hint="eastAsia" w:ascii="宋体" w:hAnsi="宋体"/>
          <w:sz w:val="24"/>
          <w:lang w:eastAsia="zh-CN"/>
        </w:rPr>
        <w:t>响应</w:t>
      </w:r>
      <w:r>
        <w:rPr>
          <w:rFonts w:hint="eastAsia" w:ascii="宋体" w:hAnsi="宋体" w:eastAsia="宋体"/>
          <w:sz w:val="24"/>
        </w:rPr>
        <w:t>无关的内容请不要制作在内，确保电子</w:t>
      </w:r>
      <w:r>
        <w:rPr>
          <w:rFonts w:hint="eastAsia" w:ascii="宋体" w:hAnsi="宋体"/>
          <w:sz w:val="24"/>
          <w:lang w:eastAsia="zh-CN"/>
        </w:rPr>
        <w:t>响应</w:t>
      </w:r>
      <w:r>
        <w:rPr>
          <w:rFonts w:hint="eastAsia" w:ascii="宋体" w:hAnsi="宋体" w:eastAsia="宋体"/>
          <w:sz w:val="24"/>
        </w:rPr>
        <w:t>文件有针对性、简洁明了。</w:t>
      </w:r>
    </w:p>
    <w:p w14:paraId="6280D21C">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（四）响应文件的语言及计量</w:t>
      </w:r>
    </w:p>
    <w:p w14:paraId="1F7ECDD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响应文件以及投标人与招标方就有关投标事宜的所有来往函电，均应以中文汉语书写。除签名、盖章、专用名称等特殊情形外，以中文汉语以外的文字表述的投标文件视同未提供。</w:t>
      </w:r>
    </w:p>
    <w:p w14:paraId="16E5947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投标计量单位，招标文件已有明确规定的，使用招标文件规定的计量单位；招标文件没有规定的，应采用中华人民共和国法定计量单位（货币单位：人民币元），否则视同未响应。</w:t>
      </w:r>
      <w:bookmarkStart w:id="8" w:name="_Toc504504539"/>
    </w:p>
    <w:p w14:paraId="0BBDEB59">
      <w:pPr>
        <w:autoSpaceDE w:val="0"/>
        <w:autoSpaceDN w:val="0"/>
        <w:adjustRightInd w:val="0"/>
        <w:spacing w:line="360" w:lineRule="auto"/>
        <w:ind w:left="426" w:firstLine="65" w:firstLineChars="27"/>
        <w:rPr>
          <w:rFonts w:hint="eastAsia" w:ascii="宋体" w:hAnsi="宋体"/>
          <w:b/>
          <w:kern w:val="0"/>
          <w:sz w:val="24"/>
        </w:rPr>
      </w:pPr>
      <w:r>
        <w:rPr>
          <w:rFonts w:hint="eastAsia" w:ascii="宋体" w:hAnsi="宋体"/>
          <w:b/>
          <w:kern w:val="0"/>
          <w:sz w:val="24"/>
          <w:lang w:eastAsia="zh-CN"/>
        </w:rPr>
        <w:t>（五）</w:t>
      </w:r>
      <w:r>
        <w:rPr>
          <w:rFonts w:hint="eastAsia" w:ascii="宋体" w:hAnsi="宋体"/>
          <w:b/>
          <w:kern w:val="0"/>
          <w:sz w:val="24"/>
        </w:rPr>
        <w:t>报价内容的组成</w:t>
      </w:r>
    </w:p>
    <w:p w14:paraId="171FA38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报价内容由首次报价一览表、报价明细表，以及供应商认为其他需要说明的内容组成。</w:t>
      </w:r>
    </w:p>
    <w:p w14:paraId="3EF4D72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磋商报价是指完成本项目服务内容和要求所产生的所有费用，包括所有的设备费、附加费（税金、运输、保险、包装、安装调试、服务、维护费）等一切费用。供应商应充分考虑因各种原因可能发生的费用。对没有填报的费用，招标人认为所有费用已包含在总价中，除合同条款另有规定外，不得进行调整。</w:t>
      </w:r>
    </w:p>
    <w:p w14:paraId="70DF4E0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每轮磋商只允许有一个报价，有选择的或有条件的报价将不予接受。</w:t>
      </w:r>
    </w:p>
    <w:p w14:paraId="5FCF3F4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rPr>
        <w:t>投标报价必须合理，经评委认定为明显不合理的报价将被取消中标资格。</w:t>
      </w:r>
    </w:p>
    <w:p w14:paraId="1A7F180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政府采购优惠政策相关资料、产品适用政府采购政策情况表（如有）。</w:t>
      </w:r>
    </w:p>
    <w:p w14:paraId="0759825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lang w:val="zh-CN"/>
        </w:rPr>
        <w:t>报价</w:t>
      </w:r>
      <w:r>
        <w:rPr>
          <w:rFonts w:hint="eastAsia" w:ascii="宋体" w:hAnsi="宋体"/>
          <w:bCs/>
          <w:color w:val="auto"/>
          <w:sz w:val="24"/>
          <w:szCs w:val="24"/>
          <w:highlight w:val="none"/>
          <w:lang w:val="zh-CN" w:eastAsia="zh-CN"/>
        </w:rPr>
        <w:t>有关表格</w:t>
      </w:r>
      <w:r>
        <w:rPr>
          <w:rFonts w:hint="eastAsia" w:ascii="宋体" w:hAnsi="宋体"/>
          <w:bCs/>
          <w:color w:val="auto"/>
          <w:sz w:val="24"/>
          <w:szCs w:val="24"/>
          <w:highlight w:val="none"/>
          <w:lang w:val="zh-CN"/>
        </w:rPr>
        <w:t>应按磋商采购文件中相关附表格式填写。</w:t>
      </w:r>
    </w:p>
    <w:bookmarkEnd w:id="8"/>
    <w:p w14:paraId="13079C31">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9" w:name="_Toc504504540"/>
      <w:r>
        <w:rPr>
          <w:rFonts w:hint="eastAsia" w:ascii="宋体" w:hAnsi="宋体"/>
          <w:b/>
          <w:color w:val="auto"/>
          <w:sz w:val="24"/>
          <w:szCs w:val="24"/>
          <w:highlight w:val="none"/>
          <w:lang w:val="zh-CN"/>
        </w:rPr>
        <w:t>（六）响应文件的有效期</w:t>
      </w:r>
      <w:bookmarkEnd w:id="9"/>
    </w:p>
    <w:p w14:paraId="22D409E7">
      <w:pPr>
        <w:spacing w:line="360" w:lineRule="auto"/>
        <w:ind w:firstLine="480" w:firstLineChars="200"/>
        <w:rPr>
          <w:rFonts w:cs="仿宋_GB2312" w:asciiTheme="minorEastAsia" w:hAnsiTheme="minorEastAsia" w:eastAsiaTheme="minorEastAsia"/>
          <w:b w:val="0"/>
          <w:bCs/>
          <w:sz w:val="24"/>
          <w:szCs w:val="21"/>
        </w:rPr>
      </w:pPr>
      <w:bookmarkStart w:id="10" w:name="_Toc504504558"/>
      <w:r>
        <w:rPr>
          <w:rFonts w:hint="eastAsia" w:cs="仿宋_GB2312" w:asciiTheme="minorEastAsia" w:hAnsiTheme="minorEastAsia" w:eastAsiaTheme="minorEastAsia"/>
          <w:sz w:val="24"/>
          <w:szCs w:val="20"/>
        </w:rPr>
        <w:t>▲</w:t>
      </w:r>
      <w:r>
        <w:rPr>
          <w:rFonts w:hint="eastAsia" w:cs="仿宋_GB2312" w:asciiTheme="minorEastAsia" w:hAnsiTheme="minorEastAsia" w:eastAsiaTheme="minorEastAsia"/>
          <w:sz w:val="24"/>
          <w:szCs w:val="20"/>
          <w:lang w:val="en-US" w:eastAsia="zh-CN"/>
        </w:rPr>
        <w:t>1.</w:t>
      </w:r>
      <w:r>
        <w:rPr>
          <w:rFonts w:hint="eastAsia" w:cs="仿宋_GB2312" w:asciiTheme="minorEastAsia" w:hAnsiTheme="minorEastAsia" w:eastAsiaTheme="minorEastAsia"/>
          <w:b w:val="0"/>
          <w:bCs/>
          <w:sz w:val="24"/>
          <w:szCs w:val="20"/>
        </w:rPr>
        <w:t>响应有效期为从提交响应文件的截止之日起90天。供应商的响应文件中承</w:t>
      </w:r>
      <w:r>
        <w:rPr>
          <w:rFonts w:hint="eastAsia" w:cs="仿宋_GB2312" w:asciiTheme="minorEastAsia" w:hAnsiTheme="minorEastAsia" w:eastAsiaTheme="minorEastAsia"/>
          <w:b w:val="0"/>
          <w:bCs/>
          <w:sz w:val="24"/>
          <w:szCs w:val="21"/>
        </w:rPr>
        <w:t>诺的响应有效期少于磋商文件中载明的磋商有效期的，响应无效。</w:t>
      </w:r>
    </w:p>
    <w:p w14:paraId="71A8761F">
      <w:pPr>
        <w:pStyle w:val="10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2.</w:t>
      </w:r>
      <w:r>
        <w:rPr>
          <w:rFonts w:hint="eastAsia" w:cs="仿宋_GB2312" w:asciiTheme="minorEastAsia" w:hAnsiTheme="minorEastAsia" w:eastAsiaTheme="minorEastAsia"/>
        </w:rPr>
        <w:t>响应文件合格提交后，自响应截止日期起，在响应有效期内有效。</w:t>
      </w:r>
    </w:p>
    <w:p w14:paraId="4D08820C">
      <w:pPr>
        <w:pStyle w:val="10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lang w:val="en-US" w:eastAsia="zh-CN"/>
        </w:rPr>
        <w:t>3.</w:t>
      </w:r>
      <w:r>
        <w:rPr>
          <w:rFonts w:hint="eastAsia" w:cs="仿宋_GB2312" w:asciiTheme="minorEastAsia" w:hAnsiTheme="minorEastAsia" w:eastAsiaTheme="minorEastAsia"/>
        </w:rPr>
        <w:t>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96A7B1E">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w:t>
      </w:r>
      <w:r>
        <w:rPr>
          <w:rFonts w:hint="eastAsia" w:ascii="宋体" w:hAnsi="宋体"/>
          <w:b/>
          <w:color w:val="auto"/>
          <w:sz w:val="24"/>
          <w:szCs w:val="24"/>
          <w:highlight w:val="none"/>
          <w:lang w:val="zh-CN"/>
        </w:rPr>
        <w:t>响应文件的递交、修改和撤回</w:t>
      </w:r>
    </w:p>
    <w:p w14:paraId="013B320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lang w:val="zh-CN"/>
        </w:rPr>
        <w:t>供应商应当在投标截止时间前完成电子投标响应文件的传输递交，并可以补充、修改或者撤回电子投标文件。补充或者修改电子投标响应文件的，应当先行撤回原文件，补充、修改后重新传输递交。投标截止时间前未完成传输的，视为撤回投标响应文件。投标截止时间后送达的投标响应文件，将被政采云平台拒收。</w:t>
      </w:r>
    </w:p>
    <w:p w14:paraId="7BB426E5">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lang w:val="zh-CN"/>
        </w:rPr>
        <w:t>采购人和采购组织机构可通过修改磋商文件酌情延长投标响应截止日期，在此情况下，投标人的所有权利和义务以及投标人的投标截止日期均应以延长后新的截止日期为准。</w:t>
      </w:r>
    </w:p>
    <w:bookmarkEnd w:id="10"/>
    <w:p w14:paraId="4729A82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bookmarkStart w:id="11" w:name="_Toc504504559"/>
      <w:r>
        <w:rPr>
          <w:rFonts w:hint="eastAsia" w:ascii="宋体" w:hAnsi="宋体"/>
          <w:b/>
          <w:color w:val="auto"/>
          <w:sz w:val="24"/>
          <w:szCs w:val="24"/>
          <w:highlight w:val="none"/>
          <w:lang w:val="zh-CN"/>
        </w:rPr>
        <w:t>（八）磋商响应无效的情形</w:t>
      </w:r>
      <w:bookmarkEnd w:id="11"/>
    </w:p>
    <w:p w14:paraId="0FC33C5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1</w:t>
      </w:r>
      <w:r>
        <w:rPr>
          <w:rFonts w:hint="eastAsia" w:ascii="宋体" w:hAnsi="宋体"/>
          <w:b/>
          <w:color w:val="auto"/>
          <w:sz w:val="24"/>
          <w:szCs w:val="24"/>
          <w:highlight w:val="none"/>
          <w:lang w:val="en-US" w:eastAsia="zh-CN"/>
        </w:rPr>
        <w:t>.</w:t>
      </w:r>
      <w:r>
        <w:rPr>
          <w:rFonts w:hint="eastAsia" w:ascii="宋体" w:hAnsi="宋体"/>
          <w:b/>
          <w:color w:val="auto"/>
          <w:sz w:val="24"/>
          <w:szCs w:val="24"/>
          <w:highlight w:val="none"/>
          <w:lang w:val="zh-CN"/>
        </w:rPr>
        <w:t>在资格审查时，如发现下列情形之一的，响应文件将被视为无效：</w:t>
      </w:r>
    </w:p>
    <w:p w14:paraId="09D6D79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lang w:val="zh-CN"/>
        </w:rPr>
        <w:t>资格证明文件不全的，或者不符合招标文件标明的资格要求的；</w:t>
      </w:r>
    </w:p>
    <w:p w14:paraId="1FC9D3E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lang w:val="zh-CN"/>
        </w:rPr>
        <w:t>电子投标文件解密失败的，且未在规定时间内提交电子备份响应文件的；</w:t>
      </w:r>
    </w:p>
    <w:p w14:paraId="5975F55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1.3</w:t>
      </w:r>
      <w:r>
        <w:rPr>
          <w:rFonts w:hint="eastAsia" w:ascii="宋体" w:hAnsi="宋体"/>
          <w:bCs/>
          <w:color w:val="auto"/>
          <w:sz w:val="24"/>
          <w:szCs w:val="24"/>
          <w:highlight w:val="none"/>
          <w:lang w:val="zh-CN"/>
        </w:rPr>
        <w:t>未按照磋商文件规定的要求签署、盖章的。</w:t>
      </w:r>
    </w:p>
    <w:p w14:paraId="33B6CBBA">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2、在符合性审查时，如发现下列情形之一的，响应文件将被视为无效：</w:t>
      </w:r>
    </w:p>
    <w:p w14:paraId="398142C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2.1</w:t>
      </w:r>
      <w:r>
        <w:rPr>
          <w:rFonts w:hint="eastAsia" w:ascii="宋体" w:hAnsi="宋体"/>
          <w:bCs/>
          <w:color w:val="auto"/>
          <w:sz w:val="24"/>
          <w:szCs w:val="24"/>
          <w:highlight w:val="none"/>
          <w:lang w:val="zh-CN"/>
        </w:rPr>
        <w:t>响应文件无法定代表人或授权代表签字或盖章，或授权代理人未经有效授权的；</w:t>
      </w:r>
    </w:p>
    <w:p w14:paraId="04A956E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2.2</w:t>
      </w:r>
      <w:r>
        <w:rPr>
          <w:rFonts w:hint="eastAsia" w:ascii="宋体" w:hAnsi="宋体"/>
          <w:bCs/>
          <w:color w:val="auto"/>
          <w:sz w:val="24"/>
          <w:szCs w:val="24"/>
          <w:highlight w:val="none"/>
          <w:lang w:val="zh-CN"/>
        </w:rPr>
        <w:t>电子投标响应文件未按照磋商文件规定的要求签署、盖章的；</w:t>
      </w:r>
    </w:p>
    <w:p w14:paraId="2A9AB22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2.3</w:t>
      </w:r>
      <w:r>
        <w:rPr>
          <w:rFonts w:hint="eastAsia" w:ascii="宋体" w:hAnsi="宋体"/>
          <w:bCs/>
          <w:color w:val="auto"/>
          <w:sz w:val="24"/>
          <w:szCs w:val="24"/>
          <w:highlight w:val="none"/>
          <w:lang w:val="zh-CN"/>
        </w:rPr>
        <w:t>投标有效期、服务期、付款方式等商务条款不能满足磋商文件要求的；</w:t>
      </w:r>
    </w:p>
    <w:p w14:paraId="72949C8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2.4</w:t>
      </w:r>
      <w:r>
        <w:rPr>
          <w:rFonts w:hint="eastAsia" w:ascii="宋体" w:hAnsi="宋体"/>
          <w:bCs/>
          <w:color w:val="auto"/>
          <w:sz w:val="24"/>
          <w:szCs w:val="24"/>
          <w:highlight w:val="none"/>
          <w:lang w:val="zh-CN"/>
        </w:rPr>
        <w:t>不响应或者擅自改变磋商文件要求或者响应文件有采购人不能接受的附加条件的；</w:t>
      </w:r>
    </w:p>
    <w:p w14:paraId="76E7F11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lang w:val="zh-CN"/>
        </w:rPr>
        <w:t>未实质响应磋商文件中带“▲”条款要求的磋商响应文件。</w:t>
      </w:r>
    </w:p>
    <w:p w14:paraId="329863F0">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3、在技术评审时，如发现下列情形之一的，</w:t>
      </w:r>
      <w:r>
        <w:rPr>
          <w:rFonts w:hint="eastAsia" w:ascii="宋体" w:hAnsi="宋体"/>
          <w:b/>
          <w:bCs w:val="0"/>
          <w:color w:val="auto"/>
          <w:sz w:val="24"/>
          <w:szCs w:val="24"/>
          <w:highlight w:val="none"/>
          <w:lang w:val="zh-CN"/>
        </w:rPr>
        <w:t>响应</w:t>
      </w:r>
      <w:r>
        <w:rPr>
          <w:rFonts w:hint="eastAsia" w:ascii="宋体" w:hAnsi="宋体"/>
          <w:b/>
          <w:color w:val="auto"/>
          <w:sz w:val="24"/>
          <w:szCs w:val="24"/>
          <w:highlight w:val="none"/>
          <w:lang w:val="zh-CN"/>
        </w:rPr>
        <w:t>文件将被视为无效：</w:t>
      </w:r>
    </w:p>
    <w:p w14:paraId="4F56896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3.1</w:t>
      </w:r>
      <w:r>
        <w:rPr>
          <w:rFonts w:hint="eastAsia" w:ascii="宋体" w:hAnsi="宋体"/>
          <w:bCs/>
          <w:color w:val="auto"/>
          <w:sz w:val="24"/>
          <w:szCs w:val="24"/>
          <w:highlight w:val="none"/>
          <w:lang w:val="zh-CN"/>
        </w:rPr>
        <w:t>资格文件、商务技术文件内有商务报价出现的；</w:t>
      </w:r>
    </w:p>
    <w:p w14:paraId="564C08A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3.2</w:t>
      </w:r>
      <w:r>
        <w:rPr>
          <w:rFonts w:hint="eastAsia" w:ascii="宋体" w:hAnsi="宋体"/>
          <w:bCs/>
          <w:color w:val="auto"/>
          <w:sz w:val="24"/>
          <w:szCs w:val="24"/>
          <w:highlight w:val="none"/>
          <w:lang w:val="zh-CN"/>
        </w:rPr>
        <w:t>未提供或未如实提供投标货物的技术参数，或者投标文件标明的响应或偏离与事实不符或虚假投标的；</w:t>
      </w:r>
    </w:p>
    <w:p w14:paraId="43255E1A">
      <w:pPr>
        <w:keepNext w:val="0"/>
        <w:keepLines w:val="0"/>
        <w:pageBreakBefore w:val="0"/>
        <w:widowControl w:val="0"/>
        <w:kinsoku/>
        <w:wordWrap/>
        <w:overflowPunct/>
        <w:topLinePunct w:val="0"/>
        <w:bidi w:val="0"/>
        <w:spacing w:line="440" w:lineRule="exact"/>
        <w:ind w:firstLine="480" w:firstLineChars="200"/>
        <w:jc w:val="both"/>
        <w:textAlignment w:val="auto"/>
        <w:rPr>
          <w:b/>
          <w:bCs/>
          <w:lang w:val="zh-CN"/>
        </w:rPr>
      </w:pPr>
      <w:r>
        <w:rPr>
          <w:rFonts w:hint="eastAsia" w:ascii="宋体" w:hAnsi="宋体" w:eastAsiaTheme="minorEastAsia"/>
          <w:bCs/>
          <w:color w:val="auto"/>
          <w:sz w:val="24"/>
          <w:szCs w:val="24"/>
          <w:highlight w:val="none"/>
          <w:lang w:val="en-US" w:eastAsia="zh-CN"/>
        </w:rPr>
        <w:t>3.3</w:t>
      </w:r>
      <w:r>
        <w:rPr>
          <w:rFonts w:hint="eastAsia" w:asciiTheme="minorEastAsia" w:hAnsiTheme="minorEastAsia" w:eastAsiaTheme="minorEastAsia"/>
          <w:b/>
          <w:bCs/>
          <w:kern w:val="0"/>
          <w:sz w:val="24"/>
        </w:rPr>
        <w:t>投标参数未如实填写，完全复制粘贴招标参数的；</w:t>
      </w:r>
    </w:p>
    <w:p w14:paraId="02A9AE9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3.4</w:t>
      </w:r>
      <w:r>
        <w:rPr>
          <w:rFonts w:hint="eastAsia" w:ascii="宋体" w:hAnsi="宋体"/>
          <w:bCs/>
          <w:color w:val="auto"/>
          <w:sz w:val="24"/>
          <w:szCs w:val="24"/>
          <w:highlight w:val="none"/>
          <w:lang w:val="zh-CN"/>
        </w:rPr>
        <w:t>明显不符合招标文件要求的规格型号、质量标准，或者与招标文件中标“</w:t>
      </w:r>
      <w:r>
        <w:rPr>
          <w:rFonts w:hint="eastAsia" w:ascii="宋体" w:hAnsi="宋体" w:cs="宋体"/>
          <w:bCs/>
          <w:color w:val="auto"/>
          <w:sz w:val="24"/>
          <w:highlight w:val="none"/>
        </w:rPr>
        <w:t>▲</w:t>
      </w:r>
      <w:r>
        <w:rPr>
          <w:rFonts w:hint="eastAsia" w:ascii="宋体" w:hAnsi="宋体"/>
          <w:bCs/>
          <w:color w:val="auto"/>
          <w:sz w:val="24"/>
          <w:szCs w:val="24"/>
          <w:highlight w:val="none"/>
          <w:lang w:val="zh-CN"/>
        </w:rPr>
        <w:t>”的技术指标、主要功能项目发生实质性偏离的；</w:t>
      </w:r>
    </w:p>
    <w:p w14:paraId="1E3780D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lang w:val="zh-CN"/>
        </w:rPr>
        <w:t>投标技术方案不明确，存在一个或一个以上备选（替代）投标方案的；</w:t>
      </w:r>
    </w:p>
    <w:p w14:paraId="3ACD371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3.6</w:t>
      </w:r>
      <w:r>
        <w:rPr>
          <w:rFonts w:hint="eastAsia" w:ascii="宋体" w:hAnsi="宋体"/>
          <w:bCs/>
          <w:color w:val="auto"/>
          <w:sz w:val="24"/>
          <w:szCs w:val="24"/>
          <w:highlight w:val="none"/>
          <w:lang w:val="zh-CN"/>
        </w:rPr>
        <w:t>与其他参加本次投标投标人的投标文件（技术文件）的文字表述内容相同连续20行以上或者差错相同2处以上的。</w:t>
      </w:r>
    </w:p>
    <w:p w14:paraId="55606338">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4、在价格评审时，如发现下列情形之一的，响应文件将被视为无效：</w:t>
      </w:r>
    </w:p>
    <w:p w14:paraId="444925C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4.1</w:t>
      </w:r>
      <w:r>
        <w:rPr>
          <w:rFonts w:hint="eastAsia" w:ascii="宋体" w:hAnsi="宋体"/>
          <w:bCs/>
          <w:color w:val="auto"/>
          <w:sz w:val="24"/>
          <w:szCs w:val="24"/>
          <w:highlight w:val="none"/>
          <w:lang w:val="zh-CN"/>
        </w:rPr>
        <w:t>未采用人民币报价或者未按照招标文件标明的币种报价的；</w:t>
      </w:r>
    </w:p>
    <w:p w14:paraId="2465DEB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4.2</w:t>
      </w:r>
      <w:r>
        <w:rPr>
          <w:rFonts w:hint="eastAsia" w:ascii="宋体" w:hAnsi="宋体"/>
          <w:bCs/>
          <w:color w:val="auto"/>
          <w:sz w:val="24"/>
          <w:szCs w:val="24"/>
          <w:highlight w:val="none"/>
          <w:lang w:val="zh-CN"/>
        </w:rPr>
        <w:t>报价超出最高限价，或者超出采购预算金额，采购人不能支付的；</w:t>
      </w:r>
    </w:p>
    <w:p w14:paraId="0397273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4.3</w:t>
      </w:r>
      <w:r>
        <w:rPr>
          <w:rFonts w:hint="eastAsia" w:ascii="宋体" w:hAnsi="宋体"/>
          <w:bCs/>
          <w:color w:val="auto"/>
          <w:sz w:val="24"/>
          <w:szCs w:val="24"/>
          <w:highlight w:val="none"/>
          <w:lang w:val="zh-CN"/>
        </w:rPr>
        <w:t>投标报价具有选择性，或者开标价格与投标文件承诺的优惠（折扣）价格不一致的；</w:t>
      </w:r>
    </w:p>
    <w:p w14:paraId="1BA174C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r>
        <w:rPr>
          <w:rFonts w:hint="eastAsia" w:ascii="宋体" w:hAnsi="宋体"/>
          <w:bCs/>
          <w:color w:val="auto"/>
          <w:sz w:val="24"/>
          <w:szCs w:val="24"/>
          <w:highlight w:val="none"/>
          <w:lang w:val="en-US" w:eastAsia="zh-CN"/>
        </w:rPr>
        <w:t>4.4</w:t>
      </w:r>
      <w:r>
        <w:rPr>
          <w:rFonts w:hint="eastAsia" w:ascii="宋体" w:hAnsi="宋体"/>
          <w:bCs/>
          <w:color w:val="auto"/>
          <w:sz w:val="24"/>
          <w:szCs w:val="24"/>
          <w:highlight w:val="none"/>
          <w:lang w:val="zh-CN"/>
        </w:rPr>
        <w:t xml:space="preserve">评标委员会认为投标人的报价明显低于其他通过符合性审查的投标人的报价有可能影响产品质量或者不能诚信履约时，投标人不能在规定的时间证明其报价合理性的。                                                                                          </w:t>
      </w:r>
    </w:p>
    <w:p w14:paraId="49F2870B">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rPr>
        <w:t>5、如有下列情形之一的，其响应无效</w:t>
      </w:r>
      <w:r>
        <w:rPr>
          <w:rFonts w:hint="eastAsia" w:ascii="宋体" w:hAnsi="宋体"/>
          <w:b/>
          <w:color w:val="auto"/>
          <w:sz w:val="24"/>
          <w:szCs w:val="24"/>
          <w:highlight w:val="none"/>
          <w:lang w:val="zh-CN"/>
        </w:rPr>
        <w:t>。</w:t>
      </w:r>
    </w:p>
    <w:p w14:paraId="728527B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bookmarkStart w:id="12" w:name="_Toc504504560"/>
      <w:r>
        <w:rPr>
          <w:rFonts w:hint="eastAsia" w:ascii="宋体" w:hAnsi="宋体"/>
          <w:bCs/>
          <w:color w:val="auto"/>
          <w:sz w:val="24"/>
          <w:szCs w:val="24"/>
          <w:highlight w:val="none"/>
          <w:lang w:val="en-US" w:eastAsia="zh-CN"/>
        </w:rPr>
        <w:t>5.1</w:t>
      </w:r>
      <w:r>
        <w:rPr>
          <w:rFonts w:hint="eastAsia" w:ascii="宋体" w:hAnsi="宋体"/>
          <w:bCs/>
          <w:color w:val="auto"/>
          <w:sz w:val="24"/>
          <w:szCs w:val="24"/>
          <w:highlight w:val="none"/>
          <w:lang w:val="zh-CN"/>
        </w:rPr>
        <w:t>供应商直接或者间接从采购人或者采购代理机构处获得其他供应商的相关情况并修改其磋商响应文件；</w:t>
      </w:r>
    </w:p>
    <w:p w14:paraId="726D63E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5.2</w:t>
      </w:r>
      <w:r>
        <w:rPr>
          <w:rFonts w:hint="eastAsia" w:ascii="宋体" w:hAnsi="宋体"/>
          <w:bCs/>
          <w:color w:val="auto"/>
          <w:sz w:val="24"/>
          <w:szCs w:val="24"/>
          <w:highlight w:val="none"/>
          <w:lang w:val="zh-CN"/>
        </w:rPr>
        <w:t>供应商按照采购人或者采购代理机构的授意撤换、修改磋商响应文件；</w:t>
      </w:r>
    </w:p>
    <w:p w14:paraId="4C5D4D3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5.3</w:t>
      </w:r>
      <w:r>
        <w:rPr>
          <w:rFonts w:hint="eastAsia" w:ascii="宋体" w:hAnsi="宋体"/>
          <w:bCs/>
          <w:color w:val="auto"/>
          <w:sz w:val="24"/>
          <w:szCs w:val="24"/>
          <w:highlight w:val="none"/>
          <w:lang w:val="zh-CN"/>
        </w:rPr>
        <w:t>供应商之间协商磋商响应文件的实质性内容；</w:t>
      </w:r>
    </w:p>
    <w:p w14:paraId="2E84095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5.4</w:t>
      </w:r>
      <w:r>
        <w:rPr>
          <w:rFonts w:hint="eastAsia" w:ascii="宋体" w:hAnsi="宋体"/>
          <w:bCs/>
          <w:color w:val="auto"/>
          <w:sz w:val="24"/>
          <w:szCs w:val="24"/>
          <w:highlight w:val="none"/>
          <w:lang w:val="zh-CN"/>
        </w:rPr>
        <w:t>属于同一集团、协会、商会等组织成员的供应商按照该组织要求协同参加政府采购活动；</w:t>
      </w:r>
    </w:p>
    <w:p w14:paraId="373D7DC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5.5</w:t>
      </w:r>
      <w:r>
        <w:rPr>
          <w:rFonts w:hint="eastAsia" w:ascii="宋体" w:hAnsi="宋体"/>
          <w:bCs/>
          <w:color w:val="auto"/>
          <w:sz w:val="24"/>
          <w:szCs w:val="24"/>
          <w:highlight w:val="none"/>
          <w:lang w:val="zh-CN"/>
        </w:rPr>
        <w:t>供应商之间事先约定由某一特定供应商中标、成交；</w:t>
      </w:r>
    </w:p>
    <w:p w14:paraId="1D976B30">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5.6</w:t>
      </w:r>
      <w:r>
        <w:rPr>
          <w:rFonts w:hint="eastAsia" w:ascii="宋体" w:hAnsi="宋体"/>
          <w:bCs/>
          <w:color w:val="auto"/>
          <w:sz w:val="24"/>
          <w:szCs w:val="24"/>
          <w:highlight w:val="none"/>
          <w:lang w:val="zh-CN"/>
        </w:rPr>
        <w:t>供应商之间商定部分供应商放弃参加政府采购活动或者放弃中标、成交；</w:t>
      </w:r>
    </w:p>
    <w:p w14:paraId="7C3BDA9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5.7</w:t>
      </w:r>
      <w:r>
        <w:rPr>
          <w:rFonts w:hint="eastAsia" w:ascii="宋体" w:hAnsi="宋体"/>
          <w:bCs/>
          <w:color w:val="auto"/>
          <w:sz w:val="24"/>
          <w:szCs w:val="24"/>
          <w:highlight w:val="none"/>
          <w:lang w:val="zh-CN"/>
        </w:rPr>
        <w:t>供应商与采购人或者采购代理机构之间、供应商相互之间，为谋求特定供应商中标、成交或者排斥其他供应商的其他串通行为；</w:t>
      </w:r>
    </w:p>
    <w:p w14:paraId="11B7743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5.8</w:t>
      </w:r>
      <w:r>
        <w:rPr>
          <w:rFonts w:hint="eastAsia" w:ascii="宋体" w:hAnsi="宋体"/>
          <w:bCs/>
          <w:color w:val="auto"/>
          <w:sz w:val="24"/>
          <w:szCs w:val="24"/>
          <w:highlight w:val="none"/>
          <w:lang w:val="zh-CN"/>
        </w:rPr>
        <w:t>不同供应商的磋商响应文件由同一单位或者个人编制；</w:t>
      </w:r>
    </w:p>
    <w:p w14:paraId="27E8E91E">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5.9</w:t>
      </w:r>
      <w:r>
        <w:rPr>
          <w:rFonts w:hint="eastAsia" w:ascii="宋体" w:hAnsi="宋体"/>
          <w:bCs/>
          <w:color w:val="auto"/>
          <w:sz w:val="24"/>
          <w:szCs w:val="24"/>
          <w:highlight w:val="none"/>
          <w:lang w:val="zh-CN"/>
        </w:rPr>
        <w:t>不同供应商委托同一单位或者个人办理磋商事宜；</w:t>
      </w:r>
    </w:p>
    <w:p w14:paraId="1B8CCD17">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5.10</w:t>
      </w:r>
      <w:r>
        <w:rPr>
          <w:rFonts w:hint="eastAsia" w:ascii="宋体" w:hAnsi="宋体"/>
          <w:bCs/>
          <w:color w:val="auto"/>
          <w:sz w:val="24"/>
          <w:szCs w:val="24"/>
          <w:highlight w:val="none"/>
          <w:lang w:val="zh-CN"/>
        </w:rPr>
        <w:t>不同供应商的磋商响应文件载明的项目管理成员或者联系人员为同一人；</w:t>
      </w:r>
    </w:p>
    <w:p w14:paraId="1EDAE59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5.11</w:t>
      </w:r>
      <w:r>
        <w:rPr>
          <w:rFonts w:hint="eastAsia" w:ascii="宋体" w:hAnsi="宋体"/>
          <w:bCs/>
          <w:color w:val="auto"/>
          <w:sz w:val="24"/>
          <w:szCs w:val="24"/>
          <w:highlight w:val="none"/>
          <w:lang w:val="zh-CN"/>
        </w:rPr>
        <w:t>不同供应商的磋商响应文件异常一致或者响应报价呈规律性差异；</w:t>
      </w:r>
    </w:p>
    <w:p w14:paraId="1326575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5.12</w:t>
      </w:r>
      <w:r>
        <w:rPr>
          <w:rFonts w:hint="eastAsia" w:ascii="宋体" w:hAnsi="宋体"/>
          <w:bCs/>
          <w:color w:val="auto"/>
          <w:sz w:val="24"/>
          <w:szCs w:val="24"/>
          <w:highlight w:val="none"/>
          <w:lang w:val="zh-CN"/>
        </w:rPr>
        <w:t>提供虚假材料谋取成交的。</w:t>
      </w:r>
    </w:p>
    <w:p w14:paraId="1ADCF612">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6、在开标评审过程中，如发现下列情形之一的，投标（响应）将被视为无效：</w:t>
      </w:r>
    </w:p>
    <w:p w14:paraId="5D87F29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1)</w:t>
      </w:r>
      <w:r>
        <w:rPr>
          <w:rFonts w:hint="eastAsia" w:ascii="新宋体" w:hAnsi="新宋体" w:eastAsia="新宋体" w:cs="新宋体"/>
          <w:color w:val="auto"/>
          <w:kern w:val="0"/>
          <w:sz w:val="24"/>
          <w:highlight w:val="none"/>
          <w:lang w:val="en-US" w:eastAsia="zh-CN"/>
        </w:rPr>
        <w:t>不同供应商的电子投标（响应）文件上传计算机的网卡MAC地址或硬盘序列号等硬件信息相同的；</w:t>
      </w:r>
    </w:p>
    <w:p w14:paraId="332AD5F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lang w:eastAsia="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2)</w:t>
      </w:r>
      <w:r>
        <w:rPr>
          <w:rFonts w:hint="eastAsia" w:ascii="新宋体" w:hAnsi="新宋体" w:eastAsia="新宋体" w:cs="新宋体"/>
          <w:color w:val="auto"/>
          <w:kern w:val="0"/>
          <w:sz w:val="24"/>
          <w:highlight w:val="none"/>
          <w:lang w:val="en-US" w:eastAsia="zh-CN"/>
        </w:rPr>
        <w:t>上传的电子投标（响应）文件若出现使用本项目其他投标（响应）供应商的数字证书加密的，或者加盖本项目其他投标（响应）供应商的电子印章的；</w:t>
      </w:r>
    </w:p>
    <w:p w14:paraId="25CCEC0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3）</w:t>
      </w:r>
      <w:r>
        <w:rPr>
          <w:rFonts w:hint="eastAsia" w:ascii="新宋体" w:hAnsi="新宋体" w:eastAsia="新宋体" w:cs="新宋体"/>
          <w:color w:val="auto"/>
          <w:kern w:val="0"/>
          <w:sz w:val="24"/>
          <w:highlight w:val="none"/>
          <w:lang w:val="en-US" w:eastAsia="zh-CN"/>
        </w:rPr>
        <w:t>不同供应商的投标（响应）文件的内容存在</w:t>
      </w:r>
      <w:r>
        <w:rPr>
          <w:rFonts w:hint="eastAsia" w:ascii="新宋体" w:hAnsi="新宋体" w:eastAsia="新宋体" w:cs="新宋体"/>
          <w:color w:val="auto"/>
          <w:kern w:val="0"/>
          <w:sz w:val="24"/>
          <w:highlight w:val="none"/>
          <w:lang w:val="en-US" w:eastAsia="zh"/>
        </w:rPr>
        <w:t>3</w:t>
      </w:r>
      <w:r>
        <w:rPr>
          <w:rFonts w:hint="eastAsia" w:ascii="新宋体" w:hAnsi="新宋体" w:eastAsia="新宋体" w:cs="新宋体"/>
          <w:color w:val="auto"/>
          <w:kern w:val="0"/>
          <w:sz w:val="24"/>
          <w:highlight w:val="none"/>
          <w:lang w:val="en-US" w:eastAsia="zh-CN"/>
        </w:rPr>
        <w:t>处（含）以上错误一致的；</w:t>
      </w:r>
    </w:p>
    <w:p w14:paraId="29E8AC43">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lang w:val="zh-CN"/>
        </w:rPr>
      </w:pPr>
      <w:r>
        <w:rPr>
          <w:rFonts w:hint="eastAsia" w:ascii="新宋体" w:hAnsi="新宋体" w:eastAsia="新宋体" w:cs="新宋体"/>
          <w:color w:val="auto"/>
          <w:kern w:val="0"/>
          <w:sz w:val="24"/>
          <w:highlight w:val="none"/>
          <w:lang w:eastAsia="zh-CN"/>
        </w:rPr>
        <w:t>（</w:t>
      </w:r>
      <w:r>
        <w:rPr>
          <w:rFonts w:hint="eastAsia" w:ascii="新宋体" w:hAnsi="新宋体" w:eastAsia="新宋体" w:cs="新宋体"/>
          <w:color w:val="auto"/>
          <w:kern w:val="0"/>
          <w:sz w:val="24"/>
          <w:highlight w:val="none"/>
        </w:rPr>
        <w:t>4）</w:t>
      </w:r>
      <w:r>
        <w:rPr>
          <w:rFonts w:hint="eastAsia" w:ascii="新宋体" w:hAnsi="新宋体" w:eastAsia="新宋体" w:cs="新宋体"/>
          <w:color w:val="auto"/>
          <w:kern w:val="0"/>
          <w:sz w:val="24"/>
          <w:highlight w:val="none"/>
          <w:lang w:val="en-US" w:eastAsia="zh-CN"/>
        </w:rPr>
        <w:t>不同供应商联系人为同一人或不同联系人的联系电话一致的。</w:t>
      </w:r>
    </w:p>
    <w:p w14:paraId="7A69DD6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auto"/>
          <w:sz w:val="24"/>
          <w:szCs w:val="24"/>
          <w:highlight w:val="none"/>
          <w:lang w:val="zh-CN"/>
        </w:rPr>
      </w:pPr>
      <w:r>
        <w:rPr>
          <w:rFonts w:hint="eastAsia" w:ascii="宋体" w:hAnsi="宋体"/>
          <w:b/>
          <w:color w:val="auto"/>
          <w:sz w:val="24"/>
          <w:szCs w:val="24"/>
          <w:highlight w:val="none"/>
          <w:lang w:val="zh-CN"/>
        </w:rPr>
        <w:t>（九）</w:t>
      </w:r>
      <w:bookmarkEnd w:id="12"/>
      <w:bookmarkStart w:id="13" w:name="_Toc107820050"/>
      <w:bookmarkStart w:id="14" w:name="_Toc170792769"/>
      <w:r>
        <w:rPr>
          <w:rFonts w:hint="eastAsia" w:ascii="宋体" w:hAnsi="宋体"/>
          <w:b/>
          <w:kern w:val="0"/>
          <w:sz w:val="24"/>
        </w:rPr>
        <w:t>有下列情况之一的，本次磋商终止。</w:t>
      </w:r>
    </w:p>
    <w:p w14:paraId="0913CA1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5" w:name="_Toc504504562"/>
      <w:bookmarkStart w:id="16" w:name="_Toc504504487"/>
      <w:r>
        <w:rPr>
          <w:rFonts w:hint="eastAsia" w:ascii="宋体" w:hAnsi="宋体"/>
          <w:bCs/>
          <w:color w:val="auto"/>
          <w:sz w:val="24"/>
          <w:szCs w:val="24"/>
          <w:highlight w:val="none"/>
          <w:lang w:val="zh-CN"/>
        </w:rPr>
        <w:t>1</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符合专业条件的投标人或者对招标文件作实质性响应的投标人不足三家的；</w:t>
      </w:r>
      <w:bookmarkEnd w:id="15"/>
      <w:bookmarkEnd w:id="16"/>
    </w:p>
    <w:p w14:paraId="13C3DAE8">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7" w:name="_Toc504504563"/>
      <w:bookmarkStart w:id="18" w:name="_Toc504504488"/>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出现影响采购公正的违法、违规行为的；</w:t>
      </w:r>
      <w:bookmarkEnd w:id="17"/>
      <w:bookmarkEnd w:id="18"/>
    </w:p>
    <w:p w14:paraId="21E8B91E">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19" w:name="_Toc504504489"/>
      <w:bookmarkStart w:id="20" w:name="_Toc504504564"/>
      <w:r>
        <w:rPr>
          <w:rFonts w:hint="eastAsia" w:ascii="宋体" w:hAnsi="宋体"/>
          <w:bCs/>
          <w:color w:val="auto"/>
          <w:sz w:val="24"/>
          <w:szCs w:val="24"/>
          <w:highlight w:val="none"/>
          <w:lang w:val="zh-CN"/>
        </w:rPr>
        <w:t>3</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投标人的报价均超过了采购预算，采购人不能支付的；</w:t>
      </w:r>
      <w:bookmarkEnd w:id="19"/>
      <w:bookmarkEnd w:id="20"/>
    </w:p>
    <w:p w14:paraId="26317B9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auto"/>
          <w:sz w:val="24"/>
          <w:szCs w:val="24"/>
          <w:highlight w:val="none"/>
          <w:lang w:val="zh-CN"/>
        </w:rPr>
      </w:pPr>
      <w:bookmarkStart w:id="21" w:name="_Toc504504490"/>
      <w:bookmarkStart w:id="22" w:name="_Toc504504565"/>
      <w:r>
        <w:rPr>
          <w:rFonts w:hint="eastAsia" w:ascii="宋体" w:hAnsi="宋体"/>
          <w:bCs/>
          <w:color w:val="auto"/>
          <w:sz w:val="24"/>
          <w:szCs w:val="24"/>
          <w:highlight w:val="none"/>
          <w:lang w:val="zh-CN"/>
        </w:rPr>
        <w:t>4</w:t>
      </w:r>
      <w:r>
        <w:rPr>
          <w:rFonts w:hint="eastAsia" w:ascii="宋体" w:hAnsi="宋体"/>
          <w:bCs/>
          <w:color w:val="auto"/>
          <w:sz w:val="24"/>
          <w:szCs w:val="24"/>
          <w:highlight w:val="none"/>
          <w:lang w:val="en-US" w:eastAsia="zh-CN"/>
        </w:rPr>
        <w:t>.</w:t>
      </w:r>
      <w:r>
        <w:rPr>
          <w:rFonts w:hint="eastAsia" w:ascii="宋体" w:hAnsi="宋体"/>
          <w:bCs/>
          <w:color w:val="auto"/>
          <w:sz w:val="24"/>
          <w:szCs w:val="24"/>
          <w:highlight w:val="none"/>
          <w:lang w:val="zh-CN"/>
        </w:rPr>
        <w:t>因重大变故，采购任务取消的。</w:t>
      </w:r>
      <w:bookmarkEnd w:id="21"/>
      <w:bookmarkEnd w:id="22"/>
    </w:p>
    <w:bookmarkEnd w:id="13"/>
    <w:bookmarkEnd w:id="14"/>
    <w:p w14:paraId="2874D3C8">
      <w:pPr>
        <w:keepNext w:val="0"/>
        <w:keepLines w:val="0"/>
        <w:pageBreakBefore w:val="0"/>
        <w:kinsoku/>
        <w:wordWrap/>
        <w:overflowPunct/>
        <w:topLinePunct w:val="0"/>
        <w:bidi w:val="0"/>
        <w:snapToGrid w:val="0"/>
        <w:spacing w:line="440" w:lineRule="exact"/>
        <w:textAlignment w:val="auto"/>
        <w:rPr>
          <w:rFonts w:ascii="宋体" w:hAnsi="宋体"/>
          <w:b/>
          <w:color w:val="auto"/>
          <w:sz w:val="24"/>
          <w:szCs w:val="24"/>
          <w:highlight w:val="none"/>
        </w:rPr>
      </w:pPr>
      <w:r>
        <w:rPr>
          <w:rFonts w:hint="eastAsia" w:ascii="宋体" w:hAnsi="宋体"/>
          <w:b/>
          <w:color w:val="auto"/>
          <w:sz w:val="24"/>
          <w:szCs w:val="24"/>
          <w:highlight w:val="none"/>
        </w:rPr>
        <w:t>四、开标</w:t>
      </w:r>
    </w:p>
    <w:p w14:paraId="6214ECE0">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bookmarkStart w:id="23" w:name="_Toc531267757"/>
      <w:r>
        <w:rPr>
          <w:rFonts w:hint="eastAsia" w:hAnsi="宋体"/>
          <w:b/>
          <w:bCs/>
          <w:color w:val="auto"/>
          <w:sz w:val="24"/>
          <w:szCs w:val="24"/>
          <w:highlight w:val="none"/>
        </w:rPr>
        <w:t>（一）开标形式</w:t>
      </w:r>
    </w:p>
    <w:p w14:paraId="68084A13">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采购组织机构将按照</w:t>
      </w:r>
      <w:r>
        <w:rPr>
          <w:rFonts w:hint="eastAsia" w:hAnsi="宋体"/>
          <w:color w:val="auto"/>
          <w:sz w:val="24"/>
          <w:szCs w:val="24"/>
          <w:highlight w:val="none"/>
          <w:lang w:eastAsia="zh-CN"/>
        </w:rPr>
        <w:t>磋商</w:t>
      </w:r>
      <w:r>
        <w:rPr>
          <w:rFonts w:hint="eastAsia" w:hAnsi="宋体"/>
          <w:color w:val="auto"/>
          <w:sz w:val="24"/>
          <w:szCs w:val="24"/>
          <w:highlight w:val="none"/>
        </w:rPr>
        <w:t>文件规定的时间通过“政府采购云平台”组织开标、开启</w:t>
      </w:r>
      <w:r>
        <w:rPr>
          <w:rFonts w:hint="eastAsia" w:hAnsi="宋体"/>
          <w:color w:val="auto"/>
          <w:sz w:val="24"/>
          <w:szCs w:val="24"/>
          <w:highlight w:val="none"/>
          <w:lang w:eastAsia="zh-CN"/>
        </w:rPr>
        <w:t>响应</w:t>
      </w:r>
      <w:r>
        <w:rPr>
          <w:rFonts w:hint="eastAsia" w:hAnsi="宋体"/>
          <w:color w:val="auto"/>
          <w:sz w:val="24"/>
          <w:szCs w:val="24"/>
          <w:highlight w:val="none"/>
        </w:rPr>
        <w:t>文件，所有投标人均应当准时在线参加。</w:t>
      </w:r>
    </w:p>
    <w:p w14:paraId="332EC5C8">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（二）开标准备</w:t>
      </w:r>
    </w:p>
    <w:p w14:paraId="74BDA7B4">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w:t>
      </w:r>
      <w:r>
        <w:rPr>
          <w:rFonts w:hint="eastAsia" w:hAnsi="宋体"/>
          <w:color w:val="auto"/>
          <w:sz w:val="24"/>
          <w:szCs w:val="24"/>
          <w:highlight w:val="none"/>
        </w:rPr>
        <w:t>开标的准备工作由采购组织机构负责落实；</w:t>
      </w:r>
    </w:p>
    <w:p w14:paraId="582C488B">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val="en-US" w:eastAsia="zh-CN"/>
        </w:rPr>
        <w:t>.</w:t>
      </w:r>
      <w:r>
        <w:rPr>
          <w:rFonts w:hint="eastAsia" w:hAnsi="宋体"/>
          <w:color w:val="auto"/>
          <w:sz w:val="24"/>
          <w:szCs w:val="24"/>
          <w:highlight w:val="none"/>
        </w:rPr>
        <w:t>采购组织机构将按照招标文件规定的时间通过“政府采购云平台”组织开标、开启</w:t>
      </w:r>
      <w:r>
        <w:rPr>
          <w:rFonts w:hint="eastAsia" w:hAnsi="宋体"/>
          <w:color w:val="auto"/>
          <w:sz w:val="24"/>
          <w:szCs w:val="24"/>
          <w:highlight w:val="none"/>
          <w:lang w:eastAsia="zh-CN"/>
        </w:rPr>
        <w:t>响应</w:t>
      </w:r>
      <w:r>
        <w:rPr>
          <w:rFonts w:hint="eastAsia" w:hAnsi="宋体"/>
          <w:color w:val="auto"/>
          <w:sz w:val="24"/>
          <w:szCs w:val="24"/>
          <w:highlight w:val="none"/>
        </w:rPr>
        <w:t>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同时投标人因未在线参加开标而导致</w:t>
      </w:r>
      <w:r>
        <w:rPr>
          <w:rFonts w:hint="eastAsia" w:hAnsi="宋体"/>
          <w:b/>
          <w:bCs/>
          <w:color w:val="auto"/>
          <w:sz w:val="24"/>
          <w:szCs w:val="24"/>
          <w:highlight w:val="none"/>
          <w:lang w:eastAsia="zh-CN"/>
        </w:rPr>
        <w:t>响应</w:t>
      </w:r>
      <w:r>
        <w:rPr>
          <w:rFonts w:hint="eastAsia" w:hAnsi="宋体"/>
          <w:b/>
          <w:bCs/>
          <w:color w:val="auto"/>
          <w:sz w:val="24"/>
          <w:szCs w:val="24"/>
          <w:highlight w:val="none"/>
        </w:rPr>
        <w:t>文件无法按时解密等一切后果由投标人自己承担。</w:t>
      </w:r>
    </w:p>
    <w:p w14:paraId="72EF9515">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val="en-US" w:eastAsia="zh-CN"/>
        </w:rPr>
        <w:t>.</w:t>
      </w:r>
      <w:r>
        <w:rPr>
          <w:rFonts w:hint="eastAsia" w:hAnsi="宋体"/>
          <w:color w:val="auto"/>
          <w:sz w:val="24"/>
          <w:szCs w:val="24"/>
          <w:highlight w:val="none"/>
        </w:rPr>
        <w:t>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14:paraId="37F4DE01">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（三）开标流程</w:t>
      </w:r>
    </w:p>
    <w:p w14:paraId="7EB29C90">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w:t>
      </w:r>
      <w:r>
        <w:rPr>
          <w:rFonts w:hint="eastAsia" w:hAnsi="宋体"/>
          <w:color w:val="auto"/>
          <w:sz w:val="24"/>
          <w:szCs w:val="24"/>
          <w:highlight w:val="none"/>
          <w:lang w:eastAsia="zh-CN"/>
        </w:rPr>
        <w:t>投标截止时，采购组织机构在政采云平台</w:t>
      </w:r>
      <w:r>
        <w:rPr>
          <w:rFonts w:hint="eastAsia" w:hAnsi="宋体"/>
          <w:color w:val="auto"/>
          <w:sz w:val="24"/>
          <w:szCs w:val="24"/>
          <w:highlight w:val="none"/>
        </w:rPr>
        <w:t>向各投标人发出电子加密投标文件【开始解密】通知，由投标人按</w:t>
      </w:r>
      <w:r>
        <w:rPr>
          <w:rFonts w:hint="eastAsia" w:hAnsi="宋体"/>
          <w:color w:val="auto"/>
          <w:sz w:val="24"/>
          <w:szCs w:val="24"/>
          <w:highlight w:val="none"/>
          <w:lang w:eastAsia="zh-CN"/>
        </w:rPr>
        <w:t>磋商</w:t>
      </w:r>
      <w:r>
        <w:rPr>
          <w:rFonts w:hint="eastAsia" w:hAnsi="宋体"/>
          <w:color w:val="auto"/>
          <w:sz w:val="24"/>
          <w:szCs w:val="24"/>
          <w:highlight w:val="none"/>
        </w:rPr>
        <w:t>文件规定的时间内自行进行</w:t>
      </w:r>
      <w:r>
        <w:rPr>
          <w:rFonts w:hint="eastAsia" w:hAnsi="宋体"/>
          <w:color w:val="auto"/>
          <w:sz w:val="24"/>
          <w:szCs w:val="24"/>
          <w:highlight w:val="none"/>
          <w:lang w:eastAsia="zh-CN"/>
        </w:rPr>
        <w:t>响应</w:t>
      </w:r>
      <w:r>
        <w:rPr>
          <w:rFonts w:hint="eastAsia" w:hAnsi="宋体"/>
          <w:color w:val="auto"/>
          <w:sz w:val="24"/>
          <w:szCs w:val="24"/>
          <w:highlight w:val="none"/>
        </w:rPr>
        <w:t>文件解密。</w:t>
      </w:r>
    </w:p>
    <w:p w14:paraId="4B6B328E">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如遇“政府采购云平台”电子化开标或评审程序调整的，按调整后程序执行。</w:t>
      </w:r>
    </w:p>
    <w:p w14:paraId="6424A6F1">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14:paraId="5CF1380B">
      <w:pPr>
        <w:pStyle w:val="23"/>
        <w:keepNext w:val="0"/>
        <w:keepLines w:val="0"/>
        <w:pageBreakBefore w:val="0"/>
        <w:kinsoku/>
        <w:wordWrap/>
        <w:overflowPunct/>
        <w:topLinePunct w:val="0"/>
        <w:bidi w:val="0"/>
        <w:adjustRightInd w:val="0"/>
        <w:snapToGrid w:val="0"/>
        <w:spacing w:line="440" w:lineRule="exact"/>
        <w:ind w:firstLine="482" w:firstLineChars="200"/>
        <w:textAlignment w:val="auto"/>
        <w:rPr>
          <w:rFonts w:hAnsi="宋体"/>
          <w:b/>
          <w:bCs/>
          <w:color w:val="auto"/>
          <w:sz w:val="24"/>
          <w:szCs w:val="24"/>
          <w:highlight w:val="none"/>
        </w:rPr>
      </w:pPr>
      <w:r>
        <w:rPr>
          <w:rFonts w:hint="eastAsia" w:hAnsi="宋体"/>
          <w:b/>
          <w:bCs/>
          <w:color w:val="auto"/>
          <w:sz w:val="24"/>
          <w:szCs w:val="24"/>
          <w:highlight w:val="none"/>
        </w:rPr>
        <w:t>（四）情况说明</w:t>
      </w:r>
    </w:p>
    <w:p w14:paraId="7B3B4CB2">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14:paraId="0FAF0A8F">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ascii="宋体" w:hAnsi="宋体" w:cs="宋体"/>
          <w:sz w:val="24"/>
          <w:lang w:val="en-US" w:eastAsia="zh-CN"/>
        </w:rPr>
        <w:t>1</w:t>
      </w:r>
      <w:r>
        <w:rPr>
          <w:rFonts w:hint="eastAsia" w:hAnsi="宋体" w:cs="宋体"/>
          <w:sz w:val="24"/>
          <w:lang w:val="en-US" w:eastAsia="zh-CN"/>
        </w:rPr>
        <w:t>.</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14:paraId="0C1CDA6E">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14:paraId="403D6E76">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 xml:space="preserve">电子交易平台发生故障而无法登录访问的； </w:t>
      </w:r>
    </w:p>
    <w:p w14:paraId="032689F1">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2.2</w:t>
      </w:r>
      <w:r>
        <w:rPr>
          <w:rFonts w:hint="eastAsia" w:hAnsi="宋体"/>
          <w:color w:val="auto"/>
          <w:sz w:val="24"/>
          <w:szCs w:val="24"/>
          <w:highlight w:val="none"/>
        </w:rPr>
        <w:t>电子交易平台应用或数据库出现错误，不能进行正常操作的；</w:t>
      </w:r>
    </w:p>
    <w:p w14:paraId="7E6BC9CF">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2.3</w:t>
      </w:r>
      <w:r>
        <w:rPr>
          <w:rFonts w:hint="eastAsia" w:hAnsi="宋体"/>
          <w:color w:val="auto"/>
          <w:sz w:val="24"/>
          <w:szCs w:val="24"/>
          <w:highlight w:val="none"/>
        </w:rPr>
        <w:t>电子交易平台发现严重安全漏洞，有潜在泄密危险的；</w:t>
      </w:r>
    </w:p>
    <w:p w14:paraId="50705F9A">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2.4</w:t>
      </w:r>
      <w:r>
        <w:rPr>
          <w:rFonts w:hint="eastAsia" w:hAnsi="宋体"/>
          <w:color w:val="auto"/>
          <w:sz w:val="24"/>
          <w:szCs w:val="24"/>
          <w:highlight w:val="none"/>
        </w:rPr>
        <w:t xml:space="preserve">病毒发作导致不能进行正常操作的； </w:t>
      </w:r>
    </w:p>
    <w:p w14:paraId="6B369454">
      <w:pPr>
        <w:pStyle w:val="23"/>
        <w:keepNext w:val="0"/>
        <w:keepLines w:val="0"/>
        <w:pageBreakBefore w:val="0"/>
        <w:kinsoku/>
        <w:wordWrap/>
        <w:overflowPunct/>
        <w:topLinePunct w:val="0"/>
        <w:bidi w:val="0"/>
        <w:adjustRightInd w:val="0"/>
        <w:snapToGrid w:val="0"/>
        <w:spacing w:line="440" w:lineRule="exact"/>
        <w:ind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2.5</w:t>
      </w:r>
      <w:r>
        <w:rPr>
          <w:rFonts w:hint="eastAsia" w:hAnsi="宋体"/>
          <w:color w:val="auto"/>
          <w:sz w:val="24"/>
          <w:szCs w:val="24"/>
          <w:highlight w:val="none"/>
        </w:rPr>
        <w:t>其他无法保证电子交易的公平、公正和安全的情况。</w:t>
      </w:r>
    </w:p>
    <w:bookmarkEnd w:id="23"/>
    <w:p w14:paraId="7FBB880C">
      <w:pPr>
        <w:autoSpaceDE w:val="0"/>
        <w:autoSpaceDN w:val="0"/>
        <w:spacing w:line="360" w:lineRule="auto"/>
        <w:rPr>
          <w:rFonts w:hint="eastAsia" w:ascii="宋体" w:hAnsi="宋体" w:eastAsia="宋体"/>
          <w:b/>
          <w:bCs/>
          <w:color w:val="auto"/>
          <w:sz w:val="24"/>
          <w:highlight w:val="none"/>
          <w:lang w:eastAsia="zh-CN"/>
        </w:rPr>
      </w:pPr>
      <w:bookmarkStart w:id="24" w:name="_Toc26036"/>
      <w:bookmarkStart w:id="25" w:name="_Toc33014423"/>
      <w:bookmarkStart w:id="26" w:name="_Toc531267758"/>
      <w:r>
        <w:rPr>
          <w:rFonts w:hint="eastAsia" w:ascii="宋体" w:hAnsi="宋体"/>
          <w:b/>
          <w:bCs/>
          <w:color w:val="auto"/>
          <w:sz w:val="24"/>
          <w:highlight w:val="none"/>
          <w:lang w:eastAsia="zh-CN"/>
        </w:rPr>
        <w:t>五</w:t>
      </w:r>
      <w:r>
        <w:rPr>
          <w:rFonts w:hint="eastAsia" w:ascii="宋体" w:hAnsi="宋体"/>
          <w:b/>
          <w:bCs/>
          <w:color w:val="auto"/>
          <w:sz w:val="24"/>
          <w:highlight w:val="none"/>
        </w:rPr>
        <w:t>、</w:t>
      </w:r>
      <w:r>
        <w:rPr>
          <w:rFonts w:hint="eastAsia" w:ascii="宋体" w:hAnsi="宋体"/>
          <w:b/>
          <w:bCs/>
          <w:color w:val="auto"/>
          <w:sz w:val="24"/>
          <w:highlight w:val="none"/>
          <w:lang w:eastAsia="zh-CN"/>
        </w:rPr>
        <w:t>磋商小组</w:t>
      </w:r>
    </w:p>
    <w:p w14:paraId="69AD430F">
      <w:pPr>
        <w:autoSpaceDE w:val="0"/>
        <w:autoSpaceDN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w:t>
      </w:r>
      <w:r>
        <w:rPr>
          <w:rFonts w:hint="eastAsia" w:ascii="宋体" w:hAnsi="宋体"/>
          <w:b/>
          <w:bCs/>
          <w:color w:val="auto"/>
          <w:sz w:val="24"/>
          <w:highlight w:val="none"/>
        </w:rPr>
        <w:t>磋商小组的组成。</w:t>
      </w:r>
    </w:p>
    <w:p w14:paraId="75DAC06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color w:val="auto"/>
          <w:sz w:val="24"/>
          <w:highlight w:val="none"/>
          <w:lang w:eastAsia="zh-CN"/>
        </w:rPr>
        <w:t>采购代理机构</w:t>
      </w:r>
      <w:r>
        <w:rPr>
          <w:rFonts w:hint="eastAsia" w:ascii="宋体" w:hAnsi="宋体"/>
          <w:color w:val="auto"/>
          <w:sz w:val="24"/>
          <w:highlight w:val="none"/>
        </w:rPr>
        <w:t>人员不得参加本机构代理的采购项目的评审。</w:t>
      </w:r>
    </w:p>
    <w:p w14:paraId="662EA77C">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F30E331">
      <w:pPr>
        <w:autoSpaceDE w:val="0"/>
        <w:autoSpaceDN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en-US" w:eastAsia="zh-CN"/>
        </w:rPr>
        <w:t>.</w:t>
      </w:r>
      <w:r>
        <w:rPr>
          <w:rFonts w:hint="eastAsia" w:ascii="宋体" w:hAnsi="宋体"/>
          <w:b/>
          <w:bCs/>
          <w:color w:val="auto"/>
          <w:sz w:val="24"/>
          <w:highlight w:val="none"/>
        </w:rPr>
        <w:t>磋商小组的组成人员的回避。</w:t>
      </w:r>
    </w:p>
    <w:p w14:paraId="6384773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在政府采购活动中，磋商小组的组成人员与供应商有下列利害关系之一的，应当回避：</w:t>
      </w:r>
    </w:p>
    <w:p w14:paraId="29D7021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2.1参加采购活动前3年内与供应商存在劳动关系；</w:t>
      </w:r>
    </w:p>
    <w:p w14:paraId="55956CF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2.2参加采购活动前3年内担任供应商的董事、监事；</w:t>
      </w:r>
    </w:p>
    <w:p w14:paraId="17763790">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2.3参加采购活动前3年内是供应商的控股股东或者实际控制人；</w:t>
      </w:r>
    </w:p>
    <w:p w14:paraId="2A28B8F2">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2.4与供应商的法定代表人或者负责人有夫妻、直系血亲、三代以内旁系血亲或者近姻亲关系；</w:t>
      </w:r>
    </w:p>
    <w:p w14:paraId="0CFAC0B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2.5与供应商有其他可能影响政府采购活动公平、公正进行的关系。</w:t>
      </w:r>
    </w:p>
    <w:p w14:paraId="7955D8ED">
      <w:p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磋商小组负责具体评审事务，并独立履行下列职责：</w:t>
      </w:r>
    </w:p>
    <w:p w14:paraId="034CD7E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3.1</w:t>
      </w:r>
      <w:r>
        <w:rPr>
          <w:rFonts w:hint="eastAsia" w:ascii="宋体" w:hAnsi="宋体"/>
          <w:color w:val="auto"/>
          <w:sz w:val="24"/>
          <w:highlight w:val="none"/>
        </w:rPr>
        <w:t>对供应商的资格进行审查；对响应文件的有效性、完整性和响应程度进行审查；</w:t>
      </w:r>
    </w:p>
    <w:p w14:paraId="4AD8E91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审查、评价响应文件是否符合磋商文件的商务、技术等实质性要求；</w:t>
      </w:r>
    </w:p>
    <w:p w14:paraId="75B12C9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要求供应商对响应文件有关事项作出澄清、说明或者更正；</w:t>
      </w:r>
    </w:p>
    <w:p w14:paraId="1EF9D1F9">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3.4</w:t>
      </w:r>
      <w:r>
        <w:rPr>
          <w:rFonts w:hint="eastAsia" w:ascii="宋体" w:hAnsi="宋体"/>
          <w:color w:val="auto"/>
          <w:sz w:val="24"/>
          <w:highlight w:val="none"/>
        </w:rPr>
        <w:t>磋商小组集中与单一供应商分别进行磋商；</w:t>
      </w:r>
    </w:p>
    <w:p w14:paraId="65887C5B">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3.5</w:t>
      </w:r>
      <w:r>
        <w:rPr>
          <w:rFonts w:hint="eastAsia" w:ascii="宋体" w:hAnsi="宋体"/>
          <w:color w:val="auto"/>
          <w:sz w:val="24"/>
          <w:highlight w:val="none"/>
        </w:rPr>
        <w:t>确定磋商文件的变动情况，并确定提交最后报价的供应商；</w:t>
      </w:r>
    </w:p>
    <w:p w14:paraId="6220DFC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3.6</w:t>
      </w:r>
      <w:r>
        <w:rPr>
          <w:rFonts w:hint="eastAsia" w:ascii="宋体" w:hAnsi="宋体"/>
          <w:color w:val="auto"/>
          <w:sz w:val="24"/>
          <w:highlight w:val="none"/>
        </w:rPr>
        <w:t>根据磋商文件确定的评审办法及评审标准对提交最后报价的供应商的响应文件和最后报价采用综合评分法进行综合评分；</w:t>
      </w:r>
    </w:p>
    <w:p w14:paraId="014E689F">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3.7</w:t>
      </w:r>
      <w:r>
        <w:rPr>
          <w:rFonts w:hint="eastAsia" w:ascii="宋体" w:hAnsi="宋体"/>
          <w:color w:val="auto"/>
          <w:sz w:val="24"/>
          <w:highlight w:val="none"/>
        </w:rPr>
        <w:t>编制评审报告，确定成交候选人名单，以及根据采购人委托直接确定成交人；</w:t>
      </w:r>
    </w:p>
    <w:p w14:paraId="71E55FF4">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3.8</w:t>
      </w:r>
      <w:r>
        <w:rPr>
          <w:rFonts w:hint="eastAsia" w:ascii="宋体" w:hAnsi="宋体"/>
          <w:color w:val="auto"/>
          <w:sz w:val="24"/>
          <w:highlight w:val="none"/>
        </w:rPr>
        <w:t>向采购人、</w:t>
      </w:r>
      <w:r>
        <w:rPr>
          <w:rFonts w:hint="eastAsia" w:ascii="宋体" w:hAnsi="宋体"/>
          <w:color w:val="auto"/>
          <w:sz w:val="24"/>
          <w:highlight w:val="none"/>
          <w:lang w:eastAsia="zh-CN"/>
        </w:rPr>
        <w:t>采购代理机构</w:t>
      </w:r>
      <w:r>
        <w:rPr>
          <w:rFonts w:hint="eastAsia" w:ascii="宋体" w:hAnsi="宋体"/>
          <w:color w:val="auto"/>
          <w:sz w:val="24"/>
          <w:highlight w:val="none"/>
        </w:rPr>
        <w:t>或者有关部门报告评审中发现的违法行为；</w:t>
      </w:r>
    </w:p>
    <w:p w14:paraId="0B285621">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3.9</w:t>
      </w:r>
      <w:r>
        <w:rPr>
          <w:rFonts w:hint="eastAsia" w:ascii="宋体" w:hAnsi="宋体"/>
          <w:color w:val="auto"/>
          <w:sz w:val="24"/>
          <w:highlight w:val="none"/>
        </w:rPr>
        <w:t>法律、法规、规章、磋商文件等规定的其它事项。</w:t>
      </w:r>
    </w:p>
    <w:p w14:paraId="7D46BA03">
      <w:pPr>
        <w:autoSpaceDE w:val="0"/>
        <w:autoSpaceDN w:val="0"/>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磋商小组及其成员不得有下列行为：</w:t>
      </w:r>
    </w:p>
    <w:p w14:paraId="6FD351E6">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.1确定参与本项目至评审结束前私自接触供应商；</w:t>
      </w:r>
    </w:p>
    <w:p w14:paraId="2A7F072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 xml:space="preserve">.2接受供应商提出的“超出响应文件的范围或者改变响应文件的实质性内容”的澄清、说明或者更正； </w:t>
      </w:r>
    </w:p>
    <w:p w14:paraId="11572148">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.3违反评审纪律发表倾向性意见或者征询采购人的倾向性意见；</w:t>
      </w:r>
    </w:p>
    <w:p w14:paraId="6974F65E">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.4对需要专业判断的主观评审因素协商评分；</w:t>
      </w:r>
    </w:p>
    <w:p w14:paraId="4CC6ACF5">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.5在评审过程中擅离职守，影响评审程序正常进行的；</w:t>
      </w:r>
    </w:p>
    <w:p w14:paraId="7200A27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.6记录、复制或者带走任何评审资料；</w:t>
      </w:r>
    </w:p>
    <w:p w14:paraId="7FBC1C2D">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.7其他不遵守评审纪律的行为。</w:t>
      </w:r>
    </w:p>
    <w:p w14:paraId="071AF0A3">
      <w:pPr>
        <w:autoSpaceDE w:val="0"/>
        <w:autoSpaceDN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磋商小组成员有2.1-2.5行为之一的，其评审意见无效，并不得获取评审劳务报酬和报销异地评审差旅费。</w:t>
      </w:r>
    </w:p>
    <w:p w14:paraId="7C7EDBEC">
      <w:pPr>
        <w:keepNext w:val="0"/>
        <w:keepLines w:val="0"/>
        <w:pageBreakBefore w:val="0"/>
        <w:kinsoku/>
        <w:wordWrap/>
        <w:overflowPunct/>
        <w:topLinePunct w:val="0"/>
        <w:bidi w:val="0"/>
        <w:spacing w:line="440" w:lineRule="exact"/>
        <w:textAlignment w:val="auto"/>
        <w:rPr>
          <w:rFonts w:hint="eastAsia" w:eastAsia="宋体"/>
          <w:b/>
          <w:color w:val="auto"/>
          <w:sz w:val="24"/>
          <w:szCs w:val="24"/>
          <w:highlight w:val="none"/>
          <w:lang w:eastAsia="zh-CN"/>
        </w:rPr>
      </w:pPr>
      <w:r>
        <w:rPr>
          <w:rFonts w:hint="eastAsia"/>
          <w:b/>
          <w:color w:val="auto"/>
          <w:sz w:val="24"/>
          <w:szCs w:val="24"/>
          <w:highlight w:val="none"/>
          <w:lang w:eastAsia="zh-CN"/>
        </w:rPr>
        <w:t>六</w:t>
      </w:r>
      <w:r>
        <w:rPr>
          <w:rFonts w:hint="eastAsia"/>
          <w:b/>
          <w:color w:val="auto"/>
          <w:sz w:val="24"/>
          <w:szCs w:val="24"/>
          <w:highlight w:val="none"/>
        </w:rPr>
        <w:t>、</w:t>
      </w:r>
      <w:bookmarkEnd w:id="24"/>
      <w:bookmarkEnd w:id="25"/>
      <w:bookmarkEnd w:id="26"/>
      <w:r>
        <w:rPr>
          <w:rFonts w:hint="eastAsia"/>
          <w:b/>
          <w:color w:val="auto"/>
          <w:sz w:val="24"/>
          <w:szCs w:val="24"/>
          <w:highlight w:val="none"/>
          <w:lang w:eastAsia="zh-CN"/>
        </w:rPr>
        <w:t>评审</w:t>
      </w:r>
    </w:p>
    <w:p w14:paraId="6F879B66">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评审原则</w:t>
      </w:r>
    </w:p>
    <w:p w14:paraId="5A864D4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评审原则：评标委员会按照客观、公正、审慎、择优的原则，根据采购文件规定的评审程序、评审方法和评审标准进行独立评审。</w:t>
      </w:r>
    </w:p>
    <w:p w14:paraId="2C4568C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评审工作将依据采购文件、投标文件及采购文件中事先已列明的内容进行。</w:t>
      </w:r>
    </w:p>
    <w:p w14:paraId="7D8A0687">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评审意见的争议处理</w:t>
      </w:r>
    </w:p>
    <w:p w14:paraId="5F8117F0">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32F4524E">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评</w:t>
      </w:r>
      <w:r>
        <w:rPr>
          <w:rFonts w:hint="eastAsia" w:ascii="宋体" w:hAnsi="宋体" w:cs="宋体"/>
          <w:b/>
          <w:color w:val="auto"/>
          <w:sz w:val="24"/>
          <w:szCs w:val="24"/>
          <w:highlight w:val="none"/>
          <w:lang w:eastAsia="zh-CN"/>
        </w:rPr>
        <w:t>审</w:t>
      </w:r>
      <w:r>
        <w:rPr>
          <w:rFonts w:hint="eastAsia" w:ascii="宋体" w:hAnsi="宋体" w:cs="宋体"/>
          <w:b/>
          <w:color w:val="auto"/>
          <w:sz w:val="24"/>
          <w:szCs w:val="24"/>
          <w:highlight w:val="none"/>
        </w:rPr>
        <w:t>纪律</w:t>
      </w:r>
    </w:p>
    <w:p w14:paraId="259251D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3.1</w:t>
      </w:r>
      <w:r>
        <w:rPr>
          <w:rFonts w:hint="eastAsia" w:ascii="宋体" w:hAnsi="宋体" w:cs="宋体"/>
          <w:bCs/>
          <w:color w:val="auto"/>
          <w:sz w:val="24"/>
          <w:szCs w:val="24"/>
          <w:highlight w:val="none"/>
        </w:rPr>
        <w:t>本项目评标过程实行全程录音、录像监控，政府采购监管部门视情进行视频远程或现场监督，投标人在评标过程中所进行的试图影响评标结果的不公正活动，可能导致其投标被拒绝。</w:t>
      </w:r>
    </w:p>
    <w:p w14:paraId="745052AC">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11858901">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bookmarkStart w:id="27" w:name="_Toc24550044"/>
      <w:bookmarkStart w:id="28" w:name="_Toc33194395"/>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评审流程及内容</w:t>
      </w:r>
      <w:bookmarkEnd w:id="27"/>
      <w:bookmarkEnd w:id="28"/>
    </w:p>
    <w:p w14:paraId="7708666F">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详见磋商文件“第</w:t>
      </w:r>
      <w:r>
        <w:rPr>
          <w:rFonts w:hint="eastAsia" w:ascii="宋体" w:hAnsi="宋体" w:cs="宋体"/>
          <w:b w:val="0"/>
          <w:bCs/>
          <w:color w:val="auto"/>
          <w:sz w:val="24"/>
          <w:szCs w:val="24"/>
          <w:highlight w:val="none"/>
          <w:lang w:eastAsia="zh-CN"/>
        </w:rPr>
        <w:t>三章</w:t>
      </w:r>
      <w:r>
        <w:rPr>
          <w:rFonts w:hint="eastAsia" w:ascii="宋体" w:hAnsi="宋体" w:cs="宋体"/>
          <w:b w:val="0"/>
          <w:bCs/>
          <w:color w:val="auto"/>
          <w:sz w:val="24"/>
          <w:szCs w:val="24"/>
          <w:highlight w:val="none"/>
        </w:rPr>
        <w:t xml:space="preserve"> </w:t>
      </w:r>
      <w:r>
        <w:rPr>
          <w:rFonts w:hint="eastAsia" w:ascii="宋体" w:hAnsi="宋体" w:cs="宋体"/>
          <w:b w:val="0"/>
          <w:bCs/>
          <w:color w:val="auto"/>
          <w:sz w:val="24"/>
          <w:szCs w:val="24"/>
          <w:highlight w:val="none"/>
          <w:lang w:eastAsia="zh-CN"/>
        </w:rPr>
        <w:t>评审办法及评分标准</w:t>
      </w:r>
      <w:r>
        <w:rPr>
          <w:rFonts w:hint="eastAsia" w:ascii="宋体" w:hAnsi="宋体" w:cs="宋体"/>
          <w:b w:val="0"/>
          <w:bCs/>
          <w:color w:val="auto"/>
          <w:sz w:val="24"/>
          <w:szCs w:val="24"/>
          <w:highlight w:val="none"/>
        </w:rPr>
        <w:t>”。</w:t>
      </w:r>
    </w:p>
    <w:p w14:paraId="7459F9C2">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投标文件的澄清、说明或补正</w:t>
      </w:r>
    </w:p>
    <w:p w14:paraId="7D333FF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3B2F23F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5CFD5D7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.3上述询标、澄清、说明和补正工作如因客观原因无法通过“政府采购云平台”在线进行的，将采用书面（含邮件）形式进行。</w:t>
      </w:r>
    </w:p>
    <w:p w14:paraId="2D3137E8">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投标文件的错误修正</w:t>
      </w:r>
    </w:p>
    <w:p w14:paraId="59D28B6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.1《投标文件》如果出现计算或表达上的错误，修正错误的原则如下：</w:t>
      </w:r>
    </w:p>
    <w:p w14:paraId="47AA2325">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14:paraId="532274B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14:paraId="543F923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14:paraId="6810451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14:paraId="12004D6D">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14:paraId="4C864F29">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.2对不同文字文本《投标文件》的解释发生异议的，以中文文本为准。</w:t>
      </w:r>
    </w:p>
    <w:p w14:paraId="039390EB">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14:paraId="102C8431">
      <w:pPr>
        <w:keepNext w:val="0"/>
        <w:keepLines w:val="0"/>
        <w:pageBreakBefore w:val="0"/>
        <w:kinsoku/>
        <w:wordWrap/>
        <w:overflowPunct/>
        <w:topLinePunct w:val="0"/>
        <w:bidi w:val="0"/>
        <w:spacing w:line="440" w:lineRule="exact"/>
        <w:ind w:firstLine="480" w:firstLineChars="200"/>
        <w:textAlignment w:val="auto"/>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14:paraId="0254F73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采用最低评标价法的采购项目，以其中通过资格审查、符合性审查且报价最低的参加评标；报价相同的，由评标委员会集体确定一个投标人参加评标，其他投标无效。</w:t>
      </w:r>
      <w:r>
        <w:rPr>
          <w:rFonts w:hint="eastAsia" w:ascii="宋体" w:hAnsi="宋体" w:cs="宋体"/>
          <w:bCs/>
          <w:color w:val="auto"/>
          <w:sz w:val="24"/>
          <w:szCs w:val="24"/>
          <w:highlight w:val="none"/>
        </w:rPr>
        <w:t xml:space="preserve"> </w:t>
      </w:r>
    </w:p>
    <w:p w14:paraId="196B48B5">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57A937F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lang w:eastAsia="zh-CN"/>
        </w:rPr>
      </w:pPr>
      <w:bookmarkStart w:id="29" w:name="_Toc504504574"/>
      <w:bookmarkStart w:id="30" w:name="_Toc3505"/>
      <w:bookmarkStart w:id="31" w:name="_Toc510614926"/>
      <w:bookmarkStart w:id="32" w:name="_Toc514938678"/>
      <w:r>
        <w:rPr>
          <w:rFonts w:hint="eastAsia" w:ascii="宋体" w:hAnsi="宋体" w:cs="宋体"/>
          <w:b/>
          <w:color w:val="auto"/>
          <w:sz w:val="24"/>
          <w:szCs w:val="24"/>
          <w:highlight w:val="none"/>
          <w:lang w:eastAsia="zh-CN"/>
        </w:rPr>
        <w:t>七</w:t>
      </w:r>
      <w:r>
        <w:rPr>
          <w:rFonts w:hint="eastAsia" w:ascii="宋体" w:hAnsi="宋体" w:cs="宋体"/>
          <w:b/>
          <w:color w:val="auto"/>
          <w:sz w:val="24"/>
          <w:szCs w:val="24"/>
          <w:highlight w:val="none"/>
        </w:rPr>
        <w:t>、</w:t>
      </w:r>
      <w:bookmarkEnd w:id="29"/>
      <w:bookmarkEnd w:id="30"/>
      <w:bookmarkEnd w:id="31"/>
      <w:bookmarkEnd w:id="32"/>
      <w:r>
        <w:rPr>
          <w:rFonts w:hint="eastAsia" w:ascii="宋体" w:hAnsi="宋体" w:cs="宋体"/>
          <w:b/>
          <w:color w:val="auto"/>
          <w:sz w:val="24"/>
          <w:szCs w:val="24"/>
          <w:highlight w:val="none"/>
          <w:lang w:eastAsia="zh-CN"/>
        </w:rPr>
        <w:t>成交</w:t>
      </w:r>
    </w:p>
    <w:p w14:paraId="31E15E1A">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bookmarkStart w:id="33" w:name="_Toc534621006"/>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采购结果确认（确定</w:t>
      </w:r>
      <w:r>
        <w:rPr>
          <w:rFonts w:hint="eastAsia" w:ascii="宋体" w:hAnsi="宋体" w:cs="宋体"/>
          <w:b/>
          <w:color w:val="auto"/>
          <w:sz w:val="24"/>
          <w:szCs w:val="24"/>
          <w:highlight w:val="none"/>
          <w:lang w:eastAsia="zh-CN"/>
        </w:rPr>
        <w:t>成交供应商</w:t>
      </w:r>
      <w:r>
        <w:rPr>
          <w:rFonts w:hint="eastAsia" w:ascii="宋体" w:hAnsi="宋体" w:cs="宋体"/>
          <w:b/>
          <w:color w:val="auto"/>
          <w:sz w:val="24"/>
          <w:szCs w:val="24"/>
          <w:highlight w:val="none"/>
        </w:rPr>
        <w:t>）</w:t>
      </w:r>
    </w:p>
    <w:p w14:paraId="7E21949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w:t>
      </w:r>
      <w:r>
        <w:rPr>
          <w:rFonts w:hint="eastAsia" w:ascii="宋体" w:hAnsi="宋体" w:cs="宋体"/>
          <w:bCs/>
          <w:color w:val="auto"/>
          <w:sz w:val="24"/>
          <w:szCs w:val="24"/>
          <w:highlight w:val="none"/>
          <w:lang w:eastAsia="zh-CN"/>
        </w:rPr>
        <w:t>磋商</w:t>
      </w:r>
      <w:r>
        <w:rPr>
          <w:rFonts w:hint="eastAsia" w:ascii="宋体" w:hAnsi="宋体" w:cs="宋体"/>
          <w:bCs/>
          <w:color w:val="auto"/>
          <w:sz w:val="24"/>
          <w:szCs w:val="24"/>
          <w:highlight w:val="none"/>
        </w:rPr>
        <w:t>提交的《评审报告》，通过“政府采购云平台”依法确认采购结果、确定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。具体流程如下：</w:t>
      </w:r>
    </w:p>
    <w:p w14:paraId="5D0FDE78">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1.1</w:t>
      </w:r>
      <w:r>
        <w:rPr>
          <w:rFonts w:hint="eastAsia" w:ascii="宋体" w:hAnsi="宋体" w:cs="宋体"/>
          <w:bCs/>
          <w:color w:val="auto"/>
          <w:sz w:val="24"/>
          <w:szCs w:val="24"/>
          <w:highlight w:val="none"/>
        </w:rPr>
        <w:t>本项目由</w:t>
      </w:r>
      <w:r>
        <w:rPr>
          <w:rFonts w:hint="eastAsia" w:ascii="宋体" w:hAnsi="宋体" w:cs="宋体"/>
          <w:bCs/>
          <w:color w:val="auto"/>
          <w:sz w:val="24"/>
          <w:szCs w:val="24"/>
          <w:highlight w:val="none"/>
          <w:lang w:eastAsia="zh-CN"/>
        </w:rPr>
        <w:t>磋商小组</w:t>
      </w:r>
      <w:r>
        <w:rPr>
          <w:rFonts w:hint="eastAsia" w:ascii="宋体" w:hAnsi="宋体" w:cs="宋体"/>
          <w:bCs/>
          <w:color w:val="auto"/>
          <w:sz w:val="24"/>
          <w:szCs w:val="24"/>
          <w:highlight w:val="none"/>
        </w:rPr>
        <w:t>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3"/>
    </w:p>
    <w:p w14:paraId="1A4FEE4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bookmarkStart w:id="34" w:name="_Toc534621007"/>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采购人应当自收到评审报告之日起5个工作日内，在评审报告确定的中标候选人名单中按顺序确定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。采购人在收到评审报告5个工作日内未按评审报告推荐的中标候选人顺序确定</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，又不能说明合法理由的，视同按评审报告推荐的顺序确定排名第一的中标候选人为</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w:t>
      </w:r>
      <w:bookmarkEnd w:id="34"/>
    </w:p>
    <w:p w14:paraId="5CD0B99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cs="宋体"/>
          <w:bCs/>
          <w:color w:val="auto"/>
          <w:sz w:val="24"/>
          <w:szCs w:val="24"/>
          <w:highlight w:val="none"/>
        </w:rPr>
        <w:t>采购人及采购组织机构不对评审结果做任何解释。</w:t>
      </w:r>
    </w:p>
    <w:p w14:paraId="38E1669C">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采购结果公告和中标通知书签发</w:t>
      </w:r>
    </w:p>
    <w:p w14:paraId="3E0E7B8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rPr>
        <w:t>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签发书面《中标通知书》。</w:t>
      </w:r>
      <w:bookmarkStart w:id="35" w:name="_Hlk59369379"/>
      <w:r>
        <w:rPr>
          <w:rFonts w:hint="eastAsia" w:ascii="宋体" w:hAnsi="宋体"/>
          <w:sz w:val="24"/>
        </w:rPr>
        <w:t>为营造更优质的营商环境，</w:t>
      </w:r>
      <w:bookmarkStart w:id="36" w:name="_Hlk59708763"/>
      <w:r>
        <w:rPr>
          <w:rFonts w:hint="eastAsia" w:asciiTheme="minorEastAsia" w:hAnsiTheme="minorEastAsia" w:eastAsiaTheme="minorEastAsia"/>
          <w:sz w:val="24"/>
          <w:szCs w:val="21"/>
          <w:lang w:eastAsia="zh-CN"/>
        </w:rPr>
        <w:t>成交供应商</w:t>
      </w:r>
      <w:r>
        <w:rPr>
          <w:rFonts w:hint="eastAsia" w:ascii="宋体" w:hAnsi="宋体"/>
          <w:sz w:val="24"/>
        </w:rPr>
        <w:t>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机构以邮寄方式向其寄达《中标通知书》（邮寄地址、收件人等信息请在“投标函”中详细写明，邮费到付）。</w:t>
      </w:r>
      <w:bookmarkEnd w:id="36"/>
      <w:bookmarkStart w:id="37" w:name="_Hlk59708451"/>
      <w:r>
        <w:rPr>
          <w:rFonts w:hint="eastAsia" w:ascii="宋体" w:hAnsi="宋体"/>
          <w:b/>
          <w:bCs/>
          <w:sz w:val="24"/>
          <w:highlight w:val="none"/>
          <w:u w:val="single"/>
          <w:shd w:val="pct10" w:color="auto" w:fill="FFFFFF"/>
        </w:rPr>
        <w:t>同时中标人应在中标后</w:t>
      </w:r>
      <w:bookmarkStart w:id="38" w:name="_Hlk59521069"/>
      <w:r>
        <w:rPr>
          <w:rFonts w:hint="eastAsia" w:ascii="宋体" w:hAnsi="宋体"/>
          <w:b/>
          <w:bCs/>
          <w:sz w:val="24"/>
          <w:highlight w:val="none"/>
          <w:u w:val="single"/>
          <w:shd w:val="pct10" w:color="auto" w:fill="FFFFFF"/>
        </w:rPr>
        <w:t>以邮寄</w:t>
      </w:r>
      <w:bookmarkEnd w:id="38"/>
      <w:r>
        <w:rPr>
          <w:rFonts w:hint="eastAsia" w:ascii="宋体" w:hAnsi="宋体"/>
          <w:b/>
          <w:bCs/>
          <w:sz w:val="24"/>
          <w:highlight w:val="none"/>
          <w:u w:val="single"/>
          <w:shd w:val="pct10" w:color="auto" w:fill="FFFFFF"/>
        </w:rPr>
        <w:t>或其他方式向</w:t>
      </w:r>
      <w:bookmarkStart w:id="39" w:name="_Hlk59521051"/>
      <w:r>
        <w:rPr>
          <w:rFonts w:hint="eastAsia" w:ascii="宋体" w:hAnsi="宋体"/>
          <w:b/>
          <w:bCs/>
          <w:sz w:val="24"/>
          <w:highlight w:val="none"/>
          <w:u w:val="single"/>
          <w:shd w:val="pct10" w:color="auto" w:fill="FFFFFF"/>
        </w:rPr>
        <w:t>采购</w:t>
      </w:r>
      <w:r>
        <w:rPr>
          <w:rFonts w:hint="eastAsia" w:ascii="宋体" w:hAnsi="宋体"/>
          <w:b/>
          <w:bCs/>
          <w:sz w:val="24"/>
          <w:highlight w:val="none"/>
          <w:u w:val="single"/>
          <w:shd w:val="pct10" w:color="auto" w:fill="FFFFFF"/>
          <w:lang w:eastAsia="zh-CN"/>
        </w:rPr>
        <w:t>组织</w:t>
      </w:r>
      <w:r>
        <w:rPr>
          <w:rFonts w:hint="eastAsia" w:ascii="宋体" w:hAnsi="宋体"/>
          <w:b/>
          <w:bCs/>
          <w:sz w:val="24"/>
          <w:highlight w:val="none"/>
          <w:u w:val="single"/>
          <w:shd w:val="pct10" w:color="auto" w:fill="FFFFFF"/>
        </w:rPr>
        <w:t>机构</w:t>
      </w:r>
      <w:bookmarkEnd w:id="39"/>
      <w:r>
        <w:rPr>
          <w:rFonts w:hint="eastAsia" w:ascii="宋体" w:hAnsi="宋体"/>
          <w:b/>
          <w:bCs/>
          <w:sz w:val="24"/>
          <w:highlight w:val="none"/>
          <w:u w:val="single"/>
          <w:shd w:val="pct10" w:color="auto" w:fill="FFFFFF"/>
        </w:rPr>
        <w:t>提供</w:t>
      </w:r>
      <w:r>
        <w:rPr>
          <w:rFonts w:ascii="宋体" w:hAnsi="宋体"/>
          <w:b/>
          <w:bCs/>
          <w:sz w:val="24"/>
          <w:highlight w:val="none"/>
          <w:u w:val="single"/>
          <w:shd w:val="pct10" w:color="auto" w:fill="FFFFFF"/>
        </w:rPr>
        <w:t>2</w:t>
      </w:r>
      <w:r>
        <w:rPr>
          <w:rFonts w:hint="eastAsia" w:ascii="宋体" w:hAnsi="宋体"/>
          <w:b/>
          <w:bCs/>
          <w:sz w:val="24"/>
          <w:highlight w:val="none"/>
          <w:u w:val="single"/>
          <w:shd w:val="pct10" w:color="auto" w:fill="FFFFFF"/>
        </w:rPr>
        <w:t>套</w:t>
      </w:r>
      <w:r>
        <w:rPr>
          <w:rFonts w:hint="eastAsia" w:ascii="宋体" w:hAnsi="宋体"/>
          <w:b/>
          <w:bCs/>
          <w:sz w:val="24"/>
          <w:highlight w:val="none"/>
          <w:u w:val="single"/>
          <w:shd w:val="pct10" w:color="auto" w:fill="FFFFFF"/>
          <w:lang w:eastAsia="zh-CN"/>
        </w:rPr>
        <w:t>（一正一副）</w:t>
      </w:r>
      <w:r>
        <w:rPr>
          <w:rFonts w:hint="eastAsia" w:ascii="宋体" w:hAnsi="宋体"/>
          <w:b/>
          <w:bCs/>
          <w:sz w:val="24"/>
          <w:highlight w:val="none"/>
          <w:u w:val="single"/>
          <w:shd w:val="pct10" w:color="auto" w:fill="FFFFFF"/>
        </w:rPr>
        <w:t>与电子版投标文件相同的胶装版本投标文件。</w:t>
      </w:r>
      <w:bookmarkEnd w:id="35"/>
      <w:bookmarkEnd w:id="37"/>
    </w:p>
    <w:p w14:paraId="792A634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rPr>
        <w:t>中标公告期限为1个工作日；</w:t>
      </w:r>
    </w:p>
    <w:p w14:paraId="2BD65A86">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2.3</w:t>
      </w:r>
      <w:r>
        <w:rPr>
          <w:rFonts w:hint="eastAsia" w:ascii="宋体" w:hAnsi="宋体" w:cs="宋体"/>
          <w:bCs/>
          <w:color w:val="auto"/>
          <w:sz w:val="24"/>
          <w:szCs w:val="24"/>
          <w:highlight w:val="none"/>
        </w:rPr>
        <w:t>中标通知书发出后，</w:t>
      </w:r>
      <w:r>
        <w:rPr>
          <w:rFonts w:hint="eastAsia" w:asciiTheme="minorEastAsia" w:hAnsiTheme="minorEastAsia" w:eastAsiaTheme="minorEastAsia"/>
          <w:sz w:val="24"/>
          <w:szCs w:val="21"/>
          <w:lang w:eastAsia="zh-CN"/>
        </w:rPr>
        <w:t>成交供应商</w:t>
      </w:r>
      <w:r>
        <w:rPr>
          <w:rFonts w:hint="eastAsia" w:ascii="宋体" w:hAnsi="宋体" w:cs="宋体"/>
          <w:bCs/>
          <w:color w:val="auto"/>
          <w:sz w:val="24"/>
          <w:szCs w:val="24"/>
          <w:highlight w:val="none"/>
        </w:rPr>
        <w:t>无正当理由不得放弃中标。</w:t>
      </w:r>
    </w:p>
    <w:p w14:paraId="35BC83BA">
      <w:pPr>
        <w:keepNext w:val="0"/>
        <w:keepLines w:val="0"/>
        <w:pageBreakBefore w:val="0"/>
        <w:numPr>
          <w:ilvl w:val="0"/>
          <w:numId w:val="5"/>
        </w:numPr>
        <w:kinsoku/>
        <w:wordWrap/>
        <w:overflowPunct/>
        <w:topLinePunct w:val="0"/>
        <w:bidi w:val="0"/>
        <w:spacing w:line="440" w:lineRule="exac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合同签订及公告</w:t>
      </w:r>
    </w:p>
    <w:p w14:paraId="2293709D">
      <w:pPr>
        <w:keepNext w:val="0"/>
        <w:keepLines w:val="0"/>
        <w:pageBreakBefore w:val="0"/>
        <w:numPr>
          <w:ilvl w:val="0"/>
          <w:numId w:val="0"/>
        </w:numPr>
        <w:kinsoku/>
        <w:wordWrap/>
        <w:overflowPunct/>
        <w:topLinePunct w:val="0"/>
        <w:bidi w:val="0"/>
        <w:spacing w:line="440" w:lineRule="exact"/>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合同主要条款：</w:t>
      </w:r>
      <w:r>
        <w:rPr>
          <w:rFonts w:hint="eastAsia" w:asciiTheme="minorEastAsia" w:hAnsiTheme="minorEastAsia" w:eastAsiaTheme="minorEastAsia"/>
          <w:sz w:val="24"/>
        </w:rPr>
        <w:t>详见“第六部分拟签订的合同文本”。</w:t>
      </w:r>
    </w:p>
    <w:p w14:paraId="72F36357">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签订合同</w:t>
      </w:r>
    </w:p>
    <w:p w14:paraId="5BAE9D44">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1.1</w:t>
      </w:r>
      <w:r>
        <w:rPr>
          <w:rFonts w:hint="eastAsia" w:asciiTheme="minorEastAsia" w:hAnsiTheme="minorEastAsia" w:eastAsiaTheme="minorEastAsia"/>
          <w:sz w:val="24"/>
          <w:szCs w:val="21"/>
          <w:lang w:eastAsia="zh-CN"/>
        </w:rPr>
        <w:t>成交供应商</w:t>
      </w:r>
      <w:r>
        <w:rPr>
          <w:rFonts w:hint="eastAsia" w:cs="宋体"/>
          <w:color w:val="auto"/>
          <w:szCs w:val="24"/>
          <w:highlight w:val="none"/>
        </w:rPr>
        <w:t>应当在《中标通知书》发出之日起30日内持《中标通知书》与采购人签订《政府采购合同》。</w:t>
      </w:r>
    </w:p>
    <w:p w14:paraId="332CF4D2">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1.2</w:t>
      </w:r>
      <w:r>
        <w:rPr>
          <w:rFonts w:hint="eastAsia" w:cs="宋体"/>
          <w:color w:val="auto"/>
          <w:szCs w:val="24"/>
          <w:highlight w:val="none"/>
        </w:rPr>
        <w:t>所签订的合同不得对招标文件确定的事项和</w:t>
      </w:r>
      <w:r>
        <w:rPr>
          <w:rFonts w:hint="eastAsia" w:asciiTheme="minorEastAsia" w:hAnsiTheme="minorEastAsia" w:eastAsiaTheme="minorEastAsia"/>
          <w:sz w:val="24"/>
          <w:szCs w:val="21"/>
          <w:lang w:eastAsia="zh-CN"/>
        </w:rPr>
        <w:t>成交供应商</w:t>
      </w:r>
      <w:r>
        <w:rPr>
          <w:rFonts w:hint="eastAsia" w:cs="宋体" w:eastAsiaTheme="minorEastAsia"/>
          <w:color w:val="auto"/>
          <w:szCs w:val="24"/>
          <w:highlight w:val="none"/>
          <w:lang w:eastAsia="zh-CN"/>
        </w:rPr>
        <w:t>响应</w:t>
      </w:r>
      <w:r>
        <w:rPr>
          <w:rFonts w:hint="eastAsia" w:cs="宋体"/>
          <w:color w:val="auto"/>
          <w:szCs w:val="24"/>
          <w:highlight w:val="none"/>
        </w:rPr>
        <w:t>文件作实质性修改。集中采购机构将根据采购人的委托，对合同内容进行审查鉴证，如发现与采购结果和</w:t>
      </w:r>
      <w:r>
        <w:rPr>
          <w:rFonts w:hint="eastAsia" w:cs="宋体"/>
          <w:color w:val="auto"/>
          <w:szCs w:val="24"/>
          <w:highlight w:val="none"/>
          <w:lang w:eastAsia="zh-CN"/>
        </w:rPr>
        <w:t>响应</w:t>
      </w:r>
      <w:r>
        <w:rPr>
          <w:rFonts w:hint="eastAsia" w:cs="宋体"/>
          <w:color w:val="auto"/>
          <w:szCs w:val="24"/>
          <w:highlight w:val="none"/>
        </w:rPr>
        <w:t>承诺内容不一致的，将予以纠正。</w:t>
      </w:r>
    </w:p>
    <w:p w14:paraId="1974967A">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1.3</w:t>
      </w:r>
      <w:r>
        <w:rPr>
          <w:rFonts w:hint="eastAsia" w:cs="宋体"/>
          <w:color w:val="auto"/>
          <w:szCs w:val="24"/>
          <w:highlight w:val="none"/>
        </w:rPr>
        <w:t>采购人不得向</w:t>
      </w:r>
      <w:r>
        <w:rPr>
          <w:rFonts w:hint="eastAsia" w:asciiTheme="minorEastAsia" w:hAnsiTheme="minorEastAsia" w:eastAsiaTheme="minorEastAsia"/>
          <w:sz w:val="24"/>
          <w:szCs w:val="21"/>
          <w:lang w:eastAsia="zh-CN"/>
        </w:rPr>
        <w:t>成交供应商</w:t>
      </w:r>
      <w:r>
        <w:rPr>
          <w:rFonts w:hint="eastAsia" w:cs="宋体"/>
          <w:color w:val="auto"/>
          <w:szCs w:val="24"/>
          <w:highlight w:val="none"/>
        </w:rPr>
        <w:t>提出任何不合理的要求作为签订合同的条件。</w:t>
      </w:r>
    </w:p>
    <w:p w14:paraId="3A4D9D8A">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auto"/>
          <w:szCs w:val="24"/>
          <w:highlight w:val="none"/>
        </w:rPr>
      </w:pPr>
      <w:r>
        <w:rPr>
          <w:rFonts w:hint="eastAsia" w:cs="宋体"/>
          <w:color w:val="auto"/>
          <w:szCs w:val="24"/>
          <w:highlight w:val="none"/>
          <w:lang w:val="en-US" w:eastAsia="zh-CN"/>
        </w:rPr>
        <w:t>1.4</w:t>
      </w:r>
      <w:r>
        <w:rPr>
          <w:rFonts w:hint="eastAsia" w:asciiTheme="minorEastAsia" w:hAnsiTheme="minorEastAsia" w:eastAsiaTheme="minorEastAsia"/>
          <w:sz w:val="24"/>
          <w:szCs w:val="21"/>
          <w:lang w:eastAsia="zh-CN"/>
        </w:rPr>
        <w:t>成交供应商</w:t>
      </w:r>
      <w:r>
        <w:rPr>
          <w:rFonts w:hint="eastAsia" w:asciiTheme="minorEastAsia" w:hAnsiTheme="minorEastAsia" w:eastAsiaTheme="minorEastAsia"/>
          <w:sz w:val="24"/>
          <w:szCs w:val="21"/>
        </w:rPr>
        <w:t>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8B6D06E">
      <w:pPr>
        <w:pStyle w:val="35"/>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cs="宋体"/>
          <w:color w:val="auto"/>
          <w:szCs w:val="24"/>
          <w:highlight w:val="none"/>
        </w:rPr>
      </w:pPr>
      <w:r>
        <w:rPr>
          <w:rFonts w:hint="eastAsia" w:cs="宋体"/>
          <w:color w:val="auto"/>
          <w:szCs w:val="24"/>
          <w:highlight w:val="none"/>
          <w:lang w:val="en-US" w:eastAsia="zh-CN"/>
        </w:rPr>
        <w:t>1.5</w:t>
      </w:r>
      <w:r>
        <w:rPr>
          <w:rFonts w:hint="eastAsia" w:cs="宋体"/>
          <w:color w:val="auto"/>
          <w:szCs w:val="24"/>
          <w:highlight w:val="none"/>
        </w:rPr>
        <w:t>询问或者质疑事项可能影响中标结果的，采购人应当暂停签订合同，已经签订合同的，应当中止履行合同（中标结果的质疑期为中标结果公告期限届满之日起七个工作日）。</w:t>
      </w:r>
    </w:p>
    <w:p w14:paraId="544F50C2">
      <w:pPr>
        <w:pStyle w:val="35"/>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cs="仿宋_GB2312"/>
          <w:b/>
          <w:color w:val="auto"/>
          <w:szCs w:val="24"/>
          <w:highlight w:val="none"/>
        </w:rPr>
      </w:pPr>
      <w:r>
        <w:rPr>
          <w:rFonts w:hint="eastAsia"/>
          <w:b/>
          <w:color w:val="auto"/>
          <w:szCs w:val="24"/>
          <w:highlight w:val="none"/>
          <w:lang w:val="en-US" w:eastAsia="zh-CN"/>
        </w:rPr>
        <w:t>3.</w:t>
      </w:r>
      <w:r>
        <w:rPr>
          <w:b/>
          <w:color w:val="auto"/>
          <w:szCs w:val="24"/>
          <w:highlight w:val="none"/>
        </w:rPr>
        <w:t>合同公告及备案</w:t>
      </w:r>
    </w:p>
    <w:p w14:paraId="6B8F06F4">
      <w:pPr>
        <w:pStyle w:val="20"/>
        <w:keepNext w:val="0"/>
        <w:keepLines w:val="0"/>
        <w:pageBreakBefore w:val="0"/>
        <w:kinsoku/>
        <w:wordWrap/>
        <w:overflowPunct/>
        <w:topLinePunct w:val="0"/>
        <w:bidi w:val="0"/>
        <w:spacing w:line="440" w:lineRule="exact"/>
        <w:ind w:firstLine="480"/>
        <w:jc w:val="left"/>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14:paraId="6ECF9EFC">
      <w:pPr>
        <w:pStyle w:val="35"/>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14:paraId="2C34687F">
      <w:pPr>
        <w:pStyle w:val="35"/>
        <w:spacing w:before="0" w:beforeAutospacing="0" w:after="0" w:afterAutospacing="0" w:line="450" w:lineRule="exact"/>
        <w:jc w:val="both"/>
        <w:rPr>
          <w:b/>
          <w:color w:val="auto"/>
          <w:szCs w:val="24"/>
          <w:highlight w:val="none"/>
        </w:rPr>
      </w:pPr>
      <w:r>
        <w:rPr>
          <w:color w:val="auto"/>
          <w:szCs w:val="24"/>
          <w:highlight w:val="none"/>
        </w:rPr>
        <w:br w:type="page"/>
      </w:r>
    </w:p>
    <w:bookmarkEnd w:id="7"/>
    <w:p w14:paraId="3F566AA6">
      <w:pPr>
        <w:widowControl w:val="0"/>
        <w:spacing w:line="360" w:lineRule="auto"/>
        <w:jc w:val="center"/>
        <w:rPr>
          <w:rFonts w:ascii="方正小标宋简体" w:hAnsi="方正小标宋简体" w:eastAsia="方正小标宋简体"/>
          <w:b/>
          <w:bCs/>
          <w:color w:val="auto"/>
          <w:sz w:val="40"/>
          <w:szCs w:val="18"/>
          <w:highlight w:val="none"/>
        </w:rPr>
      </w:pPr>
      <w:bookmarkStart w:id="40"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w:t>
      </w:r>
      <w:r>
        <w:rPr>
          <w:rFonts w:hint="eastAsia" w:ascii="方正小标宋简体" w:hAnsi="方正小标宋简体" w:eastAsia="方正小标宋简体"/>
          <w:b/>
          <w:bCs/>
          <w:color w:val="auto"/>
          <w:sz w:val="40"/>
          <w:szCs w:val="18"/>
          <w:highlight w:val="none"/>
          <w:lang w:eastAsia="zh-CN"/>
        </w:rPr>
        <w:t>审办</w:t>
      </w:r>
      <w:r>
        <w:rPr>
          <w:rFonts w:hint="eastAsia" w:ascii="方正小标宋简体" w:hAnsi="方正小标宋简体" w:eastAsia="方正小标宋简体"/>
          <w:b/>
          <w:bCs/>
          <w:color w:val="auto"/>
          <w:sz w:val="40"/>
          <w:szCs w:val="18"/>
          <w:highlight w:val="none"/>
        </w:rPr>
        <w:t>法</w:t>
      </w:r>
      <w:r>
        <w:rPr>
          <w:rFonts w:hint="eastAsia" w:ascii="方正小标宋简体" w:hAnsi="方正小标宋简体" w:eastAsia="方正小标宋简体"/>
          <w:b/>
          <w:bCs/>
          <w:color w:val="auto"/>
          <w:sz w:val="40"/>
          <w:szCs w:val="18"/>
          <w:highlight w:val="none"/>
          <w:lang w:eastAsia="zh-CN"/>
        </w:rPr>
        <w:t>与</w:t>
      </w:r>
      <w:r>
        <w:rPr>
          <w:rFonts w:hint="eastAsia" w:ascii="方正小标宋简体" w:hAnsi="方正小标宋简体" w:eastAsia="方正小标宋简体"/>
          <w:b/>
          <w:bCs/>
          <w:color w:val="auto"/>
          <w:sz w:val="40"/>
          <w:szCs w:val="18"/>
          <w:highlight w:val="none"/>
        </w:rPr>
        <w:t>评分标准</w:t>
      </w:r>
    </w:p>
    <w:p w14:paraId="2DC48B31">
      <w:pPr>
        <w:autoSpaceDE w:val="0"/>
        <w:autoSpaceDN w:val="0"/>
        <w:spacing w:line="360" w:lineRule="auto"/>
        <w:ind w:firstLine="480" w:firstLineChars="200"/>
        <w:rPr>
          <w:rFonts w:ascii="宋体" w:hAnsi="宋体"/>
          <w:color w:val="auto"/>
          <w:sz w:val="24"/>
          <w:highlight w:val="none"/>
        </w:rPr>
      </w:pPr>
    </w:p>
    <w:p w14:paraId="2638AC0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25E9A0D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b/>
          <w:bCs/>
          <w:color w:val="auto"/>
          <w:sz w:val="24"/>
          <w:highlight w:val="none"/>
          <w:lang w:eastAsia="zh-CN"/>
        </w:rPr>
      </w:pPr>
      <w:bookmarkStart w:id="41" w:name="_Toc297662419"/>
      <w:bookmarkStart w:id="42" w:name="_Toc22707"/>
      <w:bookmarkStart w:id="43" w:name="_Toc24759"/>
      <w:r>
        <w:rPr>
          <w:rFonts w:hint="eastAsia" w:ascii="宋体" w:hAnsi="宋体"/>
          <w:b/>
          <w:bCs/>
          <w:color w:val="auto"/>
          <w:sz w:val="24"/>
          <w:highlight w:val="none"/>
        </w:rPr>
        <w:t>一、评</w:t>
      </w:r>
      <w:bookmarkEnd w:id="41"/>
      <w:bookmarkEnd w:id="42"/>
      <w:bookmarkEnd w:id="43"/>
      <w:r>
        <w:rPr>
          <w:rFonts w:hint="eastAsia" w:ascii="宋体" w:hAnsi="宋体"/>
          <w:b/>
          <w:bCs/>
          <w:color w:val="auto"/>
          <w:sz w:val="24"/>
          <w:highlight w:val="none"/>
          <w:lang w:eastAsia="zh-CN"/>
        </w:rPr>
        <w:t>审方法</w:t>
      </w:r>
    </w:p>
    <w:p w14:paraId="2C8066A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综合评分法。是指响应文件满足磋商文件全部实质性要求，且按照评审因素的量化指标评审得分最高的供应商为成交候选人的评审方法。</w:t>
      </w:r>
    </w:p>
    <w:p w14:paraId="00DDF0D4">
      <w:pPr>
        <w:keepNext w:val="0"/>
        <w:keepLines w:val="0"/>
        <w:pageBreakBefore w:val="0"/>
        <w:widowControl/>
        <w:kinsoku/>
        <w:wordWrap/>
        <w:overflowPunct/>
        <w:topLinePunct w:val="0"/>
        <w:bidi w:val="0"/>
        <w:adjustRightInd/>
        <w:snapToGrid/>
        <w:spacing w:line="360" w:lineRule="auto"/>
        <w:textAlignment w:val="auto"/>
        <w:rPr>
          <w:b/>
          <w:color w:val="auto"/>
          <w:sz w:val="24"/>
          <w:szCs w:val="24"/>
          <w:highlight w:val="none"/>
        </w:rPr>
      </w:pPr>
      <w:r>
        <w:rPr>
          <w:rFonts w:hint="eastAsia"/>
          <w:b/>
          <w:color w:val="auto"/>
          <w:sz w:val="24"/>
          <w:szCs w:val="24"/>
          <w:highlight w:val="none"/>
          <w:lang w:eastAsia="zh-CN"/>
        </w:rPr>
        <w:t>二、磋商</w:t>
      </w:r>
      <w:r>
        <w:rPr>
          <w:rFonts w:hint="eastAsia"/>
          <w:b/>
          <w:color w:val="auto"/>
          <w:sz w:val="24"/>
          <w:szCs w:val="24"/>
          <w:highlight w:val="none"/>
        </w:rPr>
        <w:t>的方式</w:t>
      </w:r>
    </w:p>
    <w:p w14:paraId="5BDDDA8F">
      <w:pPr>
        <w:pStyle w:val="100"/>
        <w:keepNext w:val="0"/>
        <w:keepLines w:val="0"/>
        <w:pageBreakBefore w:val="0"/>
        <w:widowControl/>
        <w:kinsoku/>
        <w:wordWrap/>
        <w:overflowPunct/>
        <w:topLinePunct w:val="0"/>
        <w:bidi w:val="0"/>
        <w:adjustRightInd/>
        <w:snapToGrid/>
        <w:spacing w:before="0" w:line="360" w:lineRule="auto"/>
        <w:ind w:firstLine="480" w:firstLineChars="200"/>
        <w:textAlignment w:val="auto"/>
        <w:rPr>
          <w:rFonts w:hint="eastAsia"/>
          <w:bCs/>
          <w:color w:val="auto"/>
          <w:sz w:val="24"/>
          <w:szCs w:val="24"/>
          <w:highlight w:val="none"/>
        </w:rPr>
      </w:pPr>
      <w:r>
        <w:rPr>
          <w:rFonts w:hint="eastAsia"/>
          <w:bCs/>
          <w:color w:val="auto"/>
          <w:sz w:val="24"/>
          <w:szCs w:val="24"/>
          <w:highlight w:val="none"/>
        </w:rPr>
        <w:t>本项目采用不公开方式</w:t>
      </w:r>
      <w:r>
        <w:rPr>
          <w:rFonts w:hint="eastAsia"/>
          <w:bCs/>
          <w:color w:val="auto"/>
          <w:sz w:val="24"/>
          <w:szCs w:val="24"/>
          <w:highlight w:val="none"/>
          <w:lang w:eastAsia="zh-CN"/>
        </w:rPr>
        <w:t>磋商</w:t>
      </w:r>
      <w:r>
        <w:rPr>
          <w:rFonts w:hint="eastAsia"/>
          <w:bCs/>
          <w:color w:val="auto"/>
          <w:sz w:val="24"/>
          <w:szCs w:val="24"/>
          <w:highlight w:val="none"/>
        </w:rPr>
        <w:t>，</w:t>
      </w:r>
      <w:r>
        <w:rPr>
          <w:rFonts w:hint="eastAsia"/>
          <w:bCs/>
          <w:color w:val="auto"/>
          <w:sz w:val="24"/>
          <w:szCs w:val="24"/>
          <w:highlight w:val="none"/>
          <w:lang w:eastAsia="zh-CN"/>
        </w:rPr>
        <w:t>磋商</w:t>
      </w:r>
      <w:r>
        <w:rPr>
          <w:rFonts w:hint="eastAsia"/>
          <w:bCs/>
          <w:color w:val="auto"/>
          <w:sz w:val="24"/>
          <w:szCs w:val="24"/>
          <w:highlight w:val="none"/>
        </w:rPr>
        <w:t>的依据为</w:t>
      </w:r>
      <w:r>
        <w:rPr>
          <w:rFonts w:hint="eastAsia"/>
          <w:bCs/>
          <w:color w:val="auto"/>
          <w:sz w:val="24"/>
          <w:szCs w:val="24"/>
          <w:highlight w:val="none"/>
          <w:lang w:eastAsia="zh-CN"/>
        </w:rPr>
        <w:t>磋商</w:t>
      </w:r>
      <w:r>
        <w:rPr>
          <w:rFonts w:hint="eastAsia"/>
          <w:bCs/>
          <w:color w:val="auto"/>
          <w:sz w:val="24"/>
          <w:szCs w:val="24"/>
          <w:highlight w:val="none"/>
        </w:rPr>
        <w:t>文件和</w:t>
      </w:r>
      <w:r>
        <w:rPr>
          <w:rFonts w:hint="eastAsia"/>
          <w:bCs/>
          <w:color w:val="auto"/>
          <w:sz w:val="24"/>
          <w:szCs w:val="24"/>
          <w:highlight w:val="none"/>
          <w:lang w:eastAsia="zh-CN"/>
        </w:rPr>
        <w:t>响应</w:t>
      </w:r>
      <w:r>
        <w:rPr>
          <w:rFonts w:hint="eastAsia"/>
          <w:bCs/>
          <w:color w:val="auto"/>
          <w:sz w:val="24"/>
          <w:szCs w:val="24"/>
          <w:highlight w:val="none"/>
        </w:rPr>
        <w:t>文件。</w:t>
      </w:r>
    </w:p>
    <w:p w14:paraId="5BF2FAF4">
      <w:pPr>
        <w:pStyle w:val="100"/>
        <w:keepNext w:val="0"/>
        <w:keepLines w:val="0"/>
        <w:pageBreakBefore w:val="0"/>
        <w:widowControl/>
        <w:kinsoku/>
        <w:wordWrap/>
        <w:overflowPunct/>
        <w:topLinePunct w:val="0"/>
        <w:bidi w:val="0"/>
        <w:adjustRightInd/>
        <w:snapToGrid/>
        <w:spacing w:before="0" w:line="360" w:lineRule="auto"/>
        <w:ind w:left="0" w:leftChars="0" w:firstLine="0" w:firstLineChars="0"/>
        <w:textAlignment w:val="auto"/>
        <w:rPr>
          <w:rFonts w:hint="eastAsia" w:asciiTheme="minorEastAsia" w:hAnsiTheme="minorEastAsia" w:eastAsiaTheme="minorEastAsia"/>
          <w:b/>
          <w:highlight w:val="none"/>
          <w:lang w:val="en-US" w:eastAsia="zh-CN"/>
        </w:rPr>
      </w:pPr>
      <w:r>
        <w:rPr>
          <w:rFonts w:hint="eastAsia" w:asciiTheme="minorEastAsia" w:hAnsiTheme="minorEastAsia" w:eastAsiaTheme="minorEastAsia"/>
          <w:b/>
          <w:highlight w:val="none"/>
          <w:lang w:eastAsia="zh-CN"/>
        </w:rPr>
        <w:t>三、</w:t>
      </w:r>
      <w:r>
        <w:rPr>
          <w:rFonts w:hint="eastAsia" w:asciiTheme="minorEastAsia" w:hAnsiTheme="minorEastAsia" w:eastAsiaTheme="minorEastAsia"/>
          <w:b/>
          <w:highlight w:val="none"/>
        </w:rPr>
        <w:t>磋商与评审</w:t>
      </w:r>
      <w:r>
        <w:rPr>
          <w:rFonts w:hint="eastAsia" w:asciiTheme="minorEastAsia" w:hAnsiTheme="minorEastAsia" w:eastAsiaTheme="minorEastAsia"/>
          <w:b/>
          <w:highlight w:val="none"/>
          <w:lang w:eastAsia="zh-CN"/>
        </w:rPr>
        <w:t>流程</w:t>
      </w:r>
    </w:p>
    <w:p w14:paraId="062C53EC">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sz w:val="24"/>
          <w:szCs w:val="32"/>
          <w:highlight w:val="none"/>
          <w:lang w:eastAsia="zh-CN"/>
        </w:rPr>
      </w:pPr>
      <w:r>
        <w:rPr>
          <w:rFonts w:hint="eastAsia" w:ascii="宋体" w:hAnsi="宋体" w:eastAsia="宋体" w:cs="宋体"/>
          <w:color w:val="000000"/>
          <w:sz w:val="24"/>
          <w:szCs w:val="32"/>
          <w:highlight w:val="none"/>
        </w:rPr>
        <w:t>采购组织机构将组织磋商小组，</w:t>
      </w:r>
      <w:r>
        <w:rPr>
          <w:rFonts w:hint="eastAsia" w:ascii="宋体" w:hAnsi="宋体" w:cs="宋体"/>
          <w:color w:val="000000"/>
          <w:sz w:val="24"/>
          <w:szCs w:val="32"/>
          <w:highlight w:val="none"/>
          <w:lang w:eastAsia="zh-CN"/>
        </w:rPr>
        <w:t>本次</w:t>
      </w:r>
      <w:r>
        <w:rPr>
          <w:rFonts w:hint="eastAsia" w:ascii="宋体" w:hAnsi="宋体" w:eastAsia="宋体" w:cs="宋体"/>
          <w:color w:val="000000"/>
          <w:sz w:val="24"/>
          <w:szCs w:val="32"/>
          <w:highlight w:val="none"/>
        </w:rPr>
        <w:t>磋商小组由</w:t>
      </w:r>
      <w:r>
        <w:rPr>
          <w:rFonts w:hint="eastAsia" w:ascii="宋体" w:hAnsi="宋体" w:cs="宋体"/>
          <w:color w:val="000000"/>
          <w:sz w:val="24"/>
          <w:szCs w:val="32"/>
          <w:highlight w:val="none"/>
          <w:lang w:val="en-US" w:eastAsia="zh-CN"/>
        </w:rPr>
        <w:t>5</w:t>
      </w:r>
      <w:r>
        <w:rPr>
          <w:rFonts w:hint="eastAsia" w:ascii="宋体" w:hAnsi="宋体" w:eastAsia="宋体" w:cs="宋体"/>
          <w:color w:val="000000"/>
          <w:sz w:val="24"/>
          <w:szCs w:val="32"/>
          <w:highlight w:val="none"/>
        </w:rPr>
        <w:t>人组成</w:t>
      </w:r>
    </w:p>
    <w:p w14:paraId="4BFB1FFF">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1、在磋商小组中推选组长。</w:t>
      </w:r>
    </w:p>
    <w:p w14:paraId="682BAB1A">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D83F255">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3、磋商小组组长召集成员讨论确定磋商方法和磋商轮次。</w:t>
      </w:r>
    </w:p>
    <w:p w14:paraId="0B313EB6">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68B3D182">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按标项与各磋商响应方就项目技术需求、服务、价格构成、供货、付款方式等要素分别进行磋商。</w:t>
      </w:r>
    </w:p>
    <w:p w14:paraId="4F081EA1">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09E13431">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5D52162C">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7、磋商小组根据《评审办法与评审标准》对提交最终报价的响应方的响应文件和最后报价进行综合评分。</w:t>
      </w:r>
    </w:p>
    <w:p w14:paraId="357F0E9D">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8、根据竞争性磋商文件规定，磋商小组推荐成交候选供应商排序名单。采购人、经其书面授权的采购人代表或经其书面授权的磋商小组按成交候选供应商排名顺序确定成交供应商。</w:t>
      </w:r>
    </w:p>
    <w:p w14:paraId="6786F0A9">
      <w:pPr>
        <w:pStyle w:val="2"/>
        <w:keepNext w:val="0"/>
        <w:keepLines w:val="0"/>
        <w:pageBreakBefore w:val="0"/>
        <w:widowControl/>
        <w:kinsoku/>
        <w:wordWrap/>
        <w:overflowPunct/>
        <w:topLinePunct w:val="0"/>
        <w:bidi w:val="0"/>
        <w:adjustRightInd/>
        <w:spacing w:line="360" w:lineRule="auto"/>
        <w:textAlignment w:val="auto"/>
        <w:rPr>
          <w:rFonts w:hint="eastAsia"/>
          <w:lang w:val="en-US" w:eastAsia="zh-CN"/>
        </w:rPr>
      </w:pPr>
      <w:r>
        <w:rPr>
          <w:rFonts w:hint="eastAsia" w:ascii="宋体" w:hAnsi="宋体"/>
          <w:b w:val="0"/>
          <w:bCs w:val="0"/>
          <w:color w:val="auto"/>
          <w:sz w:val="24"/>
          <w:highlight w:val="none"/>
          <w:lang w:val="en-US" w:eastAsia="zh-CN"/>
        </w:rPr>
        <w:t>成交候选</w:t>
      </w:r>
      <w:r>
        <w:rPr>
          <w:rFonts w:hint="eastAsia" w:asciiTheme="minorEastAsia" w:hAnsiTheme="minorEastAsia" w:eastAsiaTheme="minorEastAsia"/>
          <w:szCs w:val="24"/>
        </w:rPr>
        <w:t>资格</w:t>
      </w:r>
      <w:r>
        <w:rPr>
          <w:rFonts w:hint="eastAsia" w:ascii="宋体" w:hAnsi="宋体" w:cs="宋体"/>
          <w:sz w:val="24"/>
          <w:szCs w:val="24"/>
        </w:rPr>
        <w:t>按</w:t>
      </w:r>
      <w:r>
        <w:rPr>
          <w:rFonts w:hint="eastAsia" w:ascii="宋体" w:hAnsi="宋体" w:cs="宋体"/>
          <w:sz w:val="24"/>
          <w:szCs w:val="24"/>
          <w:lang w:eastAsia="zh-CN"/>
        </w:rPr>
        <w:t>综合</w:t>
      </w:r>
      <w:r>
        <w:rPr>
          <w:rFonts w:hint="eastAsia" w:ascii="宋体" w:hAnsi="宋体" w:cs="宋体"/>
          <w:sz w:val="24"/>
          <w:szCs w:val="24"/>
        </w:rPr>
        <w:t>得分由高到低顺序排列，</w:t>
      </w:r>
      <w:r>
        <w:rPr>
          <w:rFonts w:hint="eastAsia" w:ascii="宋体" w:hAnsi="宋体" w:cs="宋体"/>
          <w:sz w:val="24"/>
          <w:szCs w:val="24"/>
          <w:lang w:eastAsia="zh-CN"/>
        </w:rPr>
        <w:t>综合</w:t>
      </w:r>
      <w:r>
        <w:rPr>
          <w:rFonts w:hint="eastAsia" w:ascii="宋体" w:hAnsi="宋体" w:cs="宋体"/>
          <w:sz w:val="24"/>
          <w:szCs w:val="24"/>
        </w:rPr>
        <w:t>得分相同的，按</w:t>
      </w:r>
      <w:r>
        <w:rPr>
          <w:rFonts w:hint="eastAsia" w:ascii="宋体"/>
          <w:color w:val="auto"/>
          <w:sz w:val="24"/>
          <w:highlight w:val="none"/>
          <w:lang w:val="zh-CN"/>
        </w:rPr>
        <w:t>最终报价得分</w:t>
      </w:r>
      <w:r>
        <w:rPr>
          <w:rFonts w:hint="eastAsia" w:ascii="宋体" w:hAnsi="宋体" w:cs="宋体"/>
          <w:sz w:val="24"/>
          <w:szCs w:val="24"/>
        </w:rPr>
        <w:t>由高到低顺序排列；</w:t>
      </w:r>
      <w:r>
        <w:rPr>
          <w:rFonts w:hint="eastAsia" w:ascii="宋体" w:hAnsi="宋体" w:cs="宋体"/>
          <w:sz w:val="24"/>
          <w:szCs w:val="24"/>
          <w:lang w:eastAsia="zh-CN"/>
        </w:rPr>
        <w:t>综合</w:t>
      </w:r>
      <w:r>
        <w:rPr>
          <w:rFonts w:hint="eastAsia" w:ascii="宋体" w:hAnsi="宋体" w:cs="宋体"/>
          <w:sz w:val="24"/>
          <w:szCs w:val="24"/>
        </w:rPr>
        <w:t>得分且</w:t>
      </w:r>
      <w:r>
        <w:rPr>
          <w:rFonts w:hint="eastAsia" w:ascii="宋体"/>
          <w:color w:val="auto"/>
          <w:sz w:val="24"/>
          <w:highlight w:val="none"/>
          <w:lang w:val="zh-CN"/>
        </w:rPr>
        <w:t>最终报价</w:t>
      </w:r>
      <w:r>
        <w:rPr>
          <w:rFonts w:hint="eastAsia" w:ascii="宋体" w:hAnsi="宋体" w:cs="宋体"/>
          <w:sz w:val="24"/>
          <w:szCs w:val="24"/>
          <w:lang w:eastAsia="zh-CN"/>
        </w:rPr>
        <w:t>得分</w:t>
      </w:r>
      <w:r>
        <w:rPr>
          <w:rFonts w:hint="eastAsia" w:ascii="宋体" w:hAnsi="宋体" w:cs="宋体"/>
          <w:sz w:val="24"/>
          <w:szCs w:val="24"/>
        </w:rPr>
        <w:t>相同的，按商务</w:t>
      </w:r>
      <w:r>
        <w:rPr>
          <w:rFonts w:hint="eastAsia" w:ascii="宋体" w:hAnsi="宋体" w:cs="宋体"/>
          <w:sz w:val="24"/>
          <w:szCs w:val="24"/>
          <w:lang w:eastAsia="zh-CN"/>
        </w:rPr>
        <w:t>与</w:t>
      </w:r>
      <w:r>
        <w:rPr>
          <w:rFonts w:hint="eastAsia" w:ascii="宋体" w:hAnsi="宋体" w:cs="宋体"/>
          <w:sz w:val="24"/>
          <w:szCs w:val="24"/>
        </w:rPr>
        <w:t>技术得分由高到低排列。</w:t>
      </w:r>
      <w:r>
        <w:rPr>
          <w:rFonts w:hint="eastAsia" w:asciiTheme="minorEastAsia" w:hAnsiTheme="minorEastAsia" w:eastAsiaTheme="minorEastAsia"/>
          <w:szCs w:val="24"/>
        </w:rPr>
        <w:t>排名第一的</w:t>
      </w:r>
      <w:r>
        <w:rPr>
          <w:rFonts w:hint="eastAsia" w:asciiTheme="minorEastAsia" w:hAnsiTheme="minorEastAsia" w:eastAsiaTheme="minorEastAsia"/>
          <w:szCs w:val="24"/>
          <w:lang w:eastAsia="zh-CN"/>
        </w:rPr>
        <w:t>供应商</w:t>
      </w:r>
      <w:r>
        <w:rPr>
          <w:rFonts w:hint="eastAsia" w:asciiTheme="minorEastAsia" w:hAnsiTheme="minorEastAsia" w:eastAsiaTheme="minorEastAsia"/>
          <w:szCs w:val="24"/>
        </w:rPr>
        <w:t>为</w:t>
      </w:r>
      <w:r>
        <w:rPr>
          <w:rFonts w:hint="eastAsia" w:asciiTheme="minorEastAsia" w:hAnsiTheme="minorEastAsia" w:eastAsiaTheme="minorEastAsia"/>
          <w:szCs w:val="24"/>
          <w:lang w:eastAsia="zh-CN"/>
        </w:rPr>
        <w:t>成交</w:t>
      </w:r>
      <w:r>
        <w:rPr>
          <w:rFonts w:hint="eastAsia" w:asciiTheme="minorEastAsia" w:hAnsiTheme="minorEastAsia" w:eastAsiaTheme="minorEastAsia"/>
          <w:szCs w:val="24"/>
        </w:rPr>
        <w:t>候选人。</w:t>
      </w:r>
    </w:p>
    <w:p w14:paraId="0505139E">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b w:val="0"/>
          <w:bCs w:val="0"/>
          <w:color w:val="auto"/>
          <w:sz w:val="24"/>
          <w:highlight w:val="yellow"/>
          <w:lang w:val="en-US" w:eastAsia="zh-CN"/>
        </w:rPr>
      </w:pPr>
      <w:r>
        <w:rPr>
          <w:rFonts w:hint="eastAsia" w:ascii="宋体" w:hAnsi="宋体"/>
          <w:b w:val="0"/>
          <w:bCs w:val="0"/>
          <w:color w:val="auto"/>
          <w:sz w:val="24"/>
          <w:highlight w:val="none"/>
          <w:lang w:val="en-US" w:eastAsia="zh-CN"/>
        </w:rPr>
        <w:t>9、起草评审报告，所有磋商小组成员须在评审报告上签字确认。</w:t>
      </w:r>
    </w:p>
    <w:p w14:paraId="446AFC20">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（1）资格审查内容：</w:t>
      </w:r>
    </w:p>
    <w:p w14:paraId="3DF71F74">
      <w:pPr>
        <w:keepNext w:val="0"/>
        <w:keepLines w:val="0"/>
        <w:pageBreakBefore w:val="0"/>
        <w:widowControl/>
        <w:numPr>
          <w:ilvl w:val="0"/>
          <w:numId w:val="0"/>
        </w:numPr>
        <w:kinsoku/>
        <w:wordWrap/>
        <w:overflowPunct/>
        <w:topLinePunct w:val="0"/>
        <w:autoSpaceDE w:val="0"/>
        <w:autoSpaceDN w:val="0"/>
        <w:bidi w:val="0"/>
        <w:adjustRightInd/>
        <w:snapToGrid/>
        <w:spacing w:line="440" w:lineRule="exact"/>
        <w:textAlignment w:val="auto"/>
        <w:rPr>
          <w:rFonts w:hint="eastAsia" w:ascii="宋体" w:hAnsi="宋体"/>
          <w:color w:val="auto"/>
          <w:sz w:val="24"/>
          <w:highlight w:val="none"/>
        </w:rPr>
      </w:pPr>
      <w:r>
        <w:rPr>
          <w:rFonts w:hint="eastAsia" w:ascii="宋体" w:hAnsi="宋体"/>
          <w:color w:val="auto"/>
          <w:sz w:val="24"/>
          <w:highlight w:val="none"/>
        </w:rPr>
        <w:t>投标文件解密后，</w:t>
      </w:r>
      <w:r>
        <w:rPr>
          <w:rFonts w:hint="eastAsia" w:ascii="宋体" w:hAnsi="宋体"/>
          <w:color w:val="auto"/>
          <w:sz w:val="24"/>
          <w:highlight w:val="none"/>
          <w:lang w:eastAsia="zh-CN"/>
        </w:rPr>
        <w:t>首先</w:t>
      </w:r>
      <w:r>
        <w:rPr>
          <w:rFonts w:hint="eastAsia" w:ascii="宋体" w:hAnsi="宋体"/>
          <w:color w:val="auto"/>
          <w:sz w:val="24"/>
          <w:highlight w:val="none"/>
        </w:rPr>
        <w:t>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8"/>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08"/>
        <w:gridCol w:w="6412"/>
      </w:tblGrid>
      <w:tr w14:paraId="2076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trPr>
        <w:tc>
          <w:tcPr>
            <w:tcW w:w="578" w:type="dxa"/>
            <w:tcMar>
              <w:top w:w="113" w:type="dxa"/>
              <w:left w:w="170" w:type="dxa"/>
              <w:bottom w:w="0" w:type="dxa"/>
              <w:right w:w="0" w:type="dxa"/>
            </w:tcMar>
            <w:vAlign w:val="center"/>
          </w:tcPr>
          <w:p w14:paraId="3401A5F8">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1</w:t>
            </w:r>
          </w:p>
        </w:tc>
        <w:tc>
          <w:tcPr>
            <w:tcW w:w="2208" w:type="dxa"/>
            <w:tcMar>
              <w:top w:w="113" w:type="dxa"/>
              <w:left w:w="170" w:type="dxa"/>
              <w:bottom w:w="0" w:type="dxa"/>
              <w:right w:w="0" w:type="dxa"/>
            </w:tcMar>
            <w:vAlign w:val="center"/>
          </w:tcPr>
          <w:p w14:paraId="30643475">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参加采购活动前3年内，在经营活动中没有重大违法记录</w:t>
            </w:r>
            <w:r>
              <w:rPr>
                <w:rFonts w:hint="eastAsia" w:cs="宋体"/>
                <w:spacing w:val="0"/>
                <w:w w:val="100"/>
                <w:sz w:val="22"/>
                <w:szCs w:val="22"/>
                <w:lang w:val="en-US" w:eastAsia="zh-CN"/>
              </w:rPr>
              <w:t>、</w:t>
            </w:r>
            <w:r>
              <w:rPr>
                <w:rFonts w:hint="eastAsia" w:cs="宋体"/>
                <w:spacing w:val="0"/>
                <w:w w:val="100"/>
                <w:sz w:val="22"/>
                <w:szCs w:val="22"/>
                <w:lang w:eastAsia="zh-CN"/>
              </w:rPr>
              <w:t>没有税收缴纳、社会保障等方面的失信记录的承诺。</w:t>
            </w:r>
          </w:p>
        </w:tc>
        <w:tc>
          <w:tcPr>
            <w:tcW w:w="6412" w:type="dxa"/>
            <w:tcMar>
              <w:top w:w="113" w:type="dxa"/>
              <w:left w:w="170" w:type="dxa"/>
              <w:bottom w:w="0" w:type="dxa"/>
              <w:right w:w="0" w:type="dxa"/>
            </w:tcMar>
            <w:vAlign w:val="center"/>
          </w:tcPr>
          <w:p w14:paraId="694C18B6">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参照投标声明书</w:t>
            </w:r>
            <w:r>
              <w:rPr>
                <w:rFonts w:hint="eastAsia" w:cs="宋体"/>
                <w:b/>
                <w:bCs/>
                <w:spacing w:val="0"/>
                <w:w w:val="100"/>
                <w:sz w:val="22"/>
                <w:szCs w:val="22"/>
                <w:lang w:val="en-US" w:eastAsia="zh-CN"/>
              </w:rPr>
              <w:t>(格式见附件1)</w:t>
            </w:r>
            <w:r>
              <w:rPr>
                <w:rFonts w:hint="eastAsia" w:ascii="宋体" w:hAnsi="宋体" w:eastAsia="宋体" w:cs="宋体"/>
                <w:spacing w:val="0"/>
                <w:w w:val="100"/>
                <w:sz w:val="22"/>
                <w:szCs w:val="22"/>
              </w:rPr>
              <w:t>相关承诺内容。</w:t>
            </w:r>
          </w:p>
          <w:p w14:paraId="7EC80C90">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重大违法记录，是指投标人因违法经营受到刑事处罚或者责令停产停业、吊销许可证或者执照、较大数额罚款等行政处罚。（较大数额罚款</w:t>
            </w:r>
            <w:r>
              <w:rPr>
                <w:rFonts w:hint="eastAsia" w:cs="宋体"/>
                <w:spacing w:val="0"/>
                <w:w w:val="100"/>
                <w:sz w:val="22"/>
                <w:szCs w:val="22"/>
                <w:lang w:eastAsia="zh-CN"/>
              </w:rPr>
              <w:t>的认定按照财库</w:t>
            </w:r>
            <w:r>
              <w:rPr>
                <w:rFonts w:hint="eastAsia" w:cs="宋体"/>
                <w:spacing w:val="0"/>
                <w:w w:val="100"/>
                <w:sz w:val="22"/>
                <w:szCs w:val="22"/>
                <w:lang w:val="en-US" w:eastAsia="zh-CN"/>
              </w:rPr>
              <w:t>[2022]3号文件规定执行</w:t>
            </w:r>
            <w:r>
              <w:rPr>
                <w:rFonts w:hint="eastAsia" w:ascii="宋体" w:hAnsi="宋体" w:eastAsia="宋体" w:cs="宋体"/>
                <w:spacing w:val="0"/>
                <w:w w:val="100"/>
                <w:sz w:val="22"/>
                <w:szCs w:val="22"/>
              </w:rPr>
              <w:t>）（以联合体形式投标时，联合体各方均须满足该条款）</w:t>
            </w:r>
          </w:p>
        </w:tc>
      </w:tr>
      <w:tr w14:paraId="6E78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8" w:type="dxa"/>
            <w:tcMar>
              <w:top w:w="113" w:type="dxa"/>
              <w:left w:w="170" w:type="dxa"/>
              <w:bottom w:w="0" w:type="dxa"/>
              <w:right w:w="0" w:type="dxa"/>
            </w:tcMar>
            <w:vAlign w:val="center"/>
          </w:tcPr>
          <w:p w14:paraId="3DD9DB1F">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eastAsia="宋体"/>
                <w:sz w:val="22"/>
                <w:szCs w:val="22"/>
                <w:lang w:val="en-US" w:eastAsia="zh-CN"/>
              </w:rPr>
            </w:pPr>
            <w:r>
              <w:rPr>
                <w:rFonts w:hint="eastAsia"/>
                <w:sz w:val="22"/>
                <w:szCs w:val="22"/>
                <w:lang w:val="en-US" w:eastAsia="zh-CN"/>
              </w:rPr>
              <w:t>2</w:t>
            </w:r>
          </w:p>
        </w:tc>
        <w:tc>
          <w:tcPr>
            <w:tcW w:w="2208" w:type="dxa"/>
            <w:tcMar>
              <w:top w:w="113" w:type="dxa"/>
              <w:left w:w="170" w:type="dxa"/>
              <w:bottom w:w="0" w:type="dxa"/>
              <w:right w:w="0" w:type="dxa"/>
            </w:tcMar>
            <w:vAlign w:val="center"/>
          </w:tcPr>
          <w:p w14:paraId="2CF73FB1">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kern w:val="2"/>
                <w:sz w:val="22"/>
                <w:szCs w:val="22"/>
                <w:lang w:val="en-US" w:eastAsia="zh-CN" w:bidi="ar-SA"/>
              </w:rPr>
            </w:pPr>
            <w:r>
              <w:rPr>
                <w:rFonts w:hint="eastAsia"/>
                <w:sz w:val="22"/>
                <w:szCs w:val="22"/>
              </w:rPr>
              <w:t>法定代表人授权委托书</w:t>
            </w:r>
          </w:p>
        </w:tc>
        <w:tc>
          <w:tcPr>
            <w:tcW w:w="6412" w:type="dxa"/>
            <w:tcMar>
              <w:top w:w="113" w:type="dxa"/>
              <w:left w:w="170" w:type="dxa"/>
              <w:bottom w:w="0" w:type="dxa"/>
              <w:right w:w="0" w:type="dxa"/>
            </w:tcMar>
            <w:vAlign w:val="center"/>
          </w:tcPr>
          <w:p w14:paraId="1E73C4CD">
            <w:pPr>
              <w:pStyle w:val="97"/>
              <w:keepNext w:val="0"/>
              <w:keepLines w:val="0"/>
              <w:pageBreakBefore w:val="0"/>
              <w:widowControl w:val="0"/>
              <w:kinsoku/>
              <w:wordWrap/>
              <w:overflowPunct/>
              <w:topLinePunct w:val="0"/>
              <w:autoSpaceDE/>
              <w:autoSpaceDN/>
              <w:bidi w:val="0"/>
              <w:adjustRightInd/>
              <w:snapToGrid/>
              <w:spacing w:before="48" w:line="300" w:lineRule="atLeast"/>
              <w:textAlignment w:val="auto"/>
              <w:rPr>
                <w:rFonts w:hint="eastAsia" w:ascii="宋体" w:hAnsi="宋体" w:eastAsia="宋体" w:cs="宋体"/>
                <w:kern w:val="2"/>
                <w:sz w:val="22"/>
                <w:szCs w:val="22"/>
                <w:lang w:val="en-US" w:eastAsia="zh-CN" w:bidi="ar-SA"/>
              </w:rPr>
            </w:pPr>
            <w:r>
              <w:rPr>
                <w:rFonts w:hint="eastAsia"/>
                <w:sz w:val="22"/>
                <w:szCs w:val="22"/>
              </w:rPr>
              <w:t>法定代表人授权委托书，按对应格式文件签署、盖章。</w:t>
            </w:r>
            <w:r>
              <w:rPr>
                <w:rFonts w:hint="eastAsia"/>
                <w:b/>
                <w:bCs/>
                <w:sz w:val="22"/>
                <w:szCs w:val="22"/>
                <w:lang w:eastAsia="zh-CN"/>
              </w:rPr>
              <w:t>（格式见附件</w:t>
            </w:r>
            <w:r>
              <w:rPr>
                <w:rFonts w:hint="eastAsia"/>
                <w:b/>
                <w:bCs/>
                <w:sz w:val="22"/>
                <w:szCs w:val="22"/>
                <w:lang w:val="en-US" w:eastAsia="zh-CN"/>
              </w:rPr>
              <w:t>2</w:t>
            </w:r>
            <w:r>
              <w:rPr>
                <w:rFonts w:hint="eastAsia"/>
                <w:b/>
                <w:bCs/>
                <w:sz w:val="22"/>
                <w:szCs w:val="22"/>
                <w:lang w:eastAsia="zh-CN"/>
              </w:rPr>
              <w:t>）</w:t>
            </w:r>
          </w:p>
        </w:tc>
      </w:tr>
      <w:tr w14:paraId="5BFF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578" w:type="dxa"/>
            <w:tcMar>
              <w:top w:w="113" w:type="dxa"/>
              <w:left w:w="170" w:type="dxa"/>
              <w:bottom w:w="0" w:type="dxa"/>
              <w:right w:w="0" w:type="dxa"/>
            </w:tcMar>
            <w:vAlign w:val="center"/>
          </w:tcPr>
          <w:p w14:paraId="77C4906F">
            <w:pPr>
              <w:pStyle w:val="97"/>
              <w:keepNext w:val="0"/>
              <w:keepLines w:val="0"/>
              <w:pageBreakBefore w:val="0"/>
              <w:kinsoku/>
              <w:wordWrap/>
              <w:overflowPunct/>
              <w:topLinePunct w:val="0"/>
              <w:autoSpaceDE/>
              <w:autoSpaceDN/>
              <w:bidi w:val="0"/>
              <w:spacing w:before="1"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3</w:t>
            </w:r>
          </w:p>
        </w:tc>
        <w:tc>
          <w:tcPr>
            <w:tcW w:w="2208" w:type="dxa"/>
            <w:tcMar>
              <w:top w:w="113" w:type="dxa"/>
              <w:left w:w="170" w:type="dxa"/>
              <w:bottom w:w="0" w:type="dxa"/>
              <w:right w:w="0" w:type="dxa"/>
            </w:tcMar>
            <w:vAlign w:val="center"/>
          </w:tcPr>
          <w:p w14:paraId="79D8CB4D">
            <w:pPr>
              <w:pStyle w:val="97"/>
              <w:keepNext w:val="0"/>
              <w:keepLines w:val="0"/>
              <w:pageBreakBefore w:val="0"/>
              <w:widowControl w:val="0"/>
              <w:kinsoku/>
              <w:wordWrap/>
              <w:overflowPunct/>
              <w:topLinePunct w:val="0"/>
              <w:autoSpaceDE/>
              <w:autoSpaceDN/>
              <w:bidi w:val="0"/>
              <w:adjustRightInd/>
              <w:snapToGrid/>
              <w:spacing w:before="1"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具有独立承担民事责任的能力</w:t>
            </w:r>
          </w:p>
        </w:tc>
        <w:tc>
          <w:tcPr>
            <w:tcW w:w="6412" w:type="dxa"/>
            <w:tcMar>
              <w:top w:w="113" w:type="dxa"/>
              <w:left w:w="170" w:type="dxa"/>
              <w:bottom w:w="0" w:type="dxa"/>
              <w:right w:w="0" w:type="dxa"/>
            </w:tcMar>
            <w:vAlign w:val="center"/>
          </w:tcPr>
          <w:p w14:paraId="11034445">
            <w:pPr>
              <w:pStyle w:val="97"/>
              <w:keepNext w:val="0"/>
              <w:keepLines w:val="0"/>
              <w:pageBreakBefore w:val="0"/>
              <w:widowControl w:val="0"/>
              <w:kinsoku/>
              <w:wordWrap/>
              <w:overflowPunct/>
              <w:topLinePunct w:val="0"/>
              <w:autoSpaceDE/>
              <w:autoSpaceDN/>
              <w:bidi w:val="0"/>
              <w:adjustRightInd/>
              <w:snapToGrid/>
              <w:spacing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在中华人民共和国境内注册的法人或其他组织或自然人，</w:t>
            </w:r>
            <w:r>
              <w:rPr>
                <w:rFonts w:hint="eastAsia" w:ascii="宋体" w:hAnsi="宋体" w:eastAsia="宋体" w:cs="宋体"/>
                <w:b/>
                <w:bCs/>
                <w:spacing w:val="0"/>
                <w:w w:val="100"/>
                <w:sz w:val="22"/>
                <w:szCs w:val="22"/>
              </w:rPr>
              <w:t>投标时提交有效的营业执照（或事业法人登记证或身份证等相关证明）扫描件</w:t>
            </w:r>
            <w:r>
              <w:rPr>
                <w:rFonts w:hint="eastAsia" w:ascii="宋体" w:hAnsi="宋体" w:eastAsia="宋体" w:cs="宋体"/>
                <w:spacing w:val="0"/>
                <w:w w:val="100"/>
                <w:sz w:val="22"/>
                <w:szCs w:val="22"/>
              </w:rPr>
              <w:t>。（以联合体形式投标时，联合体各方均须满足该条款）</w:t>
            </w:r>
          </w:p>
        </w:tc>
      </w:tr>
      <w:tr w14:paraId="29A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578" w:type="dxa"/>
            <w:tcMar>
              <w:top w:w="113" w:type="dxa"/>
              <w:left w:w="170" w:type="dxa"/>
              <w:bottom w:w="0" w:type="dxa"/>
              <w:right w:w="0" w:type="dxa"/>
            </w:tcMar>
            <w:vAlign w:val="center"/>
          </w:tcPr>
          <w:p w14:paraId="2AC16B43">
            <w:pPr>
              <w:pStyle w:val="97"/>
              <w:keepNext w:val="0"/>
              <w:keepLines w:val="0"/>
              <w:pageBreakBefore w:val="0"/>
              <w:kinsoku/>
              <w:wordWrap/>
              <w:overflowPunct/>
              <w:topLinePunct w:val="0"/>
              <w:autoSpaceDE/>
              <w:autoSpaceDN/>
              <w:bidi w:val="0"/>
              <w:spacing w:before="1"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4</w:t>
            </w:r>
          </w:p>
        </w:tc>
        <w:tc>
          <w:tcPr>
            <w:tcW w:w="2208" w:type="dxa"/>
            <w:tcMar>
              <w:top w:w="113" w:type="dxa"/>
              <w:left w:w="170" w:type="dxa"/>
              <w:bottom w:w="0" w:type="dxa"/>
              <w:right w:w="0" w:type="dxa"/>
            </w:tcMar>
            <w:vAlign w:val="center"/>
          </w:tcPr>
          <w:p w14:paraId="1C4386E9">
            <w:pPr>
              <w:pStyle w:val="97"/>
              <w:keepNext w:val="0"/>
              <w:keepLines w:val="0"/>
              <w:pageBreakBefore w:val="0"/>
              <w:widowControl w:val="0"/>
              <w:kinsoku/>
              <w:wordWrap/>
              <w:overflowPunct/>
              <w:topLinePunct w:val="0"/>
              <w:autoSpaceDE/>
              <w:autoSpaceDN/>
              <w:bidi w:val="0"/>
              <w:adjustRightInd/>
              <w:snapToGrid/>
              <w:spacing w:before="1"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履行合同所</w:t>
            </w:r>
            <w:r>
              <w:rPr>
                <w:rFonts w:hint="eastAsia" w:ascii="宋体" w:hAnsi="宋体" w:eastAsia="宋体" w:cs="宋体"/>
                <w:spacing w:val="0"/>
                <w:w w:val="100"/>
                <w:sz w:val="22"/>
                <w:szCs w:val="22"/>
                <w:highlight w:val="none"/>
              </w:rPr>
              <w:t>必需的设备和专业</w:t>
            </w:r>
            <w:r>
              <w:rPr>
                <w:rFonts w:hint="eastAsia" w:cs="宋体"/>
                <w:spacing w:val="0"/>
                <w:w w:val="100"/>
                <w:sz w:val="22"/>
                <w:szCs w:val="22"/>
                <w:highlight w:val="none"/>
                <w:lang w:eastAsia="zh-CN"/>
              </w:rPr>
              <w:t>服务（</w:t>
            </w:r>
            <w:r>
              <w:rPr>
                <w:rFonts w:hint="eastAsia" w:ascii="宋体" w:hAnsi="宋体" w:eastAsia="宋体" w:cs="宋体"/>
                <w:spacing w:val="0"/>
                <w:w w:val="100"/>
                <w:sz w:val="22"/>
                <w:szCs w:val="22"/>
                <w:highlight w:val="none"/>
              </w:rPr>
              <w:t>技术</w:t>
            </w:r>
            <w:r>
              <w:rPr>
                <w:rFonts w:hint="eastAsia" w:cs="宋体"/>
                <w:spacing w:val="0"/>
                <w:w w:val="100"/>
                <w:sz w:val="22"/>
                <w:szCs w:val="22"/>
                <w:highlight w:val="none"/>
                <w:lang w:eastAsia="zh-CN"/>
              </w:rPr>
              <w:t>）</w:t>
            </w:r>
            <w:r>
              <w:rPr>
                <w:rFonts w:hint="eastAsia" w:ascii="宋体" w:hAnsi="宋体" w:eastAsia="宋体" w:cs="宋体"/>
                <w:spacing w:val="0"/>
                <w:w w:val="100"/>
                <w:sz w:val="22"/>
                <w:szCs w:val="22"/>
                <w:highlight w:val="none"/>
              </w:rPr>
              <w:t>能</w:t>
            </w:r>
            <w:r>
              <w:rPr>
                <w:rFonts w:hint="eastAsia" w:ascii="宋体" w:hAnsi="宋体" w:eastAsia="宋体" w:cs="宋体"/>
                <w:spacing w:val="0"/>
                <w:w w:val="100"/>
                <w:sz w:val="22"/>
                <w:szCs w:val="22"/>
              </w:rPr>
              <w:t>力</w:t>
            </w:r>
          </w:p>
        </w:tc>
        <w:tc>
          <w:tcPr>
            <w:tcW w:w="6412" w:type="dxa"/>
            <w:tcMar>
              <w:top w:w="113" w:type="dxa"/>
              <w:left w:w="170" w:type="dxa"/>
              <w:bottom w:w="0" w:type="dxa"/>
              <w:right w:w="0" w:type="dxa"/>
            </w:tcMar>
            <w:vAlign w:val="center"/>
          </w:tcPr>
          <w:p w14:paraId="52DB1FF9">
            <w:pPr>
              <w:pStyle w:val="97"/>
              <w:keepNext w:val="0"/>
              <w:keepLines w:val="0"/>
              <w:pageBreakBefore w:val="0"/>
              <w:widowControl w:val="0"/>
              <w:kinsoku/>
              <w:wordWrap/>
              <w:overflowPunct/>
              <w:topLinePunct w:val="0"/>
              <w:autoSpaceDE/>
              <w:autoSpaceDN/>
              <w:bidi w:val="0"/>
              <w:adjustRightInd/>
              <w:snapToGrid/>
              <w:spacing w:before="1" w:line="300" w:lineRule="atLeast"/>
              <w:textAlignment w:val="auto"/>
              <w:rPr>
                <w:rFonts w:hint="eastAsia" w:ascii="宋体" w:hAnsi="宋体" w:eastAsia="宋体" w:cs="宋体"/>
                <w:spacing w:val="0"/>
                <w:w w:val="100"/>
                <w:kern w:val="2"/>
                <w:sz w:val="22"/>
                <w:szCs w:val="22"/>
                <w:lang w:val="en-US" w:eastAsia="zh-CN" w:bidi="ar-SA"/>
              </w:rPr>
            </w:pPr>
            <w:r>
              <w:rPr>
                <w:rFonts w:hint="eastAsia" w:cs="宋体"/>
                <w:spacing w:val="0"/>
                <w:w w:val="100"/>
                <w:sz w:val="22"/>
                <w:szCs w:val="22"/>
                <w:lang w:eastAsia="zh-CN"/>
              </w:rPr>
              <w:t>签署具备履行合同所必需的设备和专业服务（技术）能力的承诺函</w:t>
            </w:r>
            <w:r>
              <w:rPr>
                <w:rFonts w:hint="eastAsia" w:cs="宋体"/>
                <w:b/>
                <w:bCs/>
                <w:spacing w:val="0"/>
                <w:w w:val="100"/>
                <w:sz w:val="22"/>
                <w:szCs w:val="22"/>
                <w:lang w:eastAsia="zh-CN"/>
              </w:rPr>
              <w:t>（格式见附件</w:t>
            </w:r>
            <w:r>
              <w:rPr>
                <w:rFonts w:hint="eastAsia" w:cs="宋体"/>
                <w:b/>
                <w:bCs/>
                <w:spacing w:val="0"/>
                <w:w w:val="100"/>
                <w:sz w:val="22"/>
                <w:szCs w:val="22"/>
                <w:lang w:val="en-US" w:eastAsia="zh-CN"/>
              </w:rPr>
              <w:t>3</w:t>
            </w:r>
            <w:r>
              <w:rPr>
                <w:rFonts w:hint="eastAsia" w:cs="宋体"/>
                <w:b/>
                <w:bCs/>
                <w:spacing w:val="0"/>
                <w:w w:val="100"/>
                <w:sz w:val="22"/>
                <w:szCs w:val="22"/>
                <w:lang w:eastAsia="zh-CN"/>
              </w:rPr>
              <w:t>）</w:t>
            </w:r>
          </w:p>
        </w:tc>
      </w:tr>
      <w:tr w14:paraId="4EFF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atLeast"/>
        </w:trPr>
        <w:tc>
          <w:tcPr>
            <w:tcW w:w="578" w:type="dxa"/>
            <w:shd w:val="clear" w:color="auto" w:fill="auto"/>
            <w:tcMar>
              <w:top w:w="113" w:type="dxa"/>
              <w:left w:w="170" w:type="dxa"/>
              <w:bottom w:w="0" w:type="dxa"/>
              <w:right w:w="0" w:type="dxa"/>
            </w:tcMar>
            <w:vAlign w:val="center"/>
          </w:tcPr>
          <w:p w14:paraId="33B9199B">
            <w:pPr>
              <w:pStyle w:val="97"/>
              <w:keepNext w:val="0"/>
              <w:keepLines w:val="0"/>
              <w:pageBreakBefore w:val="0"/>
              <w:kinsoku/>
              <w:wordWrap/>
              <w:overflowPunct/>
              <w:topLinePunct w:val="0"/>
              <w:autoSpaceDE/>
              <w:autoSpaceDN/>
              <w:bidi w:val="0"/>
              <w:spacing w:line="300" w:lineRule="atLeast"/>
              <w:ind w:left="64" w:leftChars="0"/>
              <w:jc w:val="both"/>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5</w:t>
            </w:r>
          </w:p>
        </w:tc>
        <w:tc>
          <w:tcPr>
            <w:tcW w:w="2208" w:type="dxa"/>
            <w:shd w:val="clear" w:color="auto" w:fill="auto"/>
            <w:tcMar>
              <w:top w:w="113" w:type="dxa"/>
              <w:left w:w="170" w:type="dxa"/>
              <w:bottom w:w="0" w:type="dxa"/>
              <w:right w:w="0" w:type="dxa"/>
            </w:tcMar>
            <w:vAlign w:val="center"/>
          </w:tcPr>
          <w:p w14:paraId="14C70F46">
            <w:pPr>
              <w:pStyle w:val="97"/>
              <w:keepNext w:val="0"/>
              <w:keepLines w:val="0"/>
              <w:pageBreakBefore w:val="0"/>
              <w:widowControl w:val="0"/>
              <w:kinsoku/>
              <w:wordWrap/>
              <w:overflowPunct/>
              <w:topLinePunct w:val="0"/>
              <w:autoSpaceDE/>
              <w:autoSpaceDN/>
              <w:bidi w:val="0"/>
              <w:adjustRightInd/>
              <w:snapToGrid/>
              <w:spacing w:line="300" w:lineRule="atLeast"/>
              <w:ind w:left="64" w:lef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信用记录</w:t>
            </w:r>
          </w:p>
        </w:tc>
        <w:tc>
          <w:tcPr>
            <w:tcW w:w="6412" w:type="dxa"/>
            <w:shd w:val="clear" w:color="auto" w:fill="auto"/>
            <w:tcMar>
              <w:top w:w="113" w:type="dxa"/>
              <w:left w:w="170" w:type="dxa"/>
              <w:bottom w:w="0" w:type="dxa"/>
              <w:right w:w="0" w:type="dxa"/>
            </w:tcMar>
            <w:vAlign w:val="center"/>
          </w:tcPr>
          <w:p w14:paraId="6F571DDD">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1.截止时点：</w:t>
            </w:r>
            <w:r>
              <w:rPr>
                <w:rFonts w:hint="eastAsia" w:ascii="宋体" w:hAnsi="宋体" w:eastAsia="宋体" w:cs="宋体"/>
                <w:spacing w:val="0"/>
                <w:w w:val="100"/>
                <w:sz w:val="22"/>
                <w:szCs w:val="22"/>
                <w:lang w:eastAsia="zh-CN"/>
              </w:rPr>
              <w:t>开标后评标前</w:t>
            </w:r>
            <w:r>
              <w:rPr>
                <w:rFonts w:hint="eastAsia" w:ascii="宋体" w:hAnsi="宋体" w:eastAsia="宋体" w:cs="宋体"/>
                <w:spacing w:val="0"/>
                <w:w w:val="100"/>
                <w:sz w:val="22"/>
                <w:szCs w:val="22"/>
              </w:rPr>
              <w:t>。</w:t>
            </w:r>
          </w:p>
          <w:p w14:paraId="656B7024">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2.信用信息查询记录和证据留存的具体方式：由</w:t>
            </w:r>
            <w:r>
              <w:rPr>
                <w:rFonts w:hint="eastAsia" w:ascii="宋体" w:hAnsi="宋体" w:eastAsia="宋体" w:cs="宋体"/>
                <w:b/>
                <w:bCs/>
                <w:spacing w:val="0"/>
                <w:w w:val="100"/>
                <w:sz w:val="22"/>
                <w:szCs w:val="22"/>
              </w:rPr>
              <w:t>采购组织机构</w:t>
            </w:r>
            <w:r>
              <w:rPr>
                <w:rFonts w:hint="eastAsia" w:ascii="宋体" w:hAnsi="宋体" w:eastAsia="宋体" w:cs="宋体"/>
                <w:spacing w:val="0"/>
                <w:w w:val="100"/>
                <w:sz w:val="22"/>
                <w:szCs w:val="22"/>
              </w:rPr>
              <w:t>在规定查询时间内打印信用信息查询记录并归入项目档案。</w:t>
            </w:r>
            <w:r>
              <w:rPr>
                <w:rFonts w:hint="eastAsia" w:ascii="宋体" w:hAnsi="宋体" w:eastAsia="宋体" w:cs="宋体"/>
                <w:spacing w:val="0"/>
                <w:w w:val="100"/>
                <w:sz w:val="22"/>
                <w:szCs w:val="22"/>
              </w:rPr>
              <w:br w:type="textWrapping"/>
            </w:r>
            <w:r>
              <w:rPr>
                <w:rFonts w:hint="eastAsia" w:ascii="宋体" w:hAnsi="宋体" w:eastAsia="宋体" w:cs="宋体"/>
                <w:spacing w:val="0"/>
                <w:w w:val="100"/>
                <w:sz w:val="22"/>
                <w:szCs w:val="22"/>
              </w:rPr>
              <w:t>3.使用规则：投标人未被列入“信用中国”失信被执行人或重大税收违法案件当事人名单；未</w:t>
            </w:r>
            <w:r>
              <w:rPr>
                <w:rFonts w:hint="eastAsia" w:cs="宋体"/>
                <w:spacing w:val="0"/>
                <w:w w:val="100"/>
                <w:sz w:val="22"/>
                <w:szCs w:val="22"/>
                <w:lang w:val="en-US" w:eastAsia="zh-CN"/>
              </w:rPr>
              <w:t>9</w:t>
            </w:r>
            <w:r>
              <w:rPr>
                <w:rFonts w:hint="eastAsia" w:ascii="宋体" w:hAnsi="宋体" w:eastAsia="宋体" w:cs="宋体"/>
                <w:spacing w:val="0"/>
                <w:w w:val="100"/>
                <w:sz w:val="22"/>
                <w:szCs w:val="22"/>
              </w:rPr>
              <w:t>处于“中国政府采购网”政府采购严重违法失信行为信息记录中的禁止参加政府采购活动期间。</w:t>
            </w:r>
          </w:p>
          <w:p w14:paraId="21FEA0F3">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（以联合体形式投标时，联合体各方均须满足该条款）</w:t>
            </w:r>
          </w:p>
        </w:tc>
      </w:tr>
      <w:tr w14:paraId="2E9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578" w:type="dxa"/>
            <w:tcMar>
              <w:top w:w="113" w:type="dxa"/>
              <w:left w:w="170" w:type="dxa"/>
              <w:bottom w:w="0" w:type="dxa"/>
              <w:right w:w="0" w:type="dxa"/>
            </w:tcMar>
            <w:vAlign w:val="center"/>
          </w:tcPr>
          <w:p w14:paraId="568BF01B">
            <w:pPr>
              <w:pStyle w:val="97"/>
              <w:keepNext w:val="0"/>
              <w:keepLines w:val="0"/>
              <w:pageBreakBefore w:val="0"/>
              <w:kinsoku/>
              <w:wordWrap/>
              <w:overflowPunct/>
              <w:topLinePunct w:val="0"/>
              <w:autoSpaceDE/>
              <w:autoSpaceDN/>
              <w:bidi w:val="0"/>
              <w:spacing w:before="48" w:line="300" w:lineRule="atLeast"/>
              <w:ind w:left="64" w:leftChars="0"/>
              <w:jc w:val="both"/>
              <w:textAlignment w:val="auto"/>
              <w:rPr>
                <w:rFonts w:hint="default" w:ascii="宋体" w:hAnsi="宋体" w:eastAsia="宋体" w:cs="宋体"/>
                <w:spacing w:val="0"/>
                <w:w w:val="100"/>
                <w:sz w:val="22"/>
                <w:szCs w:val="22"/>
                <w:lang w:val="en-US" w:eastAsia="zh-CN"/>
              </w:rPr>
            </w:pPr>
            <w:r>
              <w:rPr>
                <w:rFonts w:hint="eastAsia" w:cs="宋体"/>
                <w:spacing w:val="0"/>
                <w:w w:val="100"/>
                <w:sz w:val="22"/>
                <w:szCs w:val="22"/>
                <w:lang w:val="en-US" w:eastAsia="zh-CN"/>
              </w:rPr>
              <w:t>6</w:t>
            </w:r>
          </w:p>
        </w:tc>
        <w:tc>
          <w:tcPr>
            <w:tcW w:w="2208" w:type="dxa"/>
            <w:tcMar>
              <w:top w:w="113" w:type="dxa"/>
              <w:left w:w="170" w:type="dxa"/>
              <w:bottom w:w="0" w:type="dxa"/>
              <w:right w:w="0" w:type="dxa"/>
            </w:tcMar>
            <w:vAlign w:val="center"/>
          </w:tcPr>
          <w:p w14:paraId="4EF8EE31">
            <w:pPr>
              <w:pStyle w:val="97"/>
              <w:keepNext w:val="0"/>
              <w:keepLines w:val="0"/>
              <w:pageBreakBefore w:val="0"/>
              <w:widowControl w:val="0"/>
              <w:kinsoku/>
              <w:wordWrap/>
              <w:overflowPunct/>
              <w:topLinePunct w:val="0"/>
              <w:autoSpaceDE/>
              <w:autoSpaceDN/>
              <w:bidi w:val="0"/>
              <w:adjustRightInd/>
              <w:snapToGrid/>
              <w:spacing w:before="48" w:line="300" w:lineRule="atLeast"/>
              <w:ind w:left="64" w:lef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联合体投标</w:t>
            </w:r>
          </w:p>
        </w:tc>
        <w:tc>
          <w:tcPr>
            <w:tcW w:w="6412" w:type="dxa"/>
            <w:tcMar>
              <w:top w:w="113" w:type="dxa"/>
              <w:left w:w="170" w:type="dxa"/>
              <w:bottom w:w="0" w:type="dxa"/>
              <w:right w:w="0" w:type="dxa"/>
            </w:tcMar>
            <w:vAlign w:val="center"/>
          </w:tcPr>
          <w:p w14:paraId="34FD5889">
            <w:pPr>
              <w:pStyle w:val="97"/>
              <w:keepNext w:val="0"/>
              <w:keepLines w:val="0"/>
              <w:pageBreakBefore w:val="0"/>
              <w:widowControl w:val="0"/>
              <w:kinsoku/>
              <w:wordWrap/>
              <w:overflowPunct/>
              <w:topLinePunct w:val="0"/>
              <w:autoSpaceDE/>
              <w:autoSpaceDN/>
              <w:bidi w:val="0"/>
              <w:adjustRightInd/>
              <w:snapToGrid/>
              <w:spacing w:before="48" w:line="300" w:lineRule="atLeast"/>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kern w:val="2"/>
                <w:sz w:val="22"/>
                <w:szCs w:val="22"/>
                <w:lang w:val="en-US" w:eastAsia="zh-CN" w:bidi="ar-SA"/>
              </w:rPr>
              <w:t>本项目不接受联合体投标</w:t>
            </w:r>
          </w:p>
        </w:tc>
      </w:tr>
      <w:tr w14:paraId="5B63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1" w:hRule="atLeast"/>
        </w:trPr>
        <w:tc>
          <w:tcPr>
            <w:tcW w:w="578" w:type="dxa"/>
            <w:shd w:val="clear" w:color="auto" w:fill="auto"/>
            <w:tcMar>
              <w:top w:w="113" w:type="dxa"/>
              <w:left w:w="170" w:type="dxa"/>
              <w:bottom w:w="0" w:type="dxa"/>
              <w:right w:w="0" w:type="dxa"/>
            </w:tcMar>
            <w:vAlign w:val="center"/>
          </w:tcPr>
          <w:p w14:paraId="50746511">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eastAsia" w:ascii="宋体" w:hAnsi="宋体" w:eastAsia="宋体" w:cs="宋体"/>
                <w:spacing w:val="0"/>
                <w:w w:val="100"/>
                <w:sz w:val="22"/>
                <w:szCs w:val="22"/>
                <w:lang w:val="en-US" w:eastAsia="zh-CN"/>
              </w:rPr>
            </w:pPr>
            <w:r>
              <w:rPr>
                <w:rFonts w:hint="eastAsia" w:cs="宋体"/>
                <w:spacing w:val="0"/>
                <w:w w:val="100"/>
                <w:sz w:val="22"/>
                <w:szCs w:val="22"/>
                <w:lang w:val="en-US" w:eastAsia="zh-CN"/>
              </w:rPr>
              <w:t>7</w:t>
            </w:r>
          </w:p>
        </w:tc>
        <w:tc>
          <w:tcPr>
            <w:tcW w:w="2208" w:type="dxa"/>
            <w:shd w:val="clear" w:color="auto" w:fill="auto"/>
            <w:tcMar>
              <w:top w:w="113" w:type="dxa"/>
              <w:left w:w="170" w:type="dxa"/>
              <w:bottom w:w="0" w:type="dxa"/>
              <w:right w:w="0" w:type="dxa"/>
            </w:tcMar>
            <w:vAlign w:val="center"/>
          </w:tcPr>
          <w:p w14:paraId="0AA9ED87">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必须符合法律、行政法规规定的其他条件</w:t>
            </w:r>
          </w:p>
        </w:tc>
        <w:tc>
          <w:tcPr>
            <w:tcW w:w="6412" w:type="dxa"/>
            <w:shd w:val="clear" w:color="auto" w:fill="auto"/>
            <w:tcMar>
              <w:top w:w="113" w:type="dxa"/>
              <w:left w:w="170" w:type="dxa"/>
              <w:bottom w:w="0" w:type="dxa"/>
              <w:right w:w="0" w:type="dxa"/>
            </w:tcMar>
            <w:vAlign w:val="center"/>
          </w:tcPr>
          <w:p w14:paraId="0928D717">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1.单位负责人为同一人或者存在直接控股、管理关系的不同供应商，不得同时参加本项目投标。</w:t>
            </w:r>
          </w:p>
          <w:p w14:paraId="6D417838">
            <w:pPr>
              <w:pStyle w:val="97"/>
              <w:keepNext w:val="0"/>
              <w:keepLines w:val="0"/>
              <w:pageBreakBefore w:val="0"/>
              <w:widowControl w:val="0"/>
              <w:kinsoku/>
              <w:wordWrap/>
              <w:overflowPunct/>
              <w:topLinePunct w:val="0"/>
              <w:autoSpaceDE/>
              <w:autoSpaceDN/>
              <w:bidi w:val="0"/>
              <w:adjustRightInd/>
              <w:snapToGrid/>
              <w:spacing w:before="48" w:line="300" w:lineRule="atLeast"/>
              <w:ind w:right="63"/>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2.为本项目提供整体设计、规范编制或者项目管理、监理、检测等服务的供应商，不得再参与本项目投标。</w:t>
            </w:r>
          </w:p>
          <w:p w14:paraId="558DF655">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sz w:val="22"/>
                <w:szCs w:val="22"/>
              </w:rPr>
            </w:pPr>
            <w:r>
              <w:rPr>
                <w:rFonts w:hint="eastAsia" w:ascii="宋体" w:hAnsi="宋体" w:eastAsia="宋体" w:cs="宋体"/>
                <w:spacing w:val="0"/>
                <w:w w:val="100"/>
                <w:sz w:val="22"/>
                <w:szCs w:val="22"/>
              </w:rPr>
              <w:t>3.投标（报价）</w:t>
            </w:r>
            <w:r>
              <w:rPr>
                <w:rFonts w:hint="eastAsia" w:ascii="宋体" w:hAnsi="宋体" w:eastAsia="宋体" w:cs="宋体"/>
                <w:spacing w:val="0"/>
                <w:w w:val="100"/>
                <w:sz w:val="22"/>
                <w:szCs w:val="22"/>
                <w:lang w:eastAsia="zh-CN"/>
              </w:rPr>
              <w:t>文件</w:t>
            </w:r>
            <w:r>
              <w:rPr>
                <w:rFonts w:hint="eastAsia" w:ascii="宋体" w:hAnsi="宋体" w:eastAsia="宋体" w:cs="宋体"/>
                <w:spacing w:val="0"/>
                <w:w w:val="100"/>
                <w:sz w:val="22"/>
                <w:szCs w:val="22"/>
              </w:rPr>
              <w:t>相关承诺要求内容。</w:t>
            </w:r>
          </w:p>
          <w:p w14:paraId="1B4769AF">
            <w:pPr>
              <w:pStyle w:val="97"/>
              <w:keepNext w:val="0"/>
              <w:keepLines w:val="0"/>
              <w:pageBreakBefore w:val="0"/>
              <w:widowControl w:val="0"/>
              <w:kinsoku/>
              <w:wordWrap/>
              <w:overflowPunct/>
              <w:topLinePunct w:val="0"/>
              <w:autoSpaceDE/>
              <w:autoSpaceDN/>
              <w:bidi w:val="0"/>
              <w:adjustRightInd/>
              <w:snapToGrid/>
              <w:spacing w:before="48" w:line="300" w:lineRule="atLeast"/>
              <w:ind w:right="63"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rPr>
              <w:t>（以联合体形式投标时，联合体各方均须满足该条款）</w:t>
            </w:r>
          </w:p>
        </w:tc>
      </w:tr>
      <w:tr w14:paraId="217A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578" w:type="dxa"/>
            <w:tcMar>
              <w:top w:w="113" w:type="dxa"/>
              <w:left w:w="170" w:type="dxa"/>
              <w:bottom w:w="0" w:type="dxa"/>
              <w:right w:w="0" w:type="dxa"/>
            </w:tcMar>
            <w:vAlign w:val="center"/>
          </w:tcPr>
          <w:p w14:paraId="32730385">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default" w:ascii="宋体" w:hAnsi="宋体" w:eastAsia="宋体" w:cs="宋体"/>
                <w:spacing w:val="0"/>
                <w:w w:val="100"/>
                <w:sz w:val="22"/>
                <w:szCs w:val="22"/>
                <w:lang w:val="en-US" w:eastAsia="zh-CN"/>
              </w:rPr>
            </w:pPr>
            <w:r>
              <w:rPr>
                <w:rFonts w:hint="eastAsia" w:cs="宋体"/>
                <w:spacing w:val="0"/>
                <w:w w:val="100"/>
                <w:sz w:val="22"/>
                <w:szCs w:val="22"/>
                <w:lang w:val="en-US" w:eastAsia="zh-CN"/>
              </w:rPr>
              <w:t>8</w:t>
            </w:r>
          </w:p>
        </w:tc>
        <w:tc>
          <w:tcPr>
            <w:tcW w:w="2208" w:type="dxa"/>
            <w:tcMar>
              <w:top w:w="113" w:type="dxa"/>
              <w:left w:w="170" w:type="dxa"/>
              <w:bottom w:w="0" w:type="dxa"/>
              <w:right w:w="0" w:type="dxa"/>
            </w:tcMar>
            <w:vAlign w:val="center"/>
          </w:tcPr>
          <w:p w14:paraId="01A6BD5B">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kern w:val="2"/>
                <w:sz w:val="22"/>
                <w:szCs w:val="22"/>
                <w:lang w:val="en-US" w:eastAsia="zh-CN" w:bidi="ar-SA"/>
              </w:rPr>
            </w:pPr>
            <w:r>
              <w:rPr>
                <w:rFonts w:hint="eastAsia" w:ascii="宋体" w:hAnsi="宋体" w:eastAsia="宋体" w:cs="宋体"/>
                <w:spacing w:val="0"/>
                <w:w w:val="100"/>
                <w:sz w:val="22"/>
                <w:szCs w:val="22"/>
                <w:highlight w:val="none"/>
              </w:rPr>
              <w:t>落实政府采购政策需满足的资格要求</w:t>
            </w:r>
            <w:r>
              <w:rPr>
                <w:rFonts w:hint="eastAsia" w:ascii="宋体" w:hAnsi="宋体" w:eastAsia="宋体" w:cs="宋体"/>
                <w:spacing w:val="0"/>
                <w:w w:val="100"/>
                <w:sz w:val="22"/>
                <w:szCs w:val="22"/>
                <w:highlight w:val="none"/>
                <w:lang w:eastAsia="zh-CN"/>
              </w:rPr>
              <w:t>（</w:t>
            </w:r>
            <w:r>
              <w:rPr>
                <w:rFonts w:hint="eastAsia" w:cs="宋体"/>
                <w:spacing w:val="0"/>
                <w:w w:val="100"/>
                <w:sz w:val="22"/>
                <w:szCs w:val="22"/>
                <w:highlight w:val="none"/>
                <w:lang w:eastAsia="zh-CN"/>
              </w:rPr>
              <w:t>中小企业投标）</w:t>
            </w:r>
          </w:p>
        </w:tc>
        <w:tc>
          <w:tcPr>
            <w:tcW w:w="6412" w:type="dxa"/>
            <w:tcMar>
              <w:top w:w="113" w:type="dxa"/>
              <w:left w:w="170" w:type="dxa"/>
              <w:bottom w:w="0" w:type="dxa"/>
              <w:right w:w="0" w:type="dxa"/>
            </w:tcMar>
            <w:vAlign w:val="center"/>
          </w:tcPr>
          <w:p w14:paraId="3ADE754C">
            <w:pPr>
              <w:pStyle w:val="97"/>
              <w:keepNext w:val="0"/>
              <w:keepLines w:val="0"/>
              <w:pageBreakBefore w:val="0"/>
              <w:widowControl w:val="0"/>
              <w:kinsoku/>
              <w:wordWrap/>
              <w:overflowPunct/>
              <w:topLinePunct w:val="0"/>
              <w:autoSpaceDE/>
              <w:autoSpaceDN/>
              <w:bidi w:val="0"/>
              <w:adjustRightInd/>
              <w:snapToGrid/>
              <w:spacing w:before="1" w:line="300" w:lineRule="atLeast"/>
              <w:jc w:val="both"/>
              <w:textAlignment w:val="auto"/>
              <w:rPr>
                <w:rFonts w:hint="eastAsia" w:ascii="宋体" w:hAnsi="宋体" w:eastAsia="宋体" w:cs="宋体"/>
                <w:spacing w:val="0"/>
                <w:w w:val="100"/>
                <w:kern w:val="2"/>
                <w:sz w:val="22"/>
                <w:szCs w:val="22"/>
                <w:lang w:val="en-US" w:eastAsia="zh-CN" w:bidi="ar-SA"/>
              </w:rPr>
            </w:pPr>
            <w:r>
              <w:rPr>
                <w:rFonts w:hint="eastAsia" w:cs="宋体"/>
                <w:spacing w:val="0"/>
                <w:w w:val="100"/>
                <w:kern w:val="2"/>
                <w:sz w:val="22"/>
                <w:szCs w:val="22"/>
                <w:lang w:val="en-US" w:eastAsia="zh-CN" w:bidi="ar-SA"/>
              </w:rPr>
              <w:t>否</w:t>
            </w:r>
          </w:p>
        </w:tc>
      </w:tr>
      <w:tr w14:paraId="2193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578" w:type="dxa"/>
            <w:tcMar>
              <w:top w:w="113" w:type="dxa"/>
              <w:left w:w="170" w:type="dxa"/>
              <w:bottom w:w="0" w:type="dxa"/>
              <w:right w:w="0" w:type="dxa"/>
            </w:tcMar>
            <w:vAlign w:val="center"/>
          </w:tcPr>
          <w:p w14:paraId="09355543">
            <w:pPr>
              <w:pStyle w:val="97"/>
              <w:keepNext w:val="0"/>
              <w:keepLines w:val="0"/>
              <w:pageBreakBefore w:val="0"/>
              <w:kinsoku/>
              <w:wordWrap/>
              <w:overflowPunct/>
              <w:topLinePunct w:val="0"/>
              <w:autoSpaceDE/>
              <w:autoSpaceDN/>
              <w:bidi w:val="0"/>
              <w:spacing w:line="300" w:lineRule="atLeast"/>
              <w:ind w:right="146" w:rightChars="0"/>
              <w:jc w:val="center"/>
              <w:textAlignment w:val="auto"/>
              <w:rPr>
                <w:rFonts w:hint="default" w:cs="宋体"/>
                <w:spacing w:val="0"/>
                <w:w w:val="100"/>
                <w:sz w:val="22"/>
                <w:szCs w:val="22"/>
                <w:lang w:val="en-US" w:eastAsia="zh-CN"/>
              </w:rPr>
            </w:pPr>
            <w:r>
              <w:rPr>
                <w:rFonts w:hint="eastAsia" w:cs="宋体"/>
                <w:spacing w:val="0"/>
                <w:w w:val="100"/>
                <w:sz w:val="22"/>
                <w:szCs w:val="22"/>
                <w:lang w:val="en-US" w:eastAsia="zh-CN"/>
              </w:rPr>
              <w:t>9</w:t>
            </w:r>
          </w:p>
        </w:tc>
        <w:tc>
          <w:tcPr>
            <w:tcW w:w="2208" w:type="dxa"/>
            <w:tcMar>
              <w:top w:w="113" w:type="dxa"/>
              <w:left w:w="170" w:type="dxa"/>
              <w:bottom w:w="0" w:type="dxa"/>
              <w:right w:w="0" w:type="dxa"/>
            </w:tcMar>
            <w:vAlign w:val="center"/>
          </w:tcPr>
          <w:p w14:paraId="6AE74FA1">
            <w:pPr>
              <w:pStyle w:val="97"/>
              <w:keepNext w:val="0"/>
              <w:keepLines w:val="0"/>
              <w:pageBreakBefore w:val="0"/>
              <w:widowControl w:val="0"/>
              <w:kinsoku/>
              <w:wordWrap/>
              <w:overflowPunct/>
              <w:topLinePunct w:val="0"/>
              <w:autoSpaceDE/>
              <w:autoSpaceDN/>
              <w:bidi w:val="0"/>
              <w:adjustRightInd/>
              <w:snapToGrid/>
              <w:spacing w:line="300" w:lineRule="atLeast"/>
              <w:ind w:right="146" w:rightChars="0"/>
              <w:textAlignment w:val="auto"/>
              <w:rPr>
                <w:rFonts w:hint="eastAsia" w:ascii="宋体" w:hAnsi="宋体" w:eastAsia="宋体" w:cs="宋体"/>
                <w:spacing w:val="0"/>
                <w:w w:val="100"/>
                <w:sz w:val="22"/>
                <w:szCs w:val="22"/>
                <w:highlight w:val="none"/>
              </w:rPr>
            </w:pPr>
            <w:r>
              <w:rPr>
                <w:rFonts w:hint="eastAsia" w:ascii="Arial" w:hAnsi="宋体" w:cs="Arial"/>
                <w:color w:val="auto"/>
                <w:sz w:val="22"/>
                <w:szCs w:val="18"/>
                <w:highlight w:val="none"/>
              </w:rPr>
              <w:t>投标供应商特定资格条件</w:t>
            </w:r>
          </w:p>
        </w:tc>
        <w:tc>
          <w:tcPr>
            <w:tcW w:w="6412" w:type="dxa"/>
            <w:tcMar>
              <w:top w:w="113" w:type="dxa"/>
              <w:left w:w="170" w:type="dxa"/>
              <w:bottom w:w="0" w:type="dxa"/>
              <w:right w:w="0" w:type="dxa"/>
            </w:tcMar>
            <w:vAlign w:val="center"/>
          </w:tcPr>
          <w:p w14:paraId="3EB61228">
            <w:pPr>
              <w:keepNext w:val="0"/>
              <w:keepLines w:val="0"/>
              <w:pageBreakBefore w:val="0"/>
              <w:kinsoku/>
              <w:wordWrap/>
              <w:overflowPunct/>
              <w:topLinePunct w:val="0"/>
              <w:autoSpaceDE/>
              <w:autoSpaceDN/>
              <w:bidi w:val="0"/>
              <w:adjustRightInd w:val="0"/>
              <w:snapToGrid w:val="0"/>
              <w:spacing w:line="300" w:lineRule="atLeast"/>
              <w:textAlignment w:val="auto"/>
              <w:rPr>
                <w:rFonts w:hint="eastAsia" w:ascii="宋体" w:hAnsi="宋体" w:eastAsia="宋体" w:cs="Times New Roman"/>
                <w:b/>
                <w:bCs/>
                <w:color w:val="auto"/>
                <w:kern w:val="2"/>
                <w:sz w:val="22"/>
                <w:szCs w:val="21"/>
                <w:highlight w:val="none"/>
                <w:lang w:val="en-US" w:eastAsia="zh-CN" w:bidi="ar-SA"/>
              </w:rPr>
            </w:pPr>
            <w:r>
              <w:rPr>
                <w:rFonts w:hint="eastAsia" w:ascii="宋体" w:hAnsi="宋体" w:cs="Times New Roman"/>
                <w:b/>
                <w:bCs/>
                <w:color w:val="auto"/>
                <w:kern w:val="2"/>
                <w:sz w:val="22"/>
                <w:szCs w:val="21"/>
                <w:highlight w:val="none"/>
                <w:lang w:val="en-US" w:eastAsia="zh-CN" w:bidi="ar-SA"/>
              </w:rPr>
              <w:t>无</w:t>
            </w:r>
          </w:p>
        </w:tc>
      </w:tr>
    </w:tbl>
    <w:p w14:paraId="74048E2A">
      <w:pPr>
        <w:pStyle w:val="2"/>
        <w:keepNext w:val="0"/>
        <w:keepLines w:val="0"/>
        <w:pageBreakBefore w:val="0"/>
        <w:widowControl/>
        <w:kinsoku/>
        <w:wordWrap/>
        <w:overflowPunct/>
        <w:topLinePunct w:val="0"/>
        <w:bidi w:val="0"/>
        <w:spacing w:line="440" w:lineRule="exact"/>
        <w:textAlignment w:val="auto"/>
        <w:rPr>
          <w:rFonts w:hint="eastAsia" w:eastAsia="宋体"/>
          <w:lang w:val="en-US" w:eastAsia="zh-CN"/>
        </w:rPr>
      </w:pPr>
      <w:r>
        <w:rPr>
          <w:rFonts w:hint="eastAsia" w:hAnsi="宋体"/>
          <w:b/>
          <w:bCs/>
          <w:color w:val="auto"/>
          <w:sz w:val="24"/>
          <w:highlight w:val="none"/>
          <w:lang w:val="en-US" w:eastAsia="zh-CN"/>
        </w:rPr>
        <w:t>（2）</w:t>
      </w:r>
      <w:r>
        <w:rPr>
          <w:rFonts w:hint="eastAsia" w:ascii="宋体" w:hAnsi="宋体"/>
          <w:b/>
          <w:bCs/>
          <w:color w:val="auto"/>
          <w:sz w:val="24"/>
          <w:highlight w:val="none"/>
          <w:lang w:val="en-US" w:eastAsia="zh-CN"/>
        </w:rPr>
        <w:t>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6745"/>
      </w:tblGrid>
      <w:tr w14:paraId="0E06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274" w:type="dxa"/>
            <w:tcMar>
              <w:top w:w="113" w:type="dxa"/>
              <w:left w:w="170" w:type="dxa"/>
              <w:bottom w:w="0" w:type="dxa"/>
              <w:right w:w="0" w:type="dxa"/>
            </w:tcMar>
            <w:vAlign w:val="center"/>
          </w:tcPr>
          <w:p w14:paraId="39872D6D">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投标文件</w:t>
            </w:r>
          </w:p>
        </w:tc>
        <w:tc>
          <w:tcPr>
            <w:tcW w:w="6745" w:type="dxa"/>
            <w:tcMar>
              <w:top w:w="113" w:type="dxa"/>
              <w:left w:w="170" w:type="dxa"/>
              <w:bottom w:w="0" w:type="dxa"/>
              <w:right w:w="0" w:type="dxa"/>
            </w:tcMar>
            <w:vAlign w:val="center"/>
          </w:tcPr>
          <w:p w14:paraId="6A89C817">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投标文件完整且编排有序，投标内容基本完整，无重大错漏，并按要求签署、盖章。</w:t>
            </w:r>
          </w:p>
        </w:tc>
      </w:tr>
      <w:tr w14:paraId="1F61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274" w:type="dxa"/>
            <w:tcMar>
              <w:top w:w="113" w:type="dxa"/>
              <w:left w:w="170" w:type="dxa"/>
              <w:bottom w:w="0" w:type="dxa"/>
              <w:right w:w="0" w:type="dxa"/>
            </w:tcMar>
            <w:vAlign w:val="center"/>
          </w:tcPr>
          <w:p w14:paraId="6D14D39B">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“▲”实质性条款</w:t>
            </w:r>
          </w:p>
        </w:tc>
        <w:tc>
          <w:tcPr>
            <w:tcW w:w="6745" w:type="dxa"/>
            <w:tcMar>
              <w:top w:w="113" w:type="dxa"/>
              <w:left w:w="170" w:type="dxa"/>
              <w:bottom w:w="0" w:type="dxa"/>
              <w:right w:w="0" w:type="dxa"/>
            </w:tcMar>
            <w:vAlign w:val="center"/>
          </w:tcPr>
          <w:p w14:paraId="415016E0">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“▲”实质性条款必须满足招标文件要求。</w:t>
            </w:r>
          </w:p>
        </w:tc>
      </w:tr>
      <w:tr w14:paraId="647D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274" w:type="dxa"/>
            <w:shd w:val="clear" w:color="auto" w:fill="auto"/>
            <w:tcMar>
              <w:top w:w="113" w:type="dxa"/>
              <w:left w:w="170" w:type="dxa"/>
              <w:bottom w:w="0" w:type="dxa"/>
              <w:right w:w="0" w:type="dxa"/>
            </w:tcMar>
            <w:vAlign w:val="center"/>
          </w:tcPr>
          <w:p w14:paraId="7DE6FD48">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串通投标</w:t>
            </w:r>
          </w:p>
        </w:tc>
        <w:tc>
          <w:tcPr>
            <w:tcW w:w="6745" w:type="dxa"/>
            <w:shd w:val="clear" w:color="auto" w:fill="auto"/>
            <w:tcMar>
              <w:top w:w="113" w:type="dxa"/>
              <w:left w:w="170" w:type="dxa"/>
              <w:bottom w:w="0" w:type="dxa"/>
              <w:right w:w="0" w:type="dxa"/>
            </w:tcMar>
            <w:vAlign w:val="center"/>
          </w:tcPr>
          <w:p w14:paraId="53E28A77">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未出现财政部87号令《政府采购货物和服务招标投标管理办法》第三十七条规定的串通投标情形。</w:t>
            </w:r>
          </w:p>
        </w:tc>
      </w:tr>
      <w:tr w14:paraId="0ACF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274" w:type="dxa"/>
            <w:tcMar>
              <w:top w:w="113" w:type="dxa"/>
              <w:left w:w="170" w:type="dxa"/>
              <w:bottom w:w="0" w:type="dxa"/>
              <w:right w:w="0" w:type="dxa"/>
            </w:tcMar>
            <w:vAlign w:val="center"/>
          </w:tcPr>
          <w:p w14:paraId="59FDDD7C">
            <w:pPr>
              <w:pStyle w:val="97"/>
              <w:keepNext w:val="0"/>
              <w:keepLines w:val="0"/>
              <w:pageBreakBefore w:val="0"/>
              <w:widowControl/>
              <w:kinsoku/>
              <w:wordWrap/>
              <w:overflowPunct/>
              <w:topLinePunct w:val="0"/>
              <w:autoSpaceDE/>
              <w:autoSpaceDN/>
              <w:bidi w:val="0"/>
              <w:adjustRightInd/>
              <w:snapToGrid/>
              <w:spacing w:line="300" w:lineRule="exact"/>
              <w:ind w:right="146"/>
              <w:textAlignment w:val="auto"/>
              <w:rPr>
                <w:sz w:val="22"/>
                <w:szCs w:val="22"/>
              </w:rPr>
            </w:pPr>
            <w:r>
              <w:rPr>
                <w:rFonts w:hint="eastAsia"/>
                <w:sz w:val="22"/>
                <w:szCs w:val="22"/>
              </w:rPr>
              <w:t>附加条件</w:t>
            </w:r>
          </w:p>
        </w:tc>
        <w:tc>
          <w:tcPr>
            <w:tcW w:w="6745" w:type="dxa"/>
            <w:tcMar>
              <w:top w:w="113" w:type="dxa"/>
              <w:left w:w="170" w:type="dxa"/>
              <w:bottom w:w="0" w:type="dxa"/>
              <w:right w:w="0" w:type="dxa"/>
            </w:tcMar>
            <w:vAlign w:val="center"/>
          </w:tcPr>
          <w:p w14:paraId="5A089B10">
            <w:pPr>
              <w:pStyle w:val="97"/>
              <w:keepNext w:val="0"/>
              <w:keepLines w:val="0"/>
              <w:pageBreakBefore w:val="0"/>
              <w:widowControl/>
              <w:kinsoku/>
              <w:wordWrap/>
              <w:overflowPunct/>
              <w:topLinePunct w:val="0"/>
              <w:autoSpaceDE/>
              <w:autoSpaceDN/>
              <w:bidi w:val="0"/>
              <w:adjustRightInd/>
              <w:snapToGrid/>
              <w:spacing w:before="48" w:line="300" w:lineRule="exact"/>
              <w:textAlignment w:val="auto"/>
              <w:rPr>
                <w:sz w:val="22"/>
                <w:szCs w:val="22"/>
              </w:rPr>
            </w:pPr>
            <w:r>
              <w:rPr>
                <w:rFonts w:hint="eastAsia"/>
                <w:sz w:val="22"/>
                <w:szCs w:val="22"/>
              </w:rPr>
              <w:t>投标文件未含有采购人不可接受的附加条件。</w:t>
            </w:r>
          </w:p>
        </w:tc>
      </w:tr>
    </w:tbl>
    <w:p w14:paraId="4019E0E8">
      <w:pPr>
        <w:keepNext w:val="0"/>
        <w:keepLines w:val="0"/>
        <w:pageBreakBefore w:val="0"/>
        <w:widowControl/>
        <w:kinsoku/>
        <w:wordWrap/>
        <w:overflowPunct/>
        <w:topLinePunct w:val="0"/>
        <w:autoSpaceDE w:val="0"/>
        <w:autoSpaceDN w:val="0"/>
        <w:bidi w:val="0"/>
        <w:spacing w:line="440" w:lineRule="exact"/>
        <w:ind w:firstLine="241" w:firstLineChars="100"/>
        <w:textAlignment w:val="auto"/>
        <w:rPr>
          <w:rFonts w:ascii="宋体" w:hAnsi="宋体"/>
          <w:b/>
          <w:bCs/>
          <w:color w:val="auto"/>
          <w:sz w:val="24"/>
          <w:szCs w:val="22"/>
          <w:highlight w:val="none"/>
        </w:rPr>
      </w:pPr>
      <w:bookmarkStart w:id="44" w:name="_Toc25565"/>
      <w:bookmarkStart w:id="45" w:name="_Toc19935"/>
      <w:r>
        <w:rPr>
          <w:rFonts w:hint="eastAsia" w:ascii="宋体" w:hAnsi="宋体"/>
          <w:b/>
          <w:bCs/>
          <w:color w:val="auto"/>
          <w:sz w:val="24"/>
          <w:szCs w:val="22"/>
          <w:highlight w:val="none"/>
          <w:lang w:eastAsia="zh-CN"/>
        </w:rPr>
        <w:t>四</w:t>
      </w:r>
      <w:r>
        <w:rPr>
          <w:rFonts w:hint="eastAsia" w:ascii="宋体" w:hAnsi="宋体"/>
          <w:b/>
          <w:bCs/>
          <w:color w:val="auto"/>
          <w:sz w:val="24"/>
          <w:szCs w:val="22"/>
          <w:highlight w:val="none"/>
        </w:rPr>
        <w:t>、评</w:t>
      </w:r>
      <w:r>
        <w:rPr>
          <w:rFonts w:hint="eastAsia" w:ascii="宋体" w:hAnsi="宋体"/>
          <w:b/>
          <w:bCs/>
          <w:color w:val="auto"/>
          <w:sz w:val="24"/>
          <w:szCs w:val="22"/>
          <w:highlight w:val="none"/>
          <w:lang w:eastAsia="zh-CN"/>
        </w:rPr>
        <w:t>审</w:t>
      </w:r>
      <w:r>
        <w:rPr>
          <w:rFonts w:hint="eastAsia" w:ascii="宋体" w:hAnsi="宋体"/>
          <w:b/>
          <w:bCs/>
          <w:color w:val="auto"/>
          <w:sz w:val="24"/>
          <w:szCs w:val="22"/>
          <w:highlight w:val="none"/>
        </w:rPr>
        <w:t>细则</w:t>
      </w:r>
      <w:bookmarkEnd w:id="44"/>
      <w:bookmarkEnd w:id="45"/>
    </w:p>
    <w:p w14:paraId="2301E0CB">
      <w:pPr>
        <w:keepNext w:val="0"/>
        <w:keepLines w:val="0"/>
        <w:pageBreakBefore w:val="0"/>
        <w:widowControl/>
        <w:kinsoku/>
        <w:wordWrap/>
        <w:overflowPunct/>
        <w:topLinePunct w:val="0"/>
        <w:autoSpaceDE w:val="0"/>
        <w:autoSpaceDN w:val="0"/>
        <w:bidi w:val="0"/>
        <w:spacing w:line="440" w:lineRule="exact"/>
        <w:ind w:firstLine="480" w:firstLineChars="200"/>
        <w:textAlignment w:val="auto"/>
        <w:rPr>
          <w:rFonts w:hint="eastAsia" w:ascii="宋体"/>
          <w:bCs/>
          <w:color w:val="auto"/>
          <w:sz w:val="24"/>
          <w:highlight w:val="none"/>
        </w:rPr>
      </w:pPr>
      <w:bookmarkStart w:id="46" w:name="_Toc31280"/>
      <w:r>
        <w:rPr>
          <w:rFonts w:hint="eastAsia" w:ascii="宋体" w:hAnsi="宋体" w:eastAsia="宋体"/>
          <w:color w:val="auto"/>
          <w:sz w:val="24"/>
          <w:highlight w:val="none"/>
        </w:rPr>
        <w:t>本次</w:t>
      </w:r>
      <w:r>
        <w:rPr>
          <w:rFonts w:hint="eastAsia" w:ascii="宋体" w:hAnsi="宋体"/>
          <w:color w:val="auto"/>
          <w:sz w:val="24"/>
          <w:highlight w:val="none"/>
          <w:lang w:eastAsia="zh-CN"/>
        </w:rPr>
        <w:t>采购</w:t>
      </w:r>
      <w:r>
        <w:rPr>
          <w:rFonts w:hint="eastAsia" w:ascii="宋体" w:hAnsi="宋体" w:eastAsia="宋体"/>
          <w:color w:val="auto"/>
          <w:sz w:val="24"/>
          <w:highlight w:val="none"/>
        </w:rPr>
        <w:t>项目的评标方法为综合评分法，总计100分。评标标准按以下内容及分值进行评审。</w:t>
      </w:r>
      <w:bookmarkEnd w:id="46"/>
    </w:p>
    <w:tbl>
      <w:tblPr>
        <w:tblStyle w:val="3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3"/>
        <w:gridCol w:w="4276"/>
      </w:tblGrid>
      <w:tr w14:paraId="659A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583" w:type="dxa"/>
            <w:tcBorders>
              <w:tl2br w:val="single" w:color="auto" w:sz="4" w:space="0"/>
            </w:tcBorders>
            <w:noWrap w:val="0"/>
            <w:vAlign w:val="top"/>
          </w:tcPr>
          <w:p w14:paraId="73934EE6">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标项</w:t>
            </w:r>
          </w:p>
          <w:p w14:paraId="1731B7C5">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类别</w:t>
            </w:r>
          </w:p>
        </w:tc>
        <w:tc>
          <w:tcPr>
            <w:tcW w:w="4276" w:type="dxa"/>
            <w:noWrap w:val="0"/>
            <w:vAlign w:val="bottom"/>
          </w:tcPr>
          <w:p w14:paraId="01440F4F">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eastAsia" w:ascii="宋体" w:hAnsi="宋体" w:eastAsia="宋体" w:cs="Arial"/>
                <w:sz w:val="24"/>
                <w:lang w:val="en-US" w:eastAsia="zh-CN"/>
              </w:rPr>
            </w:pPr>
            <w:r>
              <w:rPr>
                <w:rFonts w:hint="eastAsia" w:ascii="宋体" w:hAnsi="宋体" w:cs="Arial"/>
                <w:sz w:val="24"/>
              </w:rPr>
              <w:t>一</w:t>
            </w:r>
          </w:p>
        </w:tc>
      </w:tr>
      <w:tr w14:paraId="603A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83" w:type="dxa"/>
            <w:noWrap w:val="0"/>
            <w:vAlign w:val="center"/>
          </w:tcPr>
          <w:p w14:paraId="1764818C">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hAnsi="宋体"/>
                <w:bCs/>
                <w:color w:val="auto"/>
                <w:sz w:val="24"/>
                <w:szCs w:val="24"/>
                <w:highlight w:val="none"/>
                <w:lang w:val="zh-CN"/>
              </w:rPr>
              <w:t>商务与技术</w:t>
            </w:r>
            <w:r>
              <w:rPr>
                <w:rFonts w:hint="eastAsia" w:ascii="宋体" w:hAnsi="宋体" w:cs="Arial"/>
                <w:sz w:val="24"/>
              </w:rPr>
              <w:t>部分</w:t>
            </w:r>
          </w:p>
        </w:tc>
        <w:tc>
          <w:tcPr>
            <w:tcW w:w="4276" w:type="dxa"/>
            <w:noWrap w:val="0"/>
            <w:vAlign w:val="center"/>
          </w:tcPr>
          <w:p w14:paraId="0AAC377B">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90分</w:t>
            </w:r>
          </w:p>
        </w:tc>
      </w:tr>
      <w:tr w14:paraId="4C7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583" w:type="dxa"/>
            <w:noWrap w:val="0"/>
            <w:vAlign w:val="center"/>
          </w:tcPr>
          <w:p w14:paraId="536BF1A4">
            <w:pPr>
              <w:keepNext w:val="0"/>
              <w:keepLines w:val="0"/>
              <w:pageBreakBefore w:val="0"/>
              <w:widowControl/>
              <w:kinsoku/>
              <w:wordWrap/>
              <w:overflowPunct/>
              <w:topLinePunct w:val="0"/>
              <w:autoSpaceDE w:val="0"/>
              <w:autoSpaceDN w:val="0"/>
              <w:bidi w:val="0"/>
              <w:adjustRightInd w:val="0"/>
              <w:spacing w:line="440" w:lineRule="exact"/>
              <w:textAlignment w:val="auto"/>
              <w:rPr>
                <w:rFonts w:ascii="宋体" w:hAnsi="宋体" w:cs="Arial"/>
                <w:sz w:val="24"/>
              </w:rPr>
            </w:pPr>
            <w:r>
              <w:rPr>
                <w:rFonts w:hint="eastAsia" w:ascii="宋体" w:hAnsi="宋体" w:cs="Arial"/>
                <w:sz w:val="24"/>
              </w:rPr>
              <w:t>价格部分</w:t>
            </w:r>
          </w:p>
        </w:tc>
        <w:tc>
          <w:tcPr>
            <w:tcW w:w="4276" w:type="dxa"/>
            <w:noWrap w:val="0"/>
            <w:vAlign w:val="center"/>
          </w:tcPr>
          <w:p w14:paraId="60A10B35">
            <w:pPr>
              <w:keepNext w:val="0"/>
              <w:keepLines w:val="0"/>
              <w:pageBreakBefore w:val="0"/>
              <w:widowControl/>
              <w:kinsoku/>
              <w:wordWrap/>
              <w:overflowPunct/>
              <w:topLinePunct w:val="0"/>
              <w:autoSpaceDE w:val="0"/>
              <w:autoSpaceDN w:val="0"/>
              <w:bidi w:val="0"/>
              <w:adjustRightInd w:val="0"/>
              <w:spacing w:line="440" w:lineRule="exact"/>
              <w:jc w:val="center"/>
              <w:textAlignment w:val="auto"/>
              <w:rPr>
                <w:rFonts w:hint="default" w:ascii="宋体" w:hAnsi="宋体" w:eastAsia="宋体" w:cs="Arial"/>
                <w:kern w:val="2"/>
                <w:sz w:val="24"/>
                <w:szCs w:val="24"/>
                <w:highlight w:val="none"/>
                <w:lang w:val="en-US" w:eastAsia="zh-CN"/>
              </w:rPr>
            </w:pPr>
            <w:r>
              <w:rPr>
                <w:rFonts w:hint="eastAsia" w:ascii="宋体" w:hAnsi="宋体" w:cs="Arial"/>
                <w:kern w:val="2"/>
                <w:sz w:val="24"/>
                <w:szCs w:val="24"/>
                <w:highlight w:val="none"/>
                <w:lang w:val="en-US" w:eastAsia="zh-CN"/>
              </w:rPr>
              <w:t>10分</w:t>
            </w:r>
          </w:p>
        </w:tc>
      </w:tr>
    </w:tbl>
    <w:p w14:paraId="616E8443">
      <w:pPr>
        <w:keepNext w:val="0"/>
        <w:keepLines w:val="0"/>
        <w:pageBreakBefore w:val="0"/>
        <w:widowControl/>
        <w:kinsoku/>
        <w:wordWrap/>
        <w:overflowPunct/>
        <w:topLinePunct w:val="0"/>
        <w:autoSpaceDE w:val="0"/>
        <w:autoSpaceDN w:val="0"/>
        <w:bidi w:val="0"/>
        <w:snapToGrid/>
        <w:spacing w:line="440" w:lineRule="exact"/>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得分按照磋商小组成员</w:t>
      </w:r>
      <w:r>
        <w:rPr>
          <w:rFonts w:hint="eastAsia" w:ascii="宋体"/>
          <w:bCs/>
          <w:color w:val="auto"/>
          <w:sz w:val="24"/>
          <w:highlight w:val="none"/>
          <w:lang w:val="zh-CN"/>
        </w:rPr>
        <w:t>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26884DD9">
      <w:pPr>
        <w:keepNext w:val="0"/>
        <w:keepLines w:val="0"/>
        <w:pageBreakBefore w:val="0"/>
        <w:widowControl/>
        <w:kinsoku/>
        <w:wordWrap/>
        <w:overflowPunct/>
        <w:topLinePunct w:val="0"/>
        <w:autoSpaceDE w:val="0"/>
        <w:autoSpaceDN w:val="0"/>
        <w:bidi w:val="0"/>
        <w:adjustRightInd w:val="0"/>
        <w:snapToGrid/>
        <w:spacing w:line="440" w:lineRule="exact"/>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=磋商小组所有成员评分合计数/磋商小组组成人员数。</w:t>
      </w:r>
    </w:p>
    <w:p w14:paraId="3C906E7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最终报价得分采用低价优先法计算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，即满足磋商文件要求且最终报价最低的投标报价为评标基准价，其报价得满分。其他投标人的投标报价得分按下列公式计算：</w:t>
      </w:r>
      <w:r>
        <w:rPr>
          <w:rFonts w:hint="eastAsia" w:ascii="宋体"/>
          <w:color w:val="auto"/>
          <w:sz w:val="24"/>
          <w:highlight w:val="none"/>
        </w:rPr>
        <w:t xml:space="preserve">  </w:t>
      </w:r>
      <w:r>
        <w:rPr>
          <w:rFonts w:hint="eastAsia"/>
          <w:color w:val="auto"/>
          <w:sz w:val="24"/>
          <w:highlight w:val="none"/>
          <w:u w:val="single"/>
          <w:lang w:eastAsia="zh-CN"/>
        </w:rPr>
        <w:t>最终</w:t>
      </w:r>
      <w:r>
        <w:rPr>
          <w:rFonts w:hint="eastAsia"/>
          <w:color w:val="auto"/>
          <w:sz w:val="24"/>
          <w:highlight w:val="none"/>
          <w:u w:val="single"/>
        </w:rPr>
        <w:t>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0</w:t>
      </w:r>
      <w:r>
        <w:rPr>
          <w:rFonts w:hint="eastAsia" w:ascii="Dotum" w:hAnsi="Dotum" w:eastAsia="Dotum"/>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14:paraId="6338E670">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bCs/>
          <w:color w:val="auto"/>
          <w:sz w:val="24"/>
          <w:szCs w:val="24"/>
          <w:highlight w:val="none"/>
          <w:lang w:val="zh-CN"/>
        </w:rPr>
        <w:t>商务技术文件</w:t>
      </w:r>
      <w:r>
        <w:rPr>
          <w:rFonts w:hint="eastAsia" w:ascii="宋体" w:hAnsi="宋体"/>
          <w:color w:val="auto"/>
          <w:sz w:val="24"/>
          <w:highlight w:val="none"/>
        </w:rPr>
        <w:t>得分＋</w:t>
      </w:r>
      <w:r>
        <w:rPr>
          <w:rFonts w:hint="eastAsia" w:ascii="宋体" w:hAnsi="宋体"/>
          <w:color w:val="auto"/>
          <w:sz w:val="24"/>
          <w:highlight w:val="none"/>
          <w:lang w:eastAsia="zh-CN"/>
        </w:rPr>
        <w:t>最终</w:t>
      </w:r>
      <w:r>
        <w:rPr>
          <w:rFonts w:hint="eastAsia" w:ascii="宋体" w:hAnsi="宋体"/>
          <w:color w:val="auto"/>
          <w:sz w:val="24"/>
          <w:highlight w:val="none"/>
        </w:rPr>
        <w:t>报价得分。</w:t>
      </w:r>
    </w:p>
    <w:p w14:paraId="03EAB574">
      <w:pPr>
        <w:keepNext w:val="0"/>
        <w:keepLines w:val="0"/>
        <w:pageBreakBefore w:val="0"/>
        <w:widowControl/>
        <w:kinsoku/>
        <w:wordWrap/>
        <w:overflowPunct/>
        <w:topLinePunct w:val="0"/>
        <w:autoSpaceDE w:val="0"/>
        <w:autoSpaceDN w:val="0"/>
        <w:bidi w:val="0"/>
        <w:adjustRightInd w:val="0"/>
        <w:snapToGrid/>
        <w:spacing w:line="440" w:lineRule="exact"/>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2465CD26">
      <w:pPr>
        <w:keepNext w:val="0"/>
        <w:keepLines w:val="0"/>
        <w:pageBreakBefore w:val="0"/>
        <w:widowControl/>
        <w:kinsoku/>
        <w:wordWrap/>
        <w:overflowPunct/>
        <w:topLinePunct w:val="0"/>
        <w:autoSpaceDE w:val="0"/>
        <w:autoSpaceDN w:val="0"/>
        <w:bidi w:val="0"/>
        <w:adjustRightInd w:val="0"/>
        <w:snapToGrid/>
        <w:spacing w:line="440" w:lineRule="exact"/>
        <w:ind w:right="85" w:firstLine="480" w:firstLineChars="200"/>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、浙财采监</w:t>
      </w:r>
      <w:r>
        <w:rPr>
          <w:rFonts w:hint="eastAsia" w:ascii="宋体"/>
          <w:color w:val="auto"/>
          <w:sz w:val="24"/>
          <w:highlight w:val="none"/>
          <w:lang w:val="zh-CN"/>
        </w:rPr>
        <w:t>〔202</w:t>
      </w:r>
      <w:r>
        <w:rPr>
          <w:rFonts w:hint="eastAsia" w:ascii="宋体"/>
          <w:color w:val="auto"/>
          <w:sz w:val="24"/>
          <w:highlight w:val="none"/>
          <w:lang w:val="en-US" w:eastAsia="zh-CN"/>
        </w:rPr>
        <w:t>2</w:t>
      </w:r>
      <w:r>
        <w:rPr>
          <w:rFonts w:hint="eastAsia" w:ascii="宋体"/>
          <w:color w:val="auto"/>
          <w:sz w:val="24"/>
          <w:highlight w:val="none"/>
          <w:lang w:val="zh-CN"/>
        </w:rPr>
        <w:t>〕</w:t>
      </w:r>
      <w:r>
        <w:rPr>
          <w:rFonts w:hint="eastAsia" w:ascii="宋体"/>
          <w:color w:val="auto"/>
          <w:sz w:val="24"/>
          <w:highlight w:val="none"/>
          <w:lang w:val="en-US" w:eastAsia="zh-CN"/>
        </w:rPr>
        <w:t>8</w:t>
      </w:r>
      <w:r>
        <w:rPr>
          <w:rFonts w:hint="eastAsia" w:ascii="宋体"/>
          <w:color w:val="auto"/>
          <w:sz w:val="24"/>
          <w:highlight w:val="none"/>
          <w:lang w:val="zh-CN"/>
        </w:rPr>
        <w:t>号的相关规定，</w:t>
      </w:r>
      <w:r>
        <w:rPr>
          <w:rFonts w:hint="eastAsia" w:ascii="宋体" w:hAnsi="宋体" w:eastAsia="宋体" w:cs="Times New Roman"/>
          <w:color w:val="auto"/>
          <w:kern w:val="2"/>
          <w:sz w:val="24"/>
          <w:szCs w:val="22"/>
          <w:highlight w:val="none"/>
          <w:lang w:val="en-US" w:eastAsia="zh-CN" w:bidi="ar-SA"/>
        </w:rPr>
        <w:t>未预留份额专门面向中小企业采购的采购项目，</w:t>
      </w:r>
      <w:r>
        <w:rPr>
          <w:rFonts w:hint="eastAsia" w:ascii="宋体"/>
          <w:color w:val="auto"/>
          <w:sz w:val="24"/>
          <w:highlight w:val="none"/>
          <w:lang w:val="zh-CN" w:eastAsia="zh-CN"/>
        </w:rPr>
        <w:t xml:space="preserve">在评审时对符合本办法规定的小微企业报价给予 </w:t>
      </w:r>
      <w:r>
        <w:rPr>
          <w:rFonts w:hint="eastAsia" w:ascii="宋体"/>
          <w:color w:val="auto"/>
          <w:sz w:val="24"/>
          <w:highlight w:val="none"/>
          <w:lang w:val="en-US" w:eastAsia="zh-CN"/>
        </w:rPr>
        <w:t>1</w:t>
      </w:r>
      <w:r>
        <w:rPr>
          <w:rFonts w:hint="eastAsia" w:ascii="宋体"/>
          <w:color w:val="auto"/>
          <w:sz w:val="24"/>
          <w:highlight w:val="none"/>
          <w:lang w:val="zh-CN" w:eastAsia="zh-CN"/>
        </w:rPr>
        <w:t>0% 的扣除，取扣除后的价格作为最终投标报价（此最终投标报价仅作为价格分计算）。</w:t>
      </w:r>
      <w:r>
        <w:rPr>
          <w:rFonts w:hint="eastAsia" w:ascii="宋体"/>
          <w:b/>
          <w:bCs/>
          <w:color w:val="auto"/>
          <w:sz w:val="24"/>
          <w:highlight w:val="none"/>
          <w:lang w:val="zh-CN" w:eastAsia="zh-CN"/>
        </w:rPr>
        <w:t>中小企业参加政府采购活动，应当出具本办法规定的《中小企业声明函》，否则不得享受相关中小企业扶持政策。</w:t>
      </w:r>
    </w:p>
    <w:p w14:paraId="3606300D">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14:paraId="29A82225">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14:paraId="52C76577">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14:paraId="1C0ABF18">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14:paraId="7482F463">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14:paraId="619D52F2">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67088470">
      <w:pPr>
        <w:keepNext w:val="0"/>
        <w:keepLines w:val="0"/>
        <w:pageBreakBefore w:val="0"/>
        <w:widowControl/>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BE90B9">
      <w:pPr>
        <w:keepNext w:val="0"/>
        <w:keepLines w:val="0"/>
        <w:pageBreakBefore w:val="0"/>
        <w:widowControl/>
        <w:kinsoku/>
        <w:wordWrap/>
        <w:overflowPunct/>
        <w:topLinePunct w:val="0"/>
        <w:bidi w:val="0"/>
        <w:snapToGrid/>
        <w:spacing w:line="440" w:lineRule="exact"/>
        <w:ind w:firstLine="480" w:firstLineChars="200"/>
        <w:textAlignment w:val="auto"/>
        <w:rPr>
          <w:rFonts w:ascii="宋体"/>
          <w:color w:val="auto"/>
          <w:sz w:val="24"/>
          <w:highlight w:val="none"/>
          <w:lang w:val="zh-CN"/>
        </w:rPr>
      </w:pPr>
      <w:r>
        <w:rPr>
          <w:rFonts w:hint="eastAsia" w:ascii="宋体" w:hAnsi="宋体" w:eastAsia="宋体" w:cs="宋体"/>
          <w:b w:val="0"/>
          <w:bCs w:val="0"/>
          <w:color w:val="auto"/>
          <w:sz w:val="24"/>
          <w:szCs w:val="32"/>
          <w:highlight w:val="none"/>
          <w:lang w:val="zh-CN"/>
        </w:rPr>
        <w:t>注：得分以系统计算为准，保留2位小数。</w:t>
      </w:r>
    </w:p>
    <w:p w14:paraId="1066DC3D">
      <w:pPr>
        <w:keepNext w:val="0"/>
        <w:keepLines w:val="0"/>
        <w:pageBreakBefore w:val="0"/>
        <w:widowControl/>
        <w:kinsoku/>
        <w:wordWrap/>
        <w:overflowPunct/>
        <w:topLinePunct w:val="0"/>
        <w:autoSpaceDE w:val="0"/>
        <w:autoSpaceDN w:val="0"/>
        <w:bidi w:val="0"/>
        <w:adjustRightInd w:val="0"/>
        <w:snapToGrid/>
        <w:spacing w:line="440" w:lineRule="exact"/>
        <w:ind w:right="85" w:firstLine="480" w:firstLineChars="200"/>
        <w:textAlignment w:val="auto"/>
        <w:rPr>
          <w:rFonts w:ascii="宋体"/>
          <w:color w:val="auto"/>
          <w:sz w:val="24"/>
          <w:highlight w:val="none"/>
          <w:lang w:val="zh-CN"/>
        </w:rPr>
      </w:pPr>
      <w:r>
        <w:rPr>
          <w:rFonts w:hint="eastAsia" w:ascii="宋体"/>
          <w:color w:val="auto"/>
          <w:sz w:val="24"/>
          <w:highlight w:val="none"/>
          <w:lang w:val="zh-CN"/>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1D9D34D">
      <w:pPr>
        <w:keepNext w:val="0"/>
        <w:keepLines w:val="0"/>
        <w:pageBreakBefore w:val="0"/>
        <w:widowControl/>
        <w:kinsoku/>
        <w:wordWrap/>
        <w:overflowPunct/>
        <w:topLinePunct w:val="0"/>
        <w:autoSpaceDE w:val="0"/>
        <w:autoSpaceDN w:val="0"/>
        <w:bidi w:val="0"/>
        <w:adjustRightInd w:val="0"/>
        <w:snapToGrid/>
        <w:spacing w:line="440" w:lineRule="exact"/>
        <w:ind w:right="85" w:firstLine="482" w:firstLineChars="200"/>
        <w:textAlignment w:val="auto"/>
        <w:rPr>
          <w:rFonts w:hint="eastAsia" w:ascii="宋体"/>
          <w:b/>
          <w:bCs/>
          <w:color w:val="auto"/>
          <w:sz w:val="24"/>
          <w:highlight w:val="none"/>
          <w:lang w:val="zh-CN"/>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未提供以上材料的，均不给予价格扣除）。</w:t>
      </w:r>
    </w:p>
    <w:p w14:paraId="6EDD00BD">
      <w:pPr>
        <w:keepNext w:val="0"/>
        <w:keepLines w:val="0"/>
        <w:pageBreakBefore w:val="0"/>
        <w:widowControl/>
        <w:numPr>
          <w:ilvl w:val="0"/>
          <w:numId w:val="6"/>
        </w:numPr>
        <w:kinsoku/>
        <w:wordWrap/>
        <w:overflowPunct/>
        <w:topLinePunct w:val="0"/>
        <w:autoSpaceDE w:val="0"/>
        <w:autoSpaceDN w:val="0"/>
        <w:bidi w:val="0"/>
        <w:adjustRightInd w:val="0"/>
        <w:spacing w:line="440" w:lineRule="exact"/>
        <w:textAlignment w:val="auto"/>
        <w:rPr>
          <w:rFonts w:hint="eastAsia" w:ascii="宋体" w:hAnsi="宋体"/>
          <w:b/>
          <w:bCs/>
          <w:color w:val="auto"/>
          <w:sz w:val="24"/>
          <w:highlight w:val="none"/>
        </w:rPr>
      </w:pPr>
      <w:r>
        <w:rPr>
          <w:rFonts w:hint="eastAsia" w:ascii="宋体" w:hAnsi="宋体"/>
          <w:b/>
          <w:bCs/>
          <w:color w:val="auto"/>
          <w:sz w:val="24"/>
          <w:highlight w:val="none"/>
        </w:rPr>
        <w:t>本次评分具体分值细化条款如下表：</w:t>
      </w:r>
    </w:p>
    <w:tbl>
      <w:tblPr>
        <w:tblStyle w:val="38"/>
        <w:tblpPr w:leftFromText="181" w:rightFromText="181" w:bottomFromText="170" w:vertAnchor="text" w:tblpXSpec="center" w:tblpY="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0"/>
        <w:gridCol w:w="845"/>
      </w:tblGrid>
      <w:tr w14:paraId="008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shd w:val="clear" w:color="auto" w:fill="BEBEBE" w:themeFill="background1" w:themeFillShade="BF"/>
            <w:tcMar>
              <w:top w:w="57" w:type="dxa"/>
              <w:left w:w="108" w:type="dxa"/>
              <w:bottom w:w="57" w:type="dxa"/>
              <w:right w:w="108" w:type="dxa"/>
            </w:tcMar>
            <w:vAlign w:val="center"/>
          </w:tcPr>
          <w:p w14:paraId="58BE49F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评分</w:t>
            </w:r>
          </w:p>
          <w:p w14:paraId="69283FB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项目</w:t>
            </w:r>
          </w:p>
        </w:tc>
        <w:tc>
          <w:tcPr>
            <w:tcW w:w="7020" w:type="dxa"/>
            <w:shd w:val="clear" w:color="auto" w:fill="BEBEBE" w:themeFill="background1" w:themeFillShade="BF"/>
            <w:tcMar>
              <w:top w:w="57" w:type="dxa"/>
              <w:left w:w="108" w:type="dxa"/>
              <w:bottom w:w="57" w:type="dxa"/>
              <w:right w:w="108" w:type="dxa"/>
            </w:tcMar>
            <w:vAlign w:val="center"/>
          </w:tcPr>
          <w:p w14:paraId="73C0A8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评分细则</w:t>
            </w:r>
          </w:p>
        </w:tc>
        <w:tc>
          <w:tcPr>
            <w:tcW w:w="845" w:type="dxa"/>
            <w:shd w:val="clear" w:color="auto" w:fill="BEBEBE" w:themeFill="background1" w:themeFillShade="BF"/>
            <w:tcMar>
              <w:top w:w="57" w:type="dxa"/>
              <w:left w:w="108" w:type="dxa"/>
              <w:bottom w:w="57" w:type="dxa"/>
              <w:right w:w="108" w:type="dxa"/>
            </w:tcMar>
            <w:vAlign w:val="center"/>
          </w:tcPr>
          <w:p w14:paraId="0FF6663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分值</w:t>
            </w:r>
          </w:p>
        </w:tc>
      </w:tr>
      <w:tr w14:paraId="3A6B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6" w:hRule="atLeast"/>
          <w:jc w:val="center"/>
        </w:trPr>
        <w:tc>
          <w:tcPr>
            <w:tcW w:w="1114" w:type="dxa"/>
            <w:tcMar>
              <w:top w:w="57" w:type="dxa"/>
              <w:left w:w="108" w:type="dxa"/>
              <w:bottom w:w="57" w:type="dxa"/>
              <w:right w:w="108" w:type="dxa"/>
            </w:tcMar>
            <w:vAlign w:val="center"/>
          </w:tcPr>
          <w:p w14:paraId="054A128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投标人实力及</w:t>
            </w:r>
          </w:p>
          <w:p w14:paraId="0E19AC4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检测报告</w:t>
            </w:r>
          </w:p>
        </w:tc>
        <w:tc>
          <w:tcPr>
            <w:tcW w:w="7020" w:type="dxa"/>
            <w:tcMar>
              <w:top w:w="57" w:type="dxa"/>
              <w:left w:w="108" w:type="dxa"/>
              <w:bottom w:w="57" w:type="dxa"/>
              <w:right w:w="108" w:type="dxa"/>
            </w:tcMar>
            <w:vAlign w:val="center"/>
          </w:tcPr>
          <w:p w14:paraId="2B18749F">
            <w:pPr>
              <w:widowControl/>
              <w:numPr>
                <w:ilvl w:val="0"/>
                <w:numId w:val="0"/>
              </w:numPr>
              <w:spacing w:line="24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color w:val="000000"/>
                <w:sz w:val="24"/>
                <w:szCs w:val="24"/>
                <w:lang w:val="en-US" w:eastAsia="zh-CN"/>
              </w:rPr>
              <w:t>根据投标人提供的认证证书和检测报告情况评分。</w:t>
            </w:r>
          </w:p>
          <w:p w14:paraId="11DAD88A">
            <w:pPr>
              <w:widowControl/>
              <w:numPr>
                <w:ilvl w:val="0"/>
                <w:numId w:val="0"/>
              </w:numPr>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rPr>
              <w:t>投标人的供应商具有 IS09001 质量管理体系认证证书的得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分，没有的不得分。 （需证明供货关系，如发票、合同或入库接卸通知单等）</w:t>
            </w:r>
          </w:p>
          <w:p w14:paraId="4B8AD052">
            <w:pPr>
              <w:widowControl/>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rPr>
              <w:t>投标人的供应商具有 IS014001 环境管理体系认证证书的得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分，没有的不得分。 （需证明供货关系，如发票、合同或入库接卸通知单等）</w:t>
            </w:r>
          </w:p>
          <w:p w14:paraId="19B7772D">
            <w:pPr>
              <w:pStyle w:val="104"/>
              <w:spacing w:line="240" w:lineRule="auto"/>
              <w:rPr>
                <w:rFonts w:hint="eastAsia" w:ascii="宋体" w:hAnsi="宋体" w:eastAsia="宋体" w:cs="宋体"/>
                <w:sz w:val="24"/>
                <w:szCs w:val="24"/>
                <w:highlight w:val="none"/>
              </w:rPr>
            </w:pPr>
            <w:r>
              <w:rPr>
                <w:rFonts w:hint="eastAsia" w:ascii="宋体" w:hAnsi="宋体" w:eastAsia="宋体" w:cs="宋体"/>
                <w:b/>
                <w:bCs/>
                <w:color w:val="000000"/>
                <w:sz w:val="24"/>
                <w:szCs w:val="24"/>
              </w:rPr>
              <w:t>③</w:t>
            </w:r>
            <w:r>
              <w:rPr>
                <w:rFonts w:hint="eastAsia" w:ascii="宋体" w:hAnsi="宋体" w:eastAsia="宋体" w:cs="宋体"/>
                <w:sz w:val="24"/>
                <w:szCs w:val="24"/>
                <w:highlight w:val="none"/>
              </w:rPr>
              <w:t>投标人具有危险化学品经营单位安全生产管理人员的每人计1分，本项最多计2分。</w:t>
            </w:r>
          </w:p>
          <w:p w14:paraId="6C742317">
            <w:pPr>
              <w:pStyle w:val="104"/>
              <w:spacing w:line="240" w:lineRule="auto"/>
              <w:rPr>
                <w:rFonts w:hint="eastAsia" w:ascii="宋体" w:hAnsi="宋体" w:eastAsia="宋体" w:cs="宋体"/>
                <w:bCs/>
                <w:sz w:val="22"/>
                <w:szCs w:val="22"/>
                <w:highlight w:val="none"/>
                <w:lang w:eastAsia="zh-CN"/>
              </w:rPr>
            </w:pPr>
            <w:r>
              <w:rPr>
                <w:rFonts w:hint="eastAsia" w:ascii="宋体" w:hAnsi="宋体" w:eastAsia="宋体" w:cs="宋体"/>
                <w:b/>
                <w:bCs/>
                <w:sz w:val="24"/>
                <w:szCs w:val="24"/>
                <w:highlight w:val="none"/>
                <w:lang w:val="en-US" w:eastAsia="zh-CN"/>
              </w:rPr>
              <w:fldChar w:fldCharType="begin"/>
            </w:r>
            <w:r>
              <w:rPr>
                <w:rFonts w:hint="eastAsia" w:ascii="宋体" w:hAnsi="宋体" w:eastAsia="宋体" w:cs="宋体"/>
                <w:b/>
                <w:bCs/>
                <w:sz w:val="24"/>
                <w:szCs w:val="24"/>
                <w:highlight w:val="none"/>
                <w:lang w:val="en-US" w:eastAsia="zh-CN"/>
              </w:rPr>
              <w:instrText xml:space="preserve"> = 4 \* GB3 \* MERGEFORMAT </w:instrText>
            </w:r>
            <w:r>
              <w:rPr>
                <w:rFonts w:hint="eastAsia" w:ascii="宋体" w:hAnsi="宋体" w:eastAsia="宋体" w:cs="宋体"/>
                <w:b/>
                <w:bCs/>
                <w:sz w:val="24"/>
                <w:szCs w:val="24"/>
                <w:highlight w:val="none"/>
                <w:lang w:val="en-US" w:eastAsia="zh-CN"/>
              </w:rPr>
              <w:fldChar w:fldCharType="separate"/>
            </w:r>
            <w:r>
              <w:rPr>
                <w:rFonts w:hint="eastAsia" w:ascii="宋体" w:hAnsi="宋体" w:eastAsia="宋体" w:cs="宋体"/>
                <w:b/>
                <w:bCs/>
                <w:sz w:val="24"/>
                <w:szCs w:val="24"/>
              </w:rPr>
              <w:t>④</w:t>
            </w:r>
            <w:r>
              <w:rPr>
                <w:rFonts w:hint="eastAsia" w:ascii="宋体" w:hAnsi="宋体" w:eastAsia="宋体" w:cs="宋体"/>
                <w:b/>
                <w:bCs/>
                <w:sz w:val="24"/>
                <w:szCs w:val="24"/>
                <w:highlight w:val="none"/>
                <w:lang w:val="en-US" w:eastAsia="zh-CN"/>
              </w:rPr>
              <w:fldChar w:fldCharType="end"/>
            </w:r>
            <w:r>
              <w:rPr>
                <w:rFonts w:hint="eastAsia" w:ascii="宋体" w:hAnsi="宋体" w:eastAsia="宋体" w:cs="宋体"/>
                <w:sz w:val="24"/>
                <w:szCs w:val="24"/>
                <w:highlight w:val="none"/>
              </w:rPr>
              <w:t>投标人须提供投标单位</w:t>
            </w:r>
            <w:r>
              <w:rPr>
                <w:rFonts w:hint="eastAsia" w:ascii="宋体" w:hAnsi="宋体" w:eastAsia="宋体" w:cs="宋体"/>
                <w:sz w:val="24"/>
                <w:szCs w:val="24"/>
                <w:highlight w:val="none"/>
                <w:shd w:val="clear" w:color="auto" w:fill="FFFFFF"/>
                <w:lang w:bidi="ar"/>
              </w:rPr>
              <w:t>符合国家标准的油品检测报告，</w:t>
            </w:r>
            <w:r>
              <w:rPr>
                <w:rFonts w:hint="eastAsia" w:ascii="宋体" w:hAnsi="宋体" w:eastAsia="宋体" w:cs="宋体"/>
                <w:sz w:val="24"/>
                <w:szCs w:val="24"/>
                <w:highlight w:val="none"/>
              </w:rPr>
              <w:t>本项最多计2分。92汽油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95号汽油、98号汽油</w:t>
            </w:r>
            <w:r>
              <w:rPr>
                <w:rFonts w:hint="eastAsia" w:ascii="宋体" w:hAnsi="宋体" w:eastAsia="宋体" w:cs="宋体"/>
                <w:sz w:val="24"/>
                <w:szCs w:val="24"/>
                <w:highlight w:val="none"/>
              </w:rPr>
              <w:t>产品标准（国标VI）：GB 17930-201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，得1分；0号柴油产品标准（国标VI）：GB 19147-2016，得1分。</w:t>
            </w:r>
          </w:p>
        </w:tc>
        <w:tc>
          <w:tcPr>
            <w:tcW w:w="845" w:type="dxa"/>
            <w:tcMar>
              <w:top w:w="57" w:type="dxa"/>
              <w:left w:w="108" w:type="dxa"/>
              <w:bottom w:w="57" w:type="dxa"/>
              <w:right w:w="108" w:type="dxa"/>
            </w:tcMar>
            <w:vAlign w:val="center"/>
          </w:tcPr>
          <w:p w14:paraId="7AAC367E">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10分</w:t>
            </w:r>
          </w:p>
        </w:tc>
      </w:tr>
      <w:tr w14:paraId="1AF7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114" w:type="dxa"/>
            <w:tcMar>
              <w:top w:w="57" w:type="dxa"/>
              <w:left w:w="108" w:type="dxa"/>
              <w:bottom w:w="57" w:type="dxa"/>
              <w:right w:w="108" w:type="dxa"/>
            </w:tcMar>
            <w:vAlign w:val="center"/>
          </w:tcPr>
          <w:p w14:paraId="15DE1C4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质量保证情况</w:t>
            </w:r>
          </w:p>
        </w:tc>
        <w:tc>
          <w:tcPr>
            <w:tcW w:w="7020" w:type="dxa"/>
            <w:tcMar>
              <w:top w:w="57" w:type="dxa"/>
              <w:left w:w="108" w:type="dxa"/>
              <w:bottom w:w="57" w:type="dxa"/>
              <w:right w:w="108" w:type="dxa"/>
            </w:tcMar>
            <w:vAlign w:val="center"/>
          </w:tcPr>
          <w:p w14:paraId="20BB37D6">
            <w:pPr>
              <w:pStyle w:val="7"/>
              <w:spacing w:line="240" w:lineRule="auto"/>
              <w:rPr>
                <w:rFonts w:hint="eastAsia" w:ascii="宋体" w:hAnsi="宋体" w:eastAsia="宋体" w:cs="宋体"/>
                <w:sz w:val="24"/>
                <w:szCs w:val="24"/>
                <w:highlight w:val="none"/>
                <w:lang w:val="en-US" w:eastAsia="zh-CN" w:bidi="ar-SA"/>
              </w:rPr>
            </w:pPr>
            <w:r>
              <w:rPr>
                <w:rFonts w:hint="eastAsia" w:ascii="宋体" w:hAnsi="宋体" w:eastAsia="宋体" w:cs="宋体"/>
                <w:b/>
                <w:bCs/>
                <w:sz w:val="24"/>
                <w:szCs w:val="24"/>
                <w:highlight w:val="none"/>
                <w:lang w:val="en-US" w:eastAsia="zh-CN" w:bidi="ar-SA"/>
              </w:rPr>
              <w:t>2、</w:t>
            </w:r>
            <w:r>
              <w:rPr>
                <w:rFonts w:hint="eastAsia" w:ascii="宋体" w:hAnsi="宋体" w:eastAsia="宋体" w:cs="宋体"/>
                <w:sz w:val="24"/>
                <w:szCs w:val="24"/>
                <w:highlight w:val="none"/>
                <w:lang w:val="en-US" w:eastAsia="zh-CN" w:bidi="ar-SA"/>
              </w:rPr>
              <w:t>根据投标人针对</w:t>
            </w:r>
            <w:r>
              <w:rPr>
                <w:rFonts w:hint="eastAsia" w:ascii="宋体" w:hAnsi="宋体" w:eastAsia="宋体" w:cs="宋体"/>
                <w:b w:val="0"/>
                <w:bCs w:val="0"/>
                <w:sz w:val="24"/>
                <w:szCs w:val="24"/>
                <w:highlight w:val="none"/>
                <w:lang w:val="en-US" w:eastAsia="zh-CN" w:bidi="ar-SA"/>
              </w:rPr>
              <w:t>本项目的质量保证情况评分</w:t>
            </w:r>
            <w:r>
              <w:rPr>
                <w:rFonts w:hint="eastAsia" w:ascii="宋体" w:hAnsi="宋体" w:eastAsia="宋体" w:cs="宋体"/>
                <w:sz w:val="24"/>
                <w:szCs w:val="24"/>
                <w:highlight w:val="none"/>
                <w:lang w:val="en-US" w:eastAsia="zh-CN" w:bidi="ar-SA"/>
              </w:rPr>
              <w:t>，投标人承诺：</w:t>
            </w:r>
          </w:p>
          <w:p w14:paraId="127396B8">
            <w:pPr>
              <w:numPr>
                <w:ilvl w:val="0"/>
                <w:numId w:val="0"/>
              </w:numPr>
              <w:snapToGrid w:val="0"/>
              <w:spacing w:line="240" w:lineRule="auto"/>
              <w:ind w:leftChars="0"/>
              <w:rPr>
                <w:rFonts w:hint="eastAsia" w:ascii="宋体" w:hAnsi="宋体" w:eastAsia="宋体" w:cs="宋体"/>
                <w:sz w:val="24"/>
                <w:szCs w:val="24"/>
                <w:highlight w:val="none"/>
                <w:lang w:val="en-US" w:eastAsia="zh-CN" w:bidi="ar-SA"/>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lang w:val="en-US" w:eastAsia="zh-CN" w:bidi="ar-SA"/>
              </w:rPr>
              <w:t>油品齐全：</w:t>
            </w:r>
            <w:r>
              <w:rPr>
                <w:rFonts w:hint="eastAsia" w:ascii="宋体" w:hAnsi="宋体" w:eastAsia="宋体" w:cs="宋体"/>
                <w:sz w:val="24"/>
                <w:szCs w:val="24"/>
                <w:highlight w:val="none"/>
                <w:lang w:val="zh-CN" w:eastAsia="zh-CN" w:bidi="ar-SA"/>
              </w:rPr>
              <w:t>服务期内不间断提供</w:t>
            </w:r>
            <w:r>
              <w:rPr>
                <w:rFonts w:hint="eastAsia" w:ascii="宋体" w:hAnsi="宋体" w:eastAsia="宋体" w:cs="宋体"/>
                <w:sz w:val="24"/>
                <w:szCs w:val="24"/>
                <w:highlight w:val="none"/>
                <w:lang w:val="en-US" w:eastAsia="zh-CN" w:bidi="ar-SA"/>
              </w:rPr>
              <w:t>92#、95#、98#汽油、0#柴油的承诺；</w:t>
            </w:r>
          </w:p>
          <w:p w14:paraId="220BED20">
            <w:pPr>
              <w:snapToGrid w:val="0"/>
              <w:spacing w:line="240" w:lineRule="auto"/>
              <w:rPr>
                <w:rFonts w:hint="eastAsia" w:ascii="宋体" w:hAnsi="宋体" w:eastAsia="宋体" w:cs="宋体"/>
                <w:sz w:val="24"/>
                <w:szCs w:val="24"/>
                <w:highlight w:val="none"/>
                <w:lang w:val="en-US" w:eastAsia="zh-CN" w:bidi="ar-SA"/>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lang w:val="en-US" w:eastAsia="zh-CN" w:bidi="ar-SA"/>
              </w:rPr>
              <w:t>不提供假冒伪劣产品，各类油品质量符合国家最新标准，满足采购人日常需求。</w:t>
            </w:r>
          </w:p>
          <w:p w14:paraId="5EED0A96">
            <w:pPr>
              <w:pStyle w:val="105"/>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en-US" w:eastAsia="zh-CN" w:bidi="ar-SA"/>
              </w:rPr>
              <w:t>投标人提供承诺并满足的每一项得1分，不满足不得分。</w:t>
            </w:r>
          </w:p>
        </w:tc>
        <w:tc>
          <w:tcPr>
            <w:tcW w:w="845" w:type="dxa"/>
            <w:tcMar>
              <w:top w:w="57" w:type="dxa"/>
              <w:left w:w="108" w:type="dxa"/>
              <w:bottom w:w="57" w:type="dxa"/>
              <w:right w:w="108" w:type="dxa"/>
            </w:tcMar>
            <w:vAlign w:val="center"/>
          </w:tcPr>
          <w:p w14:paraId="26FF5D2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279B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1" w:hRule="atLeast"/>
          <w:jc w:val="center"/>
        </w:trPr>
        <w:tc>
          <w:tcPr>
            <w:tcW w:w="1114" w:type="dxa"/>
            <w:tcMar>
              <w:top w:w="57" w:type="dxa"/>
              <w:left w:w="108" w:type="dxa"/>
              <w:bottom w:w="57" w:type="dxa"/>
              <w:right w:w="108" w:type="dxa"/>
            </w:tcMar>
            <w:vAlign w:val="center"/>
          </w:tcPr>
          <w:p w14:paraId="79CADE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网点</w:t>
            </w:r>
          </w:p>
          <w:p w14:paraId="3C3E8C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分布</w:t>
            </w:r>
          </w:p>
        </w:tc>
        <w:tc>
          <w:tcPr>
            <w:tcW w:w="7020" w:type="dxa"/>
            <w:tcMar>
              <w:top w:w="57" w:type="dxa"/>
              <w:left w:w="108" w:type="dxa"/>
              <w:bottom w:w="57" w:type="dxa"/>
              <w:right w:w="108" w:type="dxa"/>
            </w:tcMar>
            <w:vAlign w:val="center"/>
          </w:tcPr>
          <w:p w14:paraId="4B452C7B">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从公安勤务的特殊需求及加油点位的需求量、便利性考虑，根据各投标人的加油站网点分布优势和数量进行评分：</w:t>
            </w:r>
          </w:p>
          <w:p w14:paraId="513E1988">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b w:val="0"/>
                <w:bCs w:val="0"/>
                <w:sz w:val="24"/>
                <w:szCs w:val="24"/>
                <w:highlight w:val="none"/>
                <w:lang w:val="en-US" w:eastAsia="zh-CN"/>
              </w:rPr>
              <w:t>加油网点分布优势情况：</w:t>
            </w:r>
          </w:p>
          <w:p w14:paraId="04BA54D9">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highlight w:val="none"/>
                <w:lang w:val="en-US" w:eastAsia="zh-CN"/>
              </w:rPr>
              <w:t>路桥街道、路南街道、路北街道、桐屿街道、螺洋街道、峰江街道、新桥镇、横街镇、蓬街镇、金清镇，上述镇（街道）每个辖区内每有1座及以上加油网点，</w:t>
            </w:r>
            <w:r>
              <w:rPr>
                <w:rFonts w:hint="eastAsia" w:ascii="宋体" w:hAnsi="宋体" w:eastAsia="宋体" w:cs="宋体"/>
                <w:b/>
                <w:bCs/>
                <w:sz w:val="24"/>
                <w:szCs w:val="24"/>
                <w:highlight w:val="none"/>
                <w:lang w:val="en-US" w:eastAsia="zh-CN"/>
              </w:rPr>
              <w:t>每个辖区得2分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没有加油网点的辖区不得分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本项最高得20分</w:t>
            </w:r>
            <w:r>
              <w:rPr>
                <w:rFonts w:hint="eastAsia" w:ascii="宋体" w:hAnsi="宋体" w:eastAsia="宋体" w:cs="宋体"/>
                <w:sz w:val="24"/>
                <w:szCs w:val="24"/>
                <w:highlight w:val="none"/>
                <w:lang w:val="en-US" w:eastAsia="zh-CN"/>
              </w:rPr>
              <w:t>；</w:t>
            </w:r>
          </w:p>
          <w:p w14:paraId="14FAF372">
            <w:pPr>
              <w:pStyle w:val="2"/>
              <w:numPr>
                <w:ilvl w:val="0"/>
                <w:numId w:val="0"/>
              </w:numPr>
              <w:spacing w:line="24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highlight w:val="none"/>
                <w:lang w:val="en-US" w:eastAsia="zh-CN" w:bidi="ar-SA"/>
              </w:rPr>
              <w:t>浙江省内各市均有</w:t>
            </w:r>
            <w:r>
              <w:rPr>
                <w:rFonts w:hint="eastAsia" w:ascii="宋体" w:hAnsi="宋体" w:eastAsia="宋体" w:cs="宋体"/>
                <w:b/>
                <w:bCs/>
                <w:sz w:val="24"/>
                <w:szCs w:val="24"/>
                <w:highlight w:val="none"/>
                <w:lang w:val="en-US" w:eastAsia="zh-CN" w:bidi="ar-SA"/>
              </w:rPr>
              <w:t>不少于20个</w:t>
            </w:r>
            <w:r>
              <w:rPr>
                <w:rFonts w:hint="eastAsia" w:ascii="宋体" w:hAnsi="宋体" w:eastAsia="宋体" w:cs="宋体"/>
                <w:sz w:val="24"/>
                <w:szCs w:val="24"/>
                <w:highlight w:val="none"/>
                <w:lang w:val="en-US" w:eastAsia="zh-CN" w:bidi="ar-SA"/>
              </w:rPr>
              <w:t>加油网点，满足采购人工作需要的，</w:t>
            </w:r>
            <w:r>
              <w:rPr>
                <w:rFonts w:hint="eastAsia" w:ascii="宋体" w:hAnsi="宋体" w:eastAsia="宋体" w:cs="宋体"/>
                <w:b/>
                <w:bCs/>
                <w:sz w:val="24"/>
                <w:szCs w:val="24"/>
                <w:highlight w:val="none"/>
                <w:lang w:val="en-US" w:eastAsia="zh-CN" w:bidi="ar-SA"/>
              </w:rPr>
              <w:t>得5分</w:t>
            </w:r>
            <w:r>
              <w:rPr>
                <w:rFonts w:hint="eastAsia" w:ascii="宋体" w:hAnsi="宋体" w:eastAsia="宋体" w:cs="宋体"/>
                <w:sz w:val="24"/>
                <w:szCs w:val="24"/>
                <w:highlight w:val="none"/>
                <w:lang w:val="en-US" w:eastAsia="zh-CN" w:bidi="ar-SA"/>
              </w:rPr>
              <w:t>；不满足不得分。每多一个加油网点</w:t>
            </w:r>
            <w:r>
              <w:rPr>
                <w:rFonts w:hint="eastAsia" w:ascii="宋体" w:hAnsi="宋体" w:eastAsia="宋体" w:cs="宋体"/>
                <w:b/>
                <w:bCs/>
                <w:sz w:val="24"/>
                <w:szCs w:val="24"/>
                <w:highlight w:val="none"/>
                <w:lang w:val="en-US" w:eastAsia="zh-CN" w:bidi="ar-SA"/>
              </w:rPr>
              <w:t>加0.2分</w:t>
            </w:r>
            <w:r>
              <w:rPr>
                <w:rFonts w:hint="eastAsia" w:ascii="宋体" w:hAnsi="宋体" w:eastAsia="宋体" w:cs="宋体"/>
                <w:sz w:val="24"/>
                <w:szCs w:val="24"/>
                <w:highlight w:val="none"/>
                <w:lang w:val="en-US" w:eastAsia="zh-CN" w:bidi="ar-SA"/>
              </w:rPr>
              <w:t>。</w:t>
            </w:r>
            <w:r>
              <w:rPr>
                <w:rFonts w:hint="eastAsia" w:ascii="宋体" w:hAnsi="宋体" w:eastAsia="宋体" w:cs="宋体"/>
                <w:b/>
                <w:bCs/>
                <w:sz w:val="24"/>
                <w:szCs w:val="24"/>
                <w:highlight w:val="none"/>
                <w:lang w:val="en-US" w:eastAsia="zh-CN" w:bidi="ar-SA"/>
              </w:rPr>
              <w:t>本项最高分得10分</w:t>
            </w:r>
            <w:r>
              <w:rPr>
                <w:rFonts w:hint="eastAsia" w:ascii="宋体" w:hAnsi="宋体" w:eastAsia="宋体" w:cs="宋体"/>
                <w:sz w:val="24"/>
                <w:szCs w:val="24"/>
                <w:highlight w:val="none"/>
                <w:lang w:val="en-US" w:eastAsia="zh-CN" w:bidi="ar-SA"/>
              </w:rPr>
              <w:t>。</w:t>
            </w:r>
          </w:p>
          <w:p w14:paraId="530B57FF">
            <w:pPr>
              <w:pStyle w:val="2"/>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③</w:t>
            </w:r>
            <w:r>
              <w:rPr>
                <w:rFonts w:hint="eastAsia" w:ascii="宋体" w:hAnsi="宋体" w:eastAsia="宋体" w:cs="宋体"/>
                <w:sz w:val="24"/>
                <w:szCs w:val="24"/>
                <w:highlight w:val="none"/>
                <w:lang w:val="en-US" w:eastAsia="zh-CN" w:bidi="ar-SA"/>
              </w:rPr>
              <w:t>省内高速公路服务区</w:t>
            </w:r>
            <w:r>
              <w:rPr>
                <w:rFonts w:hint="eastAsia" w:ascii="宋体" w:hAnsi="宋体" w:eastAsia="宋体" w:cs="宋体"/>
                <w:b/>
                <w:bCs/>
                <w:sz w:val="24"/>
                <w:szCs w:val="24"/>
                <w:highlight w:val="none"/>
                <w:lang w:val="en-US" w:eastAsia="zh-CN" w:bidi="ar-SA"/>
              </w:rPr>
              <w:t>不少于100个</w:t>
            </w:r>
            <w:r>
              <w:rPr>
                <w:rFonts w:hint="eastAsia" w:ascii="宋体" w:hAnsi="宋体" w:eastAsia="宋体" w:cs="宋体"/>
                <w:sz w:val="24"/>
                <w:szCs w:val="24"/>
                <w:highlight w:val="none"/>
                <w:lang w:val="en-US" w:eastAsia="zh-CN" w:bidi="ar-SA"/>
              </w:rPr>
              <w:t>加油网点，满足采购人工作需求的，</w:t>
            </w:r>
            <w:r>
              <w:rPr>
                <w:rFonts w:hint="eastAsia" w:ascii="宋体" w:hAnsi="宋体" w:eastAsia="宋体" w:cs="宋体"/>
                <w:b/>
                <w:bCs/>
                <w:sz w:val="24"/>
                <w:szCs w:val="24"/>
                <w:highlight w:val="none"/>
                <w:lang w:val="en-US" w:eastAsia="zh-CN" w:bidi="ar-SA"/>
              </w:rPr>
              <w:t>得5分</w:t>
            </w:r>
            <w:r>
              <w:rPr>
                <w:rFonts w:hint="eastAsia" w:ascii="宋体" w:hAnsi="宋体" w:eastAsia="宋体" w:cs="宋体"/>
                <w:sz w:val="24"/>
                <w:szCs w:val="24"/>
                <w:highlight w:val="none"/>
                <w:lang w:val="en-US" w:eastAsia="zh-CN" w:bidi="ar-SA"/>
              </w:rPr>
              <w:t>；不满足不得分。每多一个加油网点</w:t>
            </w:r>
            <w:r>
              <w:rPr>
                <w:rFonts w:hint="eastAsia" w:ascii="宋体" w:hAnsi="宋体" w:eastAsia="宋体" w:cs="宋体"/>
                <w:b/>
                <w:bCs/>
                <w:sz w:val="24"/>
                <w:szCs w:val="24"/>
                <w:highlight w:val="none"/>
                <w:lang w:val="en-US" w:eastAsia="zh-CN" w:bidi="ar-SA"/>
              </w:rPr>
              <w:t>加0.2分</w:t>
            </w:r>
            <w:r>
              <w:rPr>
                <w:rFonts w:hint="eastAsia" w:ascii="宋体" w:hAnsi="宋体" w:eastAsia="宋体" w:cs="宋体"/>
                <w:sz w:val="24"/>
                <w:szCs w:val="24"/>
                <w:highlight w:val="none"/>
                <w:lang w:val="en-US" w:eastAsia="zh-CN" w:bidi="ar-SA"/>
              </w:rPr>
              <w:t>。本项</w:t>
            </w:r>
            <w:r>
              <w:rPr>
                <w:rFonts w:hint="eastAsia" w:ascii="宋体" w:hAnsi="宋体" w:eastAsia="宋体" w:cs="宋体"/>
                <w:b/>
                <w:bCs/>
                <w:sz w:val="24"/>
                <w:szCs w:val="24"/>
                <w:highlight w:val="none"/>
                <w:lang w:val="en-US" w:eastAsia="zh-CN" w:bidi="ar-SA"/>
              </w:rPr>
              <w:t>最高分得10分</w:t>
            </w:r>
            <w:r>
              <w:rPr>
                <w:rFonts w:hint="eastAsia" w:ascii="宋体" w:hAnsi="宋体" w:eastAsia="宋体" w:cs="宋体"/>
                <w:sz w:val="24"/>
                <w:szCs w:val="24"/>
                <w:highlight w:val="none"/>
                <w:lang w:val="en-US" w:eastAsia="zh-CN" w:bidi="ar-SA"/>
              </w:rPr>
              <w:t>。</w:t>
            </w:r>
          </w:p>
          <w:p w14:paraId="5C0E1E79">
            <w:pPr>
              <w:pStyle w:val="105"/>
              <w:spacing w:line="240" w:lineRule="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bidi="ar-SA"/>
              </w:rPr>
              <w:t>注：投标人提供承诺及加油网点清单（需提供加油网点清单，清单至少包括网点名称、地址、联系方式等信息），不提供或不满足不得分。</w:t>
            </w:r>
          </w:p>
        </w:tc>
        <w:tc>
          <w:tcPr>
            <w:tcW w:w="845" w:type="dxa"/>
            <w:tcMar>
              <w:top w:w="57" w:type="dxa"/>
              <w:left w:w="108" w:type="dxa"/>
              <w:bottom w:w="57" w:type="dxa"/>
              <w:right w:w="108" w:type="dxa"/>
            </w:tcMar>
            <w:vAlign w:val="center"/>
          </w:tcPr>
          <w:p w14:paraId="028C811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40分</w:t>
            </w:r>
          </w:p>
        </w:tc>
      </w:tr>
      <w:tr w14:paraId="47B9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jc w:val="center"/>
        </w:trPr>
        <w:tc>
          <w:tcPr>
            <w:tcW w:w="1114" w:type="dxa"/>
            <w:tcMar>
              <w:top w:w="57" w:type="dxa"/>
              <w:left w:w="108" w:type="dxa"/>
              <w:bottom w:w="57" w:type="dxa"/>
              <w:right w:w="108" w:type="dxa"/>
            </w:tcMar>
            <w:vAlign w:val="center"/>
          </w:tcPr>
          <w:p w14:paraId="0687DC9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w:t>
            </w:r>
          </w:p>
          <w:p w14:paraId="421FA80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方案</w:t>
            </w:r>
          </w:p>
        </w:tc>
        <w:tc>
          <w:tcPr>
            <w:tcW w:w="7020" w:type="dxa"/>
            <w:tcMar>
              <w:top w:w="57" w:type="dxa"/>
              <w:left w:w="108" w:type="dxa"/>
              <w:bottom w:w="57" w:type="dxa"/>
              <w:right w:w="108" w:type="dxa"/>
            </w:tcMar>
            <w:vAlign w:val="center"/>
          </w:tcPr>
          <w:p w14:paraId="4939A849">
            <w:pPr>
              <w:pStyle w:val="7"/>
              <w:spacing w:after="120" w:line="240" w:lineRule="auto"/>
              <w:rPr>
                <w:rFonts w:hint="eastAsia" w:ascii="宋体" w:hAnsi="宋体" w:eastAsia="宋体" w:cs="宋体"/>
                <w:sz w:val="24"/>
                <w:szCs w:val="24"/>
                <w:lang w:val="zh-CN" w:eastAsia="zh-CN"/>
              </w:rPr>
            </w:pPr>
            <w:r>
              <w:rPr>
                <w:rFonts w:hint="eastAsia" w:ascii="宋体" w:hAnsi="宋体" w:eastAsia="宋体" w:cs="宋体"/>
                <w:b/>
                <w:bCs/>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根据技术和服务方案：主要包含方案的先进性、科学性和完整性，与需求的符合程度等情况。</w:t>
            </w:r>
            <w:r>
              <w:rPr>
                <w:rFonts w:hint="eastAsia" w:ascii="宋体" w:hAnsi="宋体" w:eastAsia="宋体" w:cs="宋体"/>
                <w:sz w:val="24"/>
                <w:szCs w:val="24"/>
                <w:lang w:val="zh-CN" w:eastAsia="zh-CN"/>
              </w:rPr>
              <w:t>投标人承诺中标后：</w:t>
            </w:r>
          </w:p>
          <w:p w14:paraId="333CEFB0">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1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①</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按照实际工作需要，配备项目负责人1名，负责与采购人对接油卡办理，充值，预分配，核对账单等服务，同时配合采购人在车辆加油等检查审计工作中配合提供相应数据。得2分。</w:t>
            </w:r>
          </w:p>
          <w:p w14:paraId="3EAB05BE">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2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②</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供应商承诺接到采购人需求后，48小时内充值到账的。得</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w:t>
            </w:r>
          </w:p>
          <w:p w14:paraId="6F8F4A9E">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3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③</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供应商承诺接到采购人IC卡换卡或修卡需求后，24小时内</w:t>
            </w:r>
            <w:r>
              <w:rPr>
                <w:rFonts w:hint="eastAsia" w:ascii="宋体" w:hAnsi="宋体" w:eastAsia="宋体" w:cs="宋体"/>
                <w:color w:val="auto"/>
                <w:kern w:val="2"/>
                <w:sz w:val="24"/>
                <w:szCs w:val="24"/>
                <w:highlight w:val="none"/>
                <w:lang w:val="en-US" w:eastAsia="zh-CN" w:bidi="ar-SA"/>
              </w:rPr>
              <w:t>可收到</w:t>
            </w:r>
            <w:r>
              <w:rPr>
                <w:rFonts w:hint="eastAsia" w:ascii="宋体" w:hAnsi="宋体" w:eastAsia="宋体" w:cs="宋体"/>
                <w:color w:val="auto"/>
                <w:kern w:val="2"/>
                <w:sz w:val="24"/>
                <w:szCs w:val="24"/>
                <w:highlight w:val="none"/>
                <w:lang w:val="zh-CN" w:eastAsia="zh-CN" w:bidi="ar-SA"/>
              </w:rPr>
              <w:t>新卡，得3分；</w:t>
            </w:r>
          </w:p>
          <w:p w14:paraId="025DD049">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4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④</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供应商办理IC储值卡，由单位主卡和副卡组成，主卡可对副卡进行充值、预分配，</w:t>
            </w:r>
            <w:r>
              <w:rPr>
                <w:rFonts w:hint="eastAsia" w:ascii="宋体" w:hAnsi="宋体" w:eastAsia="宋体" w:cs="宋体"/>
                <w:color w:val="auto"/>
                <w:kern w:val="2"/>
                <w:sz w:val="24"/>
                <w:szCs w:val="24"/>
                <w:highlight w:val="none"/>
                <w:lang w:val="en-US" w:eastAsia="zh-CN" w:bidi="ar-SA"/>
              </w:rPr>
              <w:t>得3分；</w:t>
            </w:r>
          </w:p>
          <w:p w14:paraId="5144AC81">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5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⑤</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zh-CN" w:eastAsia="zh-CN" w:bidi="ar-SA"/>
              </w:rPr>
              <w:t>供应商具有线上实时打印对账单功能的，得</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p>
          <w:p w14:paraId="23DF61A7">
            <w:pPr>
              <w:pStyle w:val="105"/>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 6 \* GB3 \* MERGEFORMAT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sz w:val="24"/>
                <w:szCs w:val="24"/>
              </w:rPr>
              <w:t>⑥</w:t>
            </w:r>
            <w:r>
              <w:rPr>
                <w:rFonts w:hint="eastAsia" w:ascii="宋体" w:hAnsi="宋体" w:eastAsia="宋体" w:cs="宋体"/>
                <w:b/>
                <w:bCs/>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供应商支持</w:t>
            </w:r>
            <w:r>
              <w:rPr>
                <w:rFonts w:hint="eastAsia" w:ascii="宋体" w:hAnsi="宋体" w:eastAsia="宋体" w:cs="宋体"/>
                <w:color w:val="auto"/>
                <w:kern w:val="2"/>
                <w:sz w:val="24"/>
                <w:szCs w:val="24"/>
                <w:highlight w:val="none"/>
                <w:lang w:val="zh-CN" w:eastAsia="zh-CN" w:bidi="ar-SA"/>
              </w:rPr>
              <w:t>实行一车一卡管理，严格实行对车号加油，必须同时设置密码，</w:t>
            </w:r>
            <w:r>
              <w:rPr>
                <w:rFonts w:hint="eastAsia" w:ascii="宋体" w:hAnsi="宋体" w:eastAsia="宋体" w:cs="宋体"/>
                <w:color w:val="auto"/>
                <w:kern w:val="2"/>
                <w:sz w:val="24"/>
                <w:szCs w:val="24"/>
                <w:highlight w:val="none"/>
                <w:lang w:val="en-US" w:eastAsia="zh-CN" w:bidi="ar-SA"/>
              </w:rPr>
              <w:t>得5分；</w:t>
            </w:r>
          </w:p>
          <w:p w14:paraId="265F1850">
            <w:pPr>
              <w:pStyle w:val="3"/>
              <w:spacing w:line="240" w:lineRule="auto"/>
              <w:ind w:left="0" w:leftChars="0" w:firstLine="0" w:firstLineChars="0"/>
              <w:rPr>
                <w:rFonts w:hint="eastAsia" w:ascii="宋体" w:hAnsi="宋体" w:eastAsia="宋体" w:cs="宋体"/>
                <w:sz w:val="24"/>
                <w:szCs w:val="24"/>
              </w:rPr>
            </w:pPr>
            <w:r>
              <w:rPr>
                <w:rFonts w:hint="eastAsia" w:ascii="宋体" w:hAnsi="宋体" w:eastAsia="宋体" w:cs="宋体"/>
                <w:b/>
                <w:bCs/>
                <w:color w:val="auto"/>
                <w:kern w:val="2"/>
                <w:sz w:val="24"/>
                <w:szCs w:val="24"/>
                <w:highlight w:val="none"/>
                <w:lang w:val="en-US" w:eastAsia="zh-CN" w:bidi="ar-SA"/>
              </w:rPr>
              <w:t>（提供承诺函及相应证明材料，不提供或不满足不得分）</w:t>
            </w:r>
          </w:p>
        </w:tc>
        <w:tc>
          <w:tcPr>
            <w:tcW w:w="845" w:type="dxa"/>
            <w:tcMar>
              <w:top w:w="57" w:type="dxa"/>
              <w:left w:w="108" w:type="dxa"/>
              <w:bottom w:w="57" w:type="dxa"/>
              <w:right w:w="108" w:type="dxa"/>
            </w:tcMar>
            <w:vAlign w:val="center"/>
          </w:tcPr>
          <w:p w14:paraId="5070206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20分</w:t>
            </w:r>
          </w:p>
        </w:tc>
      </w:tr>
      <w:tr w14:paraId="6EFB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14" w:type="dxa"/>
            <w:tcMar>
              <w:top w:w="57" w:type="dxa"/>
              <w:left w:w="108" w:type="dxa"/>
              <w:bottom w:w="57" w:type="dxa"/>
              <w:right w:w="108" w:type="dxa"/>
            </w:tcMar>
            <w:vAlign w:val="center"/>
          </w:tcPr>
          <w:p w14:paraId="693EB01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保密</w:t>
            </w:r>
          </w:p>
          <w:p w14:paraId="2ABBEE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措施</w:t>
            </w:r>
          </w:p>
        </w:tc>
        <w:tc>
          <w:tcPr>
            <w:tcW w:w="7020" w:type="dxa"/>
            <w:tcMar>
              <w:top w:w="57" w:type="dxa"/>
              <w:left w:w="108" w:type="dxa"/>
              <w:bottom w:w="57" w:type="dxa"/>
              <w:right w:w="108" w:type="dxa"/>
            </w:tcMar>
            <w:vAlign w:val="center"/>
          </w:tcPr>
          <w:p w14:paraId="4292756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sz w:val="24"/>
                <w:szCs w:val="24"/>
              </w:rPr>
              <w:t>投标人针对本项目的保密情况，投标人承诺保密按照采购需求实施，对工作人员开展常态化安全保密教育，组织签订安全保密承诺书，明确具体安全管理内容、安全保密义务和责任等。</w:t>
            </w:r>
            <w:r>
              <w:rPr>
                <w:rFonts w:hint="eastAsia" w:ascii="宋体" w:hAnsi="宋体" w:eastAsia="宋体" w:cs="宋体"/>
                <w:b/>
                <w:sz w:val="24"/>
                <w:szCs w:val="24"/>
              </w:rPr>
              <w:t>满足的得</w:t>
            </w:r>
            <w:r>
              <w:rPr>
                <w:rFonts w:hint="eastAsia" w:ascii="宋体" w:hAnsi="宋体" w:eastAsia="宋体" w:cs="宋体"/>
                <w:b/>
                <w:sz w:val="24"/>
                <w:szCs w:val="24"/>
                <w:lang w:val="en-US" w:eastAsia="zh-CN"/>
              </w:rPr>
              <w:t>2</w:t>
            </w:r>
            <w:r>
              <w:rPr>
                <w:rFonts w:hint="eastAsia" w:ascii="宋体" w:hAnsi="宋体" w:eastAsia="宋体" w:cs="宋体"/>
                <w:b/>
                <w:sz w:val="24"/>
                <w:szCs w:val="24"/>
              </w:rPr>
              <w:t>分，</w:t>
            </w:r>
            <w:r>
              <w:rPr>
                <w:rFonts w:hint="eastAsia" w:ascii="宋体" w:hAnsi="宋体" w:eastAsia="宋体" w:cs="宋体"/>
                <w:sz w:val="24"/>
                <w:szCs w:val="24"/>
              </w:rPr>
              <w:t>不满足</w:t>
            </w:r>
            <w:r>
              <w:rPr>
                <w:rFonts w:hint="eastAsia" w:ascii="宋体" w:hAnsi="宋体" w:eastAsia="宋体" w:cs="宋体"/>
                <w:sz w:val="24"/>
                <w:szCs w:val="24"/>
                <w:lang w:val="en-US" w:eastAsia="zh-CN"/>
              </w:rPr>
              <w:t>的</w:t>
            </w:r>
            <w:r>
              <w:rPr>
                <w:rFonts w:hint="eastAsia" w:ascii="宋体" w:hAnsi="宋体" w:eastAsia="宋体" w:cs="宋体"/>
                <w:sz w:val="24"/>
                <w:szCs w:val="24"/>
              </w:rPr>
              <w:t>不得分。</w:t>
            </w:r>
          </w:p>
        </w:tc>
        <w:tc>
          <w:tcPr>
            <w:tcW w:w="845" w:type="dxa"/>
            <w:tcMar>
              <w:top w:w="57" w:type="dxa"/>
              <w:left w:w="108" w:type="dxa"/>
              <w:bottom w:w="57" w:type="dxa"/>
              <w:right w:w="108" w:type="dxa"/>
            </w:tcMar>
            <w:vAlign w:val="center"/>
          </w:tcPr>
          <w:p w14:paraId="3874E31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r>
      <w:tr w14:paraId="7072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114" w:type="dxa"/>
            <w:tcMar>
              <w:top w:w="57" w:type="dxa"/>
              <w:left w:w="108" w:type="dxa"/>
              <w:bottom w:w="57" w:type="dxa"/>
              <w:right w:w="108" w:type="dxa"/>
            </w:tcMar>
            <w:vAlign w:val="center"/>
          </w:tcPr>
          <w:p w14:paraId="7817DBE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业绩</w:t>
            </w:r>
          </w:p>
        </w:tc>
        <w:tc>
          <w:tcPr>
            <w:tcW w:w="7020" w:type="dxa"/>
            <w:tcMar>
              <w:top w:w="57" w:type="dxa"/>
              <w:left w:w="108" w:type="dxa"/>
              <w:bottom w:w="57" w:type="dxa"/>
              <w:right w:w="108" w:type="dxa"/>
            </w:tcMar>
            <w:vAlign w:val="center"/>
          </w:tcPr>
          <w:p w14:paraId="1AA0399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6、</w:t>
            </w:r>
            <w:r>
              <w:rPr>
                <w:rFonts w:hint="eastAsia" w:ascii="宋体" w:hAnsi="宋体" w:eastAsia="宋体" w:cs="宋体"/>
                <w:sz w:val="24"/>
                <w:szCs w:val="24"/>
              </w:rPr>
              <w:t>自202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月（以合同签订日期为准）以来，投标人具有类似</w:t>
            </w:r>
            <w:r>
              <w:rPr>
                <w:rFonts w:hint="eastAsia" w:ascii="宋体" w:hAnsi="宋体" w:eastAsia="宋体" w:cs="宋体"/>
                <w:b w:val="0"/>
                <w:bCs w:val="0"/>
                <w:sz w:val="24"/>
                <w:szCs w:val="24"/>
                <w:lang w:val="zh-CN"/>
              </w:rPr>
              <w:t>车辆加油服务项目</w:t>
            </w:r>
            <w:r>
              <w:rPr>
                <w:rFonts w:hint="eastAsia" w:ascii="宋体" w:hAnsi="宋体" w:eastAsia="宋体" w:cs="宋体"/>
                <w:b w:val="0"/>
                <w:bCs w:val="0"/>
                <w:sz w:val="24"/>
                <w:szCs w:val="24"/>
                <w:lang w:val="en-US" w:eastAsia="zh-CN"/>
              </w:rPr>
              <w:t>的成功经验情况，每个案例得0.5分，</w:t>
            </w:r>
            <w:r>
              <w:rPr>
                <w:rFonts w:hint="eastAsia" w:ascii="宋体" w:hAnsi="宋体" w:eastAsia="宋体" w:cs="宋体"/>
                <w:b w:val="0"/>
                <w:bCs w:val="0"/>
                <w:sz w:val="24"/>
                <w:szCs w:val="24"/>
              </w:rPr>
              <w:t>最高得1分</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lang w:val="en-US" w:eastAsia="zh-CN"/>
              </w:rPr>
              <w:t>（同时提供合同和项目业主对其履约情况</w:t>
            </w:r>
            <w:r>
              <w:rPr>
                <w:rFonts w:hint="eastAsia" w:ascii="宋体" w:hAnsi="宋体" w:eastAsia="宋体" w:cs="宋体"/>
                <w:sz w:val="24"/>
                <w:szCs w:val="24"/>
                <w:lang w:val="en-US" w:eastAsia="zh-CN"/>
              </w:rPr>
              <w:t>的证明材料，否则不得分）</w:t>
            </w:r>
          </w:p>
        </w:tc>
        <w:tc>
          <w:tcPr>
            <w:tcW w:w="845" w:type="dxa"/>
            <w:tcMar>
              <w:top w:w="57" w:type="dxa"/>
              <w:left w:w="108" w:type="dxa"/>
              <w:bottom w:w="57" w:type="dxa"/>
              <w:right w:w="108" w:type="dxa"/>
            </w:tcMar>
            <w:vAlign w:val="center"/>
          </w:tcPr>
          <w:p w14:paraId="3F36F67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1分</w:t>
            </w:r>
          </w:p>
        </w:tc>
      </w:tr>
      <w:tr w14:paraId="436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114" w:type="dxa"/>
            <w:vMerge w:val="restart"/>
            <w:shd w:val="clear" w:color="auto" w:fill="auto"/>
            <w:tcMar>
              <w:top w:w="57" w:type="dxa"/>
              <w:left w:w="108" w:type="dxa"/>
              <w:bottom w:w="57" w:type="dxa"/>
              <w:right w:w="108" w:type="dxa"/>
            </w:tcMar>
            <w:vAlign w:val="center"/>
          </w:tcPr>
          <w:p w14:paraId="3B5B6530">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4"/>
                <w:szCs w:val="24"/>
                <w:highlight w:val="none"/>
                <w:lang w:val="en-US" w:eastAsia="zh-CN"/>
              </w:rPr>
              <w:t>消防设备设施</w:t>
            </w:r>
          </w:p>
        </w:tc>
        <w:tc>
          <w:tcPr>
            <w:tcW w:w="7020" w:type="dxa"/>
            <w:shd w:val="clear" w:color="auto" w:fill="auto"/>
            <w:tcMar>
              <w:top w:w="57" w:type="dxa"/>
              <w:left w:w="108" w:type="dxa"/>
              <w:bottom w:w="57" w:type="dxa"/>
              <w:right w:w="108" w:type="dxa"/>
            </w:tcMar>
            <w:vAlign w:val="center"/>
          </w:tcPr>
          <w:p w14:paraId="4812ADA8">
            <w:pPr>
              <w:widowControl/>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val="en-US" w:eastAsia="zh-CN"/>
              </w:rPr>
              <w:t>7、</w:t>
            </w:r>
            <w:r>
              <w:rPr>
                <w:rFonts w:hint="eastAsia" w:ascii="宋体" w:hAnsi="宋体" w:eastAsia="宋体" w:cs="宋体"/>
                <w:kern w:val="0"/>
                <w:sz w:val="24"/>
                <w:szCs w:val="24"/>
                <w:highlight w:val="none"/>
              </w:rPr>
              <w:t>所属的经营场所设施条件，硬件设施及防火设施配备齐全；油机、油车先进性、计量精度等配备情况综合比较评分。</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shd w:val="clear" w:color="auto" w:fill="auto"/>
            <w:tcMar>
              <w:top w:w="57" w:type="dxa"/>
              <w:left w:w="108" w:type="dxa"/>
              <w:bottom w:w="57" w:type="dxa"/>
              <w:right w:w="108" w:type="dxa"/>
            </w:tcMar>
            <w:vAlign w:val="center"/>
          </w:tcPr>
          <w:p w14:paraId="1FAA6D91">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r>
      <w:tr w14:paraId="7433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114" w:type="dxa"/>
            <w:vMerge w:val="continue"/>
            <w:shd w:val="clear" w:color="auto" w:fill="auto"/>
            <w:tcMar>
              <w:top w:w="57" w:type="dxa"/>
              <w:left w:w="108" w:type="dxa"/>
              <w:bottom w:w="57" w:type="dxa"/>
              <w:right w:w="108" w:type="dxa"/>
            </w:tcMar>
            <w:vAlign w:val="center"/>
          </w:tcPr>
          <w:p w14:paraId="2A3BE0AB">
            <w:pPr>
              <w:widowControl/>
              <w:jc w:val="center"/>
              <w:textAlignment w:val="center"/>
              <w:rPr>
                <w:rFonts w:hint="eastAsia" w:ascii="宋体" w:hAnsi="宋体" w:eastAsia="宋体" w:cs="宋体"/>
                <w:b/>
                <w:bCs/>
                <w:sz w:val="24"/>
                <w:szCs w:val="24"/>
                <w:highlight w:val="none"/>
                <w:lang w:val="en-US" w:eastAsia="zh-CN"/>
              </w:rPr>
            </w:pPr>
          </w:p>
        </w:tc>
        <w:tc>
          <w:tcPr>
            <w:tcW w:w="7020" w:type="dxa"/>
            <w:shd w:val="clear" w:color="auto" w:fill="auto"/>
            <w:tcMar>
              <w:top w:w="57" w:type="dxa"/>
              <w:left w:w="108" w:type="dxa"/>
              <w:bottom w:w="57" w:type="dxa"/>
              <w:right w:w="108" w:type="dxa"/>
            </w:tcMar>
            <w:vAlign w:val="center"/>
          </w:tcPr>
          <w:p w14:paraId="6AC3D03C">
            <w:pPr>
              <w:widowControl/>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lang w:val="en-US" w:eastAsia="zh-CN"/>
              </w:rPr>
              <w:t>8、</w:t>
            </w:r>
            <w:r>
              <w:rPr>
                <w:rFonts w:hint="eastAsia" w:ascii="宋体" w:hAnsi="宋体" w:eastAsia="宋体" w:cs="宋体"/>
                <w:kern w:val="0"/>
                <w:sz w:val="24"/>
                <w:szCs w:val="24"/>
                <w:highlight w:val="none"/>
              </w:rPr>
              <w:t>安全管理制度及应急管理制度完善，明确应急管理组和责任人，具有应对火灾、 爆炸、泄露、自然灾害等完备的应急预案。</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shd w:val="clear" w:color="auto" w:fill="auto"/>
            <w:tcMar>
              <w:top w:w="57" w:type="dxa"/>
              <w:left w:w="108" w:type="dxa"/>
              <w:bottom w:w="57" w:type="dxa"/>
              <w:right w:w="108" w:type="dxa"/>
            </w:tcMar>
            <w:vAlign w:val="center"/>
          </w:tcPr>
          <w:p w14:paraId="4EDC9424">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58C4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14" w:type="dxa"/>
            <w:shd w:val="clear" w:color="auto" w:fill="auto"/>
            <w:tcMar>
              <w:top w:w="57" w:type="dxa"/>
              <w:left w:w="108" w:type="dxa"/>
              <w:bottom w:w="57" w:type="dxa"/>
              <w:right w:w="108" w:type="dxa"/>
            </w:tcMar>
            <w:vAlign w:val="center"/>
          </w:tcPr>
          <w:p w14:paraId="54D7AF41">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应急</w:t>
            </w:r>
          </w:p>
          <w:p w14:paraId="26F39769">
            <w:pPr>
              <w:widowControl/>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4"/>
                <w:szCs w:val="24"/>
                <w:highlight w:val="none"/>
              </w:rPr>
              <w:t>预案</w:t>
            </w:r>
          </w:p>
          <w:p w14:paraId="43FBDA6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p>
        </w:tc>
        <w:tc>
          <w:tcPr>
            <w:tcW w:w="7020" w:type="dxa"/>
            <w:shd w:val="clear" w:color="auto" w:fill="auto"/>
            <w:tcMar>
              <w:top w:w="57" w:type="dxa"/>
              <w:left w:w="108" w:type="dxa"/>
              <w:bottom w:w="57" w:type="dxa"/>
              <w:right w:w="108" w:type="dxa"/>
            </w:tcMar>
            <w:vAlign w:val="center"/>
          </w:tcPr>
          <w:p w14:paraId="6B2D78D1">
            <w:pPr>
              <w:widowControl/>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val="en-US" w:eastAsia="zh-CN"/>
              </w:rPr>
              <w:t>9、</w:t>
            </w:r>
            <w:r>
              <w:rPr>
                <w:rFonts w:hint="eastAsia" w:ascii="宋体" w:hAnsi="宋体" w:eastAsia="宋体" w:cs="宋体"/>
                <w:sz w:val="24"/>
                <w:szCs w:val="24"/>
                <w:highlight w:val="none"/>
              </w:rPr>
              <w:t>对本项目的管理方案，提出合理、可行的方案，突发事件的处理措施、应急和配合预案是否详细，突发情况（如油品紧缺等情况）到场处理是否及时</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由专家进行评分。（</w:t>
            </w:r>
            <w:r>
              <w:rPr>
                <w:rFonts w:hint="eastAsia" w:ascii="宋体" w:hAnsi="宋体" w:eastAsia="宋体" w:cs="宋体"/>
                <w:kern w:val="0"/>
                <w:sz w:val="24"/>
                <w:szCs w:val="24"/>
                <w:highlight w:val="none"/>
                <w:lang w:val="en-US" w:eastAsia="zh-CN"/>
              </w:rPr>
              <w:t>5，4，3，2，1，0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845" w:type="dxa"/>
            <w:tcMar>
              <w:top w:w="57" w:type="dxa"/>
              <w:left w:w="108" w:type="dxa"/>
              <w:bottom w:w="57" w:type="dxa"/>
              <w:right w:w="108" w:type="dxa"/>
            </w:tcMar>
            <w:vAlign w:val="center"/>
          </w:tcPr>
          <w:p w14:paraId="15A7236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r>
      <w:tr w14:paraId="5BAA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114" w:type="dxa"/>
            <w:tcMar>
              <w:top w:w="57" w:type="dxa"/>
              <w:left w:w="108" w:type="dxa"/>
              <w:bottom w:w="57" w:type="dxa"/>
              <w:right w:w="108" w:type="dxa"/>
            </w:tcMar>
            <w:vAlign w:val="center"/>
          </w:tcPr>
          <w:p w14:paraId="51DCEF8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价格分</w:t>
            </w:r>
          </w:p>
        </w:tc>
        <w:tc>
          <w:tcPr>
            <w:tcW w:w="7020" w:type="dxa"/>
            <w:tcMar>
              <w:top w:w="57" w:type="dxa"/>
              <w:left w:w="108" w:type="dxa"/>
              <w:bottom w:w="57" w:type="dxa"/>
              <w:right w:w="108" w:type="dxa"/>
            </w:tcMar>
            <w:vAlign w:val="center"/>
          </w:tcPr>
          <w:p w14:paraId="035635BD">
            <w:pPr>
              <w:pStyle w:val="18"/>
              <w:keepNext w:val="0"/>
              <w:keepLines w:val="0"/>
              <w:pageBreakBefore w:val="0"/>
              <w:tabs>
                <w:tab w:val="left" w:pos="220"/>
              </w:tabs>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取合格供应商的磋商最后报价最低结算率为</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基准价为10分。最后报价得分=（评标基准价/最后报价）*10%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（小数点后保留2位小数）</w:t>
            </w:r>
            <w:r>
              <w:rPr>
                <w:rFonts w:hint="eastAsia" w:ascii="宋体" w:hAnsi="宋体" w:eastAsia="宋体" w:cs="宋体"/>
                <w:color w:val="auto"/>
                <w:sz w:val="24"/>
                <w:szCs w:val="24"/>
                <w:highlight w:val="none"/>
                <w:lang w:eastAsia="zh-CN"/>
              </w:rPr>
              <w:t>。</w:t>
            </w:r>
          </w:p>
          <w:p w14:paraId="4CE17E3C">
            <w:pPr>
              <w:pStyle w:val="18"/>
              <w:keepNext w:val="0"/>
              <w:keepLines w:val="0"/>
              <w:pageBreakBefore w:val="0"/>
              <w:tabs>
                <w:tab w:val="left" w:pos="220"/>
              </w:tabs>
              <w:kinsoku/>
              <w:wordWrap/>
              <w:overflowPunct/>
              <w:topLinePunct w:val="0"/>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本项目对小型和微型企业价格给予10%的扣除，用扣除后的价格参与评审。</w:t>
            </w:r>
            <w:r>
              <w:rPr>
                <w:rFonts w:hint="eastAsia" w:ascii="宋体" w:hAnsi="宋体" w:eastAsia="宋体" w:cs="宋体"/>
                <w:color w:val="auto"/>
                <w:sz w:val="24"/>
                <w:szCs w:val="24"/>
                <w:highlight w:val="none"/>
                <w:lang w:eastAsia="zh-CN"/>
              </w:rPr>
              <w:t>）</w:t>
            </w:r>
          </w:p>
        </w:tc>
        <w:tc>
          <w:tcPr>
            <w:tcW w:w="845" w:type="dxa"/>
            <w:tcMar>
              <w:top w:w="57" w:type="dxa"/>
              <w:left w:w="108" w:type="dxa"/>
              <w:bottom w:w="57" w:type="dxa"/>
              <w:right w:w="108" w:type="dxa"/>
            </w:tcMar>
            <w:vAlign w:val="center"/>
          </w:tcPr>
          <w:p w14:paraId="57D8165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r>
    </w:tbl>
    <w:p w14:paraId="517E08A4">
      <w:pPr>
        <w:spacing w:line="400" w:lineRule="exact"/>
        <w:rPr>
          <w:rFonts w:hAnsi="宋体"/>
          <w:b/>
          <w:bCs/>
          <w:sz w:val="24"/>
        </w:rPr>
      </w:pPr>
      <w:r>
        <w:rPr>
          <w:rFonts w:hint="eastAsia" w:hAnsi="宋体"/>
          <w:b/>
          <w:bCs/>
          <w:sz w:val="24"/>
        </w:rPr>
        <w:t>提示：</w:t>
      </w:r>
    </w:p>
    <w:p w14:paraId="3B531C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1、请各投标人根据本招标文件及评分标准的顺序编制电子投标文件并进行关联定位，</w:t>
      </w:r>
      <w:r>
        <w:rPr>
          <w:rFonts w:hint="eastAsia" w:ascii="宋体" w:hAnsi="宋体" w:eastAsia="宋体" w:cs="宋体"/>
          <w:b/>
          <w:bCs/>
          <w:sz w:val="24"/>
          <w:szCs w:val="24"/>
          <w:lang w:eastAsia="zh-CN"/>
        </w:rPr>
        <w:t>如</w:t>
      </w:r>
      <w:r>
        <w:rPr>
          <w:rFonts w:hint="eastAsia" w:ascii="宋体" w:hAnsi="宋体" w:eastAsia="宋体" w:cs="宋体"/>
          <w:b/>
          <w:bCs/>
          <w:sz w:val="24"/>
          <w:szCs w:val="24"/>
        </w:rPr>
        <w:t>投标人的电子投标文件未能</w:t>
      </w:r>
      <w:r>
        <w:rPr>
          <w:rFonts w:hint="eastAsia" w:ascii="宋体" w:hAnsi="宋体" w:eastAsia="宋体" w:cs="宋体"/>
          <w:b/>
          <w:bCs/>
          <w:sz w:val="24"/>
          <w:szCs w:val="24"/>
          <w:lang w:eastAsia="zh-CN"/>
        </w:rPr>
        <w:t>正确</w:t>
      </w:r>
      <w:r>
        <w:rPr>
          <w:rFonts w:hint="eastAsia" w:ascii="宋体" w:hAnsi="宋体" w:eastAsia="宋体" w:cs="宋体"/>
          <w:b/>
          <w:bCs/>
          <w:sz w:val="24"/>
          <w:szCs w:val="24"/>
        </w:rPr>
        <w:t>关联定位提供相应的内容与其对应，则评标委员会在评审时如</w:t>
      </w:r>
      <w:r>
        <w:rPr>
          <w:rFonts w:hint="eastAsia" w:ascii="宋体" w:hAnsi="宋体" w:eastAsia="宋体" w:cs="宋体"/>
          <w:b/>
          <w:bCs/>
          <w:sz w:val="24"/>
          <w:szCs w:val="24"/>
          <w:lang w:eastAsia="zh-CN"/>
        </w:rPr>
        <w:t>作</w:t>
      </w:r>
      <w:r>
        <w:rPr>
          <w:rFonts w:hint="eastAsia" w:ascii="宋体" w:hAnsi="宋体" w:eastAsia="宋体" w:cs="宋体"/>
          <w:b/>
          <w:bCs/>
          <w:sz w:val="24"/>
          <w:szCs w:val="24"/>
        </w:rPr>
        <w:t>出对投标人不利的评审</w:t>
      </w:r>
      <w:r>
        <w:rPr>
          <w:rFonts w:hint="eastAsia" w:ascii="宋体" w:hAnsi="宋体" w:eastAsia="宋体" w:cs="宋体"/>
          <w:b/>
          <w:bCs/>
          <w:sz w:val="24"/>
          <w:szCs w:val="24"/>
          <w:lang w:eastAsia="zh-CN"/>
        </w:rPr>
        <w:t>，</w:t>
      </w:r>
      <w:r>
        <w:rPr>
          <w:rFonts w:hint="eastAsia" w:ascii="宋体" w:hAnsi="宋体" w:eastAsia="宋体" w:cs="宋体"/>
          <w:b/>
          <w:bCs/>
          <w:sz w:val="24"/>
          <w:szCs w:val="24"/>
        </w:rPr>
        <w:t>由投标人自行承担。</w:t>
      </w:r>
    </w:p>
    <w:p w14:paraId="23D0F63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2、投标人提交的所有投标文件、资料（包括所有证书、合同、报告等）都是准确、真实、合规的，如提供虚假资料，投标人需承担一切后果。</w:t>
      </w:r>
    </w:p>
    <w:p w14:paraId="05F09DE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小标宋简体" w:hAnsi="宋体" w:eastAsia="方正小标宋简体"/>
          <w:b/>
          <w:bCs/>
          <w:color w:val="auto"/>
          <w:sz w:val="44"/>
          <w:szCs w:val="44"/>
          <w:highlight w:val="none"/>
        </w:rPr>
      </w:pPr>
      <w:r>
        <w:rPr>
          <w:rFonts w:hint="eastAsia" w:ascii="宋体" w:hAnsi="宋体" w:eastAsia="宋体" w:cs="宋体"/>
          <w:b/>
          <w:bCs/>
          <w:sz w:val="24"/>
          <w:szCs w:val="24"/>
        </w:rPr>
        <w:t>3、各投标人请将本采购项目评分索引表放在商务技术文件目录的前页，</w:t>
      </w:r>
      <w:r>
        <w:rPr>
          <w:rFonts w:hint="eastAsia" w:ascii="宋体" w:hAnsi="宋体" w:eastAsia="宋体" w:cs="宋体"/>
          <w:b/>
          <w:bCs/>
          <w:sz w:val="24"/>
          <w:szCs w:val="24"/>
          <w:lang w:eastAsia="zh-CN"/>
        </w:rPr>
        <w:t>并</w:t>
      </w:r>
      <w:r>
        <w:rPr>
          <w:rFonts w:hint="eastAsia" w:ascii="宋体" w:hAnsi="宋体" w:eastAsia="宋体" w:cs="宋体"/>
          <w:b/>
          <w:bCs/>
          <w:sz w:val="24"/>
          <w:szCs w:val="24"/>
        </w:rPr>
        <w:t>将应得分值（客观分部分）准确自评，以方便评委进行更加优质、高效的评审。</w:t>
      </w:r>
    </w:p>
    <w:p w14:paraId="50C7FF23">
      <w:pPr>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14:paraId="77CEA11D">
      <w:pPr>
        <w:widowControl w:val="0"/>
        <w:spacing w:line="480" w:lineRule="exact"/>
        <w:jc w:val="center"/>
        <w:textAlignment w:val="baseline"/>
        <w:rPr>
          <w:b/>
          <w:bCs/>
          <w:color w:val="auto"/>
          <w:highlight w:val="none"/>
        </w:rPr>
      </w:pPr>
      <w:r>
        <w:rPr>
          <w:rFonts w:hint="eastAsia" w:ascii="方正小标宋简体" w:hAnsi="宋体" w:eastAsia="方正小标宋简体"/>
          <w:b/>
          <w:bCs/>
          <w:color w:val="auto"/>
          <w:sz w:val="44"/>
          <w:szCs w:val="44"/>
          <w:highlight w:val="none"/>
        </w:rPr>
        <w:t xml:space="preserve">第四章  </w:t>
      </w:r>
      <w:r>
        <w:rPr>
          <w:rFonts w:hint="eastAsia" w:ascii="方正小标宋简体" w:hAnsi="宋体" w:eastAsia="方正小标宋简体"/>
          <w:b/>
          <w:bCs/>
          <w:color w:val="auto"/>
          <w:sz w:val="44"/>
          <w:szCs w:val="44"/>
          <w:highlight w:val="none"/>
          <w:lang w:val="en-US" w:eastAsia="zh-CN"/>
        </w:rPr>
        <w:t xml:space="preserve"> </w:t>
      </w:r>
      <w:r>
        <w:rPr>
          <w:rFonts w:hint="eastAsia" w:ascii="方正小标宋简体" w:hAnsi="宋体" w:eastAsia="方正小标宋简体"/>
          <w:b/>
          <w:bCs/>
          <w:color w:val="auto"/>
          <w:sz w:val="44"/>
          <w:szCs w:val="44"/>
          <w:highlight w:val="none"/>
          <w:lang w:eastAsia="zh-CN"/>
        </w:rPr>
        <w:t>采购</w:t>
      </w:r>
      <w:r>
        <w:rPr>
          <w:rFonts w:hint="eastAsia" w:ascii="方正小标宋简体" w:hAnsi="宋体" w:eastAsia="方正小标宋简体"/>
          <w:b/>
          <w:bCs/>
          <w:color w:val="auto"/>
          <w:sz w:val="44"/>
          <w:szCs w:val="44"/>
          <w:highlight w:val="none"/>
        </w:rPr>
        <w:t>需求</w:t>
      </w:r>
    </w:p>
    <w:p w14:paraId="44C93F79">
      <w:pPr>
        <w:pStyle w:val="11"/>
        <w:keepLines w:val="0"/>
        <w:pageBreakBefore w:val="0"/>
        <w:kinsoku/>
        <w:wordWrap/>
        <w:overflowPunct/>
        <w:topLinePunct w:val="0"/>
        <w:bidi w:val="0"/>
        <w:spacing w:line="400" w:lineRule="exact"/>
        <w:ind w:left="0" w:leftChars="0" w:firstLine="0" w:firstLineChars="0"/>
        <w:rPr>
          <w:rFonts w:hint="eastAsia" w:ascii="宋体" w:hAnsi="宋体" w:eastAsia="宋体" w:cs="宋体"/>
          <w:sz w:val="24"/>
          <w:szCs w:val="24"/>
        </w:rPr>
      </w:pPr>
    </w:p>
    <w:p w14:paraId="4954B742">
      <w:pPr>
        <w:tabs>
          <w:tab w:val="left" w:pos="8280"/>
        </w:tabs>
        <w:autoSpaceDE w:val="0"/>
        <w:autoSpaceDN w:val="0"/>
        <w:adjustRightInd w:val="0"/>
        <w:spacing w:line="360" w:lineRule="auto"/>
        <w:ind w:right="25"/>
        <w:rPr>
          <w:rFonts w:hint="eastAsia" w:ascii="宋体" w:hAnsi="宋体" w:eastAsia="宋体" w:cs="宋体"/>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磋商</w:t>
      </w:r>
      <w:r>
        <w:rPr>
          <w:rFonts w:hint="eastAsia" w:ascii="宋体" w:hAnsi="宋体" w:eastAsia="宋体" w:cs="宋体"/>
          <w:b/>
          <w:sz w:val="24"/>
          <w:szCs w:val="24"/>
        </w:rPr>
        <w:t>项目一览表</w:t>
      </w:r>
    </w:p>
    <w:p w14:paraId="29D0ED74">
      <w:pPr>
        <w:tabs>
          <w:tab w:val="left" w:pos="8280"/>
        </w:tabs>
        <w:autoSpaceDE w:val="0"/>
        <w:autoSpaceDN w:val="0"/>
        <w:adjustRightInd w:val="0"/>
        <w:spacing w:line="360" w:lineRule="auto"/>
        <w:ind w:right="25" w:firstLine="480" w:firstLineChars="200"/>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eastAsia="zh-CN"/>
        </w:rPr>
        <w:t>磋商</w:t>
      </w:r>
      <w:r>
        <w:rPr>
          <w:rFonts w:hint="eastAsia" w:ascii="宋体" w:hAnsi="宋体" w:eastAsia="宋体" w:cs="宋体"/>
          <w:sz w:val="24"/>
          <w:szCs w:val="24"/>
        </w:rPr>
        <w:t>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个标项，具体内容如下表：</w:t>
      </w:r>
    </w:p>
    <w:tbl>
      <w:tblPr>
        <w:tblStyle w:val="38"/>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430"/>
      </w:tblGrid>
      <w:tr w14:paraId="54AD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50F5CF7E">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标项号</w:t>
            </w:r>
          </w:p>
        </w:tc>
        <w:tc>
          <w:tcPr>
            <w:tcW w:w="2735" w:type="dxa"/>
            <w:vAlign w:val="center"/>
          </w:tcPr>
          <w:p w14:paraId="4232F512">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1099" w:type="dxa"/>
            <w:vAlign w:val="center"/>
          </w:tcPr>
          <w:p w14:paraId="5A0E2290">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073" w:type="dxa"/>
            <w:vAlign w:val="center"/>
          </w:tcPr>
          <w:p w14:paraId="77313162">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188" w:type="dxa"/>
            <w:vAlign w:val="center"/>
          </w:tcPr>
          <w:p w14:paraId="54874B09">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总预算</w:t>
            </w:r>
          </w:p>
          <w:p w14:paraId="5549F5FD">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（万元）</w:t>
            </w:r>
          </w:p>
        </w:tc>
        <w:tc>
          <w:tcPr>
            <w:tcW w:w="1430" w:type="dxa"/>
            <w:vAlign w:val="center"/>
          </w:tcPr>
          <w:p w14:paraId="5A59402B">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最高限价</w:t>
            </w:r>
          </w:p>
          <w:p w14:paraId="59DEB8AA">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sz w:val="24"/>
                <w:szCs w:val="24"/>
              </w:rPr>
              <w:t>（万元）</w:t>
            </w:r>
          </w:p>
        </w:tc>
      </w:tr>
      <w:tr w14:paraId="681E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7BBE13BD">
            <w:pPr>
              <w:tabs>
                <w:tab w:val="left" w:pos="8280"/>
              </w:tabs>
              <w:autoSpaceDE w:val="0"/>
              <w:autoSpaceDN w:val="0"/>
              <w:adjustRightInd w:val="0"/>
              <w:jc w:val="center"/>
              <w:rPr>
                <w:rFonts w:hint="eastAsia" w:ascii="宋体" w:hAnsi="宋体" w:eastAsia="宋体" w:cs="宋体"/>
                <w:sz w:val="24"/>
                <w:szCs w:val="24"/>
              </w:rPr>
            </w:pPr>
            <w:r>
              <w:rPr>
                <w:rFonts w:hint="eastAsia" w:ascii="宋体" w:hAnsi="宋体" w:eastAsia="宋体" w:cs="宋体"/>
                <w:b/>
                <w:sz w:val="24"/>
                <w:szCs w:val="24"/>
              </w:rPr>
              <w:t>1</w:t>
            </w:r>
          </w:p>
        </w:tc>
        <w:tc>
          <w:tcPr>
            <w:tcW w:w="2735" w:type="dxa"/>
            <w:vAlign w:val="center"/>
          </w:tcPr>
          <w:p w14:paraId="160EB133">
            <w:pPr>
              <w:tabs>
                <w:tab w:val="left" w:pos="8280"/>
              </w:tabs>
              <w:autoSpaceDE w:val="0"/>
              <w:autoSpaceDN w:val="0"/>
              <w:adjustRightInd w:val="0"/>
              <w:jc w:val="center"/>
              <w:rPr>
                <w:rFonts w:hint="eastAsia" w:ascii="宋体" w:hAnsi="宋体" w:eastAsia="宋体" w:cs="宋体"/>
                <w:b/>
                <w:sz w:val="24"/>
                <w:szCs w:val="24"/>
              </w:rPr>
            </w:pPr>
            <w:r>
              <w:rPr>
                <w:rFonts w:hint="eastAsia" w:ascii="宋体" w:hAnsi="宋体" w:eastAsia="宋体" w:cs="宋体"/>
                <w:b/>
                <w:bCs w:val="0"/>
                <w:sz w:val="24"/>
                <w:szCs w:val="24"/>
                <w:lang w:val="en-US" w:eastAsia="zh-CN"/>
              </w:rPr>
              <w:t>路桥公安分局</w:t>
            </w:r>
            <w:r>
              <w:rPr>
                <w:rFonts w:hint="eastAsia" w:ascii="宋体" w:hAnsi="宋体" w:eastAsia="宋体" w:cs="宋体"/>
                <w:b/>
                <w:bCs w:val="0"/>
                <w:sz w:val="24"/>
                <w:szCs w:val="24"/>
              </w:rPr>
              <w:t>加油服务采购项目</w:t>
            </w:r>
          </w:p>
        </w:tc>
        <w:tc>
          <w:tcPr>
            <w:tcW w:w="1099" w:type="dxa"/>
            <w:vAlign w:val="center"/>
          </w:tcPr>
          <w:p w14:paraId="1E5F0816">
            <w:pPr>
              <w:tabs>
                <w:tab w:val="left" w:pos="8280"/>
              </w:tabs>
              <w:autoSpaceDE w:val="0"/>
              <w:autoSpaceDN w:val="0"/>
              <w:adjustRightInd w:val="0"/>
              <w:jc w:val="center"/>
              <w:rPr>
                <w:rFonts w:hint="eastAsia" w:ascii="宋体" w:hAnsi="宋体" w:eastAsia="宋体" w:cs="宋体"/>
                <w:bCs/>
                <w:sz w:val="24"/>
                <w:szCs w:val="24"/>
              </w:rPr>
            </w:pPr>
            <w:r>
              <w:rPr>
                <w:rFonts w:hint="eastAsia" w:ascii="宋体" w:hAnsi="宋体" w:eastAsia="宋体" w:cs="宋体"/>
                <w:b/>
                <w:bCs w:val="0"/>
                <w:sz w:val="24"/>
                <w:szCs w:val="24"/>
                <w:lang w:val="en-US" w:eastAsia="zh-CN"/>
              </w:rPr>
              <w:t>1</w:t>
            </w:r>
          </w:p>
        </w:tc>
        <w:tc>
          <w:tcPr>
            <w:tcW w:w="1073" w:type="dxa"/>
            <w:vAlign w:val="center"/>
          </w:tcPr>
          <w:p w14:paraId="71B17F02">
            <w:pPr>
              <w:tabs>
                <w:tab w:val="left" w:pos="8280"/>
              </w:tabs>
              <w:autoSpaceDE w:val="0"/>
              <w:autoSpaceDN w:val="0"/>
              <w:adjustRightInd w:val="0"/>
              <w:jc w:val="center"/>
              <w:rPr>
                <w:rFonts w:hint="eastAsia" w:ascii="宋体" w:hAnsi="宋体" w:eastAsia="宋体" w:cs="宋体"/>
                <w:bCs/>
                <w:sz w:val="24"/>
                <w:szCs w:val="24"/>
              </w:rPr>
            </w:pPr>
            <w:r>
              <w:rPr>
                <w:rFonts w:hint="eastAsia" w:ascii="宋体" w:hAnsi="宋体" w:eastAsia="宋体" w:cs="宋体"/>
                <w:b/>
                <w:bCs w:val="0"/>
                <w:sz w:val="24"/>
                <w:szCs w:val="24"/>
                <w:lang w:val="en-US" w:eastAsia="zh-CN"/>
              </w:rPr>
              <w:t>年</w:t>
            </w:r>
          </w:p>
        </w:tc>
        <w:tc>
          <w:tcPr>
            <w:tcW w:w="1188" w:type="dxa"/>
            <w:vAlign w:val="center"/>
          </w:tcPr>
          <w:p w14:paraId="20F12CA2">
            <w:pPr>
              <w:tabs>
                <w:tab w:val="left" w:pos="8280"/>
              </w:tabs>
              <w:autoSpaceDE w:val="0"/>
              <w:autoSpaceDN w:val="0"/>
              <w:adjustRightInd w:val="0"/>
              <w:jc w:val="center"/>
              <w:rPr>
                <w:rFonts w:hint="eastAsia" w:ascii="宋体" w:hAnsi="宋体" w:eastAsia="宋体" w:cs="宋体"/>
                <w:bCs/>
                <w:sz w:val="24"/>
                <w:szCs w:val="24"/>
                <w:lang w:val="en-US"/>
              </w:rPr>
            </w:pPr>
            <w:r>
              <w:rPr>
                <w:rFonts w:hint="eastAsia" w:ascii="宋体" w:hAnsi="宋体" w:eastAsia="宋体" w:cs="宋体"/>
                <w:b/>
                <w:bCs w:val="0"/>
                <w:sz w:val="24"/>
                <w:szCs w:val="24"/>
                <w:lang w:val="en-US" w:eastAsia="zh-CN"/>
              </w:rPr>
              <w:t>268</w:t>
            </w:r>
          </w:p>
        </w:tc>
        <w:tc>
          <w:tcPr>
            <w:tcW w:w="1430" w:type="dxa"/>
            <w:vAlign w:val="center"/>
          </w:tcPr>
          <w:p w14:paraId="105CED5A">
            <w:pPr>
              <w:tabs>
                <w:tab w:val="left" w:pos="8280"/>
              </w:tabs>
              <w:autoSpaceDE w:val="0"/>
              <w:autoSpaceDN w:val="0"/>
              <w:adjustRightInd w:val="0"/>
              <w:jc w:val="center"/>
              <w:rPr>
                <w:rFonts w:hint="eastAsia" w:ascii="宋体" w:hAnsi="宋体" w:eastAsia="宋体" w:cs="宋体"/>
                <w:sz w:val="24"/>
                <w:szCs w:val="24"/>
                <w:lang w:val="en-US"/>
              </w:rPr>
            </w:pPr>
            <w:r>
              <w:rPr>
                <w:rFonts w:hint="eastAsia" w:ascii="宋体" w:hAnsi="宋体" w:eastAsia="宋体" w:cs="宋体"/>
                <w:b/>
                <w:bCs w:val="0"/>
                <w:sz w:val="24"/>
                <w:szCs w:val="24"/>
                <w:lang w:val="en-US" w:eastAsia="zh-CN"/>
              </w:rPr>
              <w:t>268</w:t>
            </w:r>
          </w:p>
        </w:tc>
      </w:tr>
    </w:tbl>
    <w:p w14:paraId="78387A03">
      <w:pPr>
        <w:numPr>
          <w:ilvl w:val="0"/>
          <w:numId w:val="0"/>
        </w:numPr>
        <w:tabs>
          <w:tab w:val="left" w:pos="8280"/>
        </w:tabs>
        <w:autoSpaceDE w:val="0"/>
        <w:autoSpaceDN w:val="0"/>
        <w:adjustRightInd w:val="0"/>
        <w:spacing w:line="360" w:lineRule="auto"/>
        <w:ind w:right="25" w:rightChars="0" w:firstLine="482" w:firstLineChars="200"/>
        <w:jc w:val="left"/>
        <w:rPr>
          <w:rFonts w:hint="eastAsia" w:ascii="宋体" w:hAnsi="宋体" w:eastAsia="宋体" w:cs="宋体"/>
          <w:b/>
          <w:color w:val="000000" w:themeColor="text1"/>
          <w:sz w:val="24"/>
          <w:szCs w:val="24"/>
          <w:lang w:eastAsia="zh-CN"/>
          <w14:textFill>
            <w14:solidFill>
              <w14:schemeClr w14:val="tx1"/>
            </w14:solidFill>
          </w14:textFill>
        </w:rPr>
      </w:pPr>
    </w:p>
    <w:p w14:paraId="07388E9B">
      <w:pPr>
        <w:numPr>
          <w:ilvl w:val="0"/>
          <w:numId w:val="0"/>
        </w:numPr>
        <w:tabs>
          <w:tab w:val="left" w:pos="8280"/>
        </w:tabs>
        <w:autoSpaceDE w:val="0"/>
        <w:autoSpaceDN w:val="0"/>
        <w:adjustRightInd w:val="0"/>
        <w:spacing w:line="360" w:lineRule="auto"/>
        <w:ind w:right="25" w:righ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技术需求</w:t>
      </w:r>
    </w:p>
    <w:p w14:paraId="2708BA2F">
      <w:pPr>
        <w:pStyle w:val="11"/>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一</w:t>
      </w:r>
      <w:r>
        <w:rPr>
          <w:rFonts w:hint="eastAsia" w:ascii="宋体" w:hAnsi="宋体" w:eastAsia="宋体" w:cs="宋体"/>
          <w:b/>
          <w:color w:val="000000" w:themeColor="text1"/>
          <w:kern w:val="0"/>
          <w:sz w:val="24"/>
          <w:szCs w:val="24"/>
          <w:lang w:eastAsia="zh-CN"/>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服务要求</w:t>
      </w:r>
    </w:p>
    <w:p w14:paraId="36B91750">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1、油品齐全：服务期内</w:t>
      </w:r>
      <w:r>
        <w:rPr>
          <w:rFonts w:hint="eastAsia" w:ascii="宋体" w:hAnsi="宋体" w:eastAsia="宋体" w:cs="宋体"/>
          <w:sz w:val="24"/>
          <w:szCs w:val="24"/>
          <w:lang w:val="en-US" w:eastAsia="zh-CN"/>
        </w:rPr>
        <w:t>24小时</w:t>
      </w:r>
      <w:r>
        <w:rPr>
          <w:rFonts w:hint="eastAsia" w:ascii="宋体" w:hAnsi="宋体" w:eastAsia="宋体" w:cs="宋体"/>
          <w:sz w:val="24"/>
          <w:szCs w:val="24"/>
          <w:lang w:val="zh-CN"/>
        </w:rPr>
        <w:t>不间断提供92#、95#、</w:t>
      </w:r>
      <w:r>
        <w:rPr>
          <w:rFonts w:hint="eastAsia" w:ascii="宋体" w:hAnsi="宋体" w:eastAsia="宋体" w:cs="宋体"/>
          <w:sz w:val="24"/>
          <w:szCs w:val="24"/>
          <w:lang w:val="en-US" w:eastAsia="zh-CN"/>
        </w:rPr>
        <w:t>98</w:t>
      </w:r>
      <w:r>
        <w:rPr>
          <w:rFonts w:hint="eastAsia" w:ascii="宋体" w:hAnsi="宋体" w:eastAsia="宋体" w:cs="宋体"/>
          <w:sz w:val="24"/>
          <w:szCs w:val="24"/>
          <w:lang w:val="zh-CN"/>
        </w:rPr>
        <w:t>#等汽油及0#柴油</w:t>
      </w:r>
      <w:r>
        <w:rPr>
          <w:rFonts w:hint="eastAsia" w:ascii="宋体" w:hAnsi="宋体" w:eastAsia="宋体" w:cs="宋体"/>
          <w:sz w:val="24"/>
          <w:szCs w:val="24"/>
          <w:lang w:val="en-US" w:eastAsia="zh-CN"/>
        </w:rPr>
        <w:t>加油服务</w:t>
      </w:r>
      <w:r>
        <w:rPr>
          <w:rFonts w:hint="eastAsia" w:ascii="宋体" w:hAnsi="宋体" w:eastAsia="宋体" w:cs="宋体"/>
          <w:sz w:val="24"/>
          <w:szCs w:val="24"/>
          <w:lang w:val="zh-CN"/>
        </w:rPr>
        <w:t>；</w:t>
      </w:r>
      <w:r>
        <w:rPr>
          <w:rFonts w:hint="eastAsia" w:ascii="宋体" w:hAnsi="宋体" w:eastAsia="宋体" w:cs="宋体"/>
          <w:sz w:val="24"/>
          <w:szCs w:val="24"/>
        </w:rPr>
        <w:t>不得提供假冒伪劣产品，各类油品质量符合国家最新标准，满足采购人日常需求。</w:t>
      </w:r>
    </w:p>
    <w:p w14:paraId="2D6E3533">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办理IC储值卡，由单位主卡和副卡组成，主卡可对副卡进行充值，预分配，具备打印对账单等功能。按照实际工作需要，配备项目负责人1名，负责与采购人对接油卡办理，充值，预分配，核对账单等服务，同时配合采购人在车辆加油等检查审计工作中配合提供相应数据。</w:t>
      </w:r>
    </w:p>
    <w:p w14:paraId="3A483A51">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、实行定点公务用车“IC卡”加油，一车一卡管理，严格实行对车号加油，必须同时设置密码；加油卡仅限加油服务，不得购买其他商品。</w:t>
      </w:r>
    </w:p>
    <w:p w14:paraId="375E309D">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供应商加油服务人员加油前须与采购人驾驶员确认加油标号，不得存在标号错加、油量少加、汽柴油混加问题，因此而产生的车辆受损、维修等情况由供应商负全部责任。</w:t>
      </w:r>
    </w:p>
    <w:p w14:paraId="533CF644">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保障我单位重大活动时的加油需求，提供应急保障方案。</w:t>
      </w:r>
    </w:p>
    <w:p w14:paraId="3B6F72CF">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、质量保证：供</w:t>
      </w:r>
      <w:r>
        <w:rPr>
          <w:rFonts w:hint="eastAsia" w:ascii="宋体" w:hAnsi="宋体" w:eastAsia="宋体" w:cs="宋体"/>
          <w:sz w:val="24"/>
          <w:szCs w:val="24"/>
          <w:lang w:val="zh-CN"/>
        </w:rPr>
        <w:t>应商提供加油服务时，应按照服务承诺执行，且所加油品的质量不得低于国家标准。因油品质量或份量给采购单位造成的损失由供应商负完全责任。有关权威部门在对供应商的油品质量和加油器具进行检查中，如发现供应商在油品中掺杂使假，采购单位有权立即终止合同，并保留向供应商索赔由此给采购单位造成损失的权利，并承担相应的法律责任。</w:t>
      </w:r>
    </w:p>
    <w:p w14:paraId="751857D2">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、在合同期内因上级政府政策变动须中止合同，中标人应无条件同意，</w:t>
      </w:r>
      <w:r>
        <w:rPr>
          <w:rFonts w:hint="eastAsia" w:ascii="宋体" w:hAnsi="宋体" w:eastAsia="宋体" w:cs="宋体"/>
          <w:sz w:val="24"/>
          <w:szCs w:val="24"/>
          <w:lang w:val="en-US" w:eastAsia="zh-CN"/>
        </w:rPr>
        <w:t>双方协商办结</w:t>
      </w:r>
      <w:r>
        <w:rPr>
          <w:rFonts w:hint="eastAsia" w:ascii="宋体" w:hAnsi="宋体" w:eastAsia="宋体" w:cs="宋体"/>
          <w:sz w:val="24"/>
          <w:szCs w:val="24"/>
          <w:lang w:val="zh-CN"/>
        </w:rPr>
        <w:t>。</w:t>
      </w:r>
    </w:p>
    <w:p w14:paraId="2FCE17D5">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rPr>
        <w:t>、在供货合同期满后，采购人没有举行再次招标活动或再次招标至中标人改变，中标人必须协助采购人做好衔接工作且保证供应价不变，特殊情况，协商解决。</w:t>
      </w:r>
    </w:p>
    <w:p w14:paraId="4303BD2A">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、在履行合同中，不允许采用任何形式的促销手段和转包形式，坚决抵制商业贿赂，一经发现将取消中标资格，并终止合同。</w:t>
      </w:r>
    </w:p>
    <w:p w14:paraId="6257EAD5">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、严格遵守国家法律法规，认真执行国家和相关加油服务行业各项管理法规及规范性文件，有严格的内控机制和监督管理制度。</w:t>
      </w:r>
      <w:r>
        <w:rPr>
          <w:rFonts w:hint="eastAsia" w:ascii="宋体" w:hAnsi="宋体" w:eastAsia="宋体" w:cs="宋体"/>
          <w:sz w:val="24"/>
          <w:szCs w:val="24"/>
          <w:lang w:val="zh-CN"/>
        </w:rPr>
        <w:t>合同期内，合同执行与法律、法规或政府行政部门要求发生抵触，则应从法律、法规或政府行政部门要求规定执行。</w:t>
      </w:r>
    </w:p>
    <w:p w14:paraId="0BE8780C">
      <w:pPr>
        <w:pStyle w:val="2"/>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、中标人提供的发票，单位名称必须与投标时公章名称相符合，否则采购人有权拒付相关款项</w:t>
      </w:r>
      <w:r>
        <w:rPr>
          <w:rFonts w:hint="eastAsia" w:ascii="宋体" w:hAnsi="宋体" w:eastAsia="宋体" w:cs="宋体"/>
          <w:sz w:val="24"/>
          <w:szCs w:val="24"/>
        </w:rPr>
        <w:t>。</w:t>
      </w:r>
    </w:p>
    <w:p w14:paraId="058518C2">
      <w:pPr>
        <w:pStyle w:val="11"/>
        <w:keepNext w:val="0"/>
        <w:keepLines w:val="0"/>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（二）点位要求</w:t>
      </w:r>
    </w:p>
    <w:p w14:paraId="175AC4FE">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1、省内高速公路服务区需有同系统内加油点位。</w:t>
      </w:r>
    </w:p>
    <w:p w14:paraId="5CB445AA">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2、省内各地市主城区范围、台州市辖区范围需有同系统内加油点位。</w:t>
      </w:r>
    </w:p>
    <w:p w14:paraId="047AD37A">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3、路桥街道、路南街道、路北街道、桐屿街道、螺洋街道、峰江街道、新桥镇、横街镇、蓬街镇、金清镇管辖区域范围或相邻辖区有同系统内加油点位。</w:t>
      </w:r>
    </w:p>
    <w:p w14:paraId="07116094">
      <w:pPr>
        <w:keepNext w:val="0"/>
        <w:keepLines w:val="0"/>
        <w:pageBreakBefore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val="0"/>
          <w:color w:val="0000FF"/>
          <w:kern w:val="0"/>
          <w:sz w:val="24"/>
          <w:szCs w:val="24"/>
          <w:highlight w:val="yellow"/>
          <w:lang w:val="en-US" w:eastAsia="zh-CN" w:bidi="ar-SA"/>
        </w:rPr>
        <w:t>（需提供加油站网点分布情况及覆盖服务区域的证明材料）</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p>
    <w:p w14:paraId="757C2FD2">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p>
    <w:p w14:paraId="69A5711D">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三、保密要求：</w:t>
      </w:r>
    </w:p>
    <w:p w14:paraId="202D8FAF">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供应商具有完全保密责任，应采取安全预防措施，保障在合同服务期间将掌握的任何有关采购人机密或专有信息透露给任何未经授权的人等，如发生泄密责任，采购人将追究供应商一切法律责任。</w:t>
      </w:r>
    </w:p>
    <w:p w14:paraId="29C663EA">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采购人对供应商及工作人员开展常态化安全保密教育，组织签订安全保密承诺书，明确具体安全管理内容、安全保密义务和责任。</w:t>
      </w:r>
    </w:p>
    <w:p w14:paraId="649CA101">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供应商及工作人员违反安全管理要求，构成违法犯罪的，采购人将及时报送本级政府采购和市场监督管理部门，提请列入政府采购严重违法失信行为记录名单、市场监督管理严重失信名单，并追究相关责任。</w:t>
      </w:r>
    </w:p>
    <w:p w14:paraId="0612EF19">
      <w:pPr>
        <w:pStyle w:val="2"/>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供应商须严格按照采购人规定使用、存储、处理文档资料和数据。合同终止时，应当交还全部资料和数据，不得备份。</w:t>
      </w:r>
    </w:p>
    <w:p w14:paraId="249495BC">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p>
    <w:p w14:paraId="2243672D">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、商务需求</w:t>
      </w:r>
    </w:p>
    <w:tbl>
      <w:tblPr>
        <w:tblStyle w:val="39"/>
        <w:tblW w:w="817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6403"/>
      </w:tblGrid>
      <w:tr w14:paraId="526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18D30DBD">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vertAlign w:val="baseline"/>
                <w:lang w:val="en-US" w:eastAsia="zh-CN"/>
                <w14:textFill>
                  <w14:solidFill>
                    <w14:schemeClr w14:val="tx1"/>
                  </w14:solidFill>
                </w14:textFill>
              </w:rPr>
              <w:t>服务期</w:t>
            </w:r>
          </w:p>
        </w:tc>
        <w:tc>
          <w:tcPr>
            <w:tcW w:w="6403" w:type="dxa"/>
            <w:vAlign w:val="center"/>
          </w:tcPr>
          <w:p w14:paraId="0962A36D">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u w:val="single"/>
                <w:lang w:val="en-US" w:eastAsia="zh-CN"/>
              </w:rPr>
              <w:t xml:space="preserve"> 1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具体时间以合同签订为准</w:t>
            </w:r>
            <w:r>
              <w:rPr>
                <w:rFonts w:hint="eastAsia" w:ascii="宋体" w:hAnsi="宋体" w:eastAsia="宋体" w:cs="宋体"/>
                <w:sz w:val="24"/>
                <w:szCs w:val="24"/>
                <w:highlight w:val="none"/>
                <w:lang w:eastAsia="zh-CN"/>
              </w:rPr>
              <w:t>。</w:t>
            </w:r>
          </w:p>
        </w:tc>
      </w:tr>
      <w:tr w14:paraId="5645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75" w:type="dxa"/>
            <w:vAlign w:val="center"/>
          </w:tcPr>
          <w:p w14:paraId="2790155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服务地点</w:t>
            </w:r>
          </w:p>
        </w:tc>
        <w:tc>
          <w:tcPr>
            <w:tcW w:w="6403" w:type="dxa"/>
            <w:vAlign w:val="center"/>
          </w:tcPr>
          <w:p w14:paraId="09193EDF">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val="0"/>
                <w:bCs/>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vertAlign w:val="baseline"/>
                <w:lang w:val="en-US" w:eastAsia="zh-CN" w:bidi="ar-SA"/>
                <w14:textFill>
                  <w14:solidFill>
                    <w14:schemeClr w14:val="tx1"/>
                  </w14:solidFill>
                </w14:textFill>
              </w:rPr>
              <w:t>投标人的各加油网点。</w:t>
            </w:r>
          </w:p>
        </w:tc>
      </w:tr>
      <w:tr w14:paraId="402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9" w:hRule="atLeast"/>
        </w:trPr>
        <w:tc>
          <w:tcPr>
            <w:tcW w:w="1775" w:type="dxa"/>
            <w:vAlign w:val="center"/>
          </w:tcPr>
          <w:p w14:paraId="4DAE581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付款条件</w:t>
            </w:r>
          </w:p>
        </w:tc>
        <w:tc>
          <w:tcPr>
            <w:tcW w:w="6403" w:type="dxa"/>
            <w:vAlign w:val="center"/>
          </w:tcPr>
          <w:p w14:paraId="654B265A">
            <w:pPr>
              <w:keepNext w:val="0"/>
              <w:keepLines w:val="0"/>
              <w:widowControl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1、</w:t>
            </w:r>
            <w:r>
              <w:rPr>
                <w:rFonts w:hint="eastAsia" w:ascii="宋体" w:hAnsi="宋体" w:eastAsia="宋体" w:cs="宋体"/>
                <w:b w:val="0"/>
                <w:bCs/>
                <w:color w:val="0000FF"/>
                <w:sz w:val="24"/>
                <w:szCs w:val="24"/>
                <w:highlight w:val="yellow"/>
                <w:vertAlign w:val="baseline"/>
                <w:lang w:val="en-US" w:eastAsia="zh-CN"/>
              </w:rPr>
              <w:t>IC卡预先充值，按每月</w:t>
            </w:r>
            <w:r>
              <w:rPr>
                <w:rFonts w:hint="eastAsia" w:ascii="宋体" w:hAnsi="宋体" w:eastAsia="宋体" w:cs="宋体"/>
                <w:b w:val="0"/>
                <w:bCs/>
                <w:color w:val="0000FF"/>
                <w:sz w:val="24"/>
                <w:szCs w:val="24"/>
                <w:highlight w:val="none"/>
                <w:vertAlign w:val="baseline"/>
                <w:lang w:val="en-US" w:eastAsia="zh-CN"/>
              </w:rPr>
              <w:t>实际采购量单次结算，</w:t>
            </w:r>
            <w:r>
              <w:rPr>
                <w:rFonts w:hint="eastAsia" w:ascii="宋体" w:hAnsi="宋体" w:eastAsia="宋体" w:cs="宋体"/>
                <w:b w:val="0"/>
                <w:bCs/>
                <w:color w:val="0000FF"/>
                <w:sz w:val="24"/>
                <w:szCs w:val="24"/>
                <w:highlight w:val="yellow"/>
                <w:vertAlign w:val="baseline"/>
                <w:lang w:val="en-US" w:eastAsia="zh-CN"/>
              </w:rPr>
              <w:t>全年</w:t>
            </w:r>
            <w:r>
              <w:rPr>
                <w:rFonts w:hint="eastAsia" w:ascii="宋体" w:hAnsi="宋体" w:eastAsia="宋体" w:cs="宋体"/>
                <w:b w:val="0"/>
                <w:bCs/>
                <w:color w:val="0000FF"/>
                <w:sz w:val="24"/>
                <w:szCs w:val="24"/>
                <w:highlight w:val="none"/>
                <w:vertAlign w:val="baseline"/>
                <w:lang w:val="en-US" w:eastAsia="zh-CN"/>
              </w:rPr>
              <w:t>最终结算金额不超过预算总金额。</w:t>
            </w:r>
          </w:p>
          <w:p w14:paraId="4529C7B8">
            <w:pPr>
              <w:keepNext w:val="0"/>
              <w:keepLines w:val="0"/>
              <w:widowControl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2、定价及结算方式：</w:t>
            </w:r>
          </w:p>
          <w:p w14:paraId="742B06D8">
            <w:pPr>
              <w:keepNext w:val="0"/>
              <w:keepLines w:val="0"/>
              <w:widowControl w:val="0"/>
              <w:numPr>
                <w:ilvl w:val="1"/>
                <w:numId w:val="7"/>
              </w:numPr>
              <w:suppressLineNumbers w:val="0"/>
              <w:spacing w:before="0" w:beforeAutospacing="0" w:after="0" w:afterAutospacing="0" w:line="360" w:lineRule="auto"/>
              <w:ind w:left="167" w:leftChars="0" w:right="0" w:hanging="54" w:firstLineChars="0"/>
              <w:jc w:val="left"/>
              <w:rPr>
                <w:rFonts w:hint="eastAsia" w:ascii="宋体" w:hAnsi="宋体" w:eastAsia="宋体" w:cs="宋体"/>
                <w:b w:val="0"/>
                <w:bCs/>
                <w:color w:val="0000FF"/>
                <w:sz w:val="24"/>
                <w:szCs w:val="24"/>
                <w:highlight w:val="none"/>
                <w:vertAlign w:val="baseline"/>
                <w:lang w:val="en-US" w:eastAsia="zh-CN"/>
              </w:rPr>
            </w:pPr>
            <w:r>
              <w:rPr>
                <w:rFonts w:hint="eastAsia" w:ascii="宋体" w:hAnsi="宋体" w:eastAsia="宋体" w:cs="宋体"/>
                <w:b w:val="0"/>
                <w:bCs/>
                <w:color w:val="0000FF"/>
                <w:sz w:val="24"/>
                <w:szCs w:val="24"/>
                <w:highlight w:val="none"/>
                <w:vertAlign w:val="baseline"/>
                <w:lang w:val="en-US" w:eastAsia="zh-CN"/>
              </w:rPr>
              <w:t>定价：浙江省发展和改革委员会网站最新公布的同类成品油</w:t>
            </w:r>
            <w:r>
              <w:rPr>
                <w:rFonts w:hint="eastAsia" w:ascii="宋体" w:hAnsi="宋体" w:eastAsia="宋体" w:cs="宋体"/>
                <w:b w:val="0"/>
                <w:bCs/>
                <w:color w:val="0000FF"/>
                <w:sz w:val="24"/>
                <w:szCs w:val="24"/>
                <w:highlight w:val="yellow"/>
                <w:vertAlign w:val="baseline"/>
                <w:lang w:val="en-US" w:eastAsia="zh-CN"/>
              </w:rPr>
              <w:t>零售价</w:t>
            </w:r>
            <w:r>
              <w:rPr>
                <w:rFonts w:hint="eastAsia" w:ascii="宋体" w:hAnsi="宋体" w:eastAsia="宋体" w:cs="宋体"/>
                <w:b w:val="0"/>
                <w:bCs/>
                <w:color w:val="0000FF"/>
                <w:sz w:val="24"/>
                <w:szCs w:val="24"/>
                <w:highlight w:val="none"/>
                <w:vertAlign w:val="baseline"/>
                <w:lang w:val="en-US" w:eastAsia="zh-CN"/>
              </w:rPr>
              <w:t>*</w:t>
            </w:r>
            <w:r>
              <w:rPr>
                <w:rFonts w:hint="eastAsia" w:ascii="宋体" w:hAnsi="宋体" w:eastAsia="宋体" w:cs="宋体"/>
                <w:b w:val="0"/>
                <w:bCs/>
                <w:color w:val="0000FF"/>
                <w:sz w:val="24"/>
                <w:szCs w:val="24"/>
                <w:highlight w:val="yellow"/>
                <w:vertAlign w:val="baseline"/>
                <w:lang w:val="en-US" w:eastAsia="zh-CN"/>
              </w:rPr>
              <w:t>中标</w:t>
            </w:r>
            <w:r>
              <w:rPr>
                <w:rFonts w:hint="eastAsia" w:ascii="宋体" w:hAnsi="宋体" w:eastAsia="宋体" w:cs="宋体"/>
                <w:b/>
                <w:bCs w:val="0"/>
                <w:color w:val="0000FF"/>
                <w:sz w:val="24"/>
                <w:szCs w:val="24"/>
                <w:highlight w:val="yellow"/>
                <w:vertAlign w:val="baseline"/>
                <w:lang w:val="en-US" w:eastAsia="zh-CN"/>
              </w:rPr>
              <w:t>结算率</w:t>
            </w:r>
            <w:r>
              <w:rPr>
                <w:rFonts w:hint="eastAsia" w:ascii="宋体" w:hAnsi="宋体" w:eastAsia="宋体" w:cs="宋体"/>
                <w:b w:val="0"/>
                <w:bCs/>
                <w:color w:val="0000FF"/>
                <w:sz w:val="24"/>
                <w:szCs w:val="24"/>
                <w:highlight w:val="none"/>
                <w:vertAlign w:val="baseline"/>
                <w:lang w:val="en-US" w:eastAsia="zh-CN"/>
              </w:rPr>
              <w:t>=成交单价。国家公布的成品油</w:t>
            </w:r>
            <w:r>
              <w:rPr>
                <w:rFonts w:hint="eastAsia" w:ascii="宋体" w:hAnsi="宋体" w:eastAsia="宋体" w:cs="宋体"/>
                <w:b w:val="0"/>
                <w:bCs/>
                <w:color w:val="0000FF"/>
                <w:sz w:val="24"/>
                <w:szCs w:val="24"/>
                <w:highlight w:val="yellow"/>
                <w:vertAlign w:val="baseline"/>
                <w:lang w:val="en-US" w:eastAsia="zh-CN"/>
              </w:rPr>
              <w:t>零售价</w:t>
            </w:r>
            <w:r>
              <w:rPr>
                <w:rFonts w:hint="eastAsia" w:ascii="宋体" w:hAnsi="宋体" w:eastAsia="宋体" w:cs="宋体"/>
                <w:b w:val="0"/>
                <w:bCs/>
                <w:color w:val="0000FF"/>
                <w:sz w:val="24"/>
                <w:szCs w:val="24"/>
                <w:highlight w:val="none"/>
                <w:vertAlign w:val="baseline"/>
                <w:lang w:val="en-US" w:eastAsia="zh-CN"/>
              </w:rPr>
              <w:t>根据国家单位实时发布的成品油单价进行调整。</w:t>
            </w:r>
          </w:p>
          <w:p w14:paraId="089E204C">
            <w:pPr>
              <w:keepNext w:val="0"/>
              <w:keepLines w:val="0"/>
              <w:widowControl w:val="0"/>
              <w:numPr>
                <w:ilvl w:val="1"/>
                <w:numId w:val="7"/>
              </w:numPr>
              <w:suppressLineNumbers w:val="0"/>
              <w:spacing w:before="0" w:beforeAutospacing="0" w:after="0" w:afterAutospacing="0" w:line="360" w:lineRule="auto"/>
              <w:ind w:left="167" w:leftChars="0" w:right="0" w:hanging="54" w:firstLineChars="0"/>
              <w:jc w:val="left"/>
              <w:rPr>
                <w:rFonts w:hint="eastAsia"/>
                <w:lang w:val="en-US" w:eastAsia="zh-CN"/>
              </w:rPr>
            </w:pPr>
            <w:r>
              <w:rPr>
                <w:rFonts w:hint="eastAsia" w:ascii="宋体" w:hAnsi="宋体" w:eastAsia="宋体" w:cs="宋体"/>
                <w:b w:val="0"/>
                <w:bCs/>
                <w:color w:val="0000FF"/>
                <w:sz w:val="24"/>
                <w:szCs w:val="24"/>
                <w:highlight w:val="none"/>
                <w:vertAlign w:val="baseline"/>
                <w:lang w:val="en-US" w:eastAsia="zh-CN"/>
              </w:rPr>
              <w:t>结算：采购人每月根据使用需求进行油卡充值。投标人根据采购人实际加油情况，结合加油当日国家成品油</w:t>
            </w:r>
            <w:r>
              <w:rPr>
                <w:rFonts w:hint="eastAsia" w:ascii="宋体" w:hAnsi="宋体" w:eastAsia="宋体" w:cs="宋体"/>
                <w:b w:val="0"/>
                <w:bCs/>
                <w:color w:val="0000FF"/>
                <w:sz w:val="24"/>
                <w:szCs w:val="24"/>
                <w:highlight w:val="yellow"/>
                <w:vertAlign w:val="baseline"/>
                <w:lang w:val="en-US" w:eastAsia="zh-CN"/>
              </w:rPr>
              <w:t>零售价及中标</w:t>
            </w:r>
            <w:r>
              <w:rPr>
                <w:rFonts w:hint="eastAsia" w:ascii="宋体" w:hAnsi="宋体" w:eastAsia="宋体" w:cs="宋体"/>
                <w:b/>
                <w:bCs w:val="0"/>
                <w:color w:val="0000FF"/>
                <w:sz w:val="24"/>
                <w:szCs w:val="24"/>
                <w:highlight w:val="yellow"/>
                <w:vertAlign w:val="baseline"/>
                <w:lang w:val="en-US" w:eastAsia="zh-CN"/>
              </w:rPr>
              <w:t>结算率</w:t>
            </w:r>
            <w:r>
              <w:rPr>
                <w:rFonts w:hint="eastAsia" w:ascii="宋体" w:hAnsi="宋体" w:eastAsia="宋体" w:cs="宋体"/>
                <w:b w:val="0"/>
                <w:bCs/>
                <w:color w:val="0000FF"/>
                <w:sz w:val="24"/>
                <w:szCs w:val="24"/>
                <w:highlight w:val="none"/>
                <w:vertAlign w:val="baseline"/>
                <w:lang w:val="en-US" w:eastAsia="zh-CN"/>
              </w:rPr>
              <w:t>进行统计计算，并于次月1日前将上月统计数据报采购人审核同意后，于5日内返还实际应优惠的金额至采购人主卡内使用（返还的优惠金额须可直接进行加油使用）。</w:t>
            </w:r>
          </w:p>
        </w:tc>
      </w:tr>
      <w:tr w14:paraId="2249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75" w:type="dxa"/>
            <w:vAlign w:val="center"/>
          </w:tcPr>
          <w:p w14:paraId="49EAC4D7">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履约保证金</w:t>
            </w:r>
          </w:p>
        </w:tc>
        <w:tc>
          <w:tcPr>
            <w:tcW w:w="6403" w:type="dxa"/>
            <w:vAlign w:val="center"/>
          </w:tcPr>
          <w:p w14:paraId="73BA07E9">
            <w:pPr>
              <w:pStyle w:val="23"/>
              <w:keepNext w:val="0"/>
              <w:keepLines w:val="0"/>
              <w:suppressLineNumbers w:val="0"/>
              <w:snapToGrid w:val="0"/>
              <w:spacing w:before="0" w:beforeAutospacing="0" w:after="0" w:afterAutospacing="0" w:line="240" w:lineRule="auto"/>
              <w:ind w:left="0" w:right="0"/>
              <w:jc w:val="both"/>
              <w:outlineLvl w:val="0"/>
              <w:rPr>
                <w:rFonts w:hint="eastAsia" w:ascii="宋体" w:hAnsi="宋体" w:eastAsia="宋体" w:cs="宋体"/>
                <w:b/>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FF"/>
                <w:sz w:val="24"/>
                <w:szCs w:val="24"/>
                <w:highlight w:val="none"/>
                <w:lang w:val="en-US" w:eastAsia="zh-CN"/>
              </w:rPr>
              <w:t>本项目不收取履约保证金。</w:t>
            </w:r>
          </w:p>
        </w:tc>
      </w:tr>
      <w:tr w14:paraId="6026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75" w:type="dxa"/>
            <w:vAlign w:val="center"/>
          </w:tcPr>
          <w:p w14:paraId="73D7F534">
            <w:pPr>
              <w:pStyle w:val="23"/>
              <w:keepNext w:val="0"/>
              <w:keepLines w:val="0"/>
              <w:suppressLineNumbers w:val="0"/>
              <w:snapToGrid w:val="0"/>
              <w:spacing w:before="0" w:beforeAutospacing="0" w:after="0" w:afterAutospacing="0" w:line="240" w:lineRule="auto"/>
              <w:ind w:left="0" w:right="0"/>
              <w:jc w:val="center"/>
              <w:outlineLvl w:val="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其他说明</w:t>
            </w:r>
          </w:p>
        </w:tc>
        <w:tc>
          <w:tcPr>
            <w:tcW w:w="6403" w:type="dxa"/>
            <w:vAlign w:val="center"/>
          </w:tcPr>
          <w:p w14:paraId="098AE0C5">
            <w:pPr>
              <w:keepNext w:val="0"/>
              <w:keepLines w:val="0"/>
              <w:widowControl w:val="0"/>
              <w:numPr>
                <w:ilvl w:val="0"/>
                <w:numId w:val="0"/>
              </w:numPr>
              <w:suppressLineNumbers w:val="0"/>
              <w:spacing w:before="0" w:beforeAutospacing="0" w:after="0" w:afterAutospacing="0" w:line="360" w:lineRule="auto"/>
              <w:ind w:left="0" w:right="0"/>
              <w:jc w:val="left"/>
              <w:rPr>
                <w:rFonts w:hint="eastAsia" w:ascii="宋体" w:hAnsi="宋体" w:eastAsia="宋体" w:cs="宋体"/>
                <w:color w:val="0000FF"/>
                <w:sz w:val="24"/>
                <w:szCs w:val="24"/>
                <w:highlight w:val="none"/>
                <w:lang w:val="en-US" w:eastAsia="zh-CN"/>
              </w:rPr>
            </w:pPr>
            <w:r>
              <w:rPr>
                <w:rFonts w:hint="eastAsia" w:ascii="宋体" w:hAnsi="宋体" w:eastAsia="宋体" w:cs="宋体"/>
                <w:b w:val="0"/>
                <w:bCs/>
                <w:color w:val="0000FF"/>
                <w:sz w:val="24"/>
                <w:szCs w:val="24"/>
                <w:highlight w:val="none"/>
                <w:vertAlign w:val="baseline"/>
                <w:lang w:val="en-US" w:eastAsia="zh-CN"/>
              </w:rPr>
              <w:t>投标报价包含为完成本项目各项服务可能发生的全部费用及投标人的利润和应交纳的税金、项目不可预见的风险等一切费用（包括人员工资、加班工资、食宿费、交通费、办公费《劳动合同法》规定的各种社会保险费等）</w:t>
            </w:r>
          </w:p>
        </w:tc>
      </w:tr>
    </w:tbl>
    <w:p w14:paraId="2372EBF7">
      <w:pPr>
        <w:jc w:val="center"/>
        <w:rPr>
          <w:rFonts w:ascii="宋体" w:hAnsi="宋体" w:eastAsia="宋体" w:cs="Times New Roman"/>
          <w:color w:val="auto"/>
          <w:sz w:val="24"/>
          <w:szCs w:val="24"/>
          <w:highlight w:val="none"/>
        </w:rPr>
      </w:pPr>
      <w:r>
        <w:rPr>
          <w:rFonts w:ascii="宋体" w:hAnsi="宋体" w:cs="宋体"/>
          <w:bCs/>
          <w:color w:val="000000"/>
          <w:sz w:val="24"/>
          <w:highlight w:val="none"/>
          <w:lang w:eastAsia="zh-Hans"/>
        </w:rPr>
        <w:br w:type="page"/>
      </w:r>
      <w:r>
        <w:rPr>
          <w:rFonts w:hint="eastAsia" w:ascii="方正小标宋简体" w:hAnsi="方正小标宋简体" w:eastAsia="方正小标宋简体"/>
          <w:b/>
          <w:bCs/>
          <w:snapToGrid w:val="0"/>
          <w:color w:val="auto"/>
          <w:kern w:val="2"/>
          <w:sz w:val="44"/>
          <w:highlight w:val="none"/>
        </w:rPr>
        <w:t>第五章</w:t>
      </w:r>
      <w:r>
        <w:rPr>
          <w:rFonts w:ascii="方正小标宋简体" w:hAnsi="方正小标宋简体" w:eastAsia="方正小标宋简体"/>
          <w:b/>
          <w:bCs/>
          <w:snapToGrid w:val="0"/>
          <w:color w:val="auto"/>
          <w:kern w:val="2"/>
          <w:sz w:val="44"/>
          <w:highlight w:val="none"/>
        </w:rPr>
        <w:t xml:space="preserve">  </w:t>
      </w:r>
      <w:r>
        <w:rPr>
          <w:rFonts w:hint="eastAsia" w:ascii="方正小标宋简体" w:hAnsi="Arial" w:eastAsia="方正小标宋简体" w:cs="Arial"/>
          <w:b/>
          <w:bCs/>
          <w:color w:val="auto"/>
          <w:sz w:val="44"/>
          <w:szCs w:val="44"/>
          <w:highlight w:val="none"/>
        </w:rPr>
        <w:t>拟签订的合同文本</w:t>
      </w:r>
    </w:p>
    <w:p w14:paraId="448E241D">
      <w:pPr>
        <w:pStyle w:val="23"/>
        <w:snapToGrid w:val="0"/>
        <w:spacing w:line="360" w:lineRule="auto"/>
        <w:rPr>
          <w:rFonts w:ascii="宋体" w:hAnsi="宋体" w:eastAsia="宋体" w:cs="Times New Roman"/>
          <w:color w:val="auto"/>
          <w:sz w:val="24"/>
          <w:szCs w:val="24"/>
          <w:highlight w:val="none"/>
        </w:rPr>
      </w:pPr>
    </w:p>
    <w:p w14:paraId="556B1A87">
      <w:pPr>
        <w:pStyle w:val="23"/>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74257E28">
      <w:pPr>
        <w:pStyle w:val="11"/>
        <w:rPr>
          <w:color w:val="auto"/>
          <w:highlight w:val="none"/>
        </w:rPr>
      </w:pPr>
    </w:p>
    <w:p w14:paraId="16B7D076">
      <w:pPr>
        <w:pStyle w:val="23"/>
        <w:snapToGrid w:val="0"/>
        <w:spacing w:line="360" w:lineRule="auto"/>
        <w:rPr>
          <w:rFonts w:hAnsi="宋体"/>
          <w:color w:val="auto"/>
          <w:sz w:val="24"/>
          <w:szCs w:val="24"/>
          <w:highlight w:val="none"/>
        </w:rPr>
      </w:pPr>
      <w:r>
        <w:rPr>
          <w:rFonts w:hAnsi="宋体"/>
          <w:color w:val="auto"/>
          <w:sz w:val="24"/>
          <w:szCs w:val="24"/>
          <w:highlight w:val="none"/>
        </w:rPr>
        <w:t>项目名称：</w:t>
      </w:r>
    </w:p>
    <w:p w14:paraId="1453A975">
      <w:pPr>
        <w:pStyle w:val="23"/>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LQCG-2025-CS003号</w:t>
      </w:r>
    </w:p>
    <w:p w14:paraId="562855F0">
      <w:pPr>
        <w:pStyle w:val="23"/>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lang w:eastAsia="zh-CN"/>
        </w:rPr>
        <w:t>台州市公安局路桥分局</w:t>
      </w:r>
      <w:r>
        <w:rPr>
          <w:rFonts w:hint="eastAsia" w:hAnsi="宋体"/>
          <w:color w:val="auto"/>
          <w:sz w:val="24"/>
          <w:szCs w:val="24"/>
          <w:highlight w:val="none"/>
        </w:rPr>
        <w:t xml:space="preserve">                           </w:t>
      </w:r>
    </w:p>
    <w:p w14:paraId="5811F441">
      <w:pPr>
        <w:pStyle w:val="23"/>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380A0A25">
      <w:pPr>
        <w:pStyle w:val="23"/>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台州市路桥区政府采购</w:t>
      </w:r>
      <w:r>
        <w:rPr>
          <w:rFonts w:ascii="宋体" w:hAnsi="宋体" w:eastAsia="宋体" w:cs="Times New Roman"/>
          <w:color w:val="auto"/>
          <w:sz w:val="24"/>
          <w:szCs w:val="24"/>
          <w:highlight w:val="none"/>
        </w:rPr>
        <w:t>中心关于</w:t>
      </w:r>
      <w:r>
        <w:rPr>
          <w:rFonts w:hint="eastAsia" w:hAnsi="宋体" w:cs="Times New Roman"/>
          <w:color w:val="auto"/>
          <w:sz w:val="24"/>
          <w:szCs w:val="24"/>
          <w:highlight w:val="none"/>
          <w:lang w:eastAsia="zh-CN"/>
        </w:rPr>
        <w:t>台州市公安局路桥分局加油服务采购项目竞争性磋商</w:t>
      </w:r>
      <w:r>
        <w:rPr>
          <w:rFonts w:ascii="宋体" w:hAnsi="宋体" w:eastAsia="宋体" w:cs="Times New Roman"/>
          <w:color w:val="auto"/>
          <w:sz w:val="24"/>
          <w:szCs w:val="24"/>
          <w:highlight w:val="none"/>
        </w:rPr>
        <w:t>的结果，签署本合同。</w:t>
      </w:r>
    </w:p>
    <w:p w14:paraId="4FB8C097">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6EE46562">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51174DEC">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27A08698">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46E8F5B9">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54EB4564">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5ECC8A8E">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6A63654E">
      <w:pPr>
        <w:pStyle w:val="23"/>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2BA30DC0">
      <w:pPr>
        <w:pStyle w:val="23"/>
        <w:snapToGrid w:val="0"/>
        <w:spacing w:line="360" w:lineRule="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二、合同内容及服务标准</w:t>
      </w:r>
    </w:p>
    <w:p w14:paraId="7D2FAA1E">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（具体见项目需求）</w:t>
      </w:r>
    </w:p>
    <w:p w14:paraId="1CD5F90C">
      <w:pPr>
        <w:pStyle w:val="23"/>
        <w:snapToGrid w:val="0"/>
        <w:spacing w:line="360" w:lineRule="auto"/>
        <w:rPr>
          <w:rFonts w:hAnsi="宋体"/>
          <w:b/>
          <w:color w:val="auto"/>
          <w:sz w:val="24"/>
          <w:highlight w:val="none"/>
        </w:rPr>
      </w:pPr>
      <w:r>
        <w:rPr>
          <w:rFonts w:hint="eastAsia" w:hAnsi="宋体" w:cs="Arial"/>
          <w:b/>
          <w:color w:val="auto"/>
          <w:sz w:val="24"/>
          <w:highlight w:val="none"/>
          <w:lang w:eastAsia="zh-CN"/>
        </w:rPr>
        <w:t>三</w:t>
      </w:r>
      <w:r>
        <w:rPr>
          <w:rFonts w:hint="eastAsia" w:hAnsi="宋体" w:cs="Arial"/>
          <w:b/>
          <w:color w:val="auto"/>
          <w:sz w:val="24"/>
          <w:highlight w:val="none"/>
        </w:rPr>
        <w:t>、</w:t>
      </w:r>
      <w:r>
        <w:rPr>
          <w:rFonts w:hint="eastAsia" w:hAnsi="宋体"/>
          <w:b/>
          <w:color w:val="auto"/>
          <w:sz w:val="24"/>
          <w:highlight w:val="none"/>
        </w:rPr>
        <w:t>甲方责任</w:t>
      </w:r>
    </w:p>
    <w:p w14:paraId="13D0658B">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1A73F898">
      <w:pPr>
        <w:pStyle w:val="23"/>
        <w:snapToGrid w:val="0"/>
        <w:spacing w:line="360" w:lineRule="auto"/>
        <w:rPr>
          <w:rFonts w:hAnsi="宋体"/>
          <w:b/>
          <w:color w:val="auto"/>
          <w:sz w:val="24"/>
          <w:highlight w:val="none"/>
        </w:rPr>
      </w:pPr>
      <w:r>
        <w:rPr>
          <w:rFonts w:hint="eastAsia" w:hAnsi="宋体"/>
          <w:b/>
          <w:color w:val="auto"/>
          <w:sz w:val="24"/>
          <w:highlight w:val="none"/>
          <w:lang w:eastAsia="zh-CN"/>
        </w:rPr>
        <w:t>四</w:t>
      </w:r>
      <w:r>
        <w:rPr>
          <w:rFonts w:hint="eastAsia" w:hAnsi="宋体"/>
          <w:b/>
          <w:color w:val="auto"/>
          <w:sz w:val="24"/>
          <w:highlight w:val="none"/>
        </w:rPr>
        <w:t>、乙方责任</w:t>
      </w:r>
    </w:p>
    <w:p w14:paraId="3FF4C488">
      <w:pPr>
        <w:pStyle w:val="23"/>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1E91D914">
      <w:pPr>
        <w:pStyle w:val="23"/>
        <w:snapToGrid w:val="0"/>
        <w:spacing w:line="360" w:lineRule="auto"/>
        <w:rPr>
          <w:rFonts w:hint="eastAsia"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w:t>
      </w:r>
      <w:r>
        <w:rPr>
          <w:rFonts w:hint="eastAsia" w:hAnsi="宋体"/>
          <w:b/>
          <w:color w:val="auto"/>
          <w:sz w:val="24"/>
          <w:highlight w:val="none"/>
          <w:lang w:eastAsia="zh-CN"/>
        </w:rPr>
        <w:t>项目</w:t>
      </w:r>
      <w:r>
        <w:rPr>
          <w:rFonts w:hint="eastAsia" w:hAnsi="宋体"/>
          <w:b/>
          <w:color w:val="auto"/>
          <w:sz w:val="24"/>
          <w:highlight w:val="none"/>
        </w:rPr>
        <w:t>服务期</w:t>
      </w:r>
    </w:p>
    <w:p w14:paraId="68282BF8">
      <w:pPr>
        <w:shd w:val="clear" w:color="auto" w:fill="auto"/>
        <w:spacing w:line="360" w:lineRule="auto"/>
        <w:ind w:firstLine="480" w:firstLineChars="200"/>
        <w:rPr>
          <w:rFonts w:hint="eastAsia" w:ascii="宋体" w:hAnsi="宋体" w:cs="宋体"/>
          <w:b w:val="0"/>
          <w:bCs/>
          <w:color w:val="000000"/>
          <w:sz w:val="24"/>
          <w:highlight w:val="yellow"/>
          <w:lang w:eastAsia="zh-Hans"/>
        </w:rPr>
      </w:pPr>
      <w:r>
        <w:rPr>
          <w:rFonts w:hint="eastAsia" w:ascii="宋体" w:hAnsi="宋体"/>
          <w:kern w:val="2"/>
          <w:sz w:val="24"/>
          <w:szCs w:val="24"/>
          <w:highlight w:val="none"/>
          <w:lang w:eastAsia="zh-CN"/>
        </w:rPr>
        <w:t>一年，</w:t>
      </w:r>
      <w:r>
        <w:rPr>
          <w:rFonts w:hint="eastAsia" w:ascii="宋体" w:hAnsi="宋体"/>
          <w:kern w:val="2"/>
          <w:sz w:val="24"/>
          <w:szCs w:val="24"/>
          <w:highlight w:val="none"/>
        </w:rPr>
        <w:t>具体起讫日期以合同中约定时间为准</w:t>
      </w:r>
      <w:r>
        <w:rPr>
          <w:rFonts w:hint="eastAsia" w:ascii="宋体" w:hAnsi="宋体" w:eastAsia="宋体" w:cs="宋体"/>
          <w:color w:val="000000"/>
          <w:kern w:val="0"/>
          <w:sz w:val="24"/>
          <w:szCs w:val="24"/>
          <w:lang w:val="en-US" w:eastAsia="zh-CN"/>
        </w:rPr>
        <w:t>。</w:t>
      </w:r>
    </w:p>
    <w:p w14:paraId="377A8513">
      <w:pPr>
        <w:pStyle w:val="23"/>
        <w:snapToGrid w:val="0"/>
        <w:spacing w:line="360" w:lineRule="auto"/>
        <w:rPr>
          <w:rFonts w:hAnsi="宋体"/>
          <w:b/>
          <w:color w:val="auto"/>
          <w:sz w:val="24"/>
          <w:highlight w:val="none"/>
        </w:rPr>
      </w:pPr>
      <w:r>
        <w:rPr>
          <w:rFonts w:hint="eastAsia" w:hAnsi="宋体"/>
          <w:b/>
          <w:color w:val="auto"/>
          <w:sz w:val="24"/>
          <w:highlight w:val="none"/>
          <w:lang w:eastAsia="zh-CN"/>
        </w:rPr>
        <w:t>六</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合同履行时间、履行方式及履行地点</w:t>
      </w:r>
    </w:p>
    <w:p w14:paraId="510A6948">
      <w:pPr>
        <w:pStyle w:val="23"/>
        <w:snapToGrid w:val="0"/>
        <w:spacing w:line="360" w:lineRule="auto"/>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w:t>
      </w:r>
      <w:r>
        <w:rPr>
          <w:rFonts w:hint="eastAsia" w:ascii="宋体" w:hAnsi="宋体" w:eastAsia="宋体" w:cs="宋体"/>
          <w:color w:val="000000"/>
          <w:kern w:val="0"/>
          <w:sz w:val="24"/>
          <w:szCs w:val="24"/>
          <w:highlight w:val="none"/>
          <w:lang w:val="en-US" w:eastAsia="zh-CN"/>
        </w:rPr>
        <w:t>2026年</w:t>
      </w:r>
      <w:r>
        <w:rPr>
          <w:rFonts w:hint="eastAsia"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lang w:val="en-US" w:eastAsia="zh-CN"/>
        </w:rPr>
        <w:t>月</w:t>
      </w:r>
      <w:r>
        <w:rPr>
          <w:rFonts w:hint="eastAsia"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日</w:t>
      </w:r>
      <w:r>
        <w:rPr>
          <w:rFonts w:hint="eastAsia" w:hAnsi="宋体"/>
          <w:color w:val="auto"/>
          <w:sz w:val="24"/>
          <w:highlight w:val="none"/>
          <w:lang w:val="en-US" w:eastAsia="zh-CN"/>
        </w:rPr>
        <w:t>止。</w:t>
      </w:r>
    </w:p>
    <w:p w14:paraId="2FF07069">
      <w:pPr>
        <w:pStyle w:val="23"/>
        <w:snapToGrid w:val="0"/>
        <w:spacing w:line="360" w:lineRule="auto"/>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6BE99E6C">
      <w:pPr>
        <w:pStyle w:val="23"/>
        <w:snapToGrid w:val="0"/>
        <w:spacing w:line="360" w:lineRule="auto"/>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p>
    <w:p w14:paraId="55E395C0">
      <w:pPr>
        <w:pStyle w:val="23"/>
        <w:snapToGrid w:val="0"/>
        <w:spacing w:line="360" w:lineRule="auto"/>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合同金额</w:t>
      </w:r>
    </w:p>
    <w:p w14:paraId="6AAB600D">
      <w:pPr>
        <w:pStyle w:val="23"/>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w:t>
      </w:r>
      <w:r>
        <w:rPr>
          <w:rFonts w:hint="eastAsia" w:hAnsi="宋体"/>
          <w:color w:val="auto"/>
          <w:sz w:val="24"/>
          <w:highlight w:val="none"/>
        </w:rPr>
        <w:t>元（￥</w:t>
      </w:r>
      <w:r>
        <w:rPr>
          <w:rFonts w:hAnsi="宋体"/>
          <w:color w:val="auto"/>
          <w:sz w:val="24"/>
          <w:highlight w:val="none"/>
          <w:u w:val="none"/>
        </w:rPr>
        <w:t>__________</w:t>
      </w:r>
      <w:r>
        <w:rPr>
          <w:rFonts w:hint="eastAsia" w:hAnsi="宋体"/>
          <w:color w:val="auto"/>
          <w:sz w:val="24"/>
          <w:highlight w:val="none"/>
          <w:u w:val="none"/>
          <w:lang w:val="en-US" w:eastAsia="zh-CN"/>
        </w:rPr>
        <w:t xml:space="preserve">  </w:t>
      </w:r>
      <w:r>
        <w:rPr>
          <w:rFonts w:hint="eastAsia" w:hAnsi="宋体"/>
          <w:color w:val="auto"/>
          <w:sz w:val="24"/>
          <w:highlight w:val="none"/>
        </w:rPr>
        <w:t>元）人民币。</w:t>
      </w:r>
    </w:p>
    <w:p w14:paraId="0E9D1969">
      <w:pPr>
        <w:pStyle w:val="23"/>
        <w:numPr>
          <w:ilvl w:val="0"/>
          <w:numId w:val="5"/>
        </w:numPr>
        <w:snapToGrid w:val="0"/>
        <w:spacing w:line="360" w:lineRule="auto"/>
        <w:ind w:left="0" w:leftChars="0" w:firstLine="0" w:firstLineChars="0"/>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付款</w:t>
      </w:r>
      <w:r>
        <w:rPr>
          <w:rFonts w:hint="eastAsia" w:hAnsi="宋体" w:cs="Times New Roman"/>
          <w:b/>
          <w:color w:val="auto"/>
          <w:sz w:val="24"/>
          <w:highlight w:val="none"/>
          <w:lang w:eastAsia="zh-CN"/>
        </w:rPr>
        <w:t>条件</w:t>
      </w:r>
      <w:r>
        <w:rPr>
          <w:rFonts w:hint="eastAsia" w:ascii="宋体" w:hAnsi="宋体" w:eastAsia="宋体" w:cs="Times New Roman"/>
          <w:b/>
          <w:color w:val="auto"/>
          <w:sz w:val="24"/>
          <w:highlight w:val="none"/>
          <w:lang w:eastAsia="zh-CN"/>
        </w:rPr>
        <w:t>：</w:t>
      </w:r>
    </w:p>
    <w:p w14:paraId="747C8167">
      <w:pPr>
        <w:pStyle w:val="23"/>
        <w:widowControl w:val="0"/>
        <w:numPr>
          <w:ilvl w:val="0"/>
          <w:numId w:val="0"/>
        </w:numPr>
        <w:snapToGrid w:val="0"/>
        <w:spacing w:line="360" w:lineRule="auto"/>
        <w:jc w:val="both"/>
        <w:rPr>
          <w:rFonts w:hint="eastAsia" w:ascii="宋体" w:hAnsi="宋体" w:eastAsia="宋体" w:cs="Times New Roman"/>
          <w:b/>
          <w:color w:val="auto"/>
          <w:sz w:val="24"/>
          <w:highlight w:val="none"/>
          <w:lang w:eastAsia="zh-CN"/>
        </w:rPr>
      </w:pPr>
    </w:p>
    <w:p w14:paraId="07D25B78">
      <w:pPr>
        <w:pStyle w:val="23"/>
        <w:widowControl w:val="0"/>
        <w:numPr>
          <w:ilvl w:val="0"/>
          <w:numId w:val="0"/>
        </w:numPr>
        <w:snapToGrid w:val="0"/>
        <w:spacing w:line="360" w:lineRule="auto"/>
        <w:jc w:val="both"/>
        <w:rPr>
          <w:rFonts w:hint="eastAsia" w:ascii="宋体" w:hAnsi="宋体" w:eastAsia="宋体" w:cs="Times New Roman"/>
          <w:b/>
          <w:color w:val="auto"/>
          <w:sz w:val="24"/>
          <w:highlight w:val="none"/>
          <w:lang w:eastAsia="zh-CN"/>
        </w:rPr>
      </w:pPr>
    </w:p>
    <w:p w14:paraId="67A8564D">
      <w:pPr>
        <w:pStyle w:val="23"/>
        <w:snapToGrid w:val="0"/>
        <w:spacing w:line="360" w:lineRule="auto"/>
        <w:rPr>
          <w:rFonts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、技术资料</w:t>
      </w:r>
    </w:p>
    <w:p w14:paraId="307EAB4C">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、乙方应按招标文件规定的时间向甲方提供有关技术资料。</w:t>
      </w:r>
    </w:p>
    <w:p w14:paraId="67C13F83">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2CF700">
      <w:pPr>
        <w:pStyle w:val="23"/>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rPr>
        <w:t>、知识产权</w:t>
      </w:r>
    </w:p>
    <w:p w14:paraId="157E668A">
      <w:pPr>
        <w:pStyle w:val="23"/>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17B0DFCE">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797637EF">
      <w:pPr>
        <w:pStyle w:val="23"/>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eastAsia="zh-CN"/>
        </w:rPr>
        <w:t>十一</w:t>
      </w:r>
      <w:r>
        <w:rPr>
          <w:rFonts w:hint="eastAsia" w:hAnsi="宋体"/>
          <w:b/>
          <w:color w:val="auto"/>
          <w:sz w:val="24"/>
          <w:highlight w:val="none"/>
        </w:rPr>
        <w:t>、履约保证金</w:t>
      </w:r>
    </w:p>
    <w:p w14:paraId="1FF1CAEE">
      <w:pPr>
        <w:pStyle w:val="23"/>
        <w:snapToGrid w:val="0"/>
        <w:spacing w:line="360" w:lineRule="auto"/>
        <w:ind w:firstLine="480" w:firstLineChars="200"/>
        <w:rPr>
          <w:rFonts w:hint="eastAsia" w:ascii="宋体" w:hAnsi="宋体"/>
          <w:sz w:val="24"/>
          <w:szCs w:val="24"/>
        </w:rPr>
      </w:pPr>
      <w:r>
        <w:rPr>
          <w:rFonts w:hint="eastAsia" w:hAnsi="宋体"/>
          <w:sz w:val="24"/>
          <w:szCs w:val="22"/>
        </w:rPr>
        <w:t>本项目履约保证金为</w:t>
      </w:r>
      <w:r>
        <w:rPr>
          <w:rFonts w:hint="eastAsia" w:hAnsi="宋体"/>
          <w:sz w:val="24"/>
          <w:szCs w:val="22"/>
          <w:highlight w:val="none"/>
          <w:u w:val="single"/>
          <w:lang w:val="en-US" w:eastAsia="zh-CN"/>
        </w:rPr>
        <w:t xml:space="preserve">   0  </w:t>
      </w:r>
      <w:r>
        <w:rPr>
          <w:rFonts w:hint="eastAsia" w:hAnsi="宋体"/>
          <w:sz w:val="24"/>
          <w:szCs w:val="22"/>
          <w:highlight w:val="none"/>
          <w:u w:val="single"/>
          <w:lang w:eastAsia="zh-CN"/>
        </w:rPr>
        <w:t>元</w:t>
      </w:r>
      <w:r>
        <w:rPr>
          <w:rFonts w:hint="eastAsia" w:hAnsi="宋体"/>
          <w:sz w:val="24"/>
          <w:szCs w:val="22"/>
          <w:highlight w:val="none"/>
        </w:rPr>
        <w:t>。</w:t>
      </w:r>
      <w:r>
        <w:rPr>
          <w:rFonts w:hint="eastAsia" w:hAnsi="宋体" w:cs="Times New Roman"/>
          <w:sz w:val="24"/>
          <w:szCs w:val="24"/>
          <w:highlight w:val="none"/>
          <w:lang w:eastAsia="zh-CN"/>
        </w:rPr>
        <w:t>（</w:t>
      </w:r>
      <w:r>
        <w:rPr>
          <w:rFonts w:hint="eastAsia" w:ascii="宋体" w:hAnsi="宋体" w:cs="Times New Roman"/>
          <w:sz w:val="24"/>
          <w:szCs w:val="24"/>
          <w:highlight w:val="none"/>
        </w:rPr>
        <w:t>本项目</w:t>
      </w:r>
      <w:r>
        <w:rPr>
          <w:rFonts w:hint="eastAsia"/>
          <w:sz w:val="24"/>
          <w:szCs w:val="24"/>
          <w:highlight w:val="none"/>
        </w:rPr>
        <w:t>如需合同履约保证金请合同双方在签订合同时商定</w:t>
      </w:r>
      <w:r>
        <w:rPr>
          <w:rFonts w:hint="eastAsia"/>
          <w:sz w:val="24"/>
          <w:szCs w:val="24"/>
          <w:highlight w:val="none"/>
          <w:lang w:eastAsia="zh-CN"/>
        </w:rPr>
        <w:t>，</w:t>
      </w:r>
      <w:r>
        <w:rPr>
          <w:rFonts w:cs="宋体"/>
          <w:sz w:val="24"/>
          <w:szCs w:val="24"/>
          <w:highlight w:val="none"/>
        </w:rPr>
        <w:t>履约保证金的数额不得超过政府采购合同金额的</w:t>
      </w:r>
      <w:r>
        <w:rPr>
          <w:rFonts w:hint="eastAsia" w:cs="宋体"/>
          <w:sz w:val="24"/>
          <w:szCs w:val="24"/>
          <w:highlight w:val="none"/>
          <w:lang w:val="en-US" w:eastAsia="zh-CN"/>
        </w:rPr>
        <w:t>1</w:t>
      </w:r>
      <w:r>
        <w:rPr>
          <w:rFonts w:cs="宋体"/>
          <w:sz w:val="24"/>
          <w:szCs w:val="24"/>
          <w:highlight w:val="none"/>
        </w:rPr>
        <w:t>%</w:t>
      </w:r>
      <w:r>
        <w:rPr>
          <w:rFonts w:hint="eastAsia" w:ascii="宋体" w:hAnsi="宋体" w:cs="Times New Roman"/>
          <w:sz w:val="24"/>
          <w:szCs w:val="24"/>
          <w:highlight w:val="none"/>
        </w:rPr>
        <w:t>。</w:t>
      </w:r>
      <w:r>
        <w:rPr>
          <w:rFonts w:hint="eastAsia" w:hAnsi="宋体"/>
          <w:sz w:val="24"/>
          <w:szCs w:val="22"/>
          <w:highlight w:val="none"/>
          <w:lang w:eastAsia="zh-CN"/>
        </w:rPr>
        <w:t>）</w:t>
      </w:r>
      <w:r>
        <w:rPr>
          <w:rFonts w:hint="eastAsia" w:ascii="宋体" w:hAnsi="宋体"/>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sz w:val="24"/>
          <w:szCs w:val="24"/>
          <w:highlight w:val="none"/>
        </w:rPr>
        <w:t>向采购人</w:t>
      </w:r>
      <w:r>
        <w:rPr>
          <w:rFonts w:hint="eastAsia" w:hAnsi="宋体"/>
          <w:color w:val="auto"/>
          <w:sz w:val="24"/>
          <w:szCs w:val="24"/>
          <w:highlight w:val="none"/>
        </w:rPr>
        <w:t>提交</w:t>
      </w:r>
      <w:r>
        <w:rPr>
          <w:rFonts w:hint="eastAsia" w:ascii="宋体" w:hAnsi="宋体"/>
          <w:sz w:val="24"/>
          <w:szCs w:val="24"/>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sz w:val="24"/>
          <w:szCs w:val="24"/>
        </w:rPr>
        <w:t>的，采购人则以法定程序向中标人等额追缴。</w:t>
      </w:r>
    </w:p>
    <w:p w14:paraId="30D6514F">
      <w:pPr>
        <w:pStyle w:val="23"/>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十二</w:t>
      </w:r>
      <w:r>
        <w:rPr>
          <w:rFonts w:hint="eastAsia" w:hAnsi="宋体"/>
          <w:b/>
          <w:bCs/>
          <w:color w:val="auto"/>
          <w:sz w:val="24"/>
          <w:szCs w:val="22"/>
          <w:highlight w:val="none"/>
        </w:rPr>
        <w:t>、转包或分包</w:t>
      </w:r>
    </w:p>
    <w:p w14:paraId="387D6703">
      <w:pPr>
        <w:snapToGrid w:val="0"/>
        <w:spacing w:line="360" w:lineRule="auto"/>
        <w:ind w:firstLine="480" w:firstLineChars="200"/>
        <w:rPr>
          <w:rFonts w:ascii="宋体" w:hAnsi="宋体"/>
          <w:color w:val="auto"/>
          <w:sz w:val="24"/>
          <w:highlight w:val="none"/>
        </w:rPr>
      </w:pPr>
      <w:r>
        <w:rPr>
          <w:rFonts w:hint="eastAsia" w:ascii="宋体" w:hAnsi="宋体" w:eastAsia="宋体"/>
          <w:color w:val="auto"/>
          <w:sz w:val="24"/>
          <w:szCs w:val="24"/>
          <w:highlight w:val="none"/>
        </w:rPr>
        <w:t>本项目不允许转包</w:t>
      </w:r>
      <w:r>
        <w:rPr>
          <w:rFonts w:hint="eastAsia" w:ascii="宋体" w:hAnsi="宋体"/>
          <w:color w:val="auto"/>
          <w:sz w:val="24"/>
          <w:szCs w:val="24"/>
          <w:highlight w:val="none"/>
          <w:lang w:eastAsia="zh-CN"/>
        </w:rPr>
        <w:t>分包</w:t>
      </w:r>
    </w:p>
    <w:p w14:paraId="3970E108">
      <w:pPr>
        <w:pStyle w:val="23"/>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14:paraId="471BABC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67344BCF">
      <w:pPr>
        <w:pStyle w:val="23"/>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14:paraId="3FA9C93B">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0CA480EA">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735E592E">
      <w:pPr>
        <w:pStyle w:val="23"/>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074A74EA">
      <w:pPr>
        <w:pStyle w:val="23"/>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51E73571">
      <w:pPr>
        <w:pStyle w:val="23"/>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175B2198">
      <w:pPr>
        <w:pStyle w:val="2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33C73E01">
      <w:pPr>
        <w:pStyle w:val="23"/>
        <w:snapToGrid w:val="0"/>
        <w:spacing w:line="360" w:lineRule="auto"/>
        <w:rPr>
          <w:rFonts w:hAnsi="宋体"/>
          <w:b/>
          <w:color w:val="auto"/>
          <w:sz w:val="24"/>
          <w:highlight w:val="none"/>
        </w:rPr>
      </w:pPr>
      <w:r>
        <w:rPr>
          <w:rFonts w:hint="eastAsia" w:hAnsi="宋体"/>
          <w:b/>
          <w:color w:val="auto"/>
          <w:sz w:val="24"/>
          <w:highlight w:val="none"/>
        </w:rPr>
        <w:t>十五、违约责任</w:t>
      </w:r>
    </w:p>
    <w:p w14:paraId="73321D7D">
      <w:pPr>
        <w:pStyle w:val="23"/>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25FCC159">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3FCBB8BF">
      <w:pPr>
        <w:pStyle w:val="23"/>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F5D55E3">
      <w:pPr>
        <w:pStyle w:val="23"/>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59139364">
      <w:pPr>
        <w:pStyle w:val="23"/>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14:paraId="10AF7D76">
      <w:pPr>
        <w:pStyle w:val="23"/>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03E2C95C">
      <w:pPr>
        <w:pStyle w:val="23"/>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0353484B">
      <w:pPr>
        <w:pStyle w:val="23"/>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7124C188">
      <w:pPr>
        <w:pStyle w:val="23"/>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054F8E58">
      <w:pPr>
        <w:pStyle w:val="23"/>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14:paraId="41445FAC">
      <w:pPr>
        <w:pStyle w:val="23"/>
        <w:snapToGrid w:val="0"/>
        <w:spacing w:line="360" w:lineRule="auto"/>
        <w:rPr>
          <w:rFonts w:hAnsi="宋体"/>
          <w:b/>
          <w:color w:val="auto"/>
          <w:sz w:val="24"/>
          <w:highlight w:val="none"/>
        </w:rPr>
      </w:pPr>
      <w:r>
        <w:rPr>
          <w:rFonts w:hint="eastAsia" w:hAnsi="宋体"/>
          <w:b/>
          <w:color w:val="auto"/>
          <w:sz w:val="24"/>
          <w:highlight w:val="none"/>
        </w:rPr>
        <w:t>十七、解决争议的方法</w:t>
      </w:r>
    </w:p>
    <w:p w14:paraId="2F0E8F65">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6F08DBC7">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14:paraId="12B025E9">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7EE10132">
      <w:pPr>
        <w:pStyle w:val="23"/>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14:paraId="176D398B">
      <w:pPr>
        <w:pStyle w:val="2"/>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33275317">
      <w:pPr>
        <w:pStyle w:val="2"/>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608CEF5D">
      <w:pPr>
        <w:pStyle w:val="2"/>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2B469102">
      <w:pPr>
        <w:pStyle w:val="2"/>
        <w:ind w:right="-88" w:firstLine="480" w:firstLineChars="200"/>
        <w:rPr>
          <w:rFonts w:hAnsi="宋体" w:cs="宋体"/>
          <w:color w:val="auto"/>
          <w:szCs w:val="24"/>
          <w:highlight w:val="none"/>
        </w:rPr>
      </w:pPr>
      <w:r>
        <w:rPr>
          <w:rFonts w:hint="eastAsia" w:ascii="宋体" w:hAnsi="宋体" w:eastAsia="宋体"/>
          <w:color w:val="auto"/>
          <w:highlight w:val="none"/>
        </w:rPr>
        <w:t>4、合同必须经路桥区政府采购中心鉴证。</w:t>
      </w:r>
    </w:p>
    <w:p w14:paraId="49992FBC">
      <w:pPr>
        <w:spacing w:line="360" w:lineRule="auto"/>
        <w:rPr>
          <w:rFonts w:hint="eastAsia" w:ascii="宋体" w:hAnsi="宋体"/>
          <w:color w:val="auto"/>
          <w:sz w:val="24"/>
          <w:highlight w:val="none"/>
        </w:rPr>
      </w:pPr>
    </w:p>
    <w:p w14:paraId="73B8D5DE">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35B11E05">
      <w:pPr>
        <w:spacing w:line="360" w:lineRule="auto"/>
        <w:rPr>
          <w:rFonts w:ascii="宋体" w:hAnsi="宋体"/>
          <w:color w:val="auto"/>
          <w:sz w:val="24"/>
          <w:highlight w:val="none"/>
        </w:rPr>
      </w:pPr>
    </w:p>
    <w:p w14:paraId="48CBCBC3">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14:paraId="5D32EB3D">
      <w:pPr>
        <w:spacing w:line="360" w:lineRule="auto"/>
        <w:rPr>
          <w:rFonts w:ascii="宋体" w:hAnsi="宋体"/>
          <w:color w:val="auto"/>
          <w:sz w:val="24"/>
          <w:highlight w:val="none"/>
        </w:rPr>
      </w:pPr>
      <w:r>
        <w:rPr>
          <w:rFonts w:ascii="宋体" w:hAnsi="宋体"/>
          <w:color w:val="auto"/>
          <w:sz w:val="24"/>
          <w:highlight w:val="none"/>
        </w:rPr>
        <w:t xml:space="preserve">               </w:t>
      </w:r>
    </w:p>
    <w:p w14:paraId="49F3E29D">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1D305335">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369B05CF">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2F3ED89F">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39144338">
      <w:pPr>
        <w:widowControl w:val="0"/>
        <w:spacing w:line="500" w:lineRule="exact"/>
        <w:jc w:val="both"/>
        <w:textAlignment w:val="baseline"/>
        <w:rPr>
          <w:rFonts w:ascii="宋体" w:hAnsi="宋体"/>
          <w:snapToGrid w:val="0"/>
          <w:color w:val="auto"/>
          <w:sz w:val="24"/>
          <w:highlight w:val="none"/>
        </w:rPr>
      </w:pPr>
    </w:p>
    <w:p w14:paraId="4ED4EAFC">
      <w:pPr>
        <w:widowControl w:val="0"/>
        <w:spacing w:line="500" w:lineRule="exact"/>
        <w:jc w:val="both"/>
        <w:textAlignment w:val="baseline"/>
        <w:rPr>
          <w:rFonts w:hint="eastAsia" w:ascii="宋体" w:hAnsi="宋体"/>
          <w:snapToGrid w:val="0"/>
          <w:color w:val="auto"/>
          <w:sz w:val="24"/>
          <w:highlight w:val="none"/>
        </w:rPr>
      </w:pPr>
    </w:p>
    <w:p w14:paraId="6B610A7D">
      <w:pPr>
        <w:rPr>
          <w:rFonts w:hint="eastAsia" w:ascii="方正小标宋简体" w:hAnsi="方正小标宋简体" w:eastAsia="方正小标宋简体"/>
          <w:b/>
          <w:bCs/>
          <w:color w:val="auto"/>
          <w:sz w:val="40"/>
          <w:szCs w:val="18"/>
          <w:highlight w:val="none"/>
        </w:rPr>
      </w:pPr>
      <w:r>
        <w:rPr>
          <w:rFonts w:hint="eastAsia" w:ascii="方正小标宋简体" w:hAnsi="方正小标宋简体" w:eastAsia="方正小标宋简体"/>
          <w:b/>
          <w:bCs/>
          <w:color w:val="auto"/>
          <w:sz w:val="40"/>
          <w:szCs w:val="18"/>
          <w:highlight w:val="none"/>
        </w:rPr>
        <w:br w:type="page"/>
      </w:r>
    </w:p>
    <w:p w14:paraId="10E0BBC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b/>
          <w:bCs/>
          <w:color w:val="auto"/>
          <w:sz w:val="24"/>
          <w:szCs w:val="24"/>
          <w:highlight w:val="none"/>
        </w:rPr>
      </w:pPr>
    </w:p>
    <w:p w14:paraId="0B3DBE01">
      <w:pPr>
        <w:spacing w:line="360" w:lineRule="auto"/>
        <w:jc w:val="center"/>
        <w:rPr>
          <w:rFonts w:ascii="方正小标宋简体" w:hAnsi="方正小标宋简体" w:eastAsia="方正小标宋简体"/>
          <w:b/>
          <w:bCs/>
          <w:color w:val="auto"/>
          <w:sz w:val="40"/>
          <w:szCs w:val="18"/>
          <w:highlight w:val="none"/>
        </w:rPr>
      </w:pPr>
      <w:r>
        <w:rPr>
          <w:rFonts w:hint="eastAsia" w:ascii="方正小标宋简体" w:hAnsi="方正小标宋简体" w:eastAsia="方正小标宋简体"/>
          <w:b/>
          <w:bCs/>
          <w:color w:val="auto"/>
          <w:sz w:val="40"/>
          <w:szCs w:val="18"/>
          <w:highlight w:val="none"/>
        </w:rPr>
        <w:t xml:space="preserve">第六章  </w:t>
      </w:r>
      <w:r>
        <w:rPr>
          <w:rFonts w:hint="eastAsia" w:ascii="方正小标宋简体" w:hAnsi="方正小标宋简体" w:eastAsia="方正小标宋简体"/>
          <w:b/>
          <w:bCs/>
          <w:color w:val="auto"/>
          <w:sz w:val="40"/>
          <w:szCs w:val="18"/>
          <w:highlight w:val="none"/>
          <w:lang w:eastAsia="zh-CN"/>
        </w:rPr>
        <w:t>响应</w:t>
      </w:r>
      <w:r>
        <w:rPr>
          <w:rFonts w:hint="eastAsia" w:ascii="方正小标宋简体" w:hAnsi="方正小标宋简体" w:eastAsia="方正小标宋简体"/>
          <w:b/>
          <w:bCs/>
          <w:color w:val="auto"/>
          <w:sz w:val="40"/>
          <w:szCs w:val="18"/>
          <w:highlight w:val="none"/>
        </w:rPr>
        <w:t>文件格式</w:t>
      </w:r>
      <w:bookmarkStart w:id="47" w:name="_Toc202235415"/>
      <w:r>
        <w:rPr>
          <w:rFonts w:hint="eastAsia" w:ascii="方正小标宋简体" w:hAnsi="方正小标宋简体" w:eastAsia="方正小标宋简体"/>
          <w:b/>
          <w:bCs/>
          <w:color w:val="auto"/>
          <w:sz w:val="40"/>
          <w:szCs w:val="18"/>
          <w:highlight w:val="none"/>
        </w:rPr>
        <w:t>附件</w:t>
      </w:r>
    </w:p>
    <w:p w14:paraId="3C0EF928">
      <w:pPr>
        <w:spacing w:line="360" w:lineRule="auto"/>
        <w:rPr>
          <w:rFonts w:ascii="宋体" w:hAnsi="宋体"/>
          <w:b/>
          <w:color w:val="auto"/>
          <w:spacing w:val="40"/>
          <w:sz w:val="22"/>
          <w:szCs w:val="22"/>
          <w:highlight w:val="none"/>
        </w:rPr>
      </w:pPr>
    </w:p>
    <w:p w14:paraId="3AB1D06A">
      <w:pPr>
        <w:spacing w:line="360" w:lineRule="auto"/>
        <w:jc w:val="right"/>
        <w:rPr>
          <w:rFonts w:ascii="宋体" w:hAnsi="宋体"/>
          <w:b/>
          <w:color w:val="auto"/>
          <w:spacing w:val="40"/>
          <w:sz w:val="28"/>
          <w:szCs w:val="28"/>
          <w:highlight w:val="none"/>
        </w:rPr>
      </w:pPr>
      <w:r>
        <w:rPr>
          <w:rFonts w:hint="eastAsia" w:ascii="楷体_GB2312" w:eastAsia="楷体_GB2312"/>
          <w:b/>
          <w:snapToGrid w:val="0"/>
          <w:color w:val="auto"/>
          <w:sz w:val="28"/>
          <w:szCs w:val="18"/>
          <w:highlight w:val="none"/>
          <w:lang w:eastAsia="zh-CN"/>
        </w:rPr>
        <w:t>（封面）</w:t>
      </w:r>
      <w:r>
        <w:rPr>
          <w:rFonts w:hint="eastAsia" w:ascii="楷体_GB2312" w:eastAsia="楷体_GB2312"/>
          <w:b/>
          <w:snapToGrid w:val="0"/>
          <w:color w:val="auto"/>
          <w:sz w:val="28"/>
          <w:szCs w:val="18"/>
          <w:highlight w:val="none"/>
        </w:rPr>
        <w:t>正本或副本</w:t>
      </w:r>
    </w:p>
    <w:p w14:paraId="261CE7B3">
      <w:pPr>
        <w:spacing w:before="100" w:beforeAutospacing="1" w:line="360" w:lineRule="auto"/>
        <w:ind w:right="-108"/>
        <w:jc w:val="center"/>
        <w:rPr>
          <w:rFonts w:ascii="宋体" w:hAnsi="宋体"/>
          <w:color w:val="auto"/>
          <w:spacing w:val="40"/>
          <w:sz w:val="72"/>
          <w:szCs w:val="72"/>
          <w:highlight w:val="none"/>
        </w:rPr>
      </w:pPr>
      <w:r>
        <w:rPr>
          <w:rFonts w:hint="eastAsia" w:hAnsi="宋体"/>
          <w:color w:val="auto"/>
          <w:sz w:val="44"/>
          <w:szCs w:val="44"/>
          <w:highlight w:val="none"/>
          <w:lang w:eastAsia="zh-CN"/>
        </w:rPr>
        <w:t>加油服务采购项目</w:t>
      </w:r>
    </w:p>
    <w:p w14:paraId="5DD1354C">
      <w:pPr>
        <w:spacing w:beforeLines="50" w:line="360" w:lineRule="auto"/>
        <w:ind w:right="-108"/>
        <w:jc w:val="center"/>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LQCG-2025-CS003号</w:t>
      </w:r>
    </w:p>
    <w:p w14:paraId="101CDC21">
      <w:pPr>
        <w:autoSpaceDE w:val="0"/>
        <w:autoSpaceDN w:val="0"/>
        <w:adjustRightInd w:val="0"/>
        <w:spacing w:line="360" w:lineRule="auto"/>
        <w:jc w:val="center"/>
        <w:rPr>
          <w:rFonts w:hint="eastAsia" w:ascii="宋体" w:hAnsi="宋体" w:cs="宋体"/>
          <w:color w:val="auto"/>
          <w:sz w:val="40"/>
          <w:szCs w:val="40"/>
          <w:highlight w:val="none"/>
          <w:lang w:val="zh-CN"/>
        </w:rPr>
      </w:pPr>
    </w:p>
    <w:p w14:paraId="3087D471">
      <w:pPr>
        <w:autoSpaceDE w:val="0"/>
        <w:autoSpaceDN w:val="0"/>
        <w:adjustRightInd w:val="0"/>
        <w:spacing w:line="360" w:lineRule="auto"/>
        <w:jc w:val="center"/>
        <w:rPr>
          <w:rFonts w:hint="eastAsia" w:ascii="宋体" w:hAnsi="宋体" w:cs="宋体"/>
          <w:color w:val="auto"/>
          <w:sz w:val="72"/>
          <w:szCs w:val="72"/>
          <w:highlight w:val="none"/>
          <w:lang w:val="zh-CN"/>
        </w:rPr>
      </w:pPr>
      <w:r>
        <w:rPr>
          <w:rFonts w:hint="eastAsia" w:ascii="宋体" w:hAnsi="宋体" w:cs="宋体"/>
          <w:color w:val="auto"/>
          <w:sz w:val="72"/>
          <w:szCs w:val="72"/>
          <w:highlight w:val="none"/>
          <w:lang w:val="zh-CN"/>
        </w:rPr>
        <w:t>响</w:t>
      </w:r>
    </w:p>
    <w:p w14:paraId="3D704208">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应</w:t>
      </w:r>
    </w:p>
    <w:p w14:paraId="3B462B4F">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14:paraId="40676E8C">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14:paraId="16577EEE">
      <w:pPr>
        <w:spacing w:line="360" w:lineRule="auto"/>
        <w:ind w:right="-108"/>
        <w:jc w:val="center"/>
        <w:rPr>
          <w:rFonts w:ascii="宋体" w:hAnsi="宋体" w:cs="宋体"/>
          <w:color w:val="auto"/>
          <w:sz w:val="72"/>
          <w:szCs w:val="72"/>
          <w:highlight w:val="none"/>
          <w:lang w:val="zh-CN"/>
        </w:rPr>
      </w:pPr>
    </w:p>
    <w:p w14:paraId="22F57C3C">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14:paraId="794B8787">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55AA9B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DCEF53B">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35C5A0AC">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cs="宋体"/>
          <w:b/>
          <w:color w:val="auto"/>
          <w:sz w:val="36"/>
          <w:szCs w:val="32"/>
          <w:highlight w:val="none"/>
        </w:rPr>
        <w:br w:type="page"/>
      </w:r>
      <w:r>
        <w:rPr>
          <w:rFonts w:hint="eastAsia" w:ascii="宋体" w:hAnsi="宋体"/>
          <w:b/>
          <w:bCs/>
          <w:color w:val="auto"/>
          <w:sz w:val="40"/>
          <w:szCs w:val="40"/>
          <w:highlight w:val="none"/>
        </w:rPr>
        <w:t>资格证明部分目录</w:t>
      </w:r>
    </w:p>
    <w:p w14:paraId="59B098F7">
      <w:pPr>
        <w:widowControl w:val="0"/>
        <w:numPr>
          <w:ilvl w:val="0"/>
          <w:numId w:val="8"/>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14:paraId="539B5804">
      <w:pPr>
        <w:keepNext w:val="0"/>
        <w:keepLines w:val="0"/>
        <w:pageBreakBefore w:val="0"/>
        <w:widowControl w:val="0"/>
        <w:numPr>
          <w:ilvl w:val="0"/>
          <w:numId w:val="8"/>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312A4374">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14:paraId="1BD96800">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14:paraId="21C6A67B">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r>
        <w:rPr>
          <w:rFonts w:hint="eastAsia" w:ascii="宋体" w:hAnsi="宋体" w:cs="宋体"/>
          <w:sz w:val="24"/>
          <w:szCs w:val="24"/>
          <w:lang w:eastAsia="zh-CN"/>
        </w:rPr>
        <w:t>（</w:t>
      </w:r>
      <w:r>
        <w:rPr>
          <w:rFonts w:hint="eastAsia" w:ascii="宋体" w:hAnsi="宋体" w:cs="宋体"/>
          <w:kern w:val="0"/>
          <w:sz w:val="24"/>
          <w:szCs w:val="24"/>
        </w:rPr>
        <w:t>如有需提供</w:t>
      </w:r>
      <w:r>
        <w:rPr>
          <w:rFonts w:hint="eastAsia" w:ascii="宋体" w:hAnsi="宋体" w:cs="宋体"/>
          <w:kern w:val="0"/>
          <w:sz w:val="24"/>
          <w:szCs w:val="24"/>
          <w:lang w:val="en-US" w:eastAsia="zh-CN"/>
        </w:rPr>
        <w:t>)</w:t>
      </w:r>
    </w:p>
    <w:p w14:paraId="26F8DABC">
      <w:pPr>
        <w:keepNext w:val="0"/>
        <w:keepLines w:val="0"/>
        <w:pageBreakBefore w:val="0"/>
        <w:kinsoku/>
        <w:wordWrap/>
        <w:overflowPunct/>
        <w:topLinePunct w:val="0"/>
        <w:autoSpaceDE/>
        <w:autoSpaceDN/>
        <w:bidi w:val="0"/>
        <w:snapToGrid w:val="0"/>
        <w:spacing w:line="480" w:lineRule="auto"/>
        <w:textAlignment w:val="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14:paraId="4F69F448">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磋商声明书</w:t>
      </w:r>
    </w:p>
    <w:p w14:paraId="3EC3F2E3">
      <w:pPr>
        <w:keepNext w:val="0"/>
        <w:keepLines w:val="0"/>
        <w:pageBreakBefore w:val="0"/>
        <w:kinsoku/>
        <w:wordWrap/>
        <w:overflowPunct/>
        <w:topLinePunct w:val="0"/>
        <w:bidi w:val="0"/>
        <w:snapToGrid w:val="0"/>
        <w:spacing w:beforeLines="50" w:after="50" w:line="340" w:lineRule="exact"/>
        <w:textAlignment w:val="auto"/>
        <w:rPr>
          <w:rFonts w:ascii="宋体" w:hAnsi="宋体" w:cs="宋体"/>
          <w:color w:val="auto"/>
          <w:sz w:val="24"/>
          <w:highlight w:val="none"/>
        </w:rPr>
      </w:pPr>
      <w:r>
        <w:rPr>
          <w:rFonts w:hint="eastAsia" w:ascii="宋体" w:hAnsi="宋体" w:cs="宋体"/>
          <w:color w:val="auto"/>
          <w:sz w:val="24"/>
          <w:highlight w:val="none"/>
        </w:rPr>
        <w:t>台州市路桥区政府采购中心：</w:t>
      </w:r>
    </w:p>
    <w:p w14:paraId="761217C9">
      <w:pPr>
        <w:keepNext w:val="0"/>
        <w:keepLines w:val="0"/>
        <w:pageBreakBefore w:val="0"/>
        <w:kinsoku/>
        <w:wordWrap/>
        <w:overflowPunct/>
        <w:topLinePunct w:val="0"/>
        <w:bidi w:val="0"/>
        <w:snapToGrid w:val="0"/>
        <w:spacing w:beforeLines="50" w:line="340" w:lineRule="exact"/>
        <w:ind w:firstLine="480" w:firstLineChars="200"/>
        <w:textAlignment w:val="auto"/>
        <w:rPr>
          <w:rFonts w:ascii="宋体" w:hAnsi="宋体" w:cs="宋体"/>
          <w:color w:val="auto"/>
          <w:sz w:val="24"/>
          <w:highlight w:val="none"/>
        </w:rPr>
      </w:pPr>
      <w:r>
        <w:rPr>
          <w:rFonts w:hint="eastAsia" w:ascii="宋体" w:hAnsi="宋体" w:cs="宋体"/>
          <w:color w:val="0000FF"/>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883B56">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0000FF"/>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投标人名称</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w:t>
      </w:r>
      <w:r>
        <w:rPr>
          <w:rFonts w:hint="eastAsia" w:hAnsi="宋体"/>
          <w:color w:val="0000FF"/>
          <w:sz w:val="24"/>
          <w:szCs w:val="24"/>
          <w:highlight w:val="none"/>
          <w:u w:val="single"/>
          <w:lang w:val="en-US" w:eastAsia="zh-CN"/>
        </w:rPr>
        <w:t xml:space="preserve"> 加油服务采购 </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0000FF"/>
          <w:sz w:val="24"/>
          <w:highlight w:val="none"/>
          <w:u w:val="single"/>
          <w:lang w:val="en-US" w:eastAsia="zh-CN"/>
        </w:rPr>
        <w:t xml:space="preserve"> LQCG-2025-CS003号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14:paraId="196CC824">
      <w:pPr>
        <w:keepNext w:val="0"/>
        <w:keepLines w:val="0"/>
        <w:pageBreakBefore w:val="0"/>
        <w:widowControl w:val="0"/>
        <w:kinsoku/>
        <w:wordWrap/>
        <w:overflowPunct/>
        <w:topLinePunct w:val="0"/>
        <w:bidi w:val="0"/>
        <w:snapToGrid w:val="0"/>
        <w:spacing w:beforeLines="50" w:line="3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w:t>
      </w:r>
      <w:r>
        <w:rPr>
          <w:rFonts w:hint="eastAsia" w:ascii="宋体" w:hAnsi="宋体" w:cs="宋体"/>
          <w:color w:val="auto"/>
          <w:sz w:val="24"/>
          <w:highlight w:val="none"/>
          <w:lang w:eastAsia="zh-CN"/>
        </w:rPr>
        <w:t>磋商</w:t>
      </w:r>
      <w:r>
        <w:rPr>
          <w:rFonts w:ascii="宋体" w:hAnsi="宋体" w:cs="宋体"/>
          <w:color w:val="auto"/>
          <w:sz w:val="24"/>
          <w:highlight w:val="none"/>
        </w:rPr>
        <w:t>文件和所有相关资料，我方完全明白并认为此招标文件没有倾向性，也没有存在排斥潜在投标人的内容，我方同意</w:t>
      </w:r>
      <w:r>
        <w:rPr>
          <w:rFonts w:hint="eastAsia" w:ascii="宋体" w:hAnsi="宋体" w:cs="宋体"/>
          <w:color w:val="auto"/>
          <w:sz w:val="24"/>
          <w:highlight w:val="none"/>
          <w:lang w:eastAsia="zh-CN"/>
        </w:rPr>
        <w:t>磋商</w:t>
      </w:r>
      <w:r>
        <w:rPr>
          <w:rFonts w:ascii="宋体" w:hAnsi="宋体" w:cs="宋体"/>
          <w:color w:val="auto"/>
          <w:sz w:val="24"/>
          <w:highlight w:val="none"/>
        </w:rPr>
        <w:t>文件的相关条款，放弃对招标文件提出误解和质疑的一切权</w:t>
      </w:r>
      <w:r>
        <w:rPr>
          <w:rFonts w:hint="eastAsia" w:ascii="宋体" w:hAnsi="宋体" w:cs="宋体"/>
          <w:color w:val="auto"/>
          <w:sz w:val="24"/>
          <w:highlight w:val="none"/>
        </w:rPr>
        <w:t>利。</w:t>
      </w:r>
    </w:p>
    <w:p w14:paraId="3E1B8047">
      <w:pPr>
        <w:keepNext w:val="0"/>
        <w:keepLines w:val="0"/>
        <w:pageBreakBefore w:val="0"/>
        <w:widowControl w:val="0"/>
        <w:kinsoku/>
        <w:wordWrap/>
        <w:overflowPunct/>
        <w:topLinePunct w:val="0"/>
        <w:bidi w:val="0"/>
        <w:snapToGrid w:val="0"/>
        <w:spacing w:beforeLines="50" w:line="340" w:lineRule="exact"/>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hAnsi="宋体"/>
          <w:color w:val="auto"/>
          <w:sz w:val="24"/>
          <w:szCs w:val="21"/>
          <w:highlight w:val="none"/>
          <w:u w:val="single"/>
          <w:lang w:val="en-US" w:eastAsia="zh-CN"/>
        </w:rPr>
        <w:t xml:space="preserve">  </w:t>
      </w:r>
      <w:r>
        <w:rPr>
          <w:rFonts w:hint="eastAsia" w:ascii="宋体" w:hAnsi="宋体"/>
          <w:color w:val="auto"/>
          <w:sz w:val="24"/>
          <w:szCs w:val="21"/>
          <w:highlight w:val="none"/>
          <w:u w:val="single"/>
        </w:rPr>
        <w:t>90</w:t>
      </w:r>
      <w:r>
        <w:rPr>
          <w:rFonts w:hint="eastAsia" w:ascii="宋体" w:hAnsi="宋体"/>
          <w:color w:val="auto"/>
          <w:sz w:val="24"/>
          <w:szCs w:val="21"/>
          <w:highlight w:val="none"/>
          <w:u w:val="single"/>
          <w:lang w:val="en-US" w:eastAsia="zh-CN"/>
        </w:rPr>
        <w:t xml:space="preserve"> </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14:paraId="49C90849">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1AB2DC0B">
      <w:pPr>
        <w:keepNext w:val="0"/>
        <w:keepLines w:val="0"/>
        <w:pageBreakBefore w:val="0"/>
        <w:kinsoku/>
        <w:wordWrap/>
        <w:overflowPunct/>
        <w:topLinePunct w:val="0"/>
        <w:bidi w:val="0"/>
        <w:snapToGrid w:val="0"/>
        <w:spacing w:beforeLines="50" w:after="50" w:line="340" w:lineRule="exact"/>
        <w:ind w:firstLine="480" w:firstLineChars="200"/>
        <w:textAlignment w:val="auto"/>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14:paraId="2454ACC6">
      <w:pPr>
        <w:keepNext w:val="0"/>
        <w:keepLines w:val="0"/>
        <w:pageBreakBefore w:val="0"/>
        <w:kinsoku/>
        <w:wordWrap/>
        <w:overflowPunct/>
        <w:topLinePunct w:val="0"/>
        <w:bidi w:val="0"/>
        <w:snapToGrid w:val="0"/>
        <w:spacing w:beforeLines="50" w:after="50" w:line="340" w:lineRule="exact"/>
        <w:ind w:firstLine="480" w:firstLineChars="200"/>
        <w:textAlignment w:val="auto"/>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14:paraId="41043F3E">
      <w:pPr>
        <w:keepNext w:val="0"/>
        <w:keepLines w:val="0"/>
        <w:pageBreakBefore w:val="0"/>
        <w:widowControl w:val="0"/>
        <w:kinsoku/>
        <w:wordWrap/>
        <w:overflowPunct/>
        <w:topLinePunct w:val="0"/>
        <w:bidi w:val="0"/>
        <w:snapToGrid w:val="0"/>
        <w:spacing w:beforeLines="50" w:line="340" w:lineRule="exact"/>
        <w:ind w:firstLine="482" w:firstLineChars="200"/>
        <w:jc w:val="both"/>
        <w:textAlignment w:val="auto"/>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14:paraId="31A5C13A">
      <w:pPr>
        <w:keepNext w:val="0"/>
        <w:keepLines w:val="0"/>
        <w:pageBreakBefore w:val="0"/>
        <w:widowControl w:val="0"/>
        <w:kinsoku/>
        <w:wordWrap/>
        <w:overflowPunct/>
        <w:topLinePunct w:val="0"/>
        <w:bidi w:val="0"/>
        <w:snapToGrid w:val="0"/>
        <w:spacing w:beforeLines="50" w:line="340" w:lineRule="exact"/>
        <w:ind w:firstLine="482" w:firstLineChars="200"/>
        <w:jc w:val="both"/>
        <w:textAlignment w:val="auto"/>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14:paraId="79614F7B">
      <w:pPr>
        <w:keepNext w:val="0"/>
        <w:keepLines w:val="0"/>
        <w:pageBreakBefore w:val="0"/>
        <w:kinsoku/>
        <w:wordWrap/>
        <w:overflowPunct/>
        <w:topLinePunct w:val="0"/>
        <w:bidi w:val="0"/>
        <w:snapToGrid w:val="0"/>
        <w:spacing w:beforeLines="50" w:after="50" w:line="3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14:paraId="77469BEA">
      <w:pPr>
        <w:pStyle w:val="37"/>
        <w:keepNext w:val="0"/>
        <w:keepLines w:val="0"/>
        <w:pageBreakBefore w:val="0"/>
        <w:kinsoku/>
        <w:wordWrap/>
        <w:overflowPunct/>
        <w:topLinePunct w:val="0"/>
        <w:bidi w:val="0"/>
        <w:snapToGrid w:val="0"/>
        <w:spacing w:line="340" w:lineRule="exact"/>
        <w:textAlignment w:val="auto"/>
      </w:pPr>
    </w:p>
    <w:p w14:paraId="4C56A0F1">
      <w:pPr>
        <w:keepNext w:val="0"/>
        <w:keepLines w:val="0"/>
        <w:pageBreakBefore w:val="0"/>
        <w:kinsoku/>
        <w:wordWrap/>
        <w:overflowPunct/>
        <w:topLinePunct w:val="0"/>
        <w:bidi w:val="0"/>
        <w:adjustRightInd w:val="0"/>
        <w:snapToGrid w:val="0"/>
        <w:spacing w:line="340" w:lineRule="exact"/>
        <w:textAlignment w:val="auto"/>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1ACA0CEE">
      <w:pPr>
        <w:keepNext w:val="0"/>
        <w:keepLines w:val="0"/>
        <w:pageBreakBefore w:val="0"/>
        <w:kinsoku/>
        <w:wordWrap/>
        <w:overflowPunct/>
        <w:topLinePunct w:val="0"/>
        <w:bidi w:val="0"/>
        <w:adjustRightInd w:val="0"/>
        <w:snapToGrid w:val="0"/>
        <w:spacing w:line="340" w:lineRule="exact"/>
        <w:ind w:right="480"/>
        <w:jc w:val="center"/>
        <w:textAlignment w:val="auto"/>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lang w:val="zh-CN"/>
        </w:rPr>
        <w:t>年  月   日</w:t>
      </w:r>
    </w:p>
    <w:p w14:paraId="64DF8877">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14:paraId="2AA1F797">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2C0896ED">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14:paraId="3FD4FE49">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0000FF"/>
          <w:sz w:val="24"/>
          <w:szCs w:val="22"/>
          <w:highlight w:val="none"/>
          <w:u w:val="single"/>
        </w:rPr>
        <w:t xml:space="preserve">       （姓名）</w:t>
      </w:r>
      <w:r>
        <w:rPr>
          <w:rFonts w:hint="eastAsia" w:ascii="宋体"/>
          <w:color w:val="auto"/>
          <w:sz w:val="24"/>
          <w:szCs w:val="22"/>
          <w:highlight w:val="none"/>
        </w:rPr>
        <w:t>系</w:t>
      </w:r>
      <w:r>
        <w:rPr>
          <w:rFonts w:hint="eastAsia" w:ascii="宋体"/>
          <w:color w:val="0000FF"/>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w:t>
      </w:r>
      <w:r>
        <w:rPr>
          <w:rFonts w:hint="eastAsia" w:ascii="宋体"/>
          <w:color w:val="0000FF"/>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0000FF"/>
          <w:sz w:val="24"/>
          <w:szCs w:val="22"/>
          <w:highlight w:val="none"/>
          <w:u w:val="single"/>
          <w:lang w:eastAsia="zh-CN"/>
        </w:rPr>
        <w:t>LQCG-2025-CS003号</w:t>
      </w:r>
      <w:r>
        <w:rPr>
          <w:rFonts w:hint="eastAsia" w:ascii="宋体"/>
          <w:color w:val="auto"/>
          <w:sz w:val="24"/>
          <w:szCs w:val="22"/>
          <w:highlight w:val="none"/>
        </w:rPr>
        <w:t>项目名称：</w:t>
      </w:r>
      <w:r>
        <w:rPr>
          <w:rFonts w:hint="eastAsia" w:ascii="宋体"/>
          <w:color w:val="auto"/>
          <w:sz w:val="24"/>
          <w:szCs w:val="22"/>
          <w:highlight w:val="none"/>
          <w:u w:val="single"/>
          <w:lang w:val="en-US" w:eastAsia="zh-CN"/>
        </w:rPr>
        <w:t xml:space="preserve">     </w:t>
      </w:r>
      <w:r>
        <w:rPr>
          <w:rFonts w:hint="eastAsia" w:ascii="宋体" w:hAnsi="宋体"/>
          <w:color w:val="0000FF"/>
          <w:sz w:val="24"/>
          <w:szCs w:val="24"/>
          <w:highlight w:val="none"/>
          <w:u w:val="single"/>
          <w:lang w:eastAsia="zh-CN"/>
        </w:rPr>
        <w:t>项目名称</w:t>
      </w:r>
      <w:r>
        <w:rPr>
          <w:rFonts w:hint="eastAsia" w:ascii="宋体" w:hAnsi="宋体"/>
          <w:color w:val="0000FF"/>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14:paraId="35F07647">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14:paraId="42CDFF78">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14:paraId="761B03D1">
      <w:pPr>
        <w:spacing w:line="440" w:lineRule="exact"/>
        <w:rPr>
          <w:color w:val="auto"/>
          <w:sz w:val="24"/>
          <w:highlight w:val="none"/>
        </w:rPr>
      </w:pPr>
    </w:p>
    <w:p w14:paraId="2242159D">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14:paraId="7ABA546D">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14:paraId="165E3A32">
      <w:pPr>
        <w:spacing w:line="360" w:lineRule="auto"/>
        <w:rPr>
          <w:color w:val="auto"/>
          <w:sz w:val="24"/>
          <w:highlight w:val="none"/>
        </w:rPr>
      </w:pPr>
    </w:p>
    <w:p w14:paraId="058FFC22">
      <w:pPr>
        <w:spacing w:line="440" w:lineRule="exact"/>
        <w:rPr>
          <w:b/>
          <w:color w:val="auto"/>
          <w:sz w:val="24"/>
          <w:highlight w:val="none"/>
        </w:rPr>
      </w:pPr>
      <w:r>
        <w:rPr>
          <w:rFonts w:hint="eastAsia" w:ascii="宋体"/>
          <w:b/>
          <w:color w:val="auto"/>
          <w:sz w:val="24"/>
          <w:highlight w:val="none"/>
        </w:rPr>
        <w:t>附：</w:t>
      </w: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29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2B3ADC4">
            <w:pPr>
              <w:spacing w:line="360" w:lineRule="auto"/>
              <w:rPr>
                <w:rFonts w:ascii="宋体"/>
                <w:b/>
                <w:color w:val="auto"/>
                <w:sz w:val="24"/>
                <w:highlight w:val="none"/>
              </w:rPr>
            </w:pPr>
          </w:p>
          <w:p w14:paraId="7BC10022">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14:paraId="680BF43C">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35DC17F0">
      <w:pPr>
        <w:spacing w:line="360" w:lineRule="auto"/>
        <w:rPr>
          <w:color w:val="auto"/>
          <w:sz w:val="24"/>
          <w:highlight w:val="none"/>
        </w:rPr>
      </w:pPr>
      <w:r>
        <w:rPr>
          <w:rFonts w:hint="eastAsia" w:ascii="宋体"/>
          <w:color w:val="auto"/>
          <w:sz w:val="24"/>
          <w:highlight w:val="none"/>
        </w:rPr>
        <w:t xml:space="preserve">法定代表人姓名：                                 </w:t>
      </w:r>
    </w:p>
    <w:p w14:paraId="0020B55C">
      <w:pPr>
        <w:spacing w:line="360" w:lineRule="auto"/>
        <w:rPr>
          <w:color w:val="auto"/>
          <w:sz w:val="24"/>
          <w:highlight w:val="none"/>
        </w:rPr>
      </w:pPr>
      <w:r>
        <w:rPr>
          <w:rFonts w:hint="eastAsia" w:ascii="宋体"/>
          <w:color w:val="auto"/>
          <w:sz w:val="24"/>
          <w:highlight w:val="none"/>
        </w:rPr>
        <w:t>传真：</w:t>
      </w:r>
    </w:p>
    <w:p w14:paraId="7DE784A7">
      <w:pPr>
        <w:spacing w:line="360" w:lineRule="auto"/>
        <w:rPr>
          <w:rFonts w:ascii="宋体"/>
          <w:color w:val="auto"/>
          <w:sz w:val="24"/>
          <w:highlight w:val="none"/>
        </w:rPr>
      </w:pPr>
      <w:r>
        <w:rPr>
          <w:rFonts w:hint="eastAsia" w:ascii="宋体"/>
          <w:color w:val="auto"/>
          <w:sz w:val="24"/>
          <w:highlight w:val="none"/>
        </w:rPr>
        <w:t>电话：</w:t>
      </w:r>
    </w:p>
    <w:p w14:paraId="62B05E15">
      <w:pPr>
        <w:spacing w:line="360" w:lineRule="auto"/>
        <w:rPr>
          <w:color w:val="auto"/>
          <w:sz w:val="24"/>
          <w:highlight w:val="none"/>
        </w:rPr>
      </w:pPr>
      <w:r>
        <w:rPr>
          <w:rFonts w:hint="eastAsia" w:ascii="宋体"/>
          <w:color w:val="auto"/>
          <w:sz w:val="24"/>
          <w:highlight w:val="none"/>
        </w:rPr>
        <w:t>详细通讯地址：</w:t>
      </w:r>
    </w:p>
    <w:p w14:paraId="0157660F">
      <w:pPr>
        <w:spacing w:line="360" w:lineRule="auto"/>
        <w:rPr>
          <w:rFonts w:ascii="宋体"/>
          <w:color w:val="auto"/>
          <w:sz w:val="24"/>
          <w:highlight w:val="none"/>
        </w:rPr>
      </w:pPr>
      <w:r>
        <w:rPr>
          <w:rFonts w:hint="eastAsia" w:ascii="宋体"/>
          <w:color w:val="auto"/>
          <w:sz w:val="24"/>
          <w:highlight w:val="none"/>
        </w:rPr>
        <w:t>邮政编码：</w:t>
      </w:r>
    </w:p>
    <w:p w14:paraId="112229AA">
      <w:pPr>
        <w:spacing w:line="360" w:lineRule="auto"/>
        <w:rPr>
          <w:b/>
          <w:color w:val="auto"/>
          <w:sz w:val="24"/>
          <w:highlight w:val="none"/>
        </w:rPr>
      </w:pPr>
    </w:p>
    <w:tbl>
      <w:tblPr>
        <w:tblStyle w:val="3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66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D2D8585">
            <w:pPr>
              <w:spacing w:line="360" w:lineRule="auto"/>
              <w:ind w:firstLine="361" w:firstLineChars="150"/>
              <w:rPr>
                <w:rFonts w:ascii="宋体"/>
                <w:b/>
                <w:color w:val="auto"/>
                <w:sz w:val="24"/>
                <w:highlight w:val="none"/>
              </w:rPr>
            </w:pPr>
          </w:p>
          <w:p w14:paraId="5C9274D7">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14:paraId="638D385F">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333FD05B">
      <w:pPr>
        <w:spacing w:line="360" w:lineRule="auto"/>
        <w:rPr>
          <w:rFonts w:ascii="宋体"/>
          <w:color w:val="auto"/>
          <w:sz w:val="24"/>
          <w:highlight w:val="none"/>
        </w:rPr>
      </w:pPr>
      <w:r>
        <w:rPr>
          <w:rFonts w:hint="eastAsia" w:ascii="宋体"/>
          <w:color w:val="auto"/>
          <w:sz w:val="24"/>
          <w:highlight w:val="none"/>
        </w:rPr>
        <w:t xml:space="preserve">授权代表姓名：       </w:t>
      </w:r>
    </w:p>
    <w:p w14:paraId="1F7767EC">
      <w:pPr>
        <w:spacing w:line="360" w:lineRule="auto"/>
        <w:rPr>
          <w:color w:val="auto"/>
          <w:sz w:val="24"/>
          <w:highlight w:val="none"/>
        </w:rPr>
      </w:pPr>
      <w:r>
        <w:rPr>
          <w:rFonts w:hint="eastAsia" w:ascii="宋体"/>
          <w:color w:val="auto"/>
          <w:sz w:val="24"/>
          <w:highlight w:val="none"/>
        </w:rPr>
        <w:t xml:space="preserve">职务：                           </w:t>
      </w:r>
    </w:p>
    <w:p w14:paraId="424E1153">
      <w:pPr>
        <w:spacing w:line="360" w:lineRule="auto"/>
        <w:rPr>
          <w:color w:val="auto"/>
          <w:sz w:val="24"/>
          <w:highlight w:val="none"/>
        </w:rPr>
      </w:pPr>
      <w:r>
        <w:rPr>
          <w:rFonts w:hint="eastAsia" w:ascii="宋体"/>
          <w:color w:val="auto"/>
          <w:sz w:val="24"/>
          <w:highlight w:val="none"/>
        </w:rPr>
        <w:t>传真：</w:t>
      </w:r>
    </w:p>
    <w:p w14:paraId="32DAE6FE">
      <w:pPr>
        <w:spacing w:line="360" w:lineRule="auto"/>
        <w:rPr>
          <w:rFonts w:ascii="宋体"/>
          <w:color w:val="auto"/>
          <w:sz w:val="24"/>
          <w:highlight w:val="none"/>
        </w:rPr>
      </w:pPr>
      <w:r>
        <w:rPr>
          <w:rFonts w:hint="eastAsia" w:ascii="宋体"/>
          <w:color w:val="auto"/>
          <w:sz w:val="24"/>
          <w:highlight w:val="none"/>
        </w:rPr>
        <w:t>手机：</w:t>
      </w:r>
    </w:p>
    <w:p w14:paraId="507FFAA2">
      <w:pPr>
        <w:spacing w:line="360" w:lineRule="auto"/>
        <w:rPr>
          <w:color w:val="auto"/>
          <w:sz w:val="24"/>
          <w:highlight w:val="none"/>
        </w:rPr>
      </w:pPr>
      <w:r>
        <w:rPr>
          <w:rFonts w:hint="eastAsia" w:ascii="宋体"/>
          <w:color w:val="auto"/>
          <w:sz w:val="24"/>
          <w:highlight w:val="none"/>
        </w:rPr>
        <w:t>详细通讯地址：</w:t>
      </w:r>
    </w:p>
    <w:p w14:paraId="5C2A8267">
      <w:pPr>
        <w:pStyle w:val="2"/>
        <w:spacing w:before="258" w:line="225" w:lineRule="auto"/>
        <w:ind w:left="3269"/>
        <w:outlineLvl w:val="0"/>
        <w:rPr>
          <w:b/>
          <w:bCs/>
          <w:spacing w:val="7"/>
          <w:sz w:val="28"/>
          <w:szCs w:val="28"/>
        </w:rPr>
      </w:pPr>
    </w:p>
    <w:p w14:paraId="6E087E74">
      <w:pPr>
        <w:pStyle w:val="2"/>
        <w:spacing w:before="258" w:line="225" w:lineRule="auto"/>
        <w:ind w:left="3269"/>
        <w:outlineLvl w:val="0"/>
        <w:rPr>
          <w:b/>
          <w:bCs/>
          <w:spacing w:val="7"/>
          <w:sz w:val="28"/>
          <w:szCs w:val="28"/>
        </w:rPr>
      </w:pPr>
    </w:p>
    <w:p w14:paraId="5C624B22">
      <w:pPr>
        <w:pStyle w:val="2"/>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18351E43">
      <w:pPr>
        <w:spacing w:line="358" w:lineRule="auto"/>
        <w:rPr>
          <w:rFonts w:ascii="Arial"/>
          <w:sz w:val="21"/>
        </w:rPr>
      </w:pPr>
    </w:p>
    <w:p w14:paraId="052263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6BE99156">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5BCDE09B">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185437F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1FE0CCF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3456DAD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26E04472">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6FD08C8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74680BE6">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27EB29CA">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年   月    日</w:t>
      </w:r>
    </w:p>
    <w:p w14:paraId="59F145E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34DF5B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6E026A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8"/>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60A8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4260" w:type="dxa"/>
            <w:noWrap w:val="0"/>
            <w:vAlign w:val="center"/>
          </w:tcPr>
          <w:p w14:paraId="0781EF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278036E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63E4EEC3">
      <w:pPr>
        <w:spacing w:line="360" w:lineRule="auto"/>
        <w:rPr>
          <w:rFonts w:hint="eastAsia" w:ascii="宋体" w:hAnsi="宋体" w:cs="宋体"/>
          <w:color w:val="auto"/>
          <w:sz w:val="24"/>
          <w:szCs w:val="32"/>
          <w:highlight w:val="none"/>
        </w:rPr>
      </w:pPr>
    </w:p>
    <w:p w14:paraId="53BE8D5E">
      <w:pPr>
        <w:spacing w:line="360" w:lineRule="auto"/>
        <w:rPr>
          <w:rFonts w:hint="eastAsia" w:ascii="宋体" w:hAnsi="宋体" w:cs="宋体"/>
          <w:b/>
          <w:color w:val="auto"/>
          <w:sz w:val="28"/>
          <w:highlight w:val="none"/>
        </w:rPr>
      </w:pPr>
    </w:p>
    <w:p w14:paraId="102D454E">
      <w:pPr>
        <w:spacing w:line="360" w:lineRule="auto"/>
        <w:rPr>
          <w:rFonts w:hint="eastAsia" w:ascii="宋体" w:hAnsi="宋体" w:cs="宋体"/>
          <w:b/>
          <w:color w:val="auto"/>
          <w:sz w:val="28"/>
          <w:highlight w:val="none"/>
        </w:rPr>
      </w:pPr>
    </w:p>
    <w:p w14:paraId="324E412F">
      <w:pPr>
        <w:spacing w:line="360" w:lineRule="auto"/>
        <w:rPr>
          <w:rFonts w:hint="eastAsia" w:ascii="宋体" w:hAnsi="宋体" w:cs="宋体"/>
          <w:b/>
          <w:color w:val="auto"/>
          <w:sz w:val="28"/>
          <w:highlight w:val="none"/>
        </w:rPr>
      </w:pPr>
    </w:p>
    <w:p w14:paraId="45F08658">
      <w:pPr>
        <w:spacing w:line="360" w:lineRule="auto"/>
        <w:rPr>
          <w:rFonts w:hint="eastAsia" w:ascii="宋体" w:hAnsi="宋体" w:cs="宋体"/>
          <w:b/>
          <w:color w:val="auto"/>
          <w:sz w:val="28"/>
          <w:highlight w:val="none"/>
        </w:rPr>
      </w:pPr>
    </w:p>
    <w:p w14:paraId="484AC01A">
      <w:pPr>
        <w:spacing w:line="440" w:lineRule="exact"/>
        <w:rPr>
          <w:rFonts w:hint="eastAsia" w:ascii="宋体" w:hAnsi="宋体" w:eastAsia="宋体" w:cs="宋体"/>
          <w:b/>
          <w:color w:val="auto"/>
          <w:sz w:val="28"/>
          <w:szCs w:val="24"/>
          <w:highlight w:val="none"/>
          <w:lang w:val="en-US" w:eastAsia="zh-CN" w:bidi="ar-SA"/>
        </w:rPr>
      </w:pPr>
    </w:p>
    <w:p w14:paraId="1F67D512">
      <w:pPr>
        <w:rPr>
          <w:rFonts w:hint="eastAsia" w:ascii="宋体" w:hAnsi="宋体" w:eastAsia="宋体" w:cs="宋体"/>
          <w:b/>
          <w:color w:val="auto"/>
          <w:sz w:val="28"/>
          <w:szCs w:val="24"/>
          <w:highlight w:val="none"/>
          <w:lang w:val="en-US" w:eastAsia="zh-CN" w:bidi="ar-SA"/>
        </w:rPr>
      </w:pPr>
      <w:r>
        <w:rPr>
          <w:rFonts w:hint="eastAsia" w:ascii="宋体" w:hAnsi="宋体" w:eastAsia="宋体" w:cs="宋体"/>
          <w:b/>
          <w:color w:val="auto"/>
          <w:sz w:val="28"/>
          <w:szCs w:val="24"/>
          <w:highlight w:val="none"/>
          <w:lang w:val="en-US" w:eastAsia="zh-CN" w:bidi="ar-SA"/>
        </w:rPr>
        <w:br w:type="page"/>
      </w:r>
    </w:p>
    <w:p w14:paraId="6542D681">
      <w:pPr>
        <w:spacing w:line="440" w:lineRule="exact"/>
        <w:rPr>
          <w:rFonts w:hint="eastAsia" w:ascii="宋体" w:hAnsi="宋体" w:eastAsia="宋体" w:cs="宋体"/>
          <w:b/>
          <w:color w:val="auto"/>
          <w:sz w:val="28"/>
          <w:szCs w:val="24"/>
          <w:highlight w:val="none"/>
          <w:lang w:val="en-US" w:eastAsia="zh-CN" w:bidi="ar-SA"/>
        </w:rPr>
      </w:pPr>
      <w:r>
        <w:rPr>
          <w:rFonts w:hint="eastAsia" w:ascii="宋体" w:hAnsi="宋体" w:eastAsia="宋体" w:cs="宋体"/>
          <w:b/>
          <w:color w:val="auto"/>
          <w:sz w:val="28"/>
          <w:szCs w:val="24"/>
          <w:highlight w:val="none"/>
          <w:lang w:val="en-US" w:eastAsia="zh-CN" w:bidi="ar-SA"/>
        </w:rPr>
        <w:t>附件3：</w:t>
      </w:r>
    </w:p>
    <w:p w14:paraId="1519353D">
      <w:pPr>
        <w:adjustRightInd w:val="0"/>
        <w:snapToGrid w:val="0"/>
        <w:jc w:val="center"/>
        <w:rPr>
          <w:b/>
          <w:bCs/>
          <w:color w:val="auto"/>
          <w:sz w:val="28"/>
          <w:szCs w:val="21"/>
          <w:highlight w:val="none"/>
        </w:rPr>
      </w:pPr>
    </w:p>
    <w:p w14:paraId="087F6C15">
      <w:pPr>
        <w:adjustRightInd w:val="0"/>
        <w:snapToGrid w:val="0"/>
        <w:jc w:val="center"/>
        <w:rPr>
          <w:b/>
          <w:bCs/>
          <w:color w:val="auto"/>
          <w:sz w:val="28"/>
          <w:szCs w:val="21"/>
          <w:highlight w:val="none"/>
        </w:rPr>
      </w:pPr>
    </w:p>
    <w:p w14:paraId="2D5743A4">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14:paraId="0D184A73">
      <w:pPr>
        <w:adjustRightInd w:val="0"/>
        <w:snapToGrid w:val="0"/>
        <w:rPr>
          <w:rFonts w:ascii="宋体" w:hAnsi="宋体" w:cs="宋体"/>
          <w:color w:val="auto"/>
          <w:highlight w:val="none"/>
        </w:rPr>
      </w:pPr>
    </w:p>
    <w:p w14:paraId="6477ADDE">
      <w:pPr>
        <w:adjustRightInd w:val="0"/>
        <w:snapToGrid w:val="0"/>
        <w:spacing w:line="360" w:lineRule="auto"/>
        <w:rPr>
          <w:rFonts w:ascii="宋体" w:hAnsi="宋体" w:cs="宋体"/>
          <w:color w:val="auto"/>
          <w:sz w:val="24"/>
          <w:highlight w:val="none"/>
          <w:u w:val="single"/>
        </w:rPr>
      </w:pPr>
    </w:p>
    <w:p w14:paraId="22450874">
      <w:pPr>
        <w:adjustRightInd w:val="0"/>
        <w:snapToGrid w:val="0"/>
        <w:spacing w:line="360" w:lineRule="auto"/>
        <w:rPr>
          <w:rFonts w:hint="eastAsia" w:ascii="宋体" w:hAnsi="宋体" w:cs="宋体"/>
          <w:color w:val="auto"/>
          <w:sz w:val="24"/>
          <w:highlight w:val="none"/>
          <w:u w:val="single"/>
        </w:rPr>
      </w:pPr>
    </w:p>
    <w:p w14:paraId="19D27D9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台州市路桥区政府采购中心</w:t>
      </w:r>
      <w:r>
        <w:rPr>
          <w:rFonts w:hint="eastAsia" w:ascii="宋体" w:hAnsi="宋体" w:cs="宋体"/>
          <w:color w:val="auto"/>
          <w:sz w:val="24"/>
          <w:highlight w:val="none"/>
        </w:rPr>
        <w:t>：</w:t>
      </w:r>
    </w:p>
    <w:p w14:paraId="1B5BF877">
      <w:pPr>
        <w:adjustRightInd w:val="0"/>
        <w:snapToGrid w:val="0"/>
        <w:spacing w:line="360" w:lineRule="auto"/>
        <w:ind w:firstLine="480" w:firstLineChars="200"/>
        <w:rPr>
          <w:rFonts w:ascii="宋体" w:hAnsi="宋体" w:cs="宋体"/>
          <w:color w:val="auto"/>
          <w:sz w:val="24"/>
          <w:highlight w:val="none"/>
        </w:rPr>
      </w:pPr>
    </w:p>
    <w:p w14:paraId="39E1A49E">
      <w:pPr>
        <w:adjustRightInd w:val="0"/>
        <w:snapToGrid w:val="0"/>
        <w:spacing w:line="360" w:lineRule="auto"/>
        <w:ind w:firstLine="480" w:firstLineChars="200"/>
        <w:rPr>
          <w:rFonts w:ascii="宋体" w:hAnsi="宋体" w:cs="宋体"/>
          <w:color w:val="auto"/>
          <w:sz w:val="24"/>
          <w:highlight w:val="none"/>
        </w:rPr>
      </w:pPr>
    </w:p>
    <w:p w14:paraId="5E1451EA">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w:t>
      </w:r>
      <w:r>
        <w:rPr>
          <w:rFonts w:hint="eastAsia" w:ascii="宋体" w:hAnsi="宋体" w:cs="宋体"/>
          <w:color w:val="0000FF"/>
          <w:sz w:val="24"/>
          <w:highlight w:val="none"/>
          <w:u w:val="single"/>
        </w:rPr>
        <w:t xml:space="preserve">  （投标人</w:t>
      </w:r>
      <w:r>
        <w:rPr>
          <w:rFonts w:hint="eastAsia" w:ascii="宋体" w:hAnsi="宋体" w:cs="宋体"/>
          <w:color w:val="0000FF"/>
          <w:sz w:val="24"/>
          <w:highlight w:val="none"/>
          <w:u w:val="single"/>
          <w:lang w:eastAsia="zh-CN"/>
        </w:rPr>
        <w:t>名称</w:t>
      </w:r>
      <w:r>
        <w:rPr>
          <w:rFonts w:hint="eastAsia" w:ascii="宋体" w:hAnsi="宋体" w:cs="宋体"/>
          <w:color w:val="0000FF"/>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承诺具有履行合同所必需的设备和专业服务（技术）能力</w:t>
      </w:r>
      <w:r>
        <w:rPr>
          <w:rFonts w:hint="eastAsia" w:ascii="宋体" w:hAnsi="宋体" w:cs="宋体"/>
          <w:color w:val="auto"/>
          <w:sz w:val="24"/>
          <w:highlight w:val="none"/>
          <w:lang w:eastAsia="zh-CN"/>
        </w:rPr>
        <w:t>，符合磋商供应商资格要求。</w:t>
      </w:r>
      <w:r>
        <w:rPr>
          <w:rFonts w:hint="eastAsia" w:ascii="宋体" w:hAnsi="宋体" w:cs="宋体"/>
          <w:color w:val="auto"/>
          <w:sz w:val="24"/>
          <w:highlight w:val="none"/>
        </w:rPr>
        <w:t>如有虚假，招标人可取消我方任何资格（投标/中标/签订合同），我方对此无任何异议。</w:t>
      </w:r>
    </w:p>
    <w:p w14:paraId="61536991">
      <w:pPr>
        <w:adjustRightInd w:val="0"/>
        <w:snapToGrid w:val="0"/>
        <w:spacing w:line="360" w:lineRule="auto"/>
        <w:ind w:firstLine="480" w:firstLineChars="200"/>
        <w:rPr>
          <w:rFonts w:ascii="宋体" w:hAnsi="宋体" w:cs="宋体"/>
          <w:color w:val="auto"/>
          <w:sz w:val="24"/>
          <w:highlight w:val="none"/>
        </w:rPr>
      </w:pPr>
    </w:p>
    <w:p w14:paraId="46CB397D">
      <w:pPr>
        <w:adjustRightInd w:val="0"/>
        <w:snapToGrid w:val="0"/>
        <w:spacing w:line="360" w:lineRule="auto"/>
        <w:ind w:firstLine="480" w:firstLineChars="200"/>
        <w:rPr>
          <w:rFonts w:ascii="宋体" w:hAnsi="宋体" w:cs="宋体"/>
          <w:color w:val="auto"/>
          <w:sz w:val="24"/>
          <w:highlight w:val="none"/>
        </w:rPr>
      </w:pPr>
    </w:p>
    <w:p w14:paraId="4BFA03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57FFF1B">
      <w:pPr>
        <w:pStyle w:val="37"/>
        <w:ind w:firstLine="480"/>
        <w:rPr>
          <w:rFonts w:ascii="宋体" w:hAnsi="宋体" w:cs="宋体"/>
          <w:color w:val="auto"/>
          <w:sz w:val="24"/>
          <w:highlight w:val="none"/>
        </w:rPr>
      </w:pPr>
    </w:p>
    <w:p w14:paraId="314576BF">
      <w:pPr>
        <w:pStyle w:val="37"/>
        <w:ind w:firstLine="480"/>
        <w:rPr>
          <w:rFonts w:ascii="宋体" w:hAnsi="宋体" w:cs="宋体"/>
          <w:color w:val="auto"/>
          <w:sz w:val="24"/>
          <w:highlight w:val="none"/>
        </w:rPr>
      </w:pPr>
    </w:p>
    <w:p w14:paraId="45ADCB06">
      <w:pPr>
        <w:adjustRightInd w:val="0"/>
        <w:snapToGrid w:val="0"/>
        <w:spacing w:line="360" w:lineRule="auto"/>
        <w:ind w:firstLine="480" w:firstLineChars="200"/>
        <w:rPr>
          <w:rFonts w:ascii="宋体" w:hAnsi="宋体" w:cs="宋体"/>
          <w:color w:val="auto"/>
          <w:sz w:val="24"/>
          <w:highlight w:val="none"/>
        </w:rPr>
      </w:pPr>
    </w:p>
    <w:p w14:paraId="2DE843FB">
      <w:pPr>
        <w:pStyle w:val="37"/>
        <w:ind w:firstLine="480"/>
        <w:rPr>
          <w:rFonts w:ascii="宋体" w:hAnsi="宋体" w:cs="宋体"/>
          <w:color w:val="auto"/>
          <w:sz w:val="24"/>
          <w:highlight w:val="none"/>
        </w:rPr>
      </w:pPr>
    </w:p>
    <w:p w14:paraId="1A1981FC">
      <w:pPr>
        <w:pStyle w:val="37"/>
        <w:ind w:firstLine="480"/>
        <w:rPr>
          <w:rFonts w:ascii="宋体" w:hAnsi="宋体" w:cs="宋体"/>
          <w:color w:val="auto"/>
          <w:sz w:val="24"/>
          <w:highlight w:val="none"/>
        </w:rPr>
      </w:pPr>
    </w:p>
    <w:p w14:paraId="500A3246">
      <w:pPr>
        <w:pStyle w:val="37"/>
        <w:ind w:firstLine="480"/>
        <w:rPr>
          <w:rFonts w:ascii="宋体" w:hAnsi="宋体" w:cs="宋体"/>
          <w:color w:val="auto"/>
          <w:sz w:val="24"/>
          <w:highlight w:val="none"/>
        </w:rPr>
      </w:pPr>
    </w:p>
    <w:p w14:paraId="2746C08E">
      <w:pPr>
        <w:pStyle w:val="37"/>
        <w:ind w:left="0" w:leftChars="0" w:firstLine="0" w:firstLineChars="0"/>
        <w:rPr>
          <w:rFonts w:ascii="宋体" w:hAnsi="宋体" w:cs="宋体"/>
          <w:color w:val="auto"/>
          <w:sz w:val="24"/>
          <w:highlight w:val="none"/>
        </w:rPr>
      </w:pPr>
    </w:p>
    <w:p w14:paraId="67496ABD">
      <w:pPr>
        <w:pStyle w:val="37"/>
        <w:ind w:firstLine="480"/>
        <w:rPr>
          <w:rFonts w:ascii="宋体" w:hAnsi="宋体" w:cs="宋体"/>
          <w:color w:val="auto"/>
          <w:sz w:val="24"/>
          <w:highlight w:val="none"/>
        </w:rPr>
      </w:pPr>
    </w:p>
    <w:p w14:paraId="65DAB116">
      <w:pPr>
        <w:pStyle w:val="37"/>
        <w:ind w:firstLine="480"/>
        <w:rPr>
          <w:rFonts w:ascii="宋体" w:hAnsi="宋体" w:cs="宋体"/>
          <w:color w:val="auto"/>
          <w:sz w:val="24"/>
          <w:highlight w:val="none"/>
        </w:rPr>
      </w:pPr>
    </w:p>
    <w:p w14:paraId="1DC02EC2">
      <w:pPr>
        <w:adjustRightInd w:val="0"/>
        <w:snapToGrid w:val="0"/>
        <w:spacing w:line="360" w:lineRule="auto"/>
        <w:ind w:firstLine="4320" w:firstLineChars="1800"/>
        <w:rPr>
          <w:rFonts w:hint="eastAsia" w:ascii="宋体" w:hAnsi="宋体" w:cs="仿宋_GB2312"/>
          <w:color w:val="auto"/>
          <w:sz w:val="24"/>
          <w:highlight w:val="none"/>
          <w:lang w:val="en-US" w:eastAsia="zh-CN"/>
        </w:rPr>
      </w:pPr>
    </w:p>
    <w:p w14:paraId="0DBADC67">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r>
        <w:rPr>
          <w:rFonts w:hint="eastAsia" w:ascii="宋体" w:hAnsi="宋体" w:cs="宋体"/>
          <w:color w:val="auto"/>
          <w:sz w:val="24"/>
          <w:highlight w:val="none"/>
          <w:lang w:val="zh-CN"/>
        </w:rPr>
        <w:t xml:space="preserve">    </w:t>
      </w:r>
    </w:p>
    <w:p w14:paraId="55052182">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w:t>
      </w:r>
    </w:p>
    <w:p w14:paraId="7D01559F">
      <w:pPr>
        <w:pStyle w:val="52"/>
        <w:spacing w:before="0" w:beforeAutospacing="0" w:after="0" w:afterAutospacing="0" w:line="360" w:lineRule="auto"/>
        <w:rPr>
          <w:rFonts w:hint="eastAsia" w:ascii="宋体" w:hAnsi="宋体"/>
          <w:b/>
          <w:color w:val="auto"/>
          <w:sz w:val="28"/>
          <w:highlight w:val="none"/>
          <w:lang w:val="en-US" w:eastAsia="zh-CN"/>
        </w:rPr>
      </w:pPr>
    </w:p>
    <w:p w14:paraId="6ED6A83D">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r>
        <w:rPr>
          <w:rFonts w:hint="eastAsia" w:ascii="宋体" w:hAnsi="宋体"/>
          <w:b/>
          <w:color w:val="auto"/>
          <w:sz w:val="28"/>
          <w:highlight w:val="none"/>
          <w:lang w:val="en-US" w:eastAsia="zh-CN"/>
        </w:rPr>
        <w:br w:type="page"/>
      </w:r>
    </w:p>
    <w:p w14:paraId="05F6E63A">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2638EC3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25CF59C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14:paraId="4A1F59F9">
      <w:pPr>
        <w:pStyle w:val="2"/>
        <w:rPr>
          <w:rFonts w:hint="eastAsia"/>
        </w:rPr>
      </w:pPr>
    </w:p>
    <w:p w14:paraId="46ED3200">
      <w:pPr>
        <w:pStyle w:val="2"/>
        <w:numPr>
          <w:ilvl w:val="0"/>
          <w:numId w:val="0"/>
        </w:numPr>
      </w:pPr>
    </w:p>
    <w:p w14:paraId="0FD0C817">
      <w:pPr>
        <w:pStyle w:val="11"/>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692630C8">
      <w:pPr>
        <w:pStyle w:val="11"/>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14:paraId="3A45ADC4">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43A97FD1">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09D6FD89">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w:t>
      </w:r>
      <w:r>
        <w:rPr>
          <w:rFonts w:hint="eastAsia" w:ascii="宋体" w:hAnsi="宋体"/>
          <w:color w:val="auto"/>
          <w:sz w:val="24"/>
          <w:szCs w:val="22"/>
          <w:highlight w:val="none"/>
          <w:lang w:eastAsia="zh-CN"/>
        </w:rPr>
        <w:t>技术服务</w:t>
      </w:r>
      <w:r>
        <w:rPr>
          <w:rFonts w:hint="eastAsia" w:ascii="宋体" w:hAnsi="宋体"/>
          <w:color w:val="auto"/>
          <w:sz w:val="24"/>
          <w:szCs w:val="22"/>
          <w:highlight w:val="none"/>
        </w:rPr>
        <w:t>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865C65F">
      <w:pPr>
        <w:pStyle w:val="11"/>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20</w:t>
      </w:r>
      <w:r>
        <w:rPr>
          <w:rFonts w:hint="eastAsia" w:ascii="宋体" w:hAnsi="宋体"/>
          <w:color w:val="auto"/>
          <w:kern w:val="0"/>
          <w:sz w:val="24"/>
          <w:szCs w:val="24"/>
          <w:highlight w:val="none"/>
          <w:lang w:val="en-US" w:eastAsia="zh-CN"/>
        </w:rPr>
        <w:t>22</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5</w:t>
      </w:r>
      <w:r>
        <w:rPr>
          <w:rFonts w:hint="eastAsia" w:ascii="宋体" w:hAnsi="宋体"/>
          <w:color w:val="auto"/>
          <w:kern w:val="0"/>
          <w:sz w:val="24"/>
          <w:szCs w:val="24"/>
          <w:highlight w:val="none"/>
        </w:rPr>
        <w:t>月以来同类项目的成功案例一览表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14:paraId="3E92FA8A">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1552A8AE">
      <w:pPr>
        <w:pStyle w:val="11"/>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kern w:val="0"/>
          <w:sz w:val="24"/>
          <w:lang w:val="zh-CN"/>
        </w:rPr>
        <w:t>政</w:t>
      </w:r>
      <w:r>
        <w:rPr>
          <w:rFonts w:hint="eastAsia" w:cs="仿宋_GB2312" w:asciiTheme="minorEastAsia" w:hAnsiTheme="minorEastAsia" w:eastAsiaTheme="minorEastAsia"/>
          <w:kern w:val="0"/>
          <w:sz w:val="24"/>
          <w:lang w:val="zh-CN"/>
        </w:rPr>
        <w:t>府采购供应商廉洁自律承诺书</w:t>
      </w:r>
      <w:r>
        <w:rPr>
          <w:rFonts w:hint="eastAsia" w:cs="仿宋_GB2312" w:asciiTheme="minorEastAsia" w:hAnsiTheme="minorEastAsia" w:eastAsiaTheme="minorEastAsia"/>
          <w:kern w:val="0"/>
          <w:sz w:val="24"/>
          <w:lang w:val="en-US" w:eastAsia="zh-CN"/>
        </w:rPr>
        <w:t xml:space="preserve">                 </w:t>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p>
    <w:p w14:paraId="3F7DF04D">
      <w:pPr>
        <w:pStyle w:val="52"/>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14:paraId="508B8A06">
      <w:pPr>
        <w:pStyle w:val="52"/>
        <w:spacing w:before="0" w:beforeAutospacing="0" w:after="0" w:afterAutospacing="0" w:line="360" w:lineRule="auto"/>
        <w:rPr>
          <w:rFonts w:hint="eastAsia" w:ascii="宋体" w:hAnsi="宋体"/>
          <w:color w:val="auto"/>
          <w:sz w:val="24"/>
          <w:highlight w:val="none"/>
        </w:rPr>
      </w:pPr>
    </w:p>
    <w:p w14:paraId="6A74901A">
      <w:pPr>
        <w:pStyle w:val="52"/>
        <w:spacing w:before="0" w:beforeAutospacing="0" w:after="0" w:afterAutospacing="0" w:line="360" w:lineRule="auto"/>
        <w:rPr>
          <w:rFonts w:hint="default" w:ascii="宋体" w:hAnsi="宋体"/>
          <w:color w:val="auto"/>
          <w:sz w:val="24"/>
          <w:highlight w:val="none"/>
          <w:lang w:val="en-US" w:eastAsia="zh-CN"/>
        </w:rPr>
      </w:pPr>
    </w:p>
    <w:p w14:paraId="207F5B5F">
      <w:pPr>
        <w:pStyle w:val="52"/>
        <w:spacing w:before="0" w:beforeAutospacing="0" w:after="0" w:afterAutospacing="0" w:line="360" w:lineRule="auto"/>
        <w:rPr>
          <w:rFonts w:hint="eastAsia" w:ascii="宋体" w:hAnsi="宋体" w:cs="宋体"/>
          <w:color w:val="auto"/>
          <w:sz w:val="24"/>
          <w:highlight w:val="none"/>
        </w:rPr>
      </w:pPr>
    </w:p>
    <w:p w14:paraId="228774A9">
      <w:pPr>
        <w:pStyle w:val="52"/>
        <w:spacing w:before="0" w:beforeAutospacing="0" w:after="0" w:afterAutospacing="0" w:line="360" w:lineRule="auto"/>
        <w:rPr>
          <w:rFonts w:hint="eastAsia" w:ascii="宋体" w:hAnsi="宋体" w:cs="宋体"/>
          <w:color w:val="auto"/>
          <w:sz w:val="24"/>
          <w:highlight w:val="none"/>
        </w:rPr>
      </w:pPr>
    </w:p>
    <w:p w14:paraId="50E41D38">
      <w:pPr>
        <w:pStyle w:val="52"/>
        <w:spacing w:before="0" w:beforeAutospacing="0" w:after="0" w:afterAutospacing="0" w:line="360" w:lineRule="auto"/>
        <w:rPr>
          <w:rFonts w:hint="eastAsia" w:ascii="宋体" w:hAnsi="宋体" w:cs="宋体"/>
          <w:color w:val="auto"/>
          <w:sz w:val="24"/>
          <w:highlight w:val="none"/>
        </w:rPr>
      </w:pPr>
    </w:p>
    <w:p w14:paraId="4EABB305">
      <w:pPr>
        <w:pStyle w:val="52"/>
        <w:spacing w:before="0" w:beforeAutospacing="0" w:after="0" w:afterAutospacing="0" w:line="360" w:lineRule="auto"/>
        <w:rPr>
          <w:rFonts w:hint="eastAsia" w:ascii="宋体" w:hAnsi="宋体" w:cs="宋体"/>
          <w:color w:val="auto"/>
          <w:sz w:val="24"/>
          <w:highlight w:val="none"/>
        </w:rPr>
      </w:pPr>
    </w:p>
    <w:p w14:paraId="119AA46B">
      <w:pPr>
        <w:pStyle w:val="52"/>
        <w:spacing w:before="0" w:beforeAutospacing="0" w:after="0" w:afterAutospacing="0" w:line="360" w:lineRule="auto"/>
        <w:rPr>
          <w:rFonts w:hint="eastAsia" w:ascii="宋体" w:hAnsi="宋体" w:cs="宋体"/>
          <w:color w:val="auto"/>
          <w:sz w:val="24"/>
          <w:highlight w:val="none"/>
        </w:rPr>
      </w:pPr>
    </w:p>
    <w:p w14:paraId="081B0B45">
      <w:pPr>
        <w:pStyle w:val="52"/>
        <w:spacing w:before="0" w:beforeAutospacing="0" w:after="0" w:afterAutospacing="0" w:line="360" w:lineRule="auto"/>
        <w:rPr>
          <w:rFonts w:hint="eastAsia"/>
          <w:b/>
          <w:color w:val="auto"/>
          <w:sz w:val="28"/>
          <w:szCs w:val="28"/>
          <w:highlight w:val="none"/>
        </w:rPr>
      </w:pPr>
    </w:p>
    <w:p w14:paraId="00966BA4">
      <w:pPr>
        <w:pStyle w:val="52"/>
        <w:spacing w:before="0" w:beforeAutospacing="0" w:after="0" w:afterAutospacing="0" w:line="360" w:lineRule="auto"/>
        <w:rPr>
          <w:rFonts w:hint="eastAsia"/>
          <w:b/>
          <w:color w:val="auto"/>
          <w:sz w:val="28"/>
          <w:szCs w:val="28"/>
          <w:highlight w:val="none"/>
        </w:rPr>
      </w:pPr>
    </w:p>
    <w:p w14:paraId="1B41AF38">
      <w:pPr>
        <w:rPr>
          <w:rFonts w:hint="eastAsia"/>
          <w:b/>
          <w:color w:val="auto"/>
          <w:sz w:val="28"/>
          <w:szCs w:val="28"/>
          <w:highlight w:val="none"/>
        </w:rPr>
      </w:pPr>
      <w:r>
        <w:rPr>
          <w:rFonts w:hint="eastAsia"/>
          <w:b/>
          <w:color w:val="auto"/>
          <w:sz w:val="28"/>
          <w:szCs w:val="28"/>
          <w:highlight w:val="none"/>
        </w:rPr>
        <w:br w:type="page"/>
      </w:r>
    </w:p>
    <w:p w14:paraId="651A9935">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74B05144">
      <w:pPr>
        <w:ind w:firstLine="643"/>
        <w:jc w:val="center"/>
        <w:rPr>
          <w:rFonts w:ascii="宋体" w:hAnsi="宋体" w:cs="仿宋_GB2312"/>
          <w:b/>
          <w:bCs/>
          <w:color w:val="auto"/>
          <w:sz w:val="32"/>
          <w:szCs w:val="32"/>
          <w:highlight w:val="none"/>
        </w:rPr>
      </w:pPr>
    </w:p>
    <w:p w14:paraId="63488834">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14:paraId="6EB7341E">
      <w:pPr>
        <w:ind w:firstLine="643"/>
        <w:jc w:val="center"/>
        <w:rPr>
          <w:rFonts w:ascii="宋体" w:hAnsi="宋体" w:cs="仿宋_GB2312"/>
          <w:b/>
          <w:color w:val="auto"/>
          <w:sz w:val="32"/>
          <w:szCs w:val="32"/>
          <w:highlight w:val="none"/>
        </w:rPr>
      </w:pPr>
    </w:p>
    <w:p w14:paraId="32E7201A">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14:paraId="2B031AF2">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007"/>
        <w:gridCol w:w="1496"/>
        <w:gridCol w:w="1496"/>
        <w:gridCol w:w="1496"/>
      </w:tblGrid>
      <w:tr w14:paraId="17D6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E3D17FB">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14:paraId="35280C63">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14:paraId="65BC7D0C">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14:paraId="73D09531">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14:paraId="799EEFE3">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14:paraId="0DFA797D">
            <w:pPr>
              <w:pStyle w:val="37"/>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14:paraId="3253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8FA167D">
            <w:pPr>
              <w:pStyle w:val="37"/>
              <w:ind w:firstLine="480"/>
              <w:jc w:val="center"/>
              <w:rPr>
                <w:rFonts w:ascii="宋体" w:hAnsi="宋体" w:cs="仿宋_GB2312"/>
                <w:color w:val="auto"/>
                <w:sz w:val="24"/>
                <w:highlight w:val="none"/>
              </w:rPr>
            </w:pPr>
          </w:p>
        </w:tc>
        <w:tc>
          <w:tcPr>
            <w:tcW w:w="1605" w:type="dxa"/>
            <w:noWrap w:val="0"/>
            <w:vAlign w:val="center"/>
          </w:tcPr>
          <w:p w14:paraId="5FA7A6DC">
            <w:pPr>
              <w:pStyle w:val="37"/>
              <w:ind w:firstLine="480"/>
              <w:jc w:val="center"/>
              <w:rPr>
                <w:rFonts w:ascii="宋体" w:hAnsi="宋体" w:cs="仿宋_GB2312"/>
                <w:color w:val="auto"/>
                <w:sz w:val="24"/>
                <w:highlight w:val="none"/>
              </w:rPr>
            </w:pPr>
          </w:p>
        </w:tc>
        <w:tc>
          <w:tcPr>
            <w:tcW w:w="2007" w:type="dxa"/>
            <w:noWrap w:val="0"/>
            <w:vAlign w:val="center"/>
          </w:tcPr>
          <w:p w14:paraId="25BCDA1F">
            <w:pPr>
              <w:pStyle w:val="37"/>
              <w:ind w:firstLine="480"/>
              <w:jc w:val="center"/>
              <w:rPr>
                <w:rFonts w:ascii="宋体" w:hAnsi="宋体" w:cs="仿宋_GB2312"/>
                <w:color w:val="auto"/>
                <w:sz w:val="24"/>
                <w:highlight w:val="none"/>
              </w:rPr>
            </w:pPr>
          </w:p>
        </w:tc>
        <w:tc>
          <w:tcPr>
            <w:tcW w:w="1496" w:type="dxa"/>
            <w:noWrap w:val="0"/>
            <w:vAlign w:val="center"/>
          </w:tcPr>
          <w:p w14:paraId="2159A60C">
            <w:pPr>
              <w:pStyle w:val="37"/>
              <w:ind w:firstLine="480"/>
              <w:jc w:val="center"/>
              <w:rPr>
                <w:rFonts w:ascii="宋体" w:hAnsi="宋体" w:cs="仿宋_GB2312"/>
                <w:color w:val="auto"/>
                <w:sz w:val="24"/>
                <w:highlight w:val="none"/>
              </w:rPr>
            </w:pPr>
          </w:p>
        </w:tc>
        <w:tc>
          <w:tcPr>
            <w:tcW w:w="1496" w:type="dxa"/>
            <w:noWrap w:val="0"/>
            <w:vAlign w:val="center"/>
          </w:tcPr>
          <w:p w14:paraId="6B45021B">
            <w:pPr>
              <w:pStyle w:val="37"/>
              <w:ind w:firstLine="480"/>
              <w:jc w:val="center"/>
              <w:rPr>
                <w:rFonts w:ascii="宋体" w:hAnsi="宋体" w:cs="仿宋_GB2312"/>
                <w:color w:val="auto"/>
                <w:sz w:val="24"/>
                <w:highlight w:val="none"/>
              </w:rPr>
            </w:pPr>
          </w:p>
        </w:tc>
        <w:tc>
          <w:tcPr>
            <w:tcW w:w="1496" w:type="dxa"/>
            <w:noWrap w:val="0"/>
            <w:vAlign w:val="center"/>
          </w:tcPr>
          <w:p w14:paraId="1B0A310E">
            <w:pPr>
              <w:pStyle w:val="37"/>
              <w:ind w:firstLine="480"/>
              <w:jc w:val="center"/>
              <w:rPr>
                <w:rFonts w:ascii="宋体" w:hAnsi="宋体" w:cs="仿宋_GB2312"/>
                <w:color w:val="auto"/>
                <w:sz w:val="24"/>
                <w:highlight w:val="none"/>
              </w:rPr>
            </w:pPr>
          </w:p>
        </w:tc>
      </w:tr>
      <w:tr w14:paraId="19EF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9D01E25">
            <w:pPr>
              <w:pStyle w:val="37"/>
              <w:ind w:firstLine="480"/>
              <w:jc w:val="center"/>
              <w:rPr>
                <w:rFonts w:ascii="宋体" w:hAnsi="宋体" w:cs="仿宋_GB2312"/>
                <w:color w:val="auto"/>
                <w:sz w:val="24"/>
                <w:highlight w:val="none"/>
              </w:rPr>
            </w:pPr>
          </w:p>
        </w:tc>
        <w:tc>
          <w:tcPr>
            <w:tcW w:w="1605" w:type="dxa"/>
            <w:noWrap w:val="0"/>
            <w:vAlign w:val="center"/>
          </w:tcPr>
          <w:p w14:paraId="46B55F72">
            <w:pPr>
              <w:pStyle w:val="37"/>
              <w:ind w:firstLine="480"/>
              <w:jc w:val="center"/>
              <w:rPr>
                <w:rFonts w:ascii="宋体" w:hAnsi="宋体" w:cs="仿宋_GB2312"/>
                <w:color w:val="auto"/>
                <w:sz w:val="24"/>
                <w:highlight w:val="none"/>
              </w:rPr>
            </w:pPr>
          </w:p>
        </w:tc>
        <w:tc>
          <w:tcPr>
            <w:tcW w:w="2007" w:type="dxa"/>
            <w:noWrap w:val="0"/>
            <w:vAlign w:val="center"/>
          </w:tcPr>
          <w:p w14:paraId="5A646EE0">
            <w:pPr>
              <w:pStyle w:val="37"/>
              <w:ind w:firstLine="480"/>
              <w:jc w:val="center"/>
              <w:rPr>
                <w:rFonts w:ascii="宋体" w:hAnsi="宋体" w:cs="仿宋_GB2312"/>
                <w:color w:val="auto"/>
                <w:sz w:val="24"/>
                <w:highlight w:val="none"/>
              </w:rPr>
            </w:pPr>
          </w:p>
        </w:tc>
        <w:tc>
          <w:tcPr>
            <w:tcW w:w="1496" w:type="dxa"/>
            <w:noWrap w:val="0"/>
            <w:vAlign w:val="center"/>
          </w:tcPr>
          <w:p w14:paraId="4BE14E6F">
            <w:pPr>
              <w:pStyle w:val="37"/>
              <w:ind w:firstLine="480"/>
              <w:jc w:val="center"/>
              <w:rPr>
                <w:rFonts w:ascii="宋体" w:hAnsi="宋体" w:cs="仿宋_GB2312"/>
                <w:color w:val="auto"/>
                <w:sz w:val="24"/>
                <w:highlight w:val="none"/>
              </w:rPr>
            </w:pPr>
          </w:p>
        </w:tc>
        <w:tc>
          <w:tcPr>
            <w:tcW w:w="1496" w:type="dxa"/>
            <w:noWrap w:val="0"/>
            <w:vAlign w:val="center"/>
          </w:tcPr>
          <w:p w14:paraId="58AD3B33">
            <w:pPr>
              <w:pStyle w:val="37"/>
              <w:ind w:firstLine="480"/>
              <w:jc w:val="center"/>
              <w:rPr>
                <w:rFonts w:ascii="宋体" w:hAnsi="宋体" w:cs="仿宋_GB2312"/>
                <w:color w:val="auto"/>
                <w:sz w:val="24"/>
                <w:highlight w:val="none"/>
              </w:rPr>
            </w:pPr>
          </w:p>
        </w:tc>
        <w:tc>
          <w:tcPr>
            <w:tcW w:w="1496" w:type="dxa"/>
            <w:noWrap w:val="0"/>
            <w:vAlign w:val="center"/>
          </w:tcPr>
          <w:p w14:paraId="00FB3F1E">
            <w:pPr>
              <w:pStyle w:val="37"/>
              <w:ind w:firstLine="480"/>
              <w:jc w:val="center"/>
              <w:rPr>
                <w:rFonts w:ascii="宋体" w:hAnsi="宋体" w:cs="仿宋_GB2312"/>
                <w:color w:val="auto"/>
                <w:sz w:val="24"/>
                <w:highlight w:val="none"/>
              </w:rPr>
            </w:pPr>
          </w:p>
        </w:tc>
      </w:tr>
      <w:tr w14:paraId="719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68EB45A">
            <w:pPr>
              <w:pStyle w:val="37"/>
              <w:ind w:firstLine="480"/>
              <w:jc w:val="center"/>
              <w:rPr>
                <w:rFonts w:ascii="宋体" w:hAnsi="宋体" w:cs="仿宋_GB2312"/>
                <w:color w:val="auto"/>
                <w:sz w:val="24"/>
                <w:highlight w:val="none"/>
              </w:rPr>
            </w:pPr>
          </w:p>
        </w:tc>
        <w:tc>
          <w:tcPr>
            <w:tcW w:w="1605" w:type="dxa"/>
            <w:noWrap w:val="0"/>
            <w:vAlign w:val="center"/>
          </w:tcPr>
          <w:p w14:paraId="0AC9D99A">
            <w:pPr>
              <w:pStyle w:val="37"/>
              <w:ind w:firstLine="480"/>
              <w:jc w:val="center"/>
              <w:rPr>
                <w:rFonts w:ascii="宋体" w:hAnsi="宋体" w:cs="仿宋_GB2312"/>
                <w:color w:val="auto"/>
                <w:sz w:val="24"/>
                <w:highlight w:val="none"/>
              </w:rPr>
            </w:pPr>
          </w:p>
        </w:tc>
        <w:tc>
          <w:tcPr>
            <w:tcW w:w="2007" w:type="dxa"/>
            <w:noWrap w:val="0"/>
            <w:vAlign w:val="center"/>
          </w:tcPr>
          <w:p w14:paraId="412727D6">
            <w:pPr>
              <w:pStyle w:val="37"/>
              <w:ind w:firstLine="480"/>
              <w:jc w:val="center"/>
              <w:rPr>
                <w:rFonts w:ascii="宋体" w:hAnsi="宋体" w:cs="仿宋_GB2312"/>
                <w:color w:val="auto"/>
                <w:sz w:val="24"/>
                <w:highlight w:val="none"/>
              </w:rPr>
            </w:pPr>
          </w:p>
        </w:tc>
        <w:tc>
          <w:tcPr>
            <w:tcW w:w="1496" w:type="dxa"/>
            <w:noWrap w:val="0"/>
            <w:vAlign w:val="center"/>
          </w:tcPr>
          <w:p w14:paraId="50891633">
            <w:pPr>
              <w:pStyle w:val="37"/>
              <w:ind w:firstLine="480"/>
              <w:jc w:val="center"/>
              <w:rPr>
                <w:rFonts w:ascii="宋体" w:hAnsi="宋体" w:cs="仿宋_GB2312"/>
                <w:color w:val="auto"/>
                <w:sz w:val="24"/>
                <w:highlight w:val="none"/>
              </w:rPr>
            </w:pPr>
          </w:p>
        </w:tc>
        <w:tc>
          <w:tcPr>
            <w:tcW w:w="1496" w:type="dxa"/>
            <w:noWrap w:val="0"/>
            <w:vAlign w:val="center"/>
          </w:tcPr>
          <w:p w14:paraId="5BA30418">
            <w:pPr>
              <w:pStyle w:val="37"/>
              <w:ind w:firstLine="480"/>
              <w:jc w:val="center"/>
              <w:rPr>
                <w:rFonts w:ascii="宋体" w:hAnsi="宋体" w:cs="仿宋_GB2312"/>
                <w:color w:val="auto"/>
                <w:sz w:val="24"/>
                <w:highlight w:val="none"/>
              </w:rPr>
            </w:pPr>
          </w:p>
        </w:tc>
        <w:tc>
          <w:tcPr>
            <w:tcW w:w="1496" w:type="dxa"/>
            <w:noWrap w:val="0"/>
            <w:vAlign w:val="center"/>
          </w:tcPr>
          <w:p w14:paraId="2B0F7B97">
            <w:pPr>
              <w:pStyle w:val="37"/>
              <w:ind w:firstLine="480"/>
              <w:jc w:val="center"/>
              <w:rPr>
                <w:rFonts w:ascii="宋体" w:hAnsi="宋体" w:cs="仿宋_GB2312"/>
                <w:color w:val="auto"/>
                <w:sz w:val="24"/>
                <w:highlight w:val="none"/>
              </w:rPr>
            </w:pPr>
          </w:p>
        </w:tc>
      </w:tr>
      <w:tr w14:paraId="7D97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19E7360E">
            <w:pPr>
              <w:pStyle w:val="37"/>
              <w:ind w:firstLine="480"/>
              <w:jc w:val="center"/>
              <w:rPr>
                <w:rFonts w:ascii="宋体" w:hAnsi="宋体" w:cs="仿宋_GB2312"/>
                <w:color w:val="auto"/>
                <w:sz w:val="24"/>
                <w:highlight w:val="none"/>
              </w:rPr>
            </w:pPr>
          </w:p>
        </w:tc>
        <w:tc>
          <w:tcPr>
            <w:tcW w:w="1605" w:type="dxa"/>
            <w:noWrap w:val="0"/>
            <w:vAlign w:val="center"/>
          </w:tcPr>
          <w:p w14:paraId="12FD0CC2">
            <w:pPr>
              <w:pStyle w:val="37"/>
              <w:ind w:firstLine="480"/>
              <w:jc w:val="center"/>
              <w:rPr>
                <w:rFonts w:ascii="宋体" w:hAnsi="宋体" w:cs="仿宋_GB2312"/>
                <w:color w:val="auto"/>
                <w:sz w:val="24"/>
                <w:highlight w:val="none"/>
              </w:rPr>
            </w:pPr>
          </w:p>
        </w:tc>
        <w:tc>
          <w:tcPr>
            <w:tcW w:w="2007" w:type="dxa"/>
            <w:noWrap w:val="0"/>
            <w:vAlign w:val="center"/>
          </w:tcPr>
          <w:p w14:paraId="14E1103F">
            <w:pPr>
              <w:pStyle w:val="37"/>
              <w:ind w:firstLine="480"/>
              <w:jc w:val="center"/>
              <w:rPr>
                <w:rFonts w:ascii="宋体" w:hAnsi="宋体" w:cs="仿宋_GB2312"/>
                <w:color w:val="auto"/>
                <w:sz w:val="24"/>
                <w:highlight w:val="none"/>
              </w:rPr>
            </w:pPr>
          </w:p>
        </w:tc>
        <w:tc>
          <w:tcPr>
            <w:tcW w:w="1496" w:type="dxa"/>
            <w:noWrap w:val="0"/>
            <w:vAlign w:val="center"/>
          </w:tcPr>
          <w:p w14:paraId="045756CB">
            <w:pPr>
              <w:pStyle w:val="37"/>
              <w:ind w:firstLine="480"/>
              <w:jc w:val="center"/>
              <w:rPr>
                <w:rFonts w:ascii="宋体" w:hAnsi="宋体" w:cs="仿宋_GB2312"/>
                <w:color w:val="auto"/>
                <w:sz w:val="24"/>
                <w:highlight w:val="none"/>
              </w:rPr>
            </w:pPr>
          </w:p>
        </w:tc>
        <w:tc>
          <w:tcPr>
            <w:tcW w:w="1496" w:type="dxa"/>
            <w:noWrap w:val="0"/>
            <w:vAlign w:val="center"/>
          </w:tcPr>
          <w:p w14:paraId="512E1C2E">
            <w:pPr>
              <w:pStyle w:val="37"/>
              <w:ind w:firstLine="480"/>
              <w:jc w:val="center"/>
              <w:rPr>
                <w:rFonts w:ascii="宋体" w:hAnsi="宋体" w:cs="仿宋_GB2312"/>
                <w:color w:val="auto"/>
                <w:sz w:val="24"/>
                <w:highlight w:val="none"/>
              </w:rPr>
            </w:pPr>
          </w:p>
        </w:tc>
        <w:tc>
          <w:tcPr>
            <w:tcW w:w="1496" w:type="dxa"/>
            <w:noWrap w:val="0"/>
            <w:vAlign w:val="center"/>
          </w:tcPr>
          <w:p w14:paraId="0B7FB806">
            <w:pPr>
              <w:pStyle w:val="37"/>
              <w:ind w:firstLine="480"/>
              <w:jc w:val="center"/>
              <w:rPr>
                <w:rFonts w:ascii="宋体" w:hAnsi="宋体" w:cs="仿宋_GB2312"/>
                <w:color w:val="auto"/>
                <w:sz w:val="24"/>
                <w:highlight w:val="none"/>
              </w:rPr>
            </w:pPr>
          </w:p>
        </w:tc>
      </w:tr>
      <w:tr w14:paraId="5CB4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0858793">
            <w:pPr>
              <w:pStyle w:val="37"/>
              <w:ind w:firstLine="480"/>
              <w:jc w:val="center"/>
              <w:rPr>
                <w:rFonts w:ascii="宋体" w:hAnsi="宋体" w:cs="仿宋_GB2312"/>
                <w:color w:val="auto"/>
                <w:sz w:val="24"/>
                <w:highlight w:val="none"/>
              </w:rPr>
            </w:pPr>
          </w:p>
        </w:tc>
        <w:tc>
          <w:tcPr>
            <w:tcW w:w="1605" w:type="dxa"/>
            <w:noWrap w:val="0"/>
            <w:vAlign w:val="center"/>
          </w:tcPr>
          <w:p w14:paraId="5DF88890">
            <w:pPr>
              <w:pStyle w:val="37"/>
              <w:ind w:firstLine="480"/>
              <w:jc w:val="center"/>
              <w:rPr>
                <w:rFonts w:ascii="宋体" w:hAnsi="宋体" w:cs="仿宋_GB2312"/>
                <w:color w:val="auto"/>
                <w:sz w:val="24"/>
                <w:highlight w:val="none"/>
              </w:rPr>
            </w:pPr>
          </w:p>
        </w:tc>
        <w:tc>
          <w:tcPr>
            <w:tcW w:w="2007" w:type="dxa"/>
            <w:noWrap w:val="0"/>
            <w:vAlign w:val="center"/>
          </w:tcPr>
          <w:p w14:paraId="639B8DFB">
            <w:pPr>
              <w:pStyle w:val="37"/>
              <w:ind w:firstLine="480"/>
              <w:jc w:val="center"/>
              <w:rPr>
                <w:rFonts w:ascii="宋体" w:hAnsi="宋体" w:cs="仿宋_GB2312"/>
                <w:color w:val="auto"/>
                <w:sz w:val="24"/>
                <w:highlight w:val="none"/>
              </w:rPr>
            </w:pPr>
          </w:p>
        </w:tc>
        <w:tc>
          <w:tcPr>
            <w:tcW w:w="1496" w:type="dxa"/>
            <w:noWrap w:val="0"/>
            <w:vAlign w:val="center"/>
          </w:tcPr>
          <w:p w14:paraId="13ACC4F3">
            <w:pPr>
              <w:pStyle w:val="37"/>
              <w:ind w:firstLine="480"/>
              <w:jc w:val="center"/>
              <w:rPr>
                <w:rFonts w:ascii="宋体" w:hAnsi="宋体" w:cs="仿宋_GB2312"/>
                <w:color w:val="auto"/>
                <w:sz w:val="24"/>
                <w:highlight w:val="none"/>
              </w:rPr>
            </w:pPr>
          </w:p>
        </w:tc>
        <w:tc>
          <w:tcPr>
            <w:tcW w:w="1496" w:type="dxa"/>
            <w:noWrap w:val="0"/>
            <w:vAlign w:val="center"/>
          </w:tcPr>
          <w:p w14:paraId="6B97E4C8">
            <w:pPr>
              <w:pStyle w:val="37"/>
              <w:ind w:firstLine="480"/>
              <w:jc w:val="center"/>
              <w:rPr>
                <w:rFonts w:ascii="宋体" w:hAnsi="宋体" w:cs="仿宋_GB2312"/>
                <w:color w:val="auto"/>
                <w:sz w:val="24"/>
                <w:highlight w:val="none"/>
              </w:rPr>
            </w:pPr>
          </w:p>
        </w:tc>
        <w:tc>
          <w:tcPr>
            <w:tcW w:w="1496" w:type="dxa"/>
            <w:noWrap w:val="0"/>
            <w:vAlign w:val="center"/>
          </w:tcPr>
          <w:p w14:paraId="764BF5A6">
            <w:pPr>
              <w:pStyle w:val="37"/>
              <w:ind w:firstLine="480"/>
              <w:jc w:val="center"/>
              <w:rPr>
                <w:rFonts w:ascii="宋体" w:hAnsi="宋体" w:cs="仿宋_GB2312"/>
                <w:color w:val="auto"/>
                <w:sz w:val="24"/>
                <w:highlight w:val="none"/>
              </w:rPr>
            </w:pPr>
          </w:p>
        </w:tc>
      </w:tr>
      <w:tr w14:paraId="0393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6A6398D">
            <w:pPr>
              <w:pStyle w:val="37"/>
              <w:ind w:firstLine="480"/>
              <w:jc w:val="center"/>
              <w:rPr>
                <w:rFonts w:ascii="宋体" w:hAnsi="宋体" w:cs="仿宋_GB2312"/>
                <w:color w:val="auto"/>
                <w:sz w:val="24"/>
                <w:highlight w:val="none"/>
              </w:rPr>
            </w:pPr>
          </w:p>
        </w:tc>
        <w:tc>
          <w:tcPr>
            <w:tcW w:w="1605" w:type="dxa"/>
            <w:noWrap w:val="0"/>
            <w:vAlign w:val="center"/>
          </w:tcPr>
          <w:p w14:paraId="5FCEBA87">
            <w:pPr>
              <w:pStyle w:val="37"/>
              <w:ind w:firstLine="480"/>
              <w:jc w:val="center"/>
              <w:rPr>
                <w:rFonts w:ascii="宋体" w:hAnsi="宋体" w:cs="仿宋_GB2312"/>
                <w:color w:val="auto"/>
                <w:sz w:val="24"/>
                <w:highlight w:val="none"/>
              </w:rPr>
            </w:pPr>
          </w:p>
        </w:tc>
        <w:tc>
          <w:tcPr>
            <w:tcW w:w="2007" w:type="dxa"/>
            <w:noWrap w:val="0"/>
            <w:vAlign w:val="center"/>
          </w:tcPr>
          <w:p w14:paraId="4CDD2E0C">
            <w:pPr>
              <w:pStyle w:val="37"/>
              <w:ind w:firstLine="480"/>
              <w:jc w:val="center"/>
              <w:rPr>
                <w:rFonts w:ascii="宋体" w:hAnsi="宋体" w:cs="仿宋_GB2312"/>
                <w:color w:val="auto"/>
                <w:sz w:val="24"/>
                <w:highlight w:val="none"/>
              </w:rPr>
            </w:pPr>
          </w:p>
        </w:tc>
        <w:tc>
          <w:tcPr>
            <w:tcW w:w="1496" w:type="dxa"/>
            <w:noWrap w:val="0"/>
            <w:vAlign w:val="center"/>
          </w:tcPr>
          <w:p w14:paraId="5AB669AA">
            <w:pPr>
              <w:pStyle w:val="37"/>
              <w:ind w:firstLine="480"/>
              <w:jc w:val="center"/>
              <w:rPr>
                <w:rFonts w:ascii="宋体" w:hAnsi="宋体" w:cs="仿宋_GB2312"/>
                <w:color w:val="auto"/>
                <w:sz w:val="24"/>
                <w:highlight w:val="none"/>
              </w:rPr>
            </w:pPr>
          </w:p>
        </w:tc>
        <w:tc>
          <w:tcPr>
            <w:tcW w:w="1496" w:type="dxa"/>
            <w:noWrap w:val="0"/>
            <w:vAlign w:val="center"/>
          </w:tcPr>
          <w:p w14:paraId="47B7D67C">
            <w:pPr>
              <w:pStyle w:val="37"/>
              <w:ind w:firstLine="480"/>
              <w:jc w:val="center"/>
              <w:rPr>
                <w:rFonts w:ascii="宋体" w:hAnsi="宋体" w:cs="仿宋_GB2312"/>
                <w:color w:val="auto"/>
                <w:sz w:val="24"/>
                <w:highlight w:val="none"/>
              </w:rPr>
            </w:pPr>
          </w:p>
        </w:tc>
        <w:tc>
          <w:tcPr>
            <w:tcW w:w="1496" w:type="dxa"/>
            <w:noWrap w:val="0"/>
            <w:vAlign w:val="center"/>
          </w:tcPr>
          <w:p w14:paraId="2DCC3785">
            <w:pPr>
              <w:pStyle w:val="37"/>
              <w:ind w:firstLine="480"/>
              <w:jc w:val="center"/>
              <w:rPr>
                <w:rFonts w:ascii="宋体" w:hAnsi="宋体" w:cs="仿宋_GB2312"/>
                <w:color w:val="auto"/>
                <w:sz w:val="24"/>
                <w:highlight w:val="none"/>
              </w:rPr>
            </w:pPr>
          </w:p>
        </w:tc>
      </w:tr>
      <w:tr w14:paraId="0344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470A90B">
            <w:pPr>
              <w:pStyle w:val="37"/>
              <w:ind w:firstLine="480"/>
              <w:jc w:val="center"/>
              <w:rPr>
                <w:rFonts w:ascii="宋体" w:hAnsi="宋体" w:cs="仿宋_GB2312"/>
                <w:color w:val="auto"/>
                <w:sz w:val="24"/>
                <w:highlight w:val="none"/>
              </w:rPr>
            </w:pPr>
          </w:p>
        </w:tc>
        <w:tc>
          <w:tcPr>
            <w:tcW w:w="1605" w:type="dxa"/>
            <w:noWrap w:val="0"/>
            <w:vAlign w:val="center"/>
          </w:tcPr>
          <w:p w14:paraId="783128F4">
            <w:pPr>
              <w:pStyle w:val="37"/>
              <w:ind w:firstLine="480"/>
              <w:jc w:val="center"/>
              <w:rPr>
                <w:rFonts w:ascii="宋体" w:hAnsi="宋体" w:cs="仿宋_GB2312"/>
                <w:color w:val="auto"/>
                <w:sz w:val="24"/>
                <w:highlight w:val="none"/>
              </w:rPr>
            </w:pPr>
          </w:p>
        </w:tc>
        <w:tc>
          <w:tcPr>
            <w:tcW w:w="2007" w:type="dxa"/>
            <w:noWrap w:val="0"/>
            <w:vAlign w:val="center"/>
          </w:tcPr>
          <w:p w14:paraId="78854C66">
            <w:pPr>
              <w:pStyle w:val="37"/>
              <w:ind w:firstLine="480"/>
              <w:jc w:val="center"/>
              <w:rPr>
                <w:rFonts w:ascii="宋体" w:hAnsi="宋体" w:cs="仿宋_GB2312"/>
                <w:color w:val="auto"/>
                <w:sz w:val="24"/>
                <w:highlight w:val="none"/>
              </w:rPr>
            </w:pPr>
          </w:p>
        </w:tc>
        <w:tc>
          <w:tcPr>
            <w:tcW w:w="1496" w:type="dxa"/>
            <w:noWrap w:val="0"/>
            <w:vAlign w:val="center"/>
          </w:tcPr>
          <w:p w14:paraId="04ED4519">
            <w:pPr>
              <w:pStyle w:val="37"/>
              <w:ind w:firstLine="480"/>
              <w:jc w:val="center"/>
              <w:rPr>
                <w:rFonts w:ascii="宋体" w:hAnsi="宋体" w:cs="仿宋_GB2312"/>
                <w:color w:val="auto"/>
                <w:sz w:val="24"/>
                <w:highlight w:val="none"/>
              </w:rPr>
            </w:pPr>
          </w:p>
        </w:tc>
        <w:tc>
          <w:tcPr>
            <w:tcW w:w="1496" w:type="dxa"/>
            <w:noWrap w:val="0"/>
            <w:vAlign w:val="center"/>
          </w:tcPr>
          <w:p w14:paraId="6E34F9C4">
            <w:pPr>
              <w:pStyle w:val="37"/>
              <w:ind w:firstLine="480"/>
              <w:jc w:val="center"/>
              <w:rPr>
                <w:rFonts w:ascii="宋体" w:hAnsi="宋体" w:cs="仿宋_GB2312"/>
                <w:color w:val="auto"/>
                <w:sz w:val="24"/>
                <w:highlight w:val="none"/>
              </w:rPr>
            </w:pPr>
          </w:p>
        </w:tc>
        <w:tc>
          <w:tcPr>
            <w:tcW w:w="1496" w:type="dxa"/>
            <w:noWrap w:val="0"/>
            <w:vAlign w:val="center"/>
          </w:tcPr>
          <w:p w14:paraId="4A778052">
            <w:pPr>
              <w:pStyle w:val="37"/>
              <w:ind w:firstLine="480"/>
              <w:jc w:val="center"/>
              <w:rPr>
                <w:rFonts w:ascii="宋体" w:hAnsi="宋体" w:cs="仿宋_GB2312"/>
                <w:color w:val="auto"/>
                <w:sz w:val="24"/>
                <w:highlight w:val="none"/>
              </w:rPr>
            </w:pPr>
          </w:p>
        </w:tc>
      </w:tr>
      <w:tr w14:paraId="1669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134F349">
            <w:pPr>
              <w:pStyle w:val="37"/>
              <w:ind w:firstLine="480"/>
              <w:jc w:val="center"/>
              <w:rPr>
                <w:rFonts w:ascii="宋体" w:hAnsi="宋体" w:cs="仿宋_GB2312"/>
                <w:color w:val="auto"/>
                <w:sz w:val="24"/>
                <w:highlight w:val="none"/>
              </w:rPr>
            </w:pPr>
          </w:p>
        </w:tc>
        <w:tc>
          <w:tcPr>
            <w:tcW w:w="1605" w:type="dxa"/>
            <w:noWrap w:val="0"/>
            <w:vAlign w:val="center"/>
          </w:tcPr>
          <w:p w14:paraId="6FF8DAC5">
            <w:pPr>
              <w:pStyle w:val="37"/>
              <w:ind w:firstLine="480"/>
              <w:jc w:val="center"/>
              <w:rPr>
                <w:rFonts w:ascii="宋体" w:hAnsi="宋体" w:cs="仿宋_GB2312"/>
                <w:color w:val="auto"/>
                <w:sz w:val="24"/>
                <w:highlight w:val="none"/>
              </w:rPr>
            </w:pPr>
          </w:p>
        </w:tc>
        <w:tc>
          <w:tcPr>
            <w:tcW w:w="2007" w:type="dxa"/>
            <w:noWrap w:val="0"/>
            <w:vAlign w:val="center"/>
          </w:tcPr>
          <w:p w14:paraId="62FFCC95">
            <w:pPr>
              <w:pStyle w:val="37"/>
              <w:ind w:firstLine="480"/>
              <w:jc w:val="center"/>
              <w:rPr>
                <w:rFonts w:ascii="宋体" w:hAnsi="宋体" w:cs="仿宋_GB2312"/>
                <w:color w:val="auto"/>
                <w:sz w:val="24"/>
                <w:highlight w:val="none"/>
              </w:rPr>
            </w:pPr>
          </w:p>
        </w:tc>
        <w:tc>
          <w:tcPr>
            <w:tcW w:w="1496" w:type="dxa"/>
            <w:noWrap w:val="0"/>
            <w:vAlign w:val="center"/>
          </w:tcPr>
          <w:p w14:paraId="3AECE30E">
            <w:pPr>
              <w:pStyle w:val="37"/>
              <w:ind w:firstLine="480"/>
              <w:jc w:val="center"/>
              <w:rPr>
                <w:rFonts w:ascii="宋体" w:hAnsi="宋体" w:cs="仿宋_GB2312"/>
                <w:color w:val="auto"/>
                <w:sz w:val="24"/>
                <w:highlight w:val="none"/>
              </w:rPr>
            </w:pPr>
          </w:p>
        </w:tc>
        <w:tc>
          <w:tcPr>
            <w:tcW w:w="1496" w:type="dxa"/>
            <w:noWrap w:val="0"/>
            <w:vAlign w:val="center"/>
          </w:tcPr>
          <w:p w14:paraId="0BCC26CC">
            <w:pPr>
              <w:pStyle w:val="37"/>
              <w:ind w:firstLine="480"/>
              <w:jc w:val="center"/>
              <w:rPr>
                <w:rFonts w:ascii="宋体" w:hAnsi="宋体" w:cs="仿宋_GB2312"/>
                <w:color w:val="auto"/>
                <w:sz w:val="24"/>
                <w:highlight w:val="none"/>
              </w:rPr>
            </w:pPr>
          </w:p>
        </w:tc>
        <w:tc>
          <w:tcPr>
            <w:tcW w:w="1496" w:type="dxa"/>
            <w:noWrap w:val="0"/>
            <w:vAlign w:val="center"/>
          </w:tcPr>
          <w:p w14:paraId="64D9F938">
            <w:pPr>
              <w:pStyle w:val="37"/>
              <w:ind w:firstLine="480"/>
              <w:jc w:val="center"/>
              <w:rPr>
                <w:rFonts w:ascii="宋体" w:hAnsi="宋体" w:cs="仿宋_GB2312"/>
                <w:color w:val="auto"/>
                <w:sz w:val="24"/>
                <w:highlight w:val="none"/>
              </w:rPr>
            </w:pPr>
          </w:p>
        </w:tc>
      </w:tr>
      <w:tr w14:paraId="52D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034CF66">
            <w:pPr>
              <w:pStyle w:val="37"/>
              <w:ind w:firstLine="480"/>
              <w:jc w:val="center"/>
              <w:rPr>
                <w:rFonts w:ascii="宋体" w:hAnsi="宋体" w:cs="仿宋_GB2312"/>
                <w:color w:val="auto"/>
                <w:sz w:val="24"/>
                <w:highlight w:val="none"/>
              </w:rPr>
            </w:pPr>
          </w:p>
        </w:tc>
        <w:tc>
          <w:tcPr>
            <w:tcW w:w="1605" w:type="dxa"/>
            <w:noWrap w:val="0"/>
            <w:vAlign w:val="center"/>
          </w:tcPr>
          <w:p w14:paraId="59379C05">
            <w:pPr>
              <w:pStyle w:val="37"/>
              <w:ind w:firstLine="480"/>
              <w:jc w:val="center"/>
              <w:rPr>
                <w:rFonts w:ascii="宋体" w:hAnsi="宋体" w:cs="仿宋_GB2312"/>
                <w:color w:val="auto"/>
                <w:sz w:val="24"/>
                <w:highlight w:val="none"/>
              </w:rPr>
            </w:pPr>
          </w:p>
        </w:tc>
        <w:tc>
          <w:tcPr>
            <w:tcW w:w="2007" w:type="dxa"/>
            <w:noWrap w:val="0"/>
            <w:vAlign w:val="center"/>
          </w:tcPr>
          <w:p w14:paraId="60273E12">
            <w:pPr>
              <w:pStyle w:val="37"/>
              <w:ind w:firstLine="480"/>
              <w:jc w:val="center"/>
              <w:rPr>
                <w:rFonts w:ascii="宋体" w:hAnsi="宋体" w:cs="仿宋_GB2312"/>
                <w:color w:val="auto"/>
                <w:sz w:val="24"/>
                <w:highlight w:val="none"/>
              </w:rPr>
            </w:pPr>
          </w:p>
        </w:tc>
        <w:tc>
          <w:tcPr>
            <w:tcW w:w="1496" w:type="dxa"/>
            <w:noWrap w:val="0"/>
            <w:vAlign w:val="center"/>
          </w:tcPr>
          <w:p w14:paraId="491DE8B3">
            <w:pPr>
              <w:pStyle w:val="37"/>
              <w:ind w:firstLine="480"/>
              <w:jc w:val="center"/>
              <w:rPr>
                <w:rFonts w:ascii="宋体" w:hAnsi="宋体" w:cs="仿宋_GB2312"/>
                <w:color w:val="auto"/>
                <w:sz w:val="24"/>
                <w:highlight w:val="none"/>
              </w:rPr>
            </w:pPr>
          </w:p>
        </w:tc>
        <w:tc>
          <w:tcPr>
            <w:tcW w:w="1496" w:type="dxa"/>
            <w:noWrap w:val="0"/>
            <w:vAlign w:val="center"/>
          </w:tcPr>
          <w:p w14:paraId="58666064">
            <w:pPr>
              <w:pStyle w:val="37"/>
              <w:ind w:firstLine="480"/>
              <w:jc w:val="center"/>
              <w:rPr>
                <w:rFonts w:ascii="宋体" w:hAnsi="宋体" w:cs="仿宋_GB2312"/>
                <w:color w:val="auto"/>
                <w:sz w:val="24"/>
                <w:highlight w:val="none"/>
              </w:rPr>
            </w:pPr>
          </w:p>
        </w:tc>
        <w:tc>
          <w:tcPr>
            <w:tcW w:w="1496" w:type="dxa"/>
            <w:noWrap w:val="0"/>
            <w:vAlign w:val="center"/>
          </w:tcPr>
          <w:p w14:paraId="46EDDC70">
            <w:pPr>
              <w:pStyle w:val="37"/>
              <w:ind w:firstLine="480"/>
              <w:jc w:val="center"/>
              <w:rPr>
                <w:rFonts w:ascii="宋体" w:hAnsi="宋体" w:cs="仿宋_GB2312"/>
                <w:color w:val="auto"/>
                <w:sz w:val="24"/>
                <w:highlight w:val="none"/>
              </w:rPr>
            </w:pPr>
          </w:p>
        </w:tc>
      </w:tr>
      <w:tr w14:paraId="5B19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7372E3FC">
            <w:pPr>
              <w:pStyle w:val="37"/>
              <w:ind w:firstLine="480"/>
              <w:jc w:val="center"/>
              <w:rPr>
                <w:rFonts w:ascii="宋体" w:hAnsi="宋体" w:cs="仿宋_GB2312"/>
                <w:color w:val="auto"/>
                <w:sz w:val="24"/>
                <w:highlight w:val="none"/>
              </w:rPr>
            </w:pPr>
          </w:p>
        </w:tc>
        <w:tc>
          <w:tcPr>
            <w:tcW w:w="1605" w:type="dxa"/>
            <w:noWrap w:val="0"/>
            <w:vAlign w:val="center"/>
          </w:tcPr>
          <w:p w14:paraId="57BFDC75">
            <w:pPr>
              <w:pStyle w:val="37"/>
              <w:ind w:firstLine="480"/>
              <w:jc w:val="center"/>
              <w:rPr>
                <w:rFonts w:ascii="宋体" w:hAnsi="宋体" w:cs="仿宋_GB2312"/>
                <w:color w:val="auto"/>
                <w:sz w:val="24"/>
                <w:highlight w:val="none"/>
              </w:rPr>
            </w:pPr>
          </w:p>
        </w:tc>
        <w:tc>
          <w:tcPr>
            <w:tcW w:w="2007" w:type="dxa"/>
            <w:noWrap w:val="0"/>
            <w:vAlign w:val="center"/>
          </w:tcPr>
          <w:p w14:paraId="0B3C8990">
            <w:pPr>
              <w:pStyle w:val="37"/>
              <w:ind w:firstLine="480"/>
              <w:jc w:val="center"/>
              <w:rPr>
                <w:rFonts w:ascii="宋体" w:hAnsi="宋体" w:cs="仿宋_GB2312"/>
                <w:color w:val="auto"/>
                <w:sz w:val="24"/>
                <w:highlight w:val="none"/>
              </w:rPr>
            </w:pPr>
          </w:p>
        </w:tc>
        <w:tc>
          <w:tcPr>
            <w:tcW w:w="1496" w:type="dxa"/>
            <w:noWrap w:val="0"/>
            <w:vAlign w:val="center"/>
          </w:tcPr>
          <w:p w14:paraId="4563A297">
            <w:pPr>
              <w:pStyle w:val="37"/>
              <w:ind w:firstLine="480"/>
              <w:jc w:val="center"/>
              <w:rPr>
                <w:rFonts w:ascii="宋体" w:hAnsi="宋体" w:cs="仿宋_GB2312"/>
                <w:color w:val="auto"/>
                <w:sz w:val="24"/>
                <w:highlight w:val="none"/>
              </w:rPr>
            </w:pPr>
          </w:p>
        </w:tc>
        <w:tc>
          <w:tcPr>
            <w:tcW w:w="1496" w:type="dxa"/>
            <w:noWrap w:val="0"/>
            <w:vAlign w:val="center"/>
          </w:tcPr>
          <w:p w14:paraId="0DFA2AA0">
            <w:pPr>
              <w:pStyle w:val="37"/>
              <w:ind w:firstLine="480"/>
              <w:jc w:val="center"/>
              <w:rPr>
                <w:rFonts w:ascii="宋体" w:hAnsi="宋体" w:cs="仿宋_GB2312"/>
                <w:color w:val="auto"/>
                <w:sz w:val="24"/>
                <w:highlight w:val="none"/>
              </w:rPr>
            </w:pPr>
          </w:p>
        </w:tc>
        <w:tc>
          <w:tcPr>
            <w:tcW w:w="1496" w:type="dxa"/>
            <w:noWrap w:val="0"/>
            <w:vAlign w:val="center"/>
          </w:tcPr>
          <w:p w14:paraId="3DC643E1">
            <w:pPr>
              <w:pStyle w:val="37"/>
              <w:ind w:firstLine="480"/>
              <w:jc w:val="center"/>
              <w:rPr>
                <w:rFonts w:ascii="宋体" w:hAnsi="宋体" w:cs="仿宋_GB2312"/>
                <w:color w:val="auto"/>
                <w:sz w:val="24"/>
                <w:highlight w:val="none"/>
              </w:rPr>
            </w:pPr>
          </w:p>
        </w:tc>
      </w:tr>
    </w:tbl>
    <w:p w14:paraId="239C30B7">
      <w:pPr>
        <w:pStyle w:val="37"/>
        <w:ind w:left="0" w:leftChars="0" w:firstLine="0" w:firstLineChars="0"/>
        <w:rPr>
          <w:rFonts w:ascii="宋体" w:hAnsi="宋体" w:cs="仿宋_GB2312"/>
          <w:color w:val="auto"/>
          <w:sz w:val="24"/>
          <w:highlight w:val="none"/>
        </w:rPr>
      </w:pPr>
    </w:p>
    <w:p w14:paraId="6F065E95">
      <w:pPr>
        <w:pStyle w:val="65"/>
        <w:tabs>
          <w:tab w:val="left" w:pos="1050"/>
        </w:tabs>
        <w:spacing w:line="360" w:lineRule="auto"/>
        <w:rPr>
          <w:rFonts w:ascii="宋体"/>
          <w:sz w:val="24"/>
          <w:szCs w:val="24"/>
        </w:rPr>
      </w:pPr>
      <w:r>
        <w:rPr>
          <w:rFonts w:hint="eastAsia" w:ascii="宋体" w:hAnsi="宋体" w:cs="宋体"/>
          <w:b/>
          <w:bCs/>
          <w:sz w:val="24"/>
          <w:szCs w:val="24"/>
        </w:rPr>
        <w:t>要求：</w:t>
      </w:r>
    </w:p>
    <w:p w14:paraId="48DEF10A">
      <w:pPr>
        <w:pStyle w:val="6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b w:val="0"/>
          <w:bCs w:val="0"/>
          <w:sz w:val="24"/>
          <w:szCs w:val="24"/>
        </w:rPr>
        <w:t>各投标人请将本采购项目评分索引表放在商务技术文件目录的前页，并将应得分值（客观分部分）准确自评，以方便评委进行更加优质、高效的评审。</w:t>
      </w:r>
    </w:p>
    <w:p w14:paraId="15A8449D">
      <w:pPr>
        <w:pStyle w:val="37"/>
        <w:keepNext w:val="0"/>
        <w:keepLines w:val="0"/>
        <w:pageBreakBefore w:val="0"/>
        <w:widowControl/>
        <w:kinsoku/>
        <w:wordWrap/>
        <w:overflowPunct/>
        <w:topLinePunct w:val="0"/>
        <w:autoSpaceDE w:val="0"/>
        <w:autoSpaceDN w:val="0"/>
        <w:bidi w:val="0"/>
        <w:adjustRightInd/>
        <w:snapToGrid w:val="0"/>
        <w:spacing w:before="161" w:beforeLines="50" w:after="0"/>
        <w:ind w:left="0" w:leftChars="0" w:firstLine="480" w:firstLineChars="200"/>
        <w:textAlignment w:val="auto"/>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本表可根据实际需求自行添加</w:t>
      </w:r>
      <w:r>
        <w:rPr>
          <w:rFonts w:hint="eastAsia" w:ascii="宋体" w:hAnsi="宋体" w:cs="宋体"/>
          <w:sz w:val="24"/>
          <w:szCs w:val="24"/>
          <w:lang w:eastAsia="zh-CN"/>
        </w:rPr>
        <w:t>。</w:t>
      </w:r>
    </w:p>
    <w:p w14:paraId="1C334220">
      <w:pPr>
        <w:pStyle w:val="37"/>
        <w:ind w:left="0" w:leftChars="0" w:firstLine="0" w:firstLineChars="0"/>
        <w:rPr>
          <w:rFonts w:ascii="宋体" w:hAnsi="宋体" w:cs="仿宋_GB2312"/>
          <w:color w:val="auto"/>
          <w:sz w:val="24"/>
          <w:highlight w:val="none"/>
        </w:rPr>
      </w:pPr>
    </w:p>
    <w:p w14:paraId="27F7DDCC">
      <w:pPr>
        <w:spacing w:line="360" w:lineRule="auto"/>
        <w:rPr>
          <w:rFonts w:ascii="宋体" w:hAnsi="宋体"/>
          <w:b/>
          <w:color w:val="auto"/>
          <w:sz w:val="28"/>
          <w:highlight w:val="none"/>
        </w:rPr>
      </w:pPr>
    </w:p>
    <w:p w14:paraId="74376012">
      <w:pPr>
        <w:spacing w:line="360" w:lineRule="auto"/>
        <w:ind w:right="-110"/>
        <w:rPr>
          <w:rFonts w:ascii="宋体" w:hAnsi="宋体"/>
          <w:b/>
          <w:color w:val="auto"/>
          <w:sz w:val="28"/>
          <w:highlight w:val="none"/>
        </w:rPr>
      </w:pPr>
    </w:p>
    <w:p w14:paraId="19F1EEF2">
      <w:pPr>
        <w:pStyle w:val="52"/>
        <w:spacing w:before="0" w:beforeAutospacing="0" w:after="0" w:afterAutospacing="0" w:line="360" w:lineRule="auto"/>
        <w:rPr>
          <w:rFonts w:hint="eastAsia"/>
          <w:b/>
          <w:color w:val="auto"/>
          <w:sz w:val="28"/>
          <w:szCs w:val="28"/>
          <w:highlight w:val="none"/>
        </w:rPr>
      </w:pPr>
    </w:p>
    <w:p w14:paraId="23CE23A5">
      <w:pPr>
        <w:pStyle w:val="52"/>
        <w:spacing w:before="0" w:beforeAutospacing="0" w:after="0" w:afterAutospacing="0" w:line="360" w:lineRule="auto"/>
        <w:rPr>
          <w:rFonts w:hint="eastAsia"/>
          <w:b/>
          <w:color w:val="auto"/>
          <w:sz w:val="28"/>
          <w:szCs w:val="28"/>
          <w:highlight w:val="none"/>
        </w:rPr>
      </w:pPr>
    </w:p>
    <w:p w14:paraId="37F55162">
      <w:pPr>
        <w:pStyle w:val="52"/>
        <w:spacing w:before="0" w:beforeAutospacing="0" w:after="0" w:afterAutospacing="0" w:line="360" w:lineRule="auto"/>
        <w:rPr>
          <w:rFonts w:hint="eastAsia"/>
          <w:b/>
          <w:bCs/>
          <w:color w:val="auto"/>
          <w:spacing w:val="11"/>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5</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14:paraId="152AD379">
      <w:pPr>
        <w:pStyle w:val="52"/>
        <w:spacing w:before="0" w:beforeAutospacing="0" w:after="0" w:afterAutospacing="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本</w:t>
      </w:r>
      <w:r>
        <w:rPr>
          <w:rFonts w:hint="eastAsia" w:ascii="宋体" w:hAnsi="宋体" w:eastAsia="宋体" w:cs="宋体"/>
          <w:b/>
          <w:color w:val="auto"/>
          <w:sz w:val="32"/>
          <w:szCs w:val="32"/>
          <w:highlight w:val="none"/>
        </w:rPr>
        <w:t>项目</w:t>
      </w:r>
      <w:r>
        <w:rPr>
          <w:rFonts w:hint="eastAsia" w:ascii="宋体" w:hAnsi="宋体" w:eastAsia="宋体" w:cs="宋体"/>
          <w:b/>
          <w:color w:val="auto"/>
          <w:sz w:val="32"/>
          <w:szCs w:val="32"/>
          <w:highlight w:val="none"/>
          <w:lang w:eastAsia="zh-CN"/>
        </w:rPr>
        <w:t>负责</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lang w:eastAsia="zh-CN"/>
        </w:rPr>
        <w:t>情况</w:t>
      </w:r>
      <w:r>
        <w:rPr>
          <w:rFonts w:hint="eastAsia" w:ascii="宋体" w:hAnsi="宋体" w:eastAsia="宋体" w:cs="宋体"/>
          <w:b/>
          <w:color w:val="auto"/>
          <w:sz w:val="32"/>
          <w:szCs w:val="32"/>
          <w:highlight w:val="none"/>
        </w:rPr>
        <w:t>表</w:t>
      </w:r>
    </w:p>
    <w:p w14:paraId="2E4B61B9">
      <w:pPr>
        <w:pStyle w:val="52"/>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0BCA2A25">
      <w:pPr>
        <w:jc w:val="center"/>
        <w:rPr>
          <w:rFonts w:hint="eastAsia" w:ascii="宋体" w:hAnsi="宋体" w:cs="宋体"/>
          <w:color w:val="auto"/>
          <w:sz w:val="28"/>
          <w:szCs w:val="28"/>
          <w:highlight w:val="none"/>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7B4F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noWrap w:val="0"/>
            <w:vAlign w:val="center"/>
          </w:tcPr>
          <w:p w14:paraId="70E92BE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noWrap w:val="0"/>
            <w:vAlign w:val="center"/>
          </w:tcPr>
          <w:p w14:paraId="50576936">
            <w:pPr>
              <w:bidi w:val="0"/>
              <w:spacing w:line="240" w:lineRule="auto"/>
              <w:jc w:val="center"/>
              <w:rPr>
                <w:b/>
                <w:bCs/>
                <w:color w:val="auto"/>
                <w:sz w:val="24"/>
                <w:szCs w:val="24"/>
                <w:highlight w:val="none"/>
                <w:lang w:val="zh-CN"/>
              </w:rPr>
            </w:pPr>
          </w:p>
        </w:tc>
        <w:tc>
          <w:tcPr>
            <w:tcW w:w="3682" w:type="dxa"/>
            <w:noWrap w:val="0"/>
            <w:vAlign w:val="center"/>
          </w:tcPr>
          <w:p w14:paraId="3F5D3C22">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工作经历及承担的主要工作情况，曾担任项目负责人的项目应列明细</w:t>
            </w:r>
          </w:p>
        </w:tc>
      </w:tr>
      <w:tr w14:paraId="7702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56CDC615">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noWrap w:val="0"/>
            <w:vAlign w:val="center"/>
          </w:tcPr>
          <w:p w14:paraId="6DF8DB33">
            <w:pPr>
              <w:bidi w:val="0"/>
              <w:spacing w:line="240" w:lineRule="auto"/>
              <w:jc w:val="center"/>
              <w:rPr>
                <w:b/>
                <w:bCs/>
                <w:color w:val="auto"/>
                <w:sz w:val="24"/>
                <w:szCs w:val="24"/>
                <w:highlight w:val="none"/>
                <w:lang w:val="zh-CN"/>
              </w:rPr>
            </w:pPr>
          </w:p>
        </w:tc>
        <w:tc>
          <w:tcPr>
            <w:tcW w:w="3682" w:type="dxa"/>
            <w:vMerge w:val="restart"/>
            <w:noWrap w:val="0"/>
            <w:vAlign w:val="center"/>
          </w:tcPr>
          <w:p w14:paraId="00605BFD">
            <w:pPr>
              <w:bidi w:val="0"/>
              <w:spacing w:line="240" w:lineRule="auto"/>
              <w:jc w:val="center"/>
              <w:rPr>
                <w:b/>
                <w:bCs/>
                <w:color w:val="auto"/>
                <w:sz w:val="24"/>
                <w:szCs w:val="24"/>
                <w:highlight w:val="none"/>
                <w:lang w:val="zh-CN"/>
              </w:rPr>
            </w:pPr>
          </w:p>
        </w:tc>
      </w:tr>
      <w:tr w14:paraId="78E9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7CBA9650">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noWrap w:val="0"/>
            <w:vAlign w:val="center"/>
          </w:tcPr>
          <w:p w14:paraId="32304A1A">
            <w:pPr>
              <w:bidi w:val="0"/>
              <w:spacing w:line="240" w:lineRule="auto"/>
              <w:jc w:val="center"/>
              <w:rPr>
                <w:b/>
                <w:bCs/>
                <w:color w:val="auto"/>
                <w:sz w:val="24"/>
                <w:szCs w:val="24"/>
                <w:highlight w:val="none"/>
                <w:lang w:val="zh-CN"/>
              </w:rPr>
            </w:pPr>
          </w:p>
        </w:tc>
        <w:tc>
          <w:tcPr>
            <w:tcW w:w="3682" w:type="dxa"/>
            <w:vMerge w:val="continue"/>
            <w:noWrap w:val="0"/>
            <w:vAlign w:val="center"/>
          </w:tcPr>
          <w:p w14:paraId="6D5E7CB0">
            <w:pPr>
              <w:bidi w:val="0"/>
              <w:spacing w:line="240" w:lineRule="auto"/>
              <w:jc w:val="center"/>
              <w:rPr>
                <w:b/>
                <w:bCs/>
                <w:color w:val="auto"/>
                <w:sz w:val="24"/>
                <w:szCs w:val="24"/>
                <w:highlight w:val="none"/>
                <w:lang w:val="zh-CN"/>
              </w:rPr>
            </w:pPr>
          </w:p>
        </w:tc>
      </w:tr>
      <w:tr w14:paraId="0E9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6125BC1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noWrap w:val="0"/>
            <w:vAlign w:val="center"/>
          </w:tcPr>
          <w:p w14:paraId="4C3DC6CB">
            <w:pPr>
              <w:bidi w:val="0"/>
              <w:spacing w:line="240" w:lineRule="auto"/>
              <w:jc w:val="center"/>
              <w:rPr>
                <w:b/>
                <w:bCs/>
                <w:color w:val="auto"/>
                <w:sz w:val="24"/>
                <w:szCs w:val="24"/>
                <w:highlight w:val="none"/>
                <w:lang w:val="zh-CN"/>
              </w:rPr>
            </w:pPr>
          </w:p>
        </w:tc>
        <w:tc>
          <w:tcPr>
            <w:tcW w:w="3682" w:type="dxa"/>
            <w:vMerge w:val="continue"/>
            <w:noWrap w:val="0"/>
            <w:vAlign w:val="center"/>
          </w:tcPr>
          <w:p w14:paraId="1CE7DC2B">
            <w:pPr>
              <w:bidi w:val="0"/>
              <w:spacing w:line="240" w:lineRule="auto"/>
              <w:jc w:val="center"/>
              <w:rPr>
                <w:b/>
                <w:bCs/>
                <w:color w:val="auto"/>
                <w:sz w:val="24"/>
                <w:szCs w:val="24"/>
                <w:highlight w:val="none"/>
                <w:lang w:val="zh-CN"/>
              </w:rPr>
            </w:pPr>
          </w:p>
        </w:tc>
      </w:tr>
      <w:tr w14:paraId="7684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4BC9A66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noWrap w:val="0"/>
            <w:vAlign w:val="center"/>
          </w:tcPr>
          <w:p w14:paraId="3CAA1556">
            <w:pPr>
              <w:bidi w:val="0"/>
              <w:spacing w:line="240" w:lineRule="auto"/>
              <w:jc w:val="center"/>
              <w:rPr>
                <w:b/>
                <w:bCs/>
                <w:color w:val="auto"/>
                <w:sz w:val="24"/>
                <w:szCs w:val="24"/>
                <w:highlight w:val="none"/>
                <w:lang w:val="zh-CN"/>
              </w:rPr>
            </w:pPr>
          </w:p>
        </w:tc>
        <w:tc>
          <w:tcPr>
            <w:tcW w:w="3682" w:type="dxa"/>
            <w:vMerge w:val="continue"/>
            <w:noWrap w:val="0"/>
            <w:vAlign w:val="center"/>
          </w:tcPr>
          <w:p w14:paraId="32F43C24">
            <w:pPr>
              <w:bidi w:val="0"/>
              <w:spacing w:line="240" w:lineRule="auto"/>
              <w:jc w:val="center"/>
              <w:rPr>
                <w:b/>
                <w:bCs/>
                <w:color w:val="auto"/>
                <w:sz w:val="24"/>
                <w:szCs w:val="24"/>
                <w:highlight w:val="none"/>
                <w:lang w:val="zh-CN"/>
              </w:rPr>
            </w:pPr>
          </w:p>
        </w:tc>
      </w:tr>
      <w:tr w14:paraId="36B1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4A53DFC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noWrap w:val="0"/>
            <w:vAlign w:val="center"/>
          </w:tcPr>
          <w:p w14:paraId="282A66AF">
            <w:pPr>
              <w:bidi w:val="0"/>
              <w:spacing w:line="240" w:lineRule="auto"/>
              <w:jc w:val="center"/>
              <w:rPr>
                <w:b/>
                <w:bCs/>
                <w:color w:val="auto"/>
                <w:sz w:val="24"/>
                <w:szCs w:val="24"/>
                <w:highlight w:val="none"/>
                <w:lang w:val="zh-CN"/>
              </w:rPr>
            </w:pPr>
          </w:p>
        </w:tc>
        <w:tc>
          <w:tcPr>
            <w:tcW w:w="3682" w:type="dxa"/>
            <w:vMerge w:val="continue"/>
            <w:noWrap w:val="0"/>
            <w:vAlign w:val="center"/>
          </w:tcPr>
          <w:p w14:paraId="74641DCE">
            <w:pPr>
              <w:bidi w:val="0"/>
              <w:spacing w:line="240" w:lineRule="auto"/>
              <w:jc w:val="center"/>
              <w:rPr>
                <w:b/>
                <w:bCs/>
                <w:color w:val="auto"/>
                <w:sz w:val="24"/>
                <w:szCs w:val="24"/>
                <w:highlight w:val="none"/>
                <w:lang w:val="zh-CN"/>
              </w:rPr>
            </w:pPr>
          </w:p>
        </w:tc>
      </w:tr>
      <w:tr w14:paraId="3623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27AA98A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noWrap w:val="0"/>
            <w:vAlign w:val="center"/>
          </w:tcPr>
          <w:p w14:paraId="37CEACED">
            <w:pPr>
              <w:bidi w:val="0"/>
              <w:spacing w:line="240" w:lineRule="auto"/>
              <w:jc w:val="center"/>
              <w:rPr>
                <w:b/>
                <w:bCs/>
                <w:color w:val="auto"/>
                <w:sz w:val="24"/>
                <w:szCs w:val="24"/>
                <w:highlight w:val="none"/>
                <w:lang w:val="zh-CN"/>
              </w:rPr>
            </w:pPr>
          </w:p>
        </w:tc>
        <w:tc>
          <w:tcPr>
            <w:tcW w:w="3682" w:type="dxa"/>
            <w:vMerge w:val="continue"/>
            <w:noWrap w:val="0"/>
            <w:vAlign w:val="center"/>
          </w:tcPr>
          <w:p w14:paraId="0C7E8EA0">
            <w:pPr>
              <w:bidi w:val="0"/>
              <w:spacing w:line="240" w:lineRule="auto"/>
              <w:jc w:val="center"/>
              <w:rPr>
                <w:b/>
                <w:bCs/>
                <w:color w:val="auto"/>
                <w:sz w:val="24"/>
                <w:szCs w:val="24"/>
                <w:highlight w:val="none"/>
                <w:lang w:val="zh-CN"/>
              </w:rPr>
            </w:pPr>
          </w:p>
        </w:tc>
      </w:tr>
      <w:tr w14:paraId="084D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noWrap w:val="0"/>
            <w:vAlign w:val="center"/>
          </w:tcPr>
          <w:p w14:paraId="52F1EA1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noWrap w:val="0"/>
            <w:vAlign w:val="center"/>
          </w:tcPr>
          <w:p w14:paraId="766D283E">
            <w:pPr>
              <w:bidi w:val="0"/>
              <w:spacing w:line="240" w:lineRule="auto"/>
              <w:jc w:val="center"/>
              <w:rPr>
                <w:b/>
                <w:bCs/>
                <w:color w:val="auto"/>
                <w:sz w:val="24"/>
                <w:szCs w:val="24"/>
                <w:highlight w:val="none"/>
                <w:lang w:val="zh-CN"/>
              </w:rPr>
            </w:pPr>
          </w:p>
        </w:tc>
        <w:tc>
          <w:tcPr>
            <w:tcW w:w="3682" w:type="dxa"/>
            <w:vMerge w:val="continue"/>
            <w:noWrap w:val="0"/>
            <w:vAlign w:val="center"/>
          </w:tcPr>
          <w:p w14:paraId="2A7A04D4">
            <w:pPr>
              <w:bidi w:val="0"/>
              <w:spacing w:line="240" w:lineRule="auto"/>
              <w:jc w:val="center"/>
              <w:rPr>
                <w:b/>
                <w:bCs/>
                <w:color w:val="auto"/>
                <w:sz w:val="24"/>
                <w:szCs w:val="24"/>
                <w:highlight w:val="none"/>
                <w:lang w:val="zh-CN"/>
              </w:rPr>
            </w:pPr>
          </w:p>
        </w:tc>
      </w:tr>
      <w:tr w14:paraId="12BB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noWrap w:val="0"/>
            <w:vAlign w:val="center"/>
          </w:tcPr>
          <w:p w14:paraId="72DF24B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noWrap w:val="0"/>
            <w:vAlign w:val="center"/>
          </w:tcPr>
          <w:p w14:paraId="6864FE38">
            <w:pPr>
              <w:bidi w:val="0"/>
              <w:spacing w:line="240" w:lineRule="auto"/>
              <w:jc w:val="center"/>
              <w:rPr>
                <w:b/>
                <w:bCs/>
                <w:color w:val="auto"/>
                <w:sz w:val="24"/>
                <w:szCs w:val="24"/>
                <w:highlight w:val="none"/>
                <w:lang w:val="zh-CN"/>
              </w:rPr>
            </w:pPr>
          </w:p>
        </w:tc>
      </w:tr>
    </w:tbl>
    <w:p w14:paraId="37B46B7C">
      <w:pPr>
        <w:pStyle w:val="4"/>
        <w:ind w:left="0" w:leftChars="0" w:firstLine="482" w:firstLineChars="200"/>
        <w:rPr>
          <w:rFonts w:hint="eastAsia" w:ascii="宋体" w:hAnsi="宋体" w:cs="宋体"/>
          <w:b/>
          <w:bCs/>
          <w:color w:val="auto"/>
          <w:sz w:val="24"/>
          <w:szCs w:val="32"/>
          <w:highlight w:val="none"/>
          <w:lang w:eastAsia="zh-CN"/>
        </w:rPr>
      </w:pPr>
    </w:p>
    <w:p w14:paraId="224577D9">
      <w:pPr>
        <w:pStyle w:val="4"/>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b w:val="0"/>
          <w:bCs w:val="0"/>
          <w:color w:val="auto"/>
          <w:sz w:val="24"/>
          <w:szCs w:val="32"/>
          <w:highlight w:val="none"/>
          <w:lang w:eastAsia="zh-CN"/>
        </w:rPr>
        <w:t>本</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14:paraId="00656265">
      <w:pPr>
        <w:pStyle w:val="2"/>
        <w:numPr>
          <w:ilvl w:val="0"/>
          <w:numId w:val="0"/>
        </w:numPr>
        <w:rPr>
          <w:color w:val="auto"/>
          <w:highlight w:val="none"/>
        </w:rPr>
      </w:pPr>
    </w:p>
    <w:p w14:paraId="6698A2D7">
      <w:pPr>
        <w:rPr>
          <w:rFonts w:hint="eastAsia" w:ascii="宋体" w:hAnsi="宋体"/>
          <w:color w:val="auto"/>
          <w:sz w:val="24"/>
          <w:highlight w:val="none"/>
        </w:rPr>
      </w:pPr>
    </w:p>
    <w:p w14:paraId="600205F1">
      <w:pPr>
        <w:ind w:left="420"/>
        <w:rPr>
          <w:rFonts w:ascii="宋体" w:hAnsi="宋体"/>
          <w:color w:val="auto"/>
          <w:sz w:val="24"/>
          <w:highlight w:val="none"/>
        </w:rPr>
      </w:pPr>
    </w:p>
    <w:p w14:paraId="46CFFA3F">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4E44BC2B">
      <w:pPr>
        <w:rPr>
          <w:rFonts w:ascii="宋体" w:hAnsi="宋体"/>
          <w:color w:val="auto"/>
          <w:sz w:val="24"/>
          <w:highlight w:val="none"/>
        </w:rPr>
      </w:pPr>
    </w:p>
    <w:p w14:paraId="64D801F3">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7C629EFF">
      <w:pPr>
        <w:spacing w:before="100" w:beforeAutospacing="1"/>
        <w:jc w:val="center"/>
        <w:rPr>
          <w:rFonts w:ascii="宋体" w:hAnsi="宋体"/>
          <w:color w:val="auto"/>
          <w:sz w:val="24"/>
          <w:szCs w:val="24"/>
          <w:highlight w:val="none"/>
        </w:rPr>
      </w:pPr>
    </w:p>
    <w:p w14:paraId="476FFFD5">
      <w:pPr>
        <w:rPr>
          <w:rFonts w:hint="eastAsia" w:ascii="宋体" w:hAnsi="宋体"/>
          <w:b/>
          <w:sz w:val="32"/>
          <w:szCs w:val="32"/>
          <w:lang w:eastAsia="zh-CN"/>
        </w:rPr>
      </w:pPr>
      <w:r>
        <w:rPr>
          <w:rFonts w:hint="eastAsia"/>
          <w:b/>
          <w:color w:val="auto"/>
          <w:sz w:val="28"/>
          <w:szCs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6</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48" w:name="_Toc20569_WPSOffice_Level1"/>
      <w:bookmarkStart w:id="49" w:name="_Toc23671_WPSOffice_Level1"/>
    </w:p>
    <w:bookmarkEnd w:id="48"/>
    <w:bookmarkEnd w:id="49"/>
    <w:p w14:paraId="4A426FD3">
      <w:pPr>
        <w:snapToGrid w:val="0"/>
        <w:spacing w:beforeLines="50" w:after="50" w:line="360" w:lineRule="auto"/>
        <w:jc w:val="center"/>
        <w:rPr>
          <w:rFonts w:ascii="宋体" w:hAnsi="宋体"/>
          <w:b/>
          <w:sz w:val="36"/>
          <w:szCs w:val="36"/>
        </w:rPr>
      </w:pPr>
      <w:r>
        <w:rPr>
          <w:rFonts w:hint="eastAsia" w:ascii="宋体" w:hAnsi="宋体"/>
          <w:b/>
          <w:sz w:val="36"/>
          <w:szCs w:val="36"/>
          <w:lang w:val="zh-CN"/>
        </w:rPr>
        <w:t>项目</w:t>
      </w:r>
      <w:r>
        <w:rPr>
          <w:rFonts w:hint="eastAsia" w:ascii="宋体" w:hAnsi="宋体"/>
          <w:b/>
          <w:sz w:val="36"/>
          <w:szCs w:val="36"/>
          <w:lang w:val="en-US" w:eastAsia="zh-CN"/>
        </w:rPr>
        <w:t>服务</w:t>
      </w:r>
      <w:r>
        <w:rPr>
          <w:rFonts w:hint="eastAsia" w:ascii="宋体" w:hAnsi="宋体"/>
          <w:b/>
          <w:sz w:val="36"/>
          <w:szCs w:val="36"/>
          <w:lang w:val="zh-CN"/>
        </w:rPr>
        <w:t>人员一览表</w:t>
      </w:r>
    </w:p>
    <w:p w14:paraId="3E76E75F">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BCC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9ACF71">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C4DAF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A1520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3DB3EA">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9E9C3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D8095">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15B714">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894117">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1EB9B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53D652">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34A19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66587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12B24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D9CE2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68E22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EB6A1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79476">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64C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24258D">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5EB03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4F3614">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C536B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A26D1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021C6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3A0A1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96DEF7">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757F6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19752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A37BF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12662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10206E">
            <w:pPr>
              <w:pStyle w:val="2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ABCA9C">
            <w:pPr>
              <w:pStyle w:val="25"/>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6112FD">
            <w:pPr>
              <w:pStyle w:val="25"/>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7D0E7">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AA613D">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084C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B9D20E">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32AA60">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E87E2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CC10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D2F0D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F24C7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23CC4A">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B3C7F9">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4D3BA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BD28CD">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6EB0C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2901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0228F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AA8E0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8D9C5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9AC0C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79F5C3">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060AFF3E">
      <w:pPr>
        <w:spacing w:line="360" w:lineRule="auto"/>
        <w:rPr>
          <w:rFonts w:ascii="宋体" w:hAnsi="宋体"/>
          <w:b/>
          <w:sz w:val="24"/>
          <w:szCs w:val="24"/>
        </w:rPr>
      </w:pPr>
      <w:r>
        <w:rPr>
          <w:rFonts w:hint="eastAsia" w:ascii="宋体" w:hAnsi="宋体"/>
          <w:b/>
          <w:sz w:val="24"/>
          <w:szCs w:val="24"/>
        </w:rPr>
        <w:t>要求：</w:t>
      </w:r>
    </w:p>
    <w:p w14:paraId="5DF0A3F7">
      <w:pPr>
        <w:spacing w:line="360" w:lineRule="auto"/>
        <w:ind w:left="437"/>
        <w:rPr>
          <w:rFonts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sz w:val="24"/>
          <w:szCs w:val="24"/>
        </w:rPr>
        <w:t>在填写时，如本表格不适合投标单位的实际情况，可根据本表格式自行划表填写。</w:t>
      </w:r>
    </w:p>
    <w:p w14:paraId="2149C29B">
      <w:pPr>
        <w:pStyle w:val="74"/>
        <w:spacing w:line="360" w:lineRule="auto"/>
        <w:ind w:left="424" w:leftChars="202"/>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color w:val="000000"/>
          <w:sz w:val="24"/>
          <w:lang w:val="zh-CN"/>
        </w:rPr>
        <w:t>随表提交相应的证书原件的扫描件，否则不得分。</w:t>
      </w:r>
    </w:p>
    <w:p w14:paraId="2D71B26F">
      <w:pPr>
        <w:spacing w:line="360" w:lineRule="auto"/>
        <w:rPr>
          <w:rFonts w:hint="eastAsia" w:ascii="宋体" w:hAnsi="宋体" w:eastAsia="宋体"/>
          <w:b/>
          <w:color w:val="auto"/>
          <w:sz w:val="24"/>
          <w:szCs w:val="18"/>
          <w:highlight w:val="none"/>
          <w:lang w:eastAsia="zh-CN"/>
        </w:rPr>
      </w:pPr>
    </w:p>
    <w:p w14:paraId="1E6467B1">
      <w:pPr>
        <w:pStyle w:val="3"/>
        <w:rPr>
          <w:rFonts w:hint="eastAsia"/>
          <w:lang w:eastAsia="zh-CN"/>
        </w:rPr>
      </w:pPr>
    </w:p>
    <w:p w14:paraId="10DF7044">
      <w:pPr>
        <w:spacing w:line="360" w:lineRule="auto"/>
        <w:rPr>
          <w:rFonts w:hint="eastAsia" w:ascii="宋体" w:hAnsi="宋体"/>
          <w:b/>
          <w:color w:val="auto"/>
          <w:sz w:val="24"/>
          <w:szCs w:val="18"/>
          <w:highlight w:val="none"/>
        </w:rPr>
      </w:pPr>
    </w:p>
    <w:p w14:paraId="40439676">
      <w:pPr>
        <w:ind w:left="420" w:firstLine="240" w:firstLineChars="100"/>
        <w:rPr>
          <w:rFonts w:hint="eastAsia" w:ascii="宋体" w:hAnsi="宋体"/>
          <w:color w:val="auto"/>
          <w:sz w:val="24"/>
          <w:highlight w:val="none"/>
        </w:rPr>
      </w:pPr>
    </w:p>
    <w:p w14:paraId="58C5680C">
      <w:pPr>
        <w:ind w:left="420" w:firstLine="240" w:firstLineChars="100"/>
        <w:rPr>
          <w:rFonts w:hint="eastAsia" w:ascii="宋体" w:hAnsi="宋体"/>
          <w:color w:val="auto"/>
          <w:sz w:val="24"/>
          <w:highlight w:val="none"/>
        </w:rPr>
      </w:pPr>
    </w:p>
    <w:p w14:paraId="4172CDB0">
      <w:pPr>
        <w:ind w:left="420" w:firstLine="240" w:firstLineChars="100"/>
        <w:rPr>
          <w:rFonts w:hint="eastAsia" w:ascii="宋体" w:hAnsi="宋体"/>
          <w:color w:val="auto"/>
          <w:sz w:val="24"/>
          <w:highlight w:val="none"/>
        </w:rPr>
      </w:pPr>
    </w:p>
    <w:p w14:paraId="4E5AF64F">
      <w:pPr>
        <w:rPr>
          <w:rFonts w:hint="eastAsia" w:ascii="宋体" w:hAnsi="宋体" w:cs="仿宋_GB2312"/>
          <w:color w:val="auto"/>
          <w:sz w:val="24"/>
          <w:highlight w:val="none"/>
          <w:lang w:val="zh-CN"/>
        </w:rPr>
      </w:pPr>
    </w:p>
    <w:p w14:paraId="440E4880">
      <w:pPr>
        <w:rPr>
          <w:rFonts w:hint="eastAsia" w:ascii="宋体" w:hAnsi="宋体" w:cs="仿宋_GB2312"/>
          <w:color w:val="auto"/>
          <w:sz w:val="24"/>
          <w:highlight w:val="none"/>
          <w:lang w:val="zh-CN"/>
        </w:rPr>
      </w:pPr>
    </w:p>
    <w:p w14:paraId="4CA63218">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53A56F9">
      <w:pPr>
        <w:rPr>
          <w:rFonts w:ascii="宋体" w:hAnsi="宋体"/>
          <w:color w:val="auto"/>
          <w:sz w:val="24"/>
          <w:highlight w:val="none"/>
        </w:rPr>
      </w:pPr>
    </w:p>
    <w:p w14:paraId="1636B13E">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693AED6E">
      <w:pPr>
        <w:rPr>
          <w:color w:val="auto"/>
          <w:highlight w:val="none"/>
        </w:rPr>
      </w:pPr>
    </w:p>
    <w:p w14:paraId="5CF61146">
      <w:pPr>
        <w:rPr>
          <w:rFonts w:hint="eastAsia" w:ascii="宋体" w:hAnsi="宋体" w:eastAsia="宋体"/>
          <w:b/>
          <w:color w:val="auto"/>
          <w:sz w:val="28"/>
          <w:highlight w:val="none"/>
          <w:lang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7</w:t>
      </w:r>
      <w:r>
        <w:rPr>
          <w:rFonts w:hint="eastAsia" w:ascii="宋体" w:hAnsi="宋体"/>
          <w:b/>
          <w:color w:val="auto"/>
          <w:sz w:val="28"/>
          <w:highlight w:val="none"/>
          <w:lang w:eastAsia="zh-CN"/>
        </w:rPr>
        <w:t>：</w:t>
      </w:r>
    </w:p>
    <w:p w14:paraId="6E70E3CB">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lang w:eastAsia="zh-CN"/>
        </w:rPr>
        <w:t>技术服务</w:t>
      </w:r>
      <w:r>
        <w:rPr>
          <w:rFonts w:hint="eastAsia" w:ascii="宋体" w:hAnsi="宋体"/>
          <w:b/>
          <w:color w:val="auto"/>
          <w:sz w:val="32"/>
          <w:szCs w:val="32"/>
          <w:highlight w:val="none"/>
        </w:rPr>
        <w:t>需求响应表</w:t>
      </w:r>
    </w:p>
    <w:p w14:paraId="6564624F">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1E55D809">
      <w:pPr>
        <w:spacing w:line="360" w:lineRule="auto"/>
        <w:ind w:left="481" w:leftChars="229" w:firstLine="813" w:firstLineChars="450"/>
        <w:rPr>
          <w:rFonts w:ascii="宋体" w:hAnsi="宋体"/>
          <w:b/>
          <w:color w:val="auto"/>
          <w:sz w:val="18"/>
          <w:szCs w:val="18"/>
          <w:highlight w:val="none"/>
        </w:rPr>
      </w:pPr>
    </w:p>
    <w:tbl>
      <w:tblPr>
        <w:tblStyle w:val="38"/>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74A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01FA79C3">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14:paraId="6B104CFE">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14:paraId="75522052">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14:paraId="4E44F9E3">
            <w:pPr>
              <w:ind w:left="152"/>
              <w:rPr>
                <w:rFonts w:ascii="宋体" w:hAnsi="宋体"/>
                <w:b/>
                <w:color w:val="auto"/>
                <w:sz w:val="24"/>
                <w:highlight w:val="none"/>
              </w:rPr>
            </w:pPr>
            <w:r>
              <w:rPr>
                <w:rFonts w:hint="eastAsia" w:ascii="宋体" w:hAnsi="宋体"/>
                <w:b/>
                <w:color w:val="auto"/>
                <w:sz w:val="24"/>
                <w:highlight w:val="none"/>
                <w:lang w:eastAsia="zh-CN"/>
              </w:rPr>
              <w:t>投标</w:t>
            </w:r>
            <w:r>
              <w:rPr>
                <w:rFonts w:hint="eastAsia" w:ascii="宋体" w:hAnsi="宋体"/>
                <w:b/>
                <w:color w:val="auto"/>
                <w:sz w:val="24"/>
                <w:highlight w:val="none"/>
              </w:rPr>
              <w:t>响应</w:t>
            </w:r>
          </w:p>
        </w:tc>
        <w:tc>
          <w:tcPr>
            <w:tcW w:w="2625" w:type="dxa"/>
            <w:noWrap w:val="0"/>
            <w:vAlign w:val="center"/>
          </w:tcPr>
          <w:p w14:paraId="4F4B8AFA">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4184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534585D8">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14:paraId="58A99D76">
            <w:pPr>
              <w:snapToGrid w:val="0"/>
              <w:jc w:val="both"/>
              <w:rPr>
                <w:rFonts w:ascii="宋体" w:hAnsi="宋体"/>
                <w:color w:val="auto"/>
                <w:sz w:val="24"/>
                <w:highlight w:val="none"/>
              </w:rPr>
            </w:pPr>
          </w:p>
        </w:tc>
        <w:tc>
          <w:tcPr>
            <w:tcW w:w="1785" w:type="dxa"/>
            <w:noWrap w:val="0"/>
            <w:vAlign w:val="center"/>
          </w:tcPr>
          <w:p w14:paraId="6CA4D8D0">
            <w:pPr>
              <w:rPr>
                <w:rFonts w:ascii="宋体" w:hAnsi="宋体"/>
                <w:color w:val="auto"/>
                <w:sz w:val="24"/>
                <w:highlight w:val="none"/>
              </w:rPr>
            </w:pPr>
          </w:p>
        </w:tc>
        <w:tc>
          <w:tcPr>
            <w:tcW w:w="1365" w:type="dxa"/>
            <w:noWrap w:val="0"/>
            <w:vAlign w:val="center"/>
          </w:tcPr>
          <w:p w14:paraId="31188E87">
            <w:pPr>
              <w:rPr>
                <w:rFonts w:ascii="宋体" w:hAnsi="宋体"/>
                <w:color w:val="auto"/>
                <w:sz w:val="24"/>
                <w:highlight w:val="none"/>
              </w:rPr>
            </w:pPr>
          </w:p>
        </w:tc>
        <w:tc>
          <w:tcPr>
            <w:tcW w:w="2625" w:type="dxa"/>
            <w:noWrap w:val="0"/>
            <w:vAlign w:val="center"/>
          </w:tcPr>
          <w:p w14:paraId="35C98109">
            <w:pPr>
              <w:rPr>
                <w:rFonts w:ascii="宋体" w:hAnsi="宋体"/>
                <w:color w:val="auto"/>
                <w:sz w:val="24"/>
                <w:highlight w:val="none"/>
              </w:rPr>
            </w:pPr>
          </w:p>
        </w:tc>
      </w:tr>
      <w:tr w14:paraId="00AE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62A2CAAE">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14:paraId="5812BC5F">
            <w:pPr>
              <w:snapToGrid w:val="0"/>
              <w:jc w:val="both"/>
              <w:rPr>
                <w:rFonts w:ascii="宋体" w:hAnsi="宋体"/>
                <w:color w:val="auto"/>
                <w:sz w:val="24"/>
                <w:highlight w:val="none"/>
              </w:rPr>
            </w:pPr>
          </w:p>
        </w:tc>
        <w:tc>
          <w:tcPr>
            <w:tcW w:w="1785" w:type="dxa"/>
            <w:noWrap w:val="0"/>
            <w:vAlign w:val="center"/>
          </w:tcPr>
          <w:p w14:paraId="6BF67BAD">
            <w:pPr>
              <w:rPr>
                <w:rFonts w:ascii="宋体" w:hAnsi="宋体"/>
                <w:color w:val="auto"/>
                <w:sz w:val="24"/>
                <w:highlight w:val="none"/>
              </w:rPr>
            </w:pPr>
          </w:p>
        </w:tc>
        <w:tc>
          <w:tcPr>
            <w:tcW w:w="1365" w:type="dxa"/>
            <w:noWrap w:val="0"/>
            <w:vAlign w:val="center"/>
          </w:tcPr>
          <w:p w14:paraId="19106B7F">
            <w:pPr>
              <w:rPr>
                <w:rFonts w:ascii="宋体" w:hAnsi="宋体"/>
                <w:color w:val="auto"/>
                <w:sz w:val="24"/>
                <w:highlight w:val="none"/>
              </w:rPr>
            </w:pPr>
          </w:p>
        </w:tc>
        <w:tc>
          <w:tcPr>
            <w:tcW w:w="2625" w:type="dxa"/>
            <w:noWrap w:val="0"/>
            <w:vAlign w:val="center"/>
          </w:tcPr>
          <w:p w14:paraId="43409FD0">
            <w:pPr>
              <w:rPr>
                <w:rFonts w:ascii="宋体" w:hAnsi="宋体"/>
                <w:color w:val="auto"/>
                <w:sz w:val="24"/>
                <w:highlight w:val="none"/>
              </w:rPr>
            </w:pPr>
          </w:p>
        </w:tc>
      </w:tr>
      <w:tr w14:paraId="6CE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0FDBE8D1">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14:paraId="4A47C400">
            <w:pPr>
              <w:snapToGrid w:val="0"/>
              <w:jc w:val="both"/>
              <w:rPr>
                <w:rFonts w:ascii="宋体" w:hAnsi="宋体"/>
                <w:color w:val="auto"/>
                <w:sz w:val="24"/>
                <w:highlight w:val="none"/>
              </w:rPr>
            </w:pPr>
          </w:p>
        </w:tc>
        <w:tc>
          <w:tcPr>
            <w:tcW w:w="1785" w:type="dxa"/>
            <w:noWrap w:val="0"/>
            <w:vAlign w:val="center"/>
          </w:tcPr>
          <w:p w14:paraId="104A011F">
            <w:pPr>
              <w:rPr>
                <w:rFonts w:ascii="宋体" w:hAnsi="宋体"/>
                <w:color w:val="auto"/>
                <w:sz w:val="24"/>
                <w:highlight w:val="none"/>
              </w:rPr>
            </w:pPr>
          </w:p>
        </w:tc>
        <w:tc>
          <w:tcPr>
            <w:tcW w:w="1365" w:type="dxa"/>
            <w:noWrap w:val="0"/>
            <w:vAlign w:val="center"/>
          </w:tcPr>
          <w:p w14:paraId="2D722624">
            <w:pPr>
              <w:rPr>
                <w:rFonts w:ascii="宋体" w:hAnsi="宋体"/>
                <w:color w:val="auto"/>
                <w:sz w:val="24"/>
                <w:highlight w:val="none"/>
              </w:rPr>
            </w:pPr>
          </w:p>
        </w:tc>
        <w:tc>
          <w:tcPr>
            <w:tcW w:w="2625" w:type="dxa"/>
            <w:noWrap w:val="0"/>
            <w:vAlign w:val="center"/>
          </w:tcPr>
          <w:p w14:paraId="1F798F52">
            <w:pPr>
              <w:rPr>
                <w:rFonts w:ascii="宋体" w:hAnsi="宋体"/>
                <w:color w:val="auto"/>
                <w:sz w:val="24"/>
                <w:highlight w:val="none"/>
              </w:rPr>
            </w:pPr>
          </w:p>
        </w:tc>
      </w:tr>
      <w:tr w14:paraId="1693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278A64EC">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14:paraId="2089B0B5">
            <w:pPr>
              <w:snapToGrid w:val="0"/>
              <w:jc w:val="both"/>
              <w:rPr>
                <w:rFonts w:ascii="宋体" w:hAnsi="宋体"/>
                <w:color w:val="auto"/>
                <w:sz w:val="24"/>
                <w:highlight w:val="none"/>
              </w:rPr>
            </w:pPr>
          </w:p>
        </w:tc>
        <w:tc>
          <w:tcPr>
            <w:tcW w:w="1785" w:type="dxa"/>
            <w:noWrap w:val="0"/>
            <w:vAlign w:val="center"/>
          </w:tcPr>
          <w:p w14:paraId="5F3D47C3">
            <w:pPr>
              <w:rPr>
                <w:rFonts w:ascii="宋体" w:hAnsi="宋体"/>
                <w:color w:val="auto"/>
                <w:sz w:val="24"/>
                <w:highlight w:val="none"/>
              </w:rPr>
            </w:pPr>
          </w:p>
        </w:tc>
        <w:tc>
          <w:tcPr>
            <w:tcW w:w="1365" w:type="dxa"/>
            <w:noWrap w:val="0"/>
            <w:vAlign w:val="center"/>
          </w:tcPr>
          <w:p w14:paraId="53DBCAA4">
            <w:pPr>
              <w:rPr>
                <w:rFonts w:ascii="宋体" w:hAnsi="宋体"/>
                <w:color w:val="auto"/>
                <w:sz w:val="24"/>
                <w:highlight w:val="none"/>
              </w:rPr>
            </w:pPr>
          </w:p>
        </w:tc>
        <w:tc>
          <w:tcPr>
            <w:tcW w:w="2625" w:type="dxa"/>
            <w:noWrap w:val="0"/>
            <w:vAlign w:val="center"/>
          </w:tcPr>
          <w:p w14:paraId="0212B04C">
            <w:pPr>
              <w:rPr>
                <w:rFonts w:ascii="宋体" w:hAnsi="宋体"/>
                <w:color w:val="auto"/>
                <w:sz w:val="24"/>
                <w:highlight w:val="none"/>
              </w:rPr>
            </w:pPr>
          </w:p>
        </w:tc>
      </w:tr>
      <w:tr w14:paraId="69A6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29946C69">
            <w:pPr>
              <w:rPr>
                <w:rFonts w:ascii="宋体" w:hAnsi="宋体"/>
                <w:color w:val="auto"/>
                <w:sz w:val="24"/>
                <w:highlight w:val="none"/>
              </w:rPr>
            </w:pPr>
          </w:p>
        </w:tc>
        <w:tc>
          <w:tcPr>
            <w:tcW w:w="1785" w:type="dxa"/>
            <w:noWrap w:val="0"/>
            <w:vAlign w:val="center"/>
          </w:tcPr>
          <w:p w14:paraId="08AFC208">
            <w:pPr>
              <w:snapToGrid w:val="0"/>
              <w:jc w:val="both"/>
              <w:rPr>
                <w:rFonts w:ascii="宋体" w:hAnsi="宋体"/>
                <w:color w:val="auto"/>
                <w:sz w:val="24"/>
                <w:highlight w:val="none"/>
              </w:rPr>
            </w:pPr>
          </w:p>
        </w:tc>
        <w:tc>
          <w:tcPr>
            <w:tcW w:w="1785" w:type="dxa"/>
            <w:noWrap w:val="0"/>
            <w:vAlign w:val="center"/>
          </w:tcPr>
          <w:p w14:paraId="6B55F63F">
            <w:pPr>
              <w:rPr>
                <w:rFonts w:ascii="宋体" w:hAnsi="宋体"/>
                <w:color w:val="auto"/>
                <w:sz w:val="24"/>
                <w:highlight w:val="none"/>
              </w:rPr>
            </w:pPr>
          </w:p>
        </w:tc>
        <w:tc>
          <w:tcPr>
            <w:tcW w:w="1365" w:type="dxa"/>
            <w:noWrap w:val="0"/>
            <w:vAlign w:val="center"/>
          </w:tcPr>
          <w:p w14:paraId="037EBD2A">
            <w:pPr>
              <w:rPr>
                <w:rFonts w:ascii="宋体" w:hAnsi="宋体"/>
                <w:color w:val="auto"/>
                <w:sz w:val="24"/>
                <w:highlight w:val="none"/>
              </w:rPr>
            </w:pPr>
          </w:p>
        </w:tc>
        <w:tc>
          <w:tcPr>
            <w:tcW w:w="2625" w:type="dxa"/>
            <w:noWrap w:val="0"/>
            <w:vAlign w:val="center"/>
          </w:tcPr>
          <w:p w14:paraId="5F635056">
            <w:pPr>
              <w:rPr>
                <w:rFonts w:ascii="宋体" w:hAnsi="宋体"/>
                <w:color w:val="auto"/>
                <w:sz w:val="24"/>
                <w:highlight w:val="none"/>
              </w:rPr>
            </w:pPr>
          </w:p>
        </w:tc>
      </w:tr>
      <w:tr w14:paraId="04E2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4ED0024A">
            <w:pPr>
              <w:rPr>
                <w:rFonts w:ascii="宋体" w:hAnsi="宋体"/>
                <w:color w:val="auto"/>
                <w:sz w:val="24"/>
                <w:highlight w:val="none"/>
              </w:rPr>
            </w:pPr>
          </w:p>
        </w:tc>
        <w:tc>
          <w:tcPr>
            <w:tcW w:w="1785" w:type="dxa"/>
            <w:noWrap w:val="0"/>
            <w:vAlign w:val="center"/>
          </w:tcPr>
          <w:p w14:paraId="7ABF4868">
            <w:pPr>
              <w:snapToGrid w:val="0"/>
              <w:jc w:val="both"/>
              <w:rPr>
                <w:rFonts w:ascii="宋体" w:hAnsi="宋体"/>
                <w:color w:val="auto"/>
                <w:sz w:val="24"/>
                <w:highlight w:val="none"/>
              </w:rPr>
            </w:pPr>
          </w:p>
        </w:tc>
        <w:tc>
          <w:tcPr>
            <w:tcW w:w="1785" w:type="dxa"/>
            <w:noWrap w:val="0"/>
            <w:vAlign w:val="center"/>
          </w:tcPr>
          <w:p w14:paraId="1EB97E8E">
            <w:pPr>
              <w:rPr>
                <w:rFonts w:ascii="宋体" w:hAnsi="宋体"/>
                <w:color w:val="auto"/>
                <w:sz w:val="24"/>
                <w:highlight w:val="none"/>
              </w:rPr>
            </w:pPr>
          </w:p>
        </w:tc>
        <w:tc>
          <w:tcPr>
            <w:tcW w:w="1365" w:type="dxa"/>
            <w:noWrap w:val="0"/>
            <w:vAlign w:val="center"/>
          </w:tcPr>
          <w:p w14:paraId="605A3C8E">
            <w:pPr>
              <w:rPr>
                <w:rFonts w:ascii="宋体" w:hAnsi="宋体"/>
                <w:color w:val="auto"/>
                <w:sz w:val="24"/>
                <w:highlight w:val="none"/>
              </w:rPr>
            </w:pPr>
          </w:p>
        </w:tc>
        <w:tc>
          <w:tcPr>
            <w:tcW w:w="2625" w:type="dxa"/>
            <w:noWrap w:val="0"/>
            <w:vAlign w:val="center"/>
          </w:tcPr>
          <w:p w14:paraId="00935E20">
            <w:pPr>
              <w:rPr>
                <w:rFonts w:ascii="宋体" w:hAnsi="宋体"/>
                <w:color w:val="auto"/>
                <w:sz w:val="24"/>
                <w:highlight w:val="none"/>
              </w:rPr>
            </w:pPr>
          </w:p>
        </w:tc>
      </w:tr>
      <w:tr w14:paraId="32D4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20C4DC23">
            <w:pPr>
              <w:rPr>
                <w:rFonts w:ascii="宋体" w:hAnsi="宋体"/>
                <w:color w:val="auto"/>
                <w:sz w:val="24"/>
                <w:highlight w:val="none"/>
              </w:rPr>
            </w:pPr>
          </w:p>
        </w:tc>
        <w:tc>
          <w:tcPr>
            <w:tcW w:w="1785" w:type="dxa"/>
            <w:noWrap w:val="0"/>
            <w:vAlign w:val="center"/>
          </w:tcPr>
          <w:p w14:paraId="68850291">
            <w:pPr>
              <w:snapToGrid w:val="0"/>
              <w:jc w:val="both"/>
              <w:rPr>
                <w:rFonts w:ascii="宋体" w:hAnsi="宋体"/>
                <w:color w:val="auto"/>
                <w:sz w:val="24"/>
                <w:highlight w:val="none"/>
              </w:rPr>
            </w:pPr>
          </w:p>
        </w:tc>
        <w:tc>
          <w:tcPr>
            <w:tcW w:w="1785" w:type="dxa"/>
            <w:noWrap w:val="0"/>
            <w:vAlign w:val="center"/>
          </w:tcPr>
          <w:p w14:paraId="6BAA9487">
            <w:pPr>
              <w:rPr>
                <w:rFonts w:ascii="宋体" w:hAnsi="宋体"/>
                <w:color w:val="auto"/>
                <w:sz w:val="24"/>
                <w:highlight w:val="none"/>
              </w:rPr>
            </w:pPr>
          </w:p>
        </w:tc>
        <w:tc>
          <w:tcPr>
            <w:tcW w:w="1365" w:type="dxa"/>
            <w:noWrap w:val="0"/>
            <w:vAlign w:val="center"/>
          </w:tcPr>
          <w:p w14:paraId="3F7FF9EB">
            <w:pPr>
              <w:rPr>
                <w:rFonts w:ascii="宋体" w:hAnsi="宋体"/>
                <w:color w:val="auto"/>
                <w:sz w:val="24"/>
                <w:highlight w:val="none"/>
              </w:rPr>
            </w:pPr>
          </w:p>
        </w:tc>
        <w:tc>
          <w:tcPr>
            <w:tcW w:w="2625" w:type="dxa"/>
            <w:noWrap w:val="0"/>
            <w:vAlign w:val="center"/>
          </w:tcPr>
          <w:p w14:paraId="40BA94DB">
            <w:pPr>
              <w:rPr>
                <w:rFonts w:ascii="宋体" w:hAnsi="宋体"/>
                <w:color w:val="auto"/>
                <w:sz w:val="24"/>
                <w:highlight w:val="none"/>
              </w:rPr>
            </w:pPr>
          </w:p>
        </w:tc>
      </w:tr>
      <w:tr w14:paraId="1758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2DC0D453">
            <w:pPr>
              <w:rPr>
                <w:rFonts w:ascii="宋体" w:hAnsi="宋体"/>
                <w:color w:val="auto"/>
                <w:sz w:val="24"/>
                <w:highlight w:val="none"/>
              </w:rPr>
            </w:pPr>
          </w:p>
        </w:tc>
        <w:tc>
          <w:tcPr>
            <w:tcW w:w="1785" w:type="dxa"/>
            <w:noWrap w:val="0"/>
            <w:vAlign w:val="top"/>
          </w:tcPr>
          <w:p w14:paraId="3CDAA704">
            <w:pPr>
              <w:snapToGrid w:val="0"/>
              <w:rPr>
                <w:rFonts w:ascii="宋体" w:hAnsi="宋体"/>
                <w:color w:val="auto"/>
                <w:sz w:val="24"/>
                <w:highlight w:val="none"/>
              </w:rPr>
            </w:pPr>
          </w:p>
        </w:tc>
        <w:tc>
          <w:tcPr>
            <w:tcW w:w="1785" w:type="dxa"/>
            <w:noWrap w:val="0"/>
            <w:vAlign w:val="center"/>
          </w:tcPr>
          <w:p w14:paraId="3F943F95">
            <w:pPr>
              <w:rPr>
                <w:rFonts w:ascii="宋体" w:hAnsi="宋体"/>
                <w:color w:val="auto"/>
                <w:sz w:val="24"/>
                <w:highlight w:val="none"/>
              </w:rPr>
            </w:pPr>
          </w:p>
        </w:tc>
        <w:tc>
          <w:tcPr>
            <w:tcW w:w="1365" w:type="dxa"/>
            <w:noWrap w:val="0"/>
            <w:vAlign w:val="center"/>
          </w:tcPr>
          <w:p w14:paraId="661F85AD">
            <w:pPr>
              <w:rPr>
                <w:rFonts w:ascii="宋体" w:hAnsi="宋体"/>
                <w:color w:val="auto"/>
                <w:sz w:val="24"/>
                <w:highlight w:val="none"/>
              </w:rPr>
            </w:pPr>
          </w:p>
        </w:tc>
        <w:tc>
          <w:tcPr>
            <w:tcW w:w="2625" w:type="dxa"/>
            <w:noWrap w:val="0"/>
            <w:vAlign w:val="center"/>
          </w:tcPr>
          <w:p w14:paraId="205B7172">
            <w:pPr>
              <w:rPr>
                <w:rFonts w:ascii="宋体" w:hAnsi="宋体"/>
                <w:color w:val="auto"/>
                <w:sz w:val="24"/>
                <w:highlight w:val="none"/>
              </w:rPr>
            </w:pPr>
          </w:p>
        </w:tc>
      </w:tr>
    </w:tbl>
    <w:p w14:paraId="0995EA40">
      <w:pPr>
        <w:spacing w:line="360" w:lineRule="auto"/>
        <w:ind w:firstLine="422" w:firstLineChars="200"/>
        <w:rPr>
          <w:rFonts w:hint="eastAsia" w:ascii="宋体"/>
          <w:b/>
          <w:bCs/>
          <w:szCs w:val="21"/>
          <w:lang w:eastAsia="zh-CN"/>
        </w:rPr>
      </w:pPr>
    </w:p>
    <w:p w14:paraId="162698E8">
      <w:pPr>
        <w:ind w:left="420"/>
        <w:rPr>
          <w:rFonts w:hint="eastAsia" w:ascii="宋体"/>
          <w:b/>
          <w:bCs/>
          <w:szCs w:val="21"/>
          <w:lang w:val="en-US" w:eastAsia="zh-CN"/>
        </w:rPr>
      </w:pPr>
      <w:r>
        <w:rPr>
          <w:rFonts w:hint="eastAsia" w:ascii="宋体"/>
          <w:b/>
          <w:bCs/>
          <w:szCs w:val="21"/>
          <w:lang w:val="en-US" w:eastAsia="zh-CN"/>
        </w:rPr>
        <w:t xml:space="preserve"> </w:t>
      </w:r>
    </w:p>
    <w:p w14:paraId="55D9B7B9">
      <w:pPr>
        <w:pStyle w:val="37"/>
        <w:rPr>
          <w:rFonts w:hint="eastAsia"/>
        </w:rPr>
      </w:pPr>
    </w:p>
    <w:p w14:paraId="4CBA2CA7">
      <w:pPr>
        <w:rPr>
          <w:rFonts w:hint="eastAsia" w:ascii="宋体" w:hAnsi="宋体" w:cs="仿宋_GB2312"/>
          <w:color w:val="auto"/>
          <w:sz w:val="24"/>
          <w:highlight w:val="none"/>
          <w:lang w:val="zh-CN"/>
        </w:rPr>
      </w:pPr>
    </w:p>
    <w:p w14:paraId="65D90CAE">
      <w:pPr>
        <w:rPr>
          <w:rFonts w:hint="eastAsia" w:ascii="宋体" w:hAnsi="宋体" w:cs="仿宋_GB2312"/>
          <w:color w:val="auto"/>
          <w:sz w:val="24"/>
          <w:highlight w:val="none"/>
          <w:lang w:val="zh-CN"/>
        </w:rPr>
      </w:pPr>
    </w:p>
    <w:p w14:paraId="52641289">
      <w:pPr>
        <w:rPr>
          <w:rFonts w:hint="eastAsia" w:ascii="宋体" w:hAnsi="宋体" w:cs="仿宋_GB2312"/>
          <w:color w:val="auto"/>
          <w:sz w:val="24"/>
          <w:highlight w:val="none"/>
          <w:lang w:val="zh-CN"/>
        </w:rPr>
      </w:pPr>
    </w:p>
    <w:p w14:paraId="48E93829">
      <w:pPr>
        <w:ind w:firstLine="480" w:firstLineChars="200"/>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78D1C59B">
      <w:pPr>
        <w:rPr>
          <w:rFonts w:ascii="宋体" w:hAnsi="宋体"/>
          <w:color w:val="auto"/>
          <w:sz w:val="24"/>
          <w:highlight w:val="none"/>
        </w:rPr>
      </w:pPr>
    </w:p>
    <w:p w14:paraId="60A62DCC">
      <w:pPr>
        <w:ind w:firstLine="480" w:firstLineChars="200"/>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590484EB">
      <w:pPr>
        <w:ind w:firstLine="435"/>
        <w:rPr>
          <w:rFonts w:ascii="宋体" w:hAnsi="宋体"/>
          <w:color w:val="auto"/>
          <w:sz w:val="24"/>
          <w:highlight w:val="none"/>
        </w:rPr>
      </w:pPr>
    </w:p>
    <w:p w14:paraId="28DC00A1">
      <w:pPr>
        <w:ind w:firstLine="435"/>
        <w:rPr>
          <w:rFonts w:ascii="宋体" w:hAnsi="宋体"/>
          <w:color w:val="auto"/>
          <w:sz w:val="24"/>
          <w:highlight w:val="none"/>
          <w:u w:val="single"/>
        </w:rPr>
      </w:pPr>
    </w:p>
    <w:p w14:paraId="6E64684A">
      <w:pPr>
        <w:rPr>
          <w:rFonts w:hint="eastAsia" w:ascii="宋体" w:hAnsi="宋体"/>
          <w:b/>
          <w:color w:val="auto"/>
          <w:sz w:val="32"/>
          <w:szCs w:val="32"/>
          <w:highlight w:val="none"/>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0B2CE1D6">
      <w:pPr>
        <w:pStyle w:val="7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w:t>
      </w:r>
      <w:r>
        <w:rPr>
          <w:rFonts w:hint="eastAsia" w:ascii="宋体" w:hAnsi="宋体"/>
          <w:b/>
          <w:color w:val="auto"/>
          <w:sz w:val="32"/>
          <w:szCs w:val="32"/>
          <w:highlight w:val="none"/>
          <w:lang w:val="en-US" w:eastAsia="zh-CN"/>
        </w:rPr>
        <w:t>22</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月以来同类项目的成功案例一览表</w:t>
      </w:r>
    </w:p>
    <w:p w14:paraId="17E731FF">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0B0CF36D">
      <w:pPr>
        <w:pStyle w:val="11"/>
      </w:pPr>
    </w:p>
    <w:tbl>
      <w:tblPr>
        <w:tblStyle w:val="3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14:paraId="7DB7C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39E1467">
            <w:pPr>
              <w:pStyle w:val="71"/>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2868" w:type="dxa"/>
            <w:tcBorders>
              <w:top w:val="single" w:color="auto" w:sz="6" w:space="0"/>
              <w:left w:val="single" w:color="auto" w:sz="6" w:space="0"/>
              <w:bottom w:val="single" w:color="auto" w:sz="6" w:space="0"/>
              <w:right w:val="single" w:color="auto" w:sz="6" w:space="0"/>
            </w:tcBorders>
            <w:noWrap w:val="0"/>
            <w:vAlign w:val="center"/>
          </w:tcPr>
          <w:p w14:paraId="06A45B4E">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661D433">
            <w:pPr>
              <w:pStyle w:val="71"/>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AFC203A">
            <w:pPr>
              <w:pStyle w:val="71"/>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3420" w:type="dxa"/>
            <w:tcBorders>
              <w:top w:val="single" w:color="auto" w:sz="6" w:space="0"/>
              <w:left w:val="single" w:color="auto" w:sz="6" w:space="0"/>
              <w:bottom w:val="single" w:color="auto" w:sz="6" w:space="0"/>
              <w:right w:val="single" w:color="auto" w:sz="6" w:space="0"/>
            </w:tcBorders>
            <w:noWrap w:val="0"/>
            <w:vAlign w:val="center"/>
          </w:tcPr>
          <w:p w14:paraId="51B0C767">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322C9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8A28A45">
            <w:pPr>
              <w:pStyle w:val="71"/>
              <w:jc w:val="center"/>
              <w:rPr>
                <w:rFonts w:ascii="宋体" w:hAnsi="宋体" w:cs="Arial"/>
                <w:color w:val="auto"/>
                <w:sz w:val="24"/>
                <w:highlight w:val="none"/>
              </w:rPr>
            </w:pPr>
            <w:r>
              <w:rPr>
                <w:rFonts w:hint="eastAsia" w:ascii="宋体" w:hAnsi="宋体" w:cs="Arial"/>
                <w:color w:val="auto"/>
                <w:sz w:val="24"/>
                <w:highlight w:val="none"/>
              </w:rPr>
              <w:t>1</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3D4FF87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536633">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16CEFD5">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68A4AED1">
            <w:pPr>
              <w:pStyle w:val="71"/>
              <w:spacing w:line="360" w:lineRule="auto"/>
              <w:rPr>
                <w:rFonts w:ascii="宋体" w:hAnsi="宋体" w:cs="Arial"/>
                <w:color w:val="auto"/>
                <w:sz w:val="24"/>
                <w:highlight w:val="none"/>
              </w:rPr>
            </w:pPr>
          </w:p>
        </w:tc>
      </w:tr>
      <w:tr w14:paraId="754A3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D4D3855">
            <w:pPr>
              <w:pStyle w:val="71"/>
              <w:jc w:val="center"/>
              <w:rPr>
                <w:rFonts w:ascii="宋体" w:hAnsi="宋体" w:cs="Arial"/>
                <w:color w:val="auto"/>
                <w:sz w:val="24"/>
                <w:highlight w:val="none"/>
              </w:rPr>
            </w:pPr>
            <w:r>
              <w:rPr>
                <w:rFonts w:hint="eastAsia" w:ascii="宋体" w:hAnsi="宋体" w:cs="Arial"/>
                <w:color w:val="auto"/>
                <w:sz w:val="24"/>
                <w:highlight w:val="none"/>
              </w:rPr>
              <w:t>2</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7BAA394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CE65774">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A49A09D">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0ADECC49">
            <w:pPr>
              <w:pStyle w:val="71"/>
              <w:spacing w:line="360" w:lineRule="auto"/>
              <w:rPr>
                <w:rFonts w:ascii="宋体" w:hAnsi="宋体" w:cs="Arial"/>
                <w:color w:val="auto"/>
                <w:sz w:val="24"/>
                <w:highlight w:val="none"/>
              </w:rPr>
            </w:pPr>
          </w:p>
        </w:tc>
      </w:tr>
      <w:tr w14:paraId="4F50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2372890">
            <w:pPr>
              <w:pStyle w:val="71"/>
              <w:jc w:val="center"/>
              <w:rPr>
                <w:rFonts w:ascii="宋体" w:hAnsi="宋体" w:cs="Arial"/>
                <w:color w:val="auto"/>
                <w:sz w:val="24"/>
                <w:highlight w:val="none"/>
              </w:rPr>
            </w:pPr>
            <w:r>
              <w:rPr>
                <w:rFonts w:hint="eastAsia" w:ascii="宋体" w:hAnsi="宋体" w:cs="Arial"/>
                <w:color w:val="auto"/>
                <w:sz w:val="24"/>
                <w:highlight w:val="none"/>
              </w:rPr>
              <w:t>3</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28E1C656">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D49760A">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C4576E5">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9601745">
            <w:pPr>
              <w:pStyle w:val="71"/>
              <w:spacing w:line="360" w:lineRule="auto"/>
              <w:rPr>
                <w:rFonts w:ascii="宋体" w:hAnsi="宋体" w:cs="Arial"/>
                <w:color w:val="auto"/>
                <w:sz w:val="24"/>
                <w:highlight w:val="none"/>
              </w:rPr>
            </w:pPr>
          </w:p>
        </w:tc>
      </w:tr>
      <w:tr w14:paraId="12EAE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D3A3F18">
            <w:pPr>
              <w:pStyle w:val="71"/>
              <w:jc w:val="center"/>
              <w:rPr>
                <w:rFonts w:ascii="宋体" w:hAnsi="宋体" w:cs="Arial"/>
                <w:color w:val="auto"/>
                <w:sz w:val="24"/>
                <w:highlight w:val="none"/>
              </w:rPr>
            </w:pPr>
            <w:r>
              <w:rPr>
                <w:rFonts w:hint="eastAsia" w:ascii="宋体" w:hAnsi="宋体" w:cs="Arial"/>
                <w:color w:val="auto"/>
                <w:sz w:val="24"/>
                <w:highlight w:val="none"/>
              </w:rPr>
              <w:t>…</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42329DE6">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29D8DE">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3F396A6">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2F898F60">
            <w:pPr>
              <w:pStyle w:val="71"/>
              <w:spacing w:line="360" w:lineRule="auto"/>
              <w:rPr>
                <w:rFonts w:ascii="宋体" w:hAnsi="宋体" w:cs="Arial"/>
                <w:color w:val="auto"/>
                <w:sz w:val="24"/>
                <w:highlight w:val="none"/>
              </w:rPr>
            </w:pPr>
          </w:p>
        </w:tc>
      </w:tr>
      <w:tr w14:paraId="172D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A703BE9">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20B6FE7D">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A79EB96">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C9BE2F">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944CB25">
            <w:pPr>
              <w:pStyle w:val="71"/>
              <w:spacing w:line="360" w:lineRule="auto"/>
              <w:rPr>
                <w:rFonts w:ascii="宋体" w:hAnsi="宋体" w:cs="Arial"/>
                <w:color w:val="auto"/>
                <w:sz w:val="24"/>
                <w:highlight w:val="none"/>
              </w:rPr>
            </w:pPr>
          </w:p>
        </w:tc>
      </w:tr>
      <w:tr w14:paraId="2BFB6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88C1A95">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057599CF">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3111138">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376761F">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564B1FFE">
            <w:pPr>
              <w:pStyle w:val="71"/>
              <w:spacing w:line="360" w:lineRule="auto"/>
              <w:rPr>
                <w:rFonts w:ascii="宋体" w:hAnsi="宋体" w:cs="Arial"/>
                <w:color w:val="auto"/>
                <w:sz w:val="24"/>
                <w:highlight w:val="none"/>
              </w:rPr>
            </w:pPr>
          </w:p>
        </w:tc>
      </w:tr>
      <w:tr w14:paraId="462D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9DD7603">
            <w:pPr>
              <w:pStyle w:val="71"/>
              <w:spacing w:line="360" w:lineRule="auto"/>
              <w:rPr>
                <w:rFonts w:ascii="宋体" w:hAnsi="宋体" w:cs="Arial"/>
                <w:color w:val="auto"/>
                <w:sz w:val="24"/>
                <w:highlight w:val="none"/>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3BABB220">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BF51F0C">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9AC4967">
            <w:pPr>
              <w:pStyle w:val="71"/>
              <w:spacing w:line="360" w:lineRule="auto"/>
              <w:rPr>
                <w:rFonts w:ascii="宋体" w:hAnsi="宋体" w:cs="Arial"/>
                <w:color w:val="auto"/>
                <w:sz w:val="24"/>
                <w:highlight w:val="none"/>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7173F87C">
            <w:pPr>
              <w:pStyle w:val="71"/>
              <w:spacing w:line="360" w:lineRule="auto"/>
              <w:rPr>
                <w:rFonts w:ascii="宋体" w:hAnsi="宋体" w:cs="Arial"/>
                <w:color w:val="auto"/>
                <w:sz w:val="24"/>
                <w:highlight w:val="none"/>
              </w:rPr>
            </w:pPr>
          </w:p>
        </w:tc>
      </w:tr>
    </w:tbl>
    <w:p w14:paraId="5A181AFD">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635DF9DB">
      <w:pPr>
        <w:numPr>
          <w:ilvl w:val="0"/>
          <w:numId w:val="10"/>
        </w:numPr>
        <w:spacing w:line="360" w:lineRule="auto"/>
        <w:ind w:firstLine="484" w:firstLineChars="202"/>
        <w:rPr>
          <w:rFonts w:hint="eastAsia" w:ascii="宋体" w:hAnsi="宋体"/>
          <w:color w:val="auto"/>
          <w:sz w:val="24"/>
          <w:szCs w:val="24"/>
          <w:highlight w:val="none"/>
          <w:lang w:eastAsia="zh-CN"/>
        </w:rPr>
      </w:pP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r>
        <w:rPr>
          <w:rFonts w:hint="eastAsia" w:ascii="宋体" w:hAnsi="宋体"/>
          <w:color w:val="auto"/>
          <w:kern w:val="0"/>
          <w:sz w:val="24"/>
          <w:szCs w:val="24"/>
          <w:highlight w:val="none"/>
          <w:lang w:eastAsia="zh-CN"/>
        </w:rPr>
        <w:t>；</w:t>
      </w:r>
    </w:p>
    <w:p w14:paraId="47A9C075">
      <w:pPr>
        <w:numPr>
          <w:ilvl w:val="0"/>
          <w:numId w:val="10"/>
        </w:numPr>
        <w:spacing w:line="360" w:lineRule="auto"/>
        <w:ind w:firstLine="484" w:firstLineChars="202"/>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标书中同时提供合同原件</w:t>
      </w:r>
      <w:r>
        <w:rPr>
          <w:rFonts w:hint="eastAsia" w:ascii="宋体" w:hAnsi="宋体"/>
          <w:color w:val="auto"/>
          <w:sz w:val="24"/>
          <w:szCs w:val="24"/>
          <w:highlight w:val="none"/>
          <w:lang w:val="en-US" w:eastAsia="zh-CN"/>
        </w:rPr>
        <w:t>的扫描件</w:t>
      </w:r>
      <w:r>
        <w:rPr>
          <w:rFonts w:hint="eastAsia" w:ascii="宋体" w:hAnsi="宋体"/>
          <w:color w:val="auto"/>
          <w:sz w:val="24"/>
          <w:szCs w:val="24"/>
          <w:highlight w:val="none"/>
          <w:lang w:eastAsia="zh-CN"/>
        </w:rPr>
        <w:t>，否则不得分；</w:t>
      </w:r>
    </w:p>
    <w:p w14:paraId="66B17381">
      <w:pPr>
        <w:spacing w:line="360" w:lineRule="auto"/>
        <w:rPr>
          <w:rFonts w:ascii="宋体" w:hAnsi="宋体"/>
          <w:color w:val="auto"/>
          <w:sz w:val="24"/>
          <w:szCs w:val="24"/>
          <w:highlight w:val="none"/>
        </w:rPr>
      </w:pPr>
    </w:p>
    <w:p w14:paraId="4E4B8A87">
      <w:pPr>
        <w:pStyle w:val="11"/>
      </w:pPr>
    </w:p>
    <w:p w14:paraId="240E0273">
      <w:pPr>
        <w:pStyle w:val="20"/>
      </w:pPr>
    </w:p>
    <w:p w14:paraId="01EB0B14">
      <w:pPr>
        <w:rPr>
          <w:rFonts w:hint="eastAsia" w:ascii="宋体" w:hAnsi="宋体" w:cs="仿宋_GB2312"/>
          <w:color w:val="auto"/>
          <w:sz w:val="24"/>
          <w:highlight w:val="none"/>
          <w:lang w:val="zh-CN"/>
        </w:rPr>
      </w:pPr>
    </w:p>
    <w:p w14:paraId="0BDA23C5">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9443B38">
      <w:pPr>
        <w:rPr>
          <w:rFonts w:ascii="宋体" w:hAnsi="宋体"/>
          <w:color w:val="auto"/>
          <w:sz w:val="24"/>
          <w:highlight w:val="none"/>
        </w:rPr>
      </w:pPr>
    </w:p>
    <w:p w14:paraId="5F3A7B21">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1A4B2C04">
      <w:pPr>
        <w:spacing w:line="360" w:lineRule="auto"/>
        <w:rPr>
          <w:rFonts w:hint="eastAsia" w:ascii="宋体" w:hAnsi="宋体"/>
          <w:b/>
          <w:color w:val="auto"/>
          <w:sz w:val="28"/>
          <w:highlight w:val="none"/>
        </w:rPr>
      </w:pPr>
    </w:p>
    <w:p w14:paraId="6CB6FB7A">
      <w:pPr>
        <w:pStyle w:val="71"/>
        <w:spacing w:line="360" w:lineRule="auto"/>
        <w:jc w:val="left"/>
        <w:rPr>
          <w:rFonts w:hint="eastAsia" w:ascii="宋体" w:hAnsi="宋体"/>
          <w:b/>
          <w:color w:val="auto"/>
          <w:sz w:val="28"/>
          <w:highlight w:val="none"/>
        </w:rPr>
      </w:pPr>
    </w:p>
    <w:p w14:paraId="6FA4FAAA">
      <w:pPr>
        <w:pStyle w:val="71"/>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11553FB8">
      <w:pPr>
        <w:pStyle w:val="6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4F4C8823">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E6D2BB6">
      <w:pPr>
        <w:pStyle w:val="65"/>
        <w:jc w:val="center"/>
        <w:rPr>
          <w:rFonts w:ascii="宋体" w:hAnsi="宋体" w:cs="Arial"/>
          <w:color w:val="auto"/>
          <w:sz w:val="28"/>
          <w:szCs w:val="28"/>
          <w:highlight w:val="none"/>
        </w:rPr>
      </w:pPr>
    </w:p>
    <w:tbl>
      <w:tblPr>
        <w:tblStyle w:val="38"/>
        <w:tblW w:w="82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587BF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14:paraId="252B85C4">
            <w:pPr>
              <w:pStyle w:val="65"/>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14:paraId="5EC03106">
            <w:pPr>
              <w:pStyle w:val="6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14:paraId="70CC6D60">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14:paraId="694A03A8">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1CBAB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14:paraId="4440BA12">
            <w:pPr>
              <w:pStyle w:val="65"/>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14:paraId="577E58B0">
            <w:pPr>
              <w:pStyle w:val="65"/>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14:paraId="6DA87F4C">
            <w:pPr>
              <w:pStyle w:val="65"/>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14:paraId="1DC8CA2F">
            <w:pPr>
              <w:pStyle w:val="65"/>
              <w:spacing w:line="360" w:lineRule="auto"/>
              <w:jc w:val="center"/>
              <w:rPr>
                <w:rFonts w:ascii="宋体" w:hAnsi="宋体" w:cs="Arial"/>
                <w:color w:val="auto"/>
                <w:szCs w:val="21"/>
                <w:highlight w:val="none"/>
              </w:rPr>
            </w:pPr>
          </w:p>
        </w:tc>
      </w:tr>
      <w:tr w14:paraId="12F00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365E5AE">
            <w:pPr>
              <w:pStyle w:val="65"/>
              <w:spacing w:line="360" w:lineRule="auto"/>
              <w:jc w:val="center"/>
              <w:rPr>
                <w:rFonts w:ascii="宋体" w:hAnsi="宋体" w:cs="Arial"/>
                <w:color w:val="auto"/>
                <w:szCs w:val="21"/>
                <w:highlight w:val="none"/>
              </w:rPr>
            </w:pPr>
          </w:p>
        </w:tc>
        <w:tc>
          <w:tcPr>
            <w:tcW w:w="2198" w:type="dxa"/>
            <w:noWrap w:val="0"/>
            <w:vAlign w:val="top"/>
          </w:tcPr>
          <w:p w14:paraId="69147EAA">
            <w:pPr>
              <w:pStyle w:val="65"/>
              <w:spacing w:line="360" w:lineRule="auto"/>
              <w:jc w:val="center"/>
              <w:rPr>
                <w:rFonts w:ascii="宋体" w:hAnsi="宋体" w:cs="Arial"/>
                <w:color w:val="auto"/>
                <w:szCs w:val="21"/>
                <w:highlight w:val="none"/>
              </w:rPr>
            </w:pPr>
          </w:p>
        </w:tc>
        <w:tc>
          <w:tcPr>
            <w:tcW w:w="2069" w:type="dxa"/>
            <w:noWrap w:val="0"/>
            <w:vAlign w:val="top"/>
          </w:tcPr>
          <w:p w14:paraId="2A3C5A58">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515550D4">
            <w:pPr>
              <w:pStyle w:val="65"/>
              <w:spacing w:line="360" w:lineRule="auto"/>
              <w:jc w:val="center"/>
              <w:rPr>
                <w:rFonts w:ascii="宋体" w:hAnsi="宋体" w:cs="Arial"/>
                <w:color w:val="auto"/>
                <w:szCs w:val="21"/>
                <w:highlight w:val="none"/>
              </w:rPr>
            </w:pPr>
          </w:p>
        </w:tc>
      </w:tr>
      <w:tr w14:paraId="7E2CE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F6A3485">
            <w:pPr>
              <w:pStyle w:val="65"/>
              <w:spacing w:line="360" w:lineRule="auto"/>
              <w:jc w:val="center"/>
              <w:rPr>
                <w:rFonts w:ascii="宋体" w:hAnsi="宋体" w:cs="Arial"/>
                <w:color w:val="auto"/>
                <w:szCs w:val="21"/>
                <w:highlight w:val="none"/>
              </w:rPr>
            </w:pPr>
          </w:p>
        </w:tc>
        <w:tc>
          <w:tcPr>
            <w:tcW w:w="2198" w:type="dxa"/>
            <w:noWrap w:val="0"/>
            <w:vAlign w:val="top"/>
          </w:tcPr>
          <w:p w14:paraId="55BA87E7">
            <w:pPr>
              <w:pStyle w:val="65"/>
              <w:spacing w:line="360" w:lineRule="auto"/>
              <w:jc w:val="center"/>
              <w:rPr>
                <w:rFonts w:ascii="宋体" w:hAnsi="宋体" w:cs="Arial"/>
                <w:color w:val="auto"/>
                <w:szCs w:val="21"/>
                <w:highlight w:val="none"/>
              </w:rPr>
            </w:pPr>
          </w:p>
        </w:tc>
        <w:tc>
          <w:tcPr>
            <w:tcW w:w="2069" w:type="dxa"/>
            <w:noWrap w:val="0"/>
            <w:vAlign w:val="top"/>
          </w:tcPr>
          <w:p w14:paraId="5D33BECF">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ED98F2D">
            <w:pPr>
              <w:pStyle w:val="65"/>
              <w:spacing w:line="360" w:lineRule="auto"/>
              <w:jc w:val="center"/>
              <w:rPr>
                <w:rFonts w:ascii="宋体" w:hAnsi="宋体" w:cs="Arial"/>
                <w:color w:val="auto"/>
                <w:szCs w:val="21"/>
                <w:highlight w:val="none"/>
              </w:rPr>
            </w:pPr>
          </w:p>
        </w:tc>
      </w:tr>
      <w:tr w14:paraId="70A60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F20C445">
            <w:pPr>
              <w:pStyle w:val="65"/>
              <w:spacing w:line="360" w:lineRule="auto"/>
              <w:jc w:val="center"/>
              <w:rPr>
                <w:rFonts w:ascii="宋体" w:hAnsi="宋体" w:cs="Arial"/>
                <w:color w:val="auto"/>
                <w:szCs w:val="21"/>
                <w:highlight w:val="none"/>
              </w:rPr>
            </w:pPr>
          </w:p>
        </w:tc>
        <w:tc>
          <w:tcPr>
            <w:tcW w:w="2198" w:type="dxa"/>
            <w:noWrap w:val="0"/>
            <w:vAlign w:val="top"/>
          </w:tcPr>
          <w:p w14:paraId="3929DC7E">
            <w:pPr>
              <w:pStyle w:val="65"/>
              <w:spacing w:line="360" w:lineRule="auto"/>
              <w:jc w:val="center"/>
              <w:rPr>
                <w:rFonts w:ascii="宋体" w:hAnsi="宋体" w:cs="Arial"/>
                <w:color w:val="auto"/>
                <w:szCs w:val="21"/>
                <w:highlight w:val="none"/>
              </w:rPr>
            </w:pPr>
          </w:p>
        </w:tc>
        <w:tc>
          <w:tcPr>
            <w:tcW w:w="2069" w:type="dxa"/>
            <w:noWrap w:val="0"/>
            <w:vAlign w:val="top"/>
          </w:tcPr>
          <w:p w14:paraId="670E6592">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0C2C626">
            <w:pPr>
              <w:pStyle w:val="65"/>
              <w:spacing w:line="360" w:lineRule="auto"/>
              <w:jc w:val="center"/>
              <w:rPr>
                <w:rFonts w:ascii="宋体" w:hAnsi="宋体" w:cs="Arial"/>
                <w:color w:val="auto"/>
                <w:szCs w:val="21"/>
                <w:highlight w:val="none"/>
              </w:rPr>
            </w:pPr>
          </w:p>
        </w:tc>
      </w:tr>
      <w:tr w14:paraId="10821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2D5276BA">
            <w:pPr>
              <w:pStyle w:val="65"/>
              <w:spacing w:line="360" w:lineRule="auto"/>
              <w:jc w:val="center"/>
              <w:rPr>
                <w:rFonts w:ascii="宋体" w:hAnsi="宋体" w:cs="Arial"/>
                <w:color w:val="auto"/>
                <w:szCs w:val="21"/>
                <w:highlight w:val="none"/>
              </w:rPr>
            </w:pPr>
          </w:p>
        </w:tc>
        <w:tc>
          <w:tcPr>
            <w:tcW w:w="2198" w:type="dxa"/>
            <w:noWrap w:val="0"/>
            <w:vAlign w:val="top"/>
          </w:tcPr>
          <w:p w14:paraId="58B5B1DF">
            <w:pPr>
              <w:pStyle w:val="65"/>
              <w:spacing w:line="360" w:lineRule="auto"/>
              <w:jc w:val="center"/>
              <w:rPr>
                <w:rFonts w:ascii="宋体" w:hAnsi="宋体" w:cs="Arial"/>
                <w:color w:val="auto"/>
                <w:szCs w:val="21"/>
                <w:highlight w:val="none"/>
              </w:rPr>
            </w:pPr>
          </w:p>
        </w:tc>
        <w:tc>
          <w:tcPr>
            <w:tcW w:w="2069" w:type="dxa"/>
            <w:noWrap w:val="0"/>
            <w:vAlign w:val="top"/>
          </w:tcPr>
          <w:p w14:paraId="24DC8009">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EE3D12B">
            <w:pPr>
              <w:pStyle w:val="65"/>
              <w:spacing w:line="360" w:lineRule="auto"/>
              <w:jc w:val="center"/>
              <w:rPr>
                <w:rFonts w:ascii="宋体" w:hAnsi="宋体" w:cs="Arial"/>
                <w:color w:val="auto"/>
                <w:szCs w:val="21"/>
                <w:highlight w:val="none"/>
              </w:rPr>
            </w:pPr>
          </w:p>
        </w:tc>
      </w:tr>
      <w:tr w14:paraId="43F21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670084D">
            <w:pPr>
              <w:pStyle w:val="65"/>
              <w:spacing w:line="360" w:lineRule="auto"/>
              <w:jc w:val="center"/>
              <w:rPr>
                <w:rFonts w:ascii="宋体" w:hAnsi="宋体" w:cs="Arial"/>
                <w:color w:val="auto"/>
                <w:szCs w:val="21"/>
                <w:highlight w:val="none"/>
              </w:rPr>
            </w:pPr>
          </w:p>
        </w:tc>
        <w:tc>
          <w:tcPr>
            <w:tcW w:w="2198" w:type="dxa"/>
            <w:noWrap w:val="0"/>
            <w:vAlign w:val="top"/>
          </w:tcPr>
          <w:p w14:paraId="61C80109">
            <w:pPr>
              <w:pStyle w:val="65"/>
              <w:spacing w:line="360" w:lineRule="auto"/>
              <w:jc w:val="center"/>
              <w:rPr>
                <w:rFonts w:ascii="宋体" w:hAnsi="宋体" w:cs="Arial"/>
                <w:color w:val="auto"/>
                <w:szCs w:val="21"/>
                <w:highlight w:val="none"/>
              </w:rPr>
            </w:pPr>
          </w:p>
        </w:tc>
        <w:tc>
          <w:tcPr>
            <w:tcW w:w="2069" w:type="dxa"/>
            <w:noWrap w:val="0"/>
            <w:vAlign w:val="top"/>
          </w:tcPr>
          <w:p w14:paraId="483B02D3">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26D4420F">
            <w:pPr>
              <w:pStyle w:val="65"/>
              <w:spacing w:line="360" w:lineRule="auto"/>
              <w:jc w:val="center"/>
              <w:rPr>
                <w:rFonts w:ascii="宋体" w:hAnsi="宋体" w:cs="Arial"/>
                <w:color w:val="auto"/>
                <w:szCs w:val="21"/>
                <w:highlight w:val="none"/>
              </w:rPr>
            </w:pPr>
          </w:p>
        </w:tc>
      </w:tr>
      <w:tr w14:paraId="66EAD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14:paraId="44077960">
            <w:pPr>
              <w:pStyle w:val="65"/>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14:paraId="0860568B">
            <w:pPr>
              <w:pStyle w:val="65"/>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14:paraId="197EBD99">
            <w:pPr>
              <w:pStyle w:val="65"/>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14:paraId="78999D62">
            <w:pPr>
              <w:pStyle w:val="65"/>
              <w:spacing w:line="360" w:lineRule="auto"/>
              <w:jc w:val="center"/>
              <w:rPr>
                <w:rFonts w:ascii="宋体" w:hAnsi="宋体" w:cs="Arial"/>
                <w:color w:val="auto"/>
                <w:szCs w:val="21"/>
                <w:highlight w:val="none"/>
              </w:rPr>
            </w:pPr>
          </w:p>
        </w:tc>
      </w:tr>
    </w:tbl>
    <w:p w14:paraId="25CB74B3">
      <w:pPr>
        <w:pStyle w:val="65"/>
        <w:tabs>
          <w:tab w:val="left" w:pos="1050"/>
        </w:tabs>
        <w:spacing w:line="360" w:lineRule="auto"/>
        <w:rPr>
          <w:rFonts w:ascii="仿宋_GB2312" w:hAnsi="宋体" w:eastAsia="仿宋_GB2312"/>
          <w:color w:val="auto"/>
          <w:sz w:val="24"/>
          <w:highlight w:val="none"/>
        </w:rPr>
      </w:pPr>
    </w:p>
    <w:p w14:paraId="3853E089">
      <w:pPr>
        <w:pStyle w:val="65"/>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14:paraId="3C054373">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w:t>
      </w:r>
      <w:r>
        <w:rPr>
          <w:rFonts w:hint="eastAsia" w:ascii="宋体" w:hAnsi="宋体"/>
          <w:color w:val="auto"/>
          <w:sz w:val="24"/>
          <w:highlight w:val="none"/>
          <w:lang w:eastAsia="zh-CN"/>
        </w:rPr>
        <w:t>采购文件所要求的</w:t>
      </w:r>
      <w:r>
        <w:rPr>
          <w:rFonts w:hint="eastAsia" w:ascii="宋体" w:hAnsi="宋体"/>
          <w:color w:val="auto"/>
          <w:sz w:val="24"/>
          <w:highlight w:val="none"/>
        </w:rPr>
        <w:t>投标人获得资质、认证或企业信誉证书</w:t>
      </w:r>
      <w:r>
        <w:rPr>
          <w:rFonts w:hint="eastAsia" w:ascii="宋体" w:hAnsi="宋体"/>
          <w:color w:val="auto"/>
          <w:sz w:val="24"/>
          <w:highlight w:val="none"/>
          <w:lang w:eastAsia="zh-CN"/>
        </w:rPr>
        <w:t>的扫描件</w:t>
      </w:r>
      <w:r>
        <w:rPr>
          <w:rFonts w:hint="eastAsia" w:ascii="宋体" w:hAnsi="宋体"/>
          <w:color w:val="auto"/>
          <w:sz w:val="24"/>
          <w:highlight w:val="none"/>
        </w:rPr>
        <w:t>；</w:t>
      </w:r>
    </w:p>
    <w:p w14:paraId="0F2C29D2">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14:paraId="6AAFD2F2">
      <w:pPr>
        <w:pStyle w:val="65"/>
        <w:tabs>
          <w:tab w:val="left" w:pos="1050"/>
        </w:tabs>
        <w:spacing w:line="360" w:lineRule="auto"/>
        <w:ind w:firstLine="720" w:firstLineChars="300"/>
        <w:rPr>
          <w:rFonts w:ascii="仿宋_GB2312" w:hAnsi="宋体" w:eastAsia="仿宋_GB2312"/>
          <w:color w:val="auto"/>
          <w:sz w:val="24"/>
          <w:highlight w:val="none"/>
        </w:rPr>
      </w:pPr>
    </w:p>
    <w:p w14:paraId="7F97139B">
      <w:pPr>
        <w:pStyle w:val="65"/>
        <w:tabs>
          <w:tab w:val="left" w:pos="1050"/>
        </w:tabs>
        <w:spacing w:line="360" w:lineRule="auto"/>
        <w:ind w:firstLine="720" w:firstLineChars="300"/>
        <w:rPr>
          <w:rFonts w:ascii="仿宋_GB2312" w:hAnsi="宋体" w:eastAsia="仿宋_GB2312"/>
          <w:color w:val="auto"/>
          <w:sz w:val="24"/>
          <w:highlight w:val="none"/>
        </w:rPr>
      </w:pPr>
    </w:p>
    <w:p w14:paraId="088E6C6F">
      <w:pPr>
        <w:rPr>
          <w:rFonts w:hint="eastAsia" w:ascii="宋体" w:hAnsi="宋体" w:cs="仿宋_GB2312"/>
          <w:color w:val="auto"/>
          <w:sz w:val="24"/>
          <w:highlight w:val="none"/>
          <w:lang w:val="zh-CN"/>
        </w:rPr>
      </w:pPr>
    </w:p>
    <w:p w14:paraId="56542802">
      <w:pPr>
        <w:rPr>
          <w:rFonts w:hint="eastAsia" w:ascii="宋体" w:hAnsi="宋体" w:cs="仿宋_GB2312"/>
          <w:color w:val="auto"/>
          <w:sz w:val="24"/>
          <w:highlight w:val="none"/>
          <w:lang w:val="zh-CN"/>
        </w:rPr>
      </w:pPr>
    </w:p>
    <w:p w14:paraId="3949176E">
      <w:pPr>
        <w:rPr>
          <w:rFonts w:hint="eastAsia" w:ascii="宋体" w:hAnsi="宋体" w:cs="仿宋_GB2312"/>
          <w:color w:val="auto"/>
          <w:sz w:val="24"/>
          <w:highlight w:val="none"/>
          <w:lang w:val="zh-CN"/>
        </w:rPr>
      </w:pPr>
    </w:p>
    <w:p w14:paraId="3BDC6EAE">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3F6E2802">
      <w:pPr>
        <w:rPr>
          <w:rFonts w:ascii="宋体" w:hAnsi="宋体"/>
          <w:color w:val="auto"/>
          <w:sz w:val="24"/>
          <w:highlight w:val="none"/>
        </w:rPr>
      </w:pPr>
    </w:p>
    <w:p w14:paraId="14B8121E">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04858CA2">
      <w:pPr>
        <w:spacing w:line="360" w:lineRule="auto"/>
        <w:rPr>
          <w:rFonts w:hint="eastAsia" w:ascii="宋体" w:hAnsi="宋体"/>
          <w:b/>
          <w:color w:val="auto"/>
          <w:sz w:val="28"/>
          <w:highlight w:val="none"/>
        </w:rPr>
      </w:pPr>
    </w:p>
    <w:p w14:paraId="4D694313">
      <w:pPr>
        <w:spacing w:line="360" w:lineRule="auto"/>
        <w:rPr>
          <w:rFonts w:hint="eastAsia" w:ascii="宋体" w:hAnsi="宋体"/>
          <w:b/>
          <w:color w:val="auto"/>
          <w:sz w:val="28"/>
          <w:highlight w:val="none"/>
        </w:rPr>
      </w:pPr>
    </w:p>
    <w:p w14:paraId="78B3992E">
      <w:pPr>
        <w:spacing w:line="360" w:lineRule="auto"/>
        <w:rPr>
          <w:rFonts w:hint="eastAsia" w:ascii="宋体" w:hAnsi="宋体"/>
          <w:b/>
          <w:color w:val="auto"/>
          <w:sz w:val="28"/>
          <w:highlight w:val="none"/>
        </w:rPr>
      </w:pPr>
    </w:p>
    <w:p w14:paraId="2A97B458">
      <w:pPr>
        <w:rPr>
          <w:rFonts w:hint="eastAsia" w:ascii="宋体" w:hAnsi="宋体"/>
          <w:b/>
          <w:color w:val="auto"/>
          <w:sz w:val="28"/>
          <w:highlight w:val="none"/>
        </w:rPr>
      </w:pPr>
    </w:p>
    <w:p w14:paraId="0621C57E">
      <w:pPr>
        <w:tabs>
          <w:tab w:val="left" w:pos="0"/>
        </w:tabs>
        <w:autoSpaceDE w:val="0"/>
        <w:autoSpaceDN w:val="0"/>
        <w:spacing w:line="360" w:lineRule="auto"/>
        <w:jc w:val="both"/>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0816DD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宋体" w:asciiTheme="minorEastAsia" w:hAnsiTheme="minorEastAsia" w:eastAsiaTheme="minorEastAsia"/>
          <w:b/>
          <w:kern w:val="0"/>
          <w:sz w:val="32"/>
          <w:szCs w:val="32"/>
          <w:lang w:val="zh-CN"/>
        </w:rPr>
        <w:t>政府采购供应商廉洁自律承诺书</w:t>
      </w:r>
    </w:p>
    <w:p w14:paraId="3D94B6C4">
      <w:pPr>
        <w:autoSpaceDE w:val="0"/>
        <w:autoSpaceDN w:val="0"/>
        <w:spacing w:line="360" w:lineRule="auto"/>
        <w:jc w:val="left"/>
        <w:rPr>
          <w:rFonts w:hint="eastAsia" w:cs="仿宋_GB2312" w:asciiTheme="minorEastAsia" w:hAnsiTheme="minorEastAsia" w:eastAsiaTheme="minorEastAsia"/>
          <w:sz w:val="24"/>
        </w:rPr>
      </w:pPr>
    </w:p>
    <w:p w14:paraId="3D291614">
      <w:pPr>
        <w:autoSpaceDE w:val="0"/>
        <w:autoSpaceDN w:val="0"/>
        <w:spacing w:line="360" w:lineRule="auto"/>
        <w:jc w:val="left"/>
        <w:rPr>
          <w:rFonts w:hint="eastAsia" w:cs="仿宋_GB2312" w:asciiTheme="minorEastAsia" w:hAnsiTheme="minorEastAsia" w:eastAsiaTheme="minorEastAsia"/>
          <w:sz w:val="24"/>
        </w:rPr>
      </w:pPr>
    </w:p>
    <w:p w14:paraId="5BC6E609">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49074F6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AD6DD0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53432F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28C02D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9DB85A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1D9C2D7E">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E36181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773015A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DBDB459">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w:t>
      </w:r>
      <w:r>
        <w:rPr>
          <w:rFonts w:hint="eastAsia" w:ascii="宋体" w:hAnsi="宋体" w:cs="宋体"/>
          <w:color w:val="auto"/>
          <w:sz w:val="24"/>
          <w:highlight w:val="none"/>
        </w:rPr>
        <w:t>招标人</w:t>
      </w:r>
      <w:r>
        <w:rPr>
          <w:rFonts w:hint="eastAsia" w:cs="仿宋_GB2312" w:asciiTheme="minorEastAsia" w:hAnsiTheme="minorEastAsia" w:eastAsiaTheme="minorEastAsia"/>
          <w:kern w:val="0"/>
          <w:sz w:val="24"/>
          <w:lang w:val="zh-CN"/>
        </w:rPr>
        <w:t>有权立即</w:t>
      </w:r>
      <w:r>
        <w:rPr>
          <w:rFonts w:hint="eastAsia" w:ascii="宋体" w:hAnsi="宋体" w:cs="宋体"/>
          <w:color w:val="auto"/>
          <w:sz w:val="24"/>
          <w:highlight w:val="none"/>
        </w:rPr>
        <w:t>取消我方任何资格（投标/中标/签订合同），</w:t>
      </w:r>
      <w:r>
        <w:rPr>
          <w:rFonts w:hint="eastAsia" w:cs="仿宋_GB2312" w:asciiTheme="minorEastAsia" w:hAnsiTheme="minorEastAsia" w:eastAsiaTheme="minorEastAsia"/>
          <w:kern w:val="0"/>
          <w:sz w:val="24"/>
          <w:lang w:val="zh-CN"/>
        </w:rPr>
        <w:t>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r>
        <w:rPr>
          <w:rFonts w:hint="eastAsia" w:ascii="宋体" w:hAnsi="宋体" w:cs="宋体"/>
          <w:color w:val="auto"/>
          <w:sz w:val="24"/>
          <w:highlight w:val="none"/>
        </w:rPr>
        <w:t>我方对此无任何异议。</w:t>
      </w:r>
    </w:p>
    <w:p w14:paraId="35D9347A">
      <w:pPr>
        <w:autoSpaceDE w:val="0"/>
        <w:autoSpaceDN w:val="0"/>
        <w:spacing w:line="360" w:lineRule="auto"/>
        <w:ind w:left="2"/>
        <w:jc w:val="left"/>
        <w:rPr>
          <w:rFonts w:cs="仿宋_GB2312" w:asciiTheme="minorEastAsia" w:hAnsiTheme="minorEastAsia" w:eastAsiaTheme="minorEastAsia"/>
          <w:kern w:val="0"/>
          <w:sz w:val="24"/>
          <w:lang w:val="zh-CN"/>
        </w:rPr>
      </w:pPr>
    </w:p>
    <w:p w14:paraId="69FE3EFC">
      <w:pPr>
        <w:autoSpaceDE w:val="0"/>
        <w:autoSpaceDN w:val="0"/>
        <w:spacing w:line="360" w:lineRule="auto"/>
        <w:ind w:left="2"/>
        <w:jc w:val="left"/>
        <w:rPr>
          <w:rFonts w:cs="仿宋_GB2312" w:asciiTheme="minorEastAsia" w:hAnsiTheme="minorEastAsia" w:eastAsiaTheme="minorEastAsia"/>
          <w:kern w:val="0"/>
          <w:sz w:val="24"/>
          <w:lang w:val="zh-CN"/>
        </w:rPr>
      </w:pPr>
    </w:p>
    <w:p w14:paraId="6289BF84">
      <w:pPr>
        <w:autoSpaceDE w:val="0"/>
        <w:autoSpaceDN w:val="0"/>
        <w:spacing w:line="360" w:lineRule="auto"/>
        <w:ind w:left="2"/>
        <w:jc w:val="left"/>
        <w:rPr>
          <w:rFonts w:cs="仿宋_GB2312" w:asciiTheme="minorEastAsia" w:hAnsiTheme="minorEastAsia" w:eastAsiaTheme="minorEastAsia"/>
          <w:kern w:val="0"/>
          <w:sz w:val="24"/>
          <w:lang w:val="zh-CN"/>
        </w:rPr>
      </w:pPr>
    </w:p>
    <w:p w14:paraId="672CCA1D">
      <w:pPr>
        <w:autoSpaceDE w:val="0"/>
        <w:autoSpaceDN w:val="0"/>
        <w:spacing w:line="360" w:lineRule="auto"/>
        <w:ind w:left="2"/>
        <w:jc w:val="left"/>
        <w:rPr>
          <w:rFonts w:cs="仿宋_GB2312" w:asciiTheme="minorEastAsia" w:hAnsiTheme="minorEastAsia" w:eastAsiaTheme="minorEastAsia"/>
          <w:kern w:val="0"/>
          <w:sz w:val="24"/>
          <w:lang w:val="zh-CN"/>
        </w:rPr>
      </w:pPr>
    </w:p>
    <w:p w14:paraId="1AF1FEED">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FF48980">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en-US" w:eastAsia="zh-CN"/>
        </w:rPr>
        <w:t>2025</w:t>
      </w:r>
      <w:r>
        <w:rPr>
          <w:rFonts w:hint="eastAsia" w:cs="仿宋_GB2312" w:asciiTheme="minorEastAsia" w:hAnsiTheme="minorEastAsia" w:eastAsiaTheme="minorEastAsia"/>
          <w:kern w:val="0"/>
          <w:sz w:val="24"/>
          <w:lang w:val="zh-CN"/>
        </w:rPr>
        <w:t>年   月   日</w:t>
      </w:r>
    </w:p>
    <w:p w14:paraId="07BB48E2">
      <w:pPr>
        <w:spacing w:line="360" w:lineRule="auto"/>
        <w:jc w:val="right"/>
        <w:rPr>
          <w:rFonts w:hint="eastAsia" w:ascii="楷体_GB2312" w:eastAsia="楷体_GB2312"/>
          <w:b/>
          <w:snapToGrid w:val="0"/>
          <w:color w:val="auto"/>
          <w:sz w:val="32"/>
          <w:highlight w:val="none"/>
        </w:rPr>
      </w:pPr>
    </w:p>
    <w:p w14:paraId="09C58C27">
      <w:pPr>
        <w:spacing w:line="360" w:lineRule="auto"/>
        <w:jc w:val="right"/>
        <w:rPr>
          <w:rFonts w:ascii="宋体" w:hAnsi="宋体"/>
          <w:color w:val="auto"/>
          <w:spacing w:val="40"/>
          <w:sz w:val="28"/>
          <w:szCs w:val="28"/>
          <w:highlight w:val="none"/>
        </w:rPr>
      </w:pPr>
      <w:r>
        <w:rPr>
          <w:rFonts w:hint="eastAsia" w:ascii="楷体_GB2312" w:eastAsia="楷体_GB2312"/>
          <w:b/>
          <w:snapToGrid w:val="0"/>
          <w:color w:val="auto"/>
          <w:sz w:val="32"/>
          <w:highlight w:val="none"/>
          <w:lang w:eastAsia="zh-CN"/>
        </w:rPr>
        <w:br w:type="page"/>
      </w:r>
      <w:r>
        <w:rPr>
          <w:rFonts w:hint="eastAsia" w:ascii="楷体_GB2312" w:eastAsia="楷体_GB2312"/>
          <w:b/>
          <w:snapToGrid w:val="0"/>
          <w:color w:val="auto"/>
          <w:sz w:val="32"/>
          <w:highlight w:val="none"/>
          <w:lang w:eastAsia="zh-CN"/>
        </w:rPr>
        <w:t>（封面）</w:t>
      </w:r>
      <w:r>
        <w:rPr>
          <w:rFonts w:hint="eastAsia" w:ascii="楷体_GB2312" w:eastAsia="楷体_GB2312"/>
          <w:b/>
          <w:snapToGrid w:val="0"/>
          <w:color w:val="auto"/>
          <w:sz w:val="32"/>
          <w:highlight w:val="none"/>
        </w:rPr>
        <w:t>正本或副本</w:t>
      </w:r>
    </w:p>
    <w:p w14:paraId="32642E7A">
      <w:pPr>
        <w:spacing w:before="312" w:beforeLines="100" w:line="360" w:lineRule="auto"/>
        <w:ind w:right="-108"/>
        <w:jc w:val="center"/>
        <w:rPr>
          <w:rFonts w:hint="eastAsia" w:hAnsi="宋体"/>
          <w:color w:val="auto"/>
          <w:sz w:val="36"/>
          <w:szCs w:val="36"/>
          <w:highlight w:val="none"/>
        </w:rPr>
      </w:pPr>
      <w:r>
        <w:rPr>
          <w:rFonts w:hint="eastAsia" w:hAnsi="宋体"/>
          <w:color w:val="auto"/>
          <w:sz w:val="40"/>
          <w:szCs w:val="40"/>
          <w:highlight w:val="none"/>
          <w:lang w:eastAsia="zh-CN"/>
        </w:rPr>
        <w:t>加油服务采购项目</w:t>
      </w:r>
    </w:p>
    <w:p w14:paraId="2FD99BDC">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LQCG-2025-CS003号</w:t>
      </w:r>
    </w:p>
    <w:p w14:paraId="213D97FC">
      <w:pPr>
        <w:ind w:right="-108"/>
        <w:jc w:val="center"/>
        <w:rPr>
          <w:rFonts w:ascii="宋体" w:hAnsi="宋体"/>
          <w:color w:val="auto"/>
          <w:spacing w:val="40"/>
          <w:sz w:val="44"/>
          <w:szCs w:val="44"/>
          <w:highlight w:val="none"/>
        </w:rPr>
      </w:pPr>
    </w:p>
    <w:p w14:paraId="665CFA5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7B165A6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1E55C611">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6A3B363">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74691621">
      <w:pPr>
        <w:ind w:right="533"/>
        <w:jc w:val="both"/>
        <w:rPr>
          <w:rFonts w:ascii="宋体" w:hAnsi="宋体"/>
          <w:color w:val="auto"/>
          <w:sz w:val="40"/>
          <w:szCs w:val="40"/>
          <w:highlight w:val="none"/>
        </w:rPr>
      </w:pPr>
    </w:p>
    <w:p w14:paraId="10DD3BE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14:paraId="36B92E74">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62C29C02">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14:paraId="64AFE4F8">
      <w:pPr>
        <w:spacing w:line="360" w:lineRule="auto"/>
        <w:ind w:right="-108"/>
        <w:jc w:val="center"/>
        <w:rPr>
          <w:rFonts w:ascii="宋体" w:hAnsi="宋体"/>
          <w:b/>
          <w:color w:val="auto"/>
          <w:sz w:val="36"/>
          <w:szCs w:val="32"/>
          <w:highlight w:val="none"/>
        </w:rPr>
      </w:pPr>
    </w:p>
    <w:p w14:paraId="5CC7C512">
      <w:pPr>
        <w:pStyle w:val="2"/>
      </w:pPr>
    </w:p>
    <w:p w14:paraId="7D983BB4">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14:paraId="59E38F08">
      <w:pPr>
        <w:snapToGrid w:val="0"/>
        <w:spacing w:line="360" w:lineRule="auto"/>
        <w:ind w:firstLine="480" w:firstLineChars="200"/>
        <w:rPr>
          <w:rFonts w:ascii="宋体" w:hAnsi="宋体"/>
          <w:color w:val="auto"/>
          <w:sz w:val="24"/>
          <w:highlight w:val="none"/>
        </w:rPr>
      </w:pPr>
    </w:p>
    <w:p w14:paraId="791A9C80">
      <w:pPr>
        <w:numPr>
          <w:ilvl w:val="0"/>
          <w:numId w:val="11"/>
        </w:num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首次报价</w:t>
      </w:r>
      <w:r>
        <w:rPr>
          <w:rFonts w:hint="eastAsia" w:ascii="宋体" w:hAnsi="宋体"/>
          <w:color w:val="auto"/>
          <w:sz w:val="24"/>
          <w:highlight w:val="none"/>
        </w:rPr>
        <w:t>表（附件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14:paraId="4D4EFACF">
      <w:pPr>
        <w:numPr>
          <w:ilvl w:val="0"/>
          <w:numId w:val="11"/>
        </w:numPr>
        <w:snapToGrid w:val="0"/>
        <w:spacing w:line="360" w:lineRule="auto"/>
        <w:ind w:left="0" w:leftChars="0" w:firstLine="480" w:firstLineChars="200"/>
        <w:rPr>
          <w:rFonts w:hint="eastAsia" w:ascii="宋体" w:hAnsi="宋体" w:cs="宋体"/>
          <w:bCs/>
          <w:sz w:val="24"/>
        </w:rPr>
      </w:pPr>
      <w:r>
        <w:rPr>
          <w:rFonts w:hint="eastAsia" w:ascii="宋体" w:hAnsi="宋体" w:cs="宋体"/>
          <w:bCs/>
          <w:sz w:val="24"/>
        </w:rPr>
        <w:t>中小企业声明函</w:t>
      </w:r>
      <w:r>
        <w:rPr>
          <w:rFonts w:hint="eastAsia" w:ascii="宋体" w:hAnsi="宋体" w:cs="宋体"/>
          <w:bCs/>
          <w:sz w:val="24"/>
          <w:lang w:eastAsia="zh-CN"/>
        </w:rPr>
        <w:t>（附件</w:t>
      </w:r>
      <w:r>
        <w:rPr>
          <w:rFonts w:hint="eastAsia" w:ascii="宋体" w:hAnsi="宋体" w:cs="宋体"/>
          <w:bCs/>
          <w:sz w:val="24"/>
          <w:lang w:val="en-US" w:eastAsia="zh-CN"/>
        </w:rPr>
        <w:t>A、B</w:t>
      </w:r>
      <w:r>
        <w:rPr>
          <w:rFonts w:hint="eastAsia" w:ascii="宋体" w:hAnsi="宋体" w:cs="宋体"/>
          <w:bCs/>
          <w:sz w:val="24"/>
          <w:lang w:eastAsia="zh-CN"/>
        </w:rPr>
        <w:t>）</w:t>
      </w:r>
    </w:p>
    <w:p w14:paraId="0AA86EB3">
      <w:pPr>
        <w:numPr>
          <w:ilvl w:val="0"/>
          <w:numId w:val="11"/>
        </w:numPr>
        <w:snapToGrid w:val="0"/>
        <w:spacing w:line="360" w:lineRule="auto"/>
        <w:ind w:left="0" w:leftChars="0" w:firstLine="480" w:firstLineChars="200"/>
        <w:rPr>
          <w:rFonts w:ascii="宋体" w:hAnsi="宋体"/>
          <w:color w:val="auto"/>
          <w:kern w:val="0"/>
          <w:sz w:val="24"/>
          <w:highlight w:val="none"/>
        </w:rPr>
      </w:pPr>
      <w:r>
        <w:rPr>
          <w:rFonts w:hint="eastAsia" w:ascii="宋体" w:hAnsi="宋体"/>
          <w:color w:val="auto"/>
          <w:sz w:val="24"/>
          <w:highlight w:val="none"/>
        </w:rPr>
        <w:t>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14:paraId="207DDCB5">
      <w:pPr>
        <w:spacing w:line="360" w:lineRule="auto"/>
        <w:rPr>
          <w:rFonts w:ascii="宋体" w:hAnsi="宋体"/>
          <w:b/>
          <w:color w:val="auto"/>
          <w:sz w:val="28"/>
          <w:highlight w:val="none"/>
        </w:rPr>
      </w:pPr>
    </w:p>
    <w:p w14:paraId="3B711C6B">
      <w:pPr>
        <w:spacing w:line="360" w:lineRule="auto"/>
        <w:ind w:left="480"/>
        <w:rPr>
          <w:rFonts w:ascii="宋体" w:hAnsi="宋体"/>
          <w:b/>
          <w:color w:val="auto"/>
          <w:sz w:val="28"/>
          <w:highlight w:val="none"/>
        </w:rPr>
      </w:pPr>
    </w:p>
    <w:p w14:paraId="5AE11922">
      <w:pPr>
        <w:spacing w:line="360" w:lineRule="auto"/>
        <w:ind w:left="480"/>
        <w:rPr>
          <w:rFonts w:ascii="宋体" w:hAnsi="宋体"/>
          <w:b/>
          <w:color w:val="auto"/>
          <w:sz w:val="28"/>
          <w:highlight w:val="none"/>
        </w:rPr>
      </w:pPr>
    </w:p>
    <w:p w14:paraId="159A5002">
      <w:pPr>
        <w:spacing w:line="360" w:lineRule="auto"/>
        <w:rPr>
          <w:rFonts w:hint="eastAsia" w:ascii="宋体" w:hAnsi="宋体" w:eastAsia="宋体"/>
          <w:b/>
          <w:color w:val="auto"/>
          <w:sz w:val="28"/>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68E34178">
      <w:pPr>
        <w:spacing w:line="360" w:lineRule="auto"/>
        <w:ind w:left="-2" w:hanging="2"/>
        <w:jc w:val="center"/>
        <w:rPr>
          <w:rFonts w:hint="eastAsia" w:ascii="宋体"/>
          <w:b/>
          <w:color w:val="auto"/>
          <w:sz w:val="32"/>
          <w:szCs w:val="32"/>
          <w:highlight w:val="none"/>
        </w:rPr>
      </w:pPr>
      <w:r>
        <w:rPr>
          <w:rFonts w:hint="eastAsia" w:ascii="宋体"/>
          <w:b/>
          <w:color w:val="auto"/>
          <w:sz w:val="32"/>
          <w:szCs w:val="32"/>
          <w:highlight w:val="none"/>
        </w:rPr>
        <w:t xml:space="preserve">首次报价表 </w:t>
      </w:r>
    </w:p>
    <w:p w14:paraId="704C8EDE">
      <w:pPr>
        <w:pStyle w:val="23"/>
        <w:spacing w:line="320" w:lineRule="exact"/>
        <w:rPr>
          <w:b/>
          <w:color w:val="auto"/>
          <w:sz w:val="24"/>
          <w:highlight w:val="none"/>
        </w:rPr>
      </w:pPr>
    </w:p>
    <w:p w14:paraId="42FEE875">
      <w:pPr>
        <w:pStyle w:val="23"/>
        <w:spacing w:line="320" w:lineRule="exact"/>
        <w:rPr>
          <w:rFonts w:hint="eastAsia" w:ascii="宋体"/>
          <w:color w:val="auto"/>
          <w:sz w:val="24"/>
          <w:highlight w:val="none"/>
        </w:rPr>
      </w:pPr>
      <w:r>
        <w:rPr>
          <w:b/>
          <w:color w:val="auto"/>
          <w:sz w:val="24"/>
          <w:highlight w:val="none"/>
        </w:rPr>
        <w:t>项目编号：</w:t>
      </w:r>
      <w:r>
        <w:rPr>
          <w:rFonts w:hint="eastAsia"/>
          <w:color w:val="auto"/>
          <w:sz w:val="24"/>
          <w:highlight w:val="none"/>
          <w:u w:val="single"/>
          <w:lang w:val="en-US" w:eastAsia="zh-CN"/>
        </w:rPr>
        <w:t>LQCG-2025-CS003号</w:t>
      </w:r>
      <w:r>
        <w:rPr>
          <w:rFonts w:hint="eastAsia"/>
          <w:b/>
          <w:color w:val="auto"/>
          <w:sz w:val="24"/>
          <w:highlight w:val="none"/>
          <w:u w:val="single"/>
        </w:rPr>
        <w:t xml:space="preserve"> </w:t>
      </w:r>
      <w:r>
        <w:rPr>
          <w:rFonts w:hint="eastAsia"/>
          <w:b/>
          <w:color w:val="auto"/>
          <w:sz w:val="24"/>
          <w:highlight w:val="none"/>
          <w:u w:val="single"/>
          <w:lang w:val="en-US" w:eastAsia="zh-CN"/>
        </w:rPr>
        <w:t xml:space="preserve">              </w:t>
      </w:r>
      <w:r>
        <w:rPr>
          <w:b/>
          <w:color w:val="auto"/>
          <w:sz w:val="24"/>
          <w:highlight w:val="none"/>
        </w:rPr>
        <w:t>项目名称：</w:t>
      </w:r>
      <w:r>
        <w:rPr>
          <w:rFonts w:hint="eastAsia"/>
          <w:color w:val="auto"/>
          <w:sz w:val="24"/>
          <w:highlight w:val="none"/>
          <w:u w:val="single"/>
          <w:lang w:val="en-US" w:eastAsia="zh-CN"/>
        </w:rPr>
        <w:t>加油服务采购</w:t>
      </w:r>
      <w:r>
        <w:rPr>
          <w:rFonts w:hint="eastAsia"/>
          <w:color w:val="auto"/>
          <w:sz w:val="24"/>
          <w:highlight w:val="none"/>
          <w:u w:val="single"/>
          <w:lang w:eastAsia="zh-CN"/>
        </w:rPr>
        <w:t>项目</w:t>
      </w:r>
      <w:r>
        <w:rPr>
          <w:rFonts w:hint="eastAsia" w:ascii="宋体"/>
          <w:color w:val="auto"/>
          <w:sz w:val="24"/>
          <w:highlight w:val="none"/>
        </w:rPr>
        <w:t xml:space="preserve"> </w:t>
      </w:r>
    </w:p>
    <w:p w14:paraId="46376655">
      <w:pPr>
        <w:pStyle w:val="23"/>
        <w:spacing w:line="320" w:lineRule="exact"/>
        <w:rPr>
          <w:rFonts w:hint="eastAsia" w:ascii="宋体"/>
          <w:color w:val="auto"/>
          <w:sz w:val="24"/>
          <w:highlight w:val="none"/>
        </w:rPr>
      </w:pPr>
      <w:r>
        <w:rPr>
          <w:rFonts w:hint="eastAsia" w:ascii="宋体"/>
          <w:color w:val="auto"/>
          <w:sz w:val="24"/>
          <w:highlight w:val="none"/>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5978"/>
      </w:tblGrid>
      <w:tr w14:paraId="2AA680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44" w:hRule="atLeast"/>
          <w:jc w:val="center"/>
        </w:trPr>
        <w:tc>
          <w:tcPr>
            <w:tcW w:w="2694" w:type="dxa"/>
            <w:tcBorders>
              <w:top w:val="single" w:color="auto" w:sz="12" w:space="0"/>
              <w:left w:val="single" w:color="auto" w:sz="12" w:space="0"/>
              <w:bottom w:val="single" w:color="auto" w:sz="12" w:space="0"/>
              <w:right w:val="single" w:color="auto" w:sz="4" w:space="0"/>
            </w:tcBorders>
            <w:noWrap w:val="0"/>
            <w:vAlign w:val="center"/>
          </w:tcPr>
          <w:p w14:paraId="7E16CFE1">
            <w:pPr>
              <w:jc w:val="center"/>
              <w:rPr>
                <w:rFonts w:hint="eastAsia" w:ascii="宋体"/>
                <w:b/>
                <w:bCs/>
                <w:color w:val="auto"/>
                <w:sz w:val="24"/>
                <w:highlight w:val="none"/>
              </w:rPr>
            </w:pPr>
            <w:r>
              <w:rPr>
                <w:rFonts w:hint="eastAsia" w:ascii="宋体"/>
                <w:b/>
                <w:bCs/>
                <w:color w:val="auto"/>
                <w:sz w:val="24"/>
                <w:highlight w:val="none"/>
                <w:lang w:eastAsia="zh-CN"/>
              </w:rPr>
              <w:t>结算方式</w:t>
            </w:r>
          </w:p>
        </w:tc>
        <w:tc>
          <w:tcPr>
            <w:tcW w:w="5978" w:type="dxa"/>
            <w:tcBorders>
              <w:top w:val="single" w:color="auto" w:sz="12" w:space="0"/>
              <w:left w:val="single" w:color="auto" w:sz="4" w:space="0"/>
              <w:bottom w:val="single" w:color="auto" w:sz="12" w:space="0"/>
              <w:right w:val="single" w:color="auto" w:sz="12" w:space="0"/>
            </w:tcBorders>
            <w:noWrap w:val="0"/>
            <w:vAlign w:val="center"/>
          </w:tcPr>
          <w:p w14:paraId="778FA9B7">
            <w:pPr>
              <w:autoSpaceDE w:val="0"/>
              <w:autoSpaceDN w:val="0"/>
              <w:spacing w:line="450" w:lineRule="exact"/>
              <w:jc w:val="center"/>
              <w:textAlignment w:val="bottom"/>
              <w:rPr>
                <w:rFonts w:hint="eastAsia" w:ascii="宋体"/>
                <w:b/>
                <w:bCs/>
                <w:color w:val="auto"/>
                <w:sz w:val="24"/>
                <w:highlight w:val="none"/>
              </w:rPr>
            </w:pPr>
            <w:r>
              <w:rPr>
                <w:rFonts w:hint="eastAsia" w:ascii="Times New Roman" w:hAnsi="宋体" w:eastAsia="宋体" w:cs="Times New Roman"/>
                <w:b/>
                <w:kern w:val="2"/>
                <w:sz w:val="24"/>
                <w:szCs w:val="24"/>
                <w:highlight w:val="none"/>
                <w:lang w:val="en-US" w:eastAsia="zh-CN" w:bidi="ar-SA"/>
              </w:rPr>
              <w:t>IC卡预先充值</w:t>
            </w:r>
          </w:p>
        </w:tc>
      </w:tr>
      <w:tr w14:paraId="645BD8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685" w:hRule="atLeast"/>
          <w:jc w:val="center"/>
        </w:trPr>
        <w:tc>
          <w:tcPr>
            <w:tcW w:w="2694"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17C8C58">
            <w:pPr>
              <w:jc w:val="center"/>
              <w:rPr>
                <w:rFonts w:hint="eastAsia" w:ascii="Times New Roman" w:hAnsi="宋体" w:eastAsia="宋体" w:cs="Times New Roman"/>
                <w:b/>
                <w:kern w:val="2"/>
                <w:sz w:val="24"/>
                <w:szCs w:val="24"/>
                <w:highlight w:val="none"/>
                <w:lang w:val="en-US" w:eastAsia="zh-CN" w:bidi="ar-SA"/>
              </w:rPr>
            </w:pPr>
            <w:r>
              <w:rPr>
                <w:rFonts w:hint="eastAsia" w:ascii="Times New Roman" w:hAnsi="宋体" w:eastAsia="宋体" w:cs="Times New Roman"/>
                <w:b/>
                <w:kern w:val="2"/>
                <w:sz w:val="24"/>
                <w:szCs w:val="24"/>
                <w:highlight w:val="none"/>
                <w:lang w:val="en-US" w:eastAsia="zh-CN" w:bidi="ar-SA"/>
              </w:rPr>
              <w:t>油品（汽油、柴油）</w:t>
            </w:r>
          </w:p>
          <w:p w14:paraId="05A39696">
            <w:pPr>
              <w:jc w:val="center"/>
              <w:rPr>
                <w:rFonts w:hint="default"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结算率</w:t>
            </w:r>
          </w:p>
        </w:tc>
        <w:tc>
          <w:tcPr>
            <w:tcW w:w="5978" w:type="dxa"/>
            <w:tcBorders>
              <w:top w:val="single" w:color="auto" w:sz="12" w:space="0"/>
              <w:left w:val="single" w:color="auto" w:sz="4" w:space="0"/>
              <w:bottom w:val="single" w:color="auto" w:sz="12" w:space="0"/>
              <w:right w:val="single" w:color="auto" w:sz="12" w:space="0"/>
            </w:tcBorders>
            <w:shd w:val="clear" w:color="auto" w:fill="auto"/>
            <w:noWrap w:val="0"/>
            <w:vAlign w:val="center"/>
          </w:tcPr>
          <w:p w14:paraId="01E523D3">
            <w:pPr>
              <w:autoSpaceDE w:val="0"/>
              <w:autoSpaceDN w:val="0"/>
              <w:spacing w:line="450" w:lineRule="exact"/>
              <w:jc w:val="center"/>
              <w:textAlignment w:val="bottom"/>
              <w:rPr>
                <w:rFonts w:hint="eastAsia" w:ascii="宋体" w:hAnsi="Times New Roman" w:eastAsia="宋体" w:cs="Times New Roman"/>
                <w:b/>
                <w:bCs/>
                <w:color w:val="auto"/>
                <w:sz w:val="24"/>
                <w:highlight w:val="none"/>
                <w:lang w:val="en-US" w:eastAsia="zh-CN" w:bidi="ar-SA"/>
              </w:rPr>
            </w:pPr>
            <w:r>
              <w:rPr>
                <w:rFonts w:hint="eastAsia" w:ascii="宋体"/>
                <w:b/>
                <w:bCs/>
                <w:color w:val="auto"/>
                <w:sz w:val="24"/>
                <w:highlight w:val="none"/>
              </w:rPr>
              <w:t xml:space="preserve">     %（保留两位小数）</w:t>
            </w:r>
          </w:p>
        </w:tc>
      </w:tr>
      <w:tr w14:paraId="61F3AA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5" w:hRule="atLeast"/>
          <w:jc w:val="center"/>
        </w:trPr>
        <w:tc>
          <w:tcPr>
            <w:tcW w:w="2694" w:type="dxa"/>
            <w:tcBorders>
              <w:top w:val="single" w:color="auto" w:sz="12" w:space="0"/>
              <w:left w:val="single" w:color="auto" w:sz="12" w:space="0"/>
              <w:bottom w:val="single" w:color="auto" w:sz="4" w:space="0"/>
              <w:right w:val="single" w:color="auto" w:sz="4" w:space="0"/>
            </w:tcBorders>
            <w:shd w:val="clear" w:color="auto" w:fill="auto"/>
            <w:noWrap w:val="0"/>
            <w:vAlign w:val="center"/>
          </w:tcPr>
          <w:p w14:paraId="35E2BD0D">
            <w:pPr>
              <w:jc w:val="center"/>
              <w:rPr>
                <w:rFonts w:hint="eastAsia" w:ascii="Times New Roman" w:hAnsi="宋体" w:eastAsia="宋体" w:cs="Times New Roman"/>
                <w:b/>
                <w:kern w:val="2"/>
                <w:sz w:val="24"/>
                <w:szCs w:val="24"/>
                <w:highlight w:val="none"/>
                <w:lang w:val="en-US" w:eastAsia="zh-CN" w:bidi="ar-SA"/>
              </w:rPr>
            </w:pPr>
            <w:r>
              <w:rPr>
                <w:rFonts w:hint="eastAsia" w:hAnsi="宋体" w:eastAsia="宋体" w:cs="Times New Roman"/>
                <w:b/>
                <w:kern w:val="2"/>
                <w:sz w:val="24"/>
                <w:szCs w:val="24"/>
                <w:highlight w:val="none"/>
                <w:lang w:val="en-US" w:eastAsia="zh-CN" w:bidi="ar-SA"/>
              </w:rPr>
              <w:t>备注</w:t>
            </w:r>
          </w:p>
        </w:tc>
        <w:tc>
          <w:tcPr>
            <w:tcW w:w="5978" w:type="dxa"/>
            <w:tcBorders>
              <w:top w:val="single" w:color="auto" w:sz="12" w:space="0"/>
              <w:left w:val="single" w:color="auto" w:sz="4" w:space="0"/>
              <w:bottom w:val="single" w:color="auto" w:sz="4" w:space="0"/>
              <w:right w:val="single" w:color="auto" w:sz="12" w:space="0"/>
            </w:tcBorders>
            <w:shd w:val="clear" w:color="auto" w:fill="auto"/>
            <w:noWrap w:val="0"/>
            <w:vAlign w:val="center"/>
          </w:tcPr>
          <w:p w14:paraId="7ED07DBE">
            <w:pPr>
              <w:autoSpaceDE w:val="0"/>
              <w:autoSpaceDN w:val="0"/>
              <w:spacing w:line="450" w:lineRule="exact"/>
              <w:jc w:val="center"/>
              <w:textAlignment w:val="bottom"/>
              <w:rPr>
                <w:rFonts w:hint="eastAsia" w:ascii="宋体"/>
                <w:b/>
                <w:bCs/>
                <w:color w:val="auto"/>
                <w:sz w:val="24"/>
                <w:highlight w:val="none"/>
              </w:rPr>
            </w:pPr>
          </w:p>
        </w:tc>
      </w:tr>
    </w:tbl>
    <w:p w14:paraId="017BE4B3">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4DED71DF">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磋商总报价是指完成本项目服务内容和要求所产生的所有费用，包括所有的设备费、附加费（税金、运输、保险、包装、安装调试、服务、维护费）等一切费用。</w:t>
      </w:r>
    </w:p>
    <w:p w14:paraId="68A812B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2234C14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▲3.本项目设有最高结算率限价：即满足竞争性磋商文件要求且投标结算率在</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 及以下的投标报价（即投标结算率≤</w:t>
      </w:r>
      <w:r>
        <w:rPr>
          <w:rFonts w:hint="eastAsia" w:ascii="宋体" w:hAnsi="宋体"/>
          <w:color w:val="auto"/>
          <w:sz w:val="24"/>
          <w:szCs w:val="24"/>
          <w:highlight w:val="none"/>
          <w:lang w:val="en-US" w:eastAsia="zh-CN"/>
        </w:rPr>
        <w:t>99</w:t>
      </w:r>
      <w:r>
        <w:rPr>
          <w:rFonts w:hint="eastAsia" w:ascii="宋体" w:hAnsi="宋体"/>
          <w:color w:val="auto"/>
          <w:sz w:val="24"/>
          <w:szCs w:val="24"/>
          <w:highlight w:val="none"/>
        </w:rPr>
        <w:t>%）为有效投标报价；否则，按无效标处理。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期内任何情况下均不予调整结算率，以上所有</w:t>
      </w:r>
      <w:r>
        <w:rPr>
          <w:rFonts w:hint="eastAsia" w:ascii="宋体" w:hAnsi="宋体"/>
          <w:color w:val="auto"/>
          <w:sz w:val="24"/>
          <w:szCs w:val="24"/>
          <w:highlight w:val="none"/>
          <w:lang w:eastAsia="zh-CN"/>
        </w:rPr>
        <w:t>油</w:t>
      </w:r>
      <w:r>
        <w:rPr>
          <w:rFonts w:hint="eastAsia" w:ascii="宋体" w:hAnsi="宋体"/>
          <w:color w:val="auto"/>
          <w:sz w:val="24"/>
          <w:szCs w:val="24"/>
          <w:highlight w:val="none"/>
        </w:rPr>
        <w:t>品须进行统一结算率报价，请各供应商综合考虑产品成本及市场价格波动存在的合同风险。</w:t>
      </w:r>
    </w:p>
    <w:p w14:paraId="0FC00628">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yellow"/>
        </w:rPr>
        <w:t>结算价款=经采购人审核的各类</w:t>
      </w:r>
      <w:r>
        <w:rPr>
          <w:rFonts w:hint="eastAsia" w:ascii="宋体" w:hAnsi="宋体"/>
          <w:b/>
          <w:bCs/>
          <w:color w:val="auto"/>
          <w:sz w:val="24"/>
          <w:szCs w:val="24"/>
          <w:highlight w:val="yellow"/>
          <w:lang w:eastAsia="zh-CN"/>
        </w:rPr>
        <w:t>油</w:t>
      </w:r>
      <w:r>
        <w:rPr>
          <w:rFonts w:hint="eastAsia" w:ascii="宋体" w:hAnsi="宋体"/>
          <w:b/>
          <w:bCs/>
          <w:color w:val="auto"/>
          <w:sz w:val="24"/>
          <w:szCs w:val="24"/>
          <w:highlight w:val="yellow"/>
          <w:lang w:val="en-US" w:eastAsia="zh-CN"/>
        </w:rPr>
        <w:t>品</w:t>
      </w:r>
      <w:r>
        <w:rPr>
          <w:rFonts w:hint="eastAsia" w:ascii="宋体" w:hAnsi="宋体"/>
          <w:b/>
          <w:bCs/>
          <w:color w:val="auto"/>
          <w:sz w:val="24"/>
          <w:szCs w:val="24"/>
          <w:highlight w:val="yellow"/>
        </w:rPr>
        <w:t>价格×中标结算率×各类</w:t>
      </w:r>
      <w:r>
        <w:rPr>
          <w:rFonts w:hint="eastAsia" w:ascii="宋体" w:hAnsi="宋体"/>
          <w:b/>
          <w:bCs/>
          <w:color w:val="auto"/>
          <w:sz w:val="24"/>
          <w:szCs w:val="24"/>
          <w:highlight w:val="yellow"/>
          <w:lang w:eastAsia="zh-CN"/>
        </w:rPr>
        <w:t>油</w:t>
      </w:r>
      <w:r>
        <w:rPr>
          <w:rFonts w:hint="eastAsia" w:ascii="宋体" w:hAnsi="宋体"/>
          <w:b/>
          <w:bCs/>
          <w:color w:val="auto"/>
          <w:sz w:val="24"/>
          <w:szCs w:val="24"/>
          <w:highlight w:val="yellow"/>
          <w:lang w:val="en-US" w:eastAsia="zh-CN"/>
        </w:rPr>
        <w:t>品</w:t>
      </w:r>
      <w:r>
        <w:rPr>
          <w:rFonts w:hint="eastAsia" w:ascii="宋体" w:hAnsi="宋体"/>
          <w:b/>
          <w:bCs/>
          <w:color w:val="auto"/>
          <w:sz w:val="24"/>
          <w:szCs w:val="24"/>
          <w:highlight w:val="yellow"/>
          <w:lang w:eastAsia="zh-CN"/>
        </w:rPr>
        <w:t>每次</w:t>
      </w:r>
      <w:r>
        <w:rPr>
          <w:rFonts w:hint="eastAsia" w:ascii="宋体" w:hAnsi="宋体"/>
          <w:b/>
          <w:bCs/>
          <w:color w:val="auto"/>
          <w:sz w:val="24"/>
          <w:szCs w:val="24"/>
          <w:highlight w:val="yellow"/>
        </w:rPr>
        <w:t>实际采购数量</w:t>
      </w:r>
    </w:p>
    <w:p w14:paraId="602833B2">
      <w:pPr>
        <w:spacing w:line="360" w:lineRule="auto"/>
        <w:ind w:firstLine="482" w:firstLineChars="200"/>
        <w:rPr>
          <w:rFonts w:ascii="宋体" w:hAnsi="宋体"/>
          <w:b/>
          <w:i/>
          <w:color w:val="auto"/>
          <w:sz w:val="24"/>
          <w:szCs w:val="24"/>
          <w:highlight w:val="none"/>
          <w:u w:val="single"/>
        </w:rPr>
      </w:pPr>
    </w:p>
    <w:p w14:paraId="79639303">
      <w:pPr>
        <w:spacing w:line="360" w:lineRule="auto"/>
        <w:ind w:left="420"/>
        <w:rPr>
          <w:rFonts w:ascii="宋体" w:hAnsi="宋体"/>
          <w:color w:val="auto"/>
          <w:sz w:val="24"/>
          <w:szCs w:val="24"/>
          <w:highlight w:val="none"/>
        </w:rPr>
      </w:pPr>
    </w:p>
    <w:p w14:paraId="40F78235">
      <w:pPr>
        <w:rPr>
          <w:rFonts w:hint="eastAsia" w:ascii="宋体" w:hAnsi="宋体" w:cs="仿宋_GB2312"/>
          <w:color w:val="auto"/>
          <w:sz w:val="24"/>
          <w:highlight w:val="none"/>
          <w:lang w:val="zh-CN"/>
        </w:rPr>
      </w:pPr>
    </w:p>
    <w:p w14:paraId="1B7386C4">
      <w:pPr>
        <w:rPr>
          <w:rFonts w:ascii="宋体" w:hAnsi="宋体"/>
          <w:color w:val="auto"/>
          <w:sz w:val="24"/>
          <w:highlight w:val="none"/>
        </w:rPr>
      </w:pPr>
      <w:r>
        <w:rPr>
          <w:rFonts w:hint="eastAsia" w:ascii="宋体" w:hAnsi="宋体" w:cs="仿宋_GB2312"/>
          <w:color w:val="auto"/>
          <w:sz w:val="24"/>
          <w:highlight w:val="none"/>
          <w:lang w:val="zh-CN"/>
        </w:rPr>
        <w:t>供应商名称(</w:t>
      </w:r>
      <w:r>
        <w:rPr>
          <w:rFonts w:hint="eastAsia" w:ascii="宋体" w:hAnsi="宋体"/>
          <w:sz w:val="24"/>
        </w:rPr>
        <w:t>电子印章</w:t>
      </w:r>
      <w:r>
        <w:rPr>
          <w:rFonts w:hint="eastAsia" w:ascii="宋体" w:hAnsi="宋体" w:cs="仿宋_GB2312"/>
          <w:color w:val="auto"/>
          <w:sz w:val="24"/>
          <w:highlight w:val="none"/>
          <w:lang w:val="zh-CN"/>
        </w:rPr>
        <w:t>)：</w:t>
      </w:r>
    </w:p>
    <w:p w14:paraId="56361417">
      <w:pPr>
        <w:rPr>
          <w:rFonts w:ascii="宋体" w:hAnsi="宋体"/>
          <w:color w:val="auto"/>
          <w:sz w:val="24"/>
          <w:highlight w:val="none"/>
        </w:rPr>
      </w:pPr>
    </w:p>
    <w:p w14:paraId="4D21AD6D">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2CF1B93">
      <w:pPr>
        <w:rPr>
          <w:rFonts w:hint="eastAsia" w:ascii="宋体" w:hAnsi="宋体"/>
          <w:b/>
          <w:color w:val="auto"/>
          <w:sz w:val="28"/>
          <w:highlight w:val="none"/>
        </w:rPr>
      </w:pPr>
    </w:p>
    <w:bookmarkEnd w:id="40"/>
    <w:bookmarkEnd w:id="47"/>
    <w:p w14:paraId="07086D19">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p>
    <w:p w14:paraId="7E990307">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sz w:val="32"/>
          <w:szCs w:val="40"/>
        </w:rPr>
      </w:pPr>
      <w:r>
        <w:rPr>
          <w:rFonts w:hint="eastAsia"/>
          <w:b/>
          <w:bCs/>
          <w:sz w:val="32"/>
          <w:szCs w:val="40"/>
        </w:rPr>
        <w:t>落实政府采购政策需满足的资格要求所对应的证明材料</w:t>
      </w:r>
    </w:p>
    <w:p w14:paraId="4689B441">
      <w:pPr>
        <w:pStyle w:val="6"/>
        <w:numPr>
          <w:ilvl w:val="0"/>
          <w:numId w:val="0"/>
        </w:numPr>
        <w:ind w:left="615" w:leftChars="0"/>
        <w:rPr>
          <w:rFonts w:hint="eastAsia"/>
        </w:rPr>
      </w:pPr>
    </w:p>
    <w:p w14:paraId="2466730B">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中小企业声明函</w:t>
      </w:r>
      <w:r>
        <w:rPr>
          <w:rFonts w:hint="eastAsia" w:ascii="宋体" w:hAnsi="宋体" w:cs="宋体"/>
          <w:bCs/>
          <w:sz w:val="24"/>
          <w:lang w:eastAsia="zh-CN"/>
        </w:rPr>
        <w:t>（如有须提供。格式见附件</w:t>
      </w:r>
      <w:r>
        <w:rPr>
          <w:rFonts w:hint="eastAsia" w:ascii="宋体" w:hAnsi="宋体" w:cs="宋体"/>
          <w:bCs/>
          <w:sz w:val="24"/>
          <w:lang w:val="en-US" w:eastAsia="zh-CN"/>
        </w:rPr>
        <w:t>A</w:t>
      </w:r>
      <w:r>
        <w:rPr>
          <w:rFonts w:hint="eastAsia" w:ascii="宋体" w:hAnsi="宋体" w:cs="宋体"/>
          <w:bCs/>
          <w:sz w:val="24"/>
          <w:lang w:eastAsia="zh-CN"/>
        </w:rPr>
        <w:t>）</w:t>
      </w:r>
      <w:r>
        <w:rPr>
          <w:rFonts w:hint="eastAsia" w:ascii="宋体" w:hAnsi="宋体" w:cs="宋体"/>
          <w:bCs/>
          <w:sz w:val="24"/>
        </w:rPr>
        <w:t>；</w:t>
      </w:r>
    </w:p>
    <w:p w14:paraId="77E270DC">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149A4BEA">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368F7156">
      <w:pPr>
        <w:spacing w:line="360" w:lineRule="auto"/>
        <w:ind w:firstLine="480" w:firstLineChars="200"/>
        <w:jc w:val="left"/>
        <w:rPr>
          <w:rFonts w:ascii="宋体" w:hAnsi="宋体" w:cs="宋体"/>
          <w:bCs/>
          <w:sz w:val="24"/>
          <w:lang w:val="zh-CN"/>
        </w:rPr>
      </w:pP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投标人为监狱企业的证明文件：省级以上监狱管理局、戒毒管理局（含新疆生产建设兵团）出具。（如是</w:t>
      </w:r>
      <w:r>
        <w:rPr>
          <w:rFonts w:hint="eastAsia" w:ascii="宋体" w:hAnsi="宋体" w:cs="宋体"/>
          <w:bCs/>
          <w:sz w:val="24"/>
          <w:lang w:eastAsia="zh-CN"/>
        </w:rPr>
        <w:t>需提供证明文件</w:t>
      </w:r>
      <w:r>
        <w:rPr>
          <w:rFonts w:hint="eastAsia" w:ascii="宋体" w:hAnsi="宋体" w:cs="宋体"/>
          <w:bCs/>
          <w:sz w:val="24"/>
        </w:rPr>
        <w:t>）</w:t>
      </w:r>
      <w:r>
        <w:rPr>
          <w:rFonts w:hint="eastAsia" w:ascii="宋体" w:hAnsi="宋体" w:cs="宋体"/>
          <w:bCs/>
          <w:sz w:val="24"/>
          <w:lang w:val="zh-CN"/>
        </w:rPr>
        <w:t>。</w:t>
      </w:r>
    </w:p>
    <w:p w14:paraId="0E6E7C36">
      <w:pPr>
        <w:spacing w:line="360" w:lineRule="auto"/>
        <w:ind w:firstLine="480" w:firstLineChars="200"/>
        <w:jc w:val="left"/>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sz w:val="24"/>
          <w:lang w:eastAsia="zh-CN"/>
        </w:rPr>
        <w:t>需提供，格式见附件</w:t>
      </w:r>
      <w:r>
        <w:rPr>
          <w:rFonts w:hint="eastAsia" w:ascii="宋体" w:hAnsi="宋体" w:cs="宋体"/>
          <w:bCs/>
          <w:sz w:val="24"/>
          <w:lang w:val="en-US" w:eastAsia="zh-CN"/>
        </w:rPr>
        <w:t>B</w:t>
      </w:r>
      <w:r>
        <w:rPr>
          <w:rFonts w:hint="eastAsia" w:ascii="宋体" w:hAnsi="宋体" w:cs="宋体"/>
          <w:bCs/>
          <w:sz w:val="24"/>
          <w:lang w:eastAsia="zh-CN"/>
        </w:rPr>
        <w:t>）</w:t>
      </w:r>
      <w:r>
        <w:rPr>
          <w:rFonts w:hint="eastAsia" w:ascii="宋体" w:hAnsi="宋体" w:cs="宋体"/>
          <w:bCs/>
          <w:sz w:val="24"/>
        </w:rPr>
        <w:t>）</w:t>
      </w:r>
    </w:p>
    <w:p w14:paraId="3EB75EFC">
      <w:pPr>
        <w:rPr>
          <w:rFonts w:hint="eastAsia"/>
        </w:rPr>
      </w:pPr>
    </w:p>
    <w:p w14:paraId="7FC18C2B">
      <w:pPr>
        <w:rPr>
          <w:rFonts w:hint="eastAsia"/>
        </w:rPr>
      </w:pPr>
    </w:p>
    <w:p w14:paraId="68241C5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3D75F16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5BB0AAEE">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sz w:val="28"/>
          <w:szCs w:val="36"/>
        </w:rPr>
      </w:pPr>
    </w:p>
    <w:p w14:paraId="16B5054A">
      <w:pPr>
        <w:snapToGrid w:val="0"/>
        <w:spacing w:line="360" w:lineRule="auto"/>
        <w:rPr>
          <w:rFonts w:hint="eastAsia" w:ascii="宋体" w:hAnsi="宋体" w:eastAsia="宋体" w:cs="宋体"/>
          <w:b/>
          <w:bCs/>
          <w:color w:val="auto"/>
          <w:sz w:val="28"/>
          <w:szCs w:val="28"/>
          <w:highlight w:val="none"/>
        </w:rPr>
      </w:pPr>
    </w:p>
    <w:p w14:paraId="60D070D3">
      <w:pPr>
        <w:snapToGrid w:val="0"/>
        <w:spacing w:line="360" w:lineRule="auto"/>
        <w:rPr>
          <w:rFonts w:hint="eastAsia" w:ascii="宋体" w:hAnsi="宋体" w:eastAsia="宋体" w:cs="宋体"/>
          <w:b/>
          <w:bCs/>
          <w:color w:val="auto"/>
          <w:sz w:val="28"/>
          <w:szCs w:val="28"/>
          <w:highlight w:val="none"/>
        </w:rPr>
      </w:pPr>
    </w:p>
    <w:p w14:paraId="18FD8B27">
      <w:pPr>
        <w:snapToGrid w:val="0"/>
        <w:spacing w:line="360" w:lineRule="auto"/>
        <w:rPr>
          <w:rFonts w:hint="eastAsia" w:ascii="宋体" w:hAnsi="宋体" w:eastAsia="宋体" w:cs="宋体"/>
          <w:b/>
          <w:bCs/>
          <w:color w:val="auto"/>
          <w:sz w:val="28"/>
          <w:szCs w:val="28"/>
          <w:highlight w:val="none"/>
        </w:rPr>
      </w:pPr>
    </w:p>
    <w:p w14:paraId="7CD938A1">
      <w:pPr>
        <w:snapToGrid w:val="0"/>
        <w:spacing w:line="360" w:lineRule="auto"/>
        <w:rPr>
          <w:rFonts w:hint="eastAsia" w:ascii="宋体" w:hAnsi="宋体" w:eastAsia="宋体" w:cs="宋体"/>
          <w:b/>
          <w:bCs/>
          <w:color w:val="auto"/>
          <w:sz w:val="28"/>
          <w:szCs w:val="28"/>
          <w:highlight w:val="none"/>
        </w:rPr>
      </w:pPr>
    </w:p>
    <w:p w14:paraId="507E9D81">
      <w:pPr>
        <w:snapToGrid w:val="0"/>
        <w:spacing w:line="360" w:lineRule="auto"/>
        <w:rPr>
          <w:rFonts w:hint="eastAsia" w:ascii="宋体" w:hAnsi="宋体" w:eastAsia="宋体" w:cs="宋体"/>
          <w:b/>
          <w:bCs/>
          <w:color w:val="auto"/>
          <w:sz w:val="28"/>
          <w:szCs w:val="28"/>
          <w:highlight w:val="none"/>
        </w:rPr>
      </w:pPr>
    </w:p>
    <w:p w14:paraId="633D9373">
      <w:pPr>
        <w:snapToGrid w:val="0"/>
        <w:spacing w:line="360" w:lineRule="auto"/>
        <w:rPr>
          <w:rFonts w:hint="eastAsia" w:ascii="宋体" w:hAnsi="宋体" w:eastAsia="宋体" w:cs="宋体"/>
          <w:b/>
          <w:bCs/>
          <w:color w:val="auto"/>
          <w:sz w:val="28"/>
          <w:szCs w:val="28"/>
          <w:highlight w:val="none"/>
        </w:rPr>
      </w:pPr>
    </w:p>
    <w:p w14:paraId="1E5D5C8E">
      <w:pPr>
        <w:snapToGrid w:val="0"/>
        <w:spacing w:line="360" w:lineRule="auto"/>
        <w:rPr>
          <w:rFonts w:hint="eastAsia" w:ascii="宋体" w:hAnsi="宋体" w:eastAsia="宋体" w:cs="宋体"/>
          <w:b/>
          <w:bCs/>
          <w:color w:val="auto"/>
          <w:sz w:val="28"/>
          <w:szCs w:val="28"/>
          <w:highlight w:val="none"/>
        </w:rPr>
      </w:pPr>
    </w:p>
    <w:p w14:paraId="6DE5E344">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4A738FF">
      <w:pPr>
        <w:snapToGrid w:val="0"/>
        <w:spacing w:line="360" w:lineRule="auto"/>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A：</w:t>
      </w:r>
    </w:p>
    <w:p w14:paraId="08377A98">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3903C331">
      <w:pPr>
        <w:snapToGrid w:val="0"/>
        <w:spacing w:line="312" w:lineRule="auto"/>
        <w:ind w:firstLine="480" w:firstLineChars="200"/>
        <w:rPr>
          <w:rFonts w:hint="eastAsia" w:ascii="宋体" w:hAnsi="宋体" w:eastAsia="宋体" w:cs="宋体"/>
          <w:color w:val="auto"/>
          <w:sz w:val="24"/>
          <w:szCs w:val="24"/>
          <w:highlight w:val="none"/>
        </w:rPr>
      </w:pPr>
    </w:p>
    <w:p w14:paraId="502D1813">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﹞46 号）的规定，本公司（联合体）参加</w:t>
      </w:r>
      <w:r>
        <w:rPr>
          <w:rFonts w:hint="eastAsia" w:ascii="宋体" w:hAnsi="宋体" w:cs="宋体"/>
          <w:color w:val="auto"/>
          <w:sz w:val="24"/>
          <w:szCs w:val="24"/>
          <w:highlight w:val="none"/>
          <w:u w:val="single"/>
          <w:lang w:val="en-US" w:eastAsia="zh-CN"/>
        </w:rPr>
        <w:t xml:space="preserve"> </w:t>
      </w:r>
      <w:r>
        <w:rPr>
          <w:rFonts w:hint="eastAsia" w:ascii="宋体" w:hAnsi="宋体"/>
          <w:color w:val="auto"/>
          <w:spacing w:val="6"/>
          <w:sz w:val="24"/>
          <w:highlight w:val="none"/>
          <w:u w:val="single"/>
          <w:lang w:val="en-US" w:eastAsia="zh-CN"/>
        </w:rPr>
        <w:t xml:space="preserve">台州市公安局路桥分局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加油服务采购项目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w:t>
      </w:r>
      <w:r>
        <w:rPr>
          <w:rFonts w:hint="eastAsia" w:ascii="宋体" w:hAnsi="宋体" w:eastAsia="宋体" w:cs="宋体"/>
          <w:color w:val="0000FF"/>
          <w:sz w:val="24"/>
          <w:szCs w:val="24"/>
          <w:highlight w:val="none"/>
        </w:rPr>
        <w:t>服务全部由符合政策要求的中小企业承接</w:t>
      </w:r>
      <w:r>
        <w:rPr>
          <w:rFonts w:hint="eastAsia" w:ascii="宋体" w:hAnsi="宋体" w:eastAsia="宋体" w:cs="宋体"/>
          <w:color w:val="auto"/>
          <w:sz w:val="24"/>
          <w:szCs w:val="24"/>
          <w:highlight w:val="none"/>
        </w:rPr>
        <w:t xml:space="preserve">，即提供服务的人员为中小企业依照《中华人民共和国劳动合同法》订立劳动合同的从业人员）。相关企业（含联合体中的中小企业、签订分包意向协议的中小企业）的具体情况如下： </w:t>
      </w:r>
    </w:p>
    <w:p w14:paraId="636D7728">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0000FF"/>
          <w:sz w:val="24"/>
          <w:szCs w:val="24"/>
          <w:highlight w:val="none"/>
          <w:u w:val="single"/>
        </w:rPr>
        <w:t>（</w:t>
      </w:r>
      <w:r>
        <w:rPr>
          <w:rFonts w:hint="eastAsia" w:ascii="宋体" w:hAnsi="宋体" w:eastAsia="宋体" w:cs="宋体"/>
          <w:color w:val="0000FF"/>
          <w:sz w:val="24"/>
          <w:szCs w:val="24"/>
          <w:highlight w:val="none"/>
          <w:u w:val="single"/>
          <w:lang w:val="en-US" w:eastAsia="zh-CN"/>
        </w:rPr>
        <w:t>加油服务</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rPr>
        <w:t xml:space="preserve"> ，属于</w:t>
      </w:r>
      <w:r>
        <w:rPr>
          <w:rFonts w:hint="eastAsia" w:ascii="宋体" w:hAnsi="宋体" w:eastAsia="宋体" w:cs="宋体"/>
          <w:color w:val="0000FF"/>
          <w:sz w:val="24"/>
          <w:szCs w:val="24"/>
          <w:highlight w:val="none"/>
          <w:u w:val="single"/>
        </w:rPr>
        <w:t>（</w:t>
      </w:r>
      <w:r>
        <w:rPr>
          <w:rFonts w:hint="eastAsia" w:ascii="宋体" w:hAnsi="宋体" w:cs="宋体"/>
          <w:color w:val="0000FF"/>
          <w:sz w:val="24"/>
          <w:szCs w:val="24"/>
          <w:u w:val="single"/>
          <w:lang w:eastAsia="zh-CN"/>
        </w:rPr>
        <w:t>零售类</w:t>
      </w:r>
      <w:r>
        <w:rPr>
          <w:rFonts w:hint="eastAsia" w:ascii="宋体" w:hAnsi="宋体" w:cs="宋体"/>
          <w:color w:val="0000FF"/>
          <w:sz w:val="24"/>
          <w:szCs w:val="24"/>
          <w:u w:val="single"/>
        </w:rPr>
        <w:t>行业</w:t>
      </w:r>
      <w:r>
        <w:rPr>
          <w:rFonts w:hint="eastAsia" w:ascii="宋体" w:hAnsi="宋体" w:eastAsia="宋体" w:cs="宋体"/>
          <w:color w:val="0000FF"/>
          <w:sz w:val="24"/>
          <w:szCs w:val="24"/>
          <w:highlight w:val="none"/>
          <w:u w:val="single"/>
        </w:rPr>
        <w:t>）</w:t>
      </w:r>
      <w:r>
        <w:rPr>
          <w:rFonts w:hint="eastAsia" w:ascii="宋体" w:hAnsi="宋体" w:eastAsia="宋体" w:cs="宋体"/>
          <w:color w:val="auto"/>
          <w:sz w:val="24"/>
          <w:szCs w:val="24"/>
          <w:highlight w:val="none"/>
        </w:rPr>
        <w:t>； 承建（承接）企业为</w:t>
      </w:r>
      <w:r>
        <w:rPr>
          <w:rFonts w:hint="eastAsia" w:ascii="宋体" w:hAnsi="宋体" w:eastAsia="宋体" w:cs="宋体"/>
          <w:color w:val="0000FF"/>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w:t>
      </w:r>
      <w:r>
        <w:rPr>
          <w:rFonts w:hint="eastAsia" w:ascii="宋体" w:hAnsi="宋体" w:eastAsia="宋体" w:cs="宋体"/>
          <w:color w:val="auto"/>
          <w:sz w:val="24"/>
          <w:szCs w:val="24"/>
          <w:highlight w:val="none"/>
          <w:u w:val="none"/>
        </w:rPr>
        <w:t>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中型企业、小型企业、微型企业</w:t>
      </w:r>
      <w:r>
        <w:rPr>
          <w:rFonts w:hint="eastAsia" w:ascii="宋体" w:hAnsi="宋体" w:eastAsia="宋体" w:cs="宋体"/>
          <w:color w:val="auto"/>
          <w:sz w:val="24"/>
          <w:szCs w:val="24"/>
          <w:highlight w:val="none"/>
        </w:rPr>
        <w:t xml:space="preserve">）； </w:t>
      </w:r>
    </w:p>
    <w:p w14:paraId="659E6E94">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0000FF"/>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0000FF"/>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0000FF"/>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 xml:space="preserve"> </w:t>
      </w:r>
      <w:r>
        <w:rPr>
          <w:rFonts w:hint="eastAsia" w:ascii="宋体" w:hAnsi="宋体" w:eastAsia="宋体" w:cs="宋体"/>
          <w:color w:val="auto"/>
          <w:sz w:val="24"/>
          <w:szCs w:val="24"/>
          <w:highlight w:val="none"/>
        </w:rPr>
        <w:t>，属于</w:t>
      </w:r>
    </w:p>
    <w:p w14:paraId="092C7ECA">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中型企业、小型企业、微型企业</w:t>
      </w:r>
      <w:r>
        <w:rPr>
          <w:rFonts w:hint="eastAsia" w:ascii="宋体" w:hAnsi="宋体" w:eastAsia="宋体" w:cs="宋体"/>
          <w:color w:val="auto"/>
          <w:sz w:val="24"/>
          <w:szCs w:val="24"/>
          <w:highlight w:val="none"/>
        </w:rPr>
        <w:t xml:space="preserve">）； </w:t>
      </w:r>
    </w:p>
    <w:p w14:paraId="77B017ED">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206D7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1A6E000">
      <w:pPr>
        <w:rPr>
          <w:rFonts w:hint="eastAsia" w:ascii="宋体" w:hAnsi="宋体"/>
          <w:b w:val="0"/>
          <w:bCs/>
          <w:color w:val="auto"/>
          <w:sz w:val="24"/>
          <w:szCs w:val="24"/>
          <w:highlight w:val="none"/>
          <w:lang w:val="en-US" w:eastAsia="zh-CN"/>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10B915EB">
      <w:pPr>
        <w:spacing w:line="360" w:lineRule="auto"/>
        <w:ind w:firstLine="480" w:firstLineChars="200"/>
        <w:jc w:val="left"/>
        <w:rPr>
          <w:rFonts w:hint="eastAsia" w:ascii="宋体" w:hAnsi="宋体"/>
          <w:b w:val="0"/>
          <w:bCs/>
          <w:color w:val="auto"/>
          <w:sz w:val="24"/>
          <w:szCs w:val="24"/>
          <w:highlight w:val="none"/>
          <w:lang w:val="en-US" w:eastAsia="zh-CN"/>
        </w:rPr>
      </w:pPr>
    </w:p>
    <w:p w14:paraId="1FE030F3">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6755B738">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58DC4EF">
      <w:pPr>
        <w:spacing w:line="360" w:lineRule="auto"/>
        <w:jc w:val="left"/>
        <w:rPr>
          <w:rFonts w:hint="eastAsia" w:ascii="宋体" w:hAnsi="宋体"/>
          <w:b w:val="0"/>
          <w:bCs/>
          <w:color w:val="auto"/>
          <w:sz w:val="24"/>
          <w:szCs w:val="24"/>
          <w:highlight w:val="none"/>
          <w:lang w:val="en-US" w:eastAsia="zh-CN"/>
        </w:rPr>
      </w:pPr>
    </w:p>
    <w:p w14:paraId="556922AC">
      <w:pPr>
        <w:rPr>
          <w:rFonts w:hint="eastAsia" w:ascii="宋体" w:hAnsi="宋体"/>
          <w:b/>
          <w:color w:val="auto"/>
          <w:sz w:val="28"/>
          <w:highlight w:val="none"/>
        </w:rPr>
      </w:pPr>
      <w:r>
        <w:rPr>
          <w:rFonts w:hint="eastAsia" w:ascii="宋体" w:hAnsi="宋体"/>
          <w:b/>
          <w:color w:val="auto"/>
          <w:sz w:val="28"/>
          <w:highlight w:val="none"/>
        </w:rPr>
        <w:br w:type="page"/>
      </w:r>
    </w:p>
    <w:p w14:paraId="11B39765">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B：</w:t>
      </w:r>
    </w:p>
    <w:p w14:paraId="113ADF0D">
      <w:pPr>
        <w:pStyle w:val="23"/>
        <w:spacing w:line="360" w:lineRule="auto"/>
        <w:jc w:val="center"/>
        <w:outlineLvl w:val="1"/>
        <w:rPr>
          <w:rFonts w:hAnsi="宋体"/>
          <w:b/>
          <w:color w:val="auto"/>
          <w:sz w:val="32"/>
          <w:szCs w:val="32"/>
          <w:highlight w:val="none"/>
          <w:lang w:val="en-GB"/>
        </w:rPr>
      </w:pPr>
    </w:p>
    <w:p w14:paraId="2F86C8C4">
      <w:pPr>
        <w:pStyle w:val="2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D820794">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F0DA02C">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96403DB">
      <w:pPr>
        <w:tabs>
          <w:tab w:val="left" w:pos="4860"/>
        </w:tabs>
        <w:spacing w:line="588" w:lineRule="exact"/>
        <w:ind w:right="1560" w:firstLine="504" w:firstLineChars="200"/>
        <w:jc w:val="center"/>
        <w:rPr>
          <w:rFonts w:ascii="宋体" w:hAnsi="宋体"/>
          <w:color w:val="auto"/>
          <w:spacing w:val="6"/>
          <w:sz w:val="24"/>
          <w:highlight w:val="none"/>
        </w:rPr>
      </w:pPr>
    </w:p>
    <w:p w14:paraId="48A8B6A2">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26B250B8">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14:paraId="47FBE576">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2025</w:t>
      </w:r>
      <w:r>
        <w:rPr>
          <w:rFonts w:hint="eastAsia" w:ascii="宋体" w:hAnsi="宋体" w:cs="Arial"/>
          <w:color w:val="auto"/>
          <w:sz w:val="24"/>
          <w:highlight w:val="none"/>
        </w:rPr>
        <w:t>年   月   日</w:t>
      </w:r>
    </w:p>
    <w:p w14:paraId="41792AA9">
      <w:pPr>
        <w:pStyle w:val="60"/>
        <w:spacing w:line="360" w:lineRule="auto"/>
        <w:rPr>
          <w:rFonts w:ascii="宋体" w:hAnsi="宋体"/>
          <w:b/>
          <w:color w:val="auto"/>
          <w:sz w:val="28"/>
          <w:szCs w:val="28"/>
          <w:highlight w:val="none"/>
        </w:rPr>
      </w:pPr>
    </w:p>
    <w:p w14:paraId="61FEF5BB">
      <w:pPr>
        <w:pStyle w:val="60"/>
        <w:spacing w:line="360" w:lineRule="auto"/>
        <w:rPr>
          <w:rFonts w:ascii="宋体" w:hAnsi="宋体"/>
          <w:b/>
          <w:color w:val="auto"/>
          <w:sz w:val="28"/>
          <w:szCs w:val="28"/>
          <w:highlight w:val="none"/>
        </w:rPr>
      </w:pPr>
    </w:p>
    <w:p w14:paraId="33EB1815">
      <w:pPr>
        <w:pStyle w:val="60"/>
        <w:spacing w:line="360" w:lineRule="auto"/>
        <w:rPr>
          <w:rFonts w:ascii="宋体" w:hAnsi="宋体"/>
          <w:b/>
          <w:color w:val="auto"/>
          <w:sz w:val="28"/>
          <w:szCs w:val="28"/>
          <w:highlight w:val="none"/>
        </w:rPr>
      </w:pPr>
    </w:p>
    <w:p w14:paraId="56BABC77">
      <w:pPr>
        <w:pStyle w:val="52"/>
        <w:spacing w:before="0" w:beforeAutospacing="0" w:after="0" w:afterAutospacing="0" w:line="360" w:lineRule="auto"/>
        <w:rPr>
          <w:rFonts w:hint="eastAsia" w:hAnsi="宋体"/>
          <w:b/>
          <w:color w:val="auto"/>
          <w:sz w:val="24"/>
          <w:szCs w:val="24"/>
          <w:highlight w:val="none"/>
          <w:lang w:val="en-GB" w:eastAsia="zh-CN"/>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p>
    <w:p w14:paraId="2AADFD43">
      <w:pPr>
        <w:pStyle w:val="52"/>
        <w:spacing w:before="0" w:beforeAutospacing="0" w:after="0" w:afterAutospacing="0" w:line="360" w:lineRule="auto"/>
        <w:rPr>
          <w:rFonts w:hint="eastAsia" w:hAnsi="宋体"/>
          <w:b/>
          <w:color w:val="auto"/>
          <w:sz w:val="24"/>
          <w:szCs w:val="24"/>
          <w:highlight w:val="none"/>
          <w:lang w:val="en-GB" w:eastAsia="zh-CN"/>
        </w:rPr>
      </w:pPr>
    </w:p>
    <w:p w14:paraId="7E3E9A8D">
      <w:pPr>
        <w:pStyle w:val="52"/>
        <w:spacing w:before="0" w:beforeAutospacing="0" w:after="0" w:afterAutospacing="0" w:line="360" w:lineRule="auto"/>
        <w:rPr>
          <w:rFonts w:hint="eastAsia" w:hAnsi="宋体"/>
          <w:b/>
          <w:color w:val="auto"/>
          <w:sz w:val="24"/>
          <w:szCs w:val="24"/>
          <w:highlight w:val="none"/>
          <w:lang w:val="en-GB" w:eastAsia="zh-CN"/>
        </w:rPr>
      </w:pPr>
    </w:p>
    <w:p w14:paraId="16644774">
      <w:pPr>
        <w:widowControl w:val="0"/>
        <w:spacing w:line="640" w:lineRule="exact"/>
        <w:jc w:val="center"/>
        <w:textAlignment w:val="baseline"/>
        <w:rPr>
          <w:rFonts w:hint="eastAsia" w:ascii="方正小标宋简体" w:eastAsia="方正小标宋简体"/>
          <w:snapToGrid w:val="0"/>
          <w:color w:val="auto"/>
          <w:sz w:val="44"/>
          <w:highlight w:val="none"/>
        </w:rPr>
      </w:pPr>
    </w:p>
    <w:p w14:paraId="26ACF8F0">
      <w:pPr>
        <w:widowControl w:val="0"/>
        <w:spacing w:line="640" w:lineRule="exact"/>
        <w:jc w:val="center"/>
        <w:textAlignment w:val="baseline"/>
        <w:rPr>
          <w:rFonts w:hint="eastAsia" w:ascii="方正小标宋简体" w:eastAsia="方正小标宋简体"/>
          <w:snapToGrid w:val="0"/>
          <w:color w:val="auto"/>
          <w:sz w:val="44"/>
          <w:highlight w:val="none"/>
        </w:rPr>
      </w:pPr>
    </w:p>
    <w:p w14:paraId="14773B48">
      <w:pPr>
        <w:widowControl w:val="0"/>
        <w:spacing w:line="640" w:lineRule="exact"/>
        <w:jc w:val="center"/>
        <w:textAlignment w:val="baseline"/>
        <w:rPr>
          <w:rFonts w:hint="eastAsia" w:ascii="方正小标宋简体" w:eastAsia="方正小标宋简体"/>
          <w:snapToGrid w:val="0"/>
          <w:color w:val="auto"/>
          <w:sz w:val="44"/>
          <w:highlight w:val="none"/>
        </w:rPr>
      </w:pPr>
    </w:p>
    <w:p w14:paraId="4A424C90">
      <w:pPr>
        <w:rPr>
          <w:rFonts w:hint="eastAsia" w:eastAsia="宋体"/>
          <w:lang w:val="en-US" w:eastAsia="zh-CN"/>
        </w:rPr>
      </w:pPr>
    </w:p>
    <w:sectPr>
      <w:headerReference r:id="rId8" w:type="first"/>
      <w:footerReference r:id="rId10" w:type="first"/>
      <w:headerReference r:id="rId7" w:type="default"/>
      <w:footerReference r:id="rId9" w:type="default"/>
      <w:pgSz w:w="11907" w:h="16840"/>
      <w:pgMar w:top="1701" w:right="1474" w:bottom="1587"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A484">
    <w:pPr>
      <w:pStyle w:val="28"/>
      <w:tabs>
        <w:tab w:val="center" w:pos="4153"/>
        <w:tab w:val="right" w:pos="8306"/>
        <w:tab w:val="clear" w:pos="4140"/>
        <w:tab w:val="clear" w:pos="8300"/>
      </w:tabs>
      <w:jc w:val="center"/>
      <w:rPr>
        <w:rFonts w:ascii="宋体" w:hAnsi="宋体"/>
      </w:rPr>
    </w:pPr>
  </w:p>
  <w:p w14:paraId="4554A57D">
    <w:pPr>
      <w:pStyle w:val="28"/>
      <w:tabs>
        <w:tab w:val="center" w:pos="4153"/>
        <w:tab w:val="right" w:pos="8306"/>
        <w:tab w:val="clear" w:pos="4140"/>
        <w:tab w:val="clear" w:pos="8300"/>
      </w:tabs>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BC5990">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14:paraId="2CBC599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F117">
    <w:pPr>
      <w:pStyle w:val="28"/>
      <w:framePr w:wrap="around" w:vAnchor="text" w:hAnchor="margin" w:xAlign="center" w:y="1"/>
      <w:tabs>
        <w:tab w:val="center" w:pos="4153"/>
        <w:tab w:val="right" w:pos="8306"/>
        <w:tab w:val="clear" w:pos="4140"/>
        <w:tab w:val="clear" w:pos="8300"/>
      </w:tabs>
      <w:rPr>
        <w:rStyle w:val="42"/>
      </w:rPr>
    </w:pPr>
    <w:r>
      <w:fldChar w:fldCharType="begin"/>
    </w:r>
    <w:r>
      <w:rPr>
        <w:rStyle w:val="42"/>
      </w:rPr>
      <w:instrText xml:space="preserve">PAGE  </w:instrText>
    </w:r>
    <w:r>
      <w:fldChar w:fldCharType="end"/>
    </w:r>
  </w:p>
  <w:p w14:paraId="57DC694C">
    <w:pPr>
      <w:pStyle w:val="28"/>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3495">
    <w:pPr>
      <w:pStyle w:val="28"/>
      <w:tabs>
        <w:tab w:val="center" w:pos="4153"/>
        <w:tab w:val="right" w:pos="8306"/>
        <w:tab w:val="clear" w:pos="4140"/>
        <w:tab w:val="clear" w:pos="8300"/>
      </w:tabs>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9A02C8">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14:paraId="0E9A02C8">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91C1">
    <w:pPr>
      <w:pStyle w:val="28"/>
      <w:tabs>
        <w:tab w:val="center" w:pos="4153"/>
        <w:tab w:val="right" w:pos="8306"/>
        <w:tab w:val="clear" w:pos="4140"/>
        <w:tab w:val="clear" w:pos="8300"/>
      </w:tabs>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5D1A94">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14:paraId="0E5D1A94">
                    <w:pPr>
                      <w:pStyle w:val="28"/>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CF70">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25B8">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2B76">
    <w:pPr>
      <w:pStyle w:val="29"/>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902E">
    <w:pPr>
      <w:pStyle w:val="29"/>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58EA"/>
    <w:multiLevelType w:val="singleLevel"/>
    <w:tmpl w:val="808258EA"/>
    <w:lvl w:ilvl="0" w:tentative="0">
      <w:start w:val="1"/>
      <w:numFmt w:val="decimal"/>
      <w:suff w:val="nothing"/>
      <w:lvlText w:val="%1、"/>
      <w:lvlJc w:val="left"/>
    </w:lvl>
  </w:abstractNum>
  <w:abstractNum w:abstractNumId="1">
    <w:nsid w:val="8CD005B5"/>
    <w:multiLevelType w:val="multilevel"/>
    <w:tmpl w:val="8CD005B5"/>
    <w:lvl w:ilvl="0" w:tentative="0">
      <w:start w:val="1"/>
      <w:numFmt w:val="decimal"/>
      <w:lvlText w:val="%1."/>
      <w:lvlJc w:val="left"/>
      <w:pPr>
        <w:tabs>
          <w:tab w:val="left" w:pos="312"/>
        </w:tabs>
        <w:ind w:left="0" w:firstLine="0"/>
      </w:pPr>
    </w:lvl>
    <w:lvl w:ilvl="1" w:tentative="0">
      <w:start w:val="1"/>
      <w:numFmt w:val="decimal"/>
      <w:lvlText w:val="(%2)"/>
      <w:lvlJc w:val="left"/>
      <w:pPr>
        <w:tabs>
          <w:tab w:val="left" w:pos="287"/>
        </w:tabs>
        <w:ind w:left="167" w:leftChars="0" w:hanging="54"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9A693741"/>
    <w:multiLevelType w:val="singleLevel"/>
    <w:tmpl w:val="9A693741"/>
    <w:lvl w:ilvl="0" w:tentative="0">
      <w:start w:val="1"/>
      <w:numFmt w:val="chineseCounting"/>
      <w:suff w:val="nothing"/>
      <w:lvlText w:val="%1、"/>
      <w:lvlJc w:val="left"/>
      <w:rPr>
        <w:rFonts w:hint="eastAsia"/>
      </w:rPr>
    </w:lvl>
  </w:abstractNum>
  <w:abstractNum w:abstractNumId="3">
    <w:nsid w:val="9F5C5287"/>
    <w:multiLevelType w:val="singleLevel"/>
    <w:tmpl w:val="9F5C5287"/>
    <w:lvl w:ilvl="0" w:tentative="0">
      <w:start w:val="5"/>
      <w:numFmt w:val="decimal"/>
      <w:lvlText w:val="%1."/>
      <w:lvlJc w:val="left"/>
      <w:pPr>
        <w:tabs>
          <w:tab w:val="left" w:pos="312"/>
        </w:tabs>
      </w:pPr>
    </w:lvl>
  </w:abstractNum>
  <w:abstractNum w:abstractNumId="4">
    <w:nsid w:val="00000003"/>
    <w:multiLevelType w:val="singleLevel"/>
    <w:tmpl w:val="00000003"/>
    <w:lvl w:ilvl="0" w:tentative="0">
      <w:start w:val="1"/>
      <w:numFmt w:val="upperLetter"/>
      <w:pStyle w:val="6"/>
      <w:lvlText w:val="%1、"/>
      <w:lvlJc w:val="left"/>
      <w:pPr>
        <w:tabs>
          <w:tab w:val="left" w:pos="1335"/>
        </w:tabs>
        <w:ind w:left="1335" w:hanging="720"/>
      </w:pPr>
      <w:rPr>
        <w:rFonts w:hint="eastAsia"/>
      </w:rPr>
    </w:lvl>
  </w:abstractNum>
  <w:abstractNum w:abstractNumId="5">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10"/>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84D3B5D"/>
    <w:multiLevelType w:val="singleLevel"/>
    <w:tmpl w:val="084D3B5D"/>
    <w:lvl w:ilvl="0" w:tentative="0">
      <w:start w:val="1"/>
      <w:numFmt w:val="decimal"/>
      <w:suff w:val="nothing"/>
      <w:lvlText w:val="%1、"/>
      <w:lvlJc w:val="left"/>
    </w:lvl>
  </w:abstractNum>
  <w:abstractNum w:abstractNumId="7">
    <w:nsid w:val="359A9177"/>
    <w:multiLevelType w:val="singleLevel"/>
    <w:tmpl w:val="359A9177"/>
    <w:lvl w:ilvl="0" w:tentative="0">
      <w:start w:val="8"/>
      <w:numFmt w:val="chineseCounting"/>
      <w:suff w:val="nothing"/>
      <w:lvlText w:val="%1、"/>
      <w:lvlJc w:val="left"/>
      <w:rPr>
        <w:rFonts w:hint="eastAsia"/>
      </w:rPr>
    </w:lvl>
  </w:abstractNum>
  <w:abstractNum w:abstractNumId="8">
    <w:nsid w:val="46C514C3"/>
    <w:multiLevelType w:val="singleLevel"/>
    <w:tmpl w:val="46C514C3"/>
    <w:lvl w:ilvl="0" w:tentative="0">
      <w:start w:val="1"/>
      <w:numFmt w:val="chineseCounting"/>
      <w:suff w:val="nothing"/>
      <w:lvlText w:val="%1、"/>
      <w:lvlJc w:val="left"/>
      <w:rPr>
        <w:rFonts w:hint="eastAsia"/>
      </w:rPr>
    </w:lvl>
  </w:abstractNum>
  <w:abstractNum w:abstractNumId="9">
    <w:nsid w:val="56933697"/>
    <w:multiLevelType w:val="singleLevel"/>
    <w:tmpl w:val="56933697"/>
    <w:lvl w:ilvl="0" w:tentative="0">
      <w:start w:val="1"/>
      <w:numFmt w:val="decimal"/>
      <w:suff w:val="nothing"/>
      <w:lvlText w:val="%1、"/>
      <w:lvlJc w:val="left"/>
    </w:lvl>
  </w:abstractNum>
  <w:abstractNum w:abstractNumId="10">
    <w:nsid w:val="5BD9EB3C"/>
    <w:multiLevelType w:val="singleLevel"/>
    <w:tmpl w:val="5BD9EB3C"/>
    <w:lvl w:ilvl="0" w:tentative="0">
      <w:start w:val="1"/>
      <w:numFmt w:val="decimal"/>
      <w:suff w:val="nothing"/>
      <w:lvlText w:val="%1、"/>
      <w:lvlJc w:val="left"/>
    </w:lvl>
  </w:abstractNum>
  <w:num w:numId="1">
    <w:abstractNumId w:val="4"/>
  </w:num>
  <w:num w:numId="2">
    <w:abstractNumId w:val="5"/>
  </w:num>
  <w:num w:numId="3">
    <w:abstractNumId w:val="8"/>
  </w:num>
  <w:num w:numId="4">
    <w:abstractNumId w:val="2"/>
  </w:num>
  <w:num w:numId="5">
    <w:abstractNumId w:val="7"/>
  </w:num>
  <w:num w:numId="6">
    <w:abstractNumId w:val="3"/>
  </w:num>
  <w:num w:numId="7">
    <w:abstractNumId w:val="1"/>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1B3"/>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61529"/>
    <w:rsid w:val="01BC694C"/>
    <w:rsid w:val="01BE41B4"/>
    <w:rsid w:val="01CF1393"/>
    <w:rsid w:val="01DE06EF"/>
    <w:rsid w:val="01E01E72"/>
    <w:rsid w:val="01E25409"/>
    <w:rsid w:val="01E67B95"/>
    <w:rsid w:val="01E9767F"/>
    <w:rsid w:val="01F52CCB"/>
    <w:rsid w:val="02141E34"/>
    <w:rsid w:val="022E19A6"/>
    <w:rsid w:val="024332FC"/>
    <w:rsid w:val="02641762"/>
    <w:rsid w:val="02645FCD"/>
    <w:rsid w:val="02672492"/>
    <w:rsid w:val="02810BAA"/>
    <w:rsid w:val="0289274A"/>
    <w:rsid w:val="029479EF"/>
    <w:rsid w:val="02A05BF8"/>
    <w:rsid w:val="02AF65EE"/>
    <w:rsid w:val="02BC7A87"/>
    <w:rsid w:val="02D210B5"/>
    <w:rsid w:val="02EC6717"/>
    <w:rsid w:val="02F01FD6"/>
    <w:rsid w:val="02F17925"/>
    <w:rsid w:val="03084089"/>
    <w:rsid w:val="031E7DF8"/>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3E83CE3"/>
    <w:rsid w:val="04325583"/>
    <w:rsid w:val="04402C33"/>
    <w:rsid w:val="046866E8"/>
    <w:rsid w:val="047273A7"/>
    <w:rsid w:val="049E7D14"/>
    <w:rsid w:val="04A4660C"/>
    <w:rsid w:val="04B7399C"/>
    <w:rsid w:val="04C224CB"/>
    <w:rsid w:val="04D454AC"/>
    <w:rsid w:val="04DA6E5D"/>
    <w:rsid w:val="04E90B26"/>
    <w:rsid w:val="04F77C89"/>
    <w:rsid w:val="0505573F"/>
    <w:rsid w:val="052A12A6"/>
    <w:rsid w:val="05493801"/>
    <w:rsid w:val="055A7DAD"/>
    <w:rsid w:val="056224AE"/>
    <w:rsid w:val="056D7EF3"/>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897051"/>
    <w:rsid w:val="069B1EDA"/>
    <w:rsid w:val="06A01F59"/>
    <w:rsid w:val="06A86537"/>
    <w:rsid w:val="06B11CB1"/>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90434A"/>
    <w:rsid w:val="07911444"/>
    <w:rsid w:val="07987BB6"/>
    <w:rsid w:val="07BD6315"/>
    <w:rsid w:val="07C66394"/>
    <w:rsid w:val="07CB7EC4"/>
    <w:rsid w:val="07CC02E2"/>
    <w:rsid w:val="07F03130"/>
    <w:rsid w:val="07F97F0A"/>
    <w:rsid w:val="07FF49CB"/>
    <w:rsid w:val="08010E93"/>
    <w:rsid w:val="080D02E6"/>
    <w:rsid w:val="08413F01"/>
    <w:rsid w:val="08581177"/>
    <w:rsid w:val="086157C9"/>
    <w:rsid w:val="08641B39"/>
    <w:rsid w:val="087E632A"/>
    <w:rsid w:val="088D4034"/>
    <w:rsid w:val="08B17016"/>
    <w:rsid w:val="08B75413"/>
    <w:rsid w:val="08CD3C83"/>
    <w:rsid w:val="08D60380"/>
    <w:rsid w:val="08F76E29"/>
    <w:rsid w:val="09076DD4"/>
    <w:rsid w:val="090A1282"/>
    <w:rsid w:val="091462BE"/>
    <w:rsid w:val="092020A1"/>
    <w:rsid w:val="092F1D8A"/>
    <w:rsid w:val="093127E7"/>
    <w:rsid w:val="093530B4"/>
    <w:rsid w:val="093F74A5"/>
    <w:rsid w:val="094B4D7F"/>
    <w:rsid w:val="09571134"/>
    <w:rsid w:val="096A3384"/>
    <w:rsid w:val="09716D1D"/>
    <w:rsid w:val="09835F50"/>
    <w:rsid w:val="09860D84"/>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BB4D47"/>
    <w:rsid w:val="0ABC03F5"/>
    <w:rsid w:val="0AD30F8B"/>
    <w:rsid w:val="0AE77A89"/>
    <w:rsid w:val="0AEC712A"/>
    <w:rsid w:val="0AF614D2"/>
    <w:rsid w:val="0B1B5C6E"/>
    <w:rsid w:val="0B246E3A"/>
    <w:rsid w:val="0B3D46A1"/>
    <w:rsid w:val="0B6D16D3"/>
    <w:rsid w:val="0B6E3627"/>
    <w:rsid w:val="0B720E98"/>
    <w:rsid w:val="0B862E0B"/>
    <w:rsid w:val="0B8B46B2"/>
    <w:rsid w:val="0B8D5A02"/>
    <w:rsid w:val="0B9A470E"/>
    <w:rsid w:val="0BAA5135"/>
    <w:rsid w:val="0BAF504F"/>
    <w:rsid w:val="0BB36EDB"/>
    <w:rsid w:val="0BC35889"/>
    <w:rsid w:val="0BCC37C1"/>
    <w:rsid w:val="0BE8220E"/>
    <w:rsid w:val="0C1F7A17"/>
    <w:rsid w:val="0C2174CA"/>
    <w:rsid w:val="0C28640C"/>
    <w:rsid w:val="0C385CDB"/>
    <w:rsid w:val="0C526721"/>
    <w:rsid w:val="0C5C3CF4"/>
    <w:rsid w:val="0C643E15"/>
    <w:rsid w:val="0C797A47"/>
    <w:rsid w:val="0C7C1E00"/>
    <w:rsid w:val="0C9F20C6"/>
    <w:rsid w:val="0CB81220"/>
    <w:rsid w:val="0CCF22C5"/>
    <w:rsid w:val="0CD67079"/>
    <w:rsid w:val="0CE40418"/>
    <w:rsid w:val="0CF86F62"/>
    <w:rsid w:val="0D0F183E"/>
    <w:rsid w:val="0D1156C0"/>
    <w:rsid w:val="0D12359B"/>
    <w:rsid w:val="0D231D6B"/>
    <w:rsid w:val="0D4B74CA"/>
    <w:rsid w:val="0D4F3A4A"/>
    <w:rsid w:val="0D635C60"/>
    <w:rsid w:val="0D7144B5"/>
    <w:rsid w:val="0DD80C88"/>
    <w:rsid w:val="0DDA7E4C"/>
    <w:rsid w:val="0DE336F6"/>
    <w:rsid w:val="0DF16786"/>
    <w:rsid w:val="0E1705E2"/>
    <w:rsid w:val="0E1B3CE7"/>
    <w:rsid w:val="0E2415A7"/>
    <w:rsid w:val="0E2D25E1"/>
    <w:rsid w:val="0E3715B4"/>
    <w:rsid w:val="0E4B4619"/>
    <w:rsid w:val="0E4E7A83"/>
    <w:rsid w:val="0E712BB1"/>
    <w:rsid w:val="0EC17C44"/>
    <w:rsid w:val="0ED81D2A"/>
    <w:rsid w:val="0EF06CED"/>
    <w:rsid w:val="0F1E2C34"/>
    <w:rsid w:val="0F3251D7"/>
    <w:rsid w:val="0F4966D4"/>
    <w:rsid w:val="0F657AA4"/>
    <w:rsid w:val="0F684963"/>
    <w:rsid w:val="0F735E00"/>
    <w:rsid w:val="0F8F5323"/>
    <w:rsid w:val="0FA10B50"/>
    <w:rsid w:val="0FB17097"/>
    <w:rsid w:val="0FC71A8E"/>
    <w:rsid w:val="0FCD0E93"/>
    <w:rsid w:val="0FCE5575"/>
    <w:rsid w:val="0FF94935"/>
    <w:rsid w:val="101D1605"/>
    <w:rsid w:val="10247196"/>
    <w:rsid w:val="10321D0D"/>
    <w:rsid w:val="10420DF2"/>
    <w:rsid w:val="10516C6D"/>
    <w:rsid w:val="106C75C2"/>
    <w:rsid w:val="10865CE4"/>
    <w:rsid w:val="10983E16"/>
    <w:rsid w:val="10984B35"/>
    <w:rsid w:val="10AD5147"/>
    <w:rsid w:val="10CF0248"/>
    <w:rsid w:val="10EE7C14"/>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386CC3"/>
    <w:rsid w:val="124216FA"/>
    <w:rsid w:val="124C701F"/>
    <w:rsid w:val="124E0FE8"/>
    <w:rsid w:val="124F30D4"/>
    <w:rsid w:val="12557964"/>
    <w:rsid w:val="12644CDC"/>
    <w:rsid w:val="126D7A5B"/>
    <w:rsid w:val="12712DD6"/>
    <w:rsid w:val="12876843"/>
    <w:rsid w:val="129805EF"/>
    <w:rsid w:val="12A92EA8"/>
    <w:rsid w:val="12BE6787"/>
    <w:rsid w:val="12C13BBD"/>
    <w:rsid w:val="12C27010"/>
    <w:rsid w:val="12CB6FA3"/>
    <w:rsid w:val="13033FDB"/>
    <w:rsid w:val="130E74F4"/>
    <w:rsid w:val="1311375B"/>
    <w:rsid w:val="13405962"/>
    <w:rsid w:val="1363260B"/>
    <w:rsid w:val="136E1C5E"/>
    <w:rsid w:val="13736AE7"/>
    <w:rsid w:val="13765309"/>
    <w:rsid w:val="13906234"/>
    <w:rsid w:val="13AE3138"/>
    <w:rsid w:val="13D55A90"/>
    <w:rsid w:val="13D94299"/>
    <w:rsid w:val="13F548A2"/>
    <w:rsid w:val="140A176B"/>
    <w:rsid w:val="140D4561"/>
    <w:rsid w:val="141E5215"/>
    <w:rsid w:val="142735E0"/>
    <w:rsid w:val="143F6A31"/>
    <w:rsid w:val="145F1156"/>
    <w:rsid w:val="147025DB"/>
    <w:rsid w:val="148643DB"/>
    <w:rsid w:val="14956E55"/>
    <w:rsid w:val="14BA61D0"/>
    <w:rsid w:val="14BB4554"/>
    <w:rsid w:val="14BE77B5"/>
    <w:rsid w:val="14E91105"/>
    <w:rsid w:val="14EC010C"/>
    <w:rsid w:val="14EE1265"/>
    <w:rsid w:val="14EE40CB"/>
    <w:rsid w:val="14EF43A6"/>
    <w:rsid w:val="14F36F96"/>
    <w:rsid w:val="14FB043E"/>
    <w:rsid w:val="150D45FB"/>
    <w:rsid w:val="15236152"/>
    <w:rsid w:val="15260831"/>
    <w:rsid w:val="15366D60"/>
    <w:rsid w:val="15386876"/>
    <w:rsid w:val="153F7072"/>
    <w:rsid w:val="155470A1"/>
    <w:rsid w:val="155C2501"/>
    <w:rsid w:val="157C35E9"/>
    <w:rsid w:val="15861E4C"/>
    <w:rsid w:val="1589314D"/>
    <w:rsid w:val="159A54F3"/>
    <w:rsid w:val="15CD2245"/>
    <w:rsid w:val="15DC577B"/>
    <w:rsid w:val="15F278A5"/>
    <w:rsid w:val="162963ED"/>
    <w:rsid w:val="162C303A"/>
    <w:rsid w:val="164E62CB"/>
    <w:rsid w:val="1662152F"/>
    <w:rsid w:val="16735A30"/>
    <w:rsid w:val="16950B84"/>
    <w:rsid w:val="169D08EE"/>
    <w:rsid w:val="16AE5FD3"/>
    <w:rsid w:val="16B674EF"/>
    <w:rsid w:val="16BB453F"/>
    <w:rsid w:val="16E41182"/>
    <w:rsid w:val="16E65218"/>
    <w:rsid w:val="16FB7F28"/>
    <w:rsid w:val="16FD3E78"/>
    <w:rsid w:val="170020C5"/>
    <w:rsid w:val="170B4925"/>
    <w:rsid w:val="170C6559"/>
    <w:rsid w:val="171830E0"/>
    <w:rsid w:val="17347B2F"/>
    <w:rsid w:val="1736351B"/>
    <w:rsid w:val="174029F3"/>
    <w:rsid w:val="17481711"/>
    <w:rsid w:val="174A6688"/>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495740"/>
    <w:rsid w:val="18555E72"/>
    <w:rsid w:val="18950FEF"/>
    <w:rsid w:val="189700ED"/>
    <w:rsid w:val="18A71F2D"/>
    <w:rsid w:val="18A752D9"/>
    <w:rsid w:val="18B8540F"/>
    <w:rsid w:val="18C32E5E"/>
    <w:rsid w:val="18E2316A"/>
    <w:rsid w:val="18F72DB0"/>
    <w:rsid w:val="190120E7"/>
    <w:rsid w:val="19052716"/>
    <w:rsid w:val="191064DA"/>
    <w:rsid w:val="19323839"/>
    <w:rsid w:val="194859BE"/>
    <w:rsid w:val="19504F97"/>
    <w:rsid w:val="198A32BC"/>
    <w:rsid w:val="19916CB6"/>
    <w:rsid w:val="199A1B89"/>
    <w:rsid w:val="19B259F9"/>
    <w:rsid w:val="19B97D58"/>
    <w:rsid w:val="19BA5B92"/>
    <w:rsid w:val="19D13599"/>
    <w:rsid w:val="19ED2094"/>
    <w:rsid w:val="19FB5C3F"/>
    <w:rsid w:val="1A01637E"/>
    <w:rsid w:val="1A02235B"/>
    <w:rsid w:val="1A15364C"/>
    <w:rsid w:val="1A207237"/>
    <w:rsid w:val="1A462EA7"/>
    <w:rsid w:val="1A465B48"/>
    <w:rsid w:val="1A7F20BE"/>
    <w:rsid w:val="1A8A26F3"/>
    <w:rsid w:val="1AA03C83"/>
    <w:rsid w:val="1AA41C22"/>
    <w:rsid w:val="1AB858B3"/>
    <w:rsid w:val="1AB87DA0"/>
    <w:rsid w:val="1AD9358B"/>
    <w:rsid w:val="1AE10336"/>
    <w:rsid w:val="1AE57BC0"/>
    <w:rsid w:val="1AE709FD"/>
    <w:rsid w:val="1AED2CFB"/>
    <w:rsid w:val="1AF5783F"/>
    <w:rsid w:val="1B045F43"/>
    <w:rsid w:val="1B16625F"/>
    <w:rsid w:val="1B180363"/>
    <w:rsid w:val="1B260A4F"/>
    <w:rsid w:val="1B3C73DD"/>
    <w:rsid w:val="1B3D2AC3"/>
    <w:rsid w:val="1B4A3F8C"/>
    <w:rsid w:val="1B5121F2"/>
    <w:rsid w:val="1B552F03"/>
    <w:rsid w:val="1B6768E5"/>
    <w:rsid w:val="1B746C0E"/>
    <w:rsid w:val="1B7F1749"/>
    <w:rsid w:val="1B865F0D"/>
    <w:rsid w:val="1B8D054D"/>
    <w:rsid w:val="1B900A47"/>
    <w:rsid w:val="1BA0157A"/>
    <w:rsid w:val="1BAE1A1E"/>
    <w:rsid w:val="1BC44873"/>
    <w:rsid w:val="1BD3486C"/>
    <w:rsid w:val="1BD70C7A"/>
    <w:rsid w:val="1BE200EA"/>
    <w:rsid w:val="1BE6112E"/>
    <w:rsid w:val="1C0350F3"/>
    <w:rsid w:val="1C2761E9"/>
    <w:rsid w:val="1C3D5EF1"/>
    <w:rsid w:val="1C40165E"/>
    <w:rsid w:val="1C5C0E07"/>
    <w:rsid w:val="1C7A2EBA"/>
    <w:rsid w:val="1C7D156B"/>
    <w:rsid w:val="1C802DCA"/>
    <w:rsid w:val="1C845DB7"/>
    <w:rsid w:val="1CA16B14"/>
    <w:rsid w:val="1CB76584"/>
    <w:rsid w:val="1CBA333B"/>
    <w:rsid w:val="1CC12F73"/>
    <w:rsid w:val="1CE41C38"/>
    <w:rsid w:val="1CE62F81"/>
    <w:rsid w:val="1CF15A2E"/>
    <w:rsid w:val="1D036957"/>
    <w:rsid w:val="1D171D9D"/>
    <w:rsid w:val="1D34623A"/>
    <w:rsid w:val="1D4F036D"/>
    <w:rsid w:val="1D5D25F7"/>
    <w:rsid w:val="1D7C10B8"/>
    <w:rsid w:val="1D875C5D"/>
    <w:rsid w:val="1D9B167E"/>
    <w:rsid w:val="1DA056E4"/>
    <w:rsid w:val="1DDD79FE"/>
    <w:rsid w:val="1DE02652"/>
    <w:rsid w:val="1DE60A78"/>
    <w:rsid w:val="1DEF78F1"/>
    <w:rsid w:val="1E0219FF"/>
    <w:rsid w:val="1E053B72"/>
    <w:rsid w:val="1E156DA1"/>
    <w:rsid w:val="1E18431B"/>
    <w:rsid w:val="1E342EB0"/>
    <w:rsid w:val="1E447223"/>
    <w:rsid w:val="1E470609"/>
    <w:rsid w:val="1E560728"/>
    <w:rsid w:val="1E6341ED"/>
    <w:rsid w:val="1E6830D1"/>
    <w:rsid w:val="1E70677F"/>
    <w:rsid w:val="1E78777E"/>
    <w:rsid w:val="1E9611F9"/>
    <w:rsid w:val="1EA24EB9"/>
    <w:rsid w:val="1ECE48E2"/>
    <w:rsid w:val="1ED75BF2"/>
    <w:rsid w:val="1EF71079"/>
    <w:rsid w:val="1EFC4A67"/>
    <w:rsid w:val="1F033F33"/>
    <w:rsid w:val="1F0F6E7A"/>
    <w:rsid w:val="1F186525"/>
    <w:rsid w:val="1F1A3F97"/>
    <w:rsid w:val="1F3222D3"/>
    <w:rsid w:val="1F377773"/>
    <w:rsid w:val="1F4C1BCF"/>
    <w:rsid w:val="1F4D4ED3"/>
    <w:rsid w:val="1F7F1573"/>
    <w:rsid w:val="1F8C4EA3"/>
    <w:rsid w:val="1F900E29"/>
    <w:rsid w:val="1FA85D93"/>
    <w:rsid w:val="1FBC09E1"/>
    <w:rsid w:val="1FC33BE4"/>
    <w:rsid w:val="1FD84971"/>
    <w:rsid w:val="202B1DDC"/>
    <w:rsid w:val="20337B99"/>
    <w:rsid w:val="203505F3"/>
    <w:rsid w:val="203567AB"/>
    <w:rsid w:val="203675AA"/>
    <w:rsid w:val="203E27EF"/>
    <w:rsid w:val="20496AA1"/>
    <w:rsid w:val="204B5250"/>
    <w:rsid w:val="204E462E"/>
    <w:rsid w:val="20546077"/>
    <w:rsid w:val="206921B9"/>
    <w:rsid w:val="20970256"/>
    <w:rsid w:val="20AA353D"/>
    <w:rsid w:val="20B3596D"/>
    <w:rsid w:val="20B64CFF"/>
    <w:rsid w:val="20B77F9F"/>
    <w:rsid w:val="2109601F"/>
    <w:rsid w:val="211B6C9E"/>
    <w:rsid w:val="213351E0"/>
    <w:rsid w:val="21507A24"/>
    <w:rsid w:val="216A403A"/>
    <w:rsid w:val="218872DA"/>
    <w:rsid w:val="21A95773"/>
    <w:rsid w:val="21AC0DE5"/>
    <w:rsid w:val="21B87ABA"/>
    <w:rsid w:val="21EB2C99"/>
    <w:rsid w:val="21F8721A"/>
    <w:rsid w:val="220315D9"/>
    <w:rsid w:val="220913D3"/>
    <w:rsid w:val="222C6789"/>
    <w:rsid w:val="223D1C96"/>
    <w:rsid w:val="224274DB"/>
    <w:rsid w:val="2256442B"/>
    <w:rsid w:val="22616671"/>
    <w:rsid w:val="226944BD"/>
    <w:rsid w:val="227C4221"/>
    <w:rsid w:val="228F2486"/>
    <w:rsid w:val="22924ADF"/>
    <w:rsid w:val="229975EA"/>
    <w:rsid w:val="22A2301D"/>
    <w:rsid w:val="22B227B1"/>
    <w:rsid w:val="22E17B76"/>
    <w:rsid w:val="22E22013"/>
    <w:rsid w:val="23060E83"/>
    <w:rsid w:val="23076709"/>
    <w:rsid w:val="233711B9"/>
    <w:rsid w:val="2339017E"/>
    <w:rsid w:val="233968C3"/>
    <w:rsid w:val="23420873"/>
    <w:rsid w:val="234E237A"/>
    <w:rsid w:val="23515A40"/>
    <w:rsid w:val="235B0367"/>
    <w:rsid w:val="236B0627"/>
    <w:rsid w:val="23711DE0"/>
    <w:rsid w:val="23814BAB"/>
    <w:rsid w:val="238B2C0E"/>
    <w:rsid w:val="23A16EF0"/>
    <w:rsid w:val="23A462FF"/>
    <w:rsid w:val="23A6663E"/>
    <w:rsid w:val="23AA303C"/>
    <w:rsid w:val="24013431"/>
    <w:rsid w:val="241A657D"/>
    <w:rsid w:val="242475BD"/>
    <w:rsid w:val="24420670"/>
    <w:rsid w:val="244439FC"/>
    <w:rsid w:val="244472A9"/>
    <w:rsid w:val="245660D2"/>
    <w:rsid w:val="24610820"/>
    <w:rsid w:val="24715820"/>
    <w:rsid w:val="247950E5"/>
    <w:rsid w:val="247E1EA1"/>
    <w:rsid w:val="24837C87"/>
    <w:rsid w:val="24983F90"/>
    <w:rsid w:val="249D7573"/>
    <w:rsid w:val="24AD7057"/>
    <w:rsid w:val="24AF07F7"/>
    <w:rsid w:val="24DA54EA"/>
    <w:rsid w:val="24DD16E3"/>
    <w:rsid w:val="24ED2E6B"/>
    <w:rsid w:val="24F67473"/>
    <w:rsid w:val="25000996"/>
    <w:rsid w:val="252D2B03"/>
    <w:rsid w:val="252F6899"/>
    <w:rsid w:val="254A0B89"/>
    <w:rsid w:val="256709E9"/>
    <w:rsid w:val="2567551F"/>
    <w:rsid w:val="256A3574"/>
    <w:rsid w:val="257930FB"/>
    <w:rsid w:val="25951CC7"/>
    <w:rsid w:val="25B36DA5"/>
    <w:rsid w:val="25CE260E"/>
    <w:rsid w:val="25D71715"/>
    <w:rsid w:val="25F3597F"/>
    <w:rsid w:val="25F74B47"/>
    <w:rsid w:val="26015603"/>
    <w:rsid w:val="2618419A"/>
    <w:rsid w:val="26471449"/>
    <w:rsid w:val="26501D9C"/>
    <w:rsid w:val="266661B1"/>
    <w:rsid w:val="266B01B8"/>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83B57DB"/>
    <w:rsid w:val="283F0080"/>
    <w:rsid w:val="2852620E"/>
    <w:rsid w:val="2862716C"/>
    <w:rsid w:val="28676D2A"/>
    <w:rsid w:val="289266E8"/>
    <w:rsid w:val="289F6231"/>
    <w:rsid w:val="28A62A29"/>
    <w:rsid w:val="28A773F8"/>
    <w:rsid w:val="28AE0D69"/>
    <w:rsid w:val="28CF53FB"/>
    <w:rsid w:val="28E63FAD"/>
    <w:rsid w:val="28E72C12"/>
    <w:rsid w:val="28E832F5"/>
    <w:rsid w:val="29093F2A"/>
    <w:rsid w:val="29142B05"/>
    <w:rsid w:val="292278EC"/>
    <w:rsid w:val="29270B7B"/>
    <w:rsid w:val="29404F42"/>
    <w:rsid w:val="29416EE0"/>
    <w:rsid w:val="294431F0"/>
    <w:rsid w:val="296A73EC"/>
    <w:rsid w:val="2972419C"/>
    <w:rsid w:val="298564F9"/>
    <w:rsid w:val="298B3301"/>
    <w:rsid w:val="29C26E32"/>
    <w:rsid w:val="29D40BAB"/>
    <w:rsid w:val="29E057D9"/>
    <w:rsid w:val="29E40680"/>
    <w:rsid w:val="29F5442D"/>
    <w:rsid w:val="29FB7609"/>
    <w:rsid w:val="2A022FA4"/>
    <w:rsid w:val="2A0A5577"/>
    <w:rsid w:val="2A0E6E81"/>
    <w:rsid w:val="2A2711D5"/>
    <w:rsid w:val="2A290F42"/>
    <w:rsid w:val="2A407E45"/>
    <w:rsid w:val="2A6E0CE3"/>
    <w:rsid w:val="2A785ACA"/>
    <w:rsid w:val="2A87175D"/>
    <w:rsid w:val="2A9406BB"/>
    <w:rsid w:val="2ADF3319"/>
    <w:rsid w:val="2AF672CF"/>
    <w:rsid w:val="2B071154"/>
    <w:rsid w:val="2B072593"/>
    <w:rsid w:val="2B174737"/>
    <w:rsid w:val="2B421EAD"/>
    <w:rsid w:val="2B533C47"/>
    <w:rsid w:val="2B66534F"/>
    <w:rsid w:val="2B837037"/>
    <w:rsid w:val="2BD145B3"/>
    <w:rsid w:val="2BDA157A"/>
    <w:rsid w:val="2BE02F8A"/>
    <w:rsid w:val="2BFB2468"/>
    <w:rsid w:val="2BFF4F94"/>
    <w:rsid w:val="2C0458B5"/>
    <w:rsid w:val="2C143318"/>
    <w:rsid w:val="2C223FF3"/>
    <w:rsid w:val="2C2830CC"/>
    <w:rsid w:val="2C2C7325"/>
    <w:rsid w:val="2C3052D2"/>
    <w:rsid w:val="2C3365FC"/>
    <w:rsid w:val="2C56440E"/>
    <w:rsid w:val="2C8207CE"/>
    <w:rsid w:val="2C9044BF"/>
    <w:rsid w:val="2C9C4788"/>
    <w:rsid w:val="2CAC07C0"/>
    <w:rsid w:val="2CF03F0D"/>
    <w:rsid w:val="2CFC0845"/>
    <w:rsid w:val="2CFD2AE3"/>
    <w:rsid w:val="2D031F57"/>
    <w:rsid w:val="2D1D4D20"/>
    <w:rsid w:val="2D1F13E2"/>
    <w:rsid w:val="2D215E7C"/>
    <w:rsid w:val="2D220053"/>
    <w:rsid w:val="2D2B234B"/>
    <w:rsid w:val="2D546C0A"/>
    <w:rsid w:val="2D5A32E9"/>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61CB"/>
    <w:rsid w:val="2E425327"/>
    <w:rsid w:val="2E6F7294"/>
    <w:rsid w:val="2E7018B3"/>
    <w:rsid w:val="2E7B32A0"/>
    <w:rsid w:val="2E9976CD"/>
    <w:rsid w:val="2E9C4881"/>
    <w:rsid w:val="2EA96DDB"/>
    <w:rsid w:val="2EEE0998"/>
    <w:rsid w:val="2EEF1A9A"/>
    <w:rsid w:val="2EFF6258"/>
    <w:rsid w:val="2F033656"/>
    <w:rsid w:val="2F2D7F6F"/>
    <w:rsid w:val="2F3B056A"/>
    <w:rsid w:val="2F4F63BC"/>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4822FC"/>
    <w:rsid w:val="30567C88"/>
    <w:rsid w:val="30585760"/>
    <w:rsid w:val="30647F48"/>
    <w:rsid w:val="307B4848"/>
    <w:rsid w:val="308D6491"/>
    <w:rsid w:val="30924889"/>
    <w:rsid w:val="30A93A3E"/>
    <w:rsid w:val="30B46C17"/>
    <w:rsid w:val="30B82513"/>
    <w:rsid w:val="30B935A0"/>
    <w:rsid w:val="30C04342"/>
    <w:rsid w:val="30CA23A8"/>
    <w:rsid w:val="30D3118B"/>
    <w:rsid w:val="30D60F59"/>
    <w:rsid w:val="30E8524D"/>
    <w:rsid w:val="3102026B"/>
    <w:rsid w:val="311F27C4"/>
    <w:rsid w:val="31203C10"/>
    <w:rsid w:val="313F55FF"/>
    <w:rsid w:val="31415A6B"/>
    <w:rsid w:val="31614900"/>
    <w:rsid w:val="31653BA4"/>
    <w:rsid w:val="31767C2B"/>
    <w:rsid w:val="317D0F1C"/>
    <w:rsid w:val="3193367D"/>
    <w:rsid w:val="319611C3"/>
    <w:rsid w:val="31B579E5"/>
    <w:rsid w:val="31BF0288"/>
    <w:rsid w:val="31D15EAE"/>
    <w:rsid w:val="31D317C1"/>
    <w:rsid w:val="31D5081C"/>
    <w:rsid w:val="31D73AA7"/>
    <w:rsid w:val="31DF5E3D"/>
    <w:rsid w:val="31E108C9"/>
    <w:rsid w:val="31E400E7"/>
    <w:rsid w:val="31E50AA9"/>
    <w:rsid w:val="31EF31FB"/>
    <w:rsid w:val="32072E57"/>
    <w:rsid w:val="322E5C62"/>
    <w:rsid w:val="322F4594"/>
    <w:rsid w:val="32413A62"/>
    <w:rsid w:val="32452715"/>
    <w:rsid w:val="3253185A"/>
    <w:rsid w:val="32674F8B"/>
    <w:rsid w:val="326E3302"/>
    <w:rsid w:val="3273182D"/>
    <w:rsid w:val="328F2013"/>
    <w:rsid w:val="329865EF"/>
    <w:rsid w:val="32C3769A"/>
    <w:rsid w:val="32DF7E8D"/>
    <w:rsid w:val="32E00AFB"/>
    <w:rsid w:val="32E829BE"/>
    <w:rsid w:val="332005EB"/>
    <w:rsid w:val="332B2843"/>
    <w:rsid w:val="332E5076"/>
    <w:rsid w:val="3330593B"/>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11DFA"/>
    <w:rsid w:val="340C7AB7"/>
    <w:rsid w:val="341370BD"/>
    <w:rsid w:val="341C2519"/>
    <w:rsid w:val="342F0D9B"/>
    <w:rsid w:val="34312300"/>
    <w:rsid w:val="344D4701"/>
    <w:rsid w:val="34755873"/>
    <w:rsid w:val="347D5CAE"/>
    <w:rsid w:val="349246D9"/>
    <w:rsid w:val="34B10968"/>
    <w:rsid w:val="34D327E6"/>
    <w:rsid w:val="34E425CD"/>
    <w:rsid w:val="34E60E9A"/>
    <w:rsid w:val="34FC0BFD"/>
    <w:rsid w:val="3507764B"/>
    <w:rsid w:val="351E1066"/>
    <w:rsid w:val="3520395D"/>
    <w:rsid w:val="3521502B"/>
    <w:rsid w:val="35680382"/>
    <w:rsid w:val="35844722"/>
    <w:rsid w:val="3589155F"/>
    <w:rsid w:val="359A57B7"/>
    <w:rsid w:val="359B203F"/>
    <w:rsid w:val="359F7753"/>
    <w:rsid w:val="35A149B6"/>
    <w:rsid w:val="35A53398"/>
    <w:rsid w:val="35D356D0"/>
    <w:rsid w:val="35E21C9A"/>
    <w:rsid w:val="35E72F3B"/>
    <w:rsid w:val="35F15ACF"/>
    <w:rsid w:val="35F7511F"/>
    <w:rsid w:val="35FE4BC9"/>
    <w:rsid w:val="362641F0"/>
    <w:rsid w:val="362A5657"/>
    <w:rsid w:val="36312EFB"/>
    <w:rsid w:val="36355178"/>
    <w:rsid w:val="3649337E"/>
    <w:rsid w:val="366025AA"/>
    <w:rsid w:val="367C16EC"/>
    <w:rsid w:val="369B29C7"/>
    <w:rsid w:val="36BA3D0F"/>
    <w:rsid w:val="36BC7FF0"/>
    <w:rsid w:val="36BF250B"/>
    <w:rsid w:val="36C606E8"/>
    <w:rsid w:val="36C93C0A"/>
    <w:rsid w:val="36D10EAE"/>
    <w:rsid w:val="3712263F"/>
    <w:rsid w:val="371A2D05"/>
    <w:rsid w:val="371B2B6D"/>
    <w:rsid w:val="372D788E"/>
    <w:rsid w:val="37501C96"/>
    <w:rsid w:val="37666A85"/>
    <w:rsid w:val="37806480"/>
    <w:rsid w:val="37A27B41"/>
    <w:rsid w:val="37B53632"/>
    <w:rsid w:val="37BB6A10"/>
    <w:rsid w:val="37D77CE9"/>
    <w:rsid w:val="37DF589E"/>
    <w:rsid w:val="3800745C"/>
    <w:rsid w:val="38232540"/>
    <w:rsid w:val="382B3E68"/>
    <w:rsid w:val="383A520B"/>
    <w:rsid w:val="383B7DB2"/>
    <w:rsid w:val="383F34B2"/>
    <w:rsid w:val="386140A0"/>
    <w:rsid w:val="38783410"/>
    <w:rsid w:val="38785CA3"/>
    <w:rsid w:val="387D3A85"/>
    <w:rsid w:val="38951808"/>
    <w:rsid w:val="389C5E06"/>
    <w:rsid w:val="38C43ED0"/>
    <w:rsid w:val="38C64C42"/>
    <w:rsid w:val="38ED0DEE"/>
    <w:rsid w:val="391C4B83"/>
    <w:rsid w:val="39210694"/>
    <w:rsid w:val="393A6CBF"/>
    <w:rsid w:val="394C60C9"/>
    <w:rsid w:val="39557916"/>
    <w:rsid w:val="395875CB"/>
    <w:rsid w:val="39790E55"/>
    <w:rsid w:val="39C945C3"/>
    <w:rsid w:val="39CF1402"/>
    <w:rsid w:val="39E06A55"/>
    <w:rsid w:val="39EE6480"/>
    <w:rsid w:val="39F63954"/>
    <w:rsid w:val="3A0207E2"/>
    <w:rsid w:val="3A02190E"/>
    <w:rsid w:val="3A03618A"/>
    <w:rsid w:val="3A177134"/>
    <w:rsid w:val="3A280408"/>
    <w:rsid w:val="3A310217"/>
    <w:rsid w:val="3A3B6A3F"/>
    <w:rsid w:val="3A6201EB"/>
    <w:rsid w:val="3A6F27F2"/>
    <w:rsid w:val="3A8C7039"/>
    <w:rsid w:val="3A9A7800"/>
    <w:rsid w:val="3AA70909"/>
    <w:rsid w:val="3AA90280"/>
    <w:rsid w:val="3ABE4758"/>
    <w:rsid w:val="3AC07B28"/>
    <w:rsid w:val="3AC52864"/>
    <w:rsid w:val="3ADC63F6"/>
    <w:rsid w:val="3B047629"/>
    <w:rsid w:val="3B13132B"/>
    <w:rsid w:val="3B144C0F"/>
    <w:rsid w:val="3B161B52"/>
    <w:rsid w:val="3B181C56"/>
    <w:rsid w:val="3B1F3BF2"/>
    <w:rsid w:val="3B5457FF"/>
    <w:rsid w:val="3B620B6F"/>
    <w:rsid w:val="3B646A37"/>
    <w:rsid w:val="3B6A3BAF"/>
    <w:rsid w:val="3B814A64"/>
    <w:rsid w:val="3B9C4CB8"/>
    <w:rsid w:val="3BCD6080"/>
    <w:rsid w:val="3C090C3D"/>
    <w:rsid w:val="3C197AED"/>
    <w:rsid w:val="3C1D4E4C"/>
    <w:rsid w:val="3C2C31E4"/>
    <w:rsid w:val="3C35570C"/>
    <w:rsid w:val="3C367675"/>
    <w:rsid w:val="3C5719E3"/>
    <w:rsid w:val="3C5D4E87"/>
    <w:rsid w:val="3C6B52A6"/>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0180"/>
    <w:rsid w:val="3DAA40CA"/>
    <w:rsid w:val="3DB01C3A"/>
    <w:rsid w:val="3DB469BA"/>
    <w:rsid w:val="3DB52BDD"/>
    <w:rsid w:val="3DC678FB"/>
    <w:rsid w:val="3DCA40B4"/>
    <w:rsid w:val="3DD428B1"/>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45F0C"/>
    <w:rsid w:val="3EB7176B"/>
    <w:rsid w:val="3EBF13D7"/>
    <w:rsid w:val="3EDE44DF"/>
    <w:rsid w:val="3EE24BE5"/>
    <w:rsid w:val="3F055788"/>
    <w:rsid w:val="3F071A9F"/>
    <w:rsid w:val="3F185371"/>
    <w:rsid w:val="3F20694C"/>
    <w:rsid w:val="3F265447"/>
    <w:rsid w:val="3F3338ED"/>
    <w:rsid w:val="3F35554A"/>
    <w:rsid w:val="3F3E6DD2"/>
    <w:rsid w:val="3F453B1B"/>
    <w:rsid w:val="3F60215B"/>
    <w:rsid w:val="3F6E37D8"/>
    <w:rsid w:val="3F9C1B4D"/>
    <w:rsid w:val="3F9D21FD"/>
    <w:rsid w:val="3FAA6588"/>
    <w:rsid w:val="3FBA6C71"/>
    <w:rsid w:val="3FBB44EA"/>
    <w:rsid w:val="3FCB719D"/>
    <w:rsid w:val="3FF86AFD"/>
    <w:rsid w:val="3FFF4CB5"/>
    <w:rsid w:val="400A0F3C"/>
    <w:rsid w:val="400C2580"/>
    <w:rsid w:val="400F1BBD"/>
    <w:rsid w:val="401C1CB3"/>
    <w:rsid w:val="402A197B"/>
    <w:rsid w:val="403103A6"/>
    <w:rsid w:val="40344ED0"/>
    <w:rsid w:val="4039029B"/>
    <w:rsid w:val="4043702F"/>
    <w:rsid w:val="40502FD3"/>
    <w:rsid w:val="405F3590"/>
    <w:rsid w:val="40637A0F"/>
    <w:rsid w:val="406E4030"/>
    <w:rsid w:val="407D69C0"/>
    <w:rsid w:val="408727EB"/>
    <w:rsid w:val="40955117"/>
    <w:rsid w:val="409704B5"/>
    <w:rsid w:val="40AC34B9"/>
    <w:rsid w:val="40B03FA6"/>
    <w:rsid w:val="40D02AD4"/>
    <w:rsid w:val="410439F7"/>
    <w:rsid w:val="41140C3E"/>
    <w:rsid w:val="412B6D90"/>
    <w:rsid w:val="413071D1"/>
    <w:rsid w:val="414450CB"/>
    <w:rsid w:val="41621926"/>
    <w:rsid w:val="416D36BD"/>
    <w:rsid w:val="4171661B"/>
    <w:rsid w:val="4176581B"/>
    <w:rsid w:val="41913EA0"/>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6B307D"/>
    <w:rsid w:val="42932517"/>
    <w:rsid w:val="42A85AE3"/>
    <w:rsid w:val="42B17FD3"/>
    <w:rsid w:val="42B60E6C"/>
    <w:rsid w:val="42BA534A"/>
    <w:rsid w:val="42C32037"/>
    <w:rsid w:val="42C86A01"/>
    <w:rsid w:val="42CE4ABC"/>
    <w:rsid w:val="42E225EC"/>
    <w:rsid w:val="42F7075B"/>
    <w:rsid w:val="430F7403"/>
    <w:rsid w:val="433810A7"/>
    <w:rsid w:val="43494F8B"/>
    <w:rsid w:val="43503D90"/>
    <w:rsid w:val="435B3028"/>
    <w:rsid w:val="436B74C1"/>
    <w:rsid w:val="436D237B"/>
    <w:rsid w:val="4372687F"/>
    <w:rsid w:val="438C4983"/>
    <w:rsid w:val="438D2D05"/>
    <w:rsid w:val="439F566E"/>
    <w:rsid w:val="43B34CB9"/>
    <w:rsid w:val="43BD0F66"/>
    <w:rsid w:val="43C97DB2"/>
    <w:rsid w:val="43CB49FE"/>
    <w:rsid w:val="43EC07D9"/>
    <w:rsid w:val="43F659B4"/>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7B4379"/>
    <w:rsid w:val="4594719D"/>
    <w:rsid w:val="45A11732"/>
    <w:rsid w:val="45A308CB"/>
    <w:rsid w:val="45C83B16"/>
    <w:rsid w:val="45CB7A2B"/>
    <w:rsid w:val="45CF52AB"/>
    <w:rsid w:val="45F12E6A"/>
    <w:rsid w:val="45F865CB"/>
    <w:rsid w:val="460B627B"/>
    <w:rsid w:val="46324801"/>
    <w:rsid w:val="464000B5"/>
    <w:rsid w:val="46482AC3"/>
    <w:rsid w:val="464B4902"/>
    <w:rsid w:val="464E715C"/>
    <w:rsid w:val="46677292"/>
    <w:rsid w:val="466845AE"/>
    <w:rsid w:val="466A6238"/>
    <w:rsid w:val="468474F6"/>
    <w:rsid w:val="469A5C8C"/>
    <w:rsid w:val="46AD1C5F"/>
    <w:rsid w:val="46C42A4C"/>
    <w:rsid w:val="46E241D9"/>
    <w:rsid w:val="46E9298E"/>
    <w:rsid w:val="46F73D44"/>
    <w:rsid w:val="47021076"/>
    <w:rsid w:val="470A53A8"/>
    <w:rsid w:val="47165344"/>
    <w:rsid w:val="471B7D96"/>
    <w:rsid w:val="471C241E"/>
    <w:rsid w:val="472741D1"/>
    <w:rsid w:val="47412B84"/>
    <w:rsid w:val="474943C6"/>
    <w:rsid w:val="474B7C34"/>
    <w:rsid w:val="4758576E"/>
    <w:rsid w:val="476D2662"/>
    <w:rsid w:val="47764B16"/>
    <w:rsid w:val="479A1C8E"/>
    <w:rsid w:val="47A0234E"/>
    <w:rsid w:val="47A3366D"/>
    <w:rsid w:val="47C94762"/>
    <w:rsid w:val="47F17689"/>
    <w:rsid w:val="47F4319F"/>
    <w:rsid w:val="48043476"/>
    <w:rsid w:val="48060812"/>
    <w:rsid w:val="48136F82"/>
    <w:rsid w:val="4832622E"/>
    <w:rsid w:val="4835217B"/>
    <w:rsid w:val="48432EE0"/>
    <w:rsid w:val="484802BA"/>
    <w:rsid w:val="484A2CB8"/>
    <w:rsid w:val="48592741"/>
    <w:rsid w:val="485C6846"/>
    <w:rsid w:val="485F7DEE"/>
    <w:rsid w:val="4863714C"/>
    <w:rsid w:val="48A06F9B"/>
    <w:rsid w:val="48AE18BC"/>
    <w:rsid w:val="48B57794"/>
    <w:rsid w:val="48DA08FB"/>
    <w:rsid w:val="493B187A"/>
    <w:rsid w:val="494D5220"/>
    <w:rsid w:val="4960505A"/>
    <w:rsid w:val="49706BCD"/>
    <w:rsid w:val="498E5B81"/>
    <w:rsid w:val="49902929"/>
    <w:rsid w:val="499135FB"/>
    <w:rsid w:val="49914463"/>
    <w:rsid w:val="49BC221E"/>
    <w:rsid w:val="49C40710"/>
    <w:rsid w:val="49CD5155"/>
    <w:rsid w:val="49E102DB"/>
    <w:rsid w:val="49E9072A"/>
    <w:rsid w:val="49ED78B3"/>
    <w:rsid w:val="49EE2057"/>
    <w:rsid w:val="49F65078"/>
    <w:rsid w:val="49FA3FD3"/>
    <w:rsid w:val="4A275DEF"/>
    <w:rsid w:val="4A3D387A"/>
    <w:rsid w:val="4A406708"/>
    <w:rsid w:val="4A421423"/>
    <w:rsid w:val="4A5D7B84"/>
    <w:rsid w:val="4A677A51"/>
    <w:rsid w:val="4A6B4C9A"/>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7575DC"/>
    <w:rsid w:val="4B773789"/>
    <w:rsid w:val="4B7D565C"/>
    <w:rsid w:val="4B954798"/>
    <w:rsid w:val="4B961795"/>
    <w:rsid w:val="4B9E747A"/>
    <w:rsid w:val="4BB4579A"/>
    <w:rsid w:val="4BC318DA"/>
    <w:rsid w:val="4BC43AB0"/>
    <w:rsid w:val="4BCE5F30"/>
    <w:rsid w:val="4BE16AFA"/>
    <w:rsid w:val="4BE3410F"/>
    <w:rsid w:val="4C056C04"/>
    <w:rsid w:val="4C1C2FF6"/>
    <w:rsid w:val="4C21124C"/>
    <w:rsid w:val="4C566580"/>
    <w:rsid w:val="4C795801"/>
    <w:rsid w:val="4C7C5EB0"/>
    <w:rsid w:val="4C806881"/>
    <w:rsid w:val="4C840E8A"/>
    <w:rsid w:val="4C8E1BE9"/>
    <w:rsid w:val="4C985BF4"/>
    <w:rsid w:val="4CD63930"/>
    <w:rsid w:val="4CF22148"/>
    <w:rsid w:val="4CFD59CA"/>
    <w:rsid w:val="4D2364BB"/>
    <w:rsid w:val="4D2B3D75"/>
    <w:rsid w:val="4D2B6A7D"/>
    <w:rsid w:val="4D3A37E5"/>
    <w:rsid w:val="4D5B69AC"/>
    <w:rsid w:val="4D720627"/>
    <w:rsid w:val="4DA349C1"/>
    <w:rsid w:val="4DA74D6F"/>
    <w:rsid w:val="4DA94899"/>
    <w:rsid w:val="4DCB0391"/>
    <w:rsid w:val="4DF510D1"/>
    <w:rsid w:val="4E056EFB"/>
    <w:rsid w:val="4E112224"/>
    <w:rsid w:val="4E122CAD"/>
    <w:rsid w:val="4E2C5043"/>
    <w:rsid w:val="4E3119F2"/>
    <w:rsid w:val="4E3F2A27"/>
    <w:rsid w:val="4E4E1BAA"/>
    <w:rsid w:val="4E6F1092"/>
    <w:rsid w:val="4E8A2CE5"/>
    <w:rsid w:val="4E9D63D1"/>
    <w:rsid w:val="4EAE123E"/>
    <w:rsid w:val="4EB27A77"/>
    <w:rsid w:val="4EC00FBC"/>
    <w:rsid w:val="4EF60057"/>
    <w:rsid w:val="4F123838"/>
    <w:rsid w:val="4F160280"/>
    <w:rsid w:val="4F3D55AF"/>
    <w:rsid w:val="4F592AAA"/>
    <w:rsid w:val="4F5E4CD0"/>
    <w:rsid w:val="4F9A3895"/>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C2903"/>
    <w:rsid w:val="50D23802"/>
    <w:rsid w:val="50DD4D05"/>
    <w:rsid w:val="50E55EF6"/>
    <w:rsid w:val="50F56BC0"/>
    <w:rsid w:val="50FD4E79"/>
    <w:rsid w:val="51036EF4"/>
    <w:rsid w:val="510B29AA"/>
    <w:rsid w:val="51452154"/>
    <w:rsid w:val="51452B82"/>
    <w:rsid w:val="514F53C8"/>
    <w:rsid w:val="515074F8"/>
    <w:rsid w:val="515A4AB9"/>
    <w:rsid w:val="51811320"/>
    <w:rsid w:val="51914DDE"/>
    <w:rsid w:val="519E2DF3"/>
    <w:rsid w:val="51A649EB"/>
    <w:rsid w:val="51AA61F9"/>
    <w:rsid w:val="51E72D4D"/>
    <w:rsid w:val="51EA36AB"/>
    <w:rsid w:val="52163234"/>
    <w:rsid w:val="52165232"/>
    <w:rsid w:val="521F5DE8"/>
    <w:rsid w:val="52414F39"/>
    <w:rsid w:val="524E477D"/>
    <w:rsid w:val="52603B9D"/>
    <w:rsid w:val="526D3860"/>
    <w:rsid w:val="52781629"/>
    <w:rsid w:val="528C7799"/>
    <w:rsid w:val="528F7B2F"/>
    <w:rsid w:val="52C703C4"/>
    <w:rsid w:val="52E50C98"/>
    <w:rsid w:val="52E60DB2"/>
    <w:rsid w:val="53001957"/>
    <w:rsid w:val="53051283"/>
    <w:rsid w:val="531134AF"/>
    <w:rsid w:val="531248F5"/>
    <w:rsid w:val="5318568A"/>
    <w:rsid w:val="53245530"/>
    <w:rsid w:val="53464DE5"/>
    <w:rsid w:val="535B443A"/>
    <w:rsid w:val="536A52DA"/>
    <w:rsid w:val="538B66CB"/>
    <w:rsid w:val="53C3272B"/>
    <w:rsid w:val="53CE3258"/>
    <w:rsid w:val="53DA64A6"/>
    <w:rsid w:val="53EF7959"/>
    <w:rsid w:val="53FA7C1C"/>
    <w:rsid w:val="53FF6D28"/>
    <w:rsid w:val="541B39AE"/>
    <w:rsid w:val="5421528D"/>
    <w:rsid w:val="542B6B62"/>
    <w:rsid w:val="543677BB"/>
    <w:rsid w:val="54634209"/>
    <w:rsid w:val="54773981"/>
    <w:rsid w:val="54857AB0"/>
    <w:rsid w:val="54885549"/>
    <w:rsid w:val="54931516"/>
    <w:rsid w:val="54B343EF"/>
    <w:rsid w:val="54D05485"/>
    <w:rsid w:val="54DC05AA"/>
    <w:rsid w:val="54E90D27"/>
    <w:rsid w:val="54EA585D"/>
    <w:rsid w:val="54FD7EE2"/>
    <w:rsid w:val="5513257F"/>
    <w:rsid w:val="55173141"/>
    <w:rsid w:val="55174AE0"/>
    <w:rsid w:val="552D4163"/>
    <w:rsid w:val="55443A1E"/>
    <w:rsid w:val="55770C3A"/>
    <w:rsid w:val="5589149C"/>
    <w:rsid w:val="55B54592"/>
    <w:rsid w:val="55E633B0"/>
    <w:rsid w:val="55E64893"/>
    <w:rsid w:val="55F90918"/>
    <w:rsid w:val="55FA2F99"/>
    <w:rsid w:val="560C7CB4"/>
    <w:rsid w:val="56191E14"/>
    <w:rsid w:val="561C2F07"/>
    <w:rsid w:val="562B5F3D"/>
    <w:rsid w:val="562C2AE4"/>
    <w:rsid w:val="563A29E2"/>
    <w:rsid w:val="56427EB0"/>
    <w:rsid w:val="564D1D0F"/>
    <w:rsid w:val="566601D4"/>
    <w:rsid w:val="5666084C"/>
    <w:rsid w:val="566727E7"/>
    <w:rsid w:val="5677623D"/>
    <w:rsid w:val="56876685"/>
    <w:rsid w:val="5694322C"/>
    <w:rsid w:val="569674FF"/>
    <w:rsid w:val="56CD4FDB"/>
    <w:rsid w:val="56CF2329"/>
    <w:rsid w:val="56D21A76"/>
    <w:rsid w:val="56ED5725"/>
    <w:rsid w:val="56FD2B09"/>
    <w:rsid w:val="571E4B7D"/>
    <w:rsid w:val="57227E77"/>
    <w:rsid w:val="573D76AA"/>
    <w:rsid w:val="57423143"/>
    <w:rsid w:val="57485E22"/>
    <w:rsid w:val="579E62DB"/>
    <w:rsid w:val="579E7522"/>
    <w:rsid w:val="57A02153"/>
    <w:rsid w:val="57A14A77"/>
    <w:rsid w:val="57C01983"/>
    <w:rsid w:val="57C90386"/>
    <w:rsid w:val="57C94F71"/>
    <w:rsid w:val="57D759FC"/>
    <w:rsid w:val="57FD7E56"/>
    <w:rsid w:val="581375D9"/>
    <w:rsid w:val="58264F43"/>
    <w:rsid w:val="584769AD"/>
    <w:rsid w:val="58493972"/>
    <w:rsid w:val="585676CE"/>
    <w:rsid w:val="58682EAC"/>
    <w:rsid w:val="58686F8D"/>
    <w:rsid w:val="587010FA"/>
    <w:rsid w:val="588A40A5"/>
    <w:rsid w:val="588B00EF"/>
    <w:rsid w:val="58AB6E48"/>
    <w:rsid w:val="58BD1752"/>
    <w:rsid w:val="58BD1B10"/>
    <w:rsid w:val="58CA2FFA"/>
    <w:rsid w:val="58CC63CF"/>
    <w:rsid w:val="59042B51"/>
    <w:rsid w:val="59093C73"/>
    <w:rsid w:val="591075D9"/>
    <w:rsid w:val="591801AD"/>
    <w:rsid w:val="592C4768"/>
    <w:rsid w:val="59435BE5"/>
    <w:rsid w:val="59555E94"/>
    <w:rsid w:val="595F01D4"/>
    <w:rsid w:val="59711199"/>
    <w:rsid w:val="59721FFE"/>
    <w:rsid w:val="59837B72"/>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922D69"/>
    <w:rsid w:val="5AB20ED5"/>
    <w:rsid w:val="5AC6483C"/>
    <w:rsid w:val="5AC959BE"/>
    <w:rsid w:val="5ACD65FD"/>
    <w:rsid w:val="5AE36D9A"/>
    <w:rsid w:val="5AEA5F22"/>
    <w:rsid w:val="5AF57FFB"/>
    <w:rsid w:val="5B063F0F"/>
    <w:rsid w:val="5B1206A7"/>
    <w:rsid w:val="5B241698"/>
    <w:rsid w:val="5B2D3F75"/>
    <w:rsid w:val="5B31320C"/>
    <w:rsid w:val="5B32096E"/>
    <w:rsid w:val="5B554A58"/>
    <w:rsid w:val="5B5D424E"/>
    <w:rsid w:val="5B8950E1"/>
    <w:rsid w:val="5BA175EA"/>
    <w:rsid w:val="5BAE17EA"/>
    <w:rsid w:val="5BD23921"/>
    <w:rsid w:val="5BD377BC"/>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EB7ED5"/>
    <w:rsid w:val="5D071C0A"/>
    <w:rsid w:val="5D0D0DC4"/>
    <w:rsid w:val="5D0E2E4D"/>
    <w:rsid w:val="5D1017D3"/>
    <w:rsid w:val="5D2B0CC6"/>
    <w:rsid w:val="5D341346"/>
    <w:rsid w:val="5D3D32A9"/>
    <w:rsid w:val="5D61171E"/>
    <w:rsid w:val="5D715B0D"/>
    <w:rsid w:val="5D790EC8"/>
    <w:rsid w:val="5DA85242"/>
    <w:rsid w:val="5DAB78D0"/>
    <w:rsid w:val="5DBA4077"/>
    <w:rsid w:val="5DD360B3"/>
    <w:rsid w:val="5DFC517B"/>
    <w:rsid w:val="5E091D1E"/>
    <w:rsid w:val="5E176F08"/>
    <w:rsid w:val="5E183B49"/>
    <w:rsid w:val="5E1D1D98"/>
    <w:rsid w:val="5E2B7895"/>
    <w:rsid w:val="5E3E6DDE"/>
    <w:rsid w:val="5E4B3CC9"/>
    <w:rsid w:val="5E874A7F"/>
    <w:rsid w:val="5E911953"/>
    <w:rsid w:val="5E92674E"/>
    <w:rsid w:val="5E934F4C"/>
    <w:rsid w:val="5ECF60A9"/>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6F6A9E"/>
    <w:rsid w:val="61A24663"/>
    <w:rsid w:val="61AE5CE7"/>
    <w:rsid w:val="61B814DA"/>
    <w:rsid w:val="61DC33DC"/>
    <w:rsid w:val="61EC3AB0"/>
    <w:rsid w:val="620550B4"/>
    <w:rsid w:val="620B76FE"/>
    <w:rsid w:val="625F5177"/>
    <w:rsid w:val="62793065"/>
    <w:rsid w:val="62812EEC"/>
    <w:rsid w:val="62A755A6"/>
    <w:rsid w:val="62A91495"/>
    <w:rsid w:val="62C701FA"/>
    <w:rsid w:val="62E10E11"/>
    <w:rsid w:val="62E40635"/>
    <w:rsid w:val="62EC10DD"/>
    <w:rsid w:val="62EE627F"/>
    <w:rsid w:val="630869A9"/>
    <w:rsid w:val="630D55FF"/>
    <w:rsid w:val="632B2AFE"/>
    <w:rsid w:val="633272E6"/>
    <w:rsid w:val="63386F8B"/>
    <w:rsid w:val="633B4BAF"/>
    <w:rsid w:val="635B2486"/>
    <w:rsid w:val="6361401A"/>
    <w:rsid w:val="63704850"/>
    <w:rsid w:val="638037CF"/>
    <w:rsid w:val="63940A56"/>
    <w:rsid w:val="63A1584F"/>
    <w:rsid w:val="63A65FD3"/>
    <w:rsid w:val="63C33BCF"/>
    <w:rsid w:val="63C40A17"/>
    <w:rsid w:val="63E437A9"/>
    <w:rsid w:val="63ED45E2"/>
    <w:rsid w:val="63F0010F"/>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1E01B9"/>
    <w:rsid w:val="652553ED"/>
    <w:rsid w:val="652F01FD"/>
    <w:rsid w:val="65366FDD"/>
    <w:rsid w:val="656166CD"/>
    <w:rsid w:val="65626BE9"/>
    <w:rsid w:val="658E6E6B"/>
    <w:rsid w:val="6593347A"/>
    <w:rsid w:val="65954CAD"/>
    <w:rsid w:val="659E1391"/>
    <w:rsid w:val="65AA408D"/>
    <w:rsid w:val="65B51B73"/>
    <w:rsid w:val="65BA3842"/>
    <w:rsid w:val="65BB098D"/>
    <w:rsid w:val="65FE43C6"/>
    <w:rsid w:val="660D2F77"/>
    <w:rsid w:val="66137A5E"/>
    <w:rsid w:val="662538D7"/>
    <w:rsid w:val="662D3578"/>
    <w:rsid w:val="663A5407"/>
    <w:rsid w:val="663A64C8"/>
    <w:rsid w:val="66412194"/>
    <w:rsid w:val="66680019"/>
    <w:rsid w:val="66697BDB"/>
    <w:rsid w:val="668A15E7"/>
    <w:rsid w:val="66B84FF2"/>
    <w:rsid w:val="66D50CAE"/>
    <w:rsid w:val="66EA4A2E"/>
    <w:rsid w:val="6709119A"/>
    <w:rsid w:val="670A7059"/>
    <w:rsid w:val="670D5DDA"/>
    <w:rsid w:val="67483CC7"/>
    <w:rsid w:val="676B346A"/>
    <w:rsid w:val="677D12B1"/>
    <w:rsid w:val="678942C7"/>
    <w:rsid w:val="678B644F"/>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A874A4"/>
    <w:rsid w:val="68B61BDB"/>
    <w:rsid w:val="68E01602"/>
    <w:rsid w:val="68F857A3"/>
    <w:rsid w:val="690328E7"/>
    <w:rsid w:val="69052EC9"/>
    <w:rsid w:val="690B0E62"/>
    <w:rsid w:val="691025E6"/>
    <w:rsid w:val="69225430"/>
    <w:rsid w:val="69245425"/>
    <w:rsid w:val="692A5C4B"/>
    <w:rsid w:val="692D7FCB"/>
    <w:rsid w:val="693A6830"/>
    <w:rsid w:val="694337E1"/>
    <w:rsid w:val="6944024A"/>
    <w:rsid w:val="696B5A16"/>
    <w:rsid w:val="69740148"/>
    <w:rsid w:val="69792A99"/>
    <w:rsid w:val="69862CE1"/>
    <w:rsid w:val="69B47AF9"/>
    <w:rsid w:val="69B83A10"/>
    <w:rsid w:val="69C32674"/>
    <w:rsid w:val="69C9039E"/>
    <w:rsid w:val="69D46296"/>
    <w:rsid w:val="69DC398E"/>
    <w:rsid w:val="69DC3E69"/>
    <w:rsid w:val="69DD7064"/>
    <w:rsid w:val="69E94348"/>
    <w:rsid w:val="69EA1C9B"/>
    <w:rsid w:val="6A4C5980"/>
    <w:rsid w:val="6A540DCD"/>
    <w:rsid w:val="6A594D9F"/>
    <w:rsid w:val="6A6449E5"/>
    <w:rsid w:val="6A7C3A48"/>
    <w:rsid w:val="6A83104C"/>
    <w:rsid w:val="6A872614"/>
    <w:rsid w:val="6AA661F0"/>
    <w:rsid w:val="6AAC7200"/>
    <w:rsid w:val="6ADF0E38"/>
    <w:rsid w:val="6AFF6CED"/>
    <w:rsid w:val="6B3A0719"/>
    <w:rsid w:val="6B4B4654"/>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6D137C"/>
    <w:rsid w:val="6C754D97"/>
    <w:rsid w:val="6C895D8C"/>
    <w:rsid w:val="6C911360"/>
    <w:rsid w:val="6C9621C0"/>
    <w:rsid w:val="6C9965B9"/>
    <w:rsid w:val="6CA0176C"/>
    <w:rsid w:val="6CAE638A"/>
    <w:rsid w:val="6CBC16B5"/>
    <w:rsid w:val="6CC3323B"/>
    <w:rsid w:val="6CCB0292"/>
    <w:rsid w:val="6CEE15AB"/>
    <w:rsid w:val="6CF918E1"/>
    <w:rsid w:val="6D0D10BE"/>
    <w:rsid w:val="6D200C8D"/>
    <w:rsid w:val="6D377024"/>
    <w:rsid w:val="6D431F29"/>
    <w:rsid w:val="6D481AA7"/>
    <w:rsid w:val="6D492C06"/>
    <w:rsid w:val="6D5565BE"/>
    <w:rsid w:val="6D5C072C"/>
    <w:rsid w:val="6D631076"/>
    <w:rsid w:val="6D7101EF"/>
    <w:rsid w:val="6D824DC4"/>
    <w:rsid w:val="6D8C6266"/>
    <w:rsid w:val="6D9426FD"/>
    <w:rsid w:val="6DB77826"/>
    <w:rsid w:val="6DC43BE8"/>
    <w:rsid w:val="6DD22C1D"/>
    <w:rsid w:val="6DE21F8A"/>
    <w:rsid w:val="6DE23B91"/>
    <w:rsid w:val="6DF37B12"/>
    <w:rsid w:val="6DFC4576"/>
    <w:rsid w:val="6E4165FE"/>
    <w:rsid w:val="6E421B8B"/>
    <w:rsid w:val="6E4D00A4"/>
    <w:rsid w:val="6E532F96"/>
    <w:rsid w:val="6E602C56"/>
    <w:rsid w:val="6E62222D"/>
    <w:rsid w:val="6E744D77"/>
    <w:rsid w:val="6E8C3364"/>
    <w:rsid w:val="6E923460"/>
    <w:rsid w:val="6E993583"/>
    <w:rsid w:val="6EB7487C"/>
    <w:rsid w:val="6EBA079B"/>
    <w:rsid w:val="6EC43159"/>
    <w:rsid w:val="6EEA7111"/>
    <w:rsid w:val="6EEF4944"/>
    <w:rsid w:val="6F133C9A"/>
    <w:rsid w:val="6F1D00A6"/>
    <w:rsid w:val="6F223DB7"/>
    <w:rsid w:val="6F4722E4"/>
    <w:rsid w:val="6F654AC2"/>
    <w:rsid w:val="6F7A0434"/>
    <w:rsid w:val="6F7F302B"/>
    <w:rsid w:val="6F823570"/>
    <w:rsid w:val="6F856B16"/>
    <w:rsid w:val="6FA86C2B"/>
    <w:rsid w:val="6FD65244"/>
    <w:rsid w:val="6FE05AA0"/>
    <w:rsid w:val="6FF97170"/>
    <w:rsid w:val="6FFC7B09"/>
    <w:rsid w:val="700E65A5"/>
    <w:rsid w:val="70124CBA"/>
    <w:rsid w:val="70243B95"/>
    <w:rsid w:val="703322CD"/>
    <w:rsid w:val="70672FD1"/>
    <w:rsid w:val="70762CC7"/>
    <w:rsid w:val="708E1FF4"/>
    <w:rsid w:val="70B16233"/>
    <w:rsid w:val="70DA3C6B"/>
    <w:rsid w:val="70DF3F90"/>
    <w:rsid w:val="70EC0382"/>
    <w:rsid w:val="710234DE"/>
    <w:rsid w:val="71220ACC"/>
    <w:rsid w:val="71591C44"/>
    <w:rsid w:val="717F793F"/>
    <w:rsid w:val="71C85743"/>
    <w:rsid w:val="71CB1698"/>
    <w:rsid w:val="71CF3580"/>
    <w:rsid w:val="71DD07EB"/>
    <w:rsid w:val="71F12AFA"/>
    <w:rsid w:val="71F33010"/>
    <w:rsid w:val="71F65F21"/>
    <w:rsid w:val="71FA22F1"/>
    <w:rsid w:val="71FD2118"/>
    <w:rsid w:val="72052AA9"/>
    <w:rsid w:val="721175B9"/>
    <w:rsid w:val="72285AC8"/>
    <w:rsid w:val="72373460"/>
    <w:rsid w:val="72534C70"/>
    <w:rsid w:val="72934F5E"/>
    <w:rsid w:val="729E75F1"/>
    <w:rsid w:val="72AB27B3"/>
    <w:rsid w:val="72AD4AF1"/>
    <w:rsid w:val="72D81BBC"/>
    <w:rsid w:val="72D83910"/>
    <w:rsid w:val="72E2393D"/>
    <w:rsid w:val="72F962C0"/>
    <w:rsid w:val="7306564A"/>
    <w:rsid w:val="731A685B"/>
    <w:rsid w:val="731F0D86"/>
    <w:rsid w:val="732D0862"/>
    <w:rsid w:val="7344121A"/>
    <w:rsid w:val="73542DA9"/>
    <w:rsid w:val="7359185B"/>
    <w:rsid w:val="736729E6"/>
    <w:rsid w:val="73870154"/>
    <w:rsid w:val="7394570A"/>
    <w:rsid w:val="739B08A2"/>
    <w:rsid w:val="73B00B8A"/>
    <w:rsid w:val="73B80334"/>
    <w:rsid w:val="73B96347"/>
    <w:rsid w:val="73DB1A8C"/>
    <w:rsid w:val="740252B5"/>
    <w:rsid w:val="740E5A24"/>
    <w:rsid w:val="74217211"/>
    <w:rsid w:val="74241844"/>
    <w:rsid w:val="7428542E"/>
    <w:rsid w:val="742B485F"/>
    <w:rsid w:val="743B3D55"/>
    <w:rsid w:val="744628D0"/>
    <w:rsid w:val="74470A6B"/>
    <w:rsid w:val="74476AE7"/>
    <w:rsid w:val="74541F94"/>
    <w:rsid w:val="745E0F58"/>
    <w:rsid w:val="745E44A5"/>
    <w:rsid w:val="747C0124"/>
    <w:rsid w:val="748F1FC1"/>
    <w:rsid w:val="74985A95"/>
    <w:rsid w:val="74A54FA2"/>
    <w:rsid w:val="74BE7A92"/>
    <w:rsid w:val="74BF3F35"/>
    <w:rsid w:val="74C04A71"/>
    <w:rsid w:val="74D37193"/>
    <w:rsid w:val="74E83A33"/>
    <w:rsid w:val="750C62B1"/>
    <w:rsid w:val="7511573C"/>
    <w:rsid w:val="751A7246"/>
    <w:rsid w:val="751B457F"/>
    <w:rsid w:val="75285AE6"/>
    <w:rsid w:val="7543015E"/>
    <w:rsid w:val="75454825"/>
    <w:rsid w:val="7565357C"/>
    <w:rsid w:val="7565786A"/>
    <w:rsid w:val="757922AB"/>
    <w:rsid w:val="758D4439"/>
    <w:rsid w:val="75A11A70"/>
    <w:rsid w:val="75A67BFC"/>
    <w:rsid w:val="75B13007"/>
    <w:rsid w:val="75B14CCB"/>
    <w:rsid w:val="75B558D6"/>
    <w:rsid w:val="75CB4D48"/>
    <w:rsid w:val="75CC00F0"/>
    <w:rsid w:val="75CC03A8"/>
    <w:rsid w:val="75CF4003"/>
    <w:rsid w:val="75E72DA6"/>
    <w:rsid w:val="75FB104B"/>
    <w:rsid w:val="760309B4"/>
    <w:rsid w:val="7605176F"/>
    <w:rsid w:val="76445AED"/>
    <w:rsid w:val="76472B0B"/>
    <w:rsid w:val="7660574F"/>
    <w:rsid w:val="767A58E4"/>
    <w:rsid w:val="769F32B5"/>
    <w:rsid w:val="76B92446"/>
    <w:rsid w:val="76CD0F92"/>
    <w:rsid w:val="76E92322"/>
    <w:rsid w:val="76FF12D4"/>
    <w:rsid w:val="7707431D"/>
    <w:rsid w:val="771D0C64"/>
    <w:rsid w:val="77584858"/>
    <w:rsid w:val="776069F0"/>
    <w:rsid w:val="776D2CD1"/>
    <w:rsid w:val="776E1451"/>
    <w:rsid w:val="77711C78"/>
    <w:rsid w:val="77732246"/>
    <w:rsid w:val="777F4BC4"/>
    <w:rsid w:val="779B1805"/>
    <w:rsid w:val="77A64A45"/>
    <w:rsid w:val="77A65182"/>
    <w:rsid w:val="77AC6EEE"/>
    <w:rsid w:val="77C75D74"/>
    <w:rsid w:val="77FF1C07"/>
    <w:rsid w:val="780B7302"/>
    <w:rsid w:val="780D69BD"/>
    <w:rsid w:val="781372EC"/>
    <w:rsid w:val="78184FA7"/>
    <w:rsid w:val="78205738"/>
    <w:rsid w:val="7822522C"/>
    <w:rsid w:val="7833479B"/>
    <w:rsid w:val="784B4E4B"/>
    <w:rsid w:val="785411CA"/>
    <w:rsid w:val="78616FBE"/>
    <w:rsid w:val="7864172F"/>
    <w:rsid w:val="787008D1"/>
    <w:rsid w:val="78955D13"/>
    <w:rsid w:val="789A45BC"/>
    <w:rsid w:val="78AC75A3"/>
    <w:rsid w:val="78AE23C3"/>
    <w:rsid w:val="78D86C57"/>
    <w:rsid w:val="78D91283"/>
    <w:rsid w:val="78EA5A0F"/>
    <w:rsid w:val="78EB40FD"/>
    <w:rsid w:val="78F629F8"/>
    <w:rsid w:val="7901465B"/>
    <w:rsid w:val="790221D8"/>
    <w:rsid w:val="790464F1"/>
    <w:rsid w:val="790C085A"/>
    <w:rsid w:val="791278F8"/>
    <w:rsid w:val="791B3B2C"/>
    <w:rsid w:val="793B6575"/>
    <w:rsid w:val="793F0E09"/>
    <w:rsid w:val="79592A8B"/>
    <w:rsid w:val="79592DE4"/>
    <w:rsid w:val="79672E2F"/>
    <w:rsid w:val="796C3879"/>
    <w:rsid w:val="797163AB"/>
    <w:rsid w:val="797A28BF"/>
    <w:rsid w:val="798E0212"/>
    <w:rsid w:val="7992121C"/>
    <w:rsid w:val="79962917"/>
    <w:rsid w:val="79CE532D"/>
    <w:rsid w:val="79E04993"/>
    <w:rsid w:val="79E82110"/>
    <w:rsid w:val="7A1F30F0"/>
    <w:rsid w:val="7A431C56"/>
    <w:rsid w:val="7A432D37"/>
    <w:rsid w:val="7A471131"/>
    <w:rsid w:val="7A5618A0"/>
    <w:rsid w:val="7A5F3267"/>
    <w:rsid w:val="7AA26316"/>
    <w:rsid w:val="7AAF37F8"/>
    <w:rsid w:val="7AB56968"/>
    <w:rsid w:val="7ABC15CC"/>
    <w:rsid w:val="7AD550FC"/>
    <w:rsid w:val="7AF0780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7F90"/>
    <w:rsid w:val="7C5320F5"/>
    <w:rsid w:val="7C63164A"/>
    <w:rsid w:val="7C64199C"/>
    <w:rsid w:val="7C7628C5"/>
    <w:rsid w:val="7CA115BF"/>
    <w:rsid w:val="7CAF239E"/>
    <w:rsid w:val="7CBD545C"/>
    <w:rsid w:val="7CDE1864"/>
    <w:rsid w:val="7CFD6155"/>
    <w:rsid w:val="7D0342D1"/>
    <w:rsid w:val="7D100F7F"/>
    <w:rsid w:val="7D39279E"/>
    <w:rsid w:val="7D4C6425"/>
    <w:rsid w:val="7D512E09"/>
    <w:rsid w:val="7D540579"/>
    <w:rsid w:val="7D5C4C0F"/>
    <w:rsid w:val="7D8070E6"/>
    <w:rsid w:val="7D894C83"/>
    <w:rsid w:val="7D9A4CB6"/>
    <w:rsid w:val="7DA56537"/>
    <w:rsid w:val="7DC60028"/>
    <w:rsid w:val="7DD246CA"/>
    <w:rsid w:val="7DEC3E7E"/>
    <w:rsid w:val="7DFE73CB"/>
    <w:rsid w:val="7E4C423C"/>
    <w:rsid w:val="7E551D52"/>
    <w:rsid w:val="7E593BB0"/>
    <w:rsid w:val="7E59673F"/>
    <w:rsid w:val="7E834093"/>
    <w:rsid w:val="7EA73FA7"/>
    <w:rsid w:val="7EB273B0"/>
    <w:rsid w:val="7EC121A0"/>
    <w:rsid w:val="7EC53C46"/>
    <w:rsid w:val="7ECC4517"/>
    <w:rsid w:val="7EE6719B"/>
    <w:rsid w:val="7F0954A7"/>
    <w:rsid w:val="7F0C4167"/>
    <w:rsid w:val="7F0D1E11"/>
    <w:rsid w:val="7F135E0F"/>
    <w:rsid w:val="7F145C02"/>
    <w:rsid w:val="7F441982"/>
    <w:rsid w:val="7F4464D8"/>
    <w:rsid w:val="7F53287B"/>
    <w:rsid w:val="7F597E98"/>
    <w:rsid w:val="7F6E5576"/>
    <w:rsid w:val="7F8045D8"/>
    <w:rsid w:val="7FC90A31"/>
    <w:rsid w:val="7FC94C2F"/>
    <w:rsid w:val="7FE835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5">
    <w:name w:val="heading 1"/>
    <w:basedOn w:val="1"/>
    <w:next w:val="1"/>
    <w:autoRedefine/>
    <w:qFormat/>
    <w:uiPriority w:val="0"/>
    <w:pPr>
      <w:keepNext/>
      <w:widowControl w:val="0"/>
      <w:spacing w:line="360" w:lineRule="auto"/>
      <w:jc w:val="center"/>
      <w:outlineLvl w:val="0"/>
    </w:pPr>
    <w:rPr>
      <w:rFonts w:ascii="宋体" w:hAnsi="宋体"/>
      <w:b/>
      <w:kern w:val="2"/>
      <w:sz w:val="24"/>
    </w:rPr>
  </w:style>
  <w:style w:type="paragraph" w:styleId="6">
    <w:name w:val="heading 2"/>
    <w:basedOn w:val="1"/>
    <w:next w:val="7"/>
    <w:qFormat/>
    <w:uiPriority w:val="0"/>
    <w:pPr>
      <w:keepNext/>
      <w:widowControl w:val="0"/>
      <w:numPr>
        <w:ilvl w:val="0"/>
        <w:numId w:val="1"/>
      </w:numPr>
      <w:spacing w:line="216" w:lineRule="auto"/>
      <w:jc w:val="both"/>
      <w:outlineLvl w:val="1"/>
    </w:pPr>
    <w:rPr>
      <w:rFonts w:ascii="宋体"/>
      <w:kern w:val="2"/>
      <w:sz w:val="28"/>
    </w:rPr>
  </w:style>
  <w:style w:type="paragraph" w:styleId="8">
    <w:name w:val="heading 3"/>
    <w:basedOn w:val="1"/>
    <w:next w:val="1"/>
    <w:autoRedefine/>
    <w:qFormat/>
    <w:uiPriority w:val="0"/>
    <w:pPr>
      <w:keepNext/>
      <w:widowControl w:val="0"/>
      <w:tabs>
        <w:tab w:val="left" w:pos="1260"/>
      </w:tabs>
      <w:spacing w:line="216" w:lineRule="auto"/>
      <w:jc w:val="both"/>
      <w:outlineLvl w:val="2"/>
    </w:pPr>
    <w:rPr>
      <w:rFonts w:ascii="宋体"/>
      <w:b/>
      <w:bCs/>
      <w:kern w:val="2"/>
      <w:sz w:val="28"/>
    </w:rPr>
  </w:style>
  <w:style w:type="paragraph" w:styleId="9">
    <w:name w:val="heading 4"/>
    <w:basedOn w:val="1"/>
    <w:next w:val="1"/>
    <w:autoRedefine/>
    <w:qFormat/>
    <w:uiPriority w:val="0"/>
    <w:pPr>
      <w:keepNext/>
      <w:widowControl w:val="0"/>
      <w:jc w:val="both"/>
      <w:outlineLvl w:val="3"/>
    </w:pPr>
    <w:rPr>
      <w:color w:val="FF0000"/>
      <w:kern w:val="2"/>
      <w:sz w:val="24"/>
      <w:u w:val="single"/>
    </w:rPr>
  </w:style>
  <w:style w:type="paragraph" w:styleId="10">
    <w:name w:val="heading 5"/>
    <w:basedOn w:val="1"/>
    <w:next w:val="11"/>
    <w:autoRedefine/>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3">
    <w:name w:val="heading 6"/>
    <w:basedOn w:val="1"/>
    <w:next w:val="1"/>
    <w:autoRedefine/>
    <w:qFormat/>
    <w:uiPriority w:val="0"/>
    <w:pPr>
      <w:keepNext/>
      <w:outlineLvl w:val="5"/>
    </w:pPr>
    <w:rPr>
      <w:color w:val="0000FF"/>
      <w:sz w:val="24"/>
    </w:rPr>
  </w:style>
  <w:style w:type="paragraph" w:styleId="14">
    <w:name w:val="heading 7"/>
    <w:basedOn w:val="1"/>
    <w:next w:val="1"/>
    <w:autoRedefine/>
    <w:qFormat/>
    <w:uiPriority w:val="0"/>
    <w:pPr>
      <w:keepNext/>
      <w:spacing w:line="480" w:lineRule="exact"/>
      <w:outlineLvl w:val="6"/>
    </w:pPr>
    <w:rPr>
      <w:rFonts w:ascii="仿宋_GB2312" w:hAnsi="宋体" w:eastAsia="仿宋_GB2312"/>
      <w:sz w:val="28"/>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line="360" w:lineRule="auto"/>
    </w:pPr>
    <w:rPr>
      <w:rFonts w:ascii="宋体"/>
      <w:sz w:val="24"/>
    </w:rPr>
  </w:style>
  <w:style w:type="paragraph" w:styleId="3">
    <w:name w:val="Body Text First Indent"/>
    <w:basedOn w:val="2"/>
    <w:next w:val="4"/>
    <w:autoRedefine/>
    <w:qFormat/>
    <w:uiPriority w:val="0"/>
    <w:pPr>
      <w:spacing w:after="120" w:line="240" w:lineRule="auto"/>
      <w:ind w:firstLine="420" w:firstLineChars="100"/>
    </w:pPr>
  </w:style>
  <w:style w:type="paragraph" w:styleId="4">
    <w:name w:val="toc 6"/>
    <w:basedOn w:val="1"/>
    <w:next w:val="1"/>
    <w:autoRedefine/>
    <w:qFormat/>
    <w:uiPriority w:val="0"/>
    <w:pPr>
      <w:ind w:left="1000"/>
    </w:pPr>
    <w:rPr>
      <w:sz w:val="18"/>
    </w:rPr>
  </w:style>
  <w:style w:type="paragraph" w:customStyle="1" w:styleId="7">
    <w:name w:val="*正文"/>
    <w:basedOn w:val="1"/>
    <w:qFormat/>
    <w:uiPriority w:val="0"/>
    <w:pPr>
      <w:adjustRightInd/>
      <w:spacing w:line="360" w:lineRule="auto"/>
    </w:pPr>
    <w:rPr>
      <w:rFonts w:ascii="宋体" w:hAnsi="宋体"/>
      <w:sz w:val="24"/>
    </w:rPr>
  </w:style>
  <w:style w:type="paragraph" w:styleId="11">
    <w:name w:val="Normal Indent"/>
    <w:basedOn w:val="1"/>
    <w:next w:val="12"/>
    <w:autoRedefine/>
    <w:qFormat/>
    <w:uiPriority w:val="0"/>
    <w:pPr>
      <w:widowControl w:val="0"/>
      <w:ind w:firstLine="420"/>
      <w:jc w:val="both"/>
    </w:pPr>
    <w:rPr>
      <w:kern w:val="2"/>
    </w:rPr>
  </w:style>
  <w:style w:type="paragraph" w:styleId="12">
    <w:name w:val="toc 2"/>
    <w:basedOn w:val="1"/>
    <w:next w:val="1"/>
    <w:autoRedefine/>
    <w:qFormat/>
    <w:uiPriority w:val="0"/>
    <w:pPr>
      <w:tabs>
        <w:tab w:val="right" w:leader="dot" w:pos="8494"/>
      </w:tabs>
      <w:ind w:left="200"/>
    </w:pPr>
    <w:rPr>
      <w:smallCaps/>
      <w:sz w:val="24"/>
    </w:rPr>
  </w:style>
  <w:style w:type="paragraph" w:styleId="15">
    <w:name w:val="toc 7"/>
    <w:basedOn w:val="1"/>
    <w:next w:val="1"/>
    <w:autoRedefine/>
    <w:qFormat/>
    <w:uiPriority w:val="0"/>
    <w:pPr>
      <w:ind w:left="1200"/>
    </w:pPr>
    <w:rPr>
      <w:sz w:val="18"/>
    </w:rPr>
  </w:style>
  <w:style w:type="paragraph" w:styleId="16">
    <w:name w:val="List Number"/>
    <w:basedOn w:val="1"/>
    <w:autoRedefine/>
    <w:qFormat/>
    <w:uiPriority w:val="0"/>
    <w:pPr>
      <w:widowControl w:val="0"/>
      <w:tabs>
        <w:tab w:val="left" w:pos="360"/>
        <w:tab w:val="left" w:pos="1320"/>
      </w:tabs>
      <w:jc w:val="both"/>
    </w:pPr>
    <w:rPr>
      <w:kern w:val="2"/>
      <w:szCs w:val="24"/>
    </w:rPr>
  </w:style>
  <w:style w:type="paragraph" w:styleId="17">
    <w:name w:val="Document Map"/>
    <w:basedOn w:val="1"/>
    <w:autoRedefine/>
    <w:qFormat/>
    <w:uiPriority w:val="0"/>
    <w:pPr>
      <w:shd w:val="clear" w:color="auto" w:fill="000080"/>
    </w:pPr>
  </w:style>
  <w:style w:type="paragraph" w:styleId="18">
    <w:name w:val="annotation text"/>
    <w:basedOn w:val="1"/>
    <w:link w:val="49"/>
    <w:autoRedefine/>
    <w:qFormat/>
    <w:uiPriority w:val="0"/>
    <w:pPr>
      <w:widowControl w:val="0"/>
    </w:pPr>
    <w:rPr>
      <w:kern w:val="2"/>
      <w:szCs w:val="24"/>
    </w:rPr>
  </w:style>
  <w:style w:type="paragraph" w:styleId="19">
    <w:name w:val="Body Text 3"/>
    <w:basedOn w:val="1"/>
    <w:autoRedefine/>
    <w:qFormat/>
    <w:uiPriority w:val="0"/>
    <w:pPr>
      <w:jc w:val="center"/>
    </w:pPr>
    <w:rPr>
      <w:sz w:val="24"/>
    </w:rPr>
  </w:style>
  <w:style w:type="paragraph" w:styleId="20">
    <w:name w:val="Body Text Indent"/>
    <w:basedOn w:val="1"/>
    <w:next w:val="1"/>
    <w:link w:val="48"/>
    <w:autoRedefine/>
    <w:qFormat/>
    <w:uiPriority w:val="0"/>
    <w:pPr>
      <w:autoSpaceDE w:val="0"/>
      <w:autoSpaceDN w:val="0"/>
      <w:snapToGrid w:val="0"/>
      <w:spacing w:line="480" w:lineRule="auto"/>
      <w:ind w:firstLine="560" w:firstLineChars="200"/>
      <w:jc w:val="both"/>
    </w:pPr>
    <w:rPr>
      <w:sz w:val="28"/>
    </w:rPr>
  </w:style>
  <w:style w:type="paragraph" w:styleId="21">
    <w:name w:val="toc 5"/>
    <w:basedOn w:val="1"/>
    <w:next w:val="1"/>
    <w:autoRedefine/>
    <w:qFormat/>
    <w:uiPriority w:val="0"/>
    <w:pPr>
      <w:ind w:left="800"/>
    </w:pPr>
    <w:rPr>
      <w:sz w:val="18"/>
    </w:rPr>
  </w:style>
  <w:style w:type="paragraph" w:styleId="22">
    <w:name w:val="toc 3"/>
    <w:basedOn w:val="1"/>
    <w:next w:val="1"/>
    <w:autoRedefine/>
    <w:qFormat/>
    <w:uiPriority w:val="0"/>
    <w:pPr>
      <w:ind w:left="400"/>
    </w:pPr>
    <w:rPr>
      <w:i/>
    </w:rPr>
  </w:style>
  <w:style w:type="paragraph" w:styleId="23">
    <w:name w:val="Plain Text"/>
    <w:basedOn w:val="1"/>
    <w:link w:val="50"/>
    <w:autoRedefine/>
    <w:qFormat/>
    <w:uiPriority w:val="0"/>
    <w:pPr>
      <w:widowControl w:val="0"/>
      <w:tabs>
        <w:tab w:val="right" w:leader="dot" w:pos="8494"/>
      </w:tabs>
      <w:jc w:val="both"/>
    </w:pPr>
    <w:rPr>
      <w:rFonts w:ascii="宋体" w:hAnsi="Courier New"/>
      <w:kern w:val="2"/>
    </w:rPr>
  </w:style>
  <w:style w:type="paragraph" w:styleId="24">
    <w:name w:val="toc 8"/>
    <w:basedOn w:val="1"/>
    <w:next w:val="1"/>
    <w:autoRedefine/>
    <w:qFormat/>
    <w:uiPriority w:val="0"/>
    <w:pPr>
      <w:ind w:left="1400"/>
    </w:pPr>
    <w:rPr>
      <w:sz w:val="18"/>
    </w:rPr>
  </w:style>
  <w:style w:type="paragraph" w:styleId="25">
    <w:name w:val="Date"/>
    <w:basedOn w:val="1"/>
    <w:next w:val="1"/>
    <w:autoRedefine/>
    <w:qFormat/>
    <w:uiPriority w:val="0"/>
    <w:pPr>
      <w:ind w:left="100" w:leftChars="2500"/>
    </w:pPr>
    <w:rPr>
      <w:rFonts w:ascii="宋体" w:hAnsi="宋体"/>
      <w:sz w:val="24"/>
    </w:rPr>
  </w:style>
  <w:style w:type="paragraph" w:styleId="26">
    <w:name w:val="Body Text Indent 2"/>
    <w:basedOn w:val="1"/>
    <w:autoRedefine/>
    <w:qFormat/>
    <w:uiPriority w:val="0"/>
    <w:pPr>
      <w:snapToGrid w:val="0"/>
      <w:spacing w:line="312" w:lineRule="auto"/>
      <w:ind w:firstLine="480"/>
    </w:pPr>
    <w:rPr>
      <w:rFonts w:ascii="宋体" w:hAnsi="宋体"/>
      <w:sz w:val="24"/>
    </w:rPr>
  </w:style>
  <w:style w:type="paragraph" w:styleId="27">
    <w:name w:val="Balloon Text"/>
    <w:basedOn w:val="1"/>
    <w:autoRedefine/>
    <w:qFormat/>
    <w:uiPriority w:val="0"/>
    <w:rPr>
      <w:sz w:val="18"/>
    </w:rPr>
  </w:style>
  <w:style w:type="paragraph" w:styleId="28">
    <w:name w:val="footer"/>
    <w:basedOn w:val="1"/>
    <w:autoRedefine/>
    <w:qFormat/>
    <w:uiPriority w:val="0"/>
    <w:pPr>
      <w:widowControl w:val="0"/>
      <w:tabs>
        <w:tab w:val="center" w:pos="4140"/>
        <w:tab w:val="right" w:pos="8300"/>
      </w:tabs>
      <w:adjustRightInd w:val="0"/>
      <w:snapToGrid w:val="0"/>
    </w:pPr>
    <w:rPr>
      <w:sz w:val="18"/>
    </w:rPr>
  </w:style>
  <w:style w:type="paragraph" w:styleId="29">
    <w:name w:val="header"/>
    <w:basedOn w:val="1"/>
    <w:autoRedefine/>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30">
    <w:name w:val="toc 1"/>
    <w:basedOn w:val="1"/>
    <w:next w:val="1"/>
    <w:autoRedefine/>
    <w:qFormat/>
    <w:uiPriority w:val="0"/>
    <w:pPr>
      <w:spacing w:before="120" w:after="120"/>
    </w:pPr>
    <w:rPr>
      <w:b/>
      <w:bCs/>
      <w:caps/>
    </w:rPr>
  </w:style>
  <w:style w:type="paragraph" w:styleId="31">
    <w:name w:val="toc 4"/>
    <w:basedOn w:val="1"/>
    <w:next w:val="1"/>
    <w:autoRedefine/>
    <w:qFormat/>
    <w:uiPriority w:val="0"/>
    <w:pPr>
      <w:ind w:left="600"/>
    </w:pPr>
    <w:rPr>
      <w:sz w:val="18"/>
    </w:rPr>
  </w:style>
  <w:style w:type="paragraph" w:styleId="32">
    <w:name w:val="Body Text Indent 3"/>
    <w:basedOn w:val="1"/>
    <w:autoRedefine/>
    <w:qFormat/>
    <w:uiPriority w:val="0"/>
    <w:pPr>
      <w:ind w:left="570"/>
    </w:pPr>
    <w:rPr>
      <w:sz w:val="24"/>
    </w:rPr>
  </w:style>
  <w:style w:type="paragraph" w:styleId="33">
    <w:name w:val="toc 9"/>
    <w:basedOn w:val="1"/>
    <w:next w:val="1"/>
    <w:autoRedefine/>
    <w:qFormat/>
    <w:uiPriority w:val="0"/>
    <w:pPr>
      <w:ind w:left="1600"/>
    </w:pPr>
    <w:rPr>
      <w:sz w:val="18"/>
    </w:rPr>
  </w:style>
  <w:style w:type="paragraph" w:styleId="34">
    <w:name w:val="Body Text 2"/>
    <w:basedOn w:val="1"/>
    <w:autoRedefine/>
    <w:qFormat/>
    <w:uiPriority w:val="0"/>
    <w:pPr>
      <w:tabs>
        <w:tab w:val="left" w:pos="360"/>
        <w:tab w:val="left" w:pos="900"/>
      </w:tabs>
    </w:pPr>
    <w:rPr>
      <w:rFonts w:ascii="宋体" w:hAnsi="宋体"/>
      <w:sz w:val="24"/>
      <w:u w:val="single"/>
    </w:rPr>
  </w:style>
  <w:style w:type="paragraph" w:styleId="35">
    <w:name w:val="Normal (Web)"/>
    <w:basedOn w:val="1"/>
    <w:autoRedefine/>
    <w:qFormat/>
    <w:uiPriority w:val="0"/>
    <w:pPr>
      <w:spacing w:before="100" w:beforeAutospacing="1" w:after="100" w:afterAutospacing="1"/>
    </w:pPr>
    <w:rPr>
      <w:rFonts w:ascii="宋体" w:hAnsi="宋体"/>
      <w:sz w:val="24"/>
    </w:rPr>
  </w:style>
  <w:style w:type="paragraph" w:styleId="36">
    <w:name w:val="Title"/>
    <w:basedOn w:val="1"/>
    <w:next w:val="1"/>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7">
    <w:name w:val="Body Text First Indent 2"/>
    <w:basedOn w:val="20"/>
    <w:autoRedefine/>
    <w:qFormat/>
    <w:uiPriority w:val="0"/>
    <w:pPr>
      <w:spacing w:after="120" w:line="240" w:lineRule="auto"/>
      <w:ind w:left="420" w:leftChars="200" w:firstLine="420"/>
    </w:pPr>
    <w:rPr>
      <w:sz w:val="21"/>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rFonts w:ascii="Arial" w:hAnsi="Arial" w:eastAsia="宋体" w:cs="Times New Roman"/>
      <w:b/>
      <w:sz w:val="26"/>
      <w:u w:val="none"/>
    </w:rPr>
  </w:style>
  <w:style w:type="character" w:styleId="42">
    <w:name w:val="page number"/>
    <w:basedOn w:val="40"/>
    <w:autoRedefine/>
    <w:qFormat/>
    <w:uiPriority w:val="0"/>
    <w:rPr>
      <w:rFonts w:ascii="Times New Roman" w:hAnsi="Times New Roman" w:eastAsia="宋体" w:cs="Times New Roman"/>
    </w:rPr>
  </w:style>
  <w:style w:type="character" w:styleId="43">
    <w:name w:val="FollowedHyperlink"/>
    <w:basedOn w:val="40"/>
    <w:autoRedefine/>
    <w:qFormat/>
    <w:uiPriority w:val="0"/>
    <w:rPr>
      <w:rFonts w:ascii="Times New Roman" w:hAnsi="Times New Roman" w:eastAsia="宋体" w:cs="Times New Roman"/>
      <w:color w:val="800080"/>
      <w:u w:val="single"/>
    </w:rPr>
  </w:style>
  <w:style w:type="character" w:styleId="44">
    <w:name w:val="Hyperlink"/>
    <w:basedOn w:val="40"/>
    <w:autoRedefine/>
    <w:qFormat/>
    <w:uiPriority w:val="0"/>
    <w:rPr>
      <w:rFonts w:ascii="Times New Roman" w:hAnsi="Times New Roman" w:eastAsia="宋体" w:cs="Times New Roman"/>
      <w:color w:val="0000FF"/>
      <w:u w:val="single"/>
    </w:rPr>
  </w:style>
  <w:style w:type="character" w:styleId="45">
    <w:name w:val="annotation reference"/>
    <w:basedOn w:val="40"/>
    <w:autoRedefine/>
    <w:qFormat/>
    <w:uiPriority w:val="0"/>
    <w:rPr>
      <w:rFonts w:ascii="Times New Roman" w:hAnsi="Times New Roman" w:eastAsia="宋体" w:cs="Times New Roman"/>
      <w:sz w:val="21"/>
      <w:szCs w:val="21"/>
    </w:rPr>
  </w:style>
  <w:style w:type="paragraph" w:customStyle="1" w:styleId="46">
    <w:name w:val="正文（首行缩进2字符）"/>
    <w:basedOn w:val="1"/>
    <w:autoRedefine/>
    <w:qFormat/>
    <w:uiPriority w:val="0"/>
    <w:pPr>
      <w:spacing w:line="360" w:lineRule="auto"/>
      <w:ind w:firstLine="420" w:firstLineChars="200"/>
    </w:pPr>
    <w:rPr>
      <w:szCs w:val="21"/>
    </w:rPr>
  </w:style>
  <w:style w:type="paragraph" w:customStyle="1" w:styleId="47">
    <w:name w:val="标准正文"/>
    <w:basedOn w:val="1"/>
    <w:autoRedefine/>
    <w:qFormat/>
    <w:uiPriority w:val="0"/>
    <w:pPr>
      <w:spacing w:line="360" w:lineRule="auto"/>
      <w:ind w:firstLine="200" w:firstLineChars="200"/>
    </w:pPr>
    <w:rPr>
      <w:sz w:val="24"/>
      <w:szCs w:val="20"/>
    </w:rPr>
  </w:style>
  <w:style w:type="character" w:customStyle="1" w:styleId="48">
    <w:name w:val="正文文本缩进 Char"/>
    <w:basedOn w:val="40"/>
    <w:link w:val="20"/>
    <w:autoRedefine/>
    <w:qFormat/>
    <w:uiPriority w:val="0"/>
    <w:rPr>
      <w:rFonts w:ascii="Times New Roman" w:hAnsi="Times New Roman" w:eastAsia="宋体" w:cs="Times New Roman"/>
      <w:sz w:val="28"/>
      <w:lang w:val="en-US" w:eastAsia="zh-CN" w:bidi="ar-SA"/>
    </w:rPr>
  </w:style>
  <w:style w:type="character" w:customStyle="1" w:styleId="49">
    <w:name w:val="批注文字 Char"/>
    <w:basedOn w:val="40"/>
    <w:link w:val="18"/>
    <w:autoRedefine/>
    <w:qFormat/>
    <w:uiPriority w:val="0"/>
    <w:rPr>
      <w:rFonts w:ascii="Times New Roman" w:hAnsi="Times New Roman" w:eastAsia="宋体" w:cs="Times New Roman"/>
      <w:kern w:val="2"/>
      <w:sz w:val="21"/>
      <w:szCs w:val="24"/>
      <w:lang w:val="en-US" w:eastAsia="zh-CN" w:bidi="ar-SA"/>
    </w:rPr>
  </w:style>
  <w:style w:type="character" w:customStyle="1" w:styleId="50">
    <w:name w:val="纯文本 Char"/>
    <w:link w:val="23"/>
    <w:autoRedefine/>
    <w:qFormat/>
    <w:uiPriority w:val="0"/>
    <w:rPr>
      <w:rFonts w:ascii="宋体" w:hAnsi="Courier New" w:eastAsia="宋体" w:cs="Times New Roman"/>
      <w:kern w:val="2"/>
      <w:sz w:val="21"/>
      <w:lang w:val="en-US" w:eastAsia="zh-CN" w:bidi="ar-SA"/>
    </w:rPr>
  </w:style>
  <w:style w:type="paragraph" w:customStyle="1" w:styleId="51">
    <w:name w:val="纯文本1"/>
    <w:basedOn w:val="1"/>
    <w:autoRedefine/>
    <w:qFormat/>
    <w:uiPriority w:val="0"/>
    <w:pPr>
      <w:widowControl w:val="0"/>
      <w:jc w:val="both"/>
    </w:pPr>
    <w:rPr>
      <w:rFonts w:hint="eastAsia" w:hAnsi="Courier New"/>
      <w:kern w:val="2"/>
    </w:rPr>
  </w:style>
  <w:style w:type="paragraph" w:customStyle="1" w:styleId="52">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53">
    <w:name w:val="纯文本_3"/>
    <w:basedOn w:val="54"/>
    <w:autoRedefine/>
    <w:qFormat/>
    <w:uiPriority w:val="0"/>
    <w:pPr>
      <w:widowControl/>
      <w:jc w:val="left"/>
    </w:pPr>
    <w:rPr>
      <w:rFonts w:ascii="宋体" w:hAnsi="Courier New"/>
      <w:szCs w:val="21"/>
    </w:rPr>
  </w:style>
  <w:style w:type="paragraph" w:customStyle="1" w:styleId="54">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Char Char Char Char Char Char Char Char"/>
    <w:basedOn w:val="1"/>
    <w:autoRedefine/>
    <w:qFormat/>
    <w:uiPriority w:val="0"/>
    <w:pPr>
      <w:spacing w:line="360" w:lineRule="auto"/>
      <w:ind w:firstLine="200" w:firstLineChars="200"/>
    </w:pPr>
  </w:style>
  <w:style w:type="paragraph" w:customStyle="1" w:styleId="56">
    <w:name w:val="p0"/>
    <w:basedOn w:val="1"/>
    <w:autoRedefine/>
    <w:qFormat/>
    <w:uiPriority w:val="0"/>
    <w:pPr>
      <w:jc w:val="both"/>
    </w:pPr>
    <w:rPr>
      <w:szCs w:val="21"/>
    </w:rPr>
  </w:style>
  <w:style w:type="paragraph" w:customStyle="1" w:styleId="57">
    <w:name w:val="Char"/>
    <w:basedOn w:val="1"/>
    <w:autoRedefine/>
    <w:qFormat/>
    <w:uiPriority w:val="0"/>
    <w:pPr>
      <w:widowControl w:val="0"/>
      <w:jc w:val="both"/>
    </w:pPr>
    <w:rPr>
      <w:rFonts w:ascii="宋体" w:hAnsi="宋体"/>
      <w:b/>
      <w:kern w:val="2"/>
      <w:sz w:val="24"/>
      <w:szCs w:val="24"/>
    </w:rPr>
  </w:style>
  <w:style w:type="paragraph" w:customStyle="1" w:styleId="58">
    <w:name w:val="样式 楷体_GB2312 小四 Char Char Char Char Char Char Char Char Char Char Char Char"/>
    <w:basedOn w:val="1"/>
    <w:next w:val="1"/>
    <w:autoRedefine/>
    <w:qFormat/>
    <w:uiPriority w:val="0"/>
    <w:pPr>
      <w:widowControl w:val="0"/>
      <w:spacing w:line="360" w:lineRule="auto"/>
      <w:jc w:val="both"/>
    </w:pPr>
    <w:rPr>
      <w:rFonts w:ascii="楷体_GB2312" w:eastAsia="楷体_GB2312"/>
      <w:kern w:val="2"/>
      <w:sz w:val="24"/>
    </w:rPr>
  </w:style>
  <w:style w:type="paragraph" w:customStyle="1" w:styleId="59">
    <w:name w:val="默认段落字体 Para Char Char Char Char Char Char Char Char Char1 Char Char Char Char"/>
    <w:basedOn w:val="1"/>
    <w:autoRedefine/>
    <w:qFormat/>
    <w:uiPriority w:val="0"/>
    <w:pPr>
      <w:widowControl w:val="0"/>
      <w:jc w:val="both"/>
    </w:pPr>
    <w:rPr>
      <w:rFonts w:ascii="Tahoma" w:hAnsi="Tahoma"/>
      <w:kern w:val="2"/>
      <w:sz w:val="24"/>
    </w:rPr>
  </w:style>
  <w:style w:type="paragraph" w:customStyle="1" w:styleId="6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autoRedefine/>
    <w:qFormat/>
    <w:uiPriority w:val="0"/>
    <w:rPr>
      <w:rFonts w:ascii="宋体" w:hAnsi="Courier New"/>
      <w:kern w:val="2"/>
      <w:szCs w:val="21"/>
    </w:rPr>
  </w:style>
  <w:style w:type="paragraph" w:customStyle="1" w:styleId="62">
    <w:name w:val="Char Char Char Char Char Char Char"/>
    <w:basedOn w:val="1"/>
    <w:autoRedefine/>
    <w:qFormat/>
    <w:uiPriority w:val="0"/>
    <w:pPr>
      <w:widowControl w:val="0"/>
      <w:jc w:val="both"/>
    </w:pPr>
    <w:rPr>
      <w:kern w:val="2"/>
    </w:rPr>
  </w:style>
  <w:style w:type="paragraph" w:customStyle="1" w:styleId="63">
    <w:name w:val="列出段落1"/>
    <w:basedOn w:val="1"/>
    <w:autoRedefine/>
    <w:qFormat/>
    <w:uiPriority w:val="0"/>
    <w:pPr>
      <w:widowControl w:val="0"/>
      <w:ind w:firstLine="420" w:firstLineChars="200"/>
      <w:jc w:val="both"/>
    </w:pPr>
    <w:rPr>
      <w:rFonts w:ascii="Calibri" w:hAnsi="Calibri"/>
      <w:kern w:val="2"/>
      <w:szCs w:val="22"/>
    </w:rPr>
  </w:style>
  <w:style w:type="paragraph" w:customStyle="1" w:styleId="64">
    <w:name w:val="Char Char2 Char Char Char Char Char Char Char Char Char Char"/>
    <w:basedOn w:val="1"/>
    <w:autoRedefine/>
    <w:qFormat/>
    <w:uiPriority w:val="0"/>
    <w:pPr>
      <w:widowControl w:val="0"/>
      <w:jc w:val="both"/>
    </w:pPr>
    <w:rPr>
      <w:kern w:val="2"/>
      <w:sz w:val="24"/>
      <w:szCs w:val="24"/>
    </w:rPr>
  </w:style>
  <w:style w:type="paragraph" w:customStyle="1" w:styleId="6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Blockquote"/>
    <w:basedOn w:val="1"/>
    <w:autoRedefine/>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69">
    <w:name w:val="列出段落11"/>
    <w:basedOn w:val="1"/>
    <w:autoRedefine/>
    <w:qFormat/>
    <w:uiPriority w:val="0"/>
    <w:pPr>
      <w:widowControl w:val="0"/>
      <w:ind w:firstLine="420" w:firstLineChars="200"/>
      <w:jc w:val="both"/>
    </w:pPr>
    <w:rPr>
      <w:rFonts w:ascii="Calibri" w:hAnsi="Calibri"/>
    </w:rPr>
  </w:style>
  <w:style w:type="paragraph" w:customStyle="1" w:styleId="70">
    <w:name w:val="正文_14"/>
    <w:autoRedefine/>
    <w:qFormat/>
    <w:uiPriority w:val="0"/>
    <w:rPr>
      <w:rFonts w:ascii="Times New Roman" w:hAnsi="Times New Roman" w:eastAsia="宋体" w:cs="Times New Roman"/>
      <w:sz w:val="21"/>
      <w:szCs w:val="22"/>
      <w:lang w:val="en-US" w:eastAsia="zh-CN" w:bidi="ar-SA"/>
    </w:rPr>
  </w:style>
  <w:style w:type="paragraph" w:customStyle="1" w:styleId="7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zw"/>
    <w:basedOn w:val="1"/>
    <w:autoRedefine/>
    <w:qFormat/>
    <w:uiPriority w:val="0"/>
    <w:pPr>
      <w:spacing w:before="30"/>
      <w:ind w:left="100" w:right="100"/>
      <w:jc w:val="both"/>
    </w:pPr>
    <w:rPr>
      <w:rFonts w:ascii="方正书宋简体" w:hAnsi="宋体" w:eastAsia="方正书宋简体"/>
      <w:color w:val="000000"/>
      <w:szCs w:val="21"/>
    </w:rPr>
  </w:style>
  <w:style w:type="paragraph" w:customStyle="1" w:styleId="73">
    <w:name w:val="_Style 3"/>
    <w:basedOn w:val="1"/>
    <w:next w:val="1"/>
    <w:autoRedefine/>
    <w:qFormat/>
    <w:uiPriority w:val="0"/>
    <w:pPr>
      <w:pBdr>
        <w:top w:val="single" w:color="auto" w:sz="6" w:space="1"/>
      </w:pBdr>
      <w:jc w:val="center"/>
    </w:pPr>
    <w:rPr>
      <w:rFonts w:ascii="Arial"/>
      <w:vanish/>
      <w:sz w:val="16"/>
    </w:rPr>
  </w:style>
  <w:style w:type="paragraph" w:customStyle="1" w:styleId="7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表内文字"/>
    <w:basedOn w:val="1"/>
    <w:autoRedefine/>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7">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Char11"/>
    <w:basedOn w:val="1"/>
    <w:autoRedefine/>
    <w:qFormat/>
    <w:uiPriority w:val="0"/>
    <w:pPr>
      <w:widowControl w:val="0"/>
      <w:jc w:val="both"/>
    </w:pPr>
    <w:rPr>
      <w:rFonts w:ascii="仿宋_GB2312" w:eastAsia="仿宋_GB2312"/>
      <w:b/>
      <w:kern w:val="2"/>
      <w:sz w:val="32"/>
      <w:szCs w:val="32"/>
    </w:rPr>
  </w:style>
  <w:style w:type="paragraph" w:customStyle="1" w:styleId="79">
    <w:name w:val="标题6"/>
    <w:basedOn w:val="1"/>
    <w:next w:val="5"/>
    <w:autoRedefine/>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0">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1">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11"/>
    <w:basedOn w:val="1"/>
    <w:autoRedefine/>
    <w:qFormat/>
    <w:uiPriority w:val="0"/>
    <w:pPr>
      <w:spacing w:beforeAutospacing="1" w:afterAutospacing="1"/>
    </w:pPr>
    <w:rPr>
      <w:rFonts w:ascii="宋体" w:hAnsi="宋体"/>
      <w:sz w:val="24"/>
    </w:rPr>
  </w:style>
  <w:style w:type="paragraph" w:customStyle="1" w:styleId="8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autoRedefine/>
    <w:qFormat/>
    <w:uiPriority w:val="0"/>
    <w:pPr>
      <w:widowControl w:val="0"/>
      <w:jc w:val="both"/>
    </w:pPr>
    <w:rPr>
      <w:kern w:val="2"/>
      <w:sz w:val="24"/>
      <w:szCs w:val="24"/>
    </w:rPr>
  </w:style>
  <w:style w:type="character" w:customStyle="1" w:styleId="85">
    <w:name w:val="tpc_content1"/>
    <w:basedOn w:val="40"/>
    <w:autoRedefine/>
    <w:qFormat/>
    <w:uiPriority w:val="0"/>
    <w:rPr>
      <w:rFonts w:ascii="Times New Roman" w:hAnsi="Times New Roman" w:eastAsia="宋体" w:cs="Times New Roman"/>
      <w:sz w:val="20"/>
    </w:rPr>
  </w:style>
  <w:style w:type="character" w:customStyle="1" w:styleId="86">
    <w:name w:val="正文对齐 Char"/>
    <w:basedOn w:val="40"/>
    <w:autoRedefine/>
    <w:qFormat/>
    <w:uiPriority w:val="0"/>
    <w:rPr>
      <w:rFonts w:ascii="Times New Roman" w:hAnsi="Times New Roman" w:eastAsia="宋体" w:cs="Times New Roman"/>
      <w:kern w:val="2"/>
      <w:sz w:val="21"/>
      <w:lang w:val="en-US" w:eastAsia="zh-CN"/>
    </w:rPr>
  </w:style>
  <w:style w:type="character" w:customStyle="1" w:styleId="87">
    <w:name w:val="wj1"/>
    <w:basedOn w:val="40"/>
    <w:autoRedefine/>
    <w:qFormat/>
    <w:uiPriority w:val="0"/>
    <w:rPr>
      <w:rFonts w:ascii="Times New Roman" w:hAnsi="Times New Roman" w:eastAsia="宋体" w:cs="Times New Roman"/>
      <w:color w:val="000000"/>
      <w:sz w:val="18"/>
      <w:u w:val="none"/>
    </w:rPr>
  </w:style>
  <w:style w:type="character" w:customStyle="1" w:styleId="88">
    <w:name w:val="style6"/>
    <w:basedOn w:val="40"/>
    <w:autoRedefine/>
    <w:qFormat/>
    <w:uiPriority w:val="0"/>
    <w:rPr>
      <w:rFonts w:ascii="Times New Roman" w:hAnsi="Times New Roman" w:eastAsia="宋体" w:cs="Times New Roman"/>
      <w:sz w:val="18"/>
    </w:rPr>
  </w:style>
  <w:style w:type="character" w:customStyle="1" w:styleId="89">
    <w:name w:val="htd0"/>
    <w:basedOn w:val="40"/>
    <w:autoRedefine/>
    <w:qFormat/>
    <w:uiPriority w:val="0"/>
    <w:rPr>
      <w:rFonts w:ascii="Times New Roman" w:hAnsi="Times New Roman" w:eastAsia="宋体" w:cs="Times New Roman"/>
    </w:rPr>
  </w:style>
  <w:style w:type="character" w:customStyle="1" w:styleId="90">
    <w:name w:val="Char Char1"/>
    <w:basedOn w:val="40"/>
    <w:autoRedefine/>
    <w:qFormat/>
    <w:uiPriority w:val="0"/>
    <w:rPr>
      <w:rFonts w:ascii="宋体" w:hAnsi="Courier New" w:eastAsia="宋体" w:cs="Times New Roman"/>
      <w:kern w:val="2"/>
      <w:sz w:val="21"/>
      <w:lang w:val="en-US" w:eastAsia="zh-CN" w:bidi="ar-SA"/>
    </w:rPr>
  </w:style>
  <w:style w:type="character" w:customStyle="1" w:styleId="91">
    <w:name w:val="普通文字 Char Char1"/>
    <w:basedOn w:val="40"/>
    <w:autoRedefine/>
    <w:qFormat/>
    <w:uiPriority w:val="0"/>
    <w:rPr>
      <w:rFonts w:ascii="宋体" w:hAnsi="Courier New" w:eastAsia="宋体" w:cs="Times New Roman"/>
      <w:kern w:val="2"/>
      <w:sz w:val="21"/>
      <w:lang w:val="en-US" w:eastAsia="zh-CN"/>
    </w:rPr>
  </w:style>
  <w:style w:type="character" w:customStyle="1" w:styleId="92">
    <w:name w:val="样式 标题 3 + 加粗 Char"/>
    <w:basedOn w:val="40"/>
    <w:autoRedefine/>
    <w:qFormat/>
    <w:uiPriority w:val="0"/>
    <w:rPr>
      <w:rFonts w:ascii="Arial" w:hAnsi="Arial" w:eastAsia="黑体" w:cs="Times New Roman"/>
      <w:b/>
      <w:spacing w:val="14"/>
      <w:kern w:val="24"/>
      <w:sz w:val="24"/>
      <w:lang w:val="en-US" w:eastAsia="zh-CN"/>
    </w:rPr>
  </w:style>
  <w:style w:type="paragraph" w:customStyle="1" w:styleId="93">
    <w:name w:val="BodyText1I2"/>
    <w:basedOn w:val="94"/>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4">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5">
    <w:name w:val="List Paragraph"/>
    <w:basedOn w:val="1"/>
    <w:autoRedefine/>
    <w:qFormat/>
    <w:uiPriority w:val="0"/>
    <w:pPr>
      <w:ind w:firstLine="420" w:firstLineChars="200"/>
    </w:pPr>
    <w:rPr>
      <w:rFonts w:ascii="Calibri" w:hAnsi="Calibri" w:eastAsia="宋体" w:cs="Times New Roman"/>
    </w:rPr>
  </w:style>
  <w:style w:type="paragraph" w:customStyle="1" w:styleId="96">
    <w:name w:val="[Normal]"/>
    <w:autoRedefine/>
    <w:qFormat/>
    <w:uiPriority w:val="0"/>
    <w:rPr>
      <w:rFonts w:ascii="宋体" w:hAnsi="宋体" w:eastAsia="宋体" w:cs="Times New Roman"/>
      <w:sz w:val="24"/>
      <w:szCs w:val="22"/>
      <w:lang w:val="zh-CN" w:eastAsia="zh-CN" w:bidi="ar-SA"/>
    </w:rPr>
  </w:style>
  <w:style w:type="paragraph" w:customStyle="1" w:styleId="97">
    <w:name w:val="Table Paragraph"/>
    <w:basedOn w:val="1"/>
    <w:autoRedefine/>
    <w:qFormat/>
    <w:uiPriority w:val="1"/>
    <w:rPr>
      <w:rFonts w:ascii="宋体" w:hAnsi="宋体" w:cs="宋体"/>
      <w:lang w:val="zh-CN" w:bidi="zh-CN"/>
    </w:rPr>
  </w:style>
  <w:style w:type="character" w:customStyle="1" w:styleId="98">
    <w:name w:val="NormalCharacter"/>
    <w:autoRedefine/>
    <w:qFormat/>
    <w:uiPriority w:val="0"/>
    <w:rPr>
      <w:kern w:val="2"/>
      <w:sz w:val="21"/>
      <w:szCs w:val="24"/>
      <w:lang w:val="en-US" w:eastAsia="zh-CN" w:bidi="ar-SA"/>
    </w:rPr>
  </w:style>
  <w:style w:type="paragraph" w:customStyle="1" w:styleId="99">
    <w:name w:val="列出段落"/>
    <w:basedOn w:val="1"/>
    <w:autoRedefine/>
    <w:qFormat/>
    <w:uiPriority w:val="0"/>
    <w:pPr>
      <w:ind w:firstLine="420" w:firstLineChars="200"/>
    </w:pPr>
    <w:rPr>
      <w:rFonts w:ascii="Calibri" w:hAnsi="Calibri"/>
      <w:szCs w:val="22"/>
    </w:rPr>
  </w:style>
  <w:style w:type="paragraph" w:customStyle="1" w:styleId="100">
    <w:name w:val="正文2"/>
    <w:basedOn w:val="1"/>
    <w:autoRedefine/>
    <w:qFormat/>
    <w:uiPriority w:val="0"/>
    <w:pPr>
      <w:spacing w:before="156" w:line="360" w:lineRule="auto"/>
      <w:ind w:firstLine="510" w:firstLineChars="200"/>
    </w:pPr>
    <w:rPr>
      <w:sz w:val="24"/>
      <w:szCs w:val="20"/>
    </w:rPr>
  </w:style>
  <w:style w:type="paragraph" w:customStyle="1" w:styleId="101">
    <w:name w:val="样式 标题 1 + 四号 加粗"/>
    <w:basedOn w:val="5"/>
    <w:autoRedefine/>
    <w:qFormat/>
    <w:uiPriority w:val="0"/>
    <w:rPr>
      <w:rFonts w:eastAsia="黑体"/>
      <w:lang w:eastAsia="en-US"/>
    </w:rPr>
  </w:style>
  <w:style w:type="paragraph" w:customStyle="1" w:styleId="102">
    <w:name w:val="_Style 1"/>
    <w:basedOn w:val="1"/>
    <w:autoRedefine/>
    <w:qFormat/>
    <w:uiPriority w:val="99"/>
    <w:pPr>
      <w:ind w:firstLine="420" w:firstLineChars="200"/>
    </w:pPr>
  </w:style>
  <w:style w:type="paragraph" w:customStyle="1" w:styleId="103">
    <w:name w:val="表格文字"/>
    <w:basedOn w:val="1"/>
    <w:next w:val="2"/>
    <w:qFormat/>
    <w:uiPriority w:val="0"/>
    <w:pPr>
      <w:adjustRightInd w:val="0"/>
      <w:spacing w:line="200" w:lineRule="atLeast"/>
      <w:ind w:firstLine="0" w:firstLineChars="0"/>
      <w:jc w:val="center"/>
      <w:textAlignment w:val="baseline"/>
    </w:pPr>
    <w:rPr>
      <w:rFonts w:ascii="Times New Roman" w:hAnsi="Times New Roman"/>
      <w:kern w:val="0"/>
      <w:sz w:val="21"/>
      <w:szCs w:val="24"/>
    </w:rPr>
  </w:style>
  <w:style w:type="paragraph" w:customStyle="1" w:styleId="104">
    <w:name w:val="Normal_0_2"/>
    <w:qFormat/>
    <w:uiPriority w:val="0"/>
    <w:rPr>
      <w:rFonts w:ascii="Times New Roman" w:hAnsi="Times New Roman" w:eastAsia="宋体" w:cs="Times New Roman"/>
      <w:sz w:val="24"/>
      <w:szCs w:val="24"/>
      <w:lang w:val="en-US" w:eastAsia="zh-CN" w:bidi="ar-SA"/>
    </w:rPr>
  </w:style>
  <w:style w:type="paragraph" w:customStyle="1" w:styleId="105">
    <w:name w:val="Normal_0_1"/>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环境监测站 </Company>
  <Pages>57</Pages>
  <Words>17381</Words>
  <Characters>18228</Characters>
  <Lines>308</Lines>
  <Paragraphs>86</Paragraphs>
  <TotalTime>26</TotalTime>
  <ScaleCrop>false</ScaleCrop>
  <LinksUpToDate>false</LinksUpToDate>
  <CharactersWithSpaces>18489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2020-11-10T14:34:00Z</dcterms:created>
  <dc:creator>xx</dc:creator>
  <cp:lastModifiedBy>王</cp:lastModifiedBy>
  <cp:lastPrinted>2021-04-25T19:40:00Z</cp:lastPrinted>
  <dcterms:modified xsi:type="dcterms:W3CDTF">2025-07-17T01:59:04Z</dcterms:modified>
  <dc:title>路桥区政府采购文件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9F39CD35BBC344A18F1D1F9AB4D1D419_13</vt:lpwstr>
  </property>
  <property fmtid="{D5CDD505-2E9C-101B-9397-08002B2CF9AE}" pid="4" name="KSOTemplateDocerSaveRecord">
    <vt:lpwstr>eyJoZGlkIjoiNDAzN2QwYzAwNThmODhjZjk3YzJkNWM0MjIwZTJjMWMiLCJ1c2VySWQiOiIxMDI0Nzk0NTI1In0=</vt:lpwstr>
  </property>
</Properties>
</file>