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center"/>
        <w:rPr>
          <w:rFonts w:ascii="华文新魏" w:hAnsi="华文仿宋" w:eastAsia="华文新魏"/>
          <w:b/>
          <w:bCs/>
          <w:color w:val="auto"/>
          <w:sz w:val="72"/>
          <w:highlight w:val="none"/>
        </w:rPr>
      </w:pPr>
      <w:r>
        <w:rPr>
          <w:rFonts w:hint="eastAsia" w:ascii="华文新魏" w:hAnsi="华文仿宋" w:eastAsia="华文新魏"/>
          <w:b/>
          <w:bCs/>
          <w:color w:val="auto"/>
          <w:sz w:val="72"/>
          <w:highlight w:val="none"/>
        </w:rPr>
        <w:t>临海市政府采购</w:t>
      </w:r>
    </w:p>
    <w:p>
      <w:pPr>
        <w:adjustRightInd w:val="0"/>
        <w:snapToGrid w:val="0"/>
        <w:spacing w:line="1200" w:lineRule="exact"/>
        <w:jc w:val="center"/>
        <w:rPr>
          <w:rFonts w:hint="eastAsia" w:ascii="华文新魏" w:hAnsi="华文仿宋" w:eastAsia="华文新魏"/>
          <w:b/>
          <w:bCs/>
          <w:color w:val="auto"/>
          <w:sz w:val="84"/>
          <w:szCs w:val="84"/>
          <w:highlight w:val="none"/>
        </w:rPr>
      </w:pPr>
    </w:p>
    <w:p>
      <w:pPr>
        <w:adjustRightInd w:val="0"/>
        <w:snapToGrid w:val="0"/>
        <w:spacing w:line="1200" w:lineRule="exact"/>
        <w:jc w:val="center"/>
        <w:rPr>
          <w:rFonts w:ascii="华文新魏" w:hAnsi="华文仿宋" w:eastAsia="华文新魏"/>
          <w:b/>
          <w:bCs/>
          <w:color w:val="auto"/>
          <w:sz w:val="84"/>
          <w:szCs w:val="84"/>
          <w:highlight w:val="none"/>
        </w:rPr>
      </w:pPr>
      <w:r>
        <w:rPr>
          <w:rFonts w:hint="eastAsia" w:ascii="华文新魏" w:hAnsi="华文仿宋" w:eastAsia="华文新魏"/>
          <w:b/>
          <w:bCs/>
          <w:color w:val="auto"/>
          <w:sz w:val="84"/>
          <w:szCs w:val="84"/>
          <w:highlight w:val="none"/>
        </w:rPr>
        <w:t>竞争性磋商文件</w:t>
      </w:r>
    </w:p>
    <w:p>
      <w:pPr>
        <w:adjustRightInd w:val="0"/>
        <w:snapToGrid w:val="0"/>
        <w:jc w:val="center"/>
        <w:rPr>
          <w:rFonts w:ascii="宋体" w:hAnsi="宋体" w:cs="Arial"/>
          <w:bCs/>
          <w:color w:val="auto"/>
          <w:sz w:val="36"/>
          <w:szCs w:val="36"/>
          <w:highlight w:val="none"/>
          <w:u w:val="single"/>
          <w:shd w:val="pct10" w:color="auto" w:fill="FFFFFF"/>
        </w:rPr>
      </w:pPr>
    </w:p>
    <w:p>
      <w:pPr>
        <w:adjustRightInd w:val="0"/>
        <w:snapToGrid w:val="0"/>
        <w:spacing w:line="360" w:lineRule="auto"/>
        <w:ind w:left="1955" w:hanging="1955" w:hangingChars="541"/>
        <w:jc w:val="center"/>
        <w:rPr>
          <w:rFonts w:ascii="宋体" w:hAnsi="宋体"/>
          <w:b/>
          <w:bCs/>
          <w:color w:val="auto"/>
          <w:sz w:val="36"/>
          <w:szCs w:val="36"/>
          <w:highlight w:val="none"/>
        </w:rPr>
      </w:pPr>
      <w:r>
        <w:rPr>
          <w:rFonts w:hint="eastAsia" w:ascii="宋体" w:hAnsi="宋体"/>
          <w:b/>
          <w:bCs/>
          <w:color w:val="auto"/>
          <w:sz w:val="36"/>
          <w:szCs w:val="36"/>
          <w:highlight w:val="none"/>
        </w:rPr>
        <w:t>（电子投标、不见面开标方式）</w:t>
      </w:r>
    </w:p>
    <w:p>
      <w:pPr>
        <w:adjustRightInd w:val="0"/>
        <w:snapToGrid w:val="0"/>
        <w:rPr>
          <w:rFonts w:ascii="黑体" w:hAnsi="黑体" w:eastAsia="黑体"/>
          <w:b/>
          <w:bCs/>
          <w:color w:val="auto"/>
          <w:sz w:val="28"/>
          <w:szCs w:val="28"/>
          <w:highlight w:val="none"/>
        </w:rPr>
      </w:pPr>
    </w:p>
    <w:p>
      <w:pPr>
        <w:adjustRightInd w:val="0"/>
        <w:snapToGrid w:val="0"/>
        <w:spacing w:line="360" w:lineRule="auto"/>
        <w:ind w:left="1521" w:hanging="1521" w:hangingChars="541"/>
        <w:jc w:val="center"/>
        <w:rPr>
          <w:rFonts w:ascii="宋体" w:hAnsi="宋体"/>
          <w:b/>
          <w:bCs/>
          <w:color w:val="auto"/>
          <w:sz w:val="28"/>
          <w:szCs w:val="28"/>
          <w:highlight w:val="none"/>
        </w:rPr>
      </w:pPr>
      <w:r>
        <w:rPr>
          <w:rFonts w:hint="eastAsia" w:ascii="宋体" w:hAnsi="宋体"/>
          <w:b/>
          <w:bCs/>
          <w:color w:val="auto"/>
          <w:sz w:val="28"/>
          <w:szCs w:val="28"/>
          <w:highlight w:val="none"/>
        </w:rPr>
        <w:t>项目名称：</w:t>
      </w:r>
      <w:r>
        <w:rPr>
          <w:rFonts w:hint="eastAsia" w:ascii="宋体" w:hAnsi="宋体"/>
          <w:b/>
          <w:bCs/>
          <w:color w:val="auto"/>
          <w:sz w:val="28"/>
          <w:szCs w:val="28"/>
          <w:highlight w:val="none"/>
          <w:u w:val="single"/>
          <w:lang w:eastAsia="zh-CN"/>
        </w:rPr>
        <w:t>临海市东矶岛渔业综合管理项目</w:t>
      </w:r>
    </w:p>
    <w:p>
      <w:pPr>
        <w:adjustRightInd w:val="0"/>
        <w:snapToGrid w:val="0"/>
        <w:spacing w:line="360" w:lineRule="auto"/>
        <w:ind w:left="1521" w:hanging="1521" w:hangingChars="541"/>
        <w:jc w:val="center"/>
        <w:rPr>
          <w:rFonts w:hint="eastAsia" w:ascii="宋体" w:hAnsi="宋体"/>
          <w:b/>
          <w:bCs/>
          <w:color w:val="auto"/>
          <w:sz w:val="28"/>
          <w:szCs w:val="28"/>
          <w:highlight w:val="none"/>
        </w:rPr>
      </w:pPr>
    </w:p>
    <w:p>
      <w:pPr>
        <w:adjustRightInd w:val="0"/>
        <w:snapToGrid w:val="0"/>
        <w:spacing w:line="360" w:lineRule="auto"/>
        <w:ind w:left="1521" w:hanging="1521" w:hangingChars="541"/>
        <w:jc w:val="center"/>
        <w:rPr>
          <w:rFonts w:hint="eastAsia" w:ascii="宋体" w:hAnsi="宋体" w:eastAsia="宋体" w:cs="Arial"/>
          <w:bCs/>
          <w:color w:val="auto"/>
          <w:sz w:val="28"/>
          <w:szCs w:val="28"/>
          <w:highlight w:val="none"/>
          <w:lang w:eastAsia="zh-CN"/>
        </w:rPr>
      </w:pPr>
      <w:r>
        <w:rPr>
          <w:rFonts w:hint="eastAsia" w:ascii="宋体" w:hAnsi="宋体"/>
          <w:b/>
          <w:bCs/>
          <w:color w:val="auto"/>
          <w:sz w:val="28"/>
          <w:szCs w:val="28"/>
          <w:highlight w:val="none"/>
        </w:rPr>
        <w:t>项目编号：TZZY-LHCG240</w:t>
      </w:r>
      <w:r>
        <w:rPr>
          <w:rFonts w:hint="eastAsia" w:ascii="宋体" w:hAnsi="宋体"/>
          <w:b/>
          <w:bCs/>
          <w:color w:val="auto"/>
          <w:sz w:val="28"/>
          <w:szCs w:val="28"/>
          <w:highlight w:val="none"/>
          <w:lang w:val="en-US" w:eastAsia="zh-CN"/>
        </w:rPr>
        <w:t>2</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adjustRightInd w:val="0"/>
        <w:snapToGrid w:val="0"/>
        <w:spacing w:line="360" w:lineRule="auto"/>
        <w:rPr>
          <w:rFonts w:ascii="宋体" w:hAnsi="宋体"/>
          <w:b/>
          <w:bCs/>
          <w:color w:val="auto"/>
          <w:sz w:val="28"/>
          <w:szCs w:val="28"/>
          <w:highlight w:val="none"/>
        </w:rPr>
      </w:pPr>
    </w:p>
    <w:p>
      <w:pPr>
        <w:adjustRightInd w:val="0"/>
        <w:snapToGrid w:val="0"/>
        <w:spacing w:line="360" w:lineRule="auto"/>
        <w:jc w:val="center"/>
        <w:rPr>
          <w:rFonts w:ascii="宋体" w:hAnsi="宋体"/>
          <w:b/>
          <w:bCs/>
          <w:color w:val="auto"/>
          <w:sz w:val="28"/>
          <w:szCs w:val="28"/>
          <w:highlight w:val="none"/>
        </w:rPr>
      </w:pPr>
      <w:r>
        <w:rPr>
          <w:rFonts w:hint="eastAsia" w:ascii="宋体" w:hAnsi="宋体"/>
          <w:b/>
          <w:bCs/>
          <w:color w:val="auto"/>
          <w:sz w:val="28"/>
          <w:szCs w:val="28"/>
          <w:highlight w:val="none"/>
        </w:rPr>
        <w:t>采购单位：</w:t>
      </w:r>
      <w:r>
        <w:rPr>
          <w:rFonts w:hint="eastAsia" w:ascii="宋体" w:hAnsi="宋体"/>
          <w:b/>
          <w:bCs/>
          <w:color w:val="auto"/>
          <w:sz w:val="28"/>
          <w:szCs w:val="28"/>
          <w:highlight w:val="none"/>
          <w:lang w:eastAsia="zh-CN"/>
        </w:rPr>
        <w:t>临海市港航口岸和渔业管理局</w:t>
      </w:r>
    </w:p>
    <w:p>
      <w:pPr>
        <w:adjustRightInd w:val="0"/>
        <w:snapToGrid w:val="0"/>
        <w:spacing w:line="360" w:lineRule="auto"/>
        <w:jc w:val="center"/>
        <w:rPr>
          <w:rFonts w:hint="eastAsia" w:ascii="宋体" w:hAnsi="宋体" w:eastAsia="宋体"/>
          <w:b/>
          <w:bCs/>
          <w:color w:val="auto"/>
          <w:sz w:val="28"/>
          <w:szCs w:val="28"/>
          <w:highlight w:val="none"/>
          <w:lang w:eastAsia="zh-CN"/>
        </w:rPr>
      </w:pPr>
      <w:r>
        <w:rPr>
          <w:rFonts w:hint="eastAsia" w:ascii="宋体" w:hAnsi="宋体"/>
          <w:b/>
          <w:bCs/>
          <w:color w:val="auto"/>
          <w:sz w:val="28"/>
          <w:szCs w:val="28"/>
          <w:highlight w:val="none"/>
        </w:rPr>
        <w:t>代理机构：</w:t>
      </w:r>
      <w:r>
        <w:rPr>
          <w:rFonts w:hint="eastAsia" w:ascii="宋体" w:hAnsi="宋体"/>
          <w:b/>
          <w:bCs/>
          <w:color w:val="auto"/>
          <w:sz w:val="28"/>
          <w:szCs w:val="28"/>
          <w:highlight w:val="none"/>
          <w:lang w:eastAsia="zh-CN"/>
        </w:rPr>
        <w:t>台州中亿工程管理有限公司</w:t>
      </w:r>
    </w:p>
    <w:p>
      <w:pPr>
        <w:spacing w:line="500" w:lineRule="atLeast"/>
        <w:jc w:val="center"/>
        <w:rPr>
          <w:rFonts w:ascii="宋体" w:hAnsi="宋体"/>
          <w:b/>
          <w:bCs/>
          <w:color w:val="auto"/>
          <w:sz w:val="30"/>
          <w:highlight w:val="none"/>
        </w:rPr>
      </w:pPr>
    </w:p>
    <w:p>
      <w:pPr>
        <w:spacing w:line="500" w:lineRule="atLeast"/>
        <w:jc w:val="center"/>
        <w:rPr>
          <w:rFonts w:ascii="宋体" w:hAnsi="宋体"/>
          <w:b/>
          <w:bCs/>
          <w:color w:val="auto"/>
          <w:sz w:val="30"/>
          <w:highlight w:val="none"/>
        </w:rPr>
      </w:pPr>
    </w:p>
    <w:p>
      <w:pPr>
        <w:spacing w:line="500" w:lineRule="atLeast"/>
        <w:jc w:val="center"/>
        <w:rPr>
          <w:rFonts w:ascii="宋体" w:hAnsi="宋体"/>
          <w:b/>
          <w:bCs/>
          <w:color w:val="auto"/>
          <w:sz w:val="30"/>
          <w:highlight w:val="none"/>
        </w:rPr>
      </w:pPr>
    </w:p>
    <w:p>
      <w:pPr>
        <w:spacing w:line="500" w:lineRule="atLeast"/>
        <w:jc w:val="center"/>
        <w:rPr>
          <w:rFonts w:ascii="宋体" w:hAnsi="宋体"/>
          <w:b/>
          <w:bCs/>
          <w:color w:val="auto"/>
          <w:sz w:val="30"/>
          <w:highlight w:val="none"/>
        </w:rPr>
      </w:pPr>
    </w:p>
    <w:p>
      <w:pPr>
        <w:spacing w:line="500" w:lineRule="atLeast"/>
        <w:jc w:val="center"/>
        <w:rPr>
          <w:rFonts w:ascii="宋体" w:hAnsi="宋体"/>
          <w:b/>
          <w:bCs/>
          <w:color w:val="auto"/>
          <w:sz w:val="30"/>
          <w:highlight w:val="none"/>
        </w:rPr>
      </w:pPr>
    </w:p>
    <w:p>
      <w:pPr>
        <w:spacing w:line="500" w:lineRule="atLeast"/>
        <w:ind w:firstLine="3204" w:firstLineChars="1140"/>
        <w:rPr>
          <w:rFonts w:ascii="创艺简标宋" w:hAnsi="宋体" w:eastAsia="创艺简标宋"/>
          <w:color w:val="auto"/>
          <w:sz w:val="44"/>
          <w:szCs w:val="44"/>
          <w:highlight w:val="none"/>
        </w:rPr>
      </w:pPr>
      <w:r>
        <w:rPr>
          <w:rFonts w:hint="eastAsia" w:ascii="宋体" w:hAnsi="宋体"/>
          <w:b/>
          <w:bCs/>
          <w:color w:val="auto"/>
          <w:sz w:val="28"/>
          <w:szCs w:val="28"/>
          <w:highlight w:val="none"/>
          <w:lang w:eastAsia="zh-CN"/>
        </w:rPr>
        <w:t>二0二四年</w:t>
      </w:r>
      <w:r>
        <w:rPr>
          <w:rFonts w:hint="eastAsia" w:ascii="宋体" w:hAnsi="宋体"/>
          <w:b/>
          <w:bCs/>
          <w:color w:val="auto"/>
          <w:sz w:val="28"/>
          <w:szCs w:val="28"/>
          <w:highlight w:val="none"/>
          <w:lang w:val="en-US" w:eastAsia="zh-CN"/>
        </w:rPr>
        <w:t>四</w:t>
      </w:r>
      <w:r>
        <w:rPr>
          <w:rFonts w:hint="eastAsia" w:ascii="宋体" w:hAnsi="宋体"/>
          <w:b/>
          <w:bCs/>
          <w:color w:val="auto"/>
          <w:sz w:val="28"/>
          <w:szCs w:val="28"/>
          <w:highlight w:val="none"/>
          <w:lang w:eastAsia="zh-CN"/>
        </w:rPr>
        <w:t>月</w:t>
      </w:r>
      <w:r>
        <w:rPr>
          <w:rFonts w:hint="eastAsia" w:ascii="宋体" w:hAnsi="宋体"/>
          <w:b/>
          <w:bCs/>
          <w:color w:val="auto"/>
          <w:sz w:val="28"/>
          <w:szCs w:val="28"/>
          <w:highlight w:val="none"/>
        </w:rPr>
        <w:t xml:space="preserve"> </w:t>
      </w:r>
    </w:p>
    <w:p>
      <w:pPr>
        <w:pStyle w:val="29"/>
        <w:spacing w:beforeLines="0" w:afterLines="0" w:line="360" w:lineRule="auto"/>
        <w:jc w:val="center"/>
        <w:rPr>
          <w:rFonts w:hint="eastAsia" w:ascii="创艺简标宋" w:hAnsi="宋体" w:eastAsia="创艺简标宋"/>
          <w:color w:val="auto"/>
          <w:sz w:val="44"/>
          <w:szCs w:val="44"/>
          <w:highlight w:val="none"/>
        </w:rPr>
        <w:sectPr>
          <w:headerReference r:id="rId3" w:type="default"/>
          <w:footerReference r:id="rId4" w:type="default"/>
          <w:footerReference r:id="rId5" w:type="even"/>
          <w:pgSz w:w="11906" w:h="16838"/>
          <w:pgMar w:top="1021" w:right="1588" w:bottom="851" w:left="1588" w:header="567" w:footer="454" w:gutter="0"/>
          <w:pgNumType w:fmt="decimal"/>
          <w:cols w:space="720" w:num="1"/>
          <w:docGrid w:linePitch="286" w:charSpace="0"/>
        </w:sectPr>
      </w:pPr>
    </w:p>
    <w:p>
      <w:pPr>
        <w:pStyle w:val="29"/>
        <w:spacing w:beforeLines="0" w:afterLines="0" w:line="360" w:lineRule="auto"/>
        <w:jc w:val="center"/>
        <w:rPr>
          <w:rFonts w:ascii="创艺简标宋" w:hAnsi="宋体" w:eastAsia="创艺简标宋"/>
          <w:color w:val="auto"/>
          <w:sz w:val="44"/>
          <w:szCs w:val="44"/>
          <w:highlight w:val="none"/>
        </w:rPr>
      </w:pPr>
      <w:r>
        <w:rPr>
          <w:rFonts w:hint="eastAsia" w:ascii="创艺简标宋" w:hAnsi="宋体" w:eastAsia="创艺简标宋"/>
          <w:color w:val="auto"/>
          <w:sz w:val="44"/>
          <w:szCs w:val="44"/>
          <w:highlight w:val="none"/>
        </w:rPr>
        <w:t>目    录</w:t>
      </w:r>
    </w:p>
    <w:p>
      <w:pPr>
        <w:pStyle w:val="37"/>
        <w:spacing w:line="480" w:lineRule="auto"/>
        <w:rPr>
          <w:rFonts w:ascii="宋体" w:hAnsi="宋体"/>
          <w:b/>
          <w:color w:val="auto"/>
          <w:sz w:val="28"/>
          <w:szCs w:val="28"/>
          <w:highlight w:val="none"/>
        </w:rPr>
      </w:pPr>
    </w:p>
    <w:p>
      <w:pPr>
        <w:pStyle w:val="37"/>
        <w:tabs>
          <w:tab w:val="right" w:leader="dot" w:pos="8720"/>
        </w:tabs>
        <w:spacing w:line="480" w:lineRule="auto"/>
        <w:rPr>
          <w:rFonts w:ascii="宋体" w:hAnsi="宋体" w:cstheme="minorBidi"/>
          <w:color w:val="auto"/>
          <w:sz w:val="24"/>
          <w:highlight w:val="none"/>
        </w:rPr>
      </w:pPr>
      <w:r>
        <w:rPr>
          <w:rFonts w:hint="eastAsia" w:ascii="宋体" w:hAnsi="宋体"/>
          <w:color w:val="auto"/>
          <w:sz w:val="24"/>
          <w:highlight w:val="none"/>
        </w:rPr>
        <w:fldChar w:fldCharType="begin"/>
      </w:r>
      <w:r>
        <w:rPr>
          <w:rFonts w:ascii="宋体" w:hAnsi="宋体"/>
          <w:color w:val="auto"/>
          <w:sz w:val="24"/>
          <w:highlight w:val="none"/>
        </w:rPr>
        <w:instrText xml:space="preserve"> TOC \o "1-3" \h \z \u </w:instrText>
      </w:r>
      <w:r>
        <w:rPr>
          <w:rFonts w:hint="eastAsia" w:ascii="宋体" w:hAnsi="宋体"/>
          <w:color w:val="auto"/>
          <w:sz w:val="24"/>
          <w:highlight w:val="none"/>
        </w:rPr>
        <w:fldChar w:fldCharType="separate"/>
      </w:r>
      <w:r>
        <w:rPr>
          <w:color w:val="auto"/>
          <w:highlight w:val="none"/>
        </w:rPr>
        <w:fldChar w:fldCharType="begin"/>
      </w:r>
      <w:r>
        <w:rPr>
          <w:color w:val="auto"/>
          <w:highlight w:val="none"/>
        </w:rPr>
        <w:instrText xml:space="preserve"> HYPERLINK \l "_Toc48835711" </w:instrText>
      </w:r>
      <w:r>
        <w:rPr>
          <w:color w:val="auto"/>
          <w:highlight w:val="none"/>
        </w:rPr>
        <w:fldChar w:fldCharType="separate"/>
      </w:r>
      <w:r>
        <w:rPr>
          <w:rStyle w:val="58"/>
          <w:rFonts w:ascii="宋体" w:hAnsi="宋体"/>
          <w:color w:val="auto"/>
          <w:sz w:val="24"/>
          <w:highlight w:val="none"/>
        </w:rPr>
        <w:t>第一章 竞争性磋商公告</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_Toc48835711 \h </w:instrText>
      </w:r>
      <w:r>
        <w:rPr>
          <w:rFonts w:ascii="宋体" w:hAnsi="宋体"/>
          <w:color w:val="auto"/>
          <w:sz w:val="24"/>
          <w:highlight w:val="none"/>
        </w:rPr>
        <w:fldChar w:fldCharType="separate"/>
      </w:r>
      <w:r>
        <w:rPr>
          <w:rFonts w:ascii="宋体" w:hAnsi="宋体"/>
          <w:color w:val="auto"/>
          <w:sz w:val="24"/>
          <w:highlight w:val="none"/>
        </w:rPr>
        <w:t>2</w:t>
      </w:r>
      <w:r>
        <w:rPr>
          <w:rFonts w:ascii="宋体" w:hAnsi="宋体"/>
          <w:color w:val="auto"/>
          <w:sz w:val="24"/>
          <w:highlight w:val="none"/>
        </w:rPr>
        <w:fldChar w:fldCharType="end"/>
      </w:r>
      <w:r>
        <w:rPr>
          <w:rFonts w:ascii="宋体" w:hAnsi="宋体"/>
          <w:color w:val="auto"/>
          <w:sz w:val="24"/>
          <w:highlight w:val="none"/>
        </w:rPr>
        <w:fldChar w:fldCharType="end"/>
      </w:r>
    </w:p>
    <w:p>
      <w:pPr>
        <w:pStyle w:val="37"/>
        <w:tabs>
          <w:tab w:val="right" w:leader="dot" w:pos="8720"/>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"_Toc48835712" </w:instrText>
      </w:r>
      <w:r>
        <w:rPr>
          <w:color w:val="auto"/>
          <w:highlight w:val="none"/>
        </w:rPr>
        <w:fldChar w:fldCharType="separate"/>
      </w:r>
      <w:r>
        <w:rPr>
          <w:rStyle w:val="58"/>
          <w:rFonts w:ascii="宋体" w:hAnsi="宋体"/>
          <w:color w:val="auto"/>
          <w:sz w:val="24"/>
          <w:highlight w:val="none"/>
        </w:rPr>
        <w:t xml:space="preserve">第二章 </w:t>
      </w:r>
      <w:r>
        <w:rPr>
          <w:rStyle w:val="58"/>
          <w:rFonts w:hint="eastAsia" w:ascii="宋体" w:hAnsi="宋体"/>
          <w:color w:val="auto"/>
          <w:sz w:val="24"/>
          <w:highlight w:val="none"/>
        </w:rPr>
        <w:t>采购内容、需求及要求</w:t>
      </w:r>
      <w:r>
        <w:rPr>
          <w:rFonts w:ascii="宋体" w:hAnsi="宋体"/>
          <w:color w:val="auto"/>
          <w:sz w:val="24"/>
          <w:highlight w:val="none"/>
        </w:rPr>
        <w:tab/>
      </w:r>
      <w:r>
        <w:rPr>
          <w:rFonts w:hint="eastAsia" w:ascii="宋体" w:hAnsi="宋体"/>
          <w:color w:val="auto"/>
          <w:sz w:val="24"/>
          <w:highlight w:val="none"/>
          <w:lang w:val="en-US" w:eastAsia="zh-CN"/>
        </w:rPr>
        <w:t>7</w:t>
      </w:r>
      <w:r>
        <w:rPr>
          <w:rFonts w:ascii="宋体" w:hAnsi="宋体"/>
          <w:color w:val="auto"/>
          <w:sz w:val="24"/>
          <w:highlight w:val="none"/>
        </w:rPr>
        <w:fldChar w:fldCharType="end"/>
      </w:r>
    </w:p>
    <w:p>
      <w:pPr>
        <w:pStyle w:val="37"/>
        <w:tabs>
          <w:tab w:val="right" w:leader="dot" w:pos="8720"/>
        </w:tabs>
        <w:spacing w:line="480" w:lineRule="auto"/>
        <w:rPr>
          <w:rFonts w:hint="eastAsia" w:ascii="宋体" w:hAnsi="宋体" w:eastAsia="宋体" w:cstheme="minorBidi"/>
          <w:color w:val="auto"/>
          <w:sz w:val="24"/>
          <w:highlight w:val="none"/>
          <w:lang w:val="en-US" w:eastAsia="zh-CN"/>
        </w:rPr>
      </w:pPr>
      <w:r>
        <w:rPr>
          <w:color w:val="auto"/>
          <w:highlight w:val="none"/>
        </w:rPr>
        <w:fldChar w:fldCharType="begin"/>
      </w:r>
      <w:r>
        <w:rPr>
          <w:color w:val="auto"/>
          <w:highlight w:val="none"/>
        </w:rPr>
        <w:instrText xml:space="preserve"> HYPERLINK \l "_Toc48835713" </w:instrText>
      </w:r>
      <w:r>
        <w:rPr>
          <w:color w:val="auto"/>
          <w:highlight w:val="none"/>
        </w:rPr>
        <w:fldChar w:fldCharType="separate"/>
      </w:r>
      <w:r>
        <w:rPr>
          <w:rStyle w:val="58"/>
          <w:rFonts w:ascii="宋体" w:hAnsi="宋体"/>
          <w:color w:val="auto"/>
          <w:sz w:val="24"/>
          <w:highlight w:val="none"/>
        </w:rPr>
        <w:t>第三章 供应商磋商须知</w:t>
      </w:r>
      <w:r>
        <w:rPr>
          <w:rFonts w:ascii="宋体" w:hAnsi="宋体"/>
          <w:color w:val="auto"/>
          <w:sz w:val="24"/>
          <w:highlight w:val="none"/>
        </w:rPr>
        <w:tab/>
      </w:r>
      <w:r>
        <w:rPr>
          <w:rFonts w:hint="eastAsia" w:ascii="宋体" w:hAnsi="宋体"/>
          <w:color w:val="auto"/>
          <w:sz w:val="24"/>
          <w:highlight w:val="none"/>
          <w:lang w:val="en-US" w:eastAsia="zh-CN"/>
        </w:rPr>
        <w:t>1</w:t>
      </w:r>
      <w:r>
        <w:rPr>
          <w:rFonts w:ascii="宋体" w:hAnsi="宋体"/>
          <w:color w:val="auto"/>
          <w:sz w:val="24"/>
          <w:highlight w:val="none"/>
        </w:rPr>
        <w:fldChar w:fldCharType="end"/>
      </w:r>
      <w:r>
        <w:rPr>
          <w:rFonts w:hint="eastAsia" w:ascii="宋体" w:hAnsi="宋体"/>
          <w:color w:val="auto"/>
          <w:sz w:val="24"/>
          <w:highlight w:val="none"/>
          <w:lang w:val="en-US" w:eastAsia="zh-CN"/>
        </w:rPr>
        <w:t>0</w:t>
      </w:r>
    </w:p>
    <w:p>
      <w:pPr>
        <w:pStyle w:val="37"/>
        <w:tabs>
          <w:tab w:val="right" w:leader="dot" w:pos="8720"/>
        </w:tabs>
        <w:spacing w:line="480" w:lineRule="auto"/>
        <w:rPr>
          <w:rFonts w:hint="eastAsia" w:ascii="宋体" w:hAnsi="宋体" w:eastAsia="宋体" w:cstheme="minorBidi"/>
          <w:color w:val="auto"/>
          <w:sz w:val="24"/>
          <w:highlight w:val="none"/>
          <w:lang w:val="en-US" w:eastAsia="zh-CN"/>
        </w:rPr>
      </w:pPr>
      <w:r>
        <w:rPr>
          <w:color w:val="auto"/>
          <w:highlight w:val="none"/>
        </w:rPr>
        <w:fldChar w:fldCharType="begin"/>
      </w:r>
      <w:r>
        <w:rPr>
          <w:color w:val="auto"/>
          <w:highlight w:val="none"/>
        </w:rPr>
        <w:instrText xml:space="preserve"> HYPERLINK \l "_Toc48835714" </w:instrText>
      </w:r>
      <w:r>
        <w:rPr>
          <w:color w:val="auto"/>
          <w:highlight w:val="none"/>
        </w:rPr>
        <w:fldChar w:fldCharType="separate"/>
      </w:r>
      <w:r>
        <w:rPr>
          <w:rStyle w:val="58"/>
          <w:rFonts w:ascii="宋体" w:hAnsi="宋体"/>
          <w:color w:val="auto"/>
          <w:sz w:val="24"/>
          <w:highlight w:val="none"/>
        </w:rPr>
        <w:t>第四章 评标办法及评分标准</w:t>
      </w:r>
      <w:r>
        <w:rPr>
          <w:rFonts w:ascii="宋体" w:hAnsi="宋体"/>
          <w:color w:val="auto"/>
          <w:sz w:val="24"/>
          <w:highlight w:val="none"/>
        </w:rPr>
        <w:tab/>
      </w:r>
      <w:r>
        <w:rPr>
          <w:rFonts w:hint="eastAsia" w:ascii="宋体" w:hAnsi="宋体"/>
          <w:color w:val="auto"/>
          <w:sz w:val="24"/>
          <w:highlight w:val="none"/>
          <w:lang w:val="en-US" w:eastAsia="zh-CN"/>
        </w:rPr>
        <w:t>2</w:t>
      </w:r>
      <w:r>
        <w:rPr>
          <w:rFonts w:ascii="宋体" w:hAnsi="宋体"/>
          <w:color w:val="auto"/>
          <w:sz w:val="24"/>
          <w:highlight w:val="none"/>
        </w:rPr>
        <w:fldChar w:fldCharType="end"/>
      </w:r>
      <w:r>
        <w:rPr>
          <w:rFonts w:hint="eastAsia" w:ascii="宋体" w:hAnsi="宋体"/>
          <w:color w:val="auto"/>
          <w:sz w:val="24"/>
          <w:highlight w:val="none"/>
          <w:lang w:val="en-US" w:eastAsia="zh-CN"/>
        </w:rPr>
        <w:t>1</w:t>
      </w:r>
    </w:p>
    <w:p>
      <w:pPr>
        <w:pStyle w:val="37"/>
        <w:tabs>
          <w:tab w:val="right" w:leader="dot" w:pos="8720"/>
        </w:tabs>
        <w:spacing w:line="480" w:lineRule="auto"/>
        <w:rPr>
          <w:rFonts w:hint="eastAsia" w:ascii="宋体" w:hAnsi="宋体" w:eastAsia="宋体" w:cstheme="minorBidi"/>
          <w:color w:val="auto"/>
          <w:sz w:val="24"/>
          <w:highlight w:val="none"/>
          <w:lang w:val="en-US" w:eastAsia="zh-CN"/>
        </w:rPr>
      </w:pPr>
      <w:r>
        <w:rPr>
          <w:color w:val="auto"/>
          <w:highlight w:val="none"/>
        </w:rPr>
        <w:fldChar w:fldCharType="begin"/>
      </w:r>
      <w:r>
        <w:rPr>
          <w:color w:val="auto"/>
          <w:highlight w:val="none"/>
        </w:rPr>
        <w:instrText xml:space="preserve"> HYPERLINK \l "_Toc48835715" </w:instrText>
      </w:r>
      <w:r>
        <w:rPr>
          <w:color w:val="auto"/>
          <w:highlight w:val="none"/>
        </w:rPr>
        <w:fldChar w:fldCharType="separate"/>
      </w:r>
      <w:r>
        <w:rPr>
          <w:rStyle w:val="58"/>
          <w:rFonts w:ascii="宋体" w:hAnsi="宋体"/>
          <w:color w:val="auto"/>
          <w:sz w:val="24"/>
          <w:highlight w:val="none"/>
        </w:rPr>
        <w:t>第五章  合同主要条款</w:t>
      </w:r>
      <w:r>
        <w:rPr>
          <w:rFonts w:ascii="宋体" w:hAnsi="宋体"/>
          <w:color w:val="auto"/>
          <w:sz w:val="24"/>
          <w:highlight w:val="none"/>
        </w:rPr>
        <w:tab/>
      </w:r>
      <w:r>
        <w:rPr>
          <w:rFonts w:hint="eastAsia" w:ascii="宋体" w:hAnsi="宋体"/>
          <w:color w:val="auto"/>
          <w:sz w:val="24"/>
          <w:highlight w:val="none"/>
          <w:lang w:val="en-US" w:eastAsia="zh-CN"/>
        </w:rPr>
        <w:t>2</w:t>
      </w:r>
      <w:r>
        <w:rPr>
          <w:rFonts w:ascii="宋体" w:hAnsi="宋体"/>
          <w:color w:val="auto"/>
          <w:sz w:val="24"/>
          <w:highlight w:val="none"/>
        </w:rPr>
        <w:fldChar w:fldCharType="end"/>
      </w:r>
      <w:r>
        <w:rPr>
          <w:rFonts w:hint="eastAsia" w:ascii="宋体" w:hAnsi="宋体"/>
          <w:color w:val="auto"/>
          <w:sz w:val="24"/>
          <w:highlight w:val="none"/>
          <w:lang w:val="en-US" w:eastAsia="zh-CN"/>
        </w:rPr>
        <w:t>6</w:t>
      </w:r>
    </w:p>
    <w:p>
      <w:pPr>
        <w:pStyle w:val="37"/>
        <w:tabs>
          <w:tab w:val="right" w:leader="dot" w:pos="8720"/>
        </w:tabs>
        <w:spacing w:line="480" w:lineRule="auto"/>
        <w:rPr>
          <w:rFonts w:hint="eastAsia" w:ascii="宋体" w:hAnsi="宋体" w:eastAsia="宋体" w:cstheme="minorBidi"/>
          <w:color w:val="auto"/>
          <w:sz w:val="24"/>
          <w:highlight w:val="none"/>
          <w:lang w:val="en-US" w:eastAsia="zh-CN"/>
        </w:rPr>
      </w:pPr>
      <w:r>
        <w:rPr>
          <w:color w:val="auto"/>
          <w:highlight w:val="none"/>
        </w:rPr>
        <w:fldChar w:fldCharType="begin"/>
      </w:r>
      <w:r>
        <w:rPr>
          <w:color w:val="auto"/>
          <w:highlight w:val="none"/>
        </w:rPr>
        <w:instrText xml:space="preserve"> HYPERLINK \l "_Toc48835716" </w:instrText>
      </w:r>
      <w:r>
        <w:rPr>
          <w:color w:val="auto"/>
          <w:highlight w:val="none"/>
        </w:rPr>
        <w:fldChar w:fldCharType="separate"/>
      </w:r>
      <w:r>
        <w:rPr>
          <w:rStyle w:val="58"/>
          <w:rFonts w:ascii="宋体" w:hAnsi="宋体"/>
          <w:color w:val="auto"/>
          <w:sz w:val="24"/>
          <w:highlight w:val="none"/>
        </w:rPr>
        <w:t>第六章　响应文件格式</w:t>
      </w:r>
      <w:r>
        <w:rPr>
          <w:rFonts w:ascii="宋体" w:hAnsi="宋体"/>
          <w:color w:val="auto"/>
          <w:sz w:val="24"/>
          <w:highlight w:val="none"/>
        </w:rPr>
        <w:tab/>
      </w:r>
      <w:r>
        <w:rPr>
          <w:rFonts w:hint="eastAsia" w:ascii="宋体" w:hAnsi="宋体"/>
          <w:color w:val="auto"/>
          <w:sz w:val="24"/>
          <w:highlight w:val="none"/>
          <w:lang w:val="en-US" w:eastAsia="zh-CN"/>
        </w:rPr>
        <w:t>53</w:t>
      </w:r>
      <w:r>
        <w:rPr>
          <w:rFonts w:ascii="宋体" w:hAnsi="宋体"/>
          <w:color w:val="auto"/>
          <w:sz w:val="24"/>
          <w:highlight w:val="none"/>
        </w:rPr>
        <w:fldChar w:fldCharType="end"/>
      </w:r>
    </w:p>
    <w:p>
      <w:pPr>
        <w:spacing w:before="120" w:beforeLines="50" w:line="360" w:lineRule="auto"/>
        <w:rPr>
          <w:rFonts w:ascii="宋体" w:hAnsi="宋体"/>
          <w:b/>
          <w:color w:val="auto"/>
          <w:sz w:val="28"/>
          <w:szCs w:val="28"/>
          <w:highlight w:val="none"/>
        </w:rPr>
      </w:pPr>
      <w:r>
        <w:rPr>
          <w:rFonts w:hint="eastAsia" w:ascii="宋体" w:hAnsi="宋体"/>
          <w:color w:val="auto"/>
          <w:sz w:val="24"/>
          <w:highlight w:val="none"/>
        </w:rPr>
        <w:fldChar w:fldCharType="end"/>
      </w:r>
    </w:p>
    <w:p>
      <w:pPr>
        <w:pStyle w:val="29"/>
        <w:snapToGrid w:val="0"/>
        <w:spacing w:beforeLines="0" w:afterLines="0" w:line="240" w:lineRule="auto"/>
        <w:jc w:val="center"/>
        <w:outlineLvl w:val="0"/>
        <w:rPr>
          <w:rFonts w:hAnsi="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9"/>
        <w:snapToGrid w:val="0"/>
        <w:spacing w:beforeLines="0" w:afterLines="0" w:line="360" w:lineRule="auto"/>
        <w:jc w:val="center"/>
        <w:outlineLvl w:val="0"/>
        <w:rPr>
          <w:rFonts w:ascii="黑体" w:hAnsi="宋体" w:eastAsia="黑体"/>
          <w:b/>
          <w:color w:val="auto"/>
          <w:sz w:val="30"/>
          <w:szCs w:val="30"/>
          <w:highlight w:val="none"/>
        </w:rPr>
      </w:pPr>
      <w:r>
        <w:rPr>
          <w:rFonts w:hint="eastAsia"/>
          <w:color w:val="auto"/>
          <w:highlight w:val="none"/>
        </w:rPr>
        <w:br w:type="page"/>
      </w:r>
      <w:bookmarkStart w:id="0" w:name="_Toc466534747"/>
      <w:bookmarkStart w:id="1" w:name="_Toc2739"/>
      <w:bookmarkStart w:id="2" w:name="_Toc48835711"/>
      <w:r>
        <w:rPr>
          <w:rFonts w:hint="eastAsia"/>
          <w:b/>
          <w:color w:val="auto"/>
          <w:sz w:val="30"/>
          <w:szCs w:val="30"/>
          <w:highlight w:val="none"/>
        </w:rPr>
        <w:t xml:space="preserve">第一章 </w:t>
      </w:r>
      <w:bookmarkEnd w:id="0"/>
      <w:r>
        <w:rPr>
          <w:rFonts w:hint="eastAsia"/>
          <w:b/>
          <w:color w:val="auto"/>
          <w:sz w:val="30"/>
          <w:szCs w:val="30"/>
          <w:highlight w:val="none"/>
        </w:rPr>
        <w:t>竞争性磋商公告</w:t>
      </w:r>
      <w:bookmarkEnd w:id="1"/>
      <w:bookmarkEnd w:id="2"/>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根据《中华人民共和国政府采购法》、《中华人民共和国政府采购法实施条例》、</w:t>
      </w:r>
      <w:r>
        <w:rPr>
          <w:rFonts w:hint="eastAsia" w:asciiTheme="minorEastAsia" w:hAnsiTheme="minorEastAsia" w:eastAsiaTheme="minorEastAsia" w:cstheme="minorEastAsia"/>
          <w:color w:val="auto"/>
          <w:kern w:val="0"/>
          <w:sz w:val="21"/>
          <w:szCs w:val="21"/>
          <w:highlight w:val="none"/>
        </w:rPr>
        <w:t>《政府采购竞争性磋商采购方式管理暂行办法》</w:t>
      </w:r>
      <w:r>
        <w:rPr>
          <w:rFonts w:hint="eastAsia" w:asciiTheme="minorEastAsia" w:hAnsiTheme="minorEastAsia" w:eastAsiaTheme="minorEastAsia" w:cstheme="minorEastAsia"/>
          <w:color w:val="auto"/>
          <w:sz w:val="21"/>
          <w:szCs w:val="21"/>
          <w:highlight w:val="none"/>
        </w:rPr>
        <w:t>等规定，经</w:t>
      </w:r>
      <w:r>
        <w:rPr>
          <w:rFonts w:hint="eastAsia" w:asciiTheme="minorEastAsia" w:hAnsiTheme="minorEastAsia" w:eastAsiaTheme="minorEastAsia" w:cstheme="minorEastAsia"/>
          <w:bCs/>
          <w:color w:val="auto"/>
          <w:sz w:val="21"/>
          <w:szCs w:val="21"/>
          <w:highlight w:val="none"/>
        </w:rPr>
        <w:t>临海市财政局</w:t>
      </w:r>
      <w:r>
        <w:rPr>
          <w:rFonts w:hint="eastAsia" w:asciiTheme="minorEastAsia" w:hAnsiTheme="minorEastAsia" w:eastAsiaTheme="minorEastAsia" w:cstheme="minorEastAsia"/>
          <w:color w:val="auto"/>
          <w:sz w:val="21"/>
          <w:szCs w:val="21"/>
          <w:highlight w:val="none"/>
        </w:rPr>
        <w:t>批准，受</w:t>
      </w:r>
      <w:r>
        <w:rPr>
          <w:rFonts w:hint="eastAsia" w:asciiTheme="minorEastAsia" w:hAnsiTheme="minorEastAsia" w:eastAsiaTheme="minorEastAsia" w:cstheme="minorEastAsia"/>
          <w:b/>
          <w:bCs/>
          <w:color w:val="auto"/>
          <w:sz w:val="21"/>
          <w:szCs w:val="21"/>
          <w:highlight w:val="none"/>
          <w:u w:val="single"/>
          <w:lang w:eastAsia="zh-CN"/>
        </w:rPr>
        <w:t>临海市港航口岸和渔业管理局</w:t>
      </w:r>
      <w:r>
        <w:rPr>
          <w:rFonts w:hint="eastAsia" w:asciiTheme="minorEastAsia" w:hAnsiTheme="minorEastAsia" w:eastAsiaTheme="minorEastAsia" w:cstheme="minorEastAsia"/>
          <w:color w:val="auto"/>
          <w:sz w:val="21"/>
          <w:szCs w:val="21"/>
          <w:highlight w:val="none"/>
        </w:rPr>
        <w:t>委托，现就</w:t>
      </w:r>
      <w:r>
        <w:rPr>
          <w:rFonts w:hint="eastAsia" w:asciiTheme="minorEastAsia" w:hAnsiTheme="minorEastAsia" w:eastAsiaTheme="minorEastAsia" w:cstheme="minorEastAsia"/>
          <w:b/>
          <w:bCs/>
          <w:color w:val="auto"/>
          <w:sz w:val="21"/>
          <w:szCs w:val="21"/>
          <w:highlight w:val="none"/>
          <w:u w:val="single"/>
          <w:lang w:eastAsia="zh-CN"/>
        </w:rPr>
        <w:t>临海市东矶岛渔业综合管理项目</w:t>
      </w:r>
      <w:r>
        <w:rPr>
          <w:rFonts w:hint="eastAsia" w:asciiTheme="minorEastAsia" w:hAnsiTheme="minorEastAsia" w:eastAsiaTheme="minorEastAsia" w:cstheme="minorEastAsia"/>
          <w:color w:val="auto"/>
          <w:sz w:val="21"/>
          <w:szCs w:val="21"/>
          <w:highlight w:val="none"/>
        </w:rPr>
        <w:t>进行竞争性磋商，</w:t>
      </w:r>
      <w:r>
        <w:rPr>
          <w:rFonts w:hint="eastAsia" w:asciiTheme="minorEastAsia" w:hAnsiTheme="minorEastAsia" w:eastAsiaTheme="minorEastAsia" w:cstheme="minorEastAsia"/>
          <w:color w:val="auto"/>
          <w:kern w:val="0"/>
          <w:sz w:val="21"/>
          <w:szCs w:val="21"/>
          <w:highlight w:val="none"/>
        </w:rPr>
        <w:t>欢迎具备本项目供应商的资格要求且能够及时提供相关服务的供应商前来参加竞争性磋商活动。</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1</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项目概况</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bookmarkStart w:id="3" w:name="OLE_LINK1"/>
      <w:r>
        <w:rPr>
          <w:rFonts w:hint="eastAsia" w:asciiTheme="minorEastAsia" w:hAnsiTheme="minorEastAsia" w:eastAsiaTheme="minorEastAsia" w:cstheme="minorEastAsia"/>
          <w:b/>
          <w:bCs/>
          <w:color w:val="auto"/>
          <w:sz w:val="21"/>
          <w:szCs w:val="21"/>
          <w:highlight w:val="none"/>
          <w:u w:val="none"/>
          <w:lang w:eastAsia="zh-CN"/>
        </w:rPr>
        <w:t>临海市东矶岛渔业综合管理项目</w:t>
      </w:r>
    </w:p>
    <w:bookmarkEnd w:id="3"/>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采购单位：</w:t>
      </w:r>
      <w:bookmarkStart w:id="4" w:name="_Hlk48832935"/>
      <w:r>
        <w:rPr>
          <w:rFonts w:hint="eastAsia" w:asciiTheme="minorEastAsia" w:hAnsiTheme="minorEastAsia" w:eastAsiaTheme="minorEastAsia" w:cstheme="minorEastAsia"/>
          <w:b/>
          <w:bCs/>
          <w:color w:val="auto"/>
          <w:sz w:val="21"/>
          <w:szCs w:val="21"/>
          <w:highlight w:val="none"/>
          <w:lang w:eastAsia="zh-CN"/>
        </w:rPr>
        <w:t>临海市港航口岸和渔业管理局</w:t>
      </w:r>
      <w:r>
        <w:rPr>
          <w:rFonts w:hint="eastAsia" w:asciiTheme="minorEastAsia" w:hAnsiTheme="minorEastAsia" w:eastAsiaTheme="minorEastAsia" w:cstheme="minorEastAsia"/>
          <w:color w:val="auto"/>
          <w:sz w:val="21"/>
          <w:szCs w:val="21"/>
          <w:highlight w:val="none"/>
        </w:rPr>
        <w:t xml:space="preserve"> </w:t>
      </w:r>
      <w:bookmarkEnd w:id="4"/>
      <w:r>
        <w:rPr>
          <w:rFonts w:hint="eastAsia" w:asciiTheme="minorEastAsia" w:hAnsiTheme="minorEastAsia" w:eastAsiaTheme="minorEastAsia" w:cstheme="minorEastAsia"/>
          <w:color w:val="auto"/>
          <w:sz w:val="21"/>
          <w:szCs w:val="21"/>
          <w:highlight w:val="none"/>
        </w:rPr>
        <w:t xml:space="preserve"> </w:t>
      </w:r>
    </w:p>
    <w:p>
      <w:pPr>
        <w:spacing w:line="336"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采购规模及内容概述：</w:t>
      </w:r>
      <w:r>
        <w:rPr>
          <w:rFonts w:hint="eastAsia" w:asciiTheme="minorEastAsia" w:hAnsiTheme="minorEastAsia" w:eastAsiaTheme="minorEastAsia" w:cstheme="minorEastAsia"/>
          <w:color w:val="auto"/>
          <w:sz w:val="21"/>
          <w:szCs w:val="21"/>
          <w:highlight w:val="none"/>
          <w:lang w:eastAsia="zh-CN"/>
        </w:rPr>
        <w:t>本工程为临海市东矶岛渔业综合管理项目，实施范围主要包括管理用房一至三层、发电机房等区域，涉及建筑总面积约为 590.28 平方米(其中管理用房面积约为 545.1 平方米、发电机房面积约为 45.18 平方米)。改造内容主要包括拆除工程、砌筑工程、墙面粉刷及贴砖以及饰面板、门窗工程、地面铺设地砖及花岗岩、天棚粉刷及吊顶等室内装修装饰工程、屋面工程、水电安装、管线布置、消防及弱电工程、家具及设备购置等其他配套设施项目。</w:t>
      </w:r>
      <w:r>
        <w:rPr>
          <w:rFonts w:hint="eastAsia" w:asciiTheme="minorEastAsia" w:hAnsiTheme="minorEastAsia" w:eastAsiaTheme="minorEastAsia" w:cstheme="minorEastAsia"/>
          <w:color w:val="auto"/>
          <w:sz w:val="21"/>
          <w:szCs w:val="21"/>
          <w:highlight w:val="none"/>
          <w:lang w:val="en-US" w:eastAsia="zh-CN"/>
        </w:rPr>
        <w:t>详见第二章招标需求。</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采购预算：</w:t>
      </w:r>
      <w:r>
        <w:rPr>
          <w:rFonts w:hint="eastAsia" w:asciiTheme="minorEastAsia" w:hAnsiTheme="minorEastAsia" w:eastAsiaTheme="minorEastAsia" w:cstheme="minorEastAsia"/>
          <w:color w:val="auto"/>
          <w:sz w:val="21"/>
          <w:szCs w:val="21"/>
          <w:highlight w:val="none"/>
          <w:lang w:val="en-US" w:eastAsia="zh-CN"/>
        </w:rPr>
        <w:t>109.8878</w:t>
      </w:r>
      <w:r>
        <w:rPr>
          <w:rFonts w:hint="eastAsia" w:asciiTheme="minorEastAsia" w:hAnsiTheme="minorEastAsia" w:eastAsiaTheme="minorEastAsia" w:cstheme="minorEastAsia"/>
          <w:color w:val="auto"/>
          <w:sz w:val="21"/>
          <w:szCs w:val="21"/>
          <w:highlight w:val="none"/>
          <w:lang w:eastAsia="zh-CN"/>
        </w:rPr>
        <w:t>万元</w:t>
      </w:r>
    </w:p>
    <w:p>
      <w:pPr>
        <w:pStyle w:val="46"/>
        <w:spacing w:before="0" w:beforeAutospacing="0" w:after="0" w:afterAutospacing="0" w:line="360" w:lineRule="auto"/>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最高限价：</w:t>
      </w:r>
      <w:r>
        <w:rPr>
          <w:rFonts w:hint="eastAsia" w:asciiTheme="minorEastAsia" w:hAnsiTheme="minorEastAsia" w:eastAsiaTheme="minorEastAsia" w:cstheme="minorEastAsia"/>
          <w:color w:val="FF0000"/>
          <w:sz w:val="21"/>
          <w:szCs w:val="21"/>
          <w:highlight w:val="none"/>
          <w:lang w:val="en-US" w:eastAsia="zh-CN"/>
        </w:rPr>
        <w:t>96.7013万元【即本项目投标下浮率不少于12%，即109.8878万元*（1-12%）】</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采购组织类型：分散采购</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采购标段数：1</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采购形式：竞争性磋商</w:t>
      </w:r>
    </w:p>
    <w:p>
      <w:pPr>
        <w:pStyle w:val="46"/>
        <w:spacing w:before="0" w:beforeAutospacing="0" w:after="0" w:afterAutospacing="0"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shd w:val="pct10" w:color="auto" w:fill="FFFFFF"/>
        </w:rPr>
        <w:t>▲</w:t>
      </w:r>
      <w:r>
        <w:rPr>
          <w:rFonts w:hint="eastAsia" w:asciiTheme="minorEastAsia" w:hAnsiTheme="minorEastAsia" w:eastAsiaTheme="minorEastAsia" w:cstheme="minorEastAsia"/>
          <w:b/>
          <w:color w:val="auto"/>
          <w:sz w:val="21"/>
          <w:szCs w:val="21"/>
          <w:highlight w:val="none"/>
        </w:rPr>
        <w:t>工期：</w:t>
      </w:r>
      <w:r>
        <w:rPr>
          <w:rFonts w:hint="eastAsia" w:asciiTheme="minorEastAsia" w:hAnsiTheme="minorEastAsia" w:eastAsiaTheme="minorEastAsia" w:cstheme="minorEastAsia"/>
          <w:b/>
          <w:color w:val="auto"/>
          <w:sz w:val="21"/>
          <w:szCs w:val="21"/>
          <w:highlight w:val="none"/>
          <w:lang w:val="en-US" w:eastAsia="zh-CN"/>
        </w:rPr>
        <w:t>合同签订后不超过60日历天。</w:t>
      </w:r>
    </w:p>
    <w:p>
      <w:pPr>
        <w:pStyle w:val="46"/>
        <w:spacing w:before="0" w:beforeAutospacing="0" w:after="0" w:afterAutospacing="0" w:line="360" w:lineRule="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磋商</w:t>
      </w:r>
      <w:r>
        <w:rPr>
          <w:rFonts w:hint="eastAsia" w:asciiTheme="minorEastAsia" w:hAnsiTheme="minorEastAsia" w:eastAsiaTheme="minorEastAsia" w:cstheme="minorEastAsia"/>
          <w:b/>
          <w:color w:val="auto"/>
          <w:sz w:val="21"/>
          <w:szCs w:val="21"/>
          <w:highlight w:val="none"/>
        </w:rPr>
        <w:t>文件公告期限：</w:t>
      </w:r>
      <w:r>
        <w:rPr>
          <w:rFonts w:hint="eastAsia" w:asciiTheme="minorEastAsia" w:hAnsiTheme="minorEastAsia" w:eastAsiaTheme="minorEastAsia" w:cstheme="minorEastAsia"/>
          <w:b/>
          <w:color w:val="auto"/>
          <w:sz w:val="21"/>
          <w:szCs w:val="21"/>
          <w:highlight w:val="none"/>
          <w:lang w:val="en-US" w:eastAsia="zh-CN"/>
        </w:rPr>
        <w:t>5</w:t>
      </w:r>
      <w:r>
        <w:rPr>
          <w:rFonts w:hint="eastAsia" w:asciiTheme="minorEastAsia" w:hAnsiTheme="minorEastAsia" w:eastAsiaTheme="minorEastAsia" w:cstheme="minorEastAsia"/>
          <w:b/>
          <w:color w:val="auto"/>
          <w:sz w:val="21"/>
          <w:szCs w:val="21"/>
          <w:highlight w:val="none"/>
        </w:rPr>
        <w:t>个工作日</w:t>
      </w:r>
      <w:r>
        <w:rPr>
          <w:rFonts w:hint="eastAsia" w:asciiTheme="minorEastAsia" w:hAnsiTheme="minorEastAsia" w:eastAsiaTheme="minorEastAsia" w:cstheme="minorEastAsia"/>
          <w:b/>
          <w:color w:val="auto"/>
          <w:sz w:val="21"/>
          <w:szCs w:val="21"/>
          <w:highlight w:val="none"/>
          <w:lang w:val="en-US" w:eastAsia="zh-CN"/>
        </w:rPr>
        <w:t>。</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该项目已具备条件，现对该项目进行竞争性磋商。</w:t>
      </w:r>
    </w:p>
    <w:p>
      <w:pPr>
        <w:spacing w:line="360" w:lineRule="auto"/>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2.</w:t>
      </w:r>
      <w:r>
        <w:rPr>
          <w:rFonts w:hint="eastAsia" w:asciiTheme="minorEastAsia" w:hAnsiTheme="minorEastAsia" w:eastAsiaTheme="minorEastAsia" w:cstheme="minorEastAsia"/>
          <w:b/>
          <w:bCs/>
          <w:color w:val="auto"/>
          <w:sz w:val="21"/>
          <w:szCs w:val="21"/>
          <w:highlight w:val="none"/>
        </w:rPr>
        <w:t xml:space="preserve"> 供应商的资格要求</w:t>
      </w:r>
    </w:p>
    <w:p>
      <w:pPr>
        <w:spacing w:line="360" w:lineRule="auto"/>
        <w:ind w:firstLine="211" w:firstLineChars="1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w:t>
      </w:r>
      <w:r>
        <w:rPr>
          <w:rFonts w:hint="eastAsia" w:asciiTheme="minorEastAsia" w:hAnsiTheme="minorEastAsia" w:eastAsiaTheme="minorEastAsia" w:cstheme="minorEastAsia"/>
          <w:b/>
          <w:bCs/>
          <w:color w:val="auto"/>
          <w:kern w:val="0"/>
          <w:sz w:val="21"/>
          <w:szCs w:val="21"/>
          <w:highlight w:val="none"/>
          <w:lang w:val="en-US" w:eastAsia="zh-CN"/>
        </w:rPr>
        <w:t>一</w:t>
      </w:r>
      <w:r>
        <w:rPr>
          <w:rFonts w:hint="eastAsia" w:asciiTheme="minorEastAsia" w:hAnsiTheme="minorEastAsia" w:eastAsiaTheme="minorEastAsia" w:cstheme="minorEastAsia"/>
          <w:b/>
          <w:bCs/>
          <w:color w:val="auto"/>
          <w:kern w:val="0"/>
          <w:sz w:val="21"/>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211" w:firstLineChars="1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（二）本项目的特定资格要求：</w:t>
      </w:r>
    </w:p>
    <w:p>
      <w:pPr>
        <w:spacing w:line="360" w:lineRule="auto"/>
        <w:ind w:firstLine="211" w:firstLineChars="1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1.供应商应具备以下要求：</w:t>
      </w:r>
    </w:p>
    <w:p>
      <w:pPr>
        <w:ind w:firstLine="210" w:firstLineChars="100"/>
        <w:rPr>
          <w:rFonts w:hint="eastAsia" w:asciiTheme="minorEastAsia" w:hAnsiTheme="minorEastAsia" w:eastAsiaTheme="minorEastAsia" w:cstheme="minorEastAsia"/>
          <w:b w:val="0"/>
          <w:bCs w:val="0"/>
          <w:color w:val="auto"/>
          <w:kern w:val="0"/>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val="en-US" w:eastAsia="zh-CN" w:bidi="ar-SA"/>
        </w:rPr>
        <w:t>（1）</w:t>
      </w:r>
      <w:r>
        <w:rPr>
          <w:rFonts w:hint="eastAsia" w:asciiTheme="minorEastAsia" w:hAnsiTheme="minorEastAsia" w:eastAsiaTheme="minorEastAsia" w:cstheme="minorEastAsia"/>
          <w:b/>
          <w:bCs w:val="0"/>
          <w:color w:val="auto"/>
          <w:sz w:val="21"/>
          <w:szCs w:val="21"/>
          <w:highlight w:val="none"/>
          <w:lang w:val="en-US" w:eastAsia="zh-CN"/>
        </w:rPr>
        <w:t>建筑</w:t>
      </w:r>
      <w:r>
        <w:rPr>
          <w:rFonts w:hint="eastAsia" w:asciiTheme="minorEastAsia" w:hAnsiTheme="minorEastAsia" w:eastAsiaTheme="minorEastAsia" w:cstheme="minorEastAsia"/>
          <w:b/>
          <w:bCs w:val="0"/>
          <w:color w:val="auto"/>
          <w:sz w:val="21"/>
          <w:szCs w:val="21"/>
          <w:highlight w:val="none"/>
        </w:rPr>
        <w:t>企业资质证书</w:t>
      </w:r>
      <w:r>
        <w:rPr>
          <w:rFonts w:hint="eastAsia" w:asciiTheme="minorEastAsia" w:hAnsiTheme="minorEastAsia" w:eastAsiaTheme="minorEastAsia" w:cstheme="minorEastAsia"/>
          <w:b w:val="0"/>
          <w:bCs w:val="0"/>
          <w:color w:val="auto"/>
          <w:kern w:val="0"/>
          <w:sz w:val="21"/>
          <w:szCs w:val="21"/>
          <w:highlight w:val="none"/>
          <w:lang w:val="en-US" w:eastAsia="zh-CN" w:bidi="ar-SA"/>
        </w:rPr>
        <w:t>：</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1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①</w:t>
      </w:r>
      <w:r>
        <w:rPr>
          <w:rFonts w:hint="eastAsia" w:ascii="宋体" w:hAnsi="宋体" w:cs="宋体"/>
          <w:color w:val="auto"/>
          <w:szCs w:val="21"/>
          <w:highlight w:val="none"/>
        </w:rPr>
        <w:fldChar w:fldCharType="end"/>
      </w:r>
      <w:r>
        <w:rPr>
          <w:rFonts w:hint="eastAsia" w:ascii="宋体" w:hAnsi="宋体" w:cs="宋体"/>
          <w:color w:val="auto"/>
          <w:szCs w:val="21"/>
          <w:highlight w:val="none"/>
        </w:rPr>
        <w:t>全国范围内建筑装修装饰工程专业承包二级及以上资质；</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2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②</w:t>
      </w:r>
      <w:r>
        <w:rPr>
          <w:rFonts w:hint="eastAsia" w:ascii="宋体" w:hAnsi="宋体" w:cs="宋体"/>
          <w:color w:val="auto"/>
          <w:szCs w:val="21"/>
          <w:highlight w:val="none"/>
        </w:rPr>
        <w:fldChar w:fldCharType="end"/>
      </w:r>
      <w:r>
        <w:rPr>
          <w:rFonts w:hint="eastAsia" w:ascii="宋体" w:hAnsi="宋体" w:cs="宋体"/>
          <w:color w:val="auto"/>
          <w:szCs w:val="21"/>
          <w:highlight w:val="none"/>
        </w:rPr>
        <w:t>全国范围内建筑消防设施工程专业承包二级及以上资质；</w:t>
      </w:r>
    </w:p>
    <w:p>
      <w:pPr>
        <w:spacing w:line="360" w:lineRule="auto"/>
        <w:ind w:firstLine="420" w:firstLineChars="200"/>
        <w:rPr>
          <w:rFonts w:hint="eastAsia" w:eastAsia="宋体" w:asciiTheme="minorEastAsia" w:hAnsiTheme="minorEastAsia" w:cstheme="minorEastAsia"/>
          <w:b w:val="0"/>
          <w:bCs w:val="0"/>
          <w:color w:val="auto"/>
          <w:kern w:val="0"/>
          <w:sz w:val="21"/>
          <w:szCs w:val="21"/>
          <w:highlight w:val="none"/>
          <w:lang w:val="en-US" w:eastAsia="zh-CN" w:bidi="ar-SA"/>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3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③</w:t>
      </w:r>
      <w:r>
        <w:rPr>
          <w:rFonts w:hint="eastAsia" w:ascii="宋体" w:hAnsi="宋体" w:cs="宋体"/>
          <w:color w:val="auto"/>
          <w:szCs w:val="21"/>
          <w:highlight w:val="none"/>
        </w:rPr>
        <w:fldChar w:fldCharType="end"/>
      </w:r>
      <w:r>
        <w:rPr>
          <w:rFonts w:hint="eastAsia" w:ascii="宋体" w:hAnsi="宋体" w:cs="宋体"/>
          <w:color w:val="auto"/>
          <w:szCs w:val="21"/>
          <w:highlight w:val="none"/>
        </w:rPr>
        <w:t>全国范围内电子与智能化工程专业承包二级及以上资质</w:t>
      </w:r>
      <w:r>
        <w:rPr>
          <w:rFonts w:hint="eastAsia" w:ascii="宋体" w:hAnsi="宋体" w:cs="宋体"/>
          <w:color w:val="auto"/>
          <w:szCs w:val="21"/>
          <w:highlight w:val="none"/>
          <w:lang w:eastAsia="zh-CN"/>
        </w:rPr>
        <w:t>；</w:t>
      </w:r>
    </w:p>
    <w:p>
      <w:pPr>
        <w:spacing w:line="360" w:lineRule="auto"/>
        <w:ind w:firstLine="210" w:firstLineChars="100"/>
        <w:rPr>
          <w:rFonts w:hint="eastAsia" w:asciiTheme="minorEastAsia" w:hAnsiTheme="minorEastAsia" w:eastAsiaTheme="minorEastAsia" w:cstheme="minorEastAsia"/>
          <w:b w:val="0"/>
          <w:bCs w:val="0"/>
          <w:color w:val="auto"/>
          <w:kern w:val="0"/>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val="en-US" w:eastAsia="zh-CN" w:bidi="ar-SA"/>
        </w:rPr>
        <w:t>（2）具备有效的企业安全生产许可证。</w:t>
      </w:r>
    </w:p>
    <w:p>
      <w:pPr>
        <w:spacing w:line="360" w:lineRule="auto"/>
        <w:ind w:firstLine="210" w:firstLineChars="100"/>
        <w:rPr>
          <w:rFonts w:hint="eastAsia" w:asciiTheme="minorEastAsia" w:hAnsiTheme="minorEastAsia" w:eastAsiaTheme="minorEastAsia" w:cstheme="minorEastAsia"/>
          <w:b w:val="0"/>
          <w:bCs w:val="0"/>
          <w:color w:val="auto"/>
          <w:kern w:val="0"/>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val="en-US" w:eastAsia="zh-CN" w:bidi="ar-SA"/>
        </w:rPr>
        <w:t>（3）如为省外企业还应具有《省外企业进浙承接业务备案证明》或在“浙江省建筑市场监管公共服务系统”备案通过。</w:t>
      </w:r>
    </w:p>
    <w:p>
      <w:pPr>
        <w:spacing w:line="360" w:lineRule="auto"/>
        <w:ind w:firstLine="210" w:firstLineChars="100"/>
        <w:rPr>
          <w:rFonts w:hint="eastAsia" w:asciiTheme="minorEastAsia" w:hAnsiTheme="minorEastAsia" w:eastAsiaTheme="minorEastAsia" w:cstheme="minorEastAsia"/>
          <w:b w:val="0"/>
          <w:bCs w:val="0"/>
          <w:color w:val="auto"/>
          <w:kern w:val="0"/>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val="en-US" w:eastAsia="zh-CN" w:bidi="ar-SA"/>
        </w:rPr>
        <w:t>（4）具有与本采购项目相适应的商品经营或服务能力的供应商；</w:t>
      </w:r>
    </w:p>
    <w:p>
      <w:pPr>
        <w:spacing w:line="360" w:lineRule="auto"/>
        <w:ind w:left="210" w:leftChars="100" w:firstLine="0" w:firstLineChars="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2. 拟派的项目负责人应具备以下要求：</w:t>
      </w:r>
    </w:p>
    <w:p>
      <w:pPr>
        <w:spacing w:line="360" w:lineRule="auto"/>
        <w:ind w:left="210" w:leftChars="100" w:firstLine="0" w:firstLineChars="0"/>
        <w:rPr>
          <w:rFonts w:hint="eastAsia" w:asciiTheme="minorEastAsia" w:hAnsiTheme="minorEastAsia" w:eastAsiaTheme="minorEastAsia" w:cstheme="minorEastAsia"/>
          <w:b w:val="0"/>
          <w:bCs w:val="0"/>
          <w:color w:val="auto"/>
          <w:kern w:val="0"/>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val="en-US" w:eastAsia="zh-CN" w:bidi="ar-SA"/>
        </w:rPr>
        <w:t>拟派的项目负责人应具有建筑工程专业注册建造师二级及以上资格（建造师临时执业证书无效）。</w:t>
      </w:r>
    </w:p>
    <w:p>
      <w:pPr>
        <w:spacing w:line="360" w:lineRule="auto"/>
        <w:ind w:firstLine="211" w:firstLineChars="10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（三）落实政府采购政策需满足的资格要求：</w:t>
      </w:r>
      <w:r>
        <w:rPr>
          <w:rFonts w:hint="default" w:asciiTheme="minorEastAsia" w:hAnsiTheme="minorEastAsia" w:eastAsiaTheme="minorEastAsia" w:cstheme="minorEastAsia"/>
          <w:color w:val="auto"/>
          <w:kern w:val="0"/>
          <w:sz w:val="21"/>
          <w:szCs w:val="21"/>
          <w:highlight w:val="none"/>
          <w:lang w:val="en-US" w:eastAsia="zh-CN"/>
        </w:rPr>
        <w:t>本项目属于专门面向中小企业采购的项目。在工程采购项目中，工程由中小企业承建，即工程施工单位为中小企业，同时该中小企业不属于大企业的分支机构，不存在控股股东为大企业的情形，也不存在与大企业的负责人为同一人的情形。如不符合上述要求的任何一点均不符合本条资格要求</w:t>
      </w:r>
      <w:r>
        <w:rPr>
          <w:rFonts w:hint="eastAsia" w:asciiTheme="minorEastAsia" w:hAnsiTheme="minorEastAsia" w:eastAsiaTheme="minorEastAsia" w:cstheme="minorEastAsia"/>
          <w:color w:val="auto"/>
          <w:kern w:val="0"/>
          <w:sz w:val="21"/>
          <w:szCs w:val="21"/>
          <w:highlight w:val="none"/>
          <w:lang w:val="en-US" w:eastAsia="zh-CN"/>
        </w:rPr>
        <w:t>。</w:t>
      </w:r>
      <w:r>
        <w:rPr>
          <w:rFonts w:hint="default" w:asciiTheme="minorEastAsia" w:hAnsiTheme="minorEastAsia" w:eastAsiaTheme="minorEastAsia" w:cstheme="minorEastAsia"/>
          <w:color w:val="auto"/>
          <w:kern w:val="0"/>
          <w:sz w:val="21"/>
          <w:szCs w:val="21"/>
          <w:highlight w:val="none"/>
          <w:lang w:val="en-US" w:eastAsia="zh-CN"/>
        </w:rPr>
        <w:t>本项目对应的中小企业划分标准所属行业为</w:t>
      </w:r>
      <w:r>
        <w:rPr>
          <w:rFonts w:hint="eastAsia" w:asciiTheme="minorEastAsia" w:hAnsiTheme="minorEastAsia" w:eastAsiaTheme="minorEastAsia" w:cstheme="minorEastAsia"/>
          <w:color w:val="auto"/>
          <w:kern w:val="0"/>
          <w:sz w:val="21"/>
          <w:szCs w:val="21"/>
          <w:highlight w:val="none"/>
          <w:lang w:val="en-US" w:eastAsia="zh-CN"/>
        </w:rPr>
        <w:t>：</w:t>
      </w:r>
      <w:r>
        <w:rPr>
          <w:rFonts w:hint="default" w:asciiTheme="minorEastAsia" w:hAnsiTheme="minorEastAsia" w:eastAsiaTheme="minorEastAsia" w:cstheme="minorEastAsia"/>
          <w:color w:val="auto"/>
          <w:kern w:val="0"/>
          <w:sz w:val="21"/>
          <w:szCs w:val="21"/>
          <w:highlight w:val="none"/>
          <w:lang w:val="en-US" w:eastAsia="zh-CN"/>
        </w:rPr>
        <w:t>建筑业。</w:t>
      </w:r>
    </w:p>
    <w:p>
      <w:pPr>
        <w:spacing w:line="360" w:lineRule="auto"/>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（四）</w:t>
      </w:r>
      <w:r>
        <w:rPr>
          <w:rFonts w:hint="eastAsia" w:asciiTheme="minorEastAsia" w:hAnsiTheme="minorEastAsia" w:eastAsiaTheme="minorEastAsia" w:cstheme="minorEastAsia"/>
          <w:color w:val="auto"/>
          <w:kern w:val="0"/>
          <w:sz w:val="21"/>
          <w:szCs w:val="21"/>
          <w:highlight w:val="none"/>
        </w:rPr>
        <w:t>本项目不接受联合体投标。</w:t>
      </w:r>
    </w:p>
    <w:p>
      <w:pPr>
        <w:spacing w:line="360" w:lineRule="auto"/>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3.报名</w:t>
      </w:r>
    </w:p>
    <w:p>
      <w:pPr>
        <w:spacing w:line="360" w:lineRule="auto"/>
        <w:rPr>
          <w:rFonts w:hint="eastAsia" w:asciiTheme="minorEastAsia" w:hAnsiTheme="minorEastAsia" w:eastAsiaTheme="minorEastAsia" w:cstheme="minorEastAsia"/>
          <w:b/>
          <w:bCs/>
          <w:color w:val="auto"/>
          <w:kern w:val="0"/>
          <w:sz w:val="21"/>
          <w:szCs w:val="21"/>
          <w:highlight w:val="none"/>
          <w:u w:val="single"/>
          <w:shd w:val="pct10" w:color="auto" w:fill="FFFFFF"/>
        </w:rPr>
      </w:pPr>
      <w:r>
        <w:rPr>
          <w:rFonts w:hint="eastAsia" w:asciiTheme="minorEastAsia" w:hAnsiTheme="minorEastAsia" w:eastAsiaTheme="minorEastAsia" w:cstheme="minorEastAsia"/>
          <w:b/>
          <w:bCs/>
          <w:color w:val="auto"/>
          <w:kern w:val="0"/>
          <w:sz w:val="21"/>
          <w:szCs w:val="21"/>
          <w:highlight w:val="none"/>
          <w:u w:val="single"/>
          <w:shd w:val="pct10" w:color="auto" w:fill="FFFFFF"/>
        </w:rPr>
        <w:t>本项目无需报名，</w:t>
      </w:r>
      <w:bookmarkStart w:id="5" w:name="_Hlk59307647"/>
      <w:r>
        <w:rPr>
          <w:rFonts w:hint="eastAsia" w:asciiTheme="minorEastAsia" w:hAnsiTheme="minorEastAsia" w:eastAsiaTheme="minorEastAsia" w:cstheme="minorEastAsia"/>
          <w:b/>
          <w:bCs/>
          <w:color w:val="auto"/>
          <w:kern w:val="0"/>
          <w:sz w:val="21"/>
          <w:szCs w:val="21"/>
          <w:highlight w:val="none"/>
          <w:u w:val="single"/>
          <w:shd w:val="pct10" w:color="auto" w:fill="FFFFFF"/>
        </w:rPr>
        <w:t>供应商须到临海市公共资源交易中心网站</w:t>
      </w:r>
    </w:p>
    <w:p>
      <w:pPr>
        <w:spacing w:line="360" w:lineRule="auto"/>
        <w:rPr>
          <w:rFonts w:hint="eastAsia" w:asciiTheme="minorEastAsia" w:hAnsiTheme="minorEastAsia" w:eastAsiaTheme="minorEastAsia" w:cstheme="minorEastAsia"/>
          <w:b/>
          <w:bCs/>
          <w:color w:val="auto"/>
          <w:kern w:val="0"/>
          <w:sz w:val="21"/>
          <w:szCs w:val="21"/>
          <w:highlight w:val="none"/>
          <w:u w:val="single"/>
          <w:shd w:val="pct10" w:color="auto" w:fill="FFFFFF"/>
        </w:rPr>
      </w:pPr>
      <w:r>
        <w:rPr>
          <w:rFonts w:hint="eastAsia" w:asciiTheme="minorEastAsia" w:hAnsiTheme="minorEastAsia" w:eastAsiaTheme="minorEastAsia" w:cstheme="minorEastAsia"/>
          <w:b/>
          <w:bCs/>
          <w:color w:val="auto"/>
          <w:kern w:val="0"/>
          <w:sz w:val="21"/>
          <w:szCs w:val="21"/>
          <w:highlight w:val="none"/>
          <w:u w:val="single"/>
          <w:shd w:val="pct10" w:color="auto" w:fill="FFFFFF"/>
        </w:rPr>
        <w:t>（http://www.linhai.gov.cn/ggzyjy/）注册</w:t>
      </w:r>
      <w:bookmarkEnd w:id="5"/>
      <w:r>
        <w:rPr>
          <w:rFonts w:hint="eastAsia" w:asciiTheme="minorEastAsia" w:hAnsiTheme="minorEastAsia" w:eastAsiaTheme="minorEastAsia" w:cstheme="minorEastAsia"/>
          <w:b/>
          <w:bCs/>
          <w:color w:val="auto"/>
          <w:kern w:val="0"/>
          <w:sz w:val="21"/>
          <w:szCs w:val="21"/>
          <w:highlight w:val="none"/>
          <w:u w:val="single"/>
          <w:shd w:val="pct10" w:color="auto" w:fill="FFFFFF"/>
        </w:rPr>
        <w:t>、提交审核通过后可参加投标，注册、审核联系电话：0576-85280675。供应商未在临海市公共资源交易中心网站完成注册而造成无法登陆临海市公共资源交易中心网站—-每日直播平台--后台和无法发布开标后系列公告等产生的后果由供应商自行承担。</w:t>
      </w:r>
    </w:p>
    <w:p>
      <w:pPr>
        <w:spacing w:line="360" w:lineRule="auto"/>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4.磋商文件的获取</w:t>
      </w:r>
    </w:p>
    <w:p>
      <w:pPr>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采购文件售价：免费</w:t>
      </w:r>
    </w:p>
    <w:p>
      <w:pPr>
        <w:spacing w:line="360" w:lineRule="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获取方式：凡有意参加投标者，</w:t>
      </w:r>
      <w:r>
        <w:rPr>
          <w:rFonts w:hint="eastAsia" w:asciiTheme="minorEastAsia" w:hAnsiTheme="minorEastAsia" w:eastAsiaTheme="minorEastAsia" w:cstheme="minorEastAsia"/>
          <w:bCs/>
          <w:color w:val="FF0000"/>
          <w:sz w:val="21"/>
          <w:szCs w:val="21"/>
          <w:highlight w:val="none"/>
        </w:rPr>
        <w:t>在202</w:t>
      </w:r>
      <w:r>
        <w:rPr>
          <w:rFonts w:hint="eastAsia" w:asciiTheme="minorEastAsia" w:hAnsiTheme="minorEastAsia" w:eastAsiaTheme="minorEastAsia" w:cstheme="minorEastAsia"/>
          <w:bCs/>
          <w:color w:val="FF0000"/>
          <w:sz w:val="21"/>
          <w:szCs w:val="21"/>
          <w:highlight w:val="none"/>
          <w:lang w:val="en-US" w:eastAsia="zh-CN"/>
        </w:rPr>
        <w:t>4</w:t>
      </w:r>
      <w:r>
        <w:rPr>
          <w:rFonts w:hint="eastAsia" w:asciiTheme="minorEastAsia" w:hAnsiTheme="minorEastAsia" w:eastAsiaTheme="minorEastAsia" w:cstheme="minorEastAsia"/>
          <w:bCs/>
          <w:color w:val="FF0000"/>
          <w:sz w:val="21"/>
          <w:szCs w:val="21"/>
          <w:highlight w:val="none"/>
        </w:rPr>
        <w:t>年</w:t>
      </w:r>
      <w:r>
        <w:rPr>
          <w:rFonts w:hint="eastAsia" w:asciiTheme="minorEastAsia" w:hAnsiTheme="minorEastAsia" w:eastAsiaTheme="minorEastAsia" w:cstheme="minorEastAsia"/>
          <w:bCs/>
          <w:color w:val="FF0000"/>
          <w:sz w:val="21"/>
          <w:szCs w:val="21"/>
          <w:highlight w:val="none"/>
          <w:lang w:val="en-US" w:eastAsia="zh-CN"/>
        </w:rPr>
        <w:t>5</w:t>
      </w:r>
      <w:r>
        <w:rPr>
          <w:rFonts w:hint="eastAsia" w:asciiTheme="minorEastAsia" w:hAnsiTheme="minorEastAsia" w:eastAsiaTheme="minorEastAsia" w:cstheme="minorEastAsia"/>
          <w:bCs/>
          <w:color w:val="FF0000"/>
          <w:sz w:val="21"/>
          <w:szCs w:val="21"/>
          <w:highlight w:val="none"/>
        </w:rPr>
        <w:t>月</w:t>
      </w:r>
      <w:r>
        <w:rPr>
          <w:rFonts w:hint="eastAsia" w:asciiTheme="minorEastAsia" w:hAnsiTheme="minorEastAsia" w:eastAsiaTheme="minorEastAsia" w:cstheme="minorEastAsia"/>
          <w:bCs/>
          <w:color w:val="FF0000"/>
          <w:sz w:val="21"/>
          <w:szCs w:val="21"/>
          <w:highlight w:val="none"/>
          <w:lang w:val="en-US" w:eastAsia="zh-CN"/>
        </w:rPr>
        <w:t>10</w:t>
      </w:r>
      <w:r>
        <w:rPr>
          <w:rFonts w:hint="eastAsia" w:asciiTheme="minorEastAsia" w:hAnsiTheme="minorEastAsia" w:eastAsiaTheme="minorEastAsia" w:cstheme="minorEastAsia"/>
          <w:bCs/>
          <w:color w:val="FF0000"/>
          <w:sz w:val="21"/>
          <w:szCs w:val="21"/>
          <w:highlight w:val="none"/>
        </w:rPr>
        <w:t>日</w:t>
      </w:r>
      <w:r>
        <w:rPr>
          <w:rFonts w:hint="eastAsia" w:asciiTheme="minorEastAsia" w:hAnsiTheme="minorEastAsia" w:eastAsiaTheme="minorEastAsia" w:cstheme="minorEastAsia"/>
          <w:bCs/>
          <w:color w:val="FF0000"/>
          <w:sz w:val="21"/>
          <w:szCs w:val="21"/>
          <w:highlight w:val="none"/>
          <w:lang w:val="en-US" w:eastAsia="zh-CN"/>
        </w:rPr>
        <w:t>09:30</w:t>
      </w:r>
      <w:r>
        <w:rPr>
          <w:rFonts w:hint="eastAsia" w:asciiTheme="minorEastAsia" w:hAnsiTheme="minorEastAsia" w:eastAsiaTheme="minorEastAsia" w:cstheme="minorEastAsia"/>
          <w:bCs/>
          <w:color w:val="FF0000"/>
          <w:sz w:val="21"/>
          <w:szCs w:val="21"/>
          <w:highlight w:val="none"/>
        </w:rPr>
        <w:t>前</w:t>
      </w:r>
      <w:r>
        <w:rPr>
          <w:rFonts w:hint="eastAsia" w:asciiTheme="minorEastAsia" w:hAnsiTheme="minorEastAsia" w:eastAsiaTheme="minorEastAsia" w:cstheme="minorEastAsia"/>
          <w:bCs/>
          <w:color w:val="auto"/>
          <w:sz w:val="21"/>
          <w:szCs w:val="21"/>
          <w:highlight w:val="none"/>
        </w:rPr>
        <w:t>，到临海市公共资源交易中心网站注册审核通过后可自行下载采购文件或到浙江政府采购网（网址</w:t>
      </w:r>
      <w:r>
        <w:rPr>
          <w:rFonts w:hint="eastAsia" w:asciiTheme="minorEastAsia" w:hAnsiTheme="minorEastAsia" w:eastAsiaTheme="minorEastAsia" w:cstheme="minorEastAsia"/>
          <w:color w:val="0000FF"/>
          <w:sz w:val="21"/>
          <w:szCs w:val="21"/>
          <w:highlight w:val="none"/>
        </w:rPr>
        <w:fldChar w:fldCharType="begin"/>
      </w:r>
      <w:r>
        <w:rPr>
          <w:rFonts w:hint="eastAsia" w:asciiTheme="minorEastAsia" w:hAnsiTheme="minorEastAsia" w:eastAsiaTheme="minorEastAsia" w:cstheme="minorEastAsia"/>
          <w:color w:val="0000FF"/>
          <w:sz w:val="21"/>
          <w:szCs w:val="21"/>
          <w:highlight w:val="none"/>
        </w:rPr>
        <w:instrText xml:space="preserve"> HYPERLINK "%20https://zfcg.czt.zj.gov.cn/" </w:instrText>
      </w:r>
      <w:r>
        <w:rPr>
          <w:rFonts w:hint="eastAsia" w:asciiTheme="minorEastAsia" w:hAnsiTheme="minorEastAsia" w:eastAsiaTheme="minorEastAsia" w:cstheme="minorEastAsia"/>
          <w:color w:val="0000FF"/>
          <w:sz w:val="21"/>
          <w:szCs w:val="21"/>
          <w:highlight w:val="none"/>
        </w:rPr>
        <w:fldChar w:fldCharType="separate"/>
      </w:r>
      <w:r>
        <w:rPr>
          <w:rStyle w:val="58"/>
          <w:rFonts w:hint="eastAsia" w:asciiTheme="minorEastAsia" w:hAnsiTheme="minorEastAsia" w:eastAsiaTheme="minorEastAsia" w:cstheme="minorEastAsia"/>
          <w:color w:val="0000FF"/>
          <w:sz w:val="21"/>
          <w:szCs w:val="21"/>
          <w:highlight w:val="none"/>
        </w:rPr>
        <w:t xml:space="preserve"> </w:t>
      </w:r>
      <w:r>
        <w:rPr>
          <w:rStyle w:val="58"/>
          <w:rFonts w:hint="eastAsia" w:asciiTheme="minorEastAsia" w:hAnsiTheme="minorEastAsia" w:eastAsiaTheme="minorEastAsia" w:cstheme="minorEastAsia"/>
          <w:bCs/>
          <w:color w:val="0000FF"/>
          <w:sz w:val="21"/>
          <w:szCs w:val="21"/>
          <w:highlight w:val="none"/>
        </w:rPr>
        <w:t>https://zfcg.czt.zj.gov.cn/</w:t>
      </w:r>
      <w:r>
        <w:rPr>
          <w:rStyle w:val="58"/>
          <w:rFonts w:hint="eastAsia" w:asciiTheme="minorEastAsia" w:hAnsiTheme="minorEastAsia" w:eastAsiaTheme="minorEastAsia" w:cstheme="minorEastAsia"/>
          <w:bCs/>
          <w:color w:val="0000FF"/>
          <w:sz w:val="21"/>
          <w:szCs w:val="21"/>
          <w:highlight w:val="none"/>
        </w:rPr>
        <w:fldChar w:fldCharType="end"/>
      </w:r>
      <w:r>
        <w:rPr>
          <w:rFonts w:hint="eastAsia" w:asciiTheme="minorEastAsia" w:hAnsiTheme="minorEastAsia" w:eastAsiaTheme="minorEastAsia" w:cstheme="minorEastAsia"/>
          <w:bCs/>
          <w:color w:val="0000FF"/>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rPr>
        <w:t>）上获取。</w:t>
      </w:r>
    </w:p>
    <w:p>
      <w:pPr>
        <w:keepNext w:val="0"/>
        <w:keepLines w:val="0"/>
        <w:pageBreakBefore w:val="0"/>
        <w:numPr>
          <w:ilvl w:val="0"/>
          <w:numId w:val="0"/>
        </w:numPr>
        <w:kinsoku/>
        <w:topLinePunct w:val="0"/>
        <w:bidi w:val="0"/>
        <w:spacing w:beforeAutospacing="0" w:afterAutospacing="0" w:line="360" w:lineRule="auto"/>
        <w:rPr>
          <w:rFonts w:hint="eastAsia" w:asciiTheme="minorEastAsia" w:hAnsiTheme="minorEastAsia" w:eastAsiaTheme="minorEastAsia" w:cstheme="minorEastAsia"/>
          <w:b w:val="0"/>
          <w:bCs w:val="0"/>
          <w:i w:val="0"/>
          <w:caps w:val="0"/>
          <w:color w:val="auto"/>
          <w:spacing w:val="0"/>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（3）</w:t>
      </w:r>
      <w:r>
        <w:rPr>
          <w:rStyle w:val="54"/>
          <w:rFonts w:hint="eastAsia" w:asciiTheme="minorEastAsia" w:hAnsiTheme="minorEastAsia" w:eastAsiaTheme="minorEastAsia" w:cstheme="minorEastAsia"/>
          <w:b w:val="0"/>
          <w:bCs w:val="0"/>
          <w:i w:val="0"/>
          <w:caps w:val="0"/>
          <w:color w:val="auto"/>
          <w:spacing w:val="0"/>
          <w:sz w:val="21"/>
          <w:szCs w:val="21"/>
          <w:highlight w:val="none"/>
        </w:rPr>
        <w:t>供应商网上报名操作指南：“浙江政府采购网-办事指南-省采中心-网上报名”（http://zfcg.czt.zj.gov.cn/bs_other/2018-03-30/12002.html）。</w:t>
      </w:r>
    </w:p>
    <w:p>
      <w:pPr>
        <w:pStyle w:val="46"/>
        <w:keepNext w:val="0"/>
        <w:keepLines w:val="0"/>
        <w:pageBreakBefore w:val="0"/>
        <w:widowControl/>
        <w:suppressLineNumbers w:val="0"/>
        <w:kinsoku/>
        <w:topLinePunct w:val="0"/>
        <w:bidi w:val="0"/>
        <w:spacing w:before="0" w:beforeLines="0" w:beforeAutospacing="0" w:after="0" w:afterLines="0" w:afterAutospacing="0" w:line="360" w:lineRule="auto"/>
        <w:rPr>
          <w:rFonts w:hint="eastAsia" w:asciiTheme="minorEastAsia" w:hAnsiTheme="minorEastAsia" w:eastAsiaTheme="minorEastAsia" w:cstheme="minorEastAsia"/>
          <w:b w:val="0"/>
          <w:bCs w:val="0"/>
          <w:i w:val="0"/>
          <w:caps w:val="0"/>
          <w:color w:val="auto"/>
          <w:spacing w:val="0"/>
          <w:sz w:val="21"/>
          <w:szCs w:val="21"/>
          <w:highlight w:val="none"/>
        </w:rPr>
      </w:pPr>
      <w:r>
        <w:rPr>
          <w:rStyle w:val="54"/>
          <w:rFonts w:hint="eastAsia" w:asciiTheme="minorEastAsia" w:hAnsiTheme="minorEastAsia" w:eastAsiaTheme="minorEastAsia" w:cstheme="minorEastAsia"/>
          <w:b w:val="0"/>
          <w:bCs w:val="0"/>
          <w:i w:val="0"/>
          <w:caps w:val="0"/>
          <w:color w:val="auto"/>
          <w:spacing w:val="0"/>
          <w:sz w:val="21"/>
          <w:szCs w:val="21"/>
          <w:highlight w:val="none"/>
          <w:lang w:val="en-US" w:eastAsia="zh-CN"/>
        </w:rPr>
        <w:t>（4）</w:t>
      </w:r>
      <w:r>
        <w:rPr>
          <w:rStyle w:val="54"/>
          <w:rFonts w:hint="eastAsia" w:asciiTheme="minorEastAsia" w:hAnsiTheme="minorEastAsia" w:eastAsiaTheme="minorEastAsia" w:cstheme="minorEastAsia"/>
          <w:b w:val="0"/>
          <w:bCs w:val="0"/>
          <w:i w:val="0"/>
          <w:caps w:val="0"/>
          <w:color w:val="auto"/>
          <w:spacing w:val="0"/>
          <w:sz w:val="21"/>
          <w:szCs w:val="21"/>
          <w:highlight w:val="none"/>
        </w:rPr>
        <w:t>供应商获取</w:t>
      </w:r>
      <w:r>
        <w:rPr>
          <w:rStyle w:val="54"/>
          <w:rFonts w:hint="eastAsia" w:asciiTheme="minorEastAsia" w:hAnsiTheme="minorEastAsia" w:eastAsiaTheme="minorEastAsia" w:cstheme="minorEastAsia"/>
          <w:b w:val="0"/>
          <w:bCs w:val="0"/>
          <w:i w:val="0"/>
          <w:caps w:val="0"/>
          <w:color w:val="auto"/>
          <w:spacing w:val="0"/>
          <w:sz w:val="21"/>
          <w:szCs w:val="21"/>
          <w:highlight w:val="none"/>
          <w:lang w:val="en-US" w:eastAsia="zh-CN"/>
        </w:rPr>
        <w:t>磋商</w:t>
      </w:r>
      <w:r>
        <w:rPr>
          <w:rStyle w:val="54"/>
          <w:rFonts w:hint="eastAsia" w:asciiTheme="minorEastAsia" w:hAnsiTheme="minorEastAsia" w:eastAsiaTheme="minorEastAsia" w:cstheme="minorEastAsia"/>
          <w:b w:val="0"/>
          <w:bCs w:val="0"/>
          <w:i w:val="0"/>
          <w:caps w:val="0"/>
          <w:color w:val="auto"/>
          <w:spacing w:val="0"/>
          <w:sz w:val="21"/>
          <w:szCs w:val="21"/>
          <w:highlight w:val="none"/>
        </w:rPr>
        <w:t>文件时须提交的文件资料：无；</w:t>
      </w:r>
    </w:p>
    <w:p>
      <w:pPr>
        <w:pStyle w:val="46"/>
        <w:keepNext w:val="0"/>
        <w:keepLines w:val="0"/>
        <w:pageBreakBefore w:val="0"/>
        <w:widowControl/>
        <w:suppressLineNumbers w:val="0"/>
        <w:kinsoku/>
        <w:topLinePunct w:val="0"/>
        <w:bidi w:val="0"/>
        <w:spacing w:before="0" w:beforeLines="0" w:beforeAutospacing="0" w:after="0" w:afterLines="0" w:afterAutospacing="0" w:line="360" w:lineRule="auto"/>
        <w:rPr>
          <w:rFonts w:hint="eastAsia" w:asciiTheme="minorEastAsia" w:hAnsiTheme="minorEastAsia" w:eastAsiaTheme="minorEastAsia" w:cstheme="minorEastAsia"/>
          <w:b w:val="0"/>
          <w:bCs w:val="0"/>
          <w:i w:val="0"/>
          <w:caps w:val="0"/>
          <w:color w:val="auto"/>
          <w:spacing w:val="0"/>
          <w:sz w:val="21"/>
          <w:szCs w:val="21"/>
          <w:highlight w:val="none"/>
        </w:rPr>
      </w:pPr>
      <w:r>
        <w:rPr>
          <w:rStyle w:val="54"/>
          <w:rFonts w:hint="eastAsia" w:asciiTheme="minorEastAsia" w:hAnsiTheme="minorEastAsia" w:eastAsiaTheme="minorEastAsia" w:cstheme="minorEastAsia"/>
          <w:b w:val="0"/>
          <w:bCs w:val="0"/>
          <w:i w:val="0"/>
          <w:caps w:val="0"/>
          <w:color w:val="auto"/>
          <w:spacing w:val="0"/>
          <w:sz w:val="21"/>
          <w:szCs w:val="21"/>
          <w:highlight w:val="none"/>
          <w:lang w:val="en-US" w:eastAsia="zh-CN"/>
        </w:rPr>
        <w:t>（5）</w:t>
      </w:r>
      <w:r>
        <w:rPr>
          <w:rStyle w:val="54"/>
          <w:rFonts w:hint="eastAsia" w:asciiTheme="minorEastAsia" w:hAnsiTheme="minorEastAsia" w:eastAsiaTheme="minorEastAsia" w:cstheme="minorEastAsia"/>
          <w:b w:val="0"/>
          <w:bCs w:val="0"/>
          <w:i w:val="0"/>
          <w:caps w:val="0"/>
          <w:color w:val="auto"/>
          <w:spacing w:val="0"/>
          <w:sz w:val="21"/>
          <w:szCs w:val="21"/>
          <w:highlight w:val="none"/>
        </w:rPr>
        <w:t>提示：招标公告附件内的</w:t>
      </w:r>
      <w:r>
        <w:rPr>
          <w:rStyle w:val="54"/>
          <w:rFonts w:hint="eastAsia" w:asciiTheme="minorEastAsia" w:hAnsiTheme="minorEastAsia" w:eastAsiaTheme="minorEastAsia" w:cstheme="minorEastAsia"/>
          <w:b w:val="0"/>
          <w:bCs w:val="0"/>
          <w:i w:val="0"/>
          <w:caps w:val="0"/>
          <w:color w:val="auto"/>
          <w:spacing w:val="0"/>
          <w:sz w:val="21"/>
          <w:szCs w:val="21"/>
          <w:highlight w:val="none"/>
          <w:lang w:val="en-US" w:eastAsia="zh-CN"/>
        </w:rPr>
        <w:t>磋商</w:t>
      </w:r>
      <w:r>
        <w:rPr>
          <w:rStyle w:val="54"/>
          <w:rFonts w:hint="eastAsia" w:asciiTheme="minorEastAsia" w:hAnsiTheme="minorEastAsia" w:eastAsiaTheme="minorEastAsia" w:cstheme="minorEastAsia"/>
          <w:b w:val="0"/>
          <w:bCs w:val="0"/>
          <w:i w:val="0"/>
          <w:caps w:val="0"/>
          <w:color w:val="auto"/>
          <w:spacing w:val="0"/>
          <w:sz w:val="21"/>
          <w:szCs w:val="21"/>
          <w:highlight w:val="none"/>
        </w:rPr>
        <w:t>文件（或采购需求）仅供阅览使用，供应商只有在“政府采购云平台”完成获取</w:t>
      </w:r>
      <w:r>
        <w:rPr>
          <w:rStyle w:val="54"/>
          <w:rFonts w:hint="eastAsia" w:asciiTheme="minorEastAsia" w:hAnsiTheme="minorEastAsia" w:eastAsiaTheme="minorEastAsia" w:cstheme="minorEastAsia"/>
          <w:b w:val="0"/>
          <w:bCs w:val="0"/>
          <w:i w:val="0"/>
          <w:caps w:val="0"/>
          <w:color w:val="auto"/>
          <w:spacing w:val="0"/>
          <w:sz w:val="21"/>
          <w:szCs w:val="21"/>
          <w:highlight w:val="none"/>
          <w:lang w:eastAsia="zh-CN"/>
        </w:rPr>
        <w:t>磋商文件</w:t>
      </w:r>
      <w:r>
        <w:rPr>
          <w:rStyle w:val="54"/>
          <w:rFonts w:hint="eastAsia" w:asciiTheme="minorEastAsia" w:hAnsiTheme="minorEastAsia" w:eastAsiaTheme="minorEastAsia" w:cstheme="minorEastAsia"/>
          <w:b w:val="0"/>
          <w:bCs w:val="0"/>
          <w:i w:val="0"/>
          <w:caps w:val="0"/>
          <w:color w:val="auto"/>
          <w:spacing w:val="0"/>
          <w:sz w:val="21"/>
          <w:szCs w:val="21"/>
          <w:highlight w:val="none"/>
        </w:rPr>
        <w:t>申请并下载了</w:t>
      </w:r>
      <w:r>
        <w:rPr>
          <w:rStyle w:val="54"/>
          <w:rFonts w:hint="eastAsia" w:asciiTheme="minorEastAsia" w:hAnsiTheme="minorEastAsia" w:eastAsiaTheme="minorEastAsia" w:cstheme="minorEastAsia"/>
          <w:b w:val="0"/>
          <w:bCs w:val="0"/>
          <w:i w:val="0"/>
          <w:caps w:val="0"/>
          <w:color w:val="auto"/>
          <w:spacing w:val="0"/>
          <w:sz w:val="21"/>
          <w:szCs w:val="21"/>
          <w:highlight w:val="none"/>
          <w:lang w:eastAsia="zh-CN"/>
        </w:rPr>
        <w:t>磋商文件</w:t>
      </w:r>
      <w:r>
        <w:rPr>
          <w:rStyle w:val="54"/>
          <w:rFonts w:hint="eastAsia" w:asciiTheme="minorEastAsia" w:hAnsiTheme="minorEastAsia" w:eastAsiaTheme="minorEastAsia" w:cstheme="minorEastAsia"/>
          <w:b w:val="0"/>
          <w:bCs w:val="0"/>
          <w:i w:val="0"/>
          <w:caps w:val="0"/>
          <w:color w:val="auto"/>
          <w:spacing w:val="0"/>
          <w:sz w:val="21"/>
          <w:szCs w:val="21"/>
          <w:highlight w:val="none"/>
        </w:rPr>
        <w:t>后才视作依法获取</w:t>
      </w:r>
      <w:r>
        <w:rPr>
          <w:rStyle w:val="54"/>
          <w:rFonts w:hint="eastAsia" w:asciiTheme="minorEastAsia" w:hAnsiTheme="minorEastAsia" w:eastAsiaTheme="minorEastAsia" w:cstheme="minorEastAsia"/>
          <w:b w:val="0"/>
          <w:bCs w:val="0"/>
          <w:i w:val="0"/>
          <w:caps w:val="0"/>
          <w:color w:val="auto"/>
          <w:spacing w:val="0"/>
          <w:sz w:val="21"/>
          <w:szCs w:val="21"/>
          <w:highlight w:val="none"/>
          <w:lang w:eastAsia="zh-CN"/>
        </w:rPr>
        <w:t>磋商文件</w:t>
      </w:r>
      <w:r>
        <w:rPr>
          <w:rStyle w:val="54"/>
          <w:rFonts w:hint="eastAsia" w:asciiTheme="minorEastAsia" w:hAnsiTheme="minorEastAsia" w:eastAsiaTheme="minorEastAsia" w:cstheme="minorEastAsia"/>
          <w:b w:val="0"/>
          <w:bCs w:val="0"/>
          <w:i w:val="0"/>
          <w:caps w:val="0"/>
          <w:color w:val="auto"/>
          <w:spacing w:val="0"/>
          <w:sz w:val="21"/>
          <w:szCs w:val="21"/>
          <w:highlight w:val="none"/>
        </w:rPr>
        <w:t>（法律法规所指的供应商获取</w:t>
      </w:r>
      <w:r>
        <w:rPr>
          <w:rStyle w:val="54"/>
          <w:rFonts w:hint="eastAsia" w:asciiTheme="minorEastAsia" w:hAnsiTheme="minorEastAsia" w:eastAsiaTheme="minorEastAsia" w:cstheme="minorEastAsia"/>
          <w:b w:val="0"/>
          <w:bCs w:val="0"/>
          <w:i w:val="0"/>
          <w:caps w:val="0"/>
          <w:color w:val="auto"/>
          <w:spacing w:val="0"/>
          <w:sz w:val="21"/>
          <w:szCs w:val="21"/>
          <w:highlight w:val="none"/>
          <w:lang w:eastAsia="zh-CN"/>
        </w:rPr>
        <w:t>磋商文件</w:t>
      </w:r>
      <w:r>
        <w:rPr>
          <w:rStyle w:val="54"/>
          <w:rFonts w:hint="eastAsia" w:asciiTheme="minorEastAsia" w:hAnsiTheme="minorEastAsia" w:eastAsiaTheme="minorEastAsia" w:cstheme="minorEastAsia"/>
          <w:b w:val="0"/>
          <w:bCs w:val="0"/>
          <w:i w:val="0"/>
          <w:caps w:val="0"/>
          <w:color w:val="auto"/>
          <w:spacing w:val="0"/>
          <w:sz w:val="21"/>
          <w:szCs w:val="21"/>
          <w:highlight w:val="none"/>
        </w:rPr>
        <w:t>时间以供应商完成获取</w:t>
      </w:r>
      <w:r>
        <w:rPr>
          <w:rStyle w:val="54"/>
          <w:rFonts w:hint="eastAsia" w:asciiTheme="minorEastAsia" w:hAnsiTheme="minorEastAsia" w:eastAsiaTheme="minorEastAsia" w:cstheme="minorEastAsia"/>
          <w:b w:val="0"/>
          <w:bCs w:val="0"/>
          <w:i w:val="0"/>
          <w:caps w:val="0"/>
          <w:color w:val="auto"/>
          <w:spacing w:val="0"/>
          <w:sz w:val="21"/>
          <w:szCs w:val="21"/>
          <w:highlight w:val="none"/>
          <w:lang w:eastAsia="zh-CN"/>
        </w:rPr>
        <w:t>磋商文件</w:t>
      </w:r>
      <w:r>
        <w:rPr>
          <w:rStyle w:val="54"/>
          <w:rFonts w:hint="eastAsia" w:asciiTheme="minorEastAsia" w:hAnsiTheme="minorEastAsia" w:eastAsiaTheme="minorEastAsia" w:cstheme="minorEastAsia"/>
          <w:b w:val="0"/>
          <w:bCs w:val="0"/>
          <w:i w:val="0"/>
          <w:caps w:val="0"/>
          <w:color w:val="auto"/>
          <w:spacing w:val="0"/>
          <w:sz w:val="21"/>
          <w:szCs w:val="21"/>
          <w:highlight w:val="none"/>
        </w:rPr>
        <w:t>申请后下载</w:t>
      </w:r>
      <w:r>
        <w:rPr>
          <w:rStyle w:val="54"/>
          <w:rFonts w:hint="eastAsia" w:asciiTheme="minorEastAsia" w:hAnsiTheme="minorEastAsia" w:eastAsiaTheme="minorEastAsia" w:cstheme="minorEastAsia"/>
          <w:b w:val="0"/>
          <w:bCs w:val="0"/>
          <w:i w:val="0"/>
          <w:caps w:val="0"/>
          <w:color w:val="auto"/>
          <w:spacing w:val="0"/>
          <w:sz w:val="21"/>
          <w:szCs w:val="21"/>
          <w:highlight w:val="none"/>
          <w:lang w:eastAsia="zh-CN"/>
        </w:rPr>
        <w:t>磋商文件</w:t>
      </w:r>
      <w:r>
        <w:rPr>
          <w:rStyle w:val="54"/>
          <w:rFonts w:hint="eastAsia" w:asciiTheme="minorEastAsia" w:hAnsiTheme="minorEastAsia" w:eastAsiaTheme="minorEastAsia" w:cstheme="minorEastAsia"/>
          <w:b w:val="0"/>
          <w:bCs w:val="0"/>
          <w:i w:val="0"/>
          <w:caps w:val="0"/>
          <w:color w:val="auto"/>
          <w:spacing w:val="0"/>
          <w:sz w:val="21"/>
          <w:szCs w:val="21"/>
          <w:highlight w:val="none"/>
        </w:rPr>
        <w:t>的时间为准）。</w:t>
      </w:r>
    </w:p>
    <w:p>
      <w:pPr>
        <w:pStyle w:val="46"/>
        <w:keepNext w:val="0"/>
        <w:keepLines w:val="0"/>
        <w:pageBreakBefore w:val="0"/>
        <w:widowControl/>
        <w:suppressLineNumbers w:val="0"/>
        <w:kinsoku/>
        <w:topLinePunct w:val="0"/>
        <w:bidi w:val="0"/>
        <w:spacing w:before="0" w:beforeLines="0" w:beforeAutospacing="0" w:after="0" w:afterLines="0" w:afterAutospacing="0" w:line="360" w:lineRule="auto"/>
        <w:ind w:firstLine="420" w:firstLineChars="200"/>
        <w:rPr>
          <w:rFonts w:hint="eastAsia" w:asciiTheme="minorEastAsia" w:hAnsiTheme="minorEastAsia" w:eastAsiaTheme="minorEastAsia" w:cstheme="minorEastAsia"/>
          <w:b w:val="0"/>
          <w:bCs w:val="0"/>
          <w:color w:val="auto"/>
          <w:sz w:val="21"/>
          <w:szCs w:val="21"/>
          <w:highlight w:val="none"/>
        </w:rPr>
      </w:pPr>
      <w:r>
        <w:rPr>
          <w:rStyle w:val="54"/>
          <w:rFonts w:hint="eastAsia" w:asciiTheme="minorEastAsia" w:hAnsiTheme="minorEastAsia" w:eastAsiaTheme="minorEastAsia" w:cstheme="minorEastAsia"/>
          <w:b w:val="0"/>
          <w:bCs w:val="0"/>
          <w:i w:val="0"/>
          <w:caps w:val="0"/>
          <w:color w:val="auto"/>
          <w:spacing w:val="0"/>
          <w:sz w:val="21"/>
          <w:szCs w:val="21"/>
          <w:highlight w:val="none"/>
        </w:rPr>
        <w:t>注：请供应商按上述要求获取</w:t>
      </w:r>
      <w:r>
        <w:rPr>
          <w:rStyle w:val="54"/>
          <w:rFonts w:hint="eastAsia" w:asciiTheme="minorEastAsia" w:hAnsiTheme="minorEastAsia" w:eastAsiaTheme="minorEastAsia" w:cstheme="minorEastAsia"/>
          <w:b w:val="0"/>
          <w:bCs w:val="0"/>
          <w:i w:val="0"/>
          <w:caps w:val="0"/>
          <w:color w:val="auto"/>
          <w:spacing w:val="0"/>
          <w:sz w:val="21"/>
          <w:szCs w:val="21"/>
          <w:highlight w:val="none"/>
          <w:lang w:val="en-US" w:eastAsia="zh-CN"/>
        </w:rPr>
        <w:t>磋商</w:t>
      </w:r>
      <w:r>
        <w:rPr>
          <w:rStyle w:val="54"/>
          <w:rFonts w:hint="eastAsia" w:asciiTheme="minorEastAsia" w:hAnsiTheme="minorEastAsia" w:eastAsiaTheme="minorEastAsia" w:cstheme="minorEastAsia"/>
          <w:b w:val="0"/>
          <w:bCs w:val="0"/>
          <w:i w:val="0"/>
          <w:caps w:val="0"/>
          <w:color w:val="auto"/>
          <w:spacing w:val="0"/>
          <w:sz w:val="21"/>
          <w:szCs w:val="21"/>
          <w:highlight w:val="none"/>
        </w:rPr>
        <w:t>文件，如未在“</w:t>
      </w:r>
      <w:r>
        <w:rPr>
          <w:rStyle w:val="54"/>
          <w:rFonts w:hint="eastAsia" w:asciiTheme="minorEastAsia" w:hAnsiTheme="minorEastAsia" w:eastAsiaTheme="minorEastAsia" w:cstheme="minorEastAsia"/>
          <w:b w:val="0"/>
          <w:bCs w:val="0"/>
          <w:i w:val="0"/>
          <w:caps w:val="0"/>
          <w:color w:val="auto"/>
          <w:spacing w:val="0"/>
          <w:sz w:val="21"/>
          <w:szCs w:val="21"/>
          <w:highlight w:val="none"/>
          <w:lang w:val="en-US" w:eastAsia="zh-CN"/>
        </w:rPr>
        <w:t>政府采购云平台</w:t>
      </w:r>
      <w:r>
        <w:rPr>
          <w:rStyle w:val="54"/>
          <w:rFonts w:hint="eastAsia" w:asciiTheme="minorEastAsia" w:hAnsiTheme="minorEastAsia" w:eastAsiaTheme="minorEastAsia" w:cstheme="minorEastAsia"/>
          <w:b w:val="0"/>
          <w:bCs w:val="0"/>
          <w:i w:val="0"/>
          <w:caps w:val="0"/>
          <w:color w:val="auto"/>
          <w:spacing w:val="0"/>
          <w:sz w:val="21"/>
          <w:szCs w:val="21"/>
          <w:highlight w:val="none"/>
        </w:rPr>
        <w:t>”系统内完成相关流程，引起的投标无效责任自负。</w:t>
      </w:r>
    </w:p>
    <w:p>
      <w:pPr>
        <w:pStyle w:val="46"/>
        <w:spacing w:before="0" w:beforeAutospacing="0" w:after="0" w:afterAutospacing="0"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5.</w:t>
      </w:r>
      <w:r>
        <w:rPr>
          <w:rFonts w:hint="eastAsia" w:asciiTheme="minorEastAsia" w:hAnsiTheme="minorEastAsia" w:eastAsiaTheme="minorEastAsia" w:cstheme="minorEastAsia"/>
          <w:b/>
          <w:bCs/>
          <w:color w:val="auto"/>
          <w:sz w:val="21"/>
          <w:szCs w:val="21"/>
          <w:highlight w:val="none"/>
        </w:rPr>
        <w:t>磋商文件答疑：供应商对磋商文件提出质疑的，应当在获取磋商文件或者磋商文件公告期限届满之日起7个工作日内以书面形式提出，否则被质疑人可不予接受。</w:t>
      </w:r>
    </w:p>
    <w:p>
      <w:pPr>
        <w:pStyle w:val="46"/>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rPr>
        <w:t>.投标保证金</w:t>
      </w:r>
    </w:p>
    <w:p>
      <w:pPr>
        <w:spacing w:line="360" w:lineRule="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本项目不收取投标保证金。</w:t>
      </w:r>
    </w:p>
    <w:p>
      <w:pPr>
        <w:spacing w:line="360" w:lineRule="auto"/>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7</w:t>
      </w:r>
      <w:r>
        <w:rPr>
          <w:rFonts w:hint="eastAsia" w:asciiTheme="minorEastAsia" w:hAnsiTheme="minorEastAsia" w:eastAsiaTheme="minorEastAsia" w:cstheme="minorEastAsia"/>
          <w:b/>
          <w:bCs/>
          <w:color w:val="auto"/>
          <w:kern w:val="0"/>
          <w:sz w:val="21"/>
          <w:szCs w:val="21"/>
          <w:highlight w:val="none"/>
        </w:rPr>
        <w:t>.投标说明</w:t>
      </w:r>
    </w:p>
    <w:p>
      <w:pPr>
        <w:spacing w:line="360" w:lineRule="auto"/>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u w:val="single"/>
        </w:rPr>
        <w:t>（1）本项目实行电子投标，供应商应按照本项目磋商文件和政采云平台的要求编制、加密并递交响应文件。供应商在使用系统进行投标的过程中遇到涉及平台使用的任何问题，可致电政采云平台技术支持热线咨询，联系方式：</w:t>
      </w:r>
      <w:r>
        <w:rPr>
          <w:rFonts w:hint="eastAsia" w:asciiTheme="minorEastAsia" w:hAnsiTheme="minorEastAsia" w:eastAsiaTheme="minorEastAsia" w:cstheme="minorEastAsia"/>
          <w:color w:val="auto"/>
          <w:kern w:val="0"/>
          <w:sz w:val="21"/>
          <w:szCs w:val="21"/>
          <w:highlight w:val="none"/>
          <w:u w:val="single"/>
          <w:lang w:val="en-US" w:eastAsia="zh-CN"/>
        </w:rPr>
        <w:t>95763</w:t>
      </w:r>
      <w:r>
        <w:rPr>
          <w:rFonts w:hint="eastAsia" w:asciiTheme="minorEastAsia" w:hAnsiTheme="minorEastAsia" w:eastAsiaTheme="minorEastAsia" w:cstheme="minorEastAsia"/>
          <w:color w:val="auto"/>
          <w:kern w:val="0"/>
          <w:sz w:val="21"/>
          <w:szCs w:val="21"/>
          <w:highlight w:val="none"/>
          <w:u w:val="single"/>
        </w:rPr>
        <w:t>。</w:t>
      </w:r>
    </w:p>
    <w:p>
      <w:pPr>
        <w:spacing w:line="360" w:lineRule="auto"/>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u w:val="single"/>
        </w:rPr>
        <w:t>（2）供应商通过政采云平台电子投标工具制作响应文件，电子投标工具请供应商自行前往浙江政府采购网下载并安装，（下载网址：</w:t>
      </w:r>
      <w:r>
        <w:rPr>
          <w:rFonts w:hint="eastAsia" w:asciiTheme="minorEastAsia" w:hAnsiTheme="minorEastAsia" w:eastAsiaTheme="minorEastAsia" w:cstheme="minorEastAsia"/>
          <w:color w:val="0000FF"/>
          <w:sz w:val="21"/>
          <w:szCs w:val="21"/>
          <w:highlight w:val="none"/>
        </w:rPr>
        <w:fldChar w:fldCharType="begin"/>
      </w:r>
      <w:r>
        <w:rPr>
          <w:rFonts w:hint="eastAsia" w:asciiTheme="minorEastAsia" w:hAnsiTheme="minorEastAsia" w:eastAsiaTheme="minorEastAsia" w:cstheme="minorEastAsia"/>
          <w:color w:val="0000FF"/>
          <w:sz w:val="21"/>
          <w:szCs w:val="21"/>
          <w:highlight w:val="none"/>
        </w:rPr>
        <w:instrText xml:space="preserve"> HYPERLINK "https://customer.zcygov.cn/CA-driver-download?utm=web-login-front.75ab4087.0.0.f8e5d230c7c411ea9e54c97a8e384567" </w:instrText>
      </w:r>
      <w:r>
        <w:rPr>
          <w:rFonts w:hint="eastAsia" w:asciiTheme="minorEastAsia" w:hAnsiTheme="minorEastAsia" w:eastAsiaTheme="minorEastAsia" w:cstheme="minorEastAsia"/>
          <w:color w:val="0000FF"/>
          <w:sz w:val="21"/>
          <w:szCs w:val="21"/>
          <w:highlight w:val="none"/>
        </w:rPr>
        <w:fldChar w:fldCharType="separate"/>
      </w:r>
      <w:r>
        <w:rPr>
          <w:rStyle w:val="58"/>
          <w:rFonts w:hint="eastAsia" w:asciiTheme="minorEastAsia" w:hAnsiTheme="minorEastAsia" w:eastAsiaTheme="minorEastAsia" w:cstheme="minorEastAsia"/>
          <w:color w:val="0000FF"/>
          <w:kern w:val="0"/>
          <w:sz w:val="21"/>
          <w:szCs w:val="21"/>
          <w:highlight w:val="none"/>
        </w:rPr>
        <w:t>https://customer.zcygov.cn/CA-driver-download?utm=web-login-front.75ab4087.0.0.f8e5d230c7c411ea9e54c97a8e384567</w:t>
      </w:r>
      <w:r>
        <w:rPr>
          <w:rStyle w:val="58"/>
          <w:rFonts w:hint="eastAsia" w:asciiTheme="minorEastAsia" w:hAnsiTheme="minorEastAsia" w:eastAsiaTheme="minorEastAsia" w:cstheme="minorEastAsia"/>
          <w:color w:val="0000FF"/>
          <w:kern w:val="0"/>
          <w:sz w:val="21"/>
          <w:szCs w:val="21"/>
          <w:highlight w:val="none"/>
        </w:rPr>
        <w:fldChar w:fldCharType="end"/>
      </w:r>
      <w:r>
        <w:rPr>
          <w:rFonts w:hint="eastAsia" w:asciiTheme="minorEastAsia" w:hAnsiTheme="minorEastAsia" w:eastAsiaTheme="minorEastAsia" w:cstheme="minorEastAsia"/>
          <w:color w:val="0000FF"/>
          <w:kern w:val="0"/>
          <w:sz w:val="21"/>
          <w:szCs w:val="21"/>
          <w:highlight w:val="none"/>
          <w:u w:val="single"/>
        </w:rPr>
        <w:t>）</w:t>
      </w:r>
      <w:r>
        <w:rPr>
          <w:rFonts w:hint="eastAsia" w:asciiTheme="minorEastAsia" w:hAnsiTheme="minorEastAsia" w:eastAsiaTheme="minorEastAsia" w:cstheme="minorEastAsia"/>
          <w:color w:val="auto"/>
          <w:kern w:val="0"/>
          <w:sz w:val="21"/>
          <w:szCs w:val="21"/>
          <w:highlight w:val="none"/>
          <w:u w:val="single"/>
        </w:rPr>
        <w:t>电子投标具体流程详见本招标公告附件：“政采云供应商项目采购-电子招投标操作指南.pdf”。</w:t>
      </w:r>
    </w:p>
    <w:p>
      <w:pPr>
        <w:spacing w:line="360" w:lineRule="auto"/>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u w:val="single"/>
        </w:rPr>
        <w:t>（3）供应商应在开标前完成CA数字证书办理。（办理流程详见</w:t>
      </w:r>
      <w:r>
        <w:rPr>
          <w:rFonts w:hint="eastAsia" w:asciiTheme="minorEastAsia" w:hAnsiTheme="minorEastAsia" w:eastAsiaTheme="minorEastAsia" w:cstheme="minorEastAsia"/>
          <w:color w:val="0000FF"/>
          <w:sz w:val="21"/>
          <w:szCs w:val="21"/>
          <w:highlight w:val="none"/>
        </w:rPr>
        <w:fldChar w:fldCharType="begin"/>
      </w:r>
      <w:r>
        <w:rPr>
          <w:rFonts w:hint="eastAsia" w:asciiTheme="minorEastAsia" w:hAnsiTheme="minorEastAsia" w:eastAsiaTheme="minorEastAsia" w:cstheme="minorEastAsia"/>
          <w:color w:val="0000FF"/>
          <w:sz w:val="21"/>
          <w:szCs w:val="21"/>
          <w:highlight w:val="none"/>
        </w:rPr>
        <w:instrText xml:space="preserve"> HYPERLINK "https://middle.zcygov.cn/ca/apply/edit" </w:instrText>
      </w:r>
      <w:r>
        <w:rPr>
          <w:rFonts w:hint="eastAsia" w:asciiTheme="minorEastAsia" w:hAnsiTheme="minorEastAsia" w:eastAsiaTheme="minorEastAsia" w:cstheme="minorEastAsia"/>
          <w:color w:val="0000FF"/>
          <w:sz w:val="21"/>
          <w:szCs w:val="21"/>
          <w:highlight w:val="none"/>
        </w:rPr>
        <w:fldChar w:fldCharType="separate"/>
      </w:r>
      <w:r>
        <w:rPr>
          <w:rStyle w:val="58"/>
          <w:rFonts w:hint="eastAsia" w:asciiTheme="minorEastAsia" w:hAnsiTheme="minorEastAsia" w:eastAsiaTheme="minorEastAsia" w:cstheme="minorEastAsia"/>
          <w:color w:val="0000FF"/>
          <w:kern w:val="0"/>
          <w:sz w:val="21"/>
          <w:szCs w:val="21"/>
          <w:highlight w:val="none"/>
        </w:rPr>
        <w:t>https://middle.zcygov.cn/ca/apply/edit</w:t>
      </w:r>
      <w:r>
        <w:rPr>
          <w:rStyle w:val="58"/>
          <w:rFonts w:hint="eastAsia" w:asciiTheme="minorEastAsia" w:hAnsiTheme="minorEastAsia" w:eastAsiaTheme="minorEastAsia" w:cstheme="minorEastAsia"/>
          <w:color w:val="0000FF"/>
          <w:kern w:val="0"/>
          <w:sz w:val="21"/>
          <w:szCs w:val="21"/>
          <w:highlight w:val="none"/>
        </w:rPr>
        <w:fldChar w:fldCharType="end"/>
      </w:r>
      <w:r>
        <w:rPr>
          <w:rFonts w:hint="eastAsia" w:asciiTheme="minorEastAsia" w:hAnsiTheme="minorEastAsia" w:eastAsiaTheme="minorEastAsia" w:cstheme="minorEastAsia"/>
          <w:color w:val="auto"/>
          <w:kern w:val="0"/>
          <w:sz w:val="21"/>
          <w:szCs w:val="21"/>
          <w:highlight w:val="none"/>
          <w:u w:val="single"/>
        </w:rPr>
        <w:t>，完成CA数字证书办理预计一周左右，请各供应商自行把握时间，汇信客服电话：400-888-4636，天谷客服电话：400-087-8198）。</w:t>
      </w:r>
    </w:p>
    <w:p>
      <w:pPr>
        <w:spacing w:line="360" w:lineRule="auto"/>
        <w:rPr>
          <w:rFonts w:hint="eastAsia" w:asciiTheme="minorEastAsia" w:hAnsiTheme="minorEastAsia" w:eastAsiaTheme="minorEastAsia" w:cstheme="minorEastAsia"/>
          <w:b/>
          <w:bCs/>
          <w:color w:val="auto"/>
          <w:kern w:val="0"/>
          <w:sz w:val="21"/>
          <w:szCs w:val="21"/>
          <w:highlight w:val="none"/>
          <w:u w:val="single"/>
          <w:shd w:val="pct10" w:color="auto" w:fill="FFFFFF"/>
        </w:rPr>
      </w:pPr>
      <w:r>
        <w:rPr>
          <w:rFonts w:hint="eastAsia" w:asciiTheme="minorEastAsia" w:hAnsiTheme="minorEastAsia" w:eastAsiaTheme="minorEastAsia" w:cstheme="minorEastAsia"/>
          <w:color w:val="auto"/>
          <w:kern w:val="0"/>
          <w:sz w:val="21"/>
          <w:szCs w:val="21"/>
          <w:highlight w:val="none"/>
          <w:u w:val="single"/>
        </w:rPr>
        <w:t>（4）供应商应当在投标截止时间前完成电子响应文件的传输递交，并可以补充、修改或者撤回电子响应文件。补充或者修改电子响应文件的，应当先行撤回原文件，补充、修改后重新传输递交。</w:t>
      </w:r>
      <w:r>
        <w:rPr>
          <w:rFonts w:hint="eastAsia" w:asciiTheme="minorEastAsia" w:hAnsiTheme="minorEastAsia" w:eastAsiaTheme="minorEastAsia" w:cstheme="minorEastAsia"/>
          <w:b/>
          <w:bCs/>
          <w:color w:val="auto"/>
          <w:kern w:val="0"/>
          <w:sz w:val="21"/>
          <w:szCs w:val="21"/>
          <w:highlight w:val="none"/>
          <w:u w:val="single"/>
        </w:rPr>
        <w:t>投标截止时间后传输、递交的响应文件，将被拒收。</w:t>
      </w:r>
    </w:p>
    <w:p>
      <w:pPr>
        <w:spacing w:line="360" w:lineRule="auto"/>
        <w:rPr>
          <w:rFonts w:hint="eastAsia" w:asciiTheme="minorEastAsia" w:hAnsiTheme="minorEastAsia" w:eastAsiaTheme="minorEastAsia" w:cstheme="minorEastAsia"/>
          <w:b/>
          <w:bCs/>
          <w:color w:val="auto"/>
          <w:kern w:val="0"/>
          <w:sz w:val="21"/>
          <w:szCs w:val="21"/>
          <w:highlight w:val="none"/>
          <w:u w:val="single"/>
          <w:shd w:val="pct10" w:color="auto" w:fill="FFFFFF"/>
        </w:rPr>
      </w:pPr>
      <w:r>
        <w:rPr>
          <w:rFonts w:hint="eastAsia" w:asciiTheme="minorEastAsia" w:hAnsiTheme="minorEastAsia" w:eastAsiaTheme="minorEastAsia" w:cstheme="minorEastAsia"/>
          <w:b/>
          <w:bCs/>
          <w:color w:val="auto"/>
          <w:kern w:val="0"/>
          <w:sz w:val="21"/>
          <w:szCs w:val="21"/>
          <w:highlight w:val="none"/>
          <w:u w:val="single"/>
          <w:shd w:val="pct10" w:color="auto" w:fill="FFFFFF"/>
        </w:rPr>
        <w:t>（5）本磋商文件中关于电子招投标内容、流程如与政采云系统中最新的内容、操作不一致的，以政采云系统中的要求为准。</w:t>
      </w:r>
    </w:p>
    <w:p>
      <w:pPr>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8</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b/>
          <w:color w:val="auto"/>
          <w:sz w:val="21"/>
          <w:szCs w:val="21"/>
          <w:highlight w:val="none"/>
        </w:rPr>
        <w:t>响应文件的组成、效力</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（1）本项目实行电子投标，供应商应准备电子响应文件，本项目线下无需提供任何备份响应文件。电子响应文件，按政采云平台项目采购--电子招投标操作指南及本磋商文件要求编制。</w:t>
      </w:r>
    </w:p>
    <w:p>
      <w:pPr>
        <w:spacing w:line="360" w:lineRule="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（2）未在</w:t>
      </w:r>
      <w:r>
        <w:rPr>
          <w:rFonts w:hint="eastAsia" w:asciiTheme="minorEastAsia" w:hAnsiTheme="minorEastAsia" w:eastAsiaTheme="minorEastAsia" w:cstheme="minorEastAsia"/>
          <w:color w:val="auto"/>
          <w:kern w:val="0"/>
          <w:sz w:val="21"/>
          <w:szCs w:val="21"/>
          <w:highlight w:val="none"/>
          <w:u w:val="single"/>
        </w:rPr>
        <w:t>“政府采购云平台”</w:t>
      </w:r>
      <w:r>
        <w:rPr>
          <w:rFonts w:hint="eastAsia" w:asciiTheme="minorEastAsia" w:hAnsiTheme="minorEastAsia" w:eastAsiaTheme="minorEastAsia" w:cstheme="minorEastAsia"/>
          <w:color w:val="auto"/>
          <w:sz w:val="21"/>
          <w:szCs w:val="21"/>
          <w:highlight w:val="none"/>
          <w:u w:val="single"/>
        </w:rPr>
        <w:t>传输递交电子响应文件的，投标无效。</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9</w:t>
      </w:r>
      <w:r>
        <w:rPr>
          <w:rFonts w:hint="eastAsia" w:asciiTheme="minorEastAsia" w:hAnsiTheme="minorEastAsia" w:eastAsiaTheme="minorEastAsia" w:cstheme="minorEastAsia"/>
          <w:b/>
          <w:color w:val="auto"/>
          <w:sz w:val="21"/>
          <w:szCs w:val="21"/>
          <w:highlight w:val="none"/>
        </w:rPr>
        <w:t>.投标截止时间及电子响应文件的递交</w:t>
      </w:r>
    </w:p>
    <w:p>
      <w:pPr>
        <w:spacing w:line="360" w:lineRule="auto"/>
        <w:rPr>
          <w:rFonts w:hint="eastAsia" w:asciiTheme="minorEastAsia" w:hAnsiTheme="minorEastAsia" w:eastAsiaTheme="minorEastAsia" w:cstheme="minorEastAsia"/>
          <w:b/>
          <w:bCs/>
          <w:color w:val="auto"/>
          <w:kern w:val="0"/>
          <w:sz w:val="21"/>
          <w:szCs w:val="21"/>
          <w:highlight w:val="none"/>
          <w:u w:val="single"/>
        </w:rPr>
      </w:pPr>
      <w:r>
        <w:rPr>
          <w:rFonts w:hint="eastAsia" w:asciiTheme="minorEastAsia" w:hAnsiTheme="minorEastAsia" w:eastAsiaTheme="minorEastAsia" w:cstheme="minorEastAsia"/>
          <w:b/>
          <w:bCs/>
          <w:color w:val="auto"/>
          <w:kern w:val="0"/>
          <w:sz w:val="21"/>
          <w:szCs w:val="21"/>
          <w:highlight w:val="none"/>
        </w:rPr>
        <w:t>电子响应文件</w:t>
      </w:r>
      <w:r>
        <w:rPr>
          <w:rFonts w:hint="eastAsia" w:asciiTheme="minorEastAsia" w:hAnsiTheme="minorEastAsia" w:eastAsiaTheme="minorEastAsia" w:cstheme="minorEastAsia"/>
          <w:b/>
          <w:color w:val="auto"/>
          <w:sz w:val="21"/>
          <w:szCs w:val="21"/>
          <w:highlight w:val="none"/>
        </w:rPr>
        <w:t>投标截止时间：</w:t>
      </w:r>
      <w:r>
        <w:rPr>
          <w:rFonts w:hint="eastAsia" w:asciiTheme="minorEastAsia" w:hAnsiTheme="minorEastAsia" w:eastAsiaTheme="minorEastAsia" w:cstheme="minorEastAsia"/>
          <w:b/>
          <w:color w:val="FF0000"/>
          <w:sz w:val="21"/>
          <w:szCs w:val="21"/>
          <w:highlight w:val="none"/>
        </w:rPr>
        <w:t>202</w:t>
      </w:r>
      <w:r>
        <w:rPr>
          <w:rFonts w:hint="eastAsia" w:asciiTheme="minorEastAsia" w:hAnsiTheme="minorEastAsia" w:eastAsiaTheme="minorEastAsia" w:cstheme="minorEastAsia"/>
          <w:b/>
          <w:color w:val="FF0000"/>
          <w:sz w:val="21"/>
          <w:szCs w:val="21"/>
          <w:highlight w:val="none"/>
          <w:lang w:val="en-US" w:eastAsia="zh-CN"/>
        </w:rPr>
        <w:t>4</w:t>
      </w:r>
      <w:r>
        <w:rPr>
          <w:rFonts w:hint="eastAsia" w:asciiTheme="minorEastAsia" w:hAnsiTheme="minorEastAsia" w:eastAsiaTheme="minorEastAsia" w:cstheme="minorEastAsia"/>
          <w:b/>
          <w:color w:val="FF0000"/>
          <w:sz w:val="21"/>
          <w:szCs w:val="21"/>
          <w:highlight w:val="none"/>
        </w:rPr>
        <w:t>年</w:t>
      </w:r>
      <w:r>
        <w:rPr>
          <w:rFonts w:hint="eastAsia" w:asciiTheme="minorEastAsia" w:hAnsiTheme="minorEastAsia" w:eastAsiaTheme="minorEastAsia" w:cstheme="minorEastAsia"/>
          <w:b/>
          <w:color w:val="FF0000"/>
          <w:sz w:val="21"/>
          <w:szCs w:val="21"/>
          <w:highlight w:val="none"/>
          <w:lang w:val="en-US" w:eastAsia="zh-CN"/>
        </w:rPr>
        <w:t>5</w:t>
      </w:r>
      <w:r>
        <w:rPr>
          <w:rFonts w:hint="eastAsia" w:asciiTheme="minorEastAsia" w:hAnsiTheme="minorEastAsia" w:eastAsiaTheme="minorEastAsia" w:cstheme="minorEastAsia"/>
          <w:b/>
          <w:color w:val="FF0000"/>
          <w:sz w:val="21"/>
          <w:szCs w:val="21"/>
          <w:highlight w:val="none"/>
        </w:rPr>
        <w:t>月</w:t>
      </w:r>
      <w:r>
        <w:rPr>
          <w:rFonts w:hint="eastAsia" w:asciiTheme="minorEastAsia" w:hAnsiTheme="minorEastAsia" w:eastAsiaTheme="minorEastAsia" w:cstheme="minorEastAsia"/>
          <w:b/>
          <w:color w:val="FF0000"/>
          <w:sz w:val="21"/>
          <w:szCs w:val="21"/>
          <w:highlight w:val="none"/>
          <w:lang w:val="en-US" w:eastAsia="zh-CN"/>
        </w:rPr>
        <w:t>10</w:t>
      </w:r>
      <w:r>
        <w:rPr>
          <w:rFonts w:hint="eastAsia" w:asciiTheme="minorEastAsia" w:hAnsiTheme="minorEastAsia" w:eastAsiaTheme="minorEastAsia" w:cstheme="minorEastAsia"/>
          <w:b/>
          <w:color w:val="FF0000"/>
          <w:sz w:val="21"/>
          <w:szCs w:val="21"/>
          <w:highlight w:val="none"/>
        </w:rPr>
        <w:t>日</w:t>
      </w:r>
      <w:r>
        <w:rPr>
          <w:rFonts w:hint="eastAsia" w:asciiTheme="minorEastAsia" w:hAnsiTheme="minorEastAsia" w:eastAsiaTheme="minorEastAsia" w:cstheme="minorEastAsia"/>
          <w:b/>
          <w:color w:val="FF0000"/>
          <w:sz w:val="21"/>
          <w:szCs w:val="21"/>
          <w:highlight w:val="none"/>
          <w:lang w:val="en-US" w:eastAsia="zh-CN"/>
        </w:rPr>
        <w:t>09</w:t>
      </w:r>
      <w:r>
        <w:rPr>
          <w:rFonts w:hint="eastAsia" w:asciiTheme="minorEastAsia" w:hAnsiTheme="minorEastAsia" w:eastAsiaTheme="minorEastAsia" w:cstheme="minorEastAsia"/>
          <w:b/>
          <w:color w:val="FF0000"/>
          <w:sz w:val="21"/>
          <w:szCs w:val="21"/>
          <w:highlight w:val="none"/>
        </w:rPr>
        <w:t>分</w:t>
      </w:r>
      <w:r>
        <w:rPr>
          <w:rFonts w:hint="eastAsia" w:asciiTheme="minorEastAsia" w:hAnsiTheme="minorEastAsia" w:eastAsiaTheme="minorEastAsia" w:cstheme="minorEastAsia"/>
          <w:b/>
          <w:color w:val="FF0000"/>
          <w:sz w:val="21"/>
          <w:szCs w:val="21"/>
          <w:highlight w:val="none"/>
          <w:lang w:val="en-US" w:eastAsia="zh-CN"/>
        </w:rPr>
        <w:t>30</w:t>
      </w:r>
      <w:r>
        <w:rPr>
          <w:rFonts w:hint="eastAsia" w:asciiTheme="minorEastAsia" w:hAnsiTheme="minorEastAsia" w:eastAsiaTheme="minorEastAsia" w:cstheme="minorEastAsia"/>
          <w:b/>
          <w:color w:val="FF0000"/>
          <w:sz w:val="21"/>
          <w:szCs w:val="21"/>
          <w:highlight w:val="none"/>
        </w:rPr>
        <w:t>秒</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供应商应于投标截止时间之前将电子响应文件上传到“政府采购云平台”。</w:t>
      </w:r>
      <w:r>
        <w:rPr>
          <w:rFonts w:hint="eastAsia" w:asciiTheme="minorEastAsia" w:hAnsiTheme="minorEastAsia" w:eastAsiaTheme="minorEastAsia" w:cstheme="minorEastAsia"/>
          <w:b/>
          <w:bCs/>
          <w:color w:val="auto"/>
          <w:kern w:val="0"/>
          <w:sz w:val="21"/>
          <w:szCs w:val="21"/>
          <w:highlight w:val="none"/>
          <w:u w:val="single"/>
        </w:rPr>
        <w:t>投标截止时间前未完成传输电子响应文件的</w:t>
      </w:r>
      <w:r>
        <w:rPr>
          <w:rFonts w:hint="eastAsia" w:asciiTheme="minorEastAsia" w:hAnsiTheme="minorEastAsia" w:eastAsiaTheme="minorEastAsia" w:cstheme="minorEastAsia"/>
          <w:b/>
          <w:bCs/>
          <w:color w:val="auto"/>
          <w:sz w:val="21"/>
          <w:szCs w:val="21"/>
          <w:highlight w:val="none"/>
          <w:u w:val="single"/>
        </w:rPr>
        <w:t>，投标无效。</w:t>
      </w:r>
    </w:p>
    <w:p>
      <w:pPr>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10</w:t>
      </w:r>
      <w:r>
        <w:rPr>
          <w:rFonts w:hint="eastAsia" w:asciiTheme="minorEastAsia" w:hAnsiTheme="minorEastAsia" w:eastAsiaTheme="minorEastAsia" w:cstheme="minorEastAsia"/>
          <w:b/>
          <w:color w:val="auto"/>
          <w:sz w:val="21"/>
          <w:szCs w:val="21"/>
          <w:highlight w:val="none"/>
        </w:rPr>
        <w:t xml:space="preserve">.临海市公共资源交易办公管理系统及开评标期间出现网络故障或停电时的应急处理措施：      </w:t>
      </w:r>
    </w:p>
    <w:p>
      <w:pPr>
        <w:spacing w:line="360" w:lineRule="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（1）开评标期间出现网络故障或停电如短时间内（半天内）可以排除并能恢复正常使用的，为不耽误项目进度，招标人（代理机构）经项目行政监管部门批准后可宣布待故障排除后再进行正常开标活动；</w:t>
      </w:r>
    </w:p>
    <w:p>
      <w:pPr>
        <w:spacing w:line="360" w:lineRule="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开评标期间出现网络故障或停电在短时间内不能排除，且无法恢复正常使用的，招标人（代理机构）报项目行政监管部门批准同意后，可宣布暂停招标活动，招标人（代理机构）应办理延期开标手续，并及时发布更正公告择日另行开标。</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w:t>
      </w:r>
      <w:r>
        <w:rPr>
          <w:rFonts w:hint="eastAsia" w:asciiTheme="minorEastAsia" w:hAnsiTheme="minorEastAsia" w:eastAsiaTheme="minorEastAsia" w:cstheme="minorEastAsia"/>
          <w:b/>
          <w:color w:val="auto"/>
          <w:sz w:val="21"/>
          <w:szCs w:val="21"/>
          <w:highlight w:val="none"/>
          <w:lang w:val="en-US" w:eastAsia="zh-CN"/>
        </w:rPr>
        <w:t>1</w:t>
      </w:r>
      <w:r>
        <w:rPr>
          <w:rFonts w:hint="eastAsia" w:asciiTheme="minorEastAsia" w:hAnsiTheme="minorEastAsia" w:eastAsiaTheme="minorEastAsia" w:cstheme="minorEastAsia"/>
          <w:b/>
          <w:color w:val="auto"/>
          <w:sz w:val="21"/>
          <w:szCs w:val="21"/>
          <w:highlight w:val="none"/>
        </w:rPr>
        <w:t>.开标</w:t>
      </w:r>
    </w:p>
    <w:p>
      <w:pPr>
        <w:spacing w:line="360" w:lineRule="auto"/>
        <w:rPr>
          <w:rFonts w:hint="eastAsia" w:asciiTheme="minorEastAsia" w:hAnsiTheme="minorEastAsia" w:eastAsiaTheme="minorEastAsia" w:cstheme="minorEastAsia"/>
          <w:color w:val="FF0000"/>
          <w:sz w:val="21"/>
          <w:szCs w:val="21"/>
          <w:highlight w:val="none"/>
          <w:lang w:eastAsia="zh-CN"/>
        </w:rPr>
      </w:pPr>
      <w:r>
        <w:rPr>
          <w:rFonts w:hint="eastAsia" w:asciiTheme="minorEastAsia" w:hAnsiTheme="minorEastAsia" w:eastAsiaTheme="minorEastAsia" w:cstheme="minorEastAsia"/>
          <w:color w:val="auto"/>
          <w:sz w:val="21"/>
          <w:szCs w:val="21"/>
          <w:highlight w:val="none"/>
        </w:rPr>
        <w:t>开标时间：</w:t>
      </w:r>
      <w:r>
        <w:rPr>
          <w:rFonts w:hint="eastAsia" w:asciiTheme="minorEastAsia" w:hAnsiTheme="minorEastAsia" w:eastAsiaTheme="minorEastAsia" w:cstheme="minorEastAsia"/>
          <w:color w:val="FF0000"/>
          <w:sz w:val="21"/>
          <w:szCs w:val="21"/>
          <w:highlight w:val="none"/>
        </w:rPr>
        <w:t>202</w:t>
      </w:r>
      <w:r>
        <w:rPr>
          <w:rFonts w:hint="eastAsia" w:asciiTheme="minorEastAsia" w:hAnsiTheme="minorEastAsia" w:eastAsiaTheme="minorEastAsia" w:cstheme="minorEastAsia"/>
          <w:color w:val="FF0000"/>
          <w:sz w:val="21"/>
          <w:szCs w:val="21"/>
          <w:highlight w:val="none"/>
          <w:lang w:val="en-US" w:eastAsia="zh-CN"/>
        </w:rPr>
        <w:t>4</w:t>
      </w:r>
      <w:r>
        <w:rPr>
          <w:rFonts w:hint="eastAsia" w:asciiTheme="minorEastAsia" w:hAnsiTheme="minorEastAsia" w:eastAsiaTheme="minorEastAsia" w:cstheme="minorEastAsia"/>
          <w:color w:val="FF0000"/>
          <w:sz w:val="21"/>
          <w:szCs w:val="21"/>
          <w:highlight w:val="none"/>
        </w:rPr>
        <w:t>年</w:t>
      </w:r>
      <w:r>
        <w:rPr>
          <w:rFonts w:hint="eastAsia" w:asciiTheme="minorEastAsia" w:hAnsiTheme="minorEastAsia" w:eastAsiaTheme="minorEastAsia" w:cstheme="minorEastAsia"/>
          <w:color w:val="FF0000"/>
          <w:sz w:val="21"/>
          <w:szCs w:val="21"/>
          <w:highlight w:val="none"/>
          <w:lang w:val="en-US" w:eastAsia="zh-CN"/>
        </w:rPr>
        <w:t>05</w:t>
      </w:r>
      <w:r>
        <w:rPr>
          <w:rFonts w:hint="eastAsia" w:asciiTheme="minorEastAsia" w:hAnsiTheme="minorEastAsia" w:eastAsiaTheme="minorEastAsia" w:cstheme="minorEastAsia"/>
          <w:color w:val="FF0000"/>
          <w:sz w:val="21"/>
          <w:szCs w:val="21"/>
          <w:highlight w:val="none"/>
        </w:rPr>
        <w:t>月</w:t>
      </w:r>
      <w:r>
        <w:rPr>
          <w:rFonts w:hint="eastAsia" w:asciiTheme="minorEastAsia" w:hAnsiTheme="minorEastAsia" w:eastAsiaTheme="minorEastAsia" w:cstheme="minorEastAsia"/>
          <w:color w:val="FF0000"/>
          <w:sz w:val="21"/>
          <w:szCs w:val="21"/>
          <w:highlight w:val="none"/>
          <w:lang w:val="en-US" w:eastAsia="zh-CN"/>
        </w:rPr>
        <w:t>10</w:t>
      </w:r>
      <w:r>
        <w:rPr>
          <w:rFonts w:hint="eastAsia" w:asciiTheme="minorEastAsia" w:hAnsiTheme="minorEastAsia" w:eastAsiaTheme="minorEastAsia" w:cstheme="minorEastAsia"/>
          <w:color w:val="FF0000"/>
          <w:sz w:val="21"/>
          <w:szCs w:val="21"/>
          <w:highlight w:val="none"/>
        </w:rPr>
        <w:t>日</w:t>
      </w:r>
      <w:r>
        <w:rPr>
          <w:rFonts w:hint="eastAsia" w:asciiTheme="minorEastAsia" w:hAnsiTheme="minorEastAsia" w:eastAsiaTheme="minorEastAsia" w:cstheme="minorEastAsia"/>
          <w:color w:val="FF0000"/>
          <w:sz w:val="21"/>
          <w:szCs w:val="21"/>
          <w:highlight w:val="none"/>
          <w:lang w:val="en-US" w:eastAsia="zh-CN"/>
        </w:rPr>
        <w:t>09</w:t>
      </w:r>
      <w:r>
        <w:rPr>
          <w:rFonts w:hint="eastAsia" w:asciiTheme="minorEastAsia" w:hAnsiTheme="minorEastAsia" w:eastAsiaTheme="minorEastAsia" w:cstheme="minorEastAsia"/>
          <w:color w:val="FF0000"/>
          <w:sz w:val="21"/>
          <w:szCs w:val="21"/>
          <w:highlight w:val="none"/>
        </w:rPr>
        <w:t>:</w:t>
      </w:r>
      <w:r>
        <w:rPr>
          <w:rFonts w:hint="eastAsia" w:asciiTheme="minorEastAsia" w:hAnsiTheme="minorEastAsia" w:eastAsiaTheme="minorEastAsia" w:cstheme="minorEastAsia"/>
          <w:color w:val="FF0000"/>
          <w:sz w:val="21"/>
          <w:szCs w:val="21"/>
          <w:highlight w:val="none"/>
          <w:lang w:val="en-US" w:eastAsia="zh-CN"/>
        </w:rPr>
        <w:t>3</w:t>
      </w:r>
      <w:r>
        <w:rPr>
          <w:rFonts w:hint="eastAsia" w:asciiTheme="minorEastAsia" w:hAnsiTheme="minorEastAsia" w:eastAsiaTheme="minorEastAsia" w:cstheme="minorEastAsia"/>
          <w:color w:val="FF0000"/>
          <w:sz w:val="21"/>
          <w:szCs w:val="21"/>
          <w:highlight w:val="none"/>
        </w:rPr>
        <w:t>0</w:t>
      </w:r>
      <w:bookmarkStart w:id="395" w:name="_GoBack"/>
      <w:bookmarkEnd w:id="395"/>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开标地点：“政府采购云平台”线上开标、线下直播开标室：临海市公共资源交易中心一楼</w:t>
      </w:r>
      <w:r>
        <w:rPr>
          <w:rFonts w:hint="eastAsia" w:asciiTheme="minorEastAsia" w:hAnsiTheme="minorEastAsia" w:eastAsiaTheme="minorEastAsia" w:cstheme="minorEastAsia"/>
          <w:color w:val="FF0000"/>
          <w:sz w:val="21"/>
          <w:szCs w:val="21"/>
          <w:highlight w:val="none"/>
          <w:u w:val="single"/>
          <w:lang w:val="en-US" w:eastAsia="zh-CN"/>
        </w:rPr>
        <w:t xml:space="preserve">   </w:t>
      </w:r>
      <w:r>
        <w:rPr>
          <w:rFonts w:hint="eastAsia" w:asciiTheme="minorEastAsia" w:hAnsiTheme="minorEastAsia" w:eastAsiaTheme="minorEastAsia" w:cstheme="minorEastAsia"/>
          <w:color w:val="FF0000"/>
          <w:sz w:val="21"/>
          <w:szCs w:val="21"/>
          <w:highlight w:val="none"/>
          <w:u w:val="none"/>
        </w:rPr>
        <w:t>号</w:t>
      </w:r>
      <w:r>
        <w:rPr>
          <w:rFonts w:hint="eastAsia" w:asciiTheme="minorEastAsia" w:hAnsiTheme="minorEastAsia" w:eastAsiaTheme="minorEastAsia" w:cstheme="minorEastAsia"/>
          <w:color w:val="auto"/>
          <w:sz w:val="21"/>
          <w:szCs w:val="21"/>
          <w:highlight w:val="none"/>
        </w:rPr>
        <w:t>开标室伍（临海市巾山中路18号，移动公司对面）</w:t>
      </w:r>
    </w:p>
    <w:p>
      <w:pPr>
        <w:spacing w:line="360" w:lineRule="auto"/>
        <w:rPr>
          <w:rFonts w:hint="eastAsia" w:asciiTheme="minorEastAsia" w:hAnsiTheme="minorEastAsia" w:eastAsiaTheme="minorEastAsia" w:cstheme="minorEastAsia"/>
          <w:b/>
          <w:color w:val="auto"/>
          <w:sz w:val="21"/>
          <w:szCs w:val="21"/>
          <w:highlight w:val="none"/>
          <w:u w:val="single"/>
          <w:shd w:val="pct10" w:color="auto" w:fill="FFFFFF"/>
        </w:rPr>
      </w:pPr>
      <w:r>
        <w:rPr>
          <w:rFonts w:hint="eastAsia" w:asciiTheme="minorEastAsia" w:hAnsiTheme="minorEastAsia" w:eastAsiaTheme="minorEastAsia" w:cstheme="minorEastAsia"/>
          <w:b/>
          <w:color w:val="auto"/>
          <w:sz w:val="21"/>
          <w:szCs w:val="21"/>
          <w:highlight w:val="none"/>
          <w:u w:val="single"/>
          <w:shd w:val="pct10" w:color="auto" w:fill="FFFFFF"/>
        </w:rPr>
        <w:t>开标时间后30分钟内（具体时间以政采云系统</w:t>
      </w:r>
      <w:bookmarkStart w:id="6" w:name="_Hlk59625364"/>
      <w:r>
        <w:rPr>
          <w:rFonts w:hint="eastAsia" w:asciiTheme="minorEastAsia" w:hAnsiTheme="minorEastAsia" w:eastAsiaTheme="minorEastAsia" w:cstheme="minorEastAsia"/>
          <w:b/>
          <w:color w:val="auto"/>
          <w:sz w:val="21"/>
          <w:szCs w:val="21"/>
          <w:highlight w:val="none"/>
          <w:u w:val="single"/>
          <w:shd w:val="pct10" w:color="auto" w:fill="FFFFFF"/>
        </w:rPr>
        <w:t>显示的</w:t>
      </w:r>
      <w:bookmarkEnd w:id="6"/>
      <w:r>
        <w:rPr>
          <w:rFonts w:hint="eastAsia" w:asciiTheme="minorEastAsia" w:hAnsiTheme="minorEastAsia" w:eastAsiaTheme="minorEastAsia" w:cstheme="minorEastAsia"/>
          <w:b/>
          <w:color w:val="auto"/>
          <w:sz w:val="21"/>
          <w:szCs w:val="21"/>
          <w:highlight w:val="none"/>
          <w:u w:val="single"/>
          <w:shd w:val="pct10" w:color="auto" w:fill="FFFFFF"/>
        </w:rPr>
        <w:t>解密截止时间为准），供应商须登录“政采云”平台，用“项目采购-开标评标”功能解密响应文件，供应商未按时解密或解密失败的，其响应文件为无效标。</w:t>
      </w:r>
    </w:p>
    <w:p>
      <w:pPr>
        <w:spacing w:line="360" w:lineRule="auto"/>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1</w:t>
      </w:r>
      <w:r>
        <w:rPr>
          <w:rFonts w:hint="eastAsia" w:asciiTheme="minorEastAsia" w:hAnsiTheme="minorEastAsia" w:eastAsiaTheme="minorEastAsia" w:cstheme="minorEastAsia"/>
          <w:b/>
          <w:color w:val="auto"/>
          <w:sz w:val="21"/>
          <w:szCs w:val="21"/>
          <w:highlight w:val="none"/>
          <w:lang w:val="en-US" w:eastAsia="zh-CN"/>
        </w:rPr>
        <w:t>2</w:t>
      </w:r>
      <w:r>
        <w:rPr>
          <w:rFonts w:hint="eastAsia" w:asciiTheme="minorEastAsia" w:hAnsiTheme="minorEastAsia" w:eastAsiaTheme="minorEastAsia" w:cstheme="minorEastAsia"/>
          <w:b/>
          <w:color w:val="auto"/>
          <w:sz w:val="21"/>
          <w:szCs w:val="21"/>
          <w:highlight w:val="none"/>
        </w:rPr>
        <w:t>.发布公告的媒介</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本次招标公告同时在</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"http://www.zjzfcg.gov.cn/new/" </w:instrText>
      </w:r>
      <w:r>
        <w:rPr>
          <w:rFonts w:hint="eastAsia" w:asciiTheme="minorEastAsia" w:hAnsiTheme="minorEastAsia" w:eastAsiaTheme="minorEastAsia" w:cstheme="minorEastAsia"/>
          <w:color w:val="auto"/>
          <w:sz w:val="21"/>
          <w:szCs w:val="21"/>
          <w:highlight w:val="none"/>
        </w:rPr>
        <w:fldChar w:fldCharType="separate"/>
      </w:r>
      <w:r>
        <w:rPr>
          <w:rStyle w:val="58"/>
          <w:rFonts w:hint="eastAsia" w:asciiTheme="minorEastAsia" w:hAnsiTheme="minorEastAsia" w:eastAsiaTheme="minorEastAsia" w:cstheme="minorEastAsia"/>
          <w:color w:val="auto"/>
          <w:sz w:val="21"/>
          <w:szCs w:val="21"/>
          <w:highlight w:val="none"/>
        </w:rPr>
        <w:t>浙江省政府采购网</w:t>
      </w:r>
      <w:r>
        <w:rPr>
          <w:rStyle w:val="58"/>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"http://www.lhzfcg.gov.cn"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u w:val="single"/>
        </w:rPr>
        <w:t>临海市公共资源交易中心</w:t>
      </w:r>
      <w:r>
        <w:rPr>
          <w:rStyle w:val="58"/>
          <w:rFonts w:hint="eastAsia" w:asciiTheme="minorEastAsia" w:hAnsiTheme="minorEastAsia" w:eastAsiaTheme="minorEastAsia" w:cstheme="minorEastAsia"/>
          <w:color w:val="auto"/>
          <w:sz w:val="21"/>
          <w:szCs w:val="21"/>
          <w:highlight w:val="none"/>
        </w:rPr>
        <w:t>网</w:t>
      </w:r>
      <w:r>
        <w:rPr>
          <w:rStyle w:val="58"/>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上发布。</w:t>
      </w:r>
    </w:p>
    <w:p>
      <w:pPr>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w:t>
      </w:r>
      <w:r>
        <w:rPr>
          <w:rFonts w:hint="eastAsia" w:asciiTheme="minorEastAsia" w:hAnsiTheme="minorEastAsia" w:eastAsiaTheme="minorEastAsia" w:cstheme="minorEastAsia"/>
          <w:b/>
          <w:color w:val="auto"/>
          <w:sz w:val="21"/>
          <w:szCs w:val="21"/>
          <w:highlight w:val="none"/>
          <w:lang w:val="en-US" w:eastAsia="zh-CN"/>
        </w:rPr>
        <w:t>3.</w:t>
      </w:r>
      <w:r>
        <w:rPr>
          <w:rFonts w:hint="eastAsia" w:asciiTheme="minorEastAsia" w:hAnsiTheme="minorEastAsia" w:eastAsiaTheme="minorEastAsia" w:cstheme="minorEastAsia"/>
          <w:b/>
          <w:color w:val="auto"/>
          <w:sz w:val="21"/>
          <w:szCs w:val="21"/>
          <w:highlight w:val="none"/>
        </w:rPr>
        <w:t>其他事项</w:t>
      </w:r>
    </w:p>
    <w:p>
      <w:pPr>
        <w:spacing w:line="360" w:lineRule="auto"/>
        <w:rPr>
          <w:rFonts w:hint="eastAsia" w:asciiTheme="minorEastAsia" w:hAnsiTheme="minorEastAsia" w:eastAsiaTheme="minorEastAsia" w:cstheme="minorEastAsia"/>
          <w:b/>
          <w:color w:val="auto"/>
          <w:sz w:val="21"/>
          <w:szCs w:val="21"/>
          <w:highlight w:val="none"/>
          <w:u w:val="single"/>
          <w:shd w:val="pct10" w:color="auto" w:fill="FFFFFF"/>
        </w:rPr>
      </w:pPr>
      <w:r>
        <w:rPr>
          <w:rFonts w:hint="eastAsia" w:asciiTheme="minorEastAsia" w:hAnsiTheme="minorEastAsia" w:eastAsiaTheme="minorEastAsia" w:cstheme="minorEastAsia"/>
          <w:b/>
          <w:color w:val="auto"/>
          <w:sz w:val="21"/>
          <w:szCs w:val="21"/>
          <w:highlight w:val="none"/>
          <w:u w:val="single"/>
          <w:shd w:val="pct10" w:color="auto" w:fill="FFFFFF"/>
        </w:rPr>
        <w:t>（1）本项目磋商将通过政采云视频询标系统协助进行。供应商登录政采云系统-----进入开标大厅---进入本项目----就可以进入政采云视频询标系统。政采云视频询标系统在磋商时需要供应商电脑配置有摄像头、音箱和必要的网络带宽，请供应商开标前予以提前准备，以免延误磋商（浏览器建议用谷歌浏览器，网络带宽不少于50兆，请勿用无线，以免出现卡顿现象；摄像头建议用中档及以上摄像头，以利于磋商时的画面质量；音箱请提前予以调试，以避免磋商时出现没有声音现象）。政采云视频会议系统目前不支持手机客户端。</w:t>
      </w:r>
    </w:p>
    <w:p>
      <w:pPr>
        <w:adjustRightInd w:val="0"/>
        <w:snapToGrid w:val="0"/>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（2）除注明要求进口产品外,投标时进口产品比例不得超过50%；</w:t>
      </w:r>
    </w:p>
    <w:p>
      <w:pPr>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（3）根据《浙江省政府采购供应商注册及诚信管理暂行办法》浙财采监字【2009】28号文件，请各投标供应商及时办理浙江政府采购网“政府采购正式供应商”的注册手续。</w:t>
      </w:r>
    </w:p>
    <w:p>
      <w:pPr>
        <w:spacing w:line="400" w:lineRule="exact"/>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1</w:t>
      </w:r>
      <w:r>
        <w:rPr>
          <w:rFonts w:hint="eastAsia" w:asciiTheme="minorEastAsia" w:hAnsiTheme="minorEastAsia" w:eastAsiaTheme="minorEastAsia" w:cstheme="minorEastAsia"/>
          <w:b/>
          <w:color w:val="auto"/>
          <w:sz w:val="21"/>
          <w:szCs w:val="21"/>
          <w:highlight w:val="none"/>
          <w:lang w:val="en-US" w:eastAsia="zh-CN"/>
        </w:rPr>
        <w:t>4.</w:t>
      </w:r>
      <w:r>
        <w:rPr>
          <w:rFonts w:hint="eastAsia" w:asciiTheme="minorEastAsia" w:hAnsiTheme="minorEastAsia" w:eastAsiaTheme="minorEastAsia" w:cstheme="minorEastAsia"/>
          <w:b/>
          <w:color w:val="auto"/>
          <w:sz w:val="21"/>
          <w:szCs w:val="21"/>
          <w:highlight w:val="none"/>
        </w:rPr>
        <w:t>联系方式</w:t>
      </w:r>
    </w:p>
    <w:p>
      <w:pPr>
        <w:spacing w:line="400" w:lineRule="exact"/>
        <w:rPr>
          <w:rFonts w:hint="eastAsia" w:ascii="宋体" w:hAnsi="宋体"/>
          <w:b/>
          <w:bCs/>
          <w:sz w:val="24"/>
        </w:rPr>
      </w:pPr>
      <w:r>
        <w:rPr>
          <w:rFonts w:hint="eastAsia" w:ascii="宋体" w:hAnsi="宋体"/>
          <w:b/>
          <w:bCs/>
          <w:sz w:val="24"/>
        </w:rPr>
        <w:t>（1）采购人信息</w:t>
      </w:r>
    </w:p>
    <w:p>
      <w:pPr>
        <w:spacing w:line="400" w:lineRule="exact"/>
        <w:rPr>
          <w:rFonts w:hint="eastAsia" w:ascii="宋体" w:hAnsi="宋体" w:eastAsia="宋体" w:cs="宋体"/>
          <w:bCs/>
          <w:sz w:val="21"/>
          <w:szCs w:val="21"/>
          <w:lang w:eastAsia="zh-CN"/>
        </w:rPr>
      </w:pPr>
      <w:r>
        <w:rPr>
          <w:rFonts w:hint="eastAsia" w:ascii="宋体" w:hAnsi="宋体" w:eastAsia="宋体" w:cs="宋体"/>
          <w:bCs/>
          <w:sz w:val="21"/>
          <w:szCs w:val="21"/>
        </w:rPr>
        <w:t>名称：</w:t>
      </w:r>
      <w:r>
        <w:rPr>
          <w:rFonts w:hint="eastAsia" w:ascii="宋体" w:hAnsi="宋体" w:eastAsia="宋体" w:cs="宋体"/>
          <w:bCs/>
          <w:sz w:val="21"/>
          <w:szCs w:val="21"/>
          <w:lang w:eastAsia="zh-CN"/>
        </w:rPr>
        <w:t>临海市港航口岸和渔业管理局</w:t>
      </w:r>
    </w:p>
    <w:p>
      <w:pPr>
        <w:spacing w:line="400" w:lineRule="exact"/>
        <w:rPr>
          <w:rFonts w:hint="eastAsia" w:ascii="宋体" w:hAnsi="宋体" w:eastAsia="宋体" w:cs="宋体"/>
          <w:bCs/>
          <w:sz w:val="21"/>
          <w:szCs w:val="21"/>
          <w:lang w:eastAsia="zh-CN"/>
        </w:rPr>
      </w:pPr>
      <w:r>
        <w:rPr>
          <w:rFonts w:hint="eastAsia" w:ascii="宋体" w:hAnsi="宋体" w:eastAsia="宋体" w:cs="宋体"/>
          <w:bCs/>
          <w:sz w:val="21"/>
          <w:szCs w:val="21"/>
          <w:lang w:eastAsia="zh-CN"/>
        </w:rPr>
        <w:t>地址：浙江省台州市临海市东方大道219号</w:t>
      </w:r>
    </w:p>
    <w:p>
      <w:pPr>
        <w:spacing w:line="400" w:lineRule="exact"/>
        <w:rPr>
          <w:rFonts w:hint="eastAsia" w:ascii="宋体" w:hAnsi="宋体" w:eastAsia="宋体" w:cs="宋体"/>
          <w:bCs/>
          <w:sz w:val="21"/>
          <w:szCs w:val="21"/>
          <w:lang w:eastAsia="zh-CN"/>
        </w:rPr>
      </w:pPr>
      <w:r>
        <w:rPr>
          <w:rFonts w:hint="eastAsia" w:ascii="宋体" w:hAnsi="宋体" w:eastAsia="宋体" w:cs="宋体"/>
          <w:bCs/>
          <w:sz w:val="21"/>
          <w:szCs w:val="21"/>
          <w:lang w:eastAsia="zh-CN"/>
        </w:rPr>
        <w:t>项目联系人（询问）：侯先生</w:t>
      </w:r>
    </w:p>
    <w:p>
      <w:pPr>
        <w:spacing w:line="400" w:lineRule="exac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项目联系方式：</w:t>
      </w:r>
      <w:r>
        <w:rPr>
          <w:rFonts w:hint="eastAsia" w:ascii="宋体" w:hAnsi="宋体" w:eastAsia="宋体" w:cs="宋体"/>
          <w:bCs/>
          <w:sz w:val="21"/>
          <w:szCs w:val="21"/>
          <w:lang w:val="en-US" w:eastAsia="zh-CN"/>
        </w:rPr>
        <w:t>18969658930</w:t>
      </w:r>
    </w:p>
    <w:p>
      <w:pPr>
        <w:spacing w:line="400" w:lineRule="exac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质疑联系人：</w:t>
      </w:r>
      <w:r>
        <w:rPr>
          <w:rFonts w:hint="eastAsia" w:ascii="宋体" w:hAnsi="宋体" w:eastAsia="宋体" w:cs="宋体"/>
          <w:bCs/>
          <w:sz w:val="21"/>
          <w:szCs w:val="21"/>
          <w:lang w:val="en-US" w:eastAsia="zh-CN"/>
        </w:rPr>
        <w:t>/</w:t>
      </w:r>
    </w:p>
    <w:p>
      <w:pPr>
        <w:spacing w:line="400" w:lineRule="exac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质疑联系方式：</w:t>
      </w:r>
      <w:r>
        <w:rPr>
          <w:rFonts w:hint="eastAsia" w:ascii="宋体" w:hAnsi="宋体" w:eastAsia="宋体" w:cs="宋体"/>
          <w:bCs/>
          <w:sz w:val="21"/>
          <w:szCs w:val="21"/>
          <w:lang w:val="en-US" w:eastAsia="zh-CN"/>
        </w:rPr>
        <w:t>/</w:t>
      </w:r>
    </w:p>
    <w:p>
      <w:pPr>
        <w:spacing w:line="400" w:lineRule="exact"/>
        <w:rPr>
          <w:rFonts w:hint="eastAsia" w:ascii="宋体" w:hAnsi="宋体"/>
          <w:b/>
          <w:bCs/>
          <w:sz w:val="24"/>
        </w:rPr>
      </w:pPr>
      <w:r>
        <w:rPr>
          <w:rFonts w:hint="eastAsia" w:ascii="宋体" w:hAnsi="宋体"/>
          <w:b/>
          <w:bCs/>
          <w:sz w:val="24"/>
        </w:rPr>
        <w:t>（2）采购代理机构信息</w:t>
      </w:r>
    </w:p>
    <w:p>
      <w:pPr>
        <w:spacing w:line="400" w:lineRule="exact"/>
        <w:rPr>
          <w:rFonts w:hint="eastAsia" w:ascii="宋体" w:hAnsi="宋体"/>
          <w:bCs/>
          <w:sz w:val="21"/>
          <w:szCs w:val="21"/>
        </w:rPr>
      </w:pPr>
      <w:r>
        <w:rPr>
          <w:rFonts w:hint="eastAsia" w:ascii="宋体" w:hAnsi="宋体"/>
          <w:bCs/>
          <w:sz w:val="21"/>
          <w:szCs w:val="21"/>
        </w:rPr>
        <w:t>名 称：</w:t>
      </w:r>
      <w:r>
        <w:rPr>
          <w:rFonts w:hint="eastAsia" w:ascii="宋体" w:hAnsi="宋体"/>
          <w:bCs/>
          <w:sz w:val="21"/>
          <w:szCs w:val="21"/>
          <w:lang w:eastAsia="zh-CN"/>
        </w:rPr>
        <w:t>台州中亿工程管理有限公司</w:t>
      </w:r>
      <w:r>
        <w:rPr>
          <w:rFonts w:hint="eastAsia" w:ascii="宋体" w:hAnsi="宋体"/>
          <w:bCs/>
          <w:sz w:val="21"/>
          <w:szCs w:val="21"/>
        </w:rPr>
        <w:t xml:space="preserve">  </w:t>
      </w:r>
    </w:p>
    <w:p>
      <w:pPr>
        <w:spacing w:line="400" w:lineRule="exact"/>
        <w:rPr>
          <w:rFonts w:hint="eastAsia" w:ascii="宋体" w:hAnsi="宋体"/>
          <w:bCs/>
          <w:sz w:val="21"/>
          <w:szCs w:val="21"/>
        </w:rPr>
      </w:pPr>
      <w:r>
        <w:rPr>
          <w:rFonts w:hint="eastAsia" w:ascii="宋体" w:hAnsi="宋体"/>
          <w:bCs/>
          <w:sz w:val="21"/>
          <w:szCs w:val="21"/>
        </w:rPr>
        <w:t>地址: 浙江省台州市黄岩区</w:t>
      </w:r>
    </w:p>
    <w:p>
      <w:pPr>
        <w:spacing w:line="400" w:lineRule="exact"/>
        <w:rPr>
          <w:rFonts w:hint="eastAsia" w:ascii="宋体" w:hAnsi="宋体" w:eastAsia="宋体"/>
          <w:bCs/>
          <w:sz w:val="21"/>
          <w:szCs w:val="21"/>
          <w:lang w:eastAsia="zh-CN"/>
        </w:rPr>
      </w:pPr>
      <w:r>
        <w:rPr>
          <w:rFonts w:hint="eastAsia" w:ascii="宋体" w:hAnsi="宋体"/>
          <w:bCs/>
          <w:sz w:val="21"/>
          <w:szCs w:val="21"/>
        </w:rPr>
        <w:t>项目联系人（询问）：</w:t>
      </w:r>
      <w:r>
        <w:rPr>
          <w:rFonts w:hint="eastAsia" w:ascii="宋体" w:hAnsi="宋体"/>
          <w:bCs/>
          <w:sz w:val="21"/>
          <w:szCs w:val="21"/>
          <w:lang w:eastAsia="zh-CN"/>
        </w:rPr>
        <w:t>范工</w:t>
      </w:r>
    </w:p>
    <w:p>
      <w:pPr>
        <w:spacing w:line="400" w:lineRule="exact"/>
        <w:rPr>
          <w:rFonts w:hint="default" w:ascii="宋体" w:hAnsi="宋体" w:eastAsia="宋体"/>
          <w:bCs/>
          <w:sz w:val="21"/>
          <w:szCs w:val="21"/>
          <w:lang w:val="en-US" w:eastAsia="zh-CN"/>
        </w:rPr>
      </w:pPr>
      <w:r>
        <w:rPr>
          <w:rFonts w:hint="eastAsia" w:ascii="宋体" w:hAnsi="宋体"/>
          <w:bCs/>
          <w:sz w:val="21"/>
          <w:szCs w:val="21"/>
        </w:rPr>
        <w:t>项目联系方式：</w:t>
      </w:r>
      <w:r>
        <w:rPr>
          <w:rFonts w:hint="eastAsia" w:ascii="宋体" w:hAnsi="宋体"/>
          <w:bCs/>
          <w:sz w:val="21"/>
          <w:szCs w:val="21"/>
          <w:lang w:val="en-US" w:eastAsia="zh-CN"/>
        </w:rPr>
        <w:t>13857620565</w:t>
      </w:r>
    </w:p>
    <w:p>
      <w:pPr>
        <w:spacing w:line="400" w:lineRule="exact"/>
        <w:rPr>
          <w:rFonts w:hint="eastAsia" w:ascii="宋体" w:hAnsi="宋体" w:eastAsia="宋体"/>
          <w:bCs/>
          <w:sz w:val="21"/>
          <w:szCs w:val="21"/>
          <w:lang w:eastAsia="zh-CN"/>
        </w:rPr>
      </w:pPr>
      <w:r>
        <w:rPr>
          <w:rFonts w:hint="eastAsia" w:ascii="宋体" w:hAnsi="宋体"/>
          <w:bCs/>
          <w:sz w:val="21"/>
          <w:szCs w:val="21"/>
        </w:rPr>
        <w:t>质疑联系人：</w:t>
      </w:r>
      <w:r>
        <w:rPr>
          <w:rFonts w:hint="eastAsia" w:ascii="宋体" w:hAnsi="宋体"/>
          <w:bCs/>
          <w:sz w:val="21"/>
          <w:szCs w:val="21"/>
          <w:lang w:eastAsia="zh-CN"/>
        </w:rPr>
        <w:t>黄工</w:t>
      </w:r>
    </w:p>
    <w:p>
      <w:pPr>
        <w:spacing w:line="400" w:lineRule="exact"/>
        <w:rPr>
          <w:rFonts w:hint="default" w:ascii="宋体" w:hAnsi="宋体" w:eastAsia="宋体"/>
          <w:bCs/>
          <w:sz w:val="21"/>
          <w:szCs w:val="21"/>
          <w:lang w:val="en-US" w:eastAsia="zh-CN"/>
        </w:rPr>
      </w:pPr>
      <w:r>
        <w:rPr>
          <w:rFonts w:hint="eastAsia" w:ascii="宋体" w:hAnsi="宋体"/>
          <w:bCs/>
          <w:sz w:val="21"/>
          <w:szCs w:val="21"/>
        </w:rPr>
        <w:t>质疑联系方式：</w:t>
      </w:r>
      <w:r>
        <w:rPr>
          <w:rFonts w:hint="eastAsia" w:ascii="宋体" w:hAnsi="宋体"/>
          <w:bCs/>
          <w:sz w:val="21"/>
          <w:szCs w:val="21"/>
          <w:lang w:val="en-US" w:eastAsia="zh-CN"/>
        </w:rPr>
        <w:t>13736528950</w:t>
      </w:r>
    </w:p>
    <w:p>
      <w:pPr>
        <w:spacing w:line="400" w:lineRule="exact"/>
        <w:rPr>
          <w:rFonts w:hint="default" w:ascii="宋体" w:hAnsi="宋体" w:eastAsia="宋体"/>
          <w:spacing w:val="-4"/>
          <w:sz w:val="21"/>
          <w:szCs w:val="21"/>
          <w:lang w:val="en-US" w:eastAsia="zh-CN"/>
        </w:rPr>
      </w:pPr>
      <w:r>
        <w:rPr>
          <w:rFonts w:hint="eastAsia" w:ascii="宋体" w:hAnsi="宋体"/>
          <w:spacing w:val="-4"/>
          <w:sz w:val="21"/>
          <w:szCs w:val="21"/>
        </w:rPr>
        <w:t>电子邮箱:</w:t>
      </w:r>
      <w:r>
        <w:rPr>
          <w:rFonts w:ascii="宋体" w:hAnsi="宋体"/>
          <w:spacing w:val="-4"/>
          <w:sz w:val="21"/>
          <w:szCs w:val="21"/>
        </w:rPr>
        <w:t xml:space="preserve"> </w:t>
      </w:r>
      <w:r>
        <w:rPr>
          <w:rFonts w:hint="eastAsia" w:ascii="宋体" w:hAnsi="宋体"/>
          <w:spacing w:val="-4"/>
          <w:sz w:val="21"/>
          <w:szCs w:val="21"/>
          <w:lang w:val="en-US" w:eastAsia="zh-CN"/>
        </w:rPr>
        <w:t>274431510@qq.com</w:t>
      </w:r>
    </w:p>
    <w:p>
      <w:pPr>
        <w:spacing w:line="400" w:lineRule="exact"/>
        <w:rPr>
          <w:rFonts w:hint="eastAsia" w:ascii="宋体" w:hAnsi="宋体"/>
          <w:b/>
          <w:spacing w:val="-4"/>
          <w:sz w:val="24"/>
          <w:highlight w:val="none"/>
        </w:rPr>
      </w:pPr>
      <w:r>
        <w:rPr>
          <w:rFonts w:hint="eastAsia" w:ascii="宋体" w:hAnsi="宋体"/>
          <w:b/>
          <w:spacing w:val="-4"/>
          <w:sz w:val="24"/>
          <w:highlight w:val="none"/>
        </w:rPr>
        <w:t>（3）同级政府采购监管机构信息</w:t>
      </w:r>
    </w:p>
    <w:p>
      <w:pPr>
        <w:spacing w:line="400" w:lineRule="exact"/>
        <w:rPr>
          <w:rFonts w:hint="eastAsia" w:ascii="宋体" w:hAnsi="宋体"/>
          <w:spacing w:val="-4"/>
          <w:sz w:val="21"/>
          <w:szCs w:val="21"/>
          <w:highlight w:val="none"/>
        </w:rPr>
      </w:pPr>
      <w:r>
        <w:rPr>
          <w:rFonts w:hint="eastAsia" w:ascii="宋体" w:hAnsi="宋体"/>
          <w:spacing w:val="-4"/>
          <w:sz w:val="21"/>
          <w:szCs w:val="21"/>
          <w:highlight w:val="none"/>
        </w:rPr>
        <w:t xml:space="preserve">名 称：临海市财政局                     </w:t>
      </w:r>
    </w:p>
    <w:p>
      <w:pPr>
        <w:spacing w:line="400" w:lineRule="exact"/>
        <w:rPr>
          <w:rFonts w:hint="eastAsia" w:ascii="宋体" w:hAnsi="宋体"/>
          <w:spacing w:val="-4"/>
          <w:sz w:val="21"/>
          <w:szCs w:val="21"/>
          <w:highlight w:val="none"/>
        </w:rPr>
      </w:pPr>
      <w:r>
        <w:rPr>
          <w:rFonts w:hint="eastAsia" w:ascii="宋体" w:hAnsi="宋体"/>
          <w:spacing w:val="-4"/>
          <w:sz w:val="21"/>
          <w:szCs w:val="21"/>
          <w:highlight w:val="none"/>
        </w:rPr>
        <w:t>地 址：</w:t>
      </w:r>
      <w:r>
        <w:rPr>
          <w:rFonts w:hint="eastAsia" w:ascii="宋体" w:hAnsi="宋体"/>
          <w:bCs/>
          <w:sz w:val="21"/>
          <w:szCs w:val="21"/>
          <w:highlight w:val="none"/>
        </w:rPr>
        <w:t>临海市巾山东路112号</w:t>
      </w:r>
      <w:r>
        <w:rPr>
          <w:rFonts w:hint="eastAsia" w:ascii="宋体" w:hAnsi="宋体"/>
          <w:spacing w:val="-4"/>
          <w:sz w:val="21"/>
          <w:szCs w:val="21"/>
          <w:highlight w:val="none"/>
        </w:rPr>
        <w:t xml:space="preserve">   </w:t>
      </w:r>
    </w:p>
    <w:p>
      <w:pPr>
        <w:spacing w:line="400" w:lineRule="exact"/>
        <w:rPr>
          <w:rFonts w:hint="eastAsia" w:ascii="宋体" w:hAnsi="宋体"/>
          <w:spacing w:val="-4"/>
          <w:sz w:val="21"/>
          <w:szCs w:val="21"/>
          <w:highlight w:val="none"/>
        </w:rPr>
      </w:pPr>
      <w:r>
        <w:rPr>
          <w:rFonts w:hint="eastAsia" w:ascii="宋体" w:hAnsi="宋体"/>
          <w:spacing w:val="-4"/>
          <w:sz w:val="21"/>
          <w:szCs w:val="21"/>
          <w:highlight w:val="none"/>
        </w:rPr>
        <w:t>联系人：政府采购监管科</w:t>
      </w:r>
    </w:p>
    <w:p>
      <w:pPr>
        <w:spacing w:line="400" w:lineRule="exact"/>
        <w:rPr>
          <w:rFonts w:hint="eastAsia" w:ascii="宋体" w:hAnsi="宋体"/>
          <w:spacing w:val="-4"/>
          <w:sz w:val="21"/>
          <w:szCs w:val="21"/>
          <w:highlight w:val="none"/>
        </w:rPr>
      </w:pPr>
      <w:r>
        <w:rPr>
          <w:rFonts w:hint="eastAsia" w:ascii="宋体" w:hAnsi="宋体"/>
          <w:spacing w:val="-4"/>
          <w:sz w:val="21"/>
          <w:szCs w:val="21"/>
          <w:highlight w:val="none"/>
        </w:rPr>
        <w:t>联系电话：0576-</w:t>
      </w:r>
      <w:r>
        <w:rPr>
          <w:rFonts w:ascii="宋体" w:hAnsi="宋体"/>
          <w:spacing w:val="-4"/>
          <w:sz w:val="21"/>
          <w:szCs w:val="21"/>
          <w:highlight w:val="none"/>
        </w:rPr>
        <w:t>85188034</w:t>
      </w:r>
      <w:r>
        <w:rPr>
          <w:rFonts w:hint="eastAsia" w:ascii="宋体" w:hAnsi="宋体"/>
          <w:spacing w:val="-4"/>
          <w:sz w:val="21"/>
          <w:szCs w:val="21"/>
          <w:highlight w:val="none"/>
        </w:rPr>
        <w:t xml:space="preserve"> </w:t>
      </w:r>
    </w:p>
    <w:p>
      <w:pPr>
        <w:spacing w:line="400" w:lineRule="exact"/>
        <w:rPr>
          <w:rFonts w:hint="eastAsia" w:ascii="宋体" w:hAnsi="宋体"/>
          <w:b/>
          <w:spacing w:val="-4"/>
          <w:sz w:val="24"/>
        </w:rPr>
      </w:pPr>
      <w:r>
        <w:rPr>
          <w:rFonts w:hint="eastAsia" w:ascii="宋体" w:hAnsi="宋体"/>
          <w:b/>
          <w:spacing w:val="-4"/>
          <w:sz w:val="24"/>
        </w:rPr>
        <w:t>（4）政采云平台信息</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spacing w:val="-4"/>
          <w:sz w:val="21"/>
          <w:szCs w:val="21"/>
        </w:rPr>
        <w:t>联系电话：</w:t>
      </w:r>
      <w:r>
        <w:rPr>
          <w:rFonts w:ascii="宋体" w:hAnsi="宋体"/>
          <w:sz w:val="21"/>
          <w:szCs w:val="21"/>
        </w:rPr>
        <w:t>95763</w:t>
      </w:r>
    </w:p>
    <w:p>
      <w:pPr>
        <w:spacing w:line="360" w:lineRule="auto"/>
        <w:rPr>
          <w:rFonts w:hint="eastAsia" w:asciiTheme="minorEastAsia" w:hAnsiTheme="minorEastAsia" w:eastAsiaTheme="minorEastAsia" w:cstheme="minorEastAsia"/>
          <w:color w:val="auto"/>
          <w:sz w:val="21"/>
          <w:szCs w:val="21"/>
          <w:highlight w:val="none"/>
        </w:rPr>
      </w:pPr>
    </w:p>
    <w:p>
      <w:pPr>
        <w:rPr>
          <w:rFonts w:ascii="宋体" w:hAnsi="宋体"/>
          <w:b/>
          <w:color w:val="auto"/>
          <w:sz w:val="24"/>
          <w:highlight w:val="none"/>
        </w:rPr>
      </w:pPr>
      <w:r>
        <w:rPr>
          <w:rFonts w:ascii="宋体" w:hAnsi="宋体"/>
          <w:b/>
          <w:color w:val="auto"/>
          <w:sz w:val="24"/>
          <w:highlight w:val="none"/>
        </w:rPr>
        <w:br w:type="page"/>
      </w:r>
    </w:p>
    <w:p>
      <w:pPr>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附件</w:t>
      </w:r>
    </w:p>
    <w:p>
      <w:pPr>
        <w:spacing w:line="400" w:lineRule="exact"/>
        <w:ind w:firstLine="723" w:firstLineChars="300"/>
        <w:jc w:val="center"/>
        <w:rPr>
          <w:rFonts w:ascii="宋体" w:hAnsi="宋体"/>
          <w:b/>
          <w:color w:val="auto"/>
          <w:sz w:val="24"/>
          <w:highlight w:val="none"/>
        </w:rPr>
      </w:pPr>
      <w:r>
        <w:rPr>
          <w:rFonts w:hint="eastAsia" w:ascii="宋体" w:hAnsi="宋体" w:eastAsia="宋体" w:cs="Times New Roman"/>
          <w:b/>
          <w:color w:val="auto"/>
          <w:sz w:val="24"/>
          <w:highlight w:val="none"/>
        </w:rPr>
        <w:t>政府采购支持中小企业信用融资相关事项的通知</w:t>
      </w:r>
    </w:p>
    <w:p>
      <w:pPr>
        <w:spacing w:line="400" w:lineRule="exact"/>
        <w:ind w:firstLine="720" w:firstLineChars="300"/>
        <w:jc w:val="center"/>
        <w:rPr>
          <w:rFonts w:hint="eastAsia" w:ascii="宋体" w:hAnsi="宋体"/>
          <w:bCs/>
          <w:color w:val="auto"/>
          <w:sz w:val="24"/>
          <w:highlight w:val="none"/>
        </w:rPr>
      </w:pPr>
    </w:p>
    <w:p>
      <w:pPr>
        <w:spacing w:line="400" w:lineRule="exact"/>
        <w:ind w:firstLine="420" w:firstLineChars="200"/>
        <w:rPr>
          <w:rFonts w:hint="eastAsia" w:ascii="宋体" w:hAnsi="宋体" w:eastAsia="宋体" w:cs="Times New Roman"/>
          <w:bCs/>
          <w:color w:val="auto"/>
          <w:sz w:val="21"/>
          <w:szCs w:val="21"/>
          <w:highlight w:val="none"/>
        </w:rPr>
      </w:pPr>
      <w:r>
        <w:rPr>
          <w:rFonts w:hint="eastAsia" w:ascii="宋体" w:hAnsi="宋体" w:eastAsia="宋体" w:cs="Times New Roman"/>
          <w:bCs/>
          <w:color w:val="auto"/>
          <w:sz w:val="21"/>
          <w:szCs w:val="21"/>
          <w:highlight w:val="none"/>
        </w:rPr>
        <w:t>为了充分发挥政府采购政策功能,进一步支持和促进中小企业发展，临海市财政局向临海市金融（保险）系统发起了“政采贷”、“政采保”融资服务倡议，得到了全市16家银行、1家保险公司响应，投标人若有融资意向，请同以下银行（保险）联系人对接。</w:t>
      </w:r>
    </w:p>
    <w:p>
      <w:pPr>
        <w:widowControl/>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政采保联系方式</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341"/>
        <w:gridCol w:w="1134"/>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229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阳光财产保险股份有限公司临海支公司</w:t>
            </w:r>
          </w:p>
        </w:tc>
        <w:tc>
          <w:tcPr>
            <w:tcW w:w="3341" w:type="dxa"/>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合同（质量）履约按履约保证金年费率1%（1.5%），每单保函最低保险费为500元(300元)。</w:t>
            </w:r>
          </w:p>
        </w:tc>
        <w:tc>
          <w:tcPr>
            <w:tcW w:w="1134"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马李莉</w:t>
            </w:r>
          </w:p>
        </w:tc>
        <w:tc>
          <w:tcPr>
            <w:tcW w:w="1751"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13586026113</w:t>
            </w:r>
          </w:p>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（微信同号）</w:t>
            </w:r>
          </w:p>
        </w:tc>
      </w:tr>
    </w:tbl>
    <w:p>
      <w:pPr>
        <w:spacing w:line="400" w:lineRule="exact"/>
        <w:ind w:firstLine="720" w:firstLineChars="300"/>
        <w:rPr>
          <w:rFonts w:hint="eastAsia" w:ascii="宋体" w:hAnsi="宋体"/>
          <w:bCs/>
          <w:color w:val="auto"/>
          <w:sz w:val="24"/>
          <w:highlight w:val="none"/>
        </w:rPr>
      </w:pPr>
    </w:p>
    <w:p>
      <w:pPr>
        <w:widowControl/>
        <w:spacing w:line="360" w:lineRule="auto"/>
        <w:jc w:val="center"/>
        <w:textAlignment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政采贷联系方式</w:t>
      </w:r>
    </w:p>
    <w:tbl>
      <w:tblPr>
        <w:tblStyle w:val="51"/>
        <w:tblW w:w="0" w:type="auto"/>
        <w:jc w:val="center"/>
        <w:tblLayout w:type="fixed"/>
        <w:tblCellMar>
          <w:top w:w="15" w:type="dxa"/>
          <w:left w:w="15" w:type="dxa"/>
          <w:bottom w:w="15" w:type="dxa"/>
          <w:right w:w="15" w:type="dxa"/>
        </w:tblCellMar>
      </w:tblPr>
      <w:tblGrid>
        <w:gridCol w:w="793"/>
        <w:gridCol w:w="1380"/>
        <w:gridCol w:w="2237"/>
        <w:gridCol w:w="1842"/>
        <w:gridCol w:w="2026"/>
      </w:tblGrid>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银行简称</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贷款年利率</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政采贷联系人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联系电话</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朱菲菲</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13732333886</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刘军</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13606652552</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中国银行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钱玲红</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13666860933</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建设银行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3.80%起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金寅姿</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13575826932</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浦发银行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4.785%起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郑  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15988990003</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兴业银行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3.65</w:t>
            </w:r>
            <w:r>
              <w:rPr>
                <w:rFonts w:hint="eastAsia" w:ascii="宋体" w:hAnsi="宋体" w:eastAsia="宋体" w:cs="宋体"/>
                <w:color w:val="auto"/>
                <w:kern w:val="0"/>
                <w:sz w:val="21"/>
                <w:szCs w:val="21"/>
                <w:highlight w:val="none"/>
              </w:rPr>
              <w:t>%起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方成纲</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15267208988</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泰隆银行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5.4%起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何安青</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13586122727</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浙商银行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3.85</w:t>
            </w:r>
            <w:r>
              <w:rPr>
                <w:rFonts w:hint="eastAsia" w:ascii="宋体" w:hAnsi="宋体" w:eastAsia="宋体" w:cs="宋体"/>
                <w:color w:val="auto"/>
                <w:kern w:val="0"/>
                <w:sz w:val="21"/>
                <w:szCs w:val="21"/>
                <w:highlight w:val="none"/>
              </w:rPr>
              <w:t>%起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陈双双</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13666868989</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农发银行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金和平</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13705760213</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光大银行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3.9%起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王玲敏</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15068686860</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湖商银行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叶丰恺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18657661866</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邮储银行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黄梦雅</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18906767388</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温州银行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何宗富</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15967009253</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吴静静 </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13606680050</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民生银行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王都旺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13676697833</w:t>
            </w:r>
          </w:p>
        </w:tc>
      </w:tr>
      <w:tr>
        <w:tblPrEx>
          <w:tblCellMar>
            <w:top w:w="15" w:type="dxa"/>
            <w:left w:w="15" w:type="dxa"/>
            <w:bottom w:w="15" w:type="dxa"/>
            <w:right w:w="15" w:type="dxa"/>
          </w:tblCellMar>
        </w:tblPrEx>
        <w:trPr>
          <w:trHeight w:val="393" w:hRule="atLeas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宁波银行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4.785%起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冯晶晶</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13736200193</w:t>
            </w:r>
          </w:p>
        </w:tc>
      </w:tr>
    </w:tbl>
    <w:p>
      <w:pPr>
        <w:ind w:firstLine="5145" w:firstLineChars="2450"/>
        <w:rPr>
          <w:color w:val="auto"/>
          <w:highlight w:val="none"/>
        </w:rPr>
      </w:pPr>
    </w:p>
    <w:p>
      <w:pPr>
        <w:spacing w:line="400" w:lineRule="exact"/>
        <w:jc w:val="center"/>
        <w:rPr>
          <w:rFonts w:ascii="宋体" w:hAnsi="宋体"/>
          <w:color w:val="auto"/>
          <w:sz w:val="36"/>
          <w:szCs w:val="36"/>
          <w:highlight w:val="none"/>
        </w:rPr>
      </w:pPr>
      <w:r>
        <w:rPr>
          <w:rFonts w:ascii="宋体" w:hAnsi="宋体"/>
          <w:color w:val="auto"/>
          <w:sz w:val="24"/>
          <w:highlight w:val="none"/>
        </w:rPr>
        <w:br w:type="page"/>
      </w:r>
      <w:bookmarkStart w:id="7" w:name="_Toc466534748"/>
      <w:bookmarkStart w:id="8" w:name="_Toc48835712"/>
      <w:bookmarkStart w:id="9" w:name="_Toc467749357"/>
      <w:r>
        <w:rPr>
          <w:rFonts w:hint="eastAsia" w:ascii="宋体" w:hAnsi="宋体"/>
          <w:b/>
          <w:bCs/>
          <w:color w:val="auto"/>
          <w:sz w:val="30"/>
          <w:szCs w:val="30"/>
          <w:highlight w:val="none"/>
        </w:rPr>
        <w:t>第二章  采购内容、需求及</w:t>
      </w:r>
      <w:bookmarkEnd w:id="7"/>
      <w:bookmarkEnd w:id="8"/>
      <w:bookmarkEnd w:id="9"/>
      <w:r>
        <w:rPr>
          <w:rFonts w:hint="eastAsia" w:ascii="宋体" w:hAnsi="宋体"/>
          <w:b/>
          <w:bCs/>
          <w:color w:val="auto"/>
          <w:sz w:val="30"/>
          <w:szCs w:val="30"/>
          <w:highlight w:val="none"/>
        </w:rPr>
        <w:t>要求</w:t>
      </w:r>
    </w:p>
    <w:p>
      <w:pPr>
        <w:numPr>
          <w:ilvl w:val="0"/>
          <w:numId w:val="0"/>
        </w:numPr>
        <w:autoSpaceDE w:val="0"/>
        <w:autoSpaceDN w:val="0"/>
        <w:adjustRightInd w:val="0"/>
        <w:snapToGrid w:val="0"/>
        <w:spacing w:line="400" w:lineRule="atLeast"/>
        <w:rPr>
          <w:rFonts w:hint="eastAsia" w:ascii="宋体" w:hAnsi="宋体"/>
          <w:b/>
          <w:bCs/>
          <w:kern w:val="0"/>
          <w:sz w:val="22"/>
          <w:szCs w:val="22"/>
        </w:rPr>
      </w:pPr>
      <w:r>
        <w:rPr>
          <w:rFonts w:hint="eastAsia" w:ascii="宋体" w:hAnsi="宋体"/>
          <w:b/>
          <w:bCs/>
          <w:kern w:val="0"/>
          <w:sz w:val="22"/>
          <w:szCs w:val="22"/>
          <w:lang w:val="en-US" w:eastAsia="zh-CN"/>
        </w:rPr>
        <w:t>一.</w:t>
      </w:r>
      <w:r>
        <w:rPr>
          <w:rFonts w:hint="eastAsia" w:ascii="宋体" w:hAnsi="宋体"/>
          <w:b/>
          <w:bCs/>
          <w:kern w:val="0"/>
          <w:sz w:val="22"/>
          <w:szCs w:val="22"/>
        </w:rPr>
        <w:t>采购规模及内容概述</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1.项目名称：临海市东矶岛渔业综合管理项目</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2.建设单位：临海市港航口岸和渔业管理局</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3.建设地点：东矶岛上</w:t>
      </w:r>
    </w:p>
    <w:p>
      <w:pPr>
        <w:spacing w:line="336"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4.主要内容：</w:t>
      </w:r>
      <w:r>
        <w:rPr>
          <w:rFonts w:hint="eastAsia" w:ascii="宋体" w:hAnsi="宋体"/>
        </w:rPr>
        <w:t>本工程位于临海市港口岸和渔业管理局，工程内容为三层管理用房及发电机房天棚、墙面、地面、屋顶、门窗等改造内容。</w:t>
      </w:r>
    </w:p>
    <w:p>
      <w:pPr>
        <w:spacing w:line="360" w:lineRule="auto"/>
        <w:rPr>
          <w:rFonts w:hint="eastAsia" w:ascii="宋体" w:hAnsi="宋体"/>
          <w:b/>
          <w:bCs/>
          <w:kern w:val="0"/>
          <w:sz w:val="22"/>
          <w:szCs w:val="22"/>
        </w:rPr>
      </w:pPr>
      <w:r>
        <w:rPr>
          <w:rFonts w:hint="eastAsia" w:ascii="宋体" w:hAnsi="宋体"/>
          <w:b/>
          <w:bCs/>
          <w:kern w:val="0"/>
          <w:sz w:val="22"/>
          <w:szCs w:val="22"/>
        </w:rPr>
        <w:t>二</w:t>
      </w:r>
      <w:r>
        <w:rPr>
          <w:rFonts w:hint="eastAsia" w:ascii="宋体" w:hAnsi="宋体"/>
          <w:b/>
          <w:bCs/>
          <w:kern w:val="0"/>
          <w:sz w:val="22"/>
          <w:szCs w:val="22"/>
          <w:lang w:val="en-US" w:eastAsia="zh-CN"/>
        </w:rPr>
        <w:t>.</w:t>
      </w:r>
      <w:r>
        <w:rPr>
          <w:rFonts w:hint="eastAsia" w:ascii="宋体" w:hAnsi="宋体"/>
          <w:sz w:val="24"/>
        </w:rPr>
        <w:t>▲</w:t>
      </w:r>
      <w:r>
        <w:rPr>
          <w:rFonts w:hint="eastAsia" w:ascii="宋体" w:hAnsi="宋体"/>
          <w:b/>
          <w:bCs/>
          <w:kern w:val="0"/>
          <w:sz w:val="22"/>
          <w:szCs w:val="22"/>
          <w:lang w:val="en-US" w:eastAsia="zh-CN"/>
        </w:rPr>
        <w:t>采购清单（详见工程预算编制报告）</w:t>
      </w:r>
      <w:r>
        <w:rPr>
          <w:rFonts w:hint="eastAsia" w:ascii="宋体" w:hAnsi="宋体"/>
          <w:b/>
          <w:bCs/>
          <w:kern w:val="0"/>
          <w:sz w:val="22"/>
          <w:szCs w:val="22"/>
        </w:rPr>
        <w:t>:</w:t>
      </w:r>
    </w:p>
    <w:tbl>
      <w:tblPr>
        <w:tblStyle w:val="51"/>
        <w:tblW w:w="9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3257"/>
        <w:gridCol w:w="803"/>
        <w:gridCol w:w="762"/>
        <w:gridCol w:w="189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794" w:type="dxa"/>
            <w:tcBorders>
              <w:top w:val="single" w:color="auto" w:sz="4" w:space="0"/>
              <w:left w:val="single" w:color="auto" w:sz="4" w:space="0"/>
              <w:bottom w:val="nil"/>
              <w:right w:val="nil"/>
            </w:tcBorders>
            <w:shd w:val="clear" w:color="auto" w:fill="FFFFFF"/>
            <w:vAlign w:val="center"/>
          </w:tcPr>
          <w:p>
            <w:pPr>
              <w:pStyle w:val="21"/>
              <w:spacing w:line="380" w:lineRule="exact"/>
              <w:jc w:val="center"/>
              <w:rPr>
                <w:rFonts w:hint="default"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序号</w:t>
            </w:r>
          </w:p>
        </w:tc>
        <w:tc>
          <w:tcPr>
            <w:tcW w:w="3257" w:type="dxa"/>
            <w:tcBorders>
              <w:top w:val="single" w:color="auto" w:sz="4" w:space="0"/>
              <w:left w:val="single" w:color="auto" w:sz="4" w:space="0"/>
              <w:bottom w:val="nil"/>
              <w:right w:val="nil"/>
            </w:tcBorders>
            <w:shd w:val="clear" w:color="auto" w:fill="FFFFFF"/>
            <w:vAlign w:val="center"/>
          </w:tcPr>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项目名称</w:t>
            </w:r>
          </w:p>
        </w:tc>
        <w:tc>
          <w:tcPr>
            <w:tcW w:w="803" w:type="dxa"/>
            <w:tcBorders>
              <w:top w:val="single" w:color="auto" w:sz="4" w:space="0"/>
              <w:left w:val="single" w:color="000000" w:sz="4" w:space="0"/>
              <w:bottom w:val="nil"/>
              <w:right w:val="nil"/>
            </w:tcBorders>
            <w:shd w:val="clear" w:color="auto" w:fill="FFFFFF"/>
            <w:vAlign w:val="center"/>
          </w:tcPr>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单位</w:t>
            </w:r>
          </w:p>
        </w:tc>
        <w:tc>
          <w:tcPr>
            <w:tcW w:w="762" w:type="dxa"/>
            <w:tcBorders>
              <w:top w:val="single" w:color="auto" w:sz="4" w:space="0"/>
              <w:left w:val="single" w:color="000000" w:sz="4" w:space="0"/>
              <w:bottom w:val="nil"/>
              <w:right w:val="single" w:color="auto" w:sz="4" w:space="0"/>
            </w:tcBorders>
            <w:shd w:val="clear" w:color="auto" w:fill="FFFFFF"/>
            <w:vAlign w:val="center"/>
          </w:tcPr>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数量</w:t>
            </w:r>
          </w:p>
        </w:tc>
        <w:tc>
          <w:tcPr>
            <w:tcW w:w="1890" w:type="dxa"/>
            <w:tcBorders>
              <w:top w:val="single" w:color="auto" w:sz="4" w:space="0"/>
              <w:left w:val="single" w:color="000000" w:sz="4" w:space="0"/>
              <w:bottom w:val="nil"/>
              <w:right w:val="single" w:color="auto" w:sz="4" w:space="0"/>
            </w:tcBorders>
            <w:shd w:val="clear" w:color="auto" w:fill="FFFFFF"/>
            <w:vAlign w:val="center"/>
          </w:tcPr>
          <w:p>
            <w:pPr>
              <w:pStyle w:val="21"/>
              <w:spacing w:line="380" w:lineRule="exact"/>
              <w:jc w:val="center"/>
              <w:rPr>
                <w:rFonts w:hint="eastAsia" w:ascii="宋体" w:hAnsi="宋体" w:eastAsia="宋体" w:cs="Times New Roman"/>
                <w:b w:val="0"/>
                <w:bCs w:val="0"/>
                <w:color w:val="auto"/>
                <w:kern w:val="0"/>
                <w:sz w:val="21"/>
                <w:szCs w:val="21"/>
                <w:lang w:val="en-US" w:eastAsia="zh-CN" w:bidi="ar-SA"/>
              </w:rPr>
            </w:pPr>
            <w:r>
              <w:rPr>
                <w:rFonts w:hint="eastAsia" w:ascii="宋体" w:hAnsi="宋体" w:eastAsia="宋体" w:cs="Times New Roman"/>
                <w:b w:val="0"/>
                <w:bCs w:val="0"/>
                <w:color w:val="auto"/>
                <w:kern w:val="0"/>
                <w:sz w:val="21"/>
                <w:szCs w:val="21"/>
                <w:lang w:val="en-US" w:eastAsia="zh-CN" w:bidi="ar-SA"/>
              </w:rPr>
              <w:t>采购预算</w:t>
            </w:r>
          </w:p>
          <w:p>
            <w:pPr>
              <w:pStyle w:val="21"/>
              <w:spacing w:line="380" w:lineRule="exact"/>
              <w:jc w:val="center"/>
              <w:rPr>
                <w:rFonts w:hint="default" w:ascii="宋体" w:hAnsi="宋体" w:eastAsia="宋体" w:cs="Times New Roman"/>
                <w:b w:val="0"/>
                <w:bCs w:val="0"/>
                <w:color w:val="auto"/>
                <w:kern w:val="0"/>
                <w:sz w:val="21"/>
                <w:szCs w:val="21"/>
                <w:lang w:val="en-US" w:eastAsia="zh-CN" w:bidi="ar-SA"/>
              </w:rPr>
            </w:pPr>
            <w:r>
              <w:rPr>
                <w:rFonts w:hint="eastAsia" w:ascii="宋体" w:hAnsi="宋体" w:eastAsia="宋体" w:cs="Times New Roman"/>
                <w:b w:val="0"/>
                <w:bCs w:val="0"/>
                <w:color w:val="auto"/>
                <w:kern w:val="0"/>
                <w:sz w:val="21"/>
                <w:szCs w:val="21"/>
                <w:lang w:val="en-US" w:eastAsia="zh-CN" w:bidi="ar-SA"/>
              </w:rPr>
              <w:t>（万元）</w:t>
            </w:r>
          </w:p>
        </w:tc>
        <w:tc>
          <w:tcPr>
            <w:tcW w:w="1890" w:type="dxa"/>
            <w:tcBorders>
              <w:top w:val="single" w:color="auto" w:sz="4" w:space="0"/>
              <w:left w:val="single" w:color="000000" w:sz="4" w:space="0"/>
              <w:bottom w:val="nil"/>
              <w:right w:val="single" w:color="auto" w:sz="4" w:space="0"/>
            </w:tcBorders>
            <w:shd w:val="clear" w:color="auto" w:fill="FFFFFF"/>
            <w:vAlign w:val="center"/>
          </w:tcPr>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最高限价</w:t>
            </w:r>
          </w:p>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794" w:type="dxa"/>
            <w:tcBorders>
              <w:top w:val="single" w:color="000000" w:sz="4" w:space="0"/>
              <w:left w:val="single" w:color="auto" w:sz="4" w:space="0"/>
              <w:bottom w:val="single" w:color="auto" w:sz="4" w:space="0"/>
              <w:right w:val="nil"/>
            </w:tcBorders>
            <w:shd w:val="clear" w:color="auto" w:fill="FFFFFF"/>
            <w:vAlign w:val="center"/>
          </w:tcPr>
          <w:p>
            <w:pPr>
              <w:pStyle w:val="21"/>
              <w:spacing w:line="380" w:lineRule="exact"/>
              <w:jc w:val="center"/>
              <w:rPr>
                <w:rFonts w:hint="default"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1</w:t>
            </w:r>
          </w:p>
        </w:tc>
        <w:tc>
          <w:tcPr>
            <w:tcW w:w="3257" w:type="dxa"/>
            <w:tcBorders>
              <w:top w:val="single" w:color="000000" w:sz="4" w:space="0"/>
              <w:left w:val="single" w:color="auto" w:sz="4" w:space="0"/>
              <w:bottom w:val="single" w:color="auto" w:sz="4" w:space="0"/>
              <w:right w:val="nil"/>
            </w:tcBorders>
            <w:shd w:val="clear" w:color="auto" w:fill="FFFFFF"/>
            <w:vAlign w:val="center"/>
          </w:tcPr>
          <w:p>
            <w:pPr>
              <w:pStyle w:val="21"/>
              <w:spacing w:line="380" w:lineRule="exact"/>
              <w:jc w:val="left"/>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临海市东矶岛渔业综合管理项目</w:t>
            </w:r>
          </w:p>
        </w:tc>
        <w:tc>
          <w:tcPr>
            <w:tcW w:w="803" w:type="dxa"/>
            <w:tcBorders>
              <w:top w:val="single" w:color="000000" w:sz="4" w:space="0"/>
              <w:left w:val="single" w:color="000000" w:sz="4" w:space="0"/>
              <w:bottom w:val="single" w:color="auto" w:sz="4" w:space="0"/>
              <w:right w:val="nil"/>
            </w:tcBorders>
            <w:shd w:val="clear" w:color="auto" w:fill="FFFFFF"/>
            <w:vAlign w:val="center"/>
          </w:tcPr>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项</w:t>
            </w:r>
          </w:p>
        </w:tc>
        <w:tc>
          <w:tcPr>
            <w:tcW w:w="762" w:type="dxa"/>
            <w:tcBorders>
              <w:top w:val="single" w:color="000000" w:sz="4" w:space="0"/>
              <w:left w:val="single" w:color="000000" w:sz="4" w:space="0"/>
              <w:bottom w:val="single" w:color="auto" w:sz="4" w:space="0"/>
              <w:right w:val="single" w:color="auto" w:sz="4" w:space="0"/>
            </w:tcBorders>
            <w:shd w:val="clear" w:color="auto" w:fill="FFFFFF"/>
            <w:vAlign w:val="center"/>
          </w:tcPr>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1</w:t>
            </w:r>
          </w:p>
        </w:tc>
        <w:tc>
          <w:tcPr>
            <w:tcW w:w="1890" w:type="dxa"/>
            <w:tcBorders>
              <w:top w:val="single" w:color="000000" w:sz="4" w:space="0"/>
              <w:left w:val="single" w:color="000000" w:sz="4" w:space="0"/>
              <w:bottom w:val="single" w:color="auto" w:sz="4" w:space="0"/>
              <w:right w:val="single" w:color="auto" w:sz="4" w:space="0"/>
            </w:tcBorders>
            <w:shd w:val="clear" w:color="auto" w:fill="FFFFFF"/>
            <w:vAlign w:val="center"/>
          </w:tcPr>
          <w:p>
            <w:pPr>
              <w:pStyle w:val="21"/>
              <w:spacing w:line="380" w:lineRule="exact"/>
              <w:jc w:val="center"/>
              <w:rPr>
                <w:rFonts w:hint="default" w:ascii="宋体" w:hAnsi="宋体" w:eastAsia="宋体" w:cs="Times New Roman"/>
                <w:b w:val="0"/>
                <w:bCs w:val="0"/>
                <w:color w:val="auto"/>
                <w:kern w:val="0"/>
                <w:sz w:val="21"/>
                <w:szCs w:val="21"/>
                <w:lang w:val="en-US" w:eastAsia="zh-CN" w:bidi="ar-SA"/>
              </w:rPr>
            </w:pPr>
            <w:r>
              <w:rPr>
                <w:rFonts w:hint="eastAsia" w:ascii="宋体" w:hAnsi="宋体" w:cs="Times New Roman"/>
                <w:b w:val="0"/>
                <w:bCs w:val="0"/>
                <w:color w:val="auto"/>
                <w:kern w:val="0"/>
                <w:sz w:val="21"/>
                <w:szCs w:val="21"/>
                <w:lang w:val="en-US" w:eastAsia="zh-CN" w:bidi="ar-SA"/>
              </w:rPr>
              <w:t>109.8878</w:t>
            </w:r>
          </w:p>
        </w:tc>
        <w:tc>
          <w:tcPr>
            <w:tcW w:w="1890" w:type="dxa"/>
            <w:tcBorders>
              <w:top w:val="single" w:color="000000" w:sz="4" w:space="0"/>
              <w:left w:val="single" w:color="000000" w:sz="4" w:space="0"/>
              <w:bottom w:val="single" w:color="auto" w:sz="4" w:space="0"/>
              <w:right w:val="single" w:color="auto" w:sz="4" w:space="0"/>
            </w:tcBorders>
            <w:shd w:val="clear" w:color="auto" w:fill="FFFFFF"/>
            <w:vAlign w:val="center"/>
          </w:tcPr>
          <w:p>
            <w:pPr>
              <w:pStyle w:val="21"/>
              <w:spacing w:line="380" w:lineRule="exact"/>
              <w:jc w:val="center"/>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96.7013</w:t>
            </w:r>
          </w:p>
        </w:tc>
      </w:tr>
    </w:tbl>
    <w:p>
      <w:pPr>
        <w:pStyle w:val="40"/>
        <w:ind w:left="0" w:leftChars="0" w:firstLine="0" w:firstLineChars="0"/>
        <w:jc w:val="both"/>
        <w:rPr>
          <w:rFonts w:hint="eastAsia"/>
        </w:rPr>
      </w:pPr>
    </w:p>
    <w:p>
      <w:pPr>
        <w:pStyle w:val="40"/>
        <w:ind w:left="0" w:leftChars="0" w:firstLine="0" w:firstLineChars="0"/>
        <w:jc w:val="both"/>
        <w:rPr>
          <w:rFonts w:hint="eastAsia" w:ascii="宋体" w:hAnsi="宋体" w:cs="Times New Roman"/>
          <w:b w:val="0"/>
          <w:bCs w:val="0"/>
          <w:kern w:val="0"/>
          <w:sz w:val="21"/>
          <w:szCs w:val="21"/>
          <w:lang w:val="en-US" w:eastAsia="zh-CN" w:bidi="ar-SA"/>
        </w:rPr>
      </w:pPr>
      <w:r>
        <w:rPr>
          <w:rFonts w:hint="eastAsia" w:ascii="宋体" w:hAnsi="宋体" w:cs="Times New Roman"/>
          <w:b w:val="0"/>
          <w:bCs w:val="0"/>
          <w:kern w:val="0"/>
          <w:sz w:val="21"/>
          <w:szCs w:val="21"/>
          <w:lang w:val="en-US" w:eastAsia="zh-CN" w:bidi="ar-SA"/>
        </w:rPr>
        <w:t>注：</w:t>
      </w:r>
      <w:r>
        <w:rPr>
          <w:rFonts w:hint="eastAsia" w:ascii="宋体" w:hAnsi="宋体" w:eastAsia="宋体" w:cs="Times New Roman"/>
          <w:b w:val="0"/>
          <w:bCs w:val="0"/>
          <w:kern w:val="0"/>
          <w:sz w:val="21"/>
          <w:szCs w:val="21"/>
          <w:lang w:val="en-US" w:eastAsia="zh-CN" w:bidi="ar-SA"/>
        </w:rPr>
        <w:t>1、最高限价</w:t>
      </w:r>
      <w:r>
        <w:rPr>
          <w:rFonts w:hint="eastAsia" w:ascii="宋体" w:hAnsi="宋体" w:cs="Times New Roman"/>
          <w:b w:val="0"/>
          <w:bCs w:val="0"/>
          <w:kern w:val="0"/>
          <w:sz w:val="21"/>
          <w:szCs w:val="21"/>
          <w:lang w:val="en-US" w:eastAsia="zh-CN" w:bidi="ar-SA"/>
        </w:rPr>
        <w:t>：</w:t>
      </w:r>
      <w:r>
        <w:rPr>
          <w:rFonts w:hint="eastAsia" w:ascii="宋体" w:hAnsi="宋体" w:eastAsia="宋体" w:cs="Times New Roman"/>
          <w:b w:val="0"/>
          <w:bCs w:val="0"/>
          <w:kern w:val="0"/>
          <w:sz w:val="21"/>
          <w:szCs w:val="21"/>
          <w:lang w:val="en-US" w:eastAsia="zh-CN" w:bidi="ar-SA"/>
        </w:rPr>
        <w:t>即本项目投标下浮率不少于12%，即109.8878万元*（1-12%）</w:t>
      </w:r>
    </w:p>
    <w:p>
      <w:pPr>
        <w:pStyle w:val="40"/>
        <w:ind w:left="0" w:leftChars="0" w:firstLine="420" w:firstLineChars="200"/>
        <w:jc w:val="both"/>
        <w:rPr>
          <w:rFonts w:hint="eastAsia" w:ascii="宋体" w:hAnsi="宋体" w:eastAsia="宋体" w:cs="Times New Roman"/>
          <w:b w:val="0"/>
          <w:bCs w:val="0"/>
          <w:kern w:val="0"/>
          <w:sz w:val="21"/>
          <w:szCs w:val="21"/>
          <w:lang w:val="en-US" w:eastAsia="zh-CN" w:bidi="ar-SA"/>
        </w:rPr>
      </w:pPr>
      <w:r>
        <w:rPr>
          <w:rFonts w:hint="eastAsia" w:ascii="宋体" w:hAnsi="宋体" w:cs="Times New Roman"/>
          <w:b w:val="0"/>
          <w:bCs w:val="0"/>
          <w:kern w:val="0"/>
          <w:sz w:val="21"/>
          <w:szCs w:val="21"/>
          <w:lang w:val="en-US" w:eastAsia="zh-CN" w:bidi="ar-SA"/>
        </w:rPr>
        <w:t>2、</w:t>
      </w:r>
      <w:r>
        <w:rPr>
          <w:rFonts w:hint="eastAsia" w:ascii="宋体" w:hAnsi="宋体" w:eastAsia="宋体" w:cs="Times New Roman"/>
          <w:b w:val="0"/>
          <w:bCs w:val="0"/>
          <w:kern w:val="0"/>
          <w:sz w:val="21"/>
          <w:szCs w:val="21"/>
          <w:lang w:val="en-US" w:eastAsia="zh-CN" w:bidi="ar-SA"/>
        </w:rPr>
        <w:t>具体工程内容及工程量清单、暂定价材料详见随本采购公告一起发布的图纸、预算报告书等。</w:t>
      </w:r>
    </w:p>
    <w:p>
      <w:pPr>
        <w:numPr>
          <w:ilvl w:val="0"/>
          <w:numId w:val="0"/>
        </w:numPr>
        <w:autoSpaceDE w:val="0"/>
        <w:autoSpaceDN w:val="0"/>
        <w:adjustRightInd w:val="0"/>
        <w:snapToGrid w:val="0"/>
        <w:spacing w:line="400" w:lineRule="atLeast"/>
        <w:rPr>
          <w:rFonts w:hint="eastAsia" w:ascii="宋体" w:hAnsi="宋体" w:eastAsia="宋体" w:cs="Times New Roman"/>
          <w:b/>
          <w:bCs/>
          <w:kern w:val="0"/>
          <w:sz w:val="22"/>
          <w:szCs w:val="22"/>
          <w:lang w:val="en-US" w:eastAsia="zh-CN"/>
        </w:rPr>
      </w:pPr>
      <w:r>
        <w:rPr>
          <w:rFonts w:hint="eastAsia" w:ascii="宋体" w:hAnsi="宋体" w:eastAsia="宋体" w:cs="Times New Roman"/>
          <w:b/>
          <w:bCs/>
          <w:kern w:val="0"/>
          <w:sz w:val="22"/>
          <w:szCs w:val="22"/>
          <w:lang w:val="en-US" w:eastAsia="zh-CN"/>
        </w:rPr>
        <w:t>三.</w:t>
      </w:r>
      <w:r>
        <w:rPr>
          <w:rFonts w:hint="eastAsia" w:ascii="宋体" w:hAnsi="宋体" w:eastAsia="宋体" w:cs="Times New Roman"/>
          <w:b/>
          <w:bCs/>
          <w:kern w:val="0"/>
          <w:sz w:val="22"/>
          <w:szCs w:val="22"/>
        </w:rPr>
        <w:t>▲质量标准</w:t>
      </w:r>
    </w:p>
    <w:p>
      <w:pPr>
        <w:pStyle w:val="21"/>
        <w:spacing w:line="380" w:lineRule="exact"/>
        <w:jc w:val="left"/>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合格。</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b/>
          <w:bCs/>
          <w:kern w:val="0"/>
          <w:sz w:val="22"/>
          <w:szCs w:val="22"/>
          <w:lang w:val="en-US" w:eastAsia="zh-CN"/>
        </w:rPr>
      </w:pPr>
      <w:r>
        <w:rPr>
          <w:rFonts w:hint="eastAsia" w:ascii="宋体" w:hAnsi="宋体" w:eastAsia="宋体" w:cs="黑体"/>
          <w:b/>
          <w:bCs/>
          <w:kern w:val="0"/>
          <w:sz w:val="22"/>
          <w:szCs w:val="22"/>
          <w:lang w:val="en-US" w:eastAsia="zh-CN" w:bidi="ar-SA"/>
        </w:rPr>
        <w:t>四.工程</w:t>
      </w:r>
      <w:r>
        <w:rPr>
          <w:rFonts w:hint="eastAsia" w:ascii="宋体" w:hAnsi="宋体"/>
          <w:b/>
          <w:bCs/>
          <w:kern w:val="0"/>
          <w:sz w:val="22"/>
          <w:szCs w:val="22"/>
          <w:lang w:val="en-US" w:eastAsia="zh-CN"/>
        </w:rPr>
        <w:t>技术规范要求及图纸</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成交供应商应按下列法律、法规及行业的有关规定和要求及本项目磋商文件的要求对本工程进行施工。</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（一）国家关于工程建设现行的有关法律、法规及行业的有关规定。</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（二）国家关于工程建设现行的规范、标准及行业的有关规定。</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（三）发包人有关工程建设方面的标准和规定。</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实施中所用标准和技术规范均应以合同签订之日为止时的最新版本为准。</w:t>
      </w:r>
    </w:p>
    <w:p>
      <w:pPr>
        <w:pStyle w:val="21"/>
        <w:spacing w:line="380" w:lineRule="exact"/>
        <w:jc w:val="left"/>
        <w:rPr>
          <w:rFonts w:hint="eastAsia" w:ascii="宋体" w:hAnsi="宋体" w:eastAsia="宋体" w:cs="Times New Roman"/>
          <w:b/>
          <w:bCs/>
          <w:kern w:val="0"/>
          <w:sz w:val="22"/>
          <w:szCs w:val="22"/>
          <w:lang w:val="en-US" w:eastAsia="zh-CN" w:bidi="ar-SA"/>
        </w:rPr>
      </w:pPr>
      <w:r>
        <w:rPr>
          <w:rFonts w:hint="eastAsia" w:ascii="宋体" w:hAnsi="宋体" w:eastAsia="宋体" w:cs="Times New Roman"/>
          <w:b/>
          <w:bCs/>
          <w:kern w:val="0"/>
          <w:sz w:val="22"/>
          <w:szCs w:val="22"/>
          <w:lang w:val="en-US" w:eastAsia="zh-CN" w:bidi="ar-SA"/>
        </w:rPr>
        <w:t>五.材料质量要求</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1.材料选择</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（1）合同中“主要设备材料备选品牌一览表”，供应商在磋商响应时必须按表中所列的备选品牌之一进行报价（如投标响应优于文件要求的，按响应文件承诺为准，如低于文件要求的，按文件要求执行）。</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本采购文件涉及的其他主要材料及零星材料，各供应商须根据设计施工图的要求按中高档的用材标准进行选材并报价，所有建筑材料要求采用在行业内有一定知名度的品牌，并符合环保要求，严禁选择不合设计要求的低档材料进行报价及组织施工实施。</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2.材料的质量保证</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（1）在免费保修期内，承包人对有缺陷的部位必须无偿地给予修理与更换，并承担一切由此引起的对发包人或第三者的直接损失，除非该缺陷是由于人为破坏或合同规定的不可抗因素造成的损坏。</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（2）承包人必须对所承包的工程的质量负全部责任，其责任不因其他材料生产商提供的保证书而减轻或更改。</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（3）材料检验结果证明其有害物质含量指标超标的产品不得使用。</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bCs/>
          <w:kern w:val="0"/>
          <w:sz w:val="22"/>
          <w:szCs w:val="22"/>
          <w:lang w:val="en-US" w:eastAsia="zh-CN" w:bidi="ar-SA"/>
        </w:rPr>
      </w:pPr>
      <w:r>
        <w:rPr>
          <w:rFonts w:hint="eastAsia" w:ascii="宋体" w:hAnsi="宋体" w:eastAsia="宋体" w:cs="黑体"/>
          <w:b/>
          <w:bCs/>
          <w:kern w:val="0"/>
          <w:sz w:val="22"/>
          <w:szCs w:val="22"/>
          <w:lang w:val="en-US" w:eastAsia="zh-CN" w:bidi="ar-SA"/>
        </w:rPr>
        <w:t>3.供应要求</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本次招标承包范围内的建筑施工材料均由承包人根据本采购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（2）由承包人采购的主要建筑材料，当承包人选定的产品质量达不到设计要求和预期质量目标时，发包人保留更换的权利，且中标价不予调整。</w:t>
      </w:r>
    </w:p>
    <w:p>
      <w:pPr>
        <w:pStyle w:val="22"/>
        <w:ind w:left="0" w:leftChars="0" w:firstLine="0" w:firstLineChars="0"/>
        <w:rPr>
          <w:rFonts w:hint="eastAsia"/>
          <w:color w:val="auto"/>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（3）临海市东矶岛岛上未实现通水通电，也未开通航线班次，中标方因充分考虑对施工可能带来的影响，相关费用在报价时综合考虑，不再另计。</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bCs/>
          <w:kern w:val="0"/>
          <w:sz w:val="22"/>
          <w:szCs w:val="22"/>
          <w:lang w:val="en-US" w:eastAsia="zh-CN" w:bidi="ar-SA"/>
        </w:rPr>
      </w:pPr>
      <w:r>
        <w:rPr>
          <w:rFonts w:hint="eastAsia" w:ascii="宋体" w:hAnsi="宋体" w:eastAsia="宋体" w:cs="黑体"/>
          <w:b/>
          <w:bCs/>
          <w:kern w:val="0"/>
          <w:sz w:val="22"/>
          <w:szCs w:val="22"/>
          <w:lang w:val="en-US" w:eastAsia="zh-CN" w:bidi="ar-SA"/>
        </w:rPr>
        <w:t>六.工程管理的要求</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 本工程发包范围内的工程项目，未经发包人同意一律不得分包。一经发现立即取消承包资格，作违约处理，并承担由此引起的一切经济损失。</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 承包人应严格按已确认设计图纸和施工技术方案组织施工，并无条件地接受发包人委托的监理单位对施工质量的监督和管理。</w:t>
      </w:r>
    </w:p>
    <w:p>
      <w:pPr>
        <w:keepNext w:val="0"/>
        <w:keepLines w:val="0"/>
        <w:pageBreakBefore w:val="0"/>
        <w:widowControl w:val="0"/>
        <w:numPr>
          <w:ilvl w:val="0"/>
          <w:numId w:val="0"/>
        </w:numPr>
        <w:kinsoku/>
        <w:wordWrap/>
        <w:overflowPunct/>
        <w:topLinePunct w:val="0"/>
        <w:bidi w:val="0"/>
        <w:spacing w:line="240" w:lineRule="exact"/>
        <w:textAlignment w:val="auto"/>
        <w:rPr>
          <w:rFonts w:hint="eastAsia" w:ascii="宋体" w:hAnsi="宋体" w:cs="黑体"/>
          <w:b/>
          <w:bCs/>
          <w:kern w:val="0"/>
          <w:sz w:val="22"/>
          <w:szCs w:val="22"/>
          <w:highlight w:val="none"/>
          <w:lang w:val="en-US" w:eastAsia="zh-CN" w:bidi="ar-SA"/>
        </w:rPr>
      </w:pPr>
      <w:r>
        <w:rPr>
          <w:rFonts w:hint="eastAsia" w:ascii="宋体" w:hAnsi="宋体" w:cs="黑体"/>
          <w:b/>
          <w:bCs/>
          <w:kern w:val="0"/>
          <w:sz w:val="22"/>
          <w:szCs w:val="22"/>
          <w:highlight w:val="none"/>
          <w:lang w:val="en-US" w:eastAsia="zh-CN" w:bidi="ar-SA"/>
        </w:rPr>
        <w:t xml:space="preserve">七、相关问题特别澄清： </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1.工作内容详见图纸、联系单及工程预算报告。</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highlight w:val="none"/>
          <w:lang w:val="en-US" w:eastAsia="zh-CN" w:bidi="ar-SA"/>
        </w:rPr>
        <w:t>2.施工用地、用水、用电：由施工方自行解决，费用已</w:t>
      </w:r>
      <w:r>
        <w:rPr>
          <w:rFonts w:hint="eastAsia" w:ascii="宋体" w:hAnsi="宋体" w:eastAsia="宋体" w:cs="黑体"/>
          <w:b w:val="0"/>
          <w:bCs w:val="0"/>
          <w:kern w:val="0"/>
          <w:sz w:val="21"/>
          <w:szCs w:val="21"/>
          <w:lang w:val="en-US" w:eastAsia="zh-CN" w:bidi="ar-SA"/>
        </w:rPr>
        <w:t>包含在综合单价内，结算时不再调整。</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3.招标人有权根据工程需要增加或减少部分工程量，成交供应商不得拒绝施工。</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4.安全文明施工的措施标准应符合国家、业内及当地有关规定，费用已包含在综合单价内。</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5.成交供应商要加强施工质量管理，施工过程中必须接受招标人的监督和检查。倘若工程质量不合要求，招标人有权暂停施工，成交供应商必须无条件返工重做，由此造成的损失由成交供应商自行承担。</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6.成交供应商应严格按照项目隐蔽工程的验收管理规定执行隐蔽工程的管理，落实隐蔽工程相关资料的留底存档，主动接受招标人和监理单位的监督审核。</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bCs/>
          <w:color w:val="auto"/>
          <w:kern w:val="0"/>
          <w:sz w:val="21"/>
          <w:szCs w:val="21"/>
          <w:lang w:val="en-US" w:eastAsia="zh-CN" w:bidi="ar-SA"/>
        </w:rPr>
      </w:pPr>
      <w:r>
        <w:rPr>
          <w:rFonts w:hint="eastAsia" w:ascii="宋体" w:hAnsi="宋体" w:eastAsia="宋体" w:cs="黑体"/>
          <w:b/>
          <w:bCs/>
          <w:color w:val="auto"/>
          <w:kern w:val="0"/>
          <w:sz w:val="21"/>
          <w:szCs w:val="21"/>
          <w:lang w:val="en-US" w:eastAsia="zh-CN" w:bidi="ar-SA"/>
        </w:rPr>
        <w:t>注：1、▲投标总报价按照磋商文件提供的工程量进行报价，不得减少。</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bCs/>
          <w:color w:val="auto"/>
          <w:kern w:val="0"/>
          <w:sz w:val="21"/>
          <w:szCs w:val="21"/>
          <w:lang w:val="en-US" w:eastAsia="zh-CN" w:bidi="ar-SA"/>
        </w:rPr>
      </w:pPr>
      <w:r>
        <w:rPr>
          <w:rFonts w:hint="eastAsia" w:ascii="宋体" w:hAnsi="宋体" w:eastAsia="宋体" w:cs="黑体"/>
          <w:b/>
          <w:bCs/>
          <w:color w:val="auto"/>
          <w:kern w:val="0"/>
          <w:sz w:val="21"/>
          <w:szCs w:val="21"/>
          <w:lang w:val="en-US" w:eastAsia="zh-CN" w:bidi="ar-SA"/>
        </w:rPr>
        <w:t>2、本采购标的对应的中小企业划分标准所属行业为：建筑业。</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bCs/>
          <w:color w:val="auto"/>
          <w:kern w:val="0"/>
          <w:sz w:val="21"/>
          <w:szCs w:val="21"/>
          <w:lang w:val="en-US" w:eastAsia="zh-CN" w:bidi="ar-SA"/>
        </w:rPr>
      </w:pPr>
      <w:r>
        <w:rPr>
          <w:rFonts w:hint="eastAsia" w:ascii="宋体" w:hAnsi="宋体" w:eastAsia="宋体" w:cs="黑体"/>
          <w:b/>
          <w:bCs/>
          <w:color w:val="auto"/>
          <w:kern w:val="0"/>
          <w:sz w:val="21"/>
          <w:szCs w:val="21"/>
          <w:lang w:val="en-US" w:eastAsia="zh-CN" w:bidi="ar-SA"/>
        </w:rPr>
        <w:t>3、带▲是实质性条款，投标人不得负偏离或内容缺失，否则为无效标。</w:t>
      </w:r>
    </w:p>
    <w:p>
      <w:pPr>
        <w:keepNext w:val="0"/>
        <w:keepLines w:val="0"/>
        <w:pageBreakBefore w:val="0"/>
        <w:widowControl w:val="0"/>
        <w:numPr>
          <w:ilvl w:val="0"/>
          <w:numId w:val="0"/>
        </w:numPr>
        <w:kinsoku/>
        <w:wordWrap/>
        <w:overflowPunct/>
        <w:topLinePunct w:val="0"/>
        <w:bidi w:val="0"/>
        <w:spacing w:line="240" w:lineRule="exact"/>
        <w:textAlignment w:val="auto"/>
        <w:rPr>
          <w:rFonts w:hint="eastAsia" w:ascii="宋体" w:hAnsi="宋体" w:eastAsia="宋体" w:cs="黑体"/>
          <w:b/>
          <w:bCs/>
          <w:kern w:val="0"/>
          <w:sz w:val="22"/>
          <w:szCs w:val="22"/>
          <w:highlight w:val="none"/>
          <w:lang w:val="en-US" w:eastAsia="zh-CN" w:bidi="ar-SA"/>
        </w:rPr>
      </w:pPr>
      <w:r>
        <w:rPr>
          <w:rFonts w:hint="eastAsia" w:ascii="宋体" w:hAnsi="宋体" w:eastAsia="宋体" w:cs="黑体"/>
          <w:b/>
          <w:bCs/>
          <w:kern w:val="0"/>
          <w:sz w:val="22"/>
          <w:szCs w:val="22"/>
          <w:highlight w:val="none"/>
          <w:lang w:val="en-US" w:eastAsia="zh-CN" w:bidi="ar-SA"/>
        </w:rPr>
        <w:t>八.工期要求</w:t>
      </w:r>
    </w:p>
    <w:p>
      <w:pPr>
        <w:spacing w:line="360" w:lineRule="auto"/>
        <w:ind w:firstLine="210" w:firstLineChars="100"/>
        <w:rPr>
          <w:rFonts w:hint="eastAsia" w:ascii="宋体" w:hAnsi="宋体" w:eastAsia="宋体" w:cs="Times New Roman"/>
          <w:b w:val="0"/>
          <w:bCs w:val="0"/>
          <w:kern w:val="0"/>
          <w:sz w:val="21"/>
          <w:szCs w:val="21"/>
          <w:highlight w:val="none"/>
          <w:lang w:val="en-US" w:eastAsia="zh-CN"/>
        </w:rPr>
      </w:pPr>
      <w:r>
        <w:rPr>
          <w:rFonts w:hint="eastAsia" w:ascii="宋体" w:hAnsi="宋体" w:eastAsia="宋体" w:cs="Times New Roman"/>
          <w:b w:val="0"/>
          <w:bCs w:val="0"/>
          <w:kern w:val="0"/>
          <w:sz w:val="21"/>
          <w:szCs w:val="21"/>
          <w:highlight w:val="none"/>
          <w:lang w:val="en-US" w:eastAsia="zh-CN"/>
        </w:rPr>
        <w:t>▲1、计划工期：不超过60日历天（工期自开工通知中载明的开工日期起算）。</w:t>
      </w:r>
    </w:p>
    <w:p>
      <w:pPr>
        <w:keepNext w:val="0"/>
        <w:keepLines w:val="0"/>
        <w:pageBreakBefore w:val="0"/>
        <w:widowControl w:val="0"/>
        <w:numPr>
          <w:ilvl w:val="0"/>
          <w:numId w:val="0"/>
        </w:numPr>
        <w:kinsoku/>
        <w:wordWrap/>
        <w:overflowPunct/>
        <w:topLinePunct w:val="0"/>
        <w:bidi w:val="0"/>
        <w:spacing w:line="240" w:lineRule="exact"/>
        <w:textAlignment w:val="auto"/>
        <w:rPr>
          <w:rFonts w:hint="eastAsia" w:ascii="宋体" w:hAnsi="宋体" w:eastAsia="宋体" w:cs="黑体"/>
          <w:b/>
          <w:bCs/>
          <w:kern w:val="0"/>
          <w:sz w:val="22"/>
          <w:szCs w:val="22"/>
          <w:highlight w:val="none"/>
          <w:lang w:val="en-US" w:eastAsia="zh-CN" w:bidi="ar-SA"/>
        </w:rPr>
      </w:pPr>
      <w:r>
        <w:rPr>
          <w:rFonts w:hint="eastAsia" w:ascii="宋体" w:hAnsi="宋体" w:eastAsia="宋体" w:cs="黑体"/>
          <w:b/>
          <w:bCs/>
          <w:kern w:val="0"/>
          <w:sz w:val="22"/>
          <w:szCs w:val="22"/>
          <w:highlight w:val="none"/>
          <w:lang w:val="en-US" w:eastAsia="zh-CN" w:bidi="ar-SA"/>
        </w:rPr>
        <w:t>九.其他要求：</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1）项目负责人在本工程投标文件提交截止日前，承接（包括已办理项目负责人变更手续）的工程项目未通过竣工验收的（以单位工程质量竣工验收记录为准），认定该项目负责人有在建合同工程，该项目负责人不得参加投标，交通工程等关于项目负责人在建认定另有规定的，从其规定。发生下列情形之一的除外：</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a.原承接的项目与本工程属于同一工程相邻分段发包或分期施工的；</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b.因非承包方原因致使工程项目停工超过120天（含），经原建设单位同意的；</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c.合同约定的工程已完工，承包方向建设单位提交竣工报告时间已超过120天（含），经原建设单位同意的。</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如发生以上a、b、c情形的，投标人应在投标文件中提交有关书面证明材料（以电子文档形式随资格标上传，招标文件提供证明格式的须按照该格式提交），投标截止日后提供的证明材料视为瞒报、漏报，将不予认可。</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若承接项目已取得单位工程质量竣工验收记录的，该项目不作为在建。原承接项目已解除合同的，该项目不作为在建。评标委员会可以要求投标人提供已通过竣工验收或已解除合同的相关证明材料。</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2）项目负责人不得同时在两个或者两个以上单位受聘或者执业（仅指项目负责人不得同时是其他单位的公务员或者事业单位在编人员，涉及到其他情形的，投标资格不受影响）。</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eastAsia="宋体" w:cs="黑体"/>
          <w:b w:val="0"/>
          <w:bCs w:val="0"/>
          <w:kern w:val="0"/>
          <w:sz w:val="21"/>
          <w:szCs w:val="21"/>
          <w:lang w:val="en-US" w:eastAsia="zh-CN" w:bidi="ar-SA"/>
        </w:rPr>
      </w:pPr>
      <w:r>
        <w:rPr>
          <w:rFonts w:hint="eastAsia" w:ascii="宋体" w:hAnsi="宋体" w:eastAsia="宋体" w:cs="黑体"/>
          <w:b w:val="0"/>
          <w:bCs w:val="0"/>
          <w:kern w:val="0"/>
          <w:sz w:val="21"/>
          <w:szCs w:val="21"/>
          <w:lang w:val="en-US" w:eastAsia="zh-CN" w:bidi="ar-SA"/>
        </w:rPr>
        <w:t>3）投标人不得存在下列情形之一：</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 xml:space="preserve">（1）为招标人不具有独立法人资格的附属机构（单位）； </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 xml:space="preserve">（2）为本工程前期准备提供设计或咨询服务的，但设计施工总承包的除外； </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（3）为本工程的监理人；</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 xml:space="preserve">（4）为本工程的代建人； </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 xml:space="preserve">（5）为本工程提供招标代理服务的； </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（6）与本工程的监理人或代建人或招标代理机构同为一个法定代表人的；</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（7）与本工程的监理人或代建人或招标代理机构相互控股或参股的；</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（8）与本工程的监理人或代建人或招标代理机构相互任职或工作的；</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 xml:space="preserve">（9）被责令停业的； </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 xml:space="preserve">（10）被暂停或取消投标资格的（包括项目负责人）； </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（11）安全生产许可证超出有效期或处于暂扣时限内的；</w:t>
      </w:r>
    </w:p>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（12）投标人及相关管理人员（包括项目负责人）安全生产任职资格不符合相关规定；</w:t>
      </w:r>
    </w:p>
    <w:p>
      <w:pPr>
        <w:spacing w:line="360" w:lineRule="auto"/>
        <w:rPr>
          <w:rFonts w:hint="eastAsia" w:ascii="宋体" w:hAnsi="宋体" w:eastAsia="宋体" w:cs="黑体"/>
          <w:b w:val="0"/>
          <w:bCs w:val="0"/>
          <w:kern w:val="0"/>
          <w:sz w:val="21"/>
          <w:szCs w:val="21"/>
          <w:lang w:val="en-US" w:eastAsia="zh-CN" w:bidi="ar-SA"/>
        </w:rPr>
      </w:pPr>
      <w:r>
        <w:rPr>
          <w:rFonts w:hint="eastAsia" w:asciiTheme="minorEastAsia" w:hAnsiTheme="minorEastAsia" w:eastAsiaTheme="minorEastAsia" w:cstheme="minorEastAsia"/>
          <w:bCs/>
          <w:color w:val="auto"/>
          <w:sz w:val="21"/>
          <w:szCs w:val="21"/>
          <w:highlight w:val="none"/>
          <w:lang w:val="en-US" w:eastAsia="zh-CN"/>
        </w:rPr>
        <w:t>（13）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r>
        <w:rPr>
          <w:rFonts w:hint="eastAsia" w:ascii="宋体" w:hAnsi="宋体" w:eastAsia="宋体" w:cs="黑体"/>
          <w:b w:val="0"/>
          <w:bCs w:val="0"/>
          <w:kern w:val="0"/>
          <w:sz w:val="21"/>
          <w:szCs w:val="21"/>
          <w:lang w:val="en-US" w:eastAsia="zh-CN" w:bidi="ar-SA"/>
        </w:rPr>
        <w:t>。</w:t>
      </w:r>
    </w:p>
    <w:p>
      <w:pPr>
        <w:pStyle w:val="22"/>
        <w:ind w:left="0" w:leftChars="0" w:firstLine="0" w:firstLineChars="0"/>
        <w:rPr>
          <w:rFonts w:hint="eastAsia"/>
          <w:color w:val="auto"/>
          <w:lang w:val="en-US" w:eastAsia="zh-CN"/>
        </w:rPr>
      </w:pPr>
      <w:r>
        <w:rPr>
          <w:rFonts w:hint="eastAsia" w:ascii="宋体" w:hAnsi="宋体" w:cs="黑体"/>
          <w:color w:val="auto"/>
          <w:kern w:val="0"/>
          <w:sz w:val="22"/>
          <w:szCs w:val="22"/>
          <w:lang w:val="en-US" w:eastAsia="zh-CN" w:bidi="ar-SA"/>
        </w:rPr>
        <w:t>（14）临海市东矶岛岛上未实现通水通电，也未开通航线班次，中标方因充分考虑对施工可能带来的影响，</w:t>
      </w:r>
      <w:r>
        <w:rPr>
          <w:rFonts w:hint="eastAsia" w:ascii="宋体" w:hAnsi="宋体" w:eastAsia="宋体" w:cs="黑体"/>
          <w:color w:val="auto"/>
          <w:kern w:val="0"/>
          <w:sz w:val="22"/>
          <w:szCs w:val="22"/>
          <w:lang w:val="en-US" w:eastAsia="zh-CN" w:bidi="ar-SA"/>
        </w:rPr>
        <w:t>相关费用在报价时综合考虑，不再另计</w:t>
      </w:r>
    </w:p>
    <w:p>
      <w:pPr>
        <w:numPr>
          <w:ilvl w:val="0"/>
          <w:numId w:val="0"/>
        </w:numPr>
        <w:spacing w:line="360" w:lineRule="auto"/>
        <w:ind w:firstLine="221" w:firstLineChars="100"/>
        <w:rPr>
          <w:rFonts w:hint="eastAsia" w:ascii="宋体" w:hAnsi="宋体" w:eastAsia="宋体" w:cs="黑体"/>
          <w:b/>
          <w:bCs/>
          <w:kern w:val="0"/>
          <w:sz w:val="22"/>
          <w:szCs w:val="22"/>
          <w:lang w:val="en-US" w:eastAsia="zh-CN" w:bidi="ar-SA"/>
        </w:rPr>
      </w:pPr>
      <w:r>
        <w:rPr>
          <w:rFonts w:hint="eastAsia" w:ascii="宋体" w:hAnsi="宋体" w:eastAsia="宋体" w:cs="黑体"/>
          <w:b/>
          <w:bCs/>
          <w:kern w:val="0"/>
          <w:sz w:val="22"/>
          <w:szCs w:val="22"/>
          <w:lang w:val="en-US" w:eastAsia="zh-CN" w:bidi="ar-SA"/>
        </w:rPr>
        <w:t>十、付款条件：</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黑体"/>
          <w:b w:val="0"/>
          <w:bCs w:val="0"/>
          <w:color w:val="auto"/>
          <w:kern w:val="0"/>
          <w:sz w:val="21"/>
          <w:szCs w:val="21"/>
          <w:highlight w:val="none"/>
          <w:lang w:val="en-US" w:eastAsia="zh-CN" w:bidi="ar-SA"/>
        </w:rPr>
      </w:pPr>
      <w:r>
        <w:rPr>
          <w:rFonts w:hint="eastAsia" w:ascii="宋体" w:hAnsi="宋体" w:eastAsia="宋体" w:cs="黑体"/>
          <w:b w:val="0"/>
          <w:bCs w:val="0"/>
          <w:color w:val="auto"/>
          <w:kern w:val="0"/>
          <w:sz w:val="21"/>
          <w:szCs w:val="21"/>
          <w:highlight w:val="none"/>
          <w:lang w:val="en-US" w:eastAsia="zh-CN" w:bidi="ar-SA"/>
        </w:rPr>
        <w:t>合同签订并人员、机械设备进场后7日历天内支付合同总价的40%作为预付款，同时供应商需提交相应金额的预付款担保（预付款担保可以用银行、保险公司、融资担保公司出具的预付款保函）；工程</w:t>
      </w:r>
      <w:r>
        <w:rPr>
          <w:rFonts w:hint="eastAsia" w:ascii="宋体" w:hAnsi="宋体" w:cs="黑体"/>
          <w:b w:val="0"/>
          <w:bCs w:val="0"/>
          <w:color w:val="auto"/>
          <w:kern w:val="0"/>
          <w:sz w:val="21"/>
          <w:szCs w:val="21"/>
          <w:highlight w:val="none"/>
          <w:lang w:val="en-US" w:eastAsia="zh-CN" w:bidi="ar-SA"/>
        </w:rPr>
        <w:t>完</w:t>
      </w:r>
      <w:r>
        <w:rPr>
          <w:rFonts w:hint="eastAsia" w:ascii="宋体" w:hAnsi="宋体" w:eastAsia="宋体" w:cs="黑体"/>
          <w:b w:val="0"/>
          <w:bCs w:val="0"/>
          <w:color w:val="auto"/>
          <w:kern w:val="0"/>
          <w:sz w:val="21"/>
          <w:szCs w:val="21"/>
          <w:highlight w:val="none"/>
          <w:lang w:val="en-US" w:eastAsia="zh-CN" w:bidi="ar-SA"/>
        </w:rPr>
        <w:t>工验收合格后付至合同价款的85%；经结算审核并通过验收合格后，</w:t>
      </w:r>
      <w:r>
        <w:rPr>
          <w:rFonts w:hint="eastAsia" w:ascii="宋体" w:hAnsi="宋体" w:cs="黑体"/>
          <w:b w:val="0"/>
          <w:bCs w:val="0"/>
          <w:color w:val="auto"/>
          <w:kern w:val="0"/>
          <w:sz w:val="21"/>
          <w:szCs w:val="21"/>
          <w:highlight w:val="none"/>
          <w:lang w:val="en-US" w:eastAsia="zh-CN" w:bidi="ar-SA"/>
        </w:rPr>
        <w:t>支付剩余款项</w:t>
      </w:r>
      <w:r>
        <w:rPr>
          <w:rFonts w:hint="eastAsia" w:ascii="宋体" w:hAnsi="宋体" w:eastAsia="宋体" w:cs="黑体"/>
          <w:b w:val="0"/>
          <w:bCs w:val="0"/>
          <w:color w:val="auto"/>
          <w:kern w:val="0"/>
          <w:sz w:val="21"/>
          <w:szCs w:val="21"/>
          <w:highlight w:val="none"/>
          <w:lang w:val="en-US" w:eastAsia="zh-CN" w:bidi="ar-SA"/>
        </w:rPr>
        <w:t>。</w:t>
      </w:r>
    </w:p>
    <w:p>
      <w:pPr>
        <w:numPr>
          <w:ilvl w:val="0"/>
          <w:numId w:val="0"/>
        </w:numPr>
        <w:spacing w:line="360" w:lineRule="auto"/>
        <w:ind w:firstLine="221" w:firstLineChars="100"/>
        <w:rPr>
          <w:rFonts w:hint="eastAsia" w:ascii="宋体" w:hAnsi="宋体" w:eastAsia="宋体" w:cs="黑体"/>
          <w:b/>
          <w:bCs/>
          <w:color w:val="auto"/>
          <w:kern w:val="0"/>
          <w:sz w:val="22"/>
          <w:szCs w:val="22"/>
          <w:highlight w:val="none"/>
          <w:lang w:val="en-US" w:eastAsia="zh-CN" w:bidi="ar-SA"/>
        </w:rPr>
      </w:pPr>
      <w:r>
        <w:rPr>
          <w:rFonts w:hint="eastAsia" w:ascii="宋体" w:hAnsi="宋体" w:eastAsia="宋体" w:cs="黑体"/>
          <w:b/>
          <w:bCs/>
          <w:color w:val="auto"/>
          <w:kern w:val="0"/>
          <w:sz w:val="22"/>
          <w:szCs w:val="22"/>
          <w:highlight w:val="none"/>
          <w:lang w:val="en-US" w:eastAsia="zh-CN" w:bidi="ar-SA"/>
        </w:rPr>
        <w:t>十一、履约保证金：</w:t>
      </w:r>
    </w:p>
    <w:p>
      <w:pPr>
        <w:keepNext w:val="0"/>
        <w:keepLines w:val="0"/>
        <w:pageBreakBefore w:val="0"/>
        <w:widowControl w:val="0"/>
        <w:numPr>
          <w:ilvl w:val="0"/>
          <w:numId w:val="0"/>
        </w:numPr>
        <w:kinsoku/>
        <w:wordWrap/>
        <w:overflowPunct/>
        <w:topLinePunct w:val="0"/>
        <w:bidi w:val="0"/>
        <w:spacing w:line="360" w:lineRule="auto"/>
        <w:textAlignment w:val="auto"/>
        <w:rPr>
          <w:rFonts w:hint="eastAsia" w:ascii="宋体" w:hAnsi="宋体"/>
          <w:color w:val="auto"/>
          <w:sz w:val="30"/>
          <w:szCs w:val="30"/>
          <w:highlight w:val="none"/>
        </w:rPr>
      </w:pPr>
      <w:r>
        <w:rPr>
          <w:rFonts w:hint="eastAsia" w:ascii="宋体" w:hAnsi="宋体" w:eastAsia="宋体" w:cs="黑体"/>
          <w:b w:val="0"/>
          <w:bCs w:val="0"/>
          <w:color w:val="auto"/>
          <w:kern w:val="0"/>
          <w:sz w:val="21"/>
          <w:szCs w:val="21"/>
          <w:highlight w:val="none"/>
          <w:lang w:val="en-US" w:eastAsia="zh-CN" w:bidi="ar-SA"/>
        </w:rPr>
        <w:t>按成交价的1%收取，领取成交通知书前缴纳至临海市公共资源交易中心账户。验收合格后凭《临海市政府采购验收单》向临海市公共资源交易中心退还。</w:t>
      </w:r>
      <w:bookmarkStart w:id="10" w:name="_Toc48835713"/>
      <w:bookmarkStart w:id="11" w:name="_Toc466534749"/>
      <w:r>
        <w:rPr>
          <w:rFonts w:hint="eastAsia" w:ascii="宋体" w:hAnsi="宋体"/>
          <w:color w:val="auto"/>
          <w:sz w:val="30"/>
          <w:szCs w:val="30"/>
          <w:highlight w:val="none"/>
        </w:rPr>
        <w:br w:type="page"/>
      </w:r>
    </w:p>
    <w:p>
      <w:pPr>
        <w:pStyle w:val="3"/>
        <w:spacing w:line="360" w:lineRule="auto"/>
        <w:jc w:val="center"/>
        <w:rPr>
          <w:rFonts w:ascii="宋体" w:hAnsi="宋体"/>
          <w:color w:val="auto"/>
          <w:sz w:val="30"/>
          <w:szCs w:val="30"/>
          <w:highlight w:val="none"/>
        </w:rPr>
      </w:pPr>
      <w:bookmarkStart w:id="12" w:name="_Toc5667"/>
      <w:r>
        <w:rPr>
          <w:rFonts w:hint="eastAsia" w:ascii="宋体" w:hAnsi="宋体"/>
          <w:color w:val="auto"/>
          <w:sz w:val="30"/>
          <w:szCs w:val="30"/>
          <w:highlight w:val="none"/>
        </w:rPr>
        <w:t>第三章  供应商磋商须知</w:t>
      </w:r>
      <w:bookmarkEnd w:id="10"/>
      <w:bookmarkEnd w:id="11"/>
      <w:bookmarkEnd w:id="12"/>
    </w:p>
    <w:p>
      <w:pPr>
        <w:snapToGrid w:val="0"/>
        <w:spacing w:before="120" w:beforeLines="50" w:after="120" w:afterLines="50"/>
        <w:ind w:left="476"/>
        <w:jc w:val="center"/>
        <w:rPr>
          <w:rFonts w:ascii="宋体" w:hAnsi="宋体"/>
          <w:b/>
          <w:color w:val="auto"/>
          <w:sz w:val="28"/>
          <w:szCs w:val="28"/>
          <w:highlight w:val="none"/>
        </w:rPr>
      </w:pPr>
      <w:r>
        <w:rPr>
          <w:rFonts w:hint="eastAsia" w:ascii="宋体" w:hAnsi="宋体"/>
          <w:b/>
          <w:color w:val="auto"/>
          <w:sz w:val="28"/>
          <w:szCs w:val="28"/>
          <w:highlight w:val="none"/>
        </w:rPr>
        <w:t>前附表</w:t>
      </w:r>
    </w:p>
    <w:tbl>
      <w:tblPr>
        <w:tblStyle w:val="51"/>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88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8831" w:type="dxa"/>
            <w:tcBorders>
              <w:top w:val="single" w:color="auto" w:sz="4" w:space="0"/>
              <w:left w:val="single" w:color="auto" w:sz="4" w:space="0"/>
              <w:bottom w:val="single" w:color="auto" w:sz="4" w:space="0"/>
              <w:right w:val="single" w:color="auto" w:sz="4" w:space="0"/>
            </w:tcBorders>
            <w:vAlign w:val="center"/>
          </w:tcPr>
          <w:p>
            <w:pPr>
              <w:pStyle w:val="46"/>
              <w:spacing w:before="0" w:beforeAutospacing="0" w:after="0" w:afterAutospacing="0" w:line="400" w:lineRule="exact"/>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项目名称：</w:t>
            </w:r>
            <w:r>
              <w:rPr>
                <w:rFonts w:hint="eastAsia" w:asciiTheme="minorEastAsia" w:hAnsiTheme="minorEastAsia" w:eastAsiaTheme="minorEastAsia" w:cstheme="minorEastAsia"/>
                <w:color w:val="auto"/>
                <w:sz w:val="21"/>
                <w:szCs w:val="21"/>
                <w:highlight w:val="none"/>
                <w:lang w:eastAsia="zh-CN"/>
              </w:rPr>
              <w:t>临海市东矶岛渔业综合管理项目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883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采购内容及数量：详见“第二章 采购内容、需求及要求”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883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投标报价及费用：</w:t>
            </w:r>
          </w:p>
          <w:p>
            <w:pPr>
              <w:snapToGrid w:val="0"/>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1、本项目投标应以人民币报价；</w:t>
            </w:r>
          </w:p>
          <w:p>
            <w:pPr>
              <w:snapToGrid w:val="0"/>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2、不论投标结果如何，投标人均应自行承担所有与投标有关的全部费用；</w:t>
            </w:r>
          </w:p>
          <w:p>
            <w:pPr>
              <w:snapToGrid w:val="0"/>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b/>
                <w:bCs/>
                <w:color w:val="auto"/>
                <w:sz w:val="21"/>
                <w:szCs w:val="21"/>
                <w:highlight w:val="none"/>
              </w:rPr>
              <w:t>本项目招标代理服务费根据中标价由</w:t>
            </w:r>
            <w:r>
              <w:rPr>
                <w:rFonts w:hint="eastAsia" w:asciiTheme="minorEastAsia" w:hAnsiTheme="minorEastAsia" w:eastAsiaTheme="minorEastAsia" w:cstheme="minorEastAsia"/>
                <w:b/>
                <w:bCs/>
                <w:color w:val="FF0000"/>
                <w:sz w:val="21"/>
                <w:szCs w:val="21"/>
                <w:highlight w:val="none"/>
              </w:rPr>
              <w:t>成交供应商</w:t>
            </w:r>
            <w:r>
              <w:rPr>
                <w:rFonts w:hint="eastAsia" w:asciiTheme="minorEastAsia" w:hAnsiTheme="minorEastAsia" w:eastAsiaTheme="minorEastAsia" w:cstheme="minorEastAsia"/>
                <w:b/>
                <w:bCs/>
                <w:color w:val="auto"/>
                <w:sz w:val="21"/>
                <w:szCs w:val="21"/>
                <w:highlight w:val="none"/>
              </w:rPr>
              <w:t>支付给采购代理机构，在采购代理机构发出成交通知书前一次性付清招标代理服务费用，</w:t>
            </w:r>
            <w:r>
              <w:rPr>
                <w:rFonts w:hint="eastAsia" w:asciiTheme="minorEastAsia" w:hAnsiTheme="minorEastAsia" w:eastAsiaTheme="minorEastAsia" w:cstheme="minorEastAsia"/>
                <w:b/>
                <w:bCs/>
                <w:color w:val="FF0000"/>
                <w:sz w:val="21"/>
                <w:szCs w:val="21"/>
                <w:highlight w:val="none"/>
                <w:lang w:eastAsia="zh-CN"/>
              </w:rPr>
              <w:t>根据</w:t>
            </w:r>
            <w:r>
              <w:rPr>
                <w:rFonts w:hint="eastAsia" w:asciiTheme="minorEastAsia" w:hAnsiTheme="minorEastAsia" w:eastAsiaTheme="minorEastAsia" w:cstheme="minorEastAsia"/>
                <w:b/>
                <w:bCs/>
                <w:color w:val="FF0000"/>
                <w:sz w:val="21"/>
                <w:szCs w:val="21"/>
                <w:highlight w:val="none"/>
                <w:lang w:val="en-US" w:eastAsia="zh-CN"/>
              </w:rPr>
              <w:t>计价格（2002）1980号</w:t>
            </w:r>
            <w:r>
              <w:rPr>
                <w:rFonts w:hint="eastAsia" w:asciiTheme="minorEastAsia" w:hAnsiTheme="minorEastAsia" w:eastAsiaTheme="minorEastAsia" w:cstheme="minorEastAsia"/>
                <w:b/>
                <w:bCs/>
                <w:color w:val="FF0000"/>
                <w:sz w:val="21"/>
                <w:szCs w:val="21"/>
                <w:highlight w:val="none"/>
              </w:rPr>
              <w:t>收费</w:t>
            </w:r>
            <w:r>
              <w:rPr>
                <w:rFonts w:hint="eastAsia" w:asciiTheme="minorEastAsia" w:hAnsiTheme="minorEastAsia" w:eastAsiaTheme="minorEastAsia" w:cstheme="minorEastAsia"/>
                <w:b/>
                <w:bCs/>
                <w:color w:val="FF0000"/>
                <w:sz w:val="21"/>
                <w:szCs w:val="21"/>
                <w:highlight w:val="none"/>
                <w:lang w:eastAsia="zh-CN"/>
              </w:rPr>
              <w:t>标准五折计取</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采用差额定率累进计费方式，具体标准如下：工程类：</w:t>
            </w:r>
            <w:r>
              <w:rPr>
                <w:rFonts w:hint="eastAsia" w:asciiTheme="minorEastAsia" w:hAnsiTheme="minorEastAsia" w:eastAsiaTheme="minorEastAsia" w:cstheme="minorEastAsia"/>
                <w:b w:val="0"/>
                <w:bCs w:val="0"/>
                <w:color w:val="auto"/>
                <w:sz w:val="21"/>
                <w:szCs w:val="21"/>
                <w:highlight w:val="none"/>
              </w:rPr>
              <w:t>100万*1.0%+（500-100）万*0.7%。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883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现场踏勘</w:t>
            </w:r>
            <w:r>
              <w:rPr>
                <w:rFonts w:hint="eastAsia" w:asciiTheme="minorEastAsia" w:hAnsiTheme="minorEastAsia" w:eastAsiaTheme="minorEastAsia" w:cstheme="minorEastAsia"/>
                <w:color w:val="auto"/>
                <w:sz w:val="21"/>
                <w:szCs w:val="21"/>
                <w:highlight w:val="none"/>
              </w:rPr>
              <w:t>：供应商可对项目现场和周围环境进行踏勘，现场踏勘时供应商按照图纸（如有）、磋商文件等技术性资料比对现场实际参数，如有问题，由供应商发起书面质疑，如无质疑，即认为满足采购条件，由供应商承担相应风险。踏勘现场所发生的费用由供应商自己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883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答疑与澄清</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color w:val="auto"/>
                <w:sz w:val="21"/>
                <w:szCs w:val="21"/>
                <w:highlight w:val="none"/>
              </w:rPr>
              <w:t>潜在供应商已依法获取其可质疑的磋商文件的，可以以书面形式向招标人就该文件提出质疑。对磋商文件提出质疑的，应当在获取磋商文件或者磋商文件公告期限届满之日起7个工作日内以书面形式提出，否则被质疑人可不予接受。供应商在法定质疑期内应一次性提出针对同一采购程序环节的质疑。</w:t>
            </w:r>
            <w:r>
              <w:rPr>
                <w:rFonts w:hint="eastAsia" w:asciiTheme="minorEastAsia" w:hAnsiTheme="minorEastAsia" w:eastAsiaTheme="minorEastAsia" w:cstheme="minorEastAsia"/>
                <w:color w:val="auto"/>
                <w:sz w:val="21"/>
                <w:szCs w:val="21"/>
                <w:highlight w:val="none"/>
              </w:rPr>
              <w:t>招标人对已发出的磋商文件进行必要的澄清、答复、修改和补充将以更正公告的形式予以发布。</w:t>
            </w:r>
            <w:r>
              <w:rPr>
                <w:rFonts w:hint="eastAsia" w:asciiTheme="minorEastAsia" w:hAnsiTheme="minorEastAsia" w:eastAsiaTheme="minorEastAsia" w:cstheme="minorEastAsia"/>
                <w:b/>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883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投标截止时间、开标时间及地点：详见“第一章  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883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评标办法</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883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shd w:val="pct10" w:color="auto" w:fill="FFFFFF"/>
              </w:rPr>
              <w:t>▲</w:t>
            </w:r>
            <w:r>
              <w:rPr>
                <w:rFonts w:hint="eastAsia" w:asciiTheme="minorEastAsia" w:hAnsiTheme="minorEastAsia" w:eastAsiaTheme="minorEastAsia" w:cstheme="minorEastAsia"/>
                <w:color w:val="auto"/>
                <w:sz w:val="21"/>
                <w:szCs w:val="21"/>
                <w:highlight w:val="none"/>
              </w:rPr>
              <w:t>投标有效期：自投标截止日起</w:t>
            </w:r>
            <w:r>
              <w:rPr>
                <w:rFonts w:hint="eastAsia" w:asciiTheme="minorEastAsia" w:hAnsiTheme="minorEastAsia" w:eastAsiaTheme="minorEastAsia" w:cstheme="minorEastAsia"/>
                <w:color w:val="auto"/>
                <w:sz w:val="21"/>
                <w:szCs w:val="21"/>
                <w:highlight w:val="none"/>
                <w:u w:val="single"/>
              </w:rPr>
              <w:t xml:space="preserve"> 90 </w:t>
            </w:r>
            <w:r>
              <w:rPr>
                <w:rFonts w:hint="eastAsia" w:asciiTheme="minorEastAsia" w:hAnsiTheme="minorEastAsia" w:eastAsiaTheme="minorEastAsia" w:cstheme="minorEastAsia"/>
                <w:color w:val="auto"/>
                <w:sz w:val="21"/>
                <w:szCs w:val="21"/>
                <w:highlight w:val="none"/>
              </w:rPr>
              <w:t>天响应文件应保持有效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883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u w:val="single"/>
                <w:shd w:val="pct10" w:color="auto" w:fill="FFFFFF"/>
              </w:rPr>
              <w:t>实质性条款：带▲是实质性条款，供应商不得负偏离或内容缺失，否则为无效标。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883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评标结果公示：评标结束后2天内，评标结果公示于采购公告发布的网站。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w:t>
            </w:r>
          </w:p>
        </w:tc>
        <w:tc>
          <w:tcPr>
            <w:tcW w:w="883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成交公告及成交通知书：评标结束后7个工作日内，成交公告发布于上述媒体；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c>
          <w:tcPr>
            <w:tcW w:w="883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9"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14</w:t>
            </w:r>
          </w:p>
        </w:tc>
        <w:tc>
          <w:tcPr>
            <w:tcW w:w="8831" w:type="dxa"/>
            <w:tcBorders>
              <w:top w:val="single" w:color="auto" w:sz="4" w:space="0"/>
              <w:left w:val="single" w:color="auto" w:sz="4" w:space="0"/>
              <w:bottom w:val="single" w:color="auto" w:sz="4" w:space="0"/>
              <w:right w:val="single" w:color="auto" w:sz="4" w:space="0"/>
            </w:tcBorders>
            <w:vAlign w:val="center"/>
          </w:tcPr>
          <w:p>
            <w:pPr>
              <w:pStyle w:val="21"/>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▲付款方式：</w:t>
            </w:r>
          </w:p>
          <w:p>
            <w:pPr>
              <w:pStyle w:val="21"/>
              <w:numPr>
                <w:ilvl w:val="0"/>
                <w:numId w:val="0"/>
              </w:numPr>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合同签订并人员、机械设备进场后7日历天内支付合同总价的40%作为预付款，同时供应商需提交相应金额的预付款担保（预付款担保可以用银行、保险公司、融资担保公司出具的预付款保函）；工程完工验收合格后付至合同价款的85%；经结算审核并通过验收合格后，支付剩余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w:t>
            </w:r>
          </w:p>
        </w:tc>
        <w:tc>
          <w:tcPr>
            <w:tcW w:w="883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履约保证金的收取及退还：按成交价的1%收取，领取成交通知书前缴纳至临海市公共资源交易中心账户。验收合格后凭《临海市政府采购验收单》向临海市公共资源交易中心退还。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w:t>
            </w:r>
          </w:p>
        </w:tc>
        <w:tc>
          <w:tcPr>
            <w:tcW w:w="88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解释：本磋商文件的解释权属于招标人。</w:t>
            </w:r>
            <w:r>
              <w:rPr>
                <w:rFonts w:hint="eastAsia" w:asciiTheme="minorEastAsia" w:hAnsiTheme="minorEastAsia" w:eastAsiaTheme="minorEastAsia" w:cstheme="minorEastAsia"/>
                <w:b/>
                <w:bCs/>
                <w:color w:val="auto"/>
                <w:sz w:val="21"/>
                <w:szCs w:val="21"/>
                <w:highlight w:val="none"/>
                <w:u w:val="single"/>
                <w:shd w:val="pct10" w:color="auto" w:fill="FFFFFF"/>
              </w:rPr>
              <w:t>本磋商文件如临海市公共资源交易中心网站上发布的内容与浙江省政府采购网上发布的内容有不一致的，以浙江省政府采购网上发布的内容为准，并请及时告知采购项目联系人。</w:t>
            </w:r>
          </w:p>
        </w:tc>
      </w:tr>
    </w:tbl>
    <w:p>
      <w:pPr>
        <w:pStyle w:val="29"/>
        <w:snapToGrid w:val="0"/>
        <w:spacing w:beforeLines="0" w:afterLines="0"/>
        <w:rPr>
          <w:rFonts w:hAnsi="宋体"/>
          <w:b/>
          <w:color w:val="auto"/>
          <w:highlight w:val="none"/>
        </w:rPr>
      </w:pPr>
      <w:r>
        <w:rPr>
          <w:rFonts w:hAnsi="宋体"/>
          <w:b/>
          <w:color w:val="auto"/>
          <w:highlight w:val="none"/>
        </w:rPr>
        <w:br w:type="page"/>
      </w:r>
    </w:p>
    <w:p>
      <w:pPr>
        <w:pStyle w:val="29"/>
        <w:snapToGrid w:val="0"/>
        <w:spacing w:beforeLines="0" w:afterLines="0"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 、总  则</w:t>
      </w:r>
    </w:p>
    <w:p>
      <w:pPr>
        <w:snapToGrid w:val="0"/>
        <w:spacing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（一）适用范围</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本磋商文件适用于本项目的招标、响应、磋商、定标、验收、合同履约、付款等行为。</w:t>
      </w:r>
    </w:p>
    <w:p>
      <w:pPr>
        <w:snapToGrid w:val="0"/>
        <w:spacing w:before="120" w:beforeLines="50" w:line="360" w:lineRule="auto"/>
        <w:ind w:firstLine="310" w:firstLineChars="147"/>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（二）定义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1.“招标人”系指组织本次招标的采购代理机构和采购单位。</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u w:val="single"/>
          <w:shd w:val="pct10" w:color="auto" w:fill="FFFFFF"/>
        </w:rPr>
      </w:pPr>
      <w:bookmarkStart w:id="13" w:name="_Hlk60996806"/>
      <w:r>
        <w:rPr>
          <w:rFonts w:hint="eastAsia" w:asciiTheme="minorEastAsia" w:hAnsiTheme="minorEastAsia" w:eastAsiaTheme="minorEastAsia" w:cstheme="minorEastAsia"/>
          <w:b/>
          <w:bCs/>
          <w:color w:val="auto"/>
          <w:sz w:val="21"/>
          <w:szCs w:val="21"/>
          <w:highlight w:val="none"/>
          <w:u w:val="single"/>
          <w:shd w:val="pct10" w:color="auto" w:fill="FFFFFF"/>
        </w:rPr>
        <w:t>2.“供应商”系指向招标人提交磋商响应文件的单位和组织。</w:t>
      </w:r>
    </w:p>
    <w:bookmarkEnd w:id="13"/>
    <w:p>
      <w:pPr>
        <w:spacing w:line="360" w:lineRule="auto"/>
        <w:ind w:firstLine="422" w:firstLineChars="200"/>
        <w:rPr>
          <w:rFonts w:hint="eastAsia" w:asciiTheme="minorEastAsia" w:hAnsiTheme="minorEastAsia" w:eastAsiaTheme="minorEastAsia" w:cstheme="minorEastAsia"/>
          <w:b/>
          <w:bCs/>
          <w:color w:val="auto"/>
          <w:sz w:val="21"/>
          <w:szCs w:val="21"/>
          <w:highlight w:val="none"/>
          <w:u w:val="single"/>
          <w:shd w:val="pct10" w:color="auto" w:fill="FFFFFF"/>
        </w:rPr>
      </w:pPr>
      <w:r>
        <w:rPr>
          <w:rFonts w:hint="eastAsia" w:asciiTheme="minorEastAsia" w:hAnsiTheme="minorEastAsia" w:eastAsiaTheme="minorEastAsia" w:cstheme="minorEastAsia"/>
          <w:b/>
          <w:bCs/>
          <w:color w:val="auto"/>
          <w:sz w:val="21"/>
          <w:szCs w:val="21"/>
          <w:highlight w:val="none"/>
          <w:u w:val="single"/>
          <w:shd w:val="pct10" w:color="auto" w:fill="FFFFFF"/>
        </w:rPr>
        <w:t>3.“磋商响应文件”系指参与政府采购活动的供应商按照竞争性磋商文件要求编制的响应文件。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4.“产品”系指供方按竞争性磋商文件规定，须向采购单位提供的一切设备、保险、税金、备品备件、工具、手册及其它有关技术资料和材料。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5.“服务”系指竞争性磋商文件规定供应商须承担的安装、调试、技术协助、校准、培训、技术指导以及其他类似的义务。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6.“项目”系指供应商按竞争性磋商文件规定向采购单位提供的产品和服务。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7.“书面形式”包括信函、传真、电报等。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8.“▲”系指实质性要求条款。</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（三）招标方式</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本次招标采用竞争性磋商方式进行。</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（四）投标委托</w:t>
      </w:r>
    </w:p>
    <w:p>
      <w:pPr>
        <w:pStyle w:val="23"/>
        <w:snapToGrid w:val="0"/>
        <w:spacing w:line="360" w:lineRule="auto"/>
        <w:ind w:firstLine="404"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供应商代表须携带有效身份证件。如供应商代表不是法定代表人，须有法定代表人出具的授权委托书，格式见第六章。</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（五）投标费用及结算</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1）不论投标结果如何，供应商均应自行承担所有与投标有关的全部费用。</w:t>
      </w:r>
    </w:p>
    <w:p>
      <w:pPr>
        <w:spacing w:line="360" w:lineRule="auto"/>
        <w:ind w:firstLine="420" w:firstLineChars="200"/>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2）除业主要求或设计变更要求外不签署任何增加费用的联系单，</w:t>
      </w:r>
      <w:r>
        <w:rPr>
          <w:rFonts w:hint="eastAsia" w:asciiTheme="minorEastAsia" w:hAnsiTheme="minorEastAsia" w:eastAsiaTheme="minorEastAsia" w:cstheme="minorEastAsia"/>
          <w:b/>
          <w:color w:val="auto"/>
          <w:sz w:val="21"/>
          <w:szCs w:val="21"/>
          <w:highlight w:val="none"/>
        </w:rPr>
        <w:t>工程量清单外</w:t>
      </w:r>
      <w:r>
        <w:rPr>
          <w:rFonts w:hint="eastAsia" w:asciiTheme="minorEastAsia" w:hAnsiTheme="minorEastAsia" w:eastAsiaTheme="minorEastAsia" w:cstheme="minorEastAsia"/>
          <w:color w:val="auto"/>
          <w:sz w:val="21"/>
          <w:szCs w:val="21"/>
          <w:highlight w:val="none"/>
        </w:rPr>
        <w:t>可能增加的成本各供应商自行考虑并计入投标报价，成交后不予调整。</w:t>
      </w:r>
      <w:r>
        <w:rPr>
          <w:rFonts w:hint="eastAsia" w:asciiTheme="minorEastAsia" w:hAnsiTheme="minorEastAsia" w:eastAsiaTheme="minorEastAsia" w:cstheme="minorEastAsia"/>
          <w:b/>
          <w:color w:val="auto"/>
          <w:sz w:val="21"/>
          <w:szCs w:val="21"/>
          <w:highlight w:val="none"/>
        </w:rPr>
        <w:t>投标时工程量按照磋商文件中提供的工程量进行投标报价，竣工决算时按实决算。</w:t>
      </w:r>
    </w:p>
    <w:p>
      <w:pPr>
        <w:snapToGrid w:val="0"/>
        <w:spacing w:before="120" w:beforeLines="50" w:line="360" w:lineRule="auto"/>
        <w:ind w:firstLine="413" w:firstLineChars="196"/>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（六）</w:t>
      </w:r>
      <w:r>
        <w:rPr>
          <w:rFonts w:hint="eastAsia" w:asciiTheme="minorEastAsia" w:hAnsiTheme="minorEastAsia" w:eastAsiaTheme="minorEastAsia" w:cstheme="minorEastAsia"/>
          <w:b/>
          <w:color w:val="auto"/>
          <w:kern w:val="0"/>
          <w:sz w:val="21"/>
          <w:szCs w:val="21"/>
          <w:highlight w:val="none"/>
        </w:rPr>
        <w:t>转包与分包</w:t>
      </w:r>
    </w:p>
    <w:p>
      <w:pPr>
        <w:snapToGrid w:val="0"/>
        <w:spacing w:line="360" w:lineRule="auto"/>
        <w:ind w:firstLine="630" w:firstLineChars="3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本项目不允许转包与分包。</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（七）特别说明</w:t>
      </w:r>
    </w:p>
    <w:p>
      <w:pPr>
        <w:pStyle w:val="29"/>
        <w:snapToGrid w:val="0"/>
        <w:spacing w:beforeLines="0" w:afterLines="0" w:line="360" w:lineRule="auto"/>
        <w:ind w:left="2" w:leftChars="1"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1.单位负责人为同一人或者存在直接控股、管理关系的不同投标人，不得参加同一合同项下的政府采购活动。如有上述行为的，相关投标均无效。</w:t>
      </w:r>
    </w:p>
    <w:p>
      <w:pPr>
        <w:pStyle w:val="29"/>
        <w:snapToGrid w:val="0"/>
        <w:spacing w:beforeLines="0" w:afterLines="0" w:line="360" w:lineRule="auto"/>
        <w:ind w:left="2" w:leftChars="1"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2.供应商投标所使用的资格、信誉、荣誉、业绩必须为本法人所拥有。供应商投标所使用的采购项目实施人员须为本法人员工。</w:t>
      </w:r>
    </w:p>
    <w:p>
      <w:pPr>
        <w:pStyle w:val="29"/>
        <w:snapToGrid w:val="0"/>
        <w:spacing w:beforeLines="0" w:afterLines="0" w:line="360" w:lineRule="auto"/>
        <w:ind w:left="2" w:leftChars="1"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3.供应商应仔细阅读磋商文件的所有内容，按照磋商文件的要求提交响应文件，并对所提供的全部资料的真实性承担法律责任。</w:t>
      </w:r>
    </w:p>
    <w:p>
      <w:pPr>
        <w:pStyle w:val="29"/>
        <w:snapToGrid w:val="0"/>
        <w:spacing w:beforeLines="0" w:afterLines="0" w:line="360" w:lineRule="auto"/>
        <w:ind w:left="2" w:leftChars="1"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供应商在投标活动中提供任何虚假材料,其投标无效，并报监管部门查处；成交后发现的,成交供应商须依照《中华人民共和国消费者权益保护法》第49条之规定双倍赔偿采购人，且民事赔偿并不免除违法供应商的行政与刑事责任。</w:t>
      </w:r>
    </w:p>
    <w:p>
      <w:pPr>
        <w:pStyle w:val="29"/>
        <w:snapToGrid w:val="0"/>
        <w:spacing w:beforeLines="0" w:afterLines="0" w:line="360" w:lineRule="auto"/>
        <w:ind w:left="2" w:leftChars="1" w:firstLine="422" w:firstLineChars="200"/>
        <w:rPr>
          <w:rFonts w:hint="eastAsia" w:asciiTheme="minorEastAsia" w:hAnsiTheme="minorEastAsia" w:eastAsiaTheme="minorEastAsia" w:cstheme="minorEastAsia"/>
          <w:b/>
          <w:bCs/>
          <w:color w:val="auto"/>
          <w:sz w:val="21"/>
          <w:szCs w:val="21"/>
          <w:highlight w:val="none"/>
        </w:rPr>
      </w:pPr>
      <w:bookmarkStart w:id="14" w:name="_Hlk81829695"/>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eastAsia="zh-CN"/>
        </w:rPr>
        <w:t>八</w:t>
      </w:r>
      <w:r>
        <w:rPr>
          <w:rFonts w:hint="eastAsia" w:asciiTheme="minorEastAsia" w:hAnsiTheme="minorEastAsia" w:eastAsiaTheme="minorEastAsia" w:cstheme="minorEastAsia"/>
          <w:b/>
          <w:bCs/>
          <w:color w:val="auto"/>
          <w:sz w:val="21"/>
          <w:szCs w:val="21"/>
          <w:highlight w:val="none"/>
        </w:rPr>
        <w:t>）质疑</w:t>
      </w:r>
    </w:p>
    <w:p>
      <w:pPr>
        <w:pStyle w:val="29"/>
        <w:snapToGrid w:val="0"/>
        <w:spacing w:beforeLines="0" w:afterLines="0"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bookmarkStart w:id="15" w:name="_Hlk81828896"/>
      <w:r>
        <w:rPr>
          <w:rFonts w:hint="eastAsia" w:asciiTheme="minorEastAsia" w:hAnsiTheme="minorEastAsia" w:eastAsiaTheme="minorEastAsia" w:cstheme="minorEastAsia"/>
          <w:color w:val="auto"/>
          <w:sz w:val="21"/>
          <w:szCs w:val="21"/>
          <w:highlight w:val="none"/>
        </w:rPr>
        <w:t>供应商</w:t>
      </w:r>
      <w:bookmarkEnd w:id="15"/>
      <w:r>
        <w:rPr>
          <w:rFonts w:hint="eastAsia" w:asciiTheme="minorEastAsia" w:hAnsiTheme="minorEastAsia" w:eastAsiaTheme="minorEastAsia" w:cstheme="minorEastAsia"/>
          <w:color w:val="auto"/>
          <w:sz w:val="21"/>
          <w:szCs w:val="21"/>
          <w:highlight w:val="none"/>
        </w:rPr>
        <w:t>认为磋商文件、磋商过程和成交结果使自己的权益受到损害的，以书面形式或政采云平台的质疑系统一次性向采购人或采购组织机构提出质疑：</w:t>
      </w:r>
    </w:p>
    <w:p>
      <w:pPr>
        <w:widowControl/>
        <w:spacing w:line="360" w:lineRule="auto"/>
        <w:ind w:firstLine="210" w:firstLineChars="1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kern w:val="0"/>
          <w:sz w:val="21"/>
          <w:szCs w:val="21"/>
          <w:highlight w:val="none"/>
        </w:rPr>
        <w:t>认为磋商文件的内容损害其权益的，应当自获取之日起（获取截止日之后收到磋商文件的，以获取截止日为准）7个工作日内提出质疑；</w:t>
      </w:r>
    </w:p>
    <w:p>
      <w:pPr>
        <w:widowControl/>
        <w:spacing w:line="360" w:lineRule="auto"/>
        <w:ind w:firstLine="210" w:firstLineChars="1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kern w:val="0"/>
          <w:sz w:val="21"/>
          <w:szCs w:val="21"/>
          <w:highlight w:val="none"/>
        </w:rPr>
        <w:t>对磋商过程提出质疑的，应当在各磋商程序环节结束之日起7个工作日内提出质疑；</w:t>
      </w:r>
    </w:p>
    <w:p>
      <w:pPr>
        <w:widowControl/>
        <w:spacing w:line="360" w:lineRule="auto"/>
        <w:ind w:firstLine="210" w:firstLineChars="1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kern w:val="0"/>
          <w:sz w:val="21"/>
          <w:szCs w:val="21"/>
          <w:highlight w:val="none"/>
        </w:rPr>
        <w:t>对成交结果提出质疑的，应当在预成交结果公告期限届满之日起7个工作日内提出质疑；</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2.采购人或采购组织机构在收到供应商的书面质疑后7个工作日内作出答复，并以书面形式或政采云平台回复质疑供应商和其他有关供应商，但答复内容不涉及商业秘密。</w:t>
      </w:r>
    </w:p>
    <w:p>
      <w:pPr>
        <w:widowControl/>
        <w:spacing w:line="360" w:lineRule="auto"/>
        <w:ind w:firstLine="422" w:firstLineChars="200"/>
        <w:jc w:val="left"/>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3.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widowControl/>
        <w:spacing w:line="360" w:lineRule="auto"/>
        <w:ind w:firstLine="422" w:firstLineChars="200"/>
        <w:jc w:val="left"/>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（九）投诉</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投标人对采购人或采购组织机构的质疑答复不满意或在规定时间内未得到答复的，可以在答复期满后15个工作日内，向同级政府采购监督管理机构投诉。</w:t>
      </w:r>
    </w:p>
    <w:bookmarkEnd w:id="14"/>
    <w:p>
      <w:pPr>
        <w:pStyle w:val="29"/>
        <w:snapToGrid w:val="0"/>
        <w:spacing w:beforeLines="0" w:afterLines="0"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二、竞争性磋商文件</w:t>
      </w:r>
    </w:p>
    <w:p>
      <w:pPr>
        <w:snapToGrid w:val="0"/>
        <w:spacing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（一）磋商文件的构成</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1.竞争性磋商公告</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2.采购需求</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3.供应商磋商须知</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4.磋商原则及评标办法</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5.合同主要条款</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6.响应文件格式</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7.本项目磋商文件的澄清、答复、修改、补充的内容（如有）</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（二）供应商的风险</w:t>
      </w:r>
    </w:p>
    <w:p>
      <w:pPr>
        <w:pStyle w:val="41"/>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供应商没有按照磋商文件要求提供全部资料，或者供应商没有对磋商文件在各方面作出实质性响应是供应商的风险，并可能导致其投标被拒绝。</w:t>
      </w:r>
    </w:p>
    <w:p>
      <w:pPr>
        <w:pStyle w:val="13"/>
        <w:widowControl w:val="0"/>
        <w:tabs>
          <w:tab w:val="left" w:pos="420"/>
        </w:tabs>
        <w:snapToGrid w:val="0"/>
        <w:spacing w:before="120" w:beforeLines="50" w:afterLines="0" w:line="360" w:lineRule="auto"/>
        <w:ind w:left="0"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（三）磋商文件的澄清与修改 </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Cs/>
          <w:color w:val="auto"/>
          <w:sz w:val="21"/>
          <w:szCs w:val="21"/>
          <w:highlight w:val="none"/>
        </w:rPr>
        <w:t>供应商应认真阅读本磋商文件，发现其中有误或有不合理要求的，供应商必须在前附表规定的时间前以书面形式要求招标人澄清</w:t>
      </w:r>
      <w:r>
        <w:rPr>
          <w:rFonts w:hint="eastAsia" w:asciiTheme="minorEastAsia" w:hAnsiTheme="minorEastAsia" w:eastAsiaTheme="minorEastAsia" w:cstheme="minorEastAsia"/>
          <w:color w:val="auto"/>
          <w:sz w:val="21"/>
          <w:szCs w:val="21"/>
          <w:highlight w:val="none"/>
        </w:rPr>
        <w:t>。招标人对已发出的磋商文件进行必要澄清、答复、修改或补充的，应当在磋商文件要求提交响应文件截止时间前，在采购公告发布的网站予以发布。</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2.磋商文件澄清、答复、修改、补充的内容为磋商标文件的组成部分。当磋商文件与磋商文件的答复、澄清、修改、补充通知就同一内容的表述不一致时，以最后发出的公告为准。</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3.磋商文件的澄清、答复、修改或补充都应该通过招标人以法定形式发布，采购人没有通过招标人，不得擅自澄清、答复、修改或补充磋商文件。</w:t>
      </w:r>
    </w:p>
    <w:p>
      <w:pPr>
        <w:pStyle w:val="29"/>
        <w:snapToGrid w:val="0"/>
        <w:spacing w:beforeLines="0" w:afterLines="0"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三、响应文件的编制</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本项目实行电子投标，供应商应准备电子响应文件，本项目线下无需提供任何备份响应文件。电子响应文件，按政采云平台项目采购--电子招投标操作指南及本磋商文件要求编制。</w:t>
      </w:r>
    </w:p>
    <w:p>
      <w:pPr>
        <w:pStyle w:val="29"/>
        <w:snapToGrid w:val="0"/>
        <w:spacing w:beforeLines="0" w:afterLines="0" w:line="360" w:lineRule="auto"/>
        <w:ind w:firstLine="422" w:firstLineChars="200"/>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rPr>
        <w:t>（一）响应文件的组成</w:t>
      </w:r>
    </w:p>
    <w:p>
      <w:pPr>
        <w:pStyle w:val="29"/>
        <w:snapToGrid w:val="0"/>
        <w:spacing w:beforeLines="0" w:afterLines="0" w:line="360" w:lineRule="auto"/>
        <w:ind w:firstLine="422" w:firstLineChars="200"/>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rPr>
        <w:t>响应文件由资格响应文件、商务技术文件、报价文件三部份组成。相关格式见附件，其余格式自拟。</w:t>
      </w:r>
    </w:p>
    <w:p>
      <w:pPr>
        <w:pStyle w:val="29"/>
        <w:snapToGrid w:val="0"/>
        <w:spacing w:beforeLines="0" w:afterLines="0" w:line="360" w:lineRule="auto"/>
        <w:ind w:firstLine="422" w:firstLineChars="200"/>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rPr>
        <w:t>1.资格响应文件</w:t>
      </w:r>
    </w:p>
    <w:p>
      <w:pPr>
        <w:pStyle w:val="29"/>
        <w:snapToGrid w:val="0"/>
        <w:spacing w:beforeLines="0" w:afterLines="0" w:line="360" w:lineRule="auto"/>
        <w:ind w:firstLine="420" w:firstLineChars="200"/>
        <w:rPr>
          <w:rFonts w:hint="eastAsia" w:asciiTheme="minorEastAsia" w:hAnsiTheme="minorEastAsia" w:eastAsiaTheme="minorEastAsia" w:cstheme="minorEastAsia"/>
          <w:bCs/>
          <w:color w:val="auto"/>
          <w:sz w:val="21"/>
          <w:szCs w:val="21"/>
          <w:highlight w:val="none"/>
        </w:rPr>
      </w:pPr>
      <w:bookmarkStart w:id="16" w:name="_Hlk69365455"/>
      <w:r>
        <w:rPr>
          <w:rFonts w:hint="eastAsia" w:asciiTheme="minorEastAsia" w:hAnsiTheme="minorEastAsia" w:eastAsiaTheme="minorEastAsia" w:cstheme="minorEastAsia"/>
          <w:bCs/>
          <w:color w:val="auto"/>
          <w:sz w:val="21"/>
          <w:szCs w:val="21"/>
          <w:highlight w:val="none"/>
        </w:rPr>
        <w:t>（1）营业执照（推荐使用电子营业执照）或事业法人登记证或其他工商等登记证明材料原件扫描件或复印件；</w:t>
      </w:r>
    </w:p>
    <w:p>
      <w:pPr>
        <w:pStyle w:val="29"/>
        <w:snapToGrid w:val="0"/>
        <w:spacing w:beforeLines="0" w:afterLines="0"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（2）证书材料（仅提供证书扫描件或电子证书）：</w:t>
      </w:r>
    </w:p>
    <w:p>
      <w:pPr>
        <w:pStyle w:val="29"/>
        <w:snapToGrid w:val="0"/>
        <w:spacing w:beforeLines="0" w:afterLines="0" w:line="360" w:lineRule="auto"/>
        <w:ind w:firstLine="632" w:firstLineChars="300"/>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rPr>
        <w:t>①《</w:t>
      </w:r>
      <w:r>
        <w:rPr>
          <w:rFonts w:hint="eastAsia" w:asciiTheme="minorEastAsia" w:hAnsiTheme="minorEastAsia" w:eastAsiaTheme="minorEastAsia" w:cstheme="minorEastAsia"/>
          <w:b/>
          <w:bCs w:val="0"/>
          <w:color w:val="auto"/>
          <w:sz w:val="21"/>
          <w:szCs w:val="21"/>
          <w:highlight w:val="none"/>
          <w:lang w:val="en-US" w:eastAsia="zh-CN"/>
        </w:rPr>
        <w:t>建筑</w:t>
      </w:r>
      <w:r>
        <w:rPr>
          <w:rFonts w:hint="eastAsia" w:asciiTheme="minorEastAsia" w:hAnsiTheme="minorEastAsia" w:eastAsiaTheme="minorEastAsia" w:cstheme="minorEastAsia"/>
          <w:b/>
          <w:bCs w:val="0"/>
          <w:color w:val="auto"/>
          <w:sz w:val="21"/>
          <w:szCs w:val="21"/>
          <w:highlight w:val="none"/>
        </w:rPr>
        <w:t>企业资质证书》</w:t>
      </w:r>
      <w:r>
        <w:rPr>
          <w:rFonts w:hint="eastAsia" w:asciiTheme="minorEastAsia" w:hAnsiTheme="minorEastAsia" w:eastAsiaTheme="minorEastAsia" w:cstheme="minorEastAsia"/>
          <w:bCs/>
          <w:color w:val="auto"/>
          <w:sz w:val="21"/>
          <w:szCs w:val="21"/>
          <w:highlight w:val="none"/>
          <w:lang w:eastAsia="zh-CN"/>
        </w:rPr>
        <w:t>；（若为住房和城乡建设部同意企业资质电子化试点的省、市可提供企业电子资质证书），投标人提供的《建筑业企业资质证书》上的有关内容真实性均以全国建筑市场监管公共服务平台查询网址：http://jzsc.mohurd.gov.cn/（或省、直辖市相应平台）中查询结果为准。</w:t>
      </w:r>
    </w:p>
    <w:p>
      <w:pPr>
        <w:autoSpaceDE w:val="0"/>
        <w:autoSpaceDN w:val="0"/>
        <w:adjustRightInd w:val="0"/>
        <w:spacing w:line="360" w:lineRule="auto"/>
        <w:ind w:firstLine="632" w:firstLineChars="3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
          <w:bCs w:val="0"/>
          <w:color w:val="auto"/>
          <w:sz w:val="21"/>
          <w:szCs w:val="21"/>
          <w:highlight w:val="none"/>
        </w:rPr>
        <w:t>②项目负责人的《项目负责人建造师注册证书</w:t>
      </w:r>
      <w:r>
        <w:rPr>
          <w:rFonts w:hint="eastAsia" w:asciiTheme="minorEastAsia" w:hAnsiTheme="minorEastAsia" w:eastAsiaTheme="minorEastAsia" w:cstheme="minorEastAsia"/>
          <w:bCs/>
          <w:color w:val="auto"/>
          <w:sz w:val="21"/>
          <w:szCs w:val="21"/>
          <w:highlight w:val="none"/>
        </w:rPr>
        <w:t>》。</w:t>
      </w:r>
    </w:p>
    <w:p>
      <w:pPr>
        <w:autoSpaceDE w:val="0"/>
        <w:autoSpaceDN w:val="0"/>
        <w:adjustRightInd w:val="0"/>
        <w:spacing w:line="360" w:lineRule="auto"/>
        <w:ind w:firstLine="630" w:firstLineChars="3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如为一级建造师证书：按《住房和城乡建设部办公厅关于全面实行一级建造师电子注册证书的通知》建办市〔2021〕40号规定执行。一级建造师电子证书打印后，应在个人签名处手写本人签名，未手写签名或与签名图像笔迹不一致的，该电子证书无效。</w:t>
      </w:r>
    </w:p>
    <w:p>
      <w:pPr>
        <w:autoSpaceDE w:val="0"/>
        <w:autoSpaceDN w:val="0"/>
        <w:adjustRightInd w:val="0"/>
        <w:spacing w:line="360" w:lineRule="auto"/>
        <w:ind w:firstLine="630" w:firstLineChars="3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如为二级建造师证书：住房和城乡建设部同意的建设领域从业人员有关证书电子化试点的省、市或住房和城乡建设部同意开展二级建造师注册证书电子化试点的省、市，可提供从业人员的电子证书。</w:t>
      </w:r>
    </w:p>
    <w:p>
      <w:pPr>
        <w:autoSpaceDE w:val="0"/>
        <w:autoSpaceDN w:val="0"/>
        <w:adjustRightInd w:val="0"/>
        <w:spacing w:line="360" w:lineRule="auto"/>
        <w:ind w:firstLine="630" w:firstLineChars="3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有关内容真实性均以全国建筑市场监管公共服务平台查询网址：</w:t>
      </w:r>
      <w:r>
        <w:rPr>
          <w:rFonts w:hint="eastAsia" w:asciiTheme="minorEastAsia" w:hAnsiTheme="minorEastAsia" w:eastAsiaTheme="minorEastAsia" w:cstheme="minorEastAsia"/>
          <w:bCs/>
          <w:color w:val="auto"/>
          <w:sz w:val="21"/>
          <w:szCs w:val="21"/>
          <w:highlight w:val="none"/>
        </w:rPr>
        <w:fldChar w:fldCharType="begin"/>
      </w:r>
      <w:r>
        <w:rPr>
          <w:rFonts w:hint="eastAsia" w:asciiTheme="minorEastAsia" w:hAnsiTheme="minorEastAsia" w:eastAsiaTheme="minorEastAsia" w:cstheme="minorEastAsia"/>
          <w:bCs/>
          <w:color w:val="auto"/>
          <w:sz w:val="21"/>
          <w:szCs w:val="21"/>
          <w:highlight w:val="none"/>
        </w:rPr>
        <w:instrText xml:space="preserve"> HYPERLINK "http://jzsc.mohurd.gov.cn/（或省、直辖市相应平台）中查询结果为准。企业资质证书及项目负责人建造师注册证书未能在全国建筑市场监管公共服务平台和省、直辖市相应平台查询到的作无效标处理。" </w:instrText>
      </w:r>
      <w:r>
        <w:rPr>
          <w:rFonts w:hint="eastAsia" w:asciiTheme="minorEastAsia" w:hAnsiTheme="minorEastAsia" w:eastAsiaTheme="minorEastAsia" w:cstheme="minorEastAsia"/>
          <w:bCs/>
          <w:color w:val="auto"/>
          <w:sz w:val="21"/>
          <w:szCs w:val="21"/>
          <w:highlight w:val="none"/>
        </w:rPr>
        <w:fldChar w:fldCharType="separate"/>
      </w:r>
      <w:r>
        <w:rPr>
          <w:rStyle w:val="58"/>
          <w:rFonts w:hint="eastAsia" w:asciiTheme="minorEastAsia" w:hAnsiTheme="minorEastAsia" w:eastAsiaTheme="minorEastAsia" w:cstheme="minorEastAsia"/>
          <w:bCs/>
          <w:color w:val="auto"/>
          <w:sz w:val="21"/>
          <w:szCs w:val="21"/>
          <w:highlight w:val="none"/>
        </w:rPr>
        <w:t>http://jzsc.mohurd.gov.cn/（或省、直辖市相应平台）中查询结果为准。企业资质证书及项目负责人建造师注册证书未能在全国建筑市场监管公共服务平台和省、直辖市相应平台查询到的作无效标处理。</w:t>
      </w:r>
      <w:r>
        <w:rPr>
          <w:rFonts w:hint="eastAsia" w:asciiTheme="minorEastAsia" w:hAnsiTheme="minorEastAsia" w:eastAsiaTheme="minorEastAsia" w:cstheme="minorEastAsia"/>
          <w:bCs/>
          <w:color w:val="auto"/>
          <w:sz w:val="21"/>
          <w:szCs w:val="21"/>
          <w:highlight w:val="none"/>
        </w:rPr>
        <w:fldChar w:fldCharType="end"/>
      </w:r>
    </w:p>
    <w:p>
      <w:pPr>
        <w:autoSpaceDE w:val="0"/>
        <w:autoSpaceDN w:val="0"/>
        <w:adjustRightInd w:val="0"/>
        <w:spacing w:line="360" w:lineRule="auto"/>
        <w:ind w:firstLine="632" w:firstLineChars="300"/>
        <w:rPr>
          <w:rFonts w:hint="eastAsia" w:asciiTheme="minorEastAsia" w:hAnsiTheme="minorEastAsia" w:eastAsiaTheme="minorEastAsia" w:cstheme="minorEastAsia"/>
          <w:bCs/>
          <w:color w:val="auto"/>
          <w:sz w:val="21"/>
          <w:szCs w:val="21"/>
          <w:highlight w:val="none"/>
        </w:rPr>
      </w:pPr>
      <w:r>
        <w:rPr>
          <w:rFonts w:hint="default" w:asciiTheme="minorEastAsia" w:hAnsiTheme="minorEastAsia" w:eastAsiaTheme="minorEastAsia" w:cstheme="minorEastAsia"/>
          <w:b/>
          <w:bCs w:val="0"/>
          <w:color w:val="auto"/>
          <w:sz w:val="21"/>
          <w:szCs w:val="21"/>
          <w:highlight w:val="none"/>
        </w:rPr>
        <w:t>③</w:t>
      </w:r>
      <w:r>
        <w:rPr>
          <w:rFonts w:hint="eastAsia" w:asciiTheme="minorEastAsia" w:hAnsiTheme="minorEastAsia" w:eastAsiaTheme="minorEastAsia" w:cstheme="minorEastAsia"/>
          <w:b/>
          <w:bCs w:val="0"/>
          <w:color w:val="auto"/>
          <w:sz w:val="21"/>
          <w:szCs w:val="21"/>
          <w:highlight w:val="none"/>
        </w:rPr>
        <w:t>《安全生产许可证》</w:t>
      </w:r>
      <w:r>
        <w:rPr>
          <w:rFonts w:hint="eastAsia" w:asciiTheme="minorEastAsia" w:hAnsiTheme="minorEastAsia" w:eastAsiaTheme="minorEastAsia" w:cstheme="minorEastAsia"/>
          <w:bCs/>
          <w:color w:val="auto"/>
          <w:sz w:val="21"/>
          <w:szCs w:val="21"/>
          <w:highlight w:val="none"/>
        </w:rPr>
        <w:t>。</w:t>
      </w:r>
    </w:p>
    <w:p>
      <w:pPr>
        <w:pStyle w:val="29"/>
        <w:snapToGrid w:val="0"/>
        <w:spacing w:beforeLines="0" w:afterLines="0" w:line="360" w:lineRule="auto"/>
        <w:ind w:firstLine="632" w:firstLineChars="300"/>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
          <w:bCs w:val="0"/>
          <w:color w:val="auto"/>
          <w:kern w:val="2"/>
          <w:sz w:val="21"/>
          <w:szCs w:val="21"/>
          <w:highlight w:val="none"/>
          <w:lang w:val="en-US" w:eastAsia="zh-CN" w:bidi="ar-SA"/>
        </w:rPr>
        <w:t>④如为</w:t>
      </w:r>
      <w:r>
        <w:rPr>
          <w:rFonts w:hint="eastAsia" w:asciiTheme="minorEastAsia" w:hAnsiTheme="minorEastAsia" w:eastAsiaTheme="minorEastAsia" w:cstheme="minorEastAsia"/>
          <w:b/>
          <w:bCs w:val="0"/>
          <w:color w:val="auto"/>
          <w:sz w:val="21"/>
          <w:szCs w:val="21"/>
          <w:highlight w:val="none"/>
          <w:lang w:eastAsia="zh-CN"/>
        </w:rPr>
        <w:t>浙江省省外企业还须还应具有《省外企业进浙承接业务备案证明》</w:t>
      </w:r>
      <w:r>
        <w:rPr>
          <w:rFonts w:hint="eastAsia" w:asciiTheme="minorEastAsia" w:hAnsiTheme="minorEastAsia" w:eastAsiaTheme="minorEastAsia" w:cstheme="minorEastAsia"/>
          <w:bCs/>
          <w:color w:val="auto"/>
          <w:sz w:val="21"/>
          <w:szCs w:val="21"/>
          <w:highlight w:val="none"/>
          <w:lang w:eastAsia="zh-CN"/>
        </w:rPr>
        <w:t>扫描件或“浙江省建筑市场监管公共服务系统”对外发布的通过审核形成的备案信息网页截图；</w:t>
      </w:r>
    </w:p>
    <w:p>
      <w:pPr>
        <w:numPr>
          <w:ilvl w:val="0"/>
          <w:numId w:val="5"/>
        </w:numPr>
        <w:snapToGrid w:val="0"/>
        <w:spacing w:line="360" w:lineRule="auto"/>
        <w:ind w:firstLine="422"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
          <w:bCs w:val="0"/>
          <w:color w:val="auto"/>
          <w:sz w:val="21"/>
          <w:szCs w:val="21"/>
          <w:highlight w:val="none"/>
        </w:rPr>
        <w:t>没有重大违法记录的承诺函</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 w:val="0"/>
          <w:bCs/>
          <w:color w:val="auto"/>
          <w:sz w:val="21"/>
          <w:szCs w:val="21"/>
          <w:highlight w:val="none"/>
          <w:u w:val="single"/>
        </w:rPr>
        <w:t>请供应商在资格响应文件中勿遗漏该表格</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eastAsia="zh-CN"/>
        </w:rPr>
        <w:t>；</w:t>
      </w:r>
    </w:p>
    <w:p>
      <w:pPr>
        <w:numPr>
          <w:ilvl w:val="0"/>
          <w:numId w:val="5"/>
        </w:numPr>
        <w:snapToGrid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bidi="ar-SA"/>
        </w:rPr>
        <w:t>中小企业声明函（投标人未提供《中小企业声明函》的、《中小企业声明函》中内容应填写而未进行填写或未如实填写的，资格审查将不给予通过；</w:t>
      </w:r>
    </w:p>
    <w:p>
      <w:pPr>
        <w:autoSpaceDE w:val="0"/>
        <w:autoSpaceDN w:val="0"/>
        <w:adjustRightInd w:val="0"/>
        <w:spacing w:line="360" w:lineRule="auto"/>
        <w:ind w:firstLine="420" w:firstLineChars="200"/>
        <w:rPr>
          <w:rFonts w:hint="eastAsia" w:asciiTheme="minorEastAsia" w:hAnsiTheme="minorEastAsia" w:eastAsiaTheme="minorEastAsia" w:cstheme="minorEastAsia"/>
          <w:bCs/>
          <w:color w:val="auto"/>
          <w:kern w:val="0"/>
          <w:sz w:val="21"/>
          <w:szCs w:val="21"/>
          <w:highlight w:val="none"/>
          <w:lang w:val="en-US" w:eastAsia="zh-CN" w:bidi="ar-SA"/>
        </w:rPr>
      </w:pPr>
      <w:r>
        <w:rPr>
          <w:rFonts w:hint="eastAsia" w:asciiTheme="minorEastAsia" w:hAnsiTheme="minorEastAsia" w:eastAsiaTheme="minorEastAsia" w:cstheme="minorEastAsia"/>
          <w:bCs/>
          <w:color w:val="auto"/>
          <w:kern w:val="0"/>
          <w:sz w:val="21"/>
          <w:szCs w:val="21"/>
          <w:highlight w:val="none"/>
          <w:lang w:val="en-US" w:eastAsia="zh-CN" w:bidi="ar-SA"/>
        </w:rPr>
        <w:t>（5）需要说明的其他资料（如有）。</w:t>
      </w:r>
    </w:p>
    <w:bookmarkEnd w:id="16"/>
    <w:p>
      <w:pPr>
        <w:snapToGrid w:val="0"/>
        <w:spacing w:line="360" w:lineRule="auto"/>
        <w:ind w:firstLine="422"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2.</w:t>
      </w:r>
      <w:bookmarkStart w:id="17" w:name="_Hlk534200662"/>
      <w:r>
        <w:rPr>
          <w:rFonts w:hint="eastAsia" w:asciiTheme="minorEastAsia" w:hAnsiTheme="minorEastAsia" w:eastAsiaTheme="minorEastAsia" w:cstheme="minorEastAsia"/>
          <w:b/>
          <w:color w:val="auto"/>
          <w:sz w:val="21"/>
          <w:szCs w:val="21"/>
          <w:highlight w:val="none"/>
        </w:rPr>
        <w:t>商务</w:t>
      </w:r>
      <w:r>
        <w:rPr>
          <w:rFonts w:hint="eastAsia" w:asciiTheme="minorEastAsia" w:hAnsiTheme="minorEastAsia" w:eastAsiaTheme="minorEastAsia" w:cstheme="minorEastAsia"/>
          <w:b/>
          <w:bCs/>
          <w:color w:val="auto"/>
          <w:sz w:val="21"/>
          <w:szCs w:val="21"/>
          <w:highlight w:val="none"/>
        </w:rPr>
        <w:t>技术</w:t>
      </w:r>
      <w:r>
        <w:rPr>
          <w:rFonts w:hint="eastAsia" w:asciiTheme="minorEastAsia" w:hAnsiTheme="minorEastAsia" w:eastAsiaTheme="minorEastAsia" w:cstheme="minorEastAsia"/>
          <w:b/>
          <w:color w:val="auto"/>
          <w:sz w:val="21"/>
          <w:szCs w:val="21"/>
          <w:highlight w:val="none"/>
        </w:rPr>
        <w:t>文件</w:t>
      </w:r>
      <w:bookmarkEnd w:id="17"/>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（1）投标函；</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（2）法定代表人授权委托书；</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（3）项目负责人简历表；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（4）项目负责人在建项目承诺书；</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（5）项目技术负责人简历表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（6）项目实施人员一览表； </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（7）主要施工机械设备表；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（8）供应商类似合同案例一览表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（9）商务技术响应表；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（10）供应商按照评分标准要求提供的相应资料</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（11）供应商认为需要提供的其他资料。</w:t>
      </w:r>
    </w:p>
    <w:p>
      <w:pPr>
        <w:snapToGrid w:val="0"/>
        <w:spacing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3.报价文件</w:t>
      </w:r>
    </w:p>
    <w:p>
      <w:pPr>
        <w:snapToGrid w:val="0"/>
        <w:spacing w:line="360" w:lineRule="auto"/>
        <w:ind w:firstLine="210" w:firstLineChars="1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一</w:t>
      </w:r>
      <w:r>
        <w:rPr>
          <w:rFonts w:hint="eastAsia" w:asciiTheme="minorEastAsia" w:hAnsiTheme="minorEastAsia" w:eastAsiaTheme="minorEastAsia" w:cstheme="minorEastAsia"/>
          <w:color w:val="auto"/>
          <w:sz w:val="21"/>
          <w:szCs w:val="21"/>
          <w:highlight w:val="none"/>
        </w:rPr>
        <w:t>）开标一览表；</w:t>
      </w:r>
    </w:p>
    <w:p>
      <w:pPr>
        <w:snapToGrid w:val="0"/>
        <w:spacing w:before="100" w:beforeAutospacing="1" w:after="100" w:afterAutospacing="1" w:line="360" w:lineRule="auto"/>
        <w:ind w:firstLine="207" w:firstLineChars="98"/>
        <w:jc w:val="left"/>
        <w:rPr>
          <w:rFonts w:hint="eastAsia" w:asciiTheme="minorEastAsia" w:hAnsiTheme="minorEastAsia" w:eastAsiaTheme="minorEastAsia" w:cstheme="minorEastAsia"/>
          <w:b/>
          <w:color w:val="auto"/>
          <w:spacing w:val="-4"/>
          <w:sz w:val="21"/>
          <w:szCs w:val="21"/>
          <w:highlight w:val="none"/>
        </w:rPr>
      </w:pPr>
      <w:r>
        <w:rPr>
          <w:rFonts w:hint="eastAsia" w:asciiTheme="minorEastAsia" w:hAnsiTheme="minorEastAsia" w:eastAsiaTheme="minorEastAsia" w:cstheme="minorEastAsia"/>
          <w:b/>
          <w:color w:val="auto"/>
          <w:sz w:val="21"/>
          <w:szCs w:val="21"/>
          <w:highlight w:val="none"/>
        </w:rPr>
        <w:t>（二）</w:t>
      </w:r>
      <w:r>
        <w:rPr>
          <w:rFonts w:hint="eastAsia" w:asciiTheme="minorEastAsia" w:hAnsiTheme="minorEastAsia" w:eastAsiaTheme="minorEastAsia" w:cstheme="minorEastAsia"/>
          <w:b/>
          <w:color w:val="auto"/>
          <w:spacing w:val="-4"/>
          <w:sz w:val="21"/>
          <w:szCs w:val="21"/>
          <w:highlight w:val="none"/>
        </w:rPr>
        <w:t>采购项目评分索引表(该表格仅为方便评标之用，不涉及无效标条款，表格放置在商务技术文件目录的前页，以方便评委进行评审，格式见第四章)</w:t>
      </w:r>
    </w:p>
    <w:p>
      <w:pPr>
        <w:snapToGrid w:val="0"/>
        <w:spacing w:line="360" w:lineRule="auto"/>
        <w:ind w:firstLine="211" w:firstLineChars="1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（三）响应文件的语言及计量</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1.响应文件以及供应商与招标人就有关投标事宜的所有来往函电，均应以中文汉语书写。除签名、盖章、专用名称等特殊情形外，以中文汉语以外的文字表述的响应文件视同未提供。</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2.投标计量单位，磋商文件已有明确规定的，使用磋商文件规定的计量单位；磋商文件没有规定的，应采用中华人民共和国法定计量单位（货币单位：人民币元），否则视同未响应。</w:t>
      </w:r>
    </w:p>
    <w:p>
      <w:pPr>
        <w:snapToGrid w:val="0"/>
        <w:spacing w:before="120" w:beforeLines="50" w:line="360" w:lineRule="auto"/>
        <w:ind w:firstLine="211" w:firstLineChars="1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（四）投标报价</w:t>
      </w:r>
    </w:p>
    <w:p>
      <w:pPr>
        <w:pStyle w:val="29"/>
        <w:snapToGrid w:val="0"/>
        <w:spacing w:beforeLines="0" w:afterLines="0"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1.投标报价应按磋商文件中相关附表格式填写。</w:t>
      </w:r>
    </w:p>
    <w:p>
      <w:pPr>
        <w:pStyle w:val="29"/>
        <w:snapToGrid w:val="0"/>
        <w:spacing w:beforeLines="0" w:afterLines="0"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磋商报价包括本项目采购需求和投入使用的所有费用，包括分部分项工程费、措施项目费、其他项目费、规费和税金等完成磋商文件规定的所有工作内容的所有费用。供应商应根据采购人提供的全套施工图纸、技术资料、预算以及本工程实际情况和自身的综合实力，竞报投标报价。</w:t>
      </w:r>
    </w:p>
    <w:p>
      <w:pPr>
        <w:tabs>
          <w:tab w:val="left" w:pos="525"/>
        </w:tabs>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▲3.响应文件只允许有一个报价，有选择的或有条件的报价将不予接受。</w:t>
      </w:r>
    </w:p>
    <w:p>
      <w:pPr>
        <w:pStyle w:val="13"/>
        <w:widowControl w:val="0"/>
        <w:tabs>
          <w:tab w:val="left" w:pos="420"/>
        </w:tabs>
        <w:snapToGrid w:val="0"/>
        <w:spacing w:before="120" w:beforeLines="50" w:afterLines="0" w:line="360" w:lineRule="auto"/>
        <w:ind w:left="0" w:leftChars="0"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（五）投标有效期</w:t>
      </w:r>
    </w:p>
    <w:p>
      <w:pPr>
        <w:pStyle w:val="13"/>
        <w:widowControl w:val="0"/>
        <w:tabs>
          <w:tab w:val="left" w:pos="420"/>
        </w:tabs>
        <w:snapToGrid w:val="0"/>
        <w:spacing w:afterLines="0" w:line="360" w:lineRule="auto"/>
        <w:ind w:left="-25" w:leftChars="-12"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▲1.自投标截止日起</w:t>
      </w:r>
      <w:r>
        <w:rPr>
          <w:rFonts w:hint="eastAsia" w:asciiTheme="minorEastAsia" w:hAnsiTheme="minorEastAsia" w:eastAsiaTheme="minorEastAsia" w:cstheme="minorEastAsia"/>
          <w:color w:val="auto"/>
          <w:sz w:val="21"/>
          <w:szCs w:val="21"/>
          <w:highlight w:val="none"/>
          <w:u w:val="single"/>
        </w:rPr>
        <w:t xml:space="preserve">  90  </w:t>
      </w:r>
      <w:r>
        <w:rPr>
          <w:rFonts w:hint="eastAsia" w:asciiTheme="minorEastAsia" w:hAnsiTheme="minorEastAsia" w:eastAsiaTheme="minorEastAsia" w:cstheme="minorEastAsia"/>
          <w:color w:val="auto"/>
          <w:sz w:val="21"/>
          <w:szCs w:val="21"/>
          <w:highlight w:val="none"/>
        </w:rPr>
        <w:t>天响应文件应保持有效。</w:t>
      </w:r>
    </w:p>
    <w:p>
      <w:pPr>
        <w:pStyle w:val="13"/>
        <w:widowControl w:val="0"/>
        <w:tabs>
          <w:tab w:val="left" w:pos="420"/>
        </w:tabs>
        <w:snapToGrid w:val="0"/>
        <w:spacing w:afterLines="0"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2.在特殊情况下，招标人可与供应商协商延长响应文件的有效期，这种要求和答复均以书面形式进行。</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3.供应商可拒绝接受延期要求，同意延长有效期的供应商不能修改响应文件内容。 </w:t>
      </w:r>
    </w:p>
    <w:p>
      <w:pPr>
        <w:snapToGrid w:val="0"/>
        <w:spacing w:line="360" w:lineRule="auto"/>
        <w:ind w:firstLine="420"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4.成交供应商的响应文件自开标之日起至合同履行完毕止均应保持有效。</w:t>
      </w:r>
    </w:p>
    <w:p>
      <w:pPr>
        <w:snapToGrid w:val="0"/>
        <w:spacing w:line="360" w:lineRule="auto"/>
        <w:ind w:firstLine="413" w:firstLineChars="196"/>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5.供应商有下列情形之一的，按有关规定进行处罚：</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（1）供应商在投标有效期内撤回响应文件的；</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（2）未按规定提交履约保证金的；</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（3）供应商在投标过程中弄虚作假，提供虚假材料的；</w:t>
      </w:r>
    </w:p>
    <w:p>
      <w:pPr>
        <w:snapToGrid w:val="0"/>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（4）成交供应商无正当理由不与采购人签订合同的；</w:t>
      </w:r>
    </w:p>
    <w:p>
      <w:pPr>
        <w:snapToGrid w:val="0"/>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bCs/>
          <w:color w:val="auto"/>
          <w:sz w:val="21"/>
          <w:szCs w:val="21"/>
          <w:highlight w:val="none"/>
        </w:rPr>
        <w:t>将成交项目转让给他人或者在响应文件中未说明且未经招标人同意，将成交项目分包给他人的；</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（6）拒绝履行合同义务的；</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（7）其他严重扰乱招投标程序的。</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（六）响应文件的签署</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1.供应商应按本磋商文件规定的格式和顺序编制响应文件并标注页码，响应文件内容不完整、编排混乱而导致响应文件被误读、漏读或者查找不到相关内容的，供应商责任自负。</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
          <w:color w:val="auto"/>
          <w:sz w:val="21"/>
          <w:szCs w:val="21"/>
          <w:highlight w:val="none"/>
        </w:rPr>
        <w:t>电子响应文件中公章、法人章均采用CA签章</w:t>
      </w:r>
      <w:r>
        <w:rPr>
          <w:rFonts w:hint="eastAsia" w:asciiTheme="minorEastAsia" w:hAnsiTheme="minorEastAsia" w:eastAsiaTheme="minorEastAsia" w:cstheme="minorEastAsia"/>
          <w:bCs/>
          <w:color w:val="auto"/>
          <w:sz w:val="21"/>
          <w:szCs w:val="21"/>
          <w:highlight w:val="none"/>
        </w:rPr>
        <w:t>，并根据“政采云供应商项目采购-电子招投标操作指南”及本磋商文件规定的格式和顺序编制电子响应文件并进行关联定位，以便磋商小组在评标时，点击评分项可直接定位到该评分项内容。</w:t>
      </w:r>
      <w:r>
        <w:rPr>
          <w:rFonts w:hint="eastAsia" w:asciiTheme="minorEastAsia" w:hAnsiTheme="minorEastAsia" w:eastAsiaTheme="minorEastAsia" w:cstheme="minorEastAsia"/>
          <w:bCs/>
          <w:color w:val="auto"/>
          <w:sz w:val="21"/>
          <w:szCs w:val="21"/>
          <w:highlight w:val="none"/>
          <w:u w:val="single"/>
        </w:rPr>
        <w:t>如对磋商文件的某项要求，供应商的电子响应文件未能关联定位提供相应的内容与其对应，则磋商小组在评审时如做出对供应商不利的评审由供应商自行承担。</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电子响应文件如内容不完整、编排混乱导致响应文件被误读、漏读，或者在按采购文件规定的部位查找不到相关内容的，由供应商自行承担。</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3</w:t>
      </w:r>
      <w:r>
        <w:rPr>
          <w:rFonts w:hint="eastAsia" w:asciiTheme="minorEastAsia" w:hAnsiTheme="minorEastAsia" w:eastAsiaTheme="minorEastAsia" w:cstheme="minorEastAsia"/>
          <w:color w:val="auto"/>
          <w:sz w:val="21"/>
          <w:szCs w:val="21"/>
          <w:highlight w:val="none"/>
        </w:rPr>
        <w:t>.温馨提醒：</w:t>
      </w:r>
      <w:r>
        <w:rPr>
          <w:rFonts w:hint="eastAsia" w:asciiTheme="minorEastAsia" w:hAnsiTheme="minorEastAsia" w:eastAsiaTheme="minorEastAsia" w:cstheme="minorEastAsia"/>
          <w:color w:val="auto"/>
          <w:sz w:val="21"/>
          <w:szCs w:val="21"/>
          <w:highlight w:val="none"/>
          <w:u w:val="single"/>
        </w:rPr>
        <w:t>CA签章上目前没有法人或授权代表签字信息，需要供应商联系杭州天谷信息科技有限公司、浙江杭州汇信科技有限公司进行办理，或在响应文件中涉及到签字的位置线下签好字然后扫描或者拍照做成PDF的格式亦可。</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4.响应文件不得涂改，若有修改错漏处，须加盖单位公章或者法定代表人或授权委托人签字或盖章。响应文件因字迹潦草或表达不清所引起的后果由供应商负责。</w:t>
      </w:r>
    </w:p>
    <w:p>
      <w:pPr>
        <w:snapToGrid w:val="0"/>
        <w:spacing w:before="120" w:beforeLines="50"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（七）投标无效的情形</w:t>
      </w:r>
    </w:p>
    <w:p>
      <w:pPr>
        <w:snapToGrid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实质上没有响应磋商文件要求的投标将被视为无效投标。供应商不得通过修正或撤消不合要求的偏离或保留从而使其投标成为实质上响应的投标，但经磋商小组认定属于供应商疏忽、笔误所造成的差错，应当允许其在评标结束之前进行修改或者补正（可以是电子邮件、扫描件等）。修改或者补正响应文件必须以书面形式进行，如有需要应在成交结果公告之前查核原件。限期内不补正或经补正后仍不符合磋商文件要求的，应认定其投标无效。供应商修改、补正响应文件后，不影响磋商小组对其响应文件所作的评价和评分结果。</w:t>
      </w:r>
    </w:p>
    <w:p>
      <w:pPr>
        <w:snapToGrid w:val="0"/>
        <w:spacing w:line="360" w:lineRule="auto"/>
        <w:ind w:firstLine="398" w:firstLineChars="196"/>
        <w:rPr>
          <w:rFonts w:hint="eastAsia" w:asciiTheme="minorEastAsia" w:hAnsiTheme="minorEastAsia" w:eastAsiaTheme="minorEastAsia" w:cstheme="minorEastAsia"/>
          <w:b/>
          <w:bCs/>
          <w:color w:val="auto"/>
          <w:spacing w:val="-4"/>
          <w:sz w:val="21"/>
          <w:szCs w:val="21"/>
          <w:highlight w:val="none"/>
        </w:rPr>
      </w:pPr>
      <w:bookmarkStart w:id="18" w:name="_Hlk59462445"/>
      <w:r>
        <w:rPr>
          <w:rFonts w:hint="eastAsia" w:asciiTheme="minorEastAsia" w:hAnsiTheme="minorEastAsia" w:eastAsiaTheme="minorEastAsia" w:cstheme="minorEastAsia"/>
          <w:b/>
          <w:bCs/>
          <w:color w:val="auto"/>
          <w:spacing w:val="-4"/>
          <w:sz w:val="21"/>
          <w:szCs w:val="21"/>
          <w:highlight w:val="none"/>
        </w:rPr>
        <w:t>1.</w:t>
      </w:r>
      <w:bookmarkStart w:id="19" w:name="_Hlk534294335"/>
      <w:r>
        <w:rPr>
          <w:rFonts w:hint="eastAsia" w:asciiTheme="minorEastAsia" w:hAnsiTheme="minorEastAsia" w:eastAsiaTheme="minorEastAsia" w:cstheme="minorEastAsia"/>
          <w:b/>
          <w:bCs/>
          <w:color w:val="auto"/>
          <w:spacing w:val="-4"/>
          <w:sz w:val="21"/>
          <w:szCs w:val="21"/>
          <w:highlight w:val="none"/>
        </w:rPr>
        <w:t>在符合性审查和商务技术评审时，如发现下列情形之一的，响应文件将被视为无效：</w:t>
      </w:r>
    </w:p>
    <w:bookmarkEnd w:id="19"/>
    <w:p>
      <w:pPr>
        <w:snapToGrid w:val="0"/>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（1）资格证明文件不全的，或者不符合磋商文件标明的资格要求的；</w:t>
      </w:r>
    </w:p>
    <w:p>
      <w:pPr>
        <w:snapToGrid w:val="0"/>
        <w:spacing w:line="360" w:lineRule="auto"/>
        <w:ind w:firstLine="411" w:firstLineChars="196"/>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Cs/>
          <w:color w:val="auto"/>
          <w:sz w:val="21"/>
          <w:szCs w:val="21"/>
          <w:highlight w:val="none"/>
        </w:rPr>
        <w:t>电子响应文件</w:t>
      </w:r>
      <w:r>
        <w:rPr>
          <w:rFonts w:hint="eastAsia" w:asciiTheme="minorEastAsia" w:hAnsiTheme="minorEastAsia" w:eastAsiaTheme="minorEastAsia" w:cstheme="minorEastAsia"/>
          <w:b/>
          <w:bCs/>
          <w:color w:val="auto"/>
          <w:kern w:val="0"/>
          <w:sz w:val="21"/>
          <w:szCs w:val="21"/>
          <w:highlight w:val="none"/>
          <w:u w:val="single"/>
          <w:shd w:val="pct10" w:color="auto" w:fill="FFFFFF"/>
        </w:rPr>
        <w:t>在指定页面无法定代表人盖章或签字、未在指定页面盖公章、在指定页面无被授权人签字</w:t>
      </w:r>
      <w:r>
        <w:rPr>
          <w:rFonts w:hint="eastAsia" w:asciiTheme="minorEastAsia" w:hAnsiTheme="minorEastAsia" w:eastAsiaTheme="minorEastAsia" w:cstheme="minorEastAsia"/>
          <w:b/>
          <w:bCs/>
          <w:color w:val="auto"/>
          <w:kern w:val="0"/>
          <w:sz w:val="21"/>
          <w:szCs w:val="21"/>
          <w:highlight w:val="none"/>
          <w:u w:val="single"/>
        </w:rPr>
        <w:t>、</w:t>
      </w:r>
      <w:r>
        <w:rPr>
          <w:rFonts w:hint="eastAsia" w:asciiTheme="minorEastAsia" w:hAnsiTheme="minorEastAsia" w:eastAsiaTheme="minorEastAsia" w:cstheme="minorEastAsia"/>
          <w:b/>
          <w:bCs/>
          <w:color w:val="auto"/>
          <w:kern w:val="0"/>
          <w:sz w:val="21"/>
          <w:szCs w:val="21"/>
          <w:highlight w:val="none"/>
        </w:rPr>
        <w:t>未提供法定代表人授权委托书、未提供投标函、未提供《没有重大违法记录的承诺函》或者投标函、《没有重大违法记录的承诺函》格式不符合竞争性磋商文件要求或填写项目不齐全的；</w:t>
      </w:r>
    </w:p>
    <w:p>
      <w:pPr>
        <w:pStyle w:val="23"/>
        <w:snapToGrid w:val="0"/>
        <w:spacing w:line="360" w:lineRule="auto"/>
        <w:ind w:firstLine="395"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（3）多项主要服务响应或者主要设备功能响应不满足磋商文件要求或缺项的，</w:t>
      </w:r>
      <w:r>
        <w:rPr>
          <w:rFonts w:hint="eastAsia" w:asciiTheme="minorEastAsia" w:hAnsiTheme="minorEastAsia" w:eastAsiaTheme="minorEastAsia" w:cstheme="minorEastAsia"/>
          <w:b/>
          <w:bCs/>
          <w:color w:val="auto"/>
          <w:sz w:val="21"/>
          <w:szCs w:val="21"/>
          <w:highlight w:val="none"/>
        </w:rPr>
        <w:t>主要设备尺寸严重不满足磋商文件要求的。</w:t>
      </w:r>
    </w:p>
    <w:p>
      <w:pPr>
        <w:pStyle w:val="23"/>
        <w:snapToGrid w:val="0"/>
        <w:spacing w:line="360" w:lineRule="auto"/>
        <w:ind w:firstLine="395"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snapToGrid w:val="0"/>
          <w:color w:val="auto"/>
          <w:sz w:val="21"/>
          <w:szCs w:val="21"/>
          <w:highlight w:val="none"/>
        </w:rPr>
        <w:t>与</w:t>
      </w:r>
      <w:r>
        <w:rPr>
          <w:rFonts w:hint="eastAsia" w:asciiTheme="minorEastAsia" w:hAnsiTheme="minorEastAsia" w:eastAsiaTheme="minorEastAsia" w:cstheme="minorEastAsia"/>
          <w:color w:val="auto"/>
          <w:sz w:val="21"/>
          <w:szCs w:val="21"/>
          <w:highlight w:val="none"/>
        </w:rPr>
        <w:t>磋商文件中标“▲”的技术指标、主要功能参数、服务响应发生实质性负偏离</w:t>
      </w:r>
      <w:r>
        <w:rPr>
          <w:rFonts w:hint="eastAsia" w:asciiTheme="minorEastAsia" w:hAnsiTheme="minorEastAsia" w:eastAsiaTheme="minorEastAsia" w:cstheme="minorEastAsia"/>
          <w:snapToGrid w:val="0"/>
          <w:color w:val="auto"/>
          <w:sz w:val="21"/>
          <w:szCs w:val="21"/>
          <w:highlight w:val="none"/>
        </w:rPr>
        <w:t>或内容缺失</w:t>
      </w:r>
      <w:r>
        <w:rPr>
          <w:rFonts w:hint="eastAsia" w:asciiTheme="minorEastAsia" w:hAnsiTheme="minorEastAsia" w:eastAsiaTheme="minorEastAsia" w:cstheme="minorEastAsia"/>
          <w:color w:val="auto"/>
          <w:sz w:val="21"/>
          <w:szCs w:val="21"/>
          <w:highlight w:val="none"/>
        </w:rPr>
        <w:t>的；</w:t>
      </w:r>
    </w:p>
    <w:p>
      <w:pPr>
        <w:pStyle w:val="23"/>
        <w:snapToGrid w:val="0"/>
        <w:spacing w:line="360" w:lineRule="auto"/>
        <w:ind w:firstLine="395"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（5）未如实提供投标货物的技术参数，或者响应文件标明的响应或偏离存在虚假的；</w:t>
      </w:r>
    </w:p>
    <w:p>
      <w:pPr>
        <w:pStyle w:val="23"/>
        <w:snapToGrid w:val="0"/>
        <w:spacing w:line="360" w:lineRule="auto"/>
        <w:ind w:firstLine="395" w:firstLineChars="196"/>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color w:val="auto"/>
          <w:sz w:val="21"/>
          <w:szCs w:val="21"/>
          <w:highlight w:val="none"/>
        </w:rPr>
        <w:t>（6）投标有效期、工期（供货期、交货时间、服务期）、保修期（质保期）、付款方式等商务条款不能满足磋商文件要求或缺失的</w:t>
      </w:r>
      <w:r>
        <w:rPr>
          <w:rFonts w:hint="eastAsia" w:asciiTheme="minorEastAsia" w:hAnsiTheme="minorEastAsia" w:eastAsiaTheme="minorEastAsia" w:cstheme="minorEastAsia"/>
          <w:snapToGrid w:val="0"/>
          <w:color w:val="auto"/>
          <w:sz w:val="21"/>
          <w:szCs w:val="21"/>
          <w:highlight w:val="none"/>
        </w:rPr>
        <w:t>；</w:t>
      </w:r>
    </w:p>
    <w:p>
      <w:pPr>
        <w:pStyle w:val="23"/>
        <w:snapToGrid w:val="0"/>
        <w:spacing w:line="360" w:lineRule="auto"/>
        <w:ind w:firstLine="395"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（7）响应文件有招标方不能接受的附加条件的；</w:t>
      </w:r>
    </w:p>
    <w:p>
      <w:pPr>
        <w:pStyle w:val="23"/>
        <w:snapToGrid w:val="0"/>
        <w:spacing w:line="360" w:lineRule="auto"/>
        <w:ind w:firstLine="404"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（8）商务技术文件中出现投标总报价的；</w:t>
      </w:r>
    </w:p>
    <w:p>
      <w:pPr>
        <w:pStyle w:val="23"/>
        <w:snapToGrid w:val="0"/>
        <w:spacing w:line="360" w:lineRule="auto"/>
        <w:ind w:firstLine="395"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（9）不同供应商的响应文件,由同一台电脑编制。</w:t>
      </w:r>
    </w:p>
    <w:bookmarkEnd w:id="18"/>
    <w:p>
      <w:pPr>
        <w:pStyle w:val="23"/>
        <w:snapToGrid w:val="0"/>
        <w:spacing w:line="360" w:lineRule="auto"/>
        <w:ind w:firstLine="398"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2.在报价评审时，如发现下列情形之一的，响应文件将被视为无效：</w:t>
      </w:r>
    </w:p>
    <w:p>
      <w:pPr>
        <w:pStyle w:val="23"/>
        <w:snapToGrid w:val="0"/>
        <w:spacing w:line="360" w:lineRule="auto"/>
        <w:ind w:firstLine="395" w:firstLineChars="196"/>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（1）未采用人民币报价或者未按照磋商文件标明的币种报价的；</w:t>
      </w:r>
    </w:p>
    <w:p>
      <w:pPr>
        <w:pStyle w:val="23"/>
        <w:snapToGrid w:val="0"/>
        <w:spacing w:line="360" w:lineRule="auto"/>
        <w:ind w:firstLine="395" w:firstLineChars="196"/>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（2）投标报价具有选择性，或者开标价格与响应文件承诺的优惠（折扣）价格不一致的；</w:t>
      </w:r>
    </w:p>
    <w:p>
      <w:pPr>
        <w:pStyle w:val="23"/>
        <w:snapToGrid w:val="0"/>
        <w:spacing w:line="360" w:lineRule="auto"/>
        <w:ind w:firstLine="395" w:firstLineChars="196"/>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（3）报价超过磋商文件中规定的预算金额或者最高限价的；</w:t>
      </w:r>
    </w:p>
    <w:p>
      <w:pPr>
        <w:pStyle w:val="23"/>
        <w:snapToGrid w:val="0"/>
        <w:spacing w:line="360" w:lineRule="auto"/>
        <w:ind w:firstLine="395" w:firstLineChars="196"/>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（4）未填写投标报价的。</w:t>
      </w:r>
    </w:p>
    <w:p>
      <w:pPr>
        <w:pStyle w:val="23"/>
        <w:snapToGrid w:val="0"/>
        <w:spacing w:line="360" w:lineRule="auto"/>
        <w:ind w:firstLine="395" w:firstLineChars="196"/>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（5）未提交最后报价的。</w:t>
      </w:r>
    </w:p>
    <w:p>
      <w:pPr>
        <w:pStyle w:val="23"/>
        <w:snapToGrid w:val="0"/>
        <w:spacing w:line="360" w:lineRule="auto"/>
        <w:ind w:firstLine="398"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3.被拒绝的响应文件为无效。</w:t>
      </w:r>
    </w:p>
    <w:p>
      <w:pPr>
        <w:spacing w:line="360" w:lineRule="auto"/>
        <w:ind w:firstLine="310" w:firstLineChars="147"/>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rPr>
        <w:t>（八）在招标采购中，出现下列情形之一的，应予废标</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1、出现影响采购公正的违法、违规行为的；</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2、因重大变故，采购任务取消的；</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3、供应商的报价均超过了采购预算价，采购人不能支付的。</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4.其他法律法规规定应予以废标的情形。</w:t>
      </w:r>
    </w:p>
    <w:p>
      <w:pPr>
        <w:autoSpaceDE w:val="0"/>
        <w:autoSpaceDN w:val="0"/>
        <w:spacing w:line="360" w:lineRule="auto"/>
        <w:ind w:firstLine="422" w:firstLineChars="200"/>
        <w:textAlignment w:val="bottom"/>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四、磋商</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招标人将根据本次磋商采购的特点按照《中华人民共和国政府采购法》、《政府采购竞争性磋商采购方式管理暂行办法》等规定组建磋商小组，磋商工作由磋商小组负责。</w:t>
      </w:r>
    </w:p>
    <w:p>
      <w:pPr>
        <w:autoSpaceDE w:val="0"/>
        <w:autoSpaceDN w:val="0"/>
        <w:spacing w:line="360" w:lineRule="auto"/>
        <w:ind w:firstLine="422" w:firstLineChars="200"/>
        <w:textAlignment w:val="bottom"/>
        <w:rPr>
          <w:rFonts w:hint="eastAsia" w:asciiTheme="minorEastAsia" w:hAnsiTheme="minorEastAsia" w:eastAsiaTheme="minorEastAsia" w:cstheme="minorEastAsia"/>
          <w:b/>
          <w:bCs/>
          <w:color w:val="auto"/>
          <w:sz w:val="21"/>
          <w:szCs w:val="21"/>
          <w:highlight w:val="none"/>
        </w:rPr>
      </w:pPr>
      <w:bookmarkStart w:id="20" w:name="_Hlk81829719"/>
      <w:r>
        <w:rPr>
          <w:rFonts w:hint="eastAsia" w:asciiTheme="minorEastAsia" w:hAnsiTheme="minorEastAsia" w:eastAsiaTheme="minorEastAsia" w:cstheme="minorEastAsia"/>
          <w:b/>
          <w:bCs/>
          <w:color w:val="auto"/>
          <w:sz w:val="21"/>
          <w:szCs w:val="21"/>
          <w:highlight w:val="none"/>
        </w:rPr>
        <w:t>（一）组建磋商小组</w:t>
      </w:r>
    </w:p>
    <w:p>
      <w:pPr>
        <w:autoSpaceDE w:val="0"/>
        <w:autoSpaceDN w:val="0"/>
        <w:spacing w:line="360" w:lineRule="auto"/>
        <w:ind w:firstLine="422" w:firstLineChars="200"/>
        <w:textAlignment w:val="bottom"/>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（1）本项目磋商小组由招标人依法组建。</w:t>
      </w:r>
    </w:p>
    <w:p>
      <w:pPr>
        <w:autoSpaceDE w:val="0"/>
        <w:autoSpaceDN w:val="0"/>
        <w:spacing w:line="360" w:lineRule="auto"/>
        <w:ind w:firstLine="422" w:firstLineChars="200"/>
        <w:textAlignment w:val="bottom"/>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（2）磋商小组成员与参与投标的供应商有下列情形之一的，应当回避：</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①参加采购活动前3年内与供应商存在劳动关系；</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②参加采购活动前3年内担任供应商的董事、监事；</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③参加采购活动前3年内是供应商的控股股东或者实际控制人；</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④与供应商的法定代表人或者负责人有夫妻、直系血亲、三代以内旁系血亲或者近姻亲关系；</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⑤与供应商有其他可能影响政府采购活动公平、公正进行的关系。</w:t>
      </w:r>
    </w:p>
    <w:p>
      <w:pPr>
        <w:autoSpaceDE w:val="0"/>
        <w:autoSpaceDN w:val="0"/>
        <w:spacing w:line="360" w:lineRule="auto"/>
        <w:ind w:firstLine="422" w:firstLineChars="200"/>
        <w:textAlignment w:val="bottom"/>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（3）磋商小组负责具体评标事务，并独立履行下列职责：</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1.审查、评价响应文件是否符合磋商文件的商务、技术等实质性要求；</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2.要求供应商对响应文件有关事项作出澄清或者说明；</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3.对响应文件进行比较和评价；</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4.确定成交候选人名单，以及根据采购人委托直接确定成交人；</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5.向采购人、采购组织机构或者有关部门报告评标中发现的违法行为；</w:t>
      </w:r>
    </w:p>
    <w:p>
      <w:pPr>
        <w:autoSpaceDE w:val="0"/>
        <w:autoSpaceDN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6.法律法规规定的其他职责。</w:t>
      </w:r>
    </w:p>
    <w:bookmarkEnd w:id="20"/>
    <w:p>
      <w:pPr>
        <w:pStyle w:val="29"/>
        <w:snapToGrid w:val="0"/>
        <w:spacing w:beforeLines="0" w:afterLines="0"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（二）磋商准备</w:t>
      </w:r>
    </w:p>
    <w:p>
      <w:pPr>
        <w:pStyle w:val="29"/>
        <w:snapToGrid w:val="0"/>
        <w:spacing w:beforeLines="0" w:afterLines="0" w:line="360" w:lineRule="auto"/>
        <w:ind w:firstLine="413" w:firstLineChars="196"/>
        <w:rPr>
          <w:rFonts w:hint="eastAsia" w:asciiTheme="minorEastAsia" w:hAnsiTheme="minorEastAsia" w:eastAsiaTheme="minorEastAsia" w:cstheme="minorEastAsia"/>
          <w:b/>
          <w:color w:val="auto"/>
          <w:sz w:val="21"/>
          <w:szCs w:val="21"/>
          <w:highlight w:val="none"/>
          <w:u w:val="single"/>
          <w:shd w:val="pct10" w:color="auto" w:fill="FFFFFF"/>
        </w:rPr>
      </w:pPr>
      <w:r>
        <w:rPr>
          <w:rFonts w:hint="eastAsia" w:asciiTheme="minorEastAsia" w:hAnsiTheme="minorEastAsia" w:eastAsiaTheme="minorEastAsia" w:cstheme="minorEastAsia"/>
          <w:b/>
          <w:color w:val="auto"/>
          <w:sz w:val="21"/>
          <w:szCs w:val="21"/>
          <w:highlight w:val="none"/>
          <w:u w:val="single"/>
          <w:shd w:val="pct10" w:color="auto" w:fill="FFFFFF"/>
        </w:rPr>
        <w:t>采购组织机构将按照磋商文件规定的时间通过“政府采购云平台”组织开标、开启响应文件，所有供应商请准时在线参加。供应商如不参加开标大会的，视同认可开标结果，事后不得对采购相关人员、磋商过程和磋商结果提出异议，同时供应商因未在线参加开标而导致响应文件无法按时解密等一切后果由供应商自己承担。</w:t>
      </w:r>
    </w:p>
    <w:p>
      <w:pPr>
        <w:pStyle w:val="29"/>
        <w:snapToGrid w:val="0"/>
        <w:spacing w:beforeLines="0" w:afterLines="0" w:line="360" w:lineRule="auto"/>
        <w:ind w:firstLine="411" w:firstLineChars="196"/>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采购过程中出现以下情形，导致电子交易平台无法正常运行，或者无法保证电子交易的公平、公正和安全时，采购组织机构可中止电子交易活动：</w:t>
      </w:r>
    </w:p>
    <w:p>
      <w:pPr>
        <w:pStyle w:val="29"/>
        <w:snapToGrid w:val="0"/>
        <w:spacing w:beforeLines="0" w:afterLines="0" w:line="360" w:lineRule="auto"/>
        <w:ind w:firstLine="411" w:firstLineChars="196"/>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（1）电子交易平台发生故障、停电而无法登录访问的； </w:t>
      </w:r>
    </w:p>
    <w:p>
      <w:pPr>
        <w:pStyle w:val="29"/>
        <w:snapToGrid w:val="0"/>
        <w:spacing w:beforeLines="0" w:afterLines="0" w:line="360" w:lineRule="auto"/>
        <w:ind w:firstLine="411" w:firstLineChars="196"/>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（2）电子交易平台应用或数据库出现错误，不能进行正常操作的；</w:t>
      </w:r>
    </w:p>
    <w:p>
      <w:pPr>
        <w:pStyle w:val="29"/>
        <w:snapToGrid w:val="0"/>
        <w:spacing w:beforeLines="0" w:afterLines="0" w:line="360" w:lineRule="auto"/>
        <w:ind w:firstLine="411" w:firstLineChars="196"/>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（3）电子交易平台发现严重安全漏洞，有潜在泄密危险的；</w:t>
      </w:r>
    </w:p>
    <w:p>
      <w:pPr>
        <w:pStyle w:val="29"/>
        <w:snapToGrid w:val="0"/>
        <w:spacing w:beforeLines="0" w:afterLines="0" w:line="360" w:lineRule="auto"/>
        <w:ind w:firstLine="411" w:firstLineChars="196"/>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（4）病毒发作导致不能进行正常操作的； </w:t>
      </w:r>
    </w:p>
    <w:p>
      <w:pPr>
        <w:pStyle w:val="29"/>
        <w:snapToGrid w:val="0"/>
        <w:spacing w:beforeLines="0" w:afterLines="0" w:line="360" w:lineRule="auto"/>
        <w:ind w:firstLine="411" w:firstLineChars="196"/>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（5）其他无法保证电子交易的公平、公正和安全的情况。</w:t>
      </w:r>
    </w:p>
    <w:p>
      <w:pPr>
        <w:pStyle w:val="29"/>
        <w:snapToGrid w:val="0"/>
        <w:spacing w:beforeLines="0" w:afterLines="0" w:line="360" w:lineRule="auto"/>
        <w:ind w:firstLine="411" w:firstLineChars="196"/>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出现前款规定情形，不影响采购公平、公正性的，采购组织机构可以待上述情形消除后继续组织电子交易活动，影响或可能影响采购公平、公正性的，应当重新采购。</w:t>
      </w:r>
    </w:p>
    <w:p>
      <w:pPr>
        <w:pStyle w:val="29"/>
        <w:snapToGrid w:val="0"/>
        <w:spacing w:beforeLines="0" w:afterLines="0"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（三）磋商程序    </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1.开标会由招标人主持，</w:t>
      </w:r>
      <w:bookmarkStart w:id="21" w:name="_Hlk59694585"/>
      <w:r>
        <w:rPr>
          <w:rFonts w:hint="eastAsia" w:asciiTheme="minorEastAsia" w:hAnsiTheme="minorEastAsia" w:eastAsiaTheme="minorEastAsia" w:cstheme="minorEastAsia"/>
          <w:b/>
          <w:bCs/>
          <w:color w:val="auto"/>
          <w:sz w:val="21"/>
          <w:szCs w:val="21"/>
          <w:highlight w:val="none"/>
          <w:u w:val="single"/>
          <w:shd w:val="pct10" w:color="auto" w:fill="FFFFFF"/>
        </w:rPr>
        <w:t>并通过临海市公共资源交易中心网站--每日直播平台进行现场直播，各供应商请准时在线参加。</w:t>
      </w:r>
      <w:bookmarkStart w:id="22" w:name="_Hlk59690176"/>
      <w:r>
        <w:rPr>
          <w:rFonts w:hint="eastAsia" w:asciiTheme="minorEastAsia" w:hAnsiTheme="minorEastAsia" w:eastAsiaTheme="minorEastAsia" w:cstheme="minorEastAsia"/>
          <w:b/>
          <w:bCs/>
          <w:color w:val="auto"/>
          <w:sz w:val="21"/>
          <w:szCs w:val="21"/>
          <w:highlight w:val="none"/>
          <w:u w:val="single"/>
          <w:shd w:val="pct10" w:color="auto" w:fill="FFFFFF"/>
        </w:rPr>
        <w:t>各供应商如对开、磋商过程有异议的，应该登陆临海市公共资源交易中心网站—-每日直播平台---点击该项目—登陆，进入供应商提问区进行提问，招标人（采购代理机构）应当及时作出答复，并制作记录</w:t>
      </w:r>
      <w:bookmarkEnd w:id="21"/>
      <w:r>
        <w:rPr>
          <w:rFonts w:hint="eastAsia" w:asciiTheme="minorEastAsia" w:hAnsiTheme="minorEastAsia" w:eastAsiaTheme="minorEastAsia" w:cstheme="minorEastAsia"/>
          <w:b/>
          <w:bCs/>
          <w:color w:val="auto"/>
          <w:sz w:val="21"/>
          <w:szCs w:val="21"/>
          <w:highlight w:val="none"/>
          <w:u w:val="single"/>
          <w:shd w:val="pct10" w:color="auto" w:fill="FFFFFF"/>
        </w:rPr>
        <w:t>；</w:t>
      </w:r>
    </w:p>
    <w:bookmarkEnd w:id="22"/>
    <w:p>
      <w:pPr>
        <w:pStyle w:val="29"/>
        <w:snapToGrid w:val="0"/>
        <w:spacing w:beforeLines="0" w:afterLines="0" w:line="360" w:lineRule="auto"/>
        <w:ind w:firstLine="420" w:firstLineChars="200"/>
        <w:rPr>
          <w:rFonts w:hint="eastAsia" w:asciiTheme="minorEastAsia" w:hAnsiTheme="minorEastAsia" w:eastAsiaTheme="minorEastAsia" w:cstheme="minorEastAsia"/>
          <w:b/>
          <w:bCs/>
          <w:color w:val="auto"/>
          <w:sz w:val="21"/>
          <w:szCs w:val="21"/>
          <w:highlight w:val="none"/>
          <w:u w:val="single"/>
          <w:shd w:val="pct10" w:color="auto" w:fill="FFFFFF"/>
        </w:rPr>
      </w:pPr>
      <w:r>
        <w:rPr>
          <w:rFonts w:hint="eastAsia" w:asciiTheme="minorEastAsia" w:hAnsiTheme="minorEastAsia" w:eastAsiaTheme="minorEastAsia" w:cstheme="minorEastAsia"/>
          <w:color w:val="auto"/>
          <w:sz w:val="21"/>
          <w:szCs w:val="21"/>
          <w:highlight w:val="none"/>
        </w:rPr>
        <w:t>2. 招标人点击政采云系统--【开始解密】按钮，</w:t>
      </w:r>
      <w:bookmarkStart w:id="23" w:name="_Hlk59625783"/>
      <w:r>
        <w:rPr>
          <w:rFonts w:hint="eastAsia" w:asciiTheme="minorEastAsia" w:hAnsiTheme="minorEastAsia" w:eastAsiaTheme="minorEastAsia" w:cstheme="minorEastAsia"/>
          <w:color w:val="auto"/>
          <w:sz w:val="21"/>
          <w:szCs w:val="21"/>
          <w:highlight w:val="none"/>
        </w:rPr>
        <w:t>由供应商按磋商文件规定的时间</w:t>
      </w:r>
      <w:bookmarkStart w:id="24" w:name="_Hlk60946168"/>
      <w:r>
        <w:rPr>
          <w:rFonts w:hint="eastAsia" w:asciiTheme="minorEastAsia" w:hAnsiTheme="minorEastAsia" w:eastAsiaTheme="minorEastAsia" w:cstheme="minorEastAsia"/>
          <w:color w:val="auto"/>
          <w:sz w:val="21"/>
          <w:szCs w:val="21"/>
          <w:highlight w:val="none"/>
        </w:rPr>
        <w:t>及</w:t>
      </w:r>
      <w:bookmarkStart w:id="25" w:name="_Hlk59626264"/>
      <w:r>
        <w:rPr>
          <w:rFonts w:hint="eastAsia" w:asciiTheme="minorEastAsia" w:hAnsiTheme="minorEastAsia" w:eastAsiaTheme="minorEastAsia" w:cstheme="minorEastAsia"/>
          <w:color w:val="auto"/>
          <w:sz w:val="21"/>
          <w:szCs w:val="21"/>
          <w:highlight w:val="none"/>
        </w:rPr>
        <w:t>政采云平台</w:t>
      </w:r>
      <w:bookmarkEnd w:id="25"/>
      <w:r>
        <w:rPr>
          <w:rFonts w:hint="eastAsia" w:asciiTheme="minorEastAsia" w:hAnsiTheme="minorEastAsia" w:eastAsiaTheme="minorEastAsia" w:cstheme="minorEastAsia"/>
          <w:color w:val="auto"/>
          <w:sz w:val="21"/>
          <w:szCs w:val="21"/>
          <w:highlight w:val="none"/>
        </w:rPr>
        <w:t>显示的时间内自行进行响应文件解密。</w:t>
      </w:r>
      <w:bookmarkEnd w:id="23"/>
      <w:r>
        <w:rPr>
          <w:rFonts w:hint="eastAsia" w:asciiTheme="minorEastAsia" w:hAnsiTheme="minorEastAsia" w:eastAsiaTheme="minorEastAsia" w:cstheme="minorEastAsia"/>
          <w:color w:val="auto"/>
          <w:sz w:val="21"/>
          <w:szCs w:val="21"/>
          <w:highlight w:val="none"/>
          <w:u w:val="single"/>
        </w:rPr>
        <w:t>响应文件的制作和解密应使用同一个数字证书，否则将可能解密失败。解密过程中如因CA数字证书等问题而无法解密的，请马上致电汇信客服电话：400-888-4636，天谷客服电话：400-087-8198寻求解决。</w:t>
      </w:r>
      <w:bookmarkStart w:id="26" w:name="_Hlk59805375"/>
      <w:r>
        <w:rPr>
          <w:rFonts w:hint="eastAsia" w:asciiTheme="minorEastAsia" w:hAnsiTheme="minorEastAsia" w:eastAsiaTheme="minorEastAsia" w:cstheme="minorEastAsia"/>
          <w:color w:val="auto"/>
          <w:sz w:val="21"/>
          <w:szCs w:val="21"/>
          <w:highlight w:val="none"/>
          <w:u w:val="single"/>
        </w:rPr>
        <w:t>供应商未按时解密或解密失败的，其响应文件为无效标。</w:t>
      </w:r>
      <w:bookmarkEnd w:id="26"/>
    </w:p>
    <w:p>
      <w:pPr>
        <w:pStyle w:val="29"/>
        <w:snapToGrid w:val="0"/>
        <w:spacing w:beforeLines="0" w:afterLines="0" w:line="360" w:lineRule="auto"/>
        <w:ind w:firstLine="422" w:firstLineChars="200"/>
        <w:rPr>
          <w:rFonts w:hint="eastAsia" w:asciiTheme="minorEastAsia" w:hAnsiTheme="minorEastAsia" w:eastAsiaTheme="minorEastAsia" w:cstheme="minorEastAsia"/>
          <w:b/>
          <w:bCs/>
          <w:color w:val="auto"/>
          <w:sz w:val="21"/>
          <w:szCs w:val="21"/>
          <w:highlight w:val="none"/>
          <w:u w:val="single"/>
          <w:shd w:val="pct10" w:color="auto" w:fill="FFFFFF"/>
        </w:rPr>
      </w:pPr>
      <w:r>
        <w:rPr>
          <w:rFonts w:hint="eastAsia" w:asciiTheme="minorEastAsia" w:hAnsiTheme="minorEastAsia" w:eastAsiaTheme="minorEastAsia" w:cstheme="minorEastAsia"/>
          <w:b/>
          <w:bCs/>
          <w:color w:val="auto"/>
          <w:sz w:val="21"/>
          <w:szCs w:val="21"/>
          <w:highlight w:val="none"/>
          <w:u w:val="single"/>
          <w:shd w:val="pct10" w:color="auto" w:fill="FFFFFF"/>
        </w:rPr>
        <w:t>该项目供应商数量及各供应商磋商文件是否完成解密以政采云平台及临海市公共资源交易中心网站—-每日直播平台上主持人发言区显示内容为准，不以临海市公共资源交易中心直播平台上页面右侧显示的表格内容为准。</w:t>
      </w:r>
    </w:p>
    <w:bookmarkEnd w:id="24"/>
    <w:p>
      <w:pPr>
        <w:pStyle w:val="29"/>
        <w:snapToGrid w:val="0"/>
        <w:spacing w:beforeLines="0" w:afterLines="0" w:line="360" w:lineRule="auto"/>
        <w:ind w:firstLine="420" w:firstLineChars="200"/>
        <w:rPr>
          <w:rFonts w:hint="eastAsia" w:asciiTheme="minorEastAsia" w:hAnsiTheme="minorEastAsia" w:eastAsiaTheme="minorEastAsia" w:cstheme="minorEastAsia"/>
          <w:b/>
          <w:bCs/>
          <w:color w:val="auto"/>
          <w:sz w:val="21"/>
          <w:szCs w:val="21"/>
          <w:highlight w:val="none"/>
          <w:u w:val="single"/>
          <w:shd w:val="pct10" w:color="auto" w:fill="FFFFFF"/>
        </w:rPr>
      </w:pPr>
      <w:r>
        <w:rPr>
          <w:rFonts w:hint="eastAsia" w:asciiTheme="minorEastAsia" w:hAnsiTheme="minorEastAsia" w:eastAsiaTheme="minorEastAsia" w:cstheme="minorEastAsia"/>
          <w:color w:val="auto"/>
          <w:sz w:val="21"/>
          <w:szCs w:val="21"/>
          <w:highlight w:val="none"/>
        </w:rPr>
        <w:t>3.解密结束后，主持人介绍参加开标会的采购代理机构人员名单、供应商名称，并告知是否有需要回避的情况；</w:t>
      </w:r>
    </w:p>
    <w:p>
      <w:pPr>
        <w:pStyle w:val="29"/>
        <w:snapToGrid w:val="0"/>
        <w:spacing w:beforeLines="0" w:afterLines="0"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4.响应文件结束解密后，供应商应当通过邮件形式，将经授权代表签署的《政府采购活动现场确认声明书》</w:t>
      </w:r>
      <w:r>
        <w:rPr>
          <w:rFonts w:hint="eastAsia" w:asciiTheme="minorEastAsia" w:hAnsiTheme="minorEastAsia" w:eastAsiaTheme="minorEastAsia" w:cstheme="minorEastAsia"/>
          <w:b/>
          <w:bCs/>
          <w:color w:val="auto"/>
          <w:sz w:val="21"/>
          <w:szCs w:val="21"/>
          <w:highlight w:val="none"/>
          <w:u w:val="single"/>
        </w:rPr>
        <w:t>（格式见磋商文件最后一页</w:t>
      </w:r>
      <w:r>
        <w:rPr>
          <w:rStyle w:val="58"/>
          <w:rFonts w:hint="eastAsia" w:asciiTheme="minorEastAsia" w:hAnsiTheme="minorEastAsia" w:eastAsiaTheme="minorEastAsia" w:cstheme="minorEastAsia"/>
          <w:bCs/>
          <w:color w:val="auto"/>
          <w:kern w:val="2"/>
          <w:sz w:val="21"/>
          <w:szCs w:val="21"/>
          <w:highlight w:val="none"/>
          <w:lang w:val="en-US" w:eastAsia="zh-CN" w:bidi="ar-SA"/>
        </w:rPr>
        <w:t>17.政府采购活动现场确认声明书</w:t>
      </w:r>
      <w:r>
        <w:rPr>
          <w:rFonts w:hint="eastAsia" w:asciiTheme="minorEastAsia" w:hAnsiTheme="minorEastAsia" w:eastAsiaTheme="minorEastAsia" w:cstheme="minorEastAsia"/>
          <w:color w:val="auto"/>
          <w:sz w:val="21"/>
          <w:szCs w:val="21"/>
          <w:highlight w:val="none"/>
        </w:rPr>
        <w:t>）扫描件发至代理</w:t>
      </w:r>
      <w:r>
        <w:rPr>
          <w:rFonts w:hint="eastAsia" w:ascii="宋体" w:hAnsi="宋体" w:eastAsia="宋体" w:cs="宋体"/>
          <w:color w:val="auto"/>
          <w:sz w:val="21"/>
          <w:szCs w:val="21"/>
          <w:highlight w:val="none"/>
        </w:rPr>
        <w:t>机构电子邮箱</w:t>
      </w:r>
      <w:r>
        <w:rPr>
          <w:rFonts w:hint="eastAsia" w:ascii="宋体" w:hAnsi="宋体" w:eastAsia="宋体" w:cs="宋体"/>
          <w:b/>
          <w:bCs/>
          <w:color w:val="auto"/>
          <w:sz w:val="21"/>
          <w:szCs w:val="21"/>
          <w:highlight w:val="none"/>
          <w:lang w:val="en-US" w:eastAsia="zh-CN"/>
        </w:rPr>
        <w:t>（</w:t>
      </w:r>
      <w:r>
        <w:rPr>
          <w:rFonts w:hint="eastAsia" w:hAnsi="宋体" w:cs="宋体"/>
          <w:b/>
          <w:bCs/>
          <w:color w:val="auto"/>
          <w:sz w:val="21"/>
          <w:szCs w:val="21"/>
          <w:highlight w:val="none"/>
          <w:lang w:val="en-US" w:eastAsia="zh-CN"/>
        </w:rPr>
        <w:t>274431510@qq</w:t>
      </w:r>
      <w:r>
        <w:rPr>
          <w:rFonts w:hint="eastAsia" w:ascii="宋体" w:hAnsi="宋体" w:eastAsia="宋体" w:cs="宋体"/>
          <w:b/>
          <w:bCs/>
          <w:color w:val="auto"/>
          <w:sz w:val="21"/>
          <w:szCs w:val="21"/>
          <w:highlight w:val="none"/>
          <w:lang w:val="en-US" w:eastAsia="zh-CN"/>
        </w:rPr>
        <w:t>.com</w:t>
      </w:r>
      <w:r>
        <w:rPr>
          <w:rFonts w:hint="eastAsia" w:ascii="宋体" w:hAnsi="宋体" w:eastAsia="宋体" w:cs="宋体"/>
          <w:b/>
          <w:bCs/>
          <w:color w:val="auto"/>
          <w:sz w:val="21"/>
          <w:szCs w:val="21"/>
          <w:highlight w:val="none"/>
          <w:lang w:val="en-US" w:eastAsia="zh-CN"/>
        </w:rPr>
        <w:fldChar w:fldCharType="begin"/>
      </w:r>
      <w:r>
        <w:rPr>
          <w:rFonts w:hint="eastAsia" w:ascii="宋体" w:hAnsi="宋体" w:eastAsia="宋体" w:cs="宋体"/>
          <w:b/>
          <w:bCs/>
          <w:color w:val="auto"/>
          <w:sz w:val="21"/>
          <w:szCs w:val="21"/>
          <w:highlight w:val="none"/>
          <w:lang w:val="en-US" w:eastAsia="zh-CN"/>
        </w:rPr>
        <w:instrText xml:space="preserve"> HYPERLINK "mailto:lhzb.gov.cn@163.com）,联系人" </w:instrText>
      </w:r>
      <w:r>
        <w:rPr>
          <w:rFonts w:hint="eastAsia" w:ascii="宋体" w:hAnsi="宋体" w:eastAsia="宋体" w:cs="宋体"/>
          <w:b/>
          <w:bCs/>
          <w:color w:val="auto"/>
          <w:sz w:val="21"/>
          <w:szCs w:val="21"/>
          <w:highlight w:val="none"/>
          <w:lang w:val="en-US" w:eastAsia="zh-CN"/>
        </w:rPr>
        <w:fldChar w:fldCharType="separate"/>
      </w:r>
      <w:r>
        <w:rPr>
          <w:rFonts w:hint="eastAsia" w:ascii="宋体" w:hAnsi="宋体" w:eastAsia="宋体" w:cs="宋体"/>
          <w:b/>
          <w:bCs/>
          <w:color w:val="auto"/>
          <w:sz w:val="21"/>
          <w:szCs w:val="21"/>
          <w:highlight w:val="none"/>
          <w:lang w:val="en-US" w:eastAsia="zh-CN"/>
        </w:rPr>
        <w:t>）,联系人</w:t>
      </w:r>
      <w:r>
        <w:rPr>
          <w:rFonts w:hint="eastAsia" w:ascii="宋体" w:hAnsi="宋体" w:eastAsia="宋体" w:cs="宋体"/>
          <w:b/>
          <w:bCs/>
          <w:color w:val="auto"/>
          <w:sz w:val="21"/>
          <w:szCs w:val="21"/>
          <w:highlight w:val="none"/>
          <w:lang w:val="en-US" w:eastAsia="zh-CN"/>
        </w:rPr>
        <w:fldChar w:fldCharType="end"/>
      </w:r>
      <w:r>
        <w:rPr>
          <w:rFonts w:hint="eastAsia" w:ascii="宋体" w:hAnsi="宋体" w:eastAsia="宋体" w:cs="宋体"/>
          <w:b/>
          <w:bCs/>
          <w:color w:val="auto"/>
          <w:sz w:val="21"/>
          <w:szCs w:val="21"/>
          <w:highlight w:val="none"/>
          <w:lang w:val="en-US" w:eastAsia="zh-CN"/>
        </w:rPr>
        <w:t>：</w:t>
      </w:r>
      <w:r>
        <w:rPr>
          <w:rFonts w:hint="eastAsia" w:hAnsi="宋体" w:cs="宋体"/>
          <w:b/>
          <w:bCs/>
          <w:color w:val="auto"/>
          <w:sz w:val="21"/>
          <w:szCs w:val="21"/>
          <w:highlight w:val="none"/>
          <w:shd w:val="clear" w:color="auto" w:fill="auto"/>
          <w:lang w:val="en-US" w:eastAsia="zh-CN"/>
        </w:rPr>
        <w:t>范四海</w:t>
      </w:r>
      <w:r>
        <w:rPr>
          <w:rFonts w:hint="eastAsia" w:ascii="宋体" w:hAnsi="宋体" w:eastAsia="宋体" w:cs="宋体"/>
          <w:b/>
          <w:bCs/>
          <w:color w:val="auto"/>
          <w:sz w:val="21"/>
          <w:szCs w:val="21"/>
          <w:highlight w:val="none"/>
          <w:shd w:val="clear" w:color="auto" w:fill="auto"/>
          <w:lang w:val="en-US" w:eastAsia="zh-CN"/>
        </w:rPr>
        <w:t>，电话：</w:t>
      </w:r>
      <w:r>
        <w:rPr>
          <w:rFonts w:hint="eastAsia" w:hAnsi="宋体" w:cs="宋体"/>
          <w:b/>
          <w:bCs/>
          <w:color w:val="auto"/>
          <w:sz w:val="21"/>
          <w:szCs w:val="21"/>
          <w:highlight w:val="none"/>
          <w:shd w:val="clear" w:color="auto" w:fill="auto"/>
          <w:lang w:val="en-US" w:eastAsia="zh-CN"/>
        </w:rPr>
        <w:t>13857620565</w:t>
      </w:r>
      <w:r>
        <w:rPr>
          <w:rFonts w:hint="eastAsia" w:ascii="宋体" w:hAnsi="宋体" w:eastAsia="宋体" w:cs="宋体"/>
          <w:b/>
          <w:bCs/>
          <w:color w:val="auto"/>
          <w:sz w:val="21"/>
          <w:szCs w:val="21"/>
          <w:highlight w:val="none"/>
          <w:shd w:val="clear" w:color="auto" w:fill="auto"/>
          <w:lang w:val="en-US" w:eastAsia="zh-CN"/>
        </w:rPr>
        <w:t>；</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5.采购组织机构点击【</w:t>
      </w:r>
      <w:bookmarkStart w:id="27" w:name="_Hlk59371589"/>
      <w:r>
        <w:rPr>
          <w:rFonts w:hint="eastAsia" w:asciiTheme="minorEastAsia" w:hAnsiTheme="minorEastAsia" w:eastAsiaTheme="minorEastAsia" w:cstheme="minorEastAsia"/>
          <w:color w:val="auto"/>
          <w:sz w:val="21"/>
          <w:szCs w:val="21"/>
          <w:highlight w:val="none"/>
        </w:rPr>
        <w:t>开启标书信息</w:t>
      </w:r>
      <w:bookmarkEnd w:id="27"/>
      <w:r>
        <w:rPr>
          <w:rFonts w:hint="eastAsia" w:asciiTheme="minorEastAsia" w:hAnsiTheme="minorEastAsia" w:eastAsiaTheme="minorEastAsia" w:cstheme="minorEastAsia"/>
          <w:color w:val="auto"/>
          <w:sz w:val="21"/>
          <w:szCs w:val="21"/>
          <w:highlight w:val="none"/>
        </w:rPr>
        <w:t>】，开启标书成功后进行磋商文件评审；</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6.磋商小组全体成员通过“政采云视频询标（视频讲标）系统”分别与单一供应商进行磋商，</w:t>
      </w:r>
      <w:r>
        <w:rPr>
          <w:rFonts w:hint="eastAsia" w:asciiTheme="minorEastAsia" w:hAnsiTheme="minorEastAsia" w:eastAsiaTheme="minorEastAsia" w:cstheme="minorEastAsia"/>
          <w:color w:val="auto"/>
          <w:sz w:val="21"/>
          <w:szCs w:val="21"/>
          <w:highlight w:val="none"/>
          <w:u w:val="single"/>
        </w:rPr>
        <w:t>磋商顺序可按照磋商响应文件解密顺序进行</w:t>
      </w:r>
      <w:r>
        <w:rPr>
          <w:rFonts w:hint="eastAsia" w:asciiTheme="minorEastAsia" w:hAnsiTheme="minorEastAsia" w:eastAsiaTheme="minorEastAsia" w:cstheme="minorEastAsia"/>
          <w:color w:val="auto"/>
          <w:sz w:val="21"/>
          <w:szCs w:val="21"/>
          <w:highlight w:val="none"/>
        </w:rPr>
        <w:t>。“政采云视频询标（视频讲标）系统”通过音视频的方式进行评委和供应商的实时音视频对话。</w:t>
      </w:r>
    </w:p>
    <w:p>
      <w:pPr>
        <w:spacing w:line="360" w:lineRule="auto"/>
        <w:ind w:firstLine="422" w:firstLineChars="200"/>
        <w:rPr>
          <w:rFonts w:hint="eastAsia" w:asciiTheme="minorEastAsia" w:hAnsiTheme="minorEastAsia" w:eastAsiaTheme="minorEastAsia" w:cstheme="minorEastAsia"/>
          <w:b/>
          <w:bCs/>
          <w:color w:val="auto"/>
          <w:kern w:val="0"/>
          <w:sz w:val="21"/>
          <w:szCs w:val="21"/>
          <w:highlight w:val="none"/>
          <w:u w:val="single"/>
          <w:shd w:val="pct10" w:color="auto" w:fill="FFFFFF"/>
        </w:rPr>
      </w:pPr>
      <w:r>
        <w:rPr>
          <w:rFonts w:hint="eastAsia" w:asciiTheme="minorEastAsia" w:hAnsiTheme="minorEastAsia" w:eastAsiaTheme="minorEastAsia" w:cstheme="minorEastAsia"/>
          <w:b/>
          <w:bCs/>
          <w:color w:val="auto"/>
          <w:kern w:val="0"/>
          <w:sz w:val="21"/>
          <w:szCs w:val="21"/>
          <w:highlight w:val="none"/>
          <w:u w:val="single"/>
          <w:shd w:val="pct10" w:color="auto" w:fill="FFFFFF"/>
        </w:rPr>
        <w:t>本项目磋商将通过政采云视频询标（视频讲标）系统进行，供应商登录政采云系统-----进入开标大厅---进入本项目----就可以进入政采云视频询标系统。政采云视频询标（视频讲标）系统在磋商时需要供应商电脑配置有摄像头、音箱和必要的网络带宽，请供应商开标前予以提前准备，以免延误磋商（浏览器建议用谷歌浏览器，网络带宽不少于50兆，请勿用无线，以免出现卡顿现象；摄像头建议用中档及以上摄像头，以利于磋商时的画面质量；音箱请提前予以调试，以避免磋商时出现没有声音现象）。政采云视频会议系统目前不支持手机客户端。</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在政采云系统上重新提交响应文件，并由其法定代表人或授权代表签字或者加盖公章；</w:t>
      </w:r>
    </w:p>
    <w:p>
      <w:pPr>
        <w:spacing w:line="360" w:lineRule="auto"/>
        <w:ind w:firstLine="420" w:firstLineChars="200"/>
        <w:rPr>
          <w:rFonts w:hint="eastAsia" w:asciiTheme="minorEastAsia" w:hAnsiTheme="minorEastAsia" w:eastAsiaTheme="minorEastAsia" w:cstheme="minorEastAsia"/>
          <w:b/>
          <w:bCs/>
          <w:color w:val="auto"/>
          <w:sz w:val="21"/>
          <w:szCs w:val="21"/>
          <w:highlight w:val="none"/>
          <w:u w:val="single"/>
          <w:shd w:val="pct10" w:color="auto" w:fill="FFFFFF"/>
        </w:rPr>
      </w:pPr>
      <w:r>
        <w:rPr>
          <w:rFonts w:hint="eastAsia" w:asciiTheme="minorEastAsia" w:hAnsiTheme="minorEastAsia" w:eastAsiaTheme="minorEastAsia" w:cstheme="minorEastAsia"/>
          <w:color w:val="auto"/>
          <w:sz w:val="21"/>
          <w:szCs w:val="21"/>
          <w:highlight w:val="none"/>
        </w:rPr>
        <w:t>8、磋商文件能够详细列明采购标的的技术、服务要求的，磋商结束后，磋商小组将要求所有实质性响应的供应商在规定时间内</w:t>
      </w:r>
      <w:r>
        <w:rPr>
          <w:rFonts w:hint="eastAsia" w:asciiTheme="minorEastAsia" w:hAnsiTheme="minorEastAsia" w:eastAsiaTheme="minorEastAsia" w:cstheme="minorEastAsia"/>
          <w:b/>
          <w:bCs/>
          <w:color w:val="auto"/>
          <w:sz w:val="21"/>
          <w:szCs w:val="21"/>
          <w:highlight w:val="none"/>
          <w:u w:val="single"/>
          <w:shd w:val="pct10" w:color="auto" w:fill="FFFFFF"/>
        </w:rPr>
        <w:t>（时间为30分钟，具体时间以政采云系统上显示的时间为准）</w:t>
      </w:r>
      <w:r>
        <w:rPr>
          <w:rFonts w:hint="eastAsia" w:asciiTheme="minorEastAsia" w:hAnsiTheme="minorEastAsia" w:eastAsiaTheme="minorEastAsia" w:cstheme="minorEastAsia"/>
          <w:color w:val="auto"/>
          <w:sz w:val="21"/>
          <w:szCs w:val="21"/>
          <w:highlight w:val="none"/>
        </w:rPr>
        <w:t>在政采云系统上提交</w:t>
      </w:r>
      <w:bookmarkStart w:id="28" w:name="_Hlk4055646"/>
      <w:r>
        <w:rPr>
          <w:rFonts w:hint="eastAsia" w:asciiTheme="minorEastAsia" w:hAnsiTheme="minorEastAsia" w:eastAsiaTheme="minorEastAsia" w:cstheme="minorEastAsia"/>
          <w:color w:val="auto"/>
          <w:sz w:val="21"/>
          <w:szCs w:val="21"/>
          <w:highlight w:val="none"/>
        </w:rPr>
        <w:t>最后报价，</w:t>
      </w:r>
      <w:bookmarkEnd w:id="28"/>
      <w:bookmarkStart w:id="29" w:name="_Hlk4055866"/>
      <w:r>
        <w:rPr>
          <w:rFonts w:hint="eastAsia" w:asciiTheme="minorEastAsia" w:hAnsiTheme="minorEastAsia" w:eastAsiaTheme="minorEastAsia" w:cstheme="minorEastAsia"/>
          <w:color w:val="auto"/>
          <w:sz w:val="21"/>
          <w:szCs w:val="21"/>
          <w:highlight w:val="none"/>
        </w:rPr>
        <w:t>最后报价</w:t>
      </w:r>
      <w:bookmarkEnd w:id="29"/>
      <w:r>
        <w:rPr>
          <w:rFonts w:hint="eastAsia" w:asciiTheme="minorEastAsia" w:hAnsiTheme="minorEastAsia" w:eastAsiaTheme="minorEastAsia" w:cstheme="minorEastAsia"/>
          <w:color w:val="auto"/>
          <w:sz w:val="21"/>
          <w:szCs w:val="21"/>
          <w:highlight w:val="none"/>
        </w:rPr>
        <w:t>是供应商响应文件的有效组成部分。</w:t>
      </w:r>
      <w:r>
        <w:rPr>
          <w:rFonts w:hint="eastAsia" w:asciiTheme="minorEastAsia" w:hAnsiTheme="minorEastAsia" w:eastAsiaTheme="minorEastAsia" w:cstheme="minorEastAsia"/>
          <w:b/>
          <w:bCs/>
          <w:color w:val="auto"/>
          <w:sz w:val="21"/>
          <w:szCs w:val="21"/>
          <w:highlight w:val="none"/>
          <w:u w:val="single"/>
          <w:shd w:val="pct10" w:color="auto" w:fill="FFFFFF"/>
        </w:rPr>
        <w:t>未在规定时间内提交最后报价的为无效标；</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u w:val="single"/>
          <w:shd w:val="pct10" w:color="auto" w:fill="FFFFFF"/>
        </w:rPr>
        <w:t>报价明细表中的最终单价根据初次总报价和最后总报价之间的下浮率作相应的下浮。</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9、磋商小组</w:t>
      </w:r>
      <w:bookmarkStart w:id="30" w:name="_Hlk4052304"/>
      <w:r>
        <w:rPr>
          <w:rFonts w:hint="eastAsia" w:asciiTheme="minorEastAsia" w:hAnsiTheme="minorEastAsia" w:eastAsiaTheme="minorEastAsia" w:cstheme="minorEastAsia"/>
          <w:color w:val="auto"/>
          <w:sz w:val="21"/>
          <w:szCs w:val="21"/>
          <w:highlight w:val="none"/>
        </w:rPr>
        <w:t>对提交最后报价</w:t>
      </w:r>
      <w:bookmarkStart w:id="31" w:name="_Hlk4052265"/>
      <w:r>
        <w:rPr>
          <w:rFonts w:hint="eastAsia" w:asciiTheme="minorEastAsia" w:hAnsiTheme="minorEastAsia" w:eastAsiaTheme="minorEastAsia" w:cstheme="minorEastAsia"/>
          <w:color w:val="auto"/>
          <w:sz w:val="21"/>
          <w:szCs w:val="21"/>
          <w:highlight w:val="none"/>
        </w:rPr>
        <w:t>供应商的</w:t>
      </w:r>
      <w:bookmarkStart w:id="32" w:name="_Hlk61427018"/>
      <w:r>
        <w:rPr>
          <w:rFonts w:hint="eastAsia" w:asciiTheme="minorEastAsia" w:hAnsiTheme="minorEastAsia" w:eastAsiaTheme="minorEastAsia" w:cstheme="minorEastAsia"/>
          <w:color w:val="auto"/>
          <w:sz w:val="21"/>
          <w:szCs w:val="21"/>
          <w:highlight w:val="none"/>
        </w:rPr>
        <w:t>商务技术文件</w:t>
      </w:r>
      <w:bookmarkEnd w:id="32"/>
      <w:r>
        <w:rPr>
          <w:rFonts w:hint="eastAsia" w:asciiTheme="minorEastAsia" w:hAnsiTheme="minorEastAsia" w:eastAsiaTheme="minorEastAsia" w:cstheme="minorEastAsia"/>
          <w:color w:val="auto"/>
          <w:sz w:val="21"/>
          <w:szCs w:val="21"/>
          <w:highlight w:val="none"/>
        </w:rPr>
        <w:t>进行</w:t>
      </w:r>
      <w:bookmarkEnd w:id="31"/>
      <w:r>
        <w:rPr>
          <w:rFonts w:hint="eastAsia" w:asciiTheme="minorEastAsia" w:hAnsiTheme="minorEastAsia" w:eastAsiaTheme="minorEastAsia" w:cstheme="minorEastAsia"/>
          <w:color w:val="auto"/>
          <w:sz w:val="21"/>
          <w:szCs w:val="21"/>
          <w:highlight w:val="none"/>
        </w:rPr>
        <w:t>综合评分</w:t>
      </w:r>
      <w:bookmarkEnd w:id="30"/>
      <w:r>
        <w:rPr>
          <w:rFonts w:hint="eastAsia" w:asciiTheme="minorEastAsia" w:hAnsiTheme="minorEastAsia" w:eastAsiaTheme="minorEastAsia" w:cstheme="minorEastAsia"/>
          <w:color w:val="auto"/>
          <w:sz w:val="21"/>
          <w:szCs w:val="21"/>
          <w:highlight w:val="none"/>
        </w:rPr>
        <w:t>；</w:t>
      </w:r>
    </w:p>
    <w:p>
      <w:pPr>
        <w:pStyle w:val="29"/>
        <w:snapToGrid w:val="0"/>
        <w:spacing w:beforeLines="0" w:afterLines="0" w:line="360" w:lineRule="auto"/>
        <w:ind w:firstLine="420" w:firstLineChars="200"/>
        <w:rPr>
          <w:rFonts w:hint="eastAsia" w:asciiTheme="minorEastAsia" w:hAnsiTheme="minorEastAsia" w:eastAsiaTheme="minorEastAsia" w:cstheme="minorEastAsia"/>
          <w:b/>
          <w:bCs/>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10.由主持人公布商务技术文件无效的供应商名单、投标无效的原因及其他有效投标的商务技术文件评分汇总分；</w:t>
      </w:r>
      <w:r>
        <w:rPr>
          <w:rFonts w:hint="eastAsia" w:asciiTheme="minorEastAsia" w:hAnsiTheme="minorEastAsia" w:eastAsiaTheme="minorEastAsia" w:cstheme="minorEastAsia"/>
          <w:b/>
          <w:bCs/>
          <w:color w:val="auto"/>
          <w:sz w:val="21"/>
          <w:szCs w:val="21"/>
          <w:highlight w:val="none"/>
          <w:u w:val="single"/>
          <w:shd w:val="pct10" w:color="auto" w:fill="FFFFFF"/>
        </w:rPr>
        <w:t>供应商可通过政采云平台及临海市公共资源交易中心视频直播平台查看评审结果，请各供应商注意收看；</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11.开启报价响应文件，</w:t>
      </w:r>
      <w:r>
        <w:rPr>
          <w:rFonts w:hint="eastAsia" w:asciiTheme="minorEastAsia" w:hAnsiTheme="minorEastAsia" w:eastAsiaTheme="minorEastAsia" w:cstheme="minorEastAsia"/>
          <w:b/>
          <w:bCs/>
          <w:color w:val="auto"/>
          <w:sz w:val="21"/>
          <w:szCs w:val="21"/>
          <w:highlight w:val="none"/>
          <w:u w:val="single"/>
        </w:rPr>
        <w:t>代理机构在线公布开标一览表有关内容，供应商应在10分钟内在线签字确认（不予确认或超时确认的应说明原因，否则视为无异议）；</w:t>
      </w:r>
    </w:p>
    <w:p>
      <w:pPr>
        <w:pStyle w:val="29"/>
        <w:snapToGrid w:val="0"/>
        <w:spacing w:beforeLines="0" w:afterLines="0" w:line="360" w:lineRule="auto"/>
        <w:ind w:left="689" w:leftChars="228" w:hanging="210" w:hanging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12.报价文件评审,</w:t>
      </w:r>
      <w:r>
        <w:rPr>
          <w:rFonts w:hint="eastAsia" w:asciiTheme="minorEastAsia" w:hAnsiTheme="minorEastAsia" w:eastAsiaTheme="minorEastAsia" w:cstheme="minorEastAsia"/>
          <w:b/>
          <w:bCs/>
          <w:color w:val="auto"/>
          <w:sz w:val="21"/>
          <w:szCs w:val="21"/>
          <w:highlight w:val="none"/>
        </w:rPr>
        <w:t>审核各供应商小微企业情况；</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13．由主持人公布报价文件无效的供应商名单、投标无效的原因及其他有效投标的报价文件得分；</w:t>
      </w:r>
    </w:p>
    <w:p>
      <w:pPr>
        <w:pStyle w:val="29"/>
        <w:snapToGrid w:val="0"/>
        <w:spacing w:beforeLines="0" w:afterLines="0" w:line="360" w:lineRule="auto"/>
        <w:ind w:firstLine="420" w:firstLineChars="200"/>
        <w:rPr>
          <w:rFonts w:hint="eastAsia" w:asciiTheme="minorEastAsia" w:hAnsiTheme="minorEastAsia" w:eastAsiaTheme="minorEastAsia" w:cstheme="minorEastAsia"/>
          <w:b/>
          <w:bCs/>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14．宣布综合</w:t>
      </w:r>
      <w:bookmarkStart w:id="33" w:name="_Hlk59371720"/>
      <w:r>
        <w:rPr>
          <w:rFonts w:hint="eastAsia" w:asciiTheme="minorEastAsia" w:hAnsiTheme="minorEastAsia" w:eastAsiaTheme="minorEastAsia" w:cstheme="minorEastAsia"/>
          <w:color w:val="auto"/>
          <w:sz w:val="21"/>
          <w:szCs w:val="21"/>
          <w:highlight w:val="none"/>
        </w:rPr>
        <w:t>得分结果</w:t>
      </w:r>
      <w:bookmarkEnd w:id="33"/>
      <w:r>
        <w:rPr>
          <w:rFonts w:hint="eastAsia" w:asciiTheme="minorEastAsia" w:hAnsiTheme="minorEastAsia" w:eastAsiaTheme="minorEastAsia" w:cstheme="minorEastAsia"/>
          <w:color w:val="auto"/>
          <w:sz w:val="21"/>
          <w:szCs w:val="21"/>
          <w:highlight w:val="none"/>
        </w:rPr>
        <w:t>及成交候选人名单。</w:t>
      </w:r>
      <w:r>
        <w:rPr>
          <w:rFonts w:hint="eastAsia" w:asciiTheme="minorEastAsia" w:hAnsiTheme="minorEastAsia" w:eastAsiaTheme="minorEastAsia" w:cstheme="minorEastAsia"/>
          <w:b/>
          <w:bCs/>
          <w:color w:val="auto"/>
          <w:sz w:val="21"/>
          <w:szCs w:val="21"/>
          <w:highlight w:val="none"/>
          <w:u w:val="single"/>
          <w:shd w:val="pct10" w:color="auto" w:fill="FFFFFF"/>
        </w:rPr>
        <w:t>供应商可通过</w:t>
      </w:r>
      <w:bookmarkStart w:id="34" w:name="_Hlk59626287"/>
      <w:r>
        <w:rPr>
          <w:rFonts w:hint="eastAsia" w:asciiTheme="minorEastAsia" w:hAnsiTheme="minorEastAsia" w:eastAsiaTheme="minorEastAsia" w:cstheme="minorEastAsia"/>
          <w:b/>
          <w:bCs/>
          <w:color w:val="auto"/>
          <w:sz w:val="21"/>
          <w:szCs w:val="21"/>
          <w:highlight w:val="none"/>
          <w:u w:val="single"/>
          <w:shd w:val="pct10" w:color="auto" w:fill="FFFFFF"/>
        </w:rPr>
        <w:t>政采云平台及</w:t>
      </w:r>
      <w:bookmarkEnd w:id="34"/>
      <w:r>
        <w:rPr>
          <w:rFonts w:hint="eastAsia" w:asciiTheme="minorEastAsia" w:hAnsiTheme="minorEastAsia" w:eastAsiaTheme="minorEastAsia" w:cstheme="minorEastAsia"/>
          <w:b/>
          <w:bCs/>
          <w:color w:val="auto"/>
          <w:sz w:val="21"/>
          <w:szCs w:val="21"/>
          <w:highlight w:val="none"/>
          <w:u w:val="single"/>
          <w:shd w:val="pct10" w:color="auto" w:fill="FFFFFF"/>
        </w:rPr>
        <w:t>临海市公共资源交易中心视频直播平台查看评审结果，请各供应商注意收看；</w:t>
      </w:r>
    </w:p>
    <w:p>
      <w:pPr>
        <w:pStyle w:val="29"/>
        <w:snapToGrid w:val="0"/>
        <w:spacing w:beforeLines="0" w:afterLines="0" w:line="360" w:lineRule="auto"/>
        <w:ind w:left="689" w:leftChars="228" w:hanging="210" w:hanging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15．磋商会议结束。</w:t>
      </w:r>
    </w:p>
    <w:p>
      <w:pPr>
        <w:snapToGrid w:val="0"/>
        <w:spacing w:line="360" w:lineRule="auto"/>
        <w:ind w:firstLine="211" w:firstLineChars="100"/>
        <w:rPr>
          <w:rFonts w:hint="eastAsia" w:asciiTheme="minorEastAsia" w:hAnsiTheme="minorEastAsia" w:eastAsiaTheme="minorEastAsia" w:cstheme="minorEastAsia"/>
          <w:b/>
          <w:color w:val="auto"/>
          <w:sz w:val="21"/>
          <w:szCs w:val="21"/>
          <w:highlight w:val="none"/>
        </w:rPr>
      </w:pPr>
      <w:bookmarkStart w:id="35" w:name="_Hlk60950411"/>
      <w:r>
        <w:rPr>
          <w:rFonts w:hint="eastAsia" w:asciiTheme="minorEastAsia" w:hAnsiTheme="minorEastAsia" w:eastAsiaTheme="minorEastAsia" w:cstheme="minorEastAsia"/>
          <w:b/>
          <w:color w:val="auto"/>
          <w:sz w:val="21"/>
          <w:szCs w:val="21"/>
          <w:highlight w:val="none"/>
        </w:rPr>
        <w:t>（四）澄清问题的形式</w:t>
      </w:r>
    </w:p>
    <w:p>
      <w:pPr>
        <w:pStyle w:val="29"/>
        <w:snapToGrid w:val="0"/>
        <w:spacing w:beforeLines="0" w:afterLines="0" w:line="360" w:lineRule="auto"/>
        <w:ind w:firstLine="420" w:firstLineChars="200"/>
        <w:rPr>
          <w:rFonts w:hint="eastAsia" w:asciiTheme="minorEastAsia" w:hAnsiTheme="minorEastAsia" w:eastAsiaTheme="minorEastAsia" w:cstheme="minorEastAsia"/>
          <w:b/>
          <w:bCs/>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对响应文件中含义不明确、同类问题表述不一致或者有明显文字和计算错误的内容，磋商小组可要求供应商作出必要的</w:t>
      </w:r>
      <w:bookmarkStart w:id="36" w:name="_Hlk59372079"/>
      <w:r>
        <w:rPr>
          <w:rFonts w:hint="eastAsia" w:asciiTheme="minorEastAsia" w:hAnsiTheme="minorEastAsia" w:eastAsiaTheme="minorEastAsia" w:cstheme="minorEastAsia"/>
          <w:color w:val="auto"/>
          <w:sz w:val="21"/>
          <w:szCs w:val="21"/>
          <w:highlight w:val="none"/>
        </w:rPr>
        <w:t>澄清、说明</w:t>
      </w:r>
      <w:bookmarkEnd w:id="36"/>
      <w:r>
        <w:rPr>
          <w:rFonts w:hint="eastAsia" w:asciiTheme="minorEastAsia" w:hAnsiTheme="minorEastAsia" w:eastAsiaTheme="minorEastAsia" w:cstheme="minorEastAsia"/>
          <w:color w:val="auto"/>
          <w:sz w:val="21"/>
          <w:szCs w:val="21"/>
          <w:highlight w:val="none"/>
        </w:rPr>
        <w:t>或者补正。磋商小组的澄清内容及供应商的澄清、说明或者补正均通过</w:t>
      </w:r>
      <w:bookmarkStart w:id="37" w:name="_Hlk59371846"/>
      <w:r>
        <w:rPr>
          <w:rFonts w:hint="eastAsia" w:asciiTheme="minorEastAsia" w:hAnsiTheme="minorEastAsia" w:eastAsiaTheme="minorEastAsia" w:cstheme="minorEastAsia"/>
          <w:color w:val="auto"/>
          <w:sz w:val="21"/>
          <w:szCs w:val="21"/>
          <w:highlight w:val="none"/>
        </w:rPr>
        <w:t>政采云电子交易平台交换数据电文。</w:t>
      </w:r>
      <w:bookmarkEnd w:id="37"/>
      <w:bookmarkStart w:id="38" w:name="_Hlk59700505"/>
      <w:r>
        <w:rPr>
          <w:rFonts w:hint="eastAsia" w:asciiTheme="minorEastAsia" w:hAnsiTheme="minorEastAsia" w:eastAsiaTheme="minorEastAsia" w:cstheme="minorEastAsia"/>
          <w:b/>
          <w:bCs/>
          <w:color w:val="auto"/>
          <w:sz w:val="21"/>
          <w:szCs w:val="21"/>
          <w:highlight w:val="none"/>
        </w:rPr>
        <w:t>同时采购代理机构也将通过临海市公共资源交易中心视频直播平台、</w:t>
      </w:r>
      <w:bookmarkStart w:id="39" w:name="_Hlk59371920"/>
      <w:r>
        <w:rPr>
          <w:rFonts w:hint="eastAsia" w:asciiTheme="minorEastAsia" w:hAnsiTheme="minorEastAsia" w:eastAsiaTheme="minorEastAsia" w:cstheme="minorEastAsia"/>
          <w:b/>
          <w:bCs/>
          <w:color w:val="auto"/>
          <w:sz w:val="21"/>
          <w:szCs w:val="21"/>
          <w:highlight w:val="none"/>
        </w:rPr>
        <w:t>政采云视频询标（视频讲标）系统协助进行问题澄清。</w:t>
      </w:r>
      <w:r>
        <w:rPr>
          <w:rFonts w:hint="eastAsia" w:asciiTheme="minorEastAsia" w:hAnsiTheme="minorEastAsia" w:eastAsiaTheme="minorEastAsia" w:cstheme="minorEastAsia"/>
          <w:b/>
          <w:bCs/>
          <w:color w:val="auto"/>
          <w:sz w:val="21"/>
          <w:szCs w:val="21"/>
          <w:highlight w:val="none"/>
          <w:u w:val="single"/>
          <w:shd w:val="pct10" w:color="auto" w:fill="FFFFFF"/>
        </w:rPr>
        <w:t>政采云视频询标（视频讲标）系统在询标时需要供应商电脑配置有摄像头、音箱和必要的网络带宽，请供应商予以提前准备（浏览器建议用谷歌浏览器，网络带宽不少于50兆，请勿用无线，以免出现卡顿现象）。</w:t>
      </w:r>
      <w:bookmarkEnd w:id="38"/>
    </w:p>
    <w:bookmarkEnd w:id="39"/>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磋商小组发出澄清内容后，供应商应当在采购代理机构及政采云平台上</w:t>
      </w:r>
      <w:r>
        <w:rPr>
          <w:rFonts w:hint="eastAsia" w:asciiTheme="minorEastAsia" w:hAnsiTheme="minorEastAsia" w:eastAsiaTheme="minorEastAsia" w:cstheme="minorEastAsia"/>
          <w:b/>
          <w:bCs/>
          <w:color w:val="auto"/>
          <w:sz w:val="21"/>
          <w:szCs w:val="21"/>
          <w:highlight w:val="none"/>
          <w:u w:val="single"/>
          <w:shd w:val="pct10" w:color="auto" w:fill="FFFFFF"/>
        </w:rPr>
        <w:t>规定的时间内（30分钟，具体时间以政采云系统上显示的时间为准）</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提交澄清说明或补正，否则视为供应商放弃答复，并自行承担因此而产生的不利后果。澄清、说明或者补正不得超出响应文件的范围或者改变响应文件的实质性内容。</w:t>
      </w:r>
    </w:p>
    <w:p>
      <w:pPr>
        <w:snapToGrid w:val="0"/>
        <w:spacing w:line="360" w:lineRule="auto"/>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（五）错误修正</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磋商响应文件报价出现前后不一致的，按照下列规定修正：</w:t>
      </w:r>
    </w:p>
    <w:p>
      <w:pPr>
        <w:snapToGrid w:val="0"/>
        <w:spacing w:line="360" w:lineRule="auto"/>
        <w:ind w:firstLine="420" w:firstLineChars="200"/>
        <w:rPr>
          <w:rFonts w:hint="eastAsia" w:asciiTheme="minorEastAsia" w:hAnsiTheme="minorEastAsia" w:eastAsiaTheme="minorEastAsia" w:cstheme="minorEastAsia"/>
          <w:b/>
          <w:bCs/>
          <w:color w:val="auto"/>
          <w:sz w:val="21"/>
          <w:szCs w:val="21"/>
          <w:highlight w:val="none"/>
          <w:u w:val="single"/>
          <w:shd w:val="pct10" w:color="auto" w:fill="FFFFFF"/>
        </w:rPr>
      </w:pPr>
      <w:r>
        <w:rPr>
          <w:rFonts w:hint="eastAsia" w:asciiTheme="minorEastAsia" w:hAnsiTheme="minorEastAsia" w:eastAsiaTheme="minorEastAsia" w:cstheme="minorEastAsia"/>
          <w:color w:val="auto"/>
          <w:sz w:val="21"/>
          <w:szCs w:val="21"/>
          <w:highlight w:val="none"/>
        </w:rPr>
        <w:t>（一）磋商响应文件中</w:t>
      </w:r>
      <w:bookmarkStart w:id="40" w:name="_Hlk61427222"/>
      <w:r>
        <w:rPr>
          <w:rFonts w:hint="eastAsia" w:asciiTheme="minorEastAsia" w:hAnsiTheme="minorEastAsia" w:eastAsiaTheme="minorEastAsia" w:cstheme="minorEastAsia"/>
          <w:color w:val="auto"/>
          <w:sz w:val="21"/>
          <w:szCs w:val="21"/>
          <w:highlight w:val="none"/>
        </w:rPr>
        <w:t>开标一览表</w:t>
      </w:r>
      <w:bookmarkEnd w:id="40"/>
      <w:r>
        <w:rPr>
          <w:rFonts w:hint="eastAsia" w:asciiTheme="minorEastAsia" w:hAnsiTheme="minorEastAsia" w:eastAsiaTheme="minorEastAsia" w:cstheme="minorEastAsia"/>
          <w:color w:val="auto"/>
          <w:sz w:val="21"/>
          <w:szCs w:val="21"/>
          <w:highlight w:val="none"/>
        </w:rPr>
        <w:t>内容与磋商响应文件中相应内容不一致的，以开标一览表为准；</w:t>
      </w:r>
      <w:bookmarkStart w:id="41" w:name="_Hlk78209380"/>
      <w:r>
        <w:rPr>
          <w:rFonts w:hint="eastAsia" w:asciiTheme="minorEastAsia" w:hAnsiTheme="minorEastAsia" w:eastAsiaTheme="minorEastAsia" w:cstheme="minorEastAsia"/>
          <w:b/>
          <w:bCs/>
          <w:color w:val="auto"/>
          <w:sz w:val="21"/>
          <w:szCs w:val="21"/>
          <w:highlight w:val="none"/>
          <w:u w:val="single"/>
          <w:shd w:val="pct10" w:color="auto" w:fill="FFFFFF"/>
        </w:rPr>
        <w:t>政采云平台客户端里开标一览表录入的投标报价信息与扫描上传的报价响应文件中开标一览表的报价信息不一致的，以扫描上传的报价响应文件中开标一览表的报价信息为准，修正政采云平台上的报价信息。</w:t>
      </w:r>
      <w:bookmarkEnd w:id="41"/>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bookmarkStart w:id="42" w:name="_Hlk81829635"/>
      <w:r>
        <w:rPr>
          <w:rFonts w:hint="eastAsia" w:asciiTheme="minorEastAsia" w:hAnsiTheme="minorEastAsia" w:eastAsiaTheme="minorEastAsia" w:cstheme="minorEastAsia"/>
          <w:color w:val="auto"/>
          <w:sz w:val="21"/>
          <w:szCs w:val="21"/>
          <w:highlight w:val="none"/>
        </w:rPr>
        <w:t>（二）</w:t>
      </w:r>
      <w:bookmarkEnd w:id="42"/>
      <w:r>
        <w:rPr>
          <w:rFonts w:hint="eastAsia" w:asciiTheme="minorEastAsia" w:hAnsiTheme="minorEastAsia" w:eastAsiaTheme="minorEastAsia" w:cstheme="minorEastAsia"/>
          <w:color w:val="auto"/>
          <w:sz w:val="21"/>
          <w:szCs w:val="21"/>
          <w:highlight w:val="none"/>
        </w:rPr>
        <w:t>大写金额和小写金额不一致的，以大写金额为准；</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（三）单价金额小数点或者百分比有明显错位的，以开标一览表的总价为准，并修改单价；</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（四）总价金额与按单价汇总金额不一致的，以单价金额计算结果为准。</w:t>
      </w:r>
    </w:p>
    <w:p>
      <w:pPr>
        <w:pStyle w:val="46"/>
        <w:spacing w:before="0" w:beforeAutospacing="0" w:after="0" w:afterAutospacing="0" w:line="360" w:lineRule="auto"/>
        <w:ind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时出现两种以上不一致的，按照前款规定的顺序修正。修正应当采用书面形式，并加盖公章，或者由法定代表人或其授权的代表签字。修正后的报价经磋商供应商确认后产生约束力，磋商供应商不确认的，则其投标将作为无效投标处理。</w:t>
      </w:r>
    </w:p>
    <w:bookmarkEnd w:id="35"/>
    <w:p>
      <w:pPr>
        <w:pStyle w:val="29"/>
        <w:tabs>
          <w:tab w:val="left" w:pos="630"/>
        </w:tabs>
        <w:snapToGrid w:val="0"/>
        <w:spacing w:beforeLines="0" w:afterLines="0" w:line="360" w:lineRule="auto"/>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（六）评标原则和评标办法</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标原则。磋商小组必须公平、公正、客观，不带任何倾向性和启发性；不得向外界透露任何与评标有关的内容；任何单位和个人不得干扰、影响评标的正常进行；磋商小组及有关工作人员不得私下与磋商供应商接触。</w:t>
      </w:r>
    </w:p>
    <w:p>
      <w:pPr>
        <w:pStyle w:val="29"/>
        <w:snapToGrid w:val="0"/>
        <w:spacing w:beforeLines="0" w:afterLines="0"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2.评标办法。本项目评标办法是</w:t>
      </w:r>
      <w:r>
        <w:rPr>
          <w:rFonts w:hint="eastAsia" w:asciiTheme="minorEastAsia" w:hAnsiTheme="minorEastAsia" w:eastAsiaTheme="minorEastAsia" w:cstheme="minorEastAsia"/>
          <w:b/>
          <w:color w:val="auto"/>
          <w:sz w:val="21"/>
          <w:szCs w:val="21"/>
          <w:highlight w:val="none"/>
          <w:u w:val="single"/>
        </w:rPr>
        <w:t>综合评分法</w:t>
      </w:r>
      <w:r>
        <w:rPr>
          <w:rFonts w:hint="eastAsia" w:asciiTheme="minorEastAsia" w:hAnsiTheme="minorEastAsia" w:eastAsiaTheme="minorEastAsia" w:cstheme="minorEastAsia"/>
          <w:color w:val="auto"/>
          <w:sz w:val="21"/>
          <w:szCs w:val="21"/>
          <w:highlight w:val="none"/>
        </w:rPr>
        <w:t>，具体评标内容及评分标准等详见《第四章：评标办法及评分标准》。</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五、成交结果确定</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（一）确定成交供应商</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1.招标人在评标结束后2个工作日内将评标报告交采购人确认，同时在发布招标公告的网站上对成</w:t>
      </w:r>
      <w:r>
        <w:rPr>
          <w:rFonts w:hint="eastAsia" w:asciiTheme="minorEastAsia" w:hAnsiTheme="minorEastAsia" w:eastAsiaTheme="minorEastAsia" w:cstheme="minorEastAsia"/>
          <w:color w:val="auto"/>
          <w:sz w:val="21"/>
          <w:szCs w:val="21"/>
          <w:highlight w:val="none"/>
        </w:rPr>
        <w:t>交结果进行公示</w:t>
      </w:r>
      <w:bookmarkStart w:id="43" w:name="_Hlk78207387"/>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shd w:val="pct10" w:color="auto" w:fill="FFFFFF"/>
        </w:rPr>
        <w:t>预</w:t>
      </w:r>
      <w:r>
        <w:rPr>
          <w:rFonts w:hint="eastAsia" w:asciiTheme="minorEastAsia" w:hAnsiTheme="minorEastAsia" w:eastAsiaTheme="minorEastAsia" w:cstheme="minorEastAsia"/>
          <w:b/>
          <w:bCs/>
          <w:color w:val="auto"/>
          <w:sz w:val="21"/>
          <w:szCs w:val="21"/>
          <w:highlight w:val="none"/>
          <w:u w:val="single"/>
          <w:shd w:val="pct10" w:color="auto" w:fill="FFFFFF"/>
        </w:rPr>
        <w:t>成交供应商享受小微企业报价优惠扣除的，将在预成交公示中公开预成交供应商的《中小企业声明函》</w:t>
      </w:r>
      <w:bookmarkEnd w:id="43"/>
      <w:r>
        <w:rPr>
          <w:rFonts w:hint="eastAsia" w:asciiTheme="minorEastAsia" w:hAnsiTheme="minorEastAsia" w:eastAsiaTheme="minorEastAsia" w:cstheme="minorEastAsia"/>
          <w:color w:val="auto"/>
          <w:sz w:val="21"/>
          <w:szCs w:val="21"/>
          <w:highlight w:val="none"/>
        </w:rPr>
        <w:t>。</w:t>
      </w:r>
      <w:bookmarkStart w:id="44" w:name="_Hlk59627457"/>
      <w:r>
        <w:rPr>
          <w:rFonts w:hint="eastAsia" w:asciiTheme="minorEastAsia" w:hAnsiTheme="minorEastAsia" w:eastAsiaTheme="minorEastAsia" w:cstheme="minorEastAsia"/>
          <w:b/>
          <w:bCs/>
          <w:color w:val="auto"/>
          <w:sz w:val="21"/>
          <w:szCs w:val="21"/>
          <w:highlight w:val="none"/>
          <w:u w:val="single"/>
        </w:rPr>
        <w:t>采购结果公示及公告期间,供应商不得通过非正当途径，更不得通过非正当手段获取法律法规规定磋商小组(包括其他相关人员)应当保密的相关内容。即使由此获得资料并作为向采购人（采购代理机构）或监督管理部门提出异议、质疑、投诉或法院起诉的依据，均属于非法获取的依据。</w:t>
      </w:r>
      <w:bookmarkEnd w:id="44"/>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2.供应商对成交结果无异议的，采购人应在收到评标报告后5个工作日内对成交结果进行确认。如有磋商供应商对成交结果提出质疑的，采购人可在质疑处理完毕后确定成交供应商。</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3.采购人依法确定成交供应商后2个工作日内，招标人以书面形式发出《成交通知书》,并同时在相关网站上发布成交公告。</w:t>
      </w:r>
      <w:bookmarkStart w:id="45" w:name="_Hlk59369379"/>
      <w:bookmarkStart w:id="46" w:name="_Hlk59627548"/>
      <w:r>
        <w:rPr>
          <w:rFonts w:hint="eastAsia" w:asciiTheme="minorEastAsia" w:hAnsiTheme="minorEastAsia" w:eastAsiaTheme="minorEastAsia" w:cstheme="minorEastAsia"/>
          <w:b/>
          <w:bCs/>
          <w:color w:val="auto"/>
          <w:sz w:val="21"/>
          <w:szCs w:val="21"/>
          <w:highlight w:val="none"/>
          <w:u w:val="single"/>
          <w:shd w:val="pct10" w:color="auto" w:fill="FFFFFF"/>
        </w:rPr>
        <w:t>为营造更优质的营商环境，</w:t>
      </w:r>
      <w:bookmarkStart w:id="47" w:name="_Hlk59708763"/>
      <w:r>
        <w:rPr>
          <w:rFonts w:hint="eastAsia" w:asciiTheme="minorEastAsia" w:hAnsiTheme="minorEastAsia" w:eastAsiaTheme="minorEastAsia" w:cstheme="minorEastAsia"/>
          <w:b/>
          <w:bCs/>
          <w:color w:val="auto"/>
          <w:sz w:val="21"/>
          <w:szCs w:val="21"/>
          <w:highlight w:val="none"/>
          <w:u w:val="single"/>
          <w:shd w:val="pct10" w:color="auto" w:fill="FFFFFF"/>
        </w:rPr>
        <w:t>成交人可选择采购代理机构以邮寄方式向其寄达《成交通知书》（邮寄地址、收件人等信息请在“投标函”中详细写明，邮费可到付）。</w:t>
      </w:r>
      <w:bookmarkEnd w:id="47"/>
      <w:bookmarkStart w:id="48" w:name="_Hlk59708451"/>
      <w:r>
        <w:rPr>
          <w:rFonts w:hint="eastAsia" w:asciiTheme="minorEastAsia" w:hAnsiTheme="minorEastAsia" w:eastAsiaTheme="minorEastAsia" w:cstheme="minorEastAsia"/>
          <w:b/>
          <w:bCs/>
          <w:color w:val="auto"/>
          <w:sz w:val="21"/>
          <w:szCs w:val="21"/>
          <w:highlight w:val="none"/>
          <w:u w:val="single"/>
          <w:shd w:val="pct10" w:color="auto" w:fill="FFFFFF"/>
        </w:rPr>
        <w:t>同时成交人应在成交后</w:t>
      </w:r>
      <w:bookmarkStart w:id="49" w:name="_Hlk59521069"/>
      <w:r>
        <w:rPr>
          <w:rFonts w:hint="eastAsia" w:asciiTheme="minorEastAsia" w:hAnsiTheme="minorEastAsia" w:eastAsiaTheme="minorEastAsia" w:cstheme="minorEastAsia"/>
          <w:b/>
          <w:bCs/>
          <w:color w:val="auto"/>
          <w:sz w:val="21"/>
          <w:szCs w:val="21"/>
          <w:highlight w:val="none"/>
          <w:u w:val="single"/>
          <w:shd w:val="pct10" w:color="auto" w:fill="FFFFFF"/>
        </w:rPr>
        <w:t>以邮寄</w:t>
      </w:r>
      <w:bookmarkEnd w:id="49"/>
      <w:r>
        <w:rPr>
          <w:rFonts w:hint="eastAsia" w:asciiTheme="minorEastAsia" w:hAnsiTheme="minorEastAsia" w:eastAsiaTheme="minorEastAsia" w:cstheme="minorEastAsia"/>
          <w:b/>
          <w:bCs/>
          <w:color w:val="auto"/>
          <w:sz w:val="21"/>
          <w:szCs w:val="21"/>
          <w:highlight w:val="none"/>
          <w:u w:val="single"/>
          <w:shd w:val="pct10" w:color="auto" w:fill="FFFFFF"/>
        </w:rPr>
        <w:t>或其他方式向</w:t>
      </w:r>
      <w:bookmarkStart w:id="50" w:name="_Hlk59521051"/>
      <w:r>
        <w:rPr>
          <w:rFonts w:hint="eastAsia" w:asciiTheme="minorEastAsia" w:hAnsiTheme="minorEastAsia" w:eastAsiaTheme="minorEastAsia" w:cstheme="minorEastAsia"/>
          <w:b/>
          <w:bCs/>
          <w:color w:val="auto"/>
          <w:sz w:val="21"/>
          <w:szCs w:val="21"/>
          <w:highlight w:val="none"/>
          <w:u w:val="single"/>
          <w:shd w:val="pct10" w:color="auto" w:fill="FFFFFF"/>
        </w:rPr>
        <w:t>采购代理机构</w:t>
      </w:r>
      <w:bookmarkEnd w:id="50"/>
      <w:r>
        <w:rPr>
          <w:rFonts w:hint="eastAsia" w:asciiTheme="minorEastAsia" w:hAnsiTheme="minorEastAsia" w:eastAsiaTheme="minorEastAsia" w:cstheme="minorEastAsia"/>
          <w:b/>
          <w:bCs/>
          <w:color w:val="auto"/>
          <w:sz w:val="21"/>
          <w:szCs w:val="21"/>
          <w:highlight w:val="none"/>
          <w:u w:val="single"/>
          <w:shd w:val="pct10" w:color="auto" w:fill="FFFFFF"/>
        </w:rPr>
        <w:t>提供3套与电子版响应文件相同的胶装版本磋商响应文件。</w:t>
      </w:r>
      <w:bookmarkEnd w:id="45"/>
      <w:bookmarkEnd w:id="46"/>
      <w:bookmarkEnd w:id="48"/>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4.定标中，应坚持第一成交候选人为首选成交供应商，但出现其它原因的，采购人可以直接确定排名第二的候选人为成交供应商，</w:t>
      </w:r>
      <w:r>
        <w:rPr>
          <w:rFonts w:hint="eastAsia" w:asciiTheme="minorEastAsia" w:hAnsiTheme="minorEastAsia" w:eastAsiaTheme="minorEastAsia" w:cstheme="minorEastAsia"/>
          <w:b/>
          <w:color w:val="auto"/>
          <w:sz w:val="21"/>
          <w:szCs w:val="21"/>
          <w:highlight w:val="none"/>
        </w:rPr>
        <w:t>或重新组织招标。</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5.采购人在确定第二成交候选人为成交供应商的，应当在确定前向</w:t>
      </w:r>
      <w:r>
        <w:rPr>
          <w:rFonts w:hint="eastAsia" w:asciiTheme="minorEastAsia" w:hAnsiTheme="minorEastAsia" w:eastAsiaTheme="minorEastAsia" w:cstheme="minorEastAsia"/>
          <w:b/>
          <w:color w:val="auto"/>
          <w:sz w:val="21"/>
          <w:szCs w:val="21"/>
          <w:highlight w:val="none"/>
        </w:rPr>
        <w:t>临海市财政局</w:t>
      </w:r>
      <w:r>
        <w:rPr>
          <w:rFonts w:hint="eastAsia" w:asciiTheme="minorEastAsia" w:hAnsiTheme="minorEastAsia" w:eastAsiaTheme="minorEastAsia" w:cstheme="minorEastAsia"/>
          <w:color w:val="auto"/>
          <w:sz w:val="21"/>
          <w:szCs w:val="21"/>
          <w:highlight w:val="none"/>
        </w:rPr>
        <w:t>报告说明。</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根据《政府采购法》第四十六条之规定：中标通知书发出后，中标供应商放弃中标项目的，应当依法承担法律责任。《政府采购法实施条例》第72条第二款之规定：中标或者成交后无正当理由拒不与采购人签订政府采购合同的，供应商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采购文件明确：如给采购人造成损失的，弃标供应商依法应当承担赔偿责任，包括重新采购所需的费用、顺延第二名可能产生的差价等。采购单位可以采取不予退还弃标供应商的履约保证金等方式，若上述不足以赔偿损失的，采购人可以要求弃标供应商赔偿实际损失。若协商不成的，采购人可以报财政部门处理或者通过法院诉讼的方式追偿。</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六、合同授予</w:t>
      </w:r>
    </w:p>
    <w:p>
      <w:pPr>
        <w:snapToGrid w:val="0"/>
        <w:spacing w:line="360" w:lineRule="auto"/>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（一）签订合同</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1.采购人与成交供应商</w:t>
      </w:r>
      <w:r>
        <w:rPr>
          <w:rFonts w:hint="eastAsia" w:asciiTheme="minorEastAsia" w:hAnsiTheme="minorEastAsia" w:eastAsiaTheme="minorEastAsia" w:cstheme="minorEastAsia"/>
          <w:b/>
          <w:color w:val="auto"/>
          <w:sz w:val="21"/>
          <w:szCs w:val="21"/>
          <w:highlight w:val="none"/>
        </w:rPr>
        <w:t>应当在《成交通知书》发出之日起30日内签订政府采</w:t>
      </w:r>
      <w:r>
        <w:rPr>
          <w:rFonts w:hint="eastAsia" w:asciiTheme="minorEastAsia" w:hAnsiTheme="minorEastAsia" w:eastAsiaTheme="minorEastAsia" w:cstheme="minorEastAsia"/>
          <w:color w:val="auto"/>
          <w:sz w:val="21"/>
          <w:szCs w:val="21"/>
          <w:highlight w:val="none"/>
        </w:rPr>
        <w:t>购合同，并且在同一时间送至采购代理机构见证盖章（合同一式四份，采购人与成交供应商各执一份，采购代理机构二份），招标人对合同内容进行审查，如发现与采购结果和投标承诺内容不一致的，予以纠正。</w:t>
      </w:r>
      <w:r>
        <w:rPr>
          <w:rFonts w:hint="eastAsia" w:asciiTheme="minorEastAsia" w:hAnsiTheme="minorEastAsia" w:eastAsiaTheme="minorEastAsia" w:cstheme="minorEastAsia"/>
          <w:b/>
          <w:bCs/>
          <w:color w:val="auto"/>
          <w:sz w:val="21"/>
          <w:szCs w:val="21"/>
          <w:highlight w:val="none"/>
          <w:u w:val="single"/>
          <w:shd w:val="pct10" w:color="auto" w:fill="FFFFFF"/>
        </w:rPr>
        <w:t>为营造更优质的营商环境，</w:t>
      </w:r>
      <w:bookmarkStart w:id="51" w:name="_Hlk59627623"/>
      <w:r>
        <w:rPr>
          <w:rFonts w:hint="eastAsia" w:asciiTheme="minorEastAsia" w:hAnsiTheme="minorEastAsia" w:eastAsiaTheme="minorEastAsia" w:cstheme="minorEastAsia"/>
          <w:b/>
          <w:bCs/>
          <w:color w:val="auto"/>
          <w:sz w:val="21"/>
          <w:szCs w:val="21"/>
          <w:highlight w:val="none"/>
          <w:u w:val="single"/>
          <w:shd w:val="pct10" w:color="auto" w:fill="FFFFFF"/>
        </w:rPr>
        <w:t>成交人可选择采购代理机构以邮寄方式向其寄达</w:t>
      </w:r>
      <w:bookmarkStart w:id="52" w:name="_Hlk59708805"/>
      <w:r>
        <w:rPr>
          <w:rFonts w:hint="eastAsia" w:asciiTheme="minorEastAsia" w:hAnsiTheme="minorEastAsia" w:eastAsiaTheme="minorEastAsia" w:cstheme="minorEastAsia"/>
          <w:b/>
          <w:bCs/>
          <w:color w:val="auto"/>
          <w:sz w:val="21"/>
          <w:szCs w:val="21"/>
          <w:highlight w:val="none"/>
          <w:u w:val="single"/>
          <w:shd w:val="pct10" w:color="auto" w:fill="FFFFFF"/>
        </w:rPr>
        <w:t>《政府采购合同》</w:t>
      </w:r>
      <w:bookmarkEnd w:id="52"/>
      <w:r>
        <w:rPr>
          <w:rFonts w:hint="eastAsia" w:asciiTheme="minorEastAsia" w:hAnsiTheme="minorEastAsia" w:eastAsiaTheme="minorEastAsia" w:cstheme="minorEastAsia"/>
          <w:b/>
          <w:bCs/>
          <w:color w:val="auto"/>
          <w:sz w:val="21"/>
          <w:szCs w:val="21"/>
          <w:highlight w:val="none"/>
          <w:u w:val="single"/>
          <w:shd w:val="pct10" w:color="auto" w:fill="FFFFFF"/>
        </w:rPr>
        <w:t>。</w:t>
      </w:r>
      <w:bookmarkEnd w:id="51"/>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2.成交供应商拒绝与采购人签订合同的，采购人可以按照评审报告推荐的成交候选人名单排序，确定下一候选人为成交供应商，也可以重新开展政府采购活动。</w:t>
      </w:r>
      <w:bookmarkStart w:id="53" w:name="_Hlk52994129"/>
      <w:r>
        <w:rPr>
          <w:rFonts w:hint="eastAsia" w:asciiTheme="minorEastAsia" w:hAnsiTheme="minorEastAsia" w:eastAsiaTheme="minorEastAsia" w:cstheme="minorEastAsia"/>
          <w:color w:val="auto"/>
          <w:sz w:val="21"/>
          <w:szCs w:val="21"/>
          <w:highlight w:val="none"/>
        </w:rPr>
        <w:t>拒绝签订政府采购合同的成交供应商不得参加对该项目重新开展的采购活动。</w:t>
      </w:r>
    </w:p>
    <w:bookmarkEnd w:id="53"/>
    <w:p>
      <w:pPr>
        <w:pStyle w:val="29"/>
        <w:snapToGrid w:val="0"/>
        <w:spacing w:beforeLines="0" w:afterLines="0" w:line="360" w:lineRule="auto"/>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（二）履约保证金</w:t>
      </w:r>
    </w:p>
    <w:p>
      <w:pPr>
        <w:pStyle w:val="29"/>
        <w:snapToGrid w:val="0"/>
        <w:spacing w:beforeLines="0" w:afterLines="0" w:line="360" w:lineRule="auto"/>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1.签订合同前，成交供应商应根据磋商文件确定的履约保证金的金额，交纳履约保证金：</w:t>
      </w:r>
    </w:p>
    <w:p>
      <w:pPr>
        <w:pStyle w:val="29"/>
        <w:snapToGrid w:val="0"/>
        <w:spacing w:beforeLines="0" w:afterLines="0" w:line="360" w:lineRule="auto"/>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①采用网上银行转帐、电汇、汇票缴纳履约保证金的，履约保证金必须通过供应商在临海市公共资源交易中心后台注册的银行账号汇入，否则无法达账（开户名：临海市公共资源交易中心，开户行：浙江临海农村商业银行股份有限公司科技支行，账号：201000102293922000003。财务咨询电话：0576-85280673）。</w:t>
      </w:r>
    </w:p>
    <w:p>
      <w:pPr>
        <w:pStyle w:val="29"/>
        <w:snapToGrid w:val="0"/>
        <w:spacing w:beforeLines="0" w:afterLines="0" w:line="360" w:lineRule="auto"/>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②采用银行、保险公司出具的保函形式提交履约保证金的，成交供应商将保函原件提交给采购人保管，采购人提供3份加盖公章或“原件收讫”证明印章的保函复印件给成交供应商，成交供应商或采购代理机构将经采购人确认的保函复印件提交到临海市公共资源交易中心财务窗口登记存档（地址：临海市巾山中路18号（移动公司对面）一楼大厅）。</w:t>
      </w:r>
    </w:p>
    <w:p>
      <w:pPr>
        <w:pStyle w:val="29"/>
        <w:snapToGrid w:val="0"/>
        <w:spacing w:beforeLines="0" w:afterLines="0" w:line="360" w:lineRule="auto"/>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2.签订合同后，如成交供应商不按双方合同约定履约，则其履约保证金将不予退回，履约保证金不足以赔偿损失的，按实际损失赔偿。</w:t>
      </w:r>
    </w:p>
    <w:p>
      <w:pPr>
        <w:pStyle w:val="29"/>
        <w:snapToGrid w:val="0"/>
        <w:spacing w:beforeLines="0" w:afterLines="0" w:line="360" w:lineRule="auto"/>
        <w:ind w:firstLine="211" w:firstLineChars="100"/>
        <w:rPr>
          <w:rFonts w:ascii="宋体" w:hAnsi="宋体"/>
          <w:b/>
          <w:color w:val="auto"/>
          <w:sz w:val="30"/>
          <w:szCs w:val="30"/>
          <w:highlight w:val="none"/>
        </w:rPr>
      </w:pPr>
      <w:r>
        <w:rPr>
          <w:rFonts w:hint="eastAsia" w:asciiTheme="minorEastAsia" w:hAnsiTheme="minorEastAsia" w:eastAsiaTheme="minorEastAsia" w:cstheme="minorEastAsia"/>
          <w:b/>
          <w:color w:val="auto"/>
          <w:sz w:val="21"/>
          <w:szCs w:val="21"/>
          <w:highlight w:val="none"/>
        </w:rPr>
        <w:t>3.履约保证金在成交供应商履行合同义务后且经验收合格，凭《临海市政府采购验收单》向临海市公共资源交易中心退还。</w:t>
      </w:r>
      <w:r>
        <w:rPr>
          <w:rFonts w:ascii="宋体" w:hAnsi="宋体"/>
          <w:b/>
          <w:color w:val="auto"/>
          <w:sz w:val="30"/>
          <w:szCs w:val="30"/>
          <w:highlight w:val="none"/>
        </w:rPr>
        <w:br w:type="page"/>
      </w:r>
    </w:p>
    <w:p>
      <w:pPr>
        <w:spacing w:before="120" w:beforeLines="50" w:after="120" w:afterLines="50" w:line="400" w:lineRule="exact"/>
        <w:jc w:val="center"/>
        <w:outlineLvl w:val="0"/>
        <w:rPr>
          <w:rFonts w:ascii="宋体" w:hAnsi="宋体"/>
          <w:b/>
          <w:color w:val="auto"/>
          <w:sz w:val="30"/>
          <w:szCs w:val="30"/>
          <w:highlight w:val="none"/>
        </w:rPr>
      </w:pPr>
      <w:bookmarkStart w:id="54" w:name="_Toc15979"/>
      <w:bookmarkStart w:id="55" w:name="_Toc48835714"/>
      <w:bookmarkStart w:id="56" w:name="_Toc466534750"/>
      <w:r>
        <w:rPr>
          <w:rFonts w:hint="eastAsia" w:ascii="宋体" w:hAnsi="宋体"/>
          <w:b/>
          <w:color w:val="auto"/>
          <w:sz w:val="30"/>
          <w:szCs w:val="30"/>
          <w:highlight w:val="none"/>
        </w:rPr>
        <w:t>第四章 评标办法及评分标准</w:t>
      </w:r>
      <w:bookmarkEnd w:id="54"/>
      <w:bookmarkEnd w:id="55"/>
      <w:bookmarkEnd w:id="56"/>
    </w:p>
    <w:p>
      <w:pPr>
        <w:spacing w:before="120" w:beforeLines="50" w:after="120" w:afterLines="50" w:line="400" w:lineRule="exact"/>
        <w:ind w:firstLine="420"/>
        <w:rPr>
          <w:rFonts w:hint="eastAsia" w:ascii="宋体" w:hAnsi="宋体" w:eastAsia="宋体" w:cs="宋体"/>
          <w:sz w:val="21"/>
          <w:szCs w:val="21"/>
        </w:rPr>
      </w:pPr>
      <w:r>
        <w:rPr>
          <w:rFonts w:hint="eastAsia" w:ascii="宋体" w:hAnsi="宋体" w:eastAsia="宋体" w:cs="宋体"/>
          <w:sz w:val="21"/>
          <w:szCs w:val="21"/>
        </w:rPr>
        <w:t>为公正、公平、科学地选择中标人，根据《中华人民共和国政府采购法》等有关法律法规的规定，并结合本项目的实际，制定本办法。</w:t>
      </w:r>
    </w:p>
    <w:p>
      <w:pPr>
        <w:spacing w:before="120" w:beforeLines="50" w:after="120" w:afterLines="50" w:line="400" w:lineRule="exact"/>
        <w:ind w:firstLine="420"/>
        <w:rPr>
          <w:rFonts w:hint="eastAsia" w:ascii="宋体" w:hAnsi="宋体" w:eastAsia="宋体" w:cs="宋体"/>
          <w:bCs/>
          <w:sz w:val="21"/>
          <w:szCs w:val="21"/>
        </w:rPr>
      </w:pPr>
      <w:r>
        <w:rPr>
          <w:rFonts w:hint="eastAsia" w:ascii="宋体" w:hAnsi="宋体" w:eastAsia="宋体" w:cs="宋体"/>
          <w:sz w:val="21"/>
          <w:szCs w:val="21"/>
        </w:rPr>
        <w:t>本办法适用于本项目的</w:t>
      </w:r>
      <w:r>
        <w:rPr>
          <w:rFonts w:hint="eastAsia" w:ascii="宋体" w:hAnsi="宋体" w:eastAsia="宋体" w:cs="宋体"/>
          <w:bCs/>
          <w:sz w:val="21"/>
          <w:szCs w:val="21"/>
        </w:rPr>
        <w:t>评标。</w:t>
      </w:r>
    </w:p>
    <w:p>
      <w:pPr>
        <w:spacing w:before="120" w:beforeLines="50" w:after="120" w:afterLines="50" w:line="400" w:lineRule="exact"/>
        <w:ind w:firstLine="413" w:firstLineChars="196"/>
        <w:rPr>
          <w:rFonts w:hint="eastAsia" w:ascii="宋体" w:hAnsi="宋体" w:eastAsia="宋体" w:cs="宋体"/>
          <w:b/>
          <w:sz w:val="21"/>
          <w:szCs w:val="21"/>
        </w:rPr>
      </w:pPr>
      <w:r>
        <w:rPr>
          <w:rFonts w:hint="eastAsia" w:ascii="宋体" w:hAnsi="宋体" w:eastAsia="宋体" w:cs="宋体"/>
          <w:b/>
          <w:sz w:val="21"/>
          <w:szCs w:val="21"/>
        </w:rPr>
        <w:t>一、总则</w:t>
      </w:r>
    </w:p>
    <w:p>
      <w:pPr>
        <w:spacing w:before="120" w:beforeLines="50" w:after="120" w:afterLines="50" w:line="40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rPr>
        <w:t>本次评标采用综合评分法，总分为100分，其中</w:t>
      </w:r>
      <w:r>
        <w:rPr>
          <w:rFonts w:hint="eastAsia" w:ascii="宋体" w:hAnsi="宋体" w:eastAsia="宋体" w:cs="宋体"/>
          <w:b/>
          <w:bCs/>
          <w:color w:val="FF0000"/>
          <w:sz w:val="21"/>
          <w:szCs w:val="21"/>
        </w:rPr>
        <w:t>价格分</w:t>
      </w:r>
      <w:r>
        <w:rPr>
          <w:rFonts w:hint="eastAsia" w:ascii="宋体" w:hAnsi="宋体" w:eastAsia="宋体" w:cs="宋体"/>
          <w:b/>
          <w:bCs/>
          <w:color w:val="FF0000"/>
          <w:sz w:val="21"/>
          <w:szCs w:val="21"/>
          <w:lang w:val="en-US" w:eastAsia="zh-CN"/>
        </w:rPr>
        <w:t>2</w:t>
      </w:r>
      <w:r>
        <w:rPr>
          <w:rFonts w:hint="eastAsia" w:ascii="宋体" w:hAnsi="宋体" w:eastAsia="宋体" w:cs="宋体"/>
          <w:b/>
          <w:bCs/>
          <w:color w:val="FF0000"/>
          <w:sz w:val="21"/>
          <w:szCs w:val="21"/>
        </w:rPr>
        <w:t>0分、商务技术分</w:t>
      </w:r>
      <w:r>
        <w:rPr>
          <w:rFonts w:hint="eastAsia" w:ascii="宋体" w:hAnsi="宋体" w:eastAsia="宋体" w:cs="宋体"/>
          <w:b/>
          <w:bCs/>
          <w:color w:val="FF0000"/>
          <w:sz w:val="21"/>
          <w:szCs w:val="21"/>
          <w:lang w:val="en-US" w:eastAsia="zh-CN"/>
        </w:rPr>
        <w:t>8</w:t>
      </w:r>
      <w:r>
        <w:rPr>
          <w:rFonts w:hint="eastAsia" w:ascii="宋体" w:hAnsi="宋体" w:eastAsia="宋体" w:cs="宋体"/>
          <w:b/>
          <w:bCs/>
          <w:color w:val="FF0000"/>
          <w:sz w:val="21"/>
          <w:szCs w:val="21"/>
        </w:rPr>
        <w:t>0分</w:t>
      </w:r>
      <w:r>
        <w:rPr>
          <w:rFonts w:hint="eastAsia" w:ascii="宋体" w:hAnsi="宋体" w:eastAsia="宋体" w:cs="宋体"/>
          <w:sz w:val="21"/>
          <w:szCs w:val="21"/>
        </w:rPr>
        <w:t>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w:t>
      </w:r>
      <w:r>
        <w:rPr>
          <w:rFonts w:hint="eastAsia" w:ascii="宋体" w:hAnsi="宋体" w:eastAsia="宋体" w:cs="宋体"/>
          <w:bCs/>
          <w:sz w:val="21"/>
          <w:szCs w:val="21"/>
        </w:rPr>
        <w:t>评分过程中采用四舍五入法，并保留小数2位。</w:t>
      </w:r>
    </w:p>
    <w:p>
      <w:pPr>
        <w:spacing w:before="120" w:beforeLines="50" w:after="120" w:afterLines="50" w:line="4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节能环保产品，不发达地区、少数民族地区、监狱企业、残疾人企业、制造精品产品的政府采购优惠政策按相关文件规定执行。投标人提供的产品如为首台套产品的，业绩分为满分。</w:t>
      </w:r>
    </w:p>
    <w:p>
      <w:pPr>
        <w:spacing w:before="120" w:beforeLines="50" w:after="120" w:afterLines="50"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投标人评标</w:t>
      </w:r>
      <w:r>
        <w:rPr>
          <w:rFonts w:hint="eastAsia" w:ascii="宋体" w:hAnsi="宋体" w:eastAsia="宋体" w:cs="宋体"/>
          <w:bCs/>
          <w:sz w:val="21"/>
          <w:szCs w:val="21"/>
        </w:rPr>
        <w:t>综合得分=价格分+商务技术分</w:t>
      </w:r>
    </w:p>
    <w:p>
      <w:pPr>
        <w:spacing w:before="120" w:beforeLines="50" w:after="120" w:afterLines="50" w:line="4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二、评标内容及标准</w:t>
      </w:r>
    </w:p>
    <w:p>
      <w:pPr>
        <w:pStyle w:val="23"/>
        <w:spacing w:before="120" w:beforeLines="50" w:after="120" w:afterLines="50" w:line="400" w:lineRule="exact"/>
        <w:ind w:firstLine="406" w:firstLineChars="200"/>
        <w:rPr>
          <w:rFonts w:hint="eastAsia" w:ascii="宋体" w:hAnsi="宋体" w:eastAsia="宋体" w:cs="宋体"/>
          <w:b/>
          <w:bCs/>
          <w:sz w:val="21"/>
          <w:szCs w:val="21"/>
        </w:rPr>
      </w:pPr>
      <w:r>
        <w:rPr>
          <w:rFonts w:hint="eastAsia" w:ascii="宋体" w:hAnsi="宋体" w:eastAsia="宋体" w:cs="宋体"/>
          <w:b/>
          <w:sz w:val="21"/>
          <w:szCs w:val="21"/>
        </w:rPr>
        <w:t>（一）</w:t>
      </w:r>
      <w:r>
        <w:rPr>
          <w:rFonts w:hint="eastAsia" w:ascii="宋体" w:hAnsi="宋体" w:eastAsia="宋体" w:cs="宋体"/>
          <w:b/>
          <w:bCs/>
          <w:sz w:val="21"/>
          <w:szCs w:val="21"/>
        </w:rPr>
        <w:t>价格分</w:t>
      </w:r>
      <w:r>
        <w:rPr>
          <w:rFonts w:hint="eastAsia" w:ascii="宋体" w:hAnsi="宋体" w:eastAsia="宋体" w:cs="宋体"/>
          <w:b/>
          <w:bCs/>
          <w:sz w:val="21"/>
          <w:szCs w:val="21"/>
          <w:highlight w:val="none"/>
        </w:rPr>
        <w:t>（</w:t>
      </w:r>
      <w:r>
        <w:rPr>
          <w:rFonts w:hint="eastAsia" w:hAnsi="宋体" w:cs="宋体"/>
          <w:b/>
          <w:bCs/>
          <w:sz w:val="21"/>
          <w:szCs w:val="21"/>
          <w:highlight w:val="none"/>
          <w:lang w:val="en-US" w:eastAsia="zh-CN"/>
        </w:rPr>
        <w:t>2</w:t>
      </w:r>
      <w:r>
        <w:rPr>
          <w:rFonts w:hint="eastAsia" w:ascii="宋体" w:hAnsi="宋体" w:eastAsia="宋体" w:cs="宋体"/>
          <w:b/>
          <w:bCs/>
          <w:sz w:val="21"/>
          <w:szCs w:val="21"/>
          <w:highlight w:val="none"/>
        </w:rPr>
        <w:t>0</w:t>
      </w:r>
      <w:r>
        <w:rPr>
          <w:rFonts w:hint="eastAsia" w:ascii="宋体" w:hAnsi="宋体" w:eastAsia="宋体" w:cs="宋体"/>
          <w:b/>
          <w:spacing w:val="0"/>
          <w:sz w:val="21"/>
          <w:szCs w:val="21"/>
          <w:highlight w:val="none"/>
        </w:rPr>
        <w:t>分</w:t>
      </w:r>
      <w:r>
        <w:rPr>
          <w:rFonts w:hint="eastAsia" w:ascii="宋体" w:hAnsi="宋体" w:eastAsia="宋体" w:cs="宋体"/>
          <w:b/>
          <w:bCs/>
          <w:sz w:val="21"/>
          <w:szCs w:val="21"/>
          <w:highlight w:val="none"/>
        </w:rPr>
        <w:t>）</w:t>
      </w:r>
    </w:p>
    <w:p>
      <w:pPr>
        <w:pStyle w:val="23"/>
        <w:spacing w:before="120" w:beforeLines="50" w:after="120" w:afterLines="50" w:line="400" w:lineRule="exact"/>
        <w:ind w:firstLine="404" w:firstLineChars="200"/>
        <w:rPr>
          <w:rFonts w:hint="eastAsia" w:ascii="宋体" w:hAnsi="宋体" w:eastAsia="宋体" w:cs="宋体"/>
          <w:bCs/>
          <w:sz w:val="21"/>
          <w:szCs w:val="21"/>
          <w:highlight w:val="none"/>
        </w:rPr>
      </w:pPr>
      <w:r>
        <w:rPr>
          <w:rFonts w:hint="eastAsia" w:ascii="宋体" w:hAnsi="宋体" w:eastAsia="宋体" w:cs="宋体"/>
          <w:bCs/>
          <w:sz w:val="21"/>
          <w:szCs w:val="21"/>
        </w:rPr>
        <w:t>1.价格分采用低价优先法计算，即满足招标文件要求且投标价格最低的投标报价为评标</w:t>
      </w:r>
      <w:r>
        <w:rPr>
          <w:rFonts w:hint="eastAsia" w:ascii="宋体" w:hAnsi="宋体" w:eastAsia="宋体" w:cs="宋体"/>
          <w:bCs/>
          <w:sz w:val="21"/>
          <w:szCs w:val="21"/>
          <w:highlight w:val="none"/>
        </w:rPr>
        <w:t>基准价，其他投标人的价格分按照下列公式计算：</w:t>
      </w:r>
    </w:p>
    <w:p>
      <w:pPr>
        <w:spacing w:before="120" w:beforeLines="50" w:after="120" w:afterLines="5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价格分=（评标基准价/投标报价）×</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0%×100</w:t>
      </w:r>
    </w:p>
    <w:p>
      <w:pPr>
        <w:spacing w:before="120" w:beforeLines="50" w:after="120" w:afterLines="50" w:line="400" w:lineRule="exact"/>
        <w:ind w:firstLine="422" w:firstLineChars="200"/>
        <w:rPr>
          <w:rFonts w:hint="eastAsia" w:ascii="宋体" w:hAnsi="宋体" w:eastAsia="宋体" w:cs="宋体"/>
          <w:b/>
          <w:sz w:val="21"/>
          <w:szCs w:val="21"/>
        </w:rPr>
      </w:pPr>
      <w:r>
        <w:rPr>
          <w:rFonts w:hint="eastAsia" w:ascii="宋体" w:hAnsi="宋体" w:eastAsia="宋体" w:cs="宋体"/>
          <w:b/>
          <w:bCs/>
          <w:sz w:val="21"/>
          <w:szCs w:val="21"/>
        </w:rPr>
        <w:t>（二）商务</w:t>
      </w:r>
      <w:r>
        <w:rPr>
          <w:rFonts w:hint="eastAsia" w:ascii="宋体" w:hAnsi="宋体" w:eastAsia="宋体" w:cs="宋体"/>
          <w:b/>
          <w:sz w:val="21"/>
          <w:szCs w:val="21"/>
        </w:rPr>
        <w:t>技术分（</w:t>
      </w:r>
      <w:r>
        <w:rPr>
          <w:rFonts w:hint="eastAsia" w:ascii="宋体" w:hAnsi="宋体" w:eastAsia="宋体" w:cs="宋体"/>
          <w:b/>
          <w:sz w:val="21"/>
          <w:szCs w:val="21"/>
          <w:lang w:val="en-US" w:eastAsia="zh-CN"/>
        </w:rPr>
        <w:t>8</w:t>
      </w:r>
      <w:r>
        <w:rPr>
          <w:rFonts w:hint="eastAsia" w:ascii="宋体" w:hAnsi="宋体" w:eastAsia="宋体" w:cs="宋体"/>
          <w:b/>
          <w:sz w:val="21"/>
          <w:szCs w:val="21"/>
        </w:rPr>
        <w:t>0分）</w:t>
      </w:r>
    </w:p>
    <w:p>
      <w:pPr>
        <w:spacing w:line="40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评标委员会对通过符合性审查的投标人的投标技术参数或方案充分审核后，进行综合评定独立打分。（评分项目如有缺项则该项</w:t>
      </w:r>
      <w:r>
        <w:rPr>
          <w:rFonts w:hint="eastAsia" w:ascii="宋体" w:hAnsi="宋体" w:eastAsia="宋体" w:cs="宋体"/>
          <w:sz w:val="21"/>
          <w:szCs w:val="21"/>
          <w:lang w:val="en-US" w:eastAsia="zh-CN"/>
        </w:rPr>
        <w:t>0分</w:t>
      </w:r>
      <w:r>
        <w:rPr>
          <w:rFonts w:hint="eastAsia" w:ascii="宋体" w:hAnsi="宋体" w:eastAsia="宋体" w:cs="宋体"/>
          <w:sz w:val="21"/>
          <w:szCs w:val="21"/>
          <w:lang w:val="zh-CN"/>
        </w:rPr>
        <w:t>）</w:t>
      </w:r>
    </w:p>
    <w:tbl>
      <w:tblPr>
        <w:tblStyle w:val="51"/>
        <w:tblpPr w:leftFromText="180" w:rightFromText="180" w:vertAnchor="text" w:horzAnchor="page" w:tblpXSpec="center" w:tblpY="91"/>
        <w:tblOverlap w:val="never"/>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808"/>
        <w:gridCol w:w="1107"/>
        <w:gridCol w:w="5626"/>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28" w:type="dxa"/>
            <w:noWrap w:val="0"/>
            <w:vAlign w:val="center"/>
          </w:tcPr>
          <w:p>
            <w:pPr>
              <w:pStyle w:val="23"/>
              <w:spacing w:line="300" w:lineRule="exact"/>
              <w:ind w:firstLine="0" w:firstLineChars="0"/>
              <w:jc w:val="center"/>
              <w:rPr>
                <w:rFonts w:hint="eastAsia" w:ascii="宋体" w:hAnsi="宋体" w:eastAsia="宋体" w:cs="宋体"/>
                <w:b/>
                <w:spacing w:val="-4"/>
                <w:kern w:val="0"/>
                <w:sz w:val="21"/>
                <w:szCs w:val="21"/>
                <w:highlight w:val="none"/>
                <w:lang w:val="en-US" w:eastAsia="zh-CN" w:bidi="ar-SA"/>
              </w:rPr>
            </w:pPr>
            <w:r>
              <w:rPr>
                <w:rFonts w:hint="eastAsia" w:ascii="宋体" w:hAnsi="宋体" w:eastAsia="宋体" w:cs="宋体"/>
                <w:b/>
                <w:sz w:val="21"/>
                <w:szCs w:val="21"/>
                <w:highlight w:val="none"/>
              </w:rPr>
              <w:t>序号</w:t>
            </w:r>
          </w:p>
        </w:tc>
        <w:tc>
          <w:tcPr>
            <w:tcW w:w="1915" w:type="dxa"/>
            <w:gridSpan w:val="2"/>
            <w:noWrap w:val="0"/>
            <w:vAlign w:val="center"/>
          </w:tcPr>
          <w:p>
            <w:pPr>
              <w:pStyle w:val="23"/>
              <w:spacing w:line="300" w:lineRule="exact"/>
              <w:ind w:firstLine="0" w:firstLineChars="0"/>
              <w:jc w:val="center"/>
              <w:rPr>
                <w:rFonts w:hint="eastAsia" w:ascii="宋体" w:hAnsi="宋体" w:eastAsia="宋体" w:cs="宋体"/>
                <w:b/>
                <w:spacing w:val="-4"/>
                <w:kern w:val="0"/>
                <w:sz w:val="21"/>
                <w:szCs w:val="21"/>
                <w:highlight w:val="none"/>
                <w:lang w:val="en-US" w:eastAsia="zh-CN" w:bidi="ar-SA"/>
              </w:rPr>
            </w:pPr>
            <w:r>
              <w:rPr>
                <w:rFonts w:hint="eastAsia" w:ascii="宋体" w:hAnsi="宋体" w:eastAsia="宋体" w:cs="宋体"/>
                <w:b/>
                <w:sz w:val="21"/>
                <w:szCs w:val="21"/>
                <w:highlight w:val="none"/>
              </w:rPr>
              <w:t>评分项目</w:t>
            </w:r>
          </w:p>
        </w:tc>
        <w:tc>
          <w:tcPr>
            <w:tcW w:w="5626" w:type="dxa"/>
            <w:noWrap w:val="0"/>
            <w:vAlign w:val="center"/>
          </w:tcPr>
          <w:p>
            <w:pPr>
              <w:pStyle w:val="23"/>
              <w:spacing w:line="300" w:lineRule="exact"/>
              <w:ind w:firstLine="0" w:firstLineChars="0"/>
              <w:jc w:val="center"/>
              <w:rPr>
                <w:rFonts w:hint="eastAsia" w:ascii="宋体" w:hAnsi="宋体" w:eastAsia="宋体" w:cs="宋体"/>
                <w:b/>
                <w:spacing w:val="-4"/>
                <w:kern w:val="0"/>
                <w:sz w:val="21"/>
                <w:szCs w:val="21"/>
                <w:highlight w:val="none"/>
                <w:lang w:val="zh-CN" w:eastAsia="zh-CN" w:bidi="ar-SA"/>
              </w:rPr>
            </w:pPr>
            <w:r>
              <w:rPr>
                <w:rFonts w:hint="eastAsia" w:ascii="宋体" w:hAnsi="宋体" w:eastAsia="宋体" w:cs="宋体"/>
                <w:b/>
                <w:sz w:val="21"/>
                <w:szCs w:val="21"/>
                <w:highlight w:val="none"/>
                <w:lang w:val="en-US" w:eastAsia="zh-CN"/>
              </w:rPr>
              <w:t>评分标准</w:t>
            </w:r>
          </w:p>
        </w:tc>
        <w:tc>
          <w:tcPr>
            <w:tcW w:w="766" w:type="dxa"/>
            <w:noWrap w:val="0"/>
            <w:vAlign w:val="center"/>
          </w:tcPr>
          <w:p>
            <w:pPr>
              <w:pStyle w:val="23"/>
              <w:spacing w:line="300" w:lineRule="exact"/>
              <w:ind w:firstLine="0" w:firstLineChars="0"/>
              <w:jc w:val="center"/>
              <w:rPr>
                <w:rFonts w:hint="eastAsia" w:ascii="宋体" w:hAnsi="宋体" w:eastAsia="宋体" w:cs="宋体"/>
                <w:b/>
                <w:spacing w:val="-4"/>
                <w:kern w:val="0"/>
                <w:sz w:val="21"/>
                <w:szCs w:val="21"/>
                <w:highlight w:val="none"/>
                <w:lang w:val="en-US" w:eastAsia="zh-CN" w:bidi="ar-SA"/>
              </w:rPr>
            </w:pPr>
            <w:r>
              <w:rPr>
                <w:rFonts w:hint="eastAsia" w:ascii="宋体" w:hAnsi="宋体" w:eastAsia="宋体" w:cs="宋体"/>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28" w:type="dxa"/>
            <w:noWrap w:val="0"/>
            <w:vAlign w:val="center"/>
          </w:tcPr>
          <w:p>
            <w:pPr>
              <w:spacing w:line="360" w:lineRule="exact"/>
              <w:ind w:right="3"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w:t>
            </w:r>
          </w:p>
        </w:tc>
        <w:tc>
          <w:tcPr>
            <w:tcW w:w="1915" w:type="dxa"/>
            <w:gridSpan w:val="2"/>
            <w:noWrap w:val="0"/>
            <w:vAlign w:val="center"/>
          </w:tcPr>
          <w:p>
            <w:pPr>
              <w:spacing w:line="360" w:lineRule="exact"/>
              <w:ind w:right="3"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类似项目</w:t>
            </w:r>
            <w:r>
              <w:rPr>
                <w:rFonts w:hint="eastAsia" w:ascii="宋体" w:hAnsi="宋体" w:eastAsia="宋体" w:cs="宋体"/>
                <w:sz w:val="21"/>
                <w:szCs w:val="21"/>
                <w:highlight w:val="none"/>
              </w:rPr>
              <w:t>业绩</w:t>
            </w:r>
          </w:p>
        </w:tc>
        <w:tc>
          <w:tcPr>
            <w:tcW w:w="5626" w:type="dxa"/>
            <w:noWrap w:val="0"/>
            <w:vAlign w:val="center"/>
          </w:tcPr>
          <w:p>
            <w:pPr>
              <w:spacing w:line="360" w:lineRule="exact"/>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rPr>
              <w:t>供应商2021年1月1日以来（以合同签订时间为准）承接过类似项目的（包含装修）</w:t>
            </w:r>
            <w:r>
              <w:rPr>
                <w:rFonts w:hint="eastAsia" w:ascii="宋体" w:hAnsi="宋体" w:eastAsia="宋体" w:cs="宋体"/>
                <w:sz w:val="21"/>
                <w:szCs w:val="21"/>
                <w:lang w:eastAsia="zh-CN"/>
              </w:rPr>
              <w:t>。</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业绩证明材料：须提供合同，业绩时间认定以合同签订时间为准）</w:t>
            </w:r>
            <w:r>
              <w:rPr>
                <w:rFonts w:hint="eastAsia" w:ascii="宋体" w:hAnsi="宋体" w:eastAsia="宋体" w:cs="宋体"/>
                <w:b/>
                <w:bCs/>
                <w:sz w:val="21"/>
                <w:szCs w:val="21"/>
                <w:highlight w:val="none"/>
                <w:lang w:eastAsia="zh-CN"/>
              </w:rPr>
              <w:t>每提供</w:t>
            </w:r>
            <w:r>
              <w:rPr>
                <w:rFonts w:hint="eastAsia" w:ascii="宋体" w:hAnsi="宋体" w:eastAsia="宋体" w:cs="宋体"/>
                <w:b/>
                <w:bCs/>
                <w:sz w:val="21"/>
                <w:szCs w:val="21"/>
                <w:highlight w:val="none"/>
                <w:lang w:val="en-US" w:eastAsia="zh-CN"/>
              </w:rPr>
              <w:t>1个得1分，最高2分</w:t>
            </w:r>
            <w:r>
              <w:rPr>
                <w:rFonts w:hint="eastAsia" w:ascii="宋体" w:hAnsi="宋体" w:eastAsia="宋体" w:cs="宋体"/>
                <w:sz w:val="21"/>
                <w:szCs w:val="21"/>
                <w:highlight w:val="none"/>
              </w:rPr>
              <w:t>。</w:t>
            </w:r>
          </w:p>
        </w:tc>
        <w:tc>
          <w:tcPr>
            <w:tcW w:w="766" w:type="dxa"/>
            <w:noWrap w:val="0"/>
            <w:vAlign w:val="center"/>
          </w:tcPr>
          <w:p>
            <w:pPr>
              <w:spacing w:line="360" w:lineRule="exact"/>
              <w:ind w:right="3"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bCs/>
                <w:kern w:val="28"/>
                <w:sz w:val="21"/>
                <w:szCs w:val="21"/>
                <w:highlight w:val="no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728" w:type="dxa"/>
            <w:noWrap w:val="0"/>
            <w:vAlign w:val="center"/>
          </w:tcPr>
          <w:p>
            <w:pPr>
              <w:spacing w:line="360" w:lineRule="exact"/>
              <w:ind w:right="6"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w:t>
            </w:r>
          </w:p>
        </w:tc>
        <w:tc>
          <w:tcPr>
            <w:tcW w:w="1915" w:type="dxa"/>
            <w:gridSpan w:val="2"/>
            <w:noWrap w:val="0"/>
            <w:vAlign w:val="center"/>
          </w:tcPr>
          <w:p>
            <w:pPr>
              <w:spacing w:line="360" w:lineRule="exact"/>
              <w:ind w:right="6"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t>企业实力</w:t>
            </w:r>
          </w:p>
        </w:tc>
        <w:tc>
          <w:tcPr>
            <w:tcW w:w="5626" w:type="dxa"/>
            <w:noWrap w:val="0"/>
            <w:vAlign w:val="center"/>
          </w:tcPr>
          <w:p>
            <w:pPr>
              <w:spacing w:line="360" w:lineRule="exact"/>
              <w:ind w:right="6" w:rightChars="0"/>
              <w:jc w:val="both"/>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t>企业体系认证证书（3分）：</w:t>
            </w:r>
          </w:p>
          <w:p>
            <w:pPr>
              <w:spacing w:line="360" w:lineRule="exact"/>
              <w:ind w:right="6" w:rightChars="0"/>
              <w:jc w:val="both"/>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t>1、供应商具有有效的质量管理体系认证证书的得1分；</w:t>
            </w:r>
          </w:p>
          <w:p>
            <w:pPr>
              <w:spacing w:line="360" w:lineRule="exact"/>
              <w:ind w:right="6" w:rightChars="0"/>
              <w:jc w:val="both"/>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t>2、供应商具有有效的环境管理体系认证证书的得1分；</w:t>
            </w:r>
          </w:p>
          <w:p>
            <w:pPr>
              <w:spacing w:line="360" w:lineRule="exact"/>
              <w:ind w:right="6" w:rightChars="0"/>
              <w:jc w:val="both"/>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t>3、供应商具备有效的职业健康安全管理体系认证证书的得1分。</w:t>
            </w:r>
          </w:p>
          <w:p>
            <w:pPr>
              <w:spacing w:line="360" w:lineRule="exact"/>
              <w:ind w:right="6" w:rightChars="0"/>
              <w:jc w:val="both"/>
              <w:rPr>
                <w:rFonts w:hint="eastAsia" w:ascii="宋体" w:hAnsi="宋体" w:eastAsia="宋体" w:cs="宋体"/>
                <w:b w:val="0"/>
                <w:bCs w:val="0"/>
                <w:kern w:val="2"/>
                <w:sz w:val="21"/>
                <w:szCs w:val="21"/>
                <w:lang w:val="zh-CN" w:eastAsia="zh-CN" w:bidi="ar-SA"/>
              </w:rPr>
            </w:pPr>
            <w:r>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t>注：须提供能体现评分因素的相关证书原件扫描件，未提供的不得分。</w:t>
            </w:r>
          </w:p>
        </w:tc>
        <w:tc>
          <w:tcPr>
            <w:tcW w:w="766" w:type="dxa"/>
            <w:noWrap w:val="0"/>
            <w:vAlign w:val="center"/>
          </w:tcPr>
          <w:p>
            <w:pPr>
              <w:spacing w:line="360" w:lineRule="exact"/>
              <w:ind w:right="3" w:rightChars="0"/>
              <w:jc w:val="center"/>
              <w:rPr>
                <w:rFonts w:hint="eastAsia" w:ascii="宋体" w:hAnsi="宋体" w:eastAsia="宋体" w:cs="宋体"/>
                <w:bCs/>
                <w:kern w:val="28"/>
                <w:sz w:val="21"/>
                <w:szCs w:val="21"/>
                <w:highlight w:val="none"/>
                <w:lang w:val="en-US" w:eastAsia="zh-CN"/>
              </w:rPr>
            </w:pPr>
            <w:r>
              <w:rPr>
                <w:rFonts w:hint="eastAsia" w:ascii="宋体" w:hAnsi="宋体" w:eastAsia="宋体" w:cs="宋体"/>
                <w:bCs/>
                <w:kern w:val="28"/>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vMerge w:val="restart"/>
            <w:noWrap w:val="0"/>
            <w:vAlign w:val="center"/>
          </w:tcPr>
          <w:p>
            <w:pPr>
              <w:spacing w:line="360" w:lineRule="exact"/>
              <w:ind w:right="6"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915" w:type="dxa"/>
            <w:gridSpan w:val="2"/>
            <w:vMerge w:val="restart"/>
            <w:noWrap w:val="0"/>
            <w:vAlign w:val="center"/>
          </w:tcPr>
          <w:p>
            <w:pPr>
              <w:spacing w:line="360" w:lineRule="exact"/>
              <w:ind w:right="6" w:rightChars="0"/>
              <w:jc w:val="center"/>
              <w:rPr>
                <w:rFonts w:hint="eastAsia" w:ascii="宋体" w:hAnsi="宋体" w:eastAsia="宋体" w:cs="宋体"/>
                <w:sz w:val="21"/>
                <w:szCs w:val="21"/>
                <w:highlight w:val="none"/>
                <w:lang w:val="en-US" w:eastAsia="zh-CN"/>
              </w:rPr>
            </w:pPr>
            <w:r>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t>项目</w:t>
            </w:r>
            <w:r>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t>团队实力</w:t>
            </w:r>
          </w:p>
        </w:tc>
        <w:tc>
          <w:tcPr>
            <w:tcW w:w="5626" w:type="dxa"/>
            <w:noWrap w:val="0"/>
            <w:vAlign w:val="center"/>
          </w:tcPr>
          <w:p>
            <w:pPr>
              <w:spacing w:line="360" w:lineRule="exact"/>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t>1、</w:t>
            </w:r>
            <w:r>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t>项目负责人具有建设类相关专业工程师（中级）职称的得1分；具有建设类相关专业工程师（高级）及以上职称的得2分。</w:t>
            </w:r>
          </w:p>
          <w:p>
            <w:pPr>
              <w:numPr>
                <w:ilvl w:val="0"/>
                <w:numId w:val="0"/>
              </w:numPr>
              <w:spacing w:line="240" w:lineRule="auto"/>
              <w:rPr>
                <w:rFonts w:hint="eastAsia" w:ascii="宋体" w:hAnsi="宋体" w:eastAsia="宋体" w:cs="宋体"/>
                <w:color w:val="auto"/>
                <w:sz w:val="21"/>
                <w:szCs w:val="21"/>
                <w:highlight w:val="none"/>
                <w:lang w:val="en-US" w:eastAsia="zh-CN"/>
              </w:rPr>
            </w:pPr>
          </w:p>
          <w:p>
            <w:pPr>
              <w:numPr>
                <w:ilvl w:val="0"/>
                <w:numId w:val="0"/>
              </w:num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lang w:eastAsia="zh-CN"/>
              </w:rPr>
              <w:t>有效的安全生产考核合格证书的</w:t>
            </w:r>
            <w:r>
              <w:rPr>
                <w:rFonts w:hint="eastAsia" w:ascii="宋体" w:hAnsi="宋体" w:eastAsia="宋体" w:cs="宋体"/>
                <w:color w:val="auto"/>
                <w:sz w:val="21"/>
                <w:szCs w:val="21"/>
                <w:highlight w:val="none"/>
                <w:lang w:val="en-US" w:eastAsia="zh-CN"/>
              </w:rPr>
              <w:t>得1分</w:t>
            </w:r>
            <w:r>
              <w:rPr>
                <w:rFonts w:hint="eastAsia" w:ascii="宋体" w:hAnsi="宋体" w:eastAsia="宋体" w:cs="宋体"/>
                <w:color w:val="auto"/>
                <w:sz w:val="21"/>
                <w:szCs w:val="21"/>
                <w:highlight w:val="none"/>
                <w:lang w:eastAsia="zh-CN"/>
              </w:rPr>
              <w:t>。</w:t>
            </w:r>
          </w:p>
          <w:p>
            <w:pPr>
              <w:spacing w:line="360" w:lineRule="exact"/>
              <w:ind w:right="6" w:rightChars="0" w:firstLine="202" w:firstLineChars="100"/>
              <w:jc w:val="left"/>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pPr>
          </w:p>
          <w:p>
            <w:pPr>
              <w:spacing w:line="360" w:lineRule="exact"/>
              <w:ind w:right="6" w:rightChars="0" w:firstLine="202" w:firstLineChars="100"/>
              <w:jc w:val="left"/>
              <w:rPr>
                <w:rFonts w:hint="eastAsia" w:ascii="宋体" w:hAnsi="宋体" w:eastAsia="宋体" w:cs="宋体"/>
                <w:sz w:val="21"/>
                <w:szCs w:val="21"/>
                <w:highlight w:val="none"/>
                <w:lang w:eastAsia="zh-CN"/>
              </w:rPr>
            </w:pPr>
            <w:r>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t>注：提供相关证书扫描件和投标截止前3个月的社保证明的扫描件，资料加盖公章，未按要求提供的不得分。</w:t>
            </w:r>
          </w:p>
        </w:tc>
        <w:tc>
          <w:tcPr>
            <w:tcW w:w="766" w:type="dxa"/>
            <w:noWrap w:val="0"/>
            <w:vAlign w:val="center"/>
          </w:tcPr>
          <w:p>
            <w:pPr>
              <w:spacing w:line="360" w:lineRule="exact"/>
              <w:ind w:right="6"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28" w:type="dxa"/>
            <w:vMerge w:val="continue"/>
            <w:noWrap w:val="0"/>
            <w:vAlign w:val="center"/>
          </w:tcPr>
          <w:p>
            <w:pPr>
              <w:spacing w:line="360" w:lineRule="exact"/>
              <w:ind w:right="6" w:rightChars="0"/>
              <w:jc w:val="left"/>
              <w:rPr>
                <w:rFonts w:hint="eastAsia" w:ascii="宋体" w:hAnsi="宋体" w:eastAsia="宋体" w:cs="宋体"/>
                <w:sz w:val="21"/>
                <w:szCs w:val="21"/>
              </w:rPr>
            </w:pPr>
          </w:p>
        </w:tc>
        <w:tc>
          <w:tcPr>
            <w:tcW w:w="1915" w:type="dxa"/>
            <w:gridSpan w:val="2"/>
            <w:vMerge w:val="continue"/>
            <w:noWrap w:val="0"/>
            <w:vAlign w:val="center"/>
          </w:tcPr>
          <w:p>
            <w:pPr>
              <w:spacing w:line="360" w:lineRule="exact"/>
              <w:ind w:right="6" w:rightChars="0"/>
              <w:jc w:val="left"/>
              <w:rPr>
                <w:rFonts w:hint="eastAsia" w:ascii="宋体" w:hAnsi="宋体" w:eastAsia="宋体" w:cs="宋体"/>
                <w:sz w:val="21"/>
                <w:szCs w:val="21"/>
              </w:rPr>
            </w:pPr>
          </w:p>
        </w:tc>
        <w:tc>
          <w:tcPr>
            <w:tcW w:w="5626" w:type="dxa"/>
            <w:noWrap w:val="0"/>
            <w:vAlign w:val="center"/>
          </w:tcPr>
          <w:p>
            <w:pPr>
              <w:spacing w:line="360" w:lineRule="exact"/>
              <w:ind w:right="6" w:rightChars="0"/>
              <w:jc w:val="left"/>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t>技术负责人具有建设类相关专业工程师（中级）职称的得1分；具有建设类相关专业工程师（高级）及以上职称的，得2分。最高得2分。</w:t>
            </w:r>
          </w:p>
          <w:p>
            <w:pPr>
              <w:spacing w:line="360" w:lineRule="exact"/>
              <w:ind w:right="6" w:rightChars="0"/>
              <w:jc w:val="left"/>
              <w:rPr>
                <w:rFonts w:hint="eastAsia" w:ascii="宋体" w:hAnsi="宋体" w:eastAsia="宋体" w:cs="宋体"/>
                <w:sz w:val="21"/>
                <w:szCs w:val="21"/>
                <w:highlight w:val="none"/>
                <w:lang w:val="zh-CN" w:eastAsia="zh-CN"/>
              </w:rPr>
            </w:pPr>
            <w:r>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t xml:space="preserve"> </w:t>
            </w:r>
            <w:r>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t>注：提供相关证书扫描件和投标截止前3个月的社保证明的扫描件，资料加盖公章，未按要求提供的不得分。</w:t>
            </w:r>
          </w:p>
        </w:tc>
        <w:tc>
          <w:tcPr>
            <w:tcW w:w="766" w:type="dxa"/>
            <w:noWrap w:val="0"/>
            <w:vAlign w:val="center"/>
          </w:tcPr>
          <w:p>
            <w:pPr>
              <w:spacing w:line="360" w:lineRule="exact"/>
              <w:ind w:right="6"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728" w:type="dxa"/>
            <w:vMerge w:val="continue"/>
            <w:noWrap w:val="0"/>
            <w:vAlign w:val="center"/>
          </w:tcPr>
          <w:p>
            <w:pPr>
              <w:spacing w:line="360" w:lineRule="exact"/>
              <w:ind w:right="6" w:rightChars="0"/>
              <w:jc w:val="left"/>
              <w:rPr>
                <w:rFonts w:hint="eastAsia" w:ascii="宋体" w:hAnsi="宋体" w:eastAsia="宋体" w:cs="宋体"/>
                <w:sz w:val="21"/>
                <w:szCs w:val="21"/>
                <w:highlight w:val="none"/>
                <w:lang w:val="zh-CN" w:eastAsia="zh-CN"/>
              </w:rPr>
            </w:pPr>
          </w:p>
        </w:tc>
        <w:tc>
          <w:tcPr>
            <w:tcW w:w="1915" w:type="dxa"/>
            <w:gridSpan w:val="2"/>
            <w:vMerge w:val="continue"/>
            <w:noWrap w:val="0"/>
            <w:vAlign w:val="center"/>
          </w:tcPr>
          <w:p>
            <w:pPr>
              <w:spacing w:line="360" w:lineRule="exact"/>
              <w:ind w:right="6" w:rightChars="0"/>
              <w:jc w:val="left"/>
              <w:rPr>
                <w:rFonts w:hint="eastAsia" w:ascii="宋体" w:hAnsi="宋体" w:eastAsia="宋体" w:cs="宋体"/>
                <w:sz w:val="21"/>
                <w:szCs w:val="21"/>
                <w:highlight w:val="none"/>
                <w:lang w:val="zh-CN" w:eastAsia="zh-CN"/>
              </w:rPr>
            </w:pPr>
          </w:p>
        </w:tc>
        <w:tc>
          <w:tcPr>
            <w:tcW w:w="5626"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项目组成员（除项目负责人和技术负责人以外）</w:t>
            </w:r>
          </w:p>
          <w:p>
            <w:pPr>
              <w:numPr>
                <w:ilvl w:val="0"/>
                <w:numId w:val="6"/>
              </w:num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具有施工员</w:t>
            </w:r>
            <w:r>
              <w:rPr>
                <w:rFonts w:hint="eastAsia" w:ascii="宋体" w:hAnsi="宋体" w:eastAsia="宋体" w:cs="宋体"/>
                <w:sz w:val="21"/>
                <w:szCs w:val="21"/>
                <w:lang w:val="en-US" w:eastAsia="zh-CN"/>
              </w:rPr>
              <w:t>的，得1分；</w:t>
            </w:r>
          </w:p>
          <w:p>
            <w:pPr>
              <w:numPr>
                <w:ilvl w:val="0"/>
                <w:numId w:val="6"/>
              </w:num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w:t>
            </w:r>
            <w:r>
              <w:rPr>
                <w:rFonts w:hint="eastAsia" w:ascii="宋体" w:hAnsi="宋体" w:eastAsia="宋体" w:cs="宋体"/>
                <w:sz w:val="21"/>
                <w:szCs w:val="21"/>
              </w:rPr>
              <w:t>安全员</w:t>
            </w:r>
            <w:r>
              <w:rPr>
                <w:rFonts w:hint="eastAsia" w:ascii="宋体" w:hAnsi="宋体" w:eastAsia="宋体" w:cs="宋体"/>
                <w:sz w:val="21"/>
                <w:szCs w:val="21"/>
                <w:lang w:val="en-US" w:eastAsia="zh-CN"/>
              </w:rPr>
              <w:t>的，得1分；</w:t>
            </w:r>
          </w:p>
          <w:p>
            <w:pPr>
              <w:numPr>
                <w:ilvl w:val="0"/>
                <w:numId w:val="6"/>
              </w:num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w:t>
            </w:r>
            <w:r>
              <w:rPr>
                <w:rFonts w:hint="eastAsia" w:ascii="宋体" w:hAnsi="宋体" w:eastAsia="宋体" w:cs="宋体"/>
                <w:sz w:val="21"/>
                <w:szCs w:val="21"/>
              </w:rPr>
              <w:t>资料员</w:t>
            </w:r>
            <w:r>
              <w:rPr>
                <w:rFonts w:hint="eastAsia" w:ascii="宋体" w:hAnsi="宋体" w:eastAsia="宋体" w:cs="宋体"/>
                <w:sz w:val="21"/>
                <w:szCs w:val="21"/>
                <w:lang w:val="en-US" w:eastAsia="zh-CN"/>
              </w:rPr>
              <w:t>的，得1分；</w:t>
            </w:r>
          </w:p>
          <w:p>
            <w:pPr>
              <w:numPr>
                <w:ilvl w:val="0"/>
                <w:numId w:val="6"/>
              </w:numPr>
              <w:spacing w:line="400" w:lineRule="exact"/>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w:t>
            </w:r>
            <w:r>
              <w:rPr>
                <w:rFonts w:hint="eastAsia" w:ascii="宋体" w:hAnsi="宋体" w:eastAsia="宋体" w:cs="宋体"/>
                <w:sz w:val="21"/>
                <w:szCs w:val="21"/>
              </w:rPr>
              <w:t>质量员</w:t>
            </w:r>
            <w:r>
              <w:rPr>
                <w:rFonts w:hint="eastAsia" w:ascii="宋体" w:hAnsi="宋体" w:eastAsia="宋体" w:cs="宋体"/>
                <w:sz w:val="21"/>
                <w:szCs w:val="21"/>
                <w:lang w:val="en-US" w:eastAsia="zh-CN"/>
              </w:rPr>
              <w:t>的，得1分；</w:t>
            </w:r>
          </w:p>
          <w:p>
            <w:pPr>
              <w:numPr>
                <w:ilvl w:val="0"/>
                <w:numId w:val="0"/>
              </w:numPr>
              <w:spacing w:line="400" w:lineRule="exact"/>
              <w:ind w:leftChars="0" w:firstLine="210" w:firstLineChars="100"/>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pPr>
            <w:r>
              <w:rPr>
                <w:rFonts w:hint="eastAsia" w:ascii="宋体" w:hAnsi="宋体" w:eastAsia="宋体" w:cs="宋体"/>
                <w:sz w:val="21"/>
                <w:szCs w:val="21"/>
                <w:lang w:val="en-US" w:eastAsia="zh-CN"/>
              </w:rPr>
              <w:t>注：1、以上</w:t>
            </w:r>
            <w:r>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t>员不可重复得分，1人只能计算1次。</w:t>
            </w:r>
          </w:p>
          <w:p>
            <w:pPr>
              <w:adjustRightInd w:val="0"/>
              <w:snapToGrid w:val="0"/>
              <w:ind w:firstLine="210" w:firstLineChars="100"/>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2、提供相关项目人员证书扫描件和投标截止前3个月的社保证明的扫描件，资料加盖公章，未按要求提供的不得分。</w:t>
            </w:r>
          </w:p>
        </w:tc>
        <w:tc>
          <w:tcPr>
            <w:tcW w:w="766" w:type="dxa"/>
            <w:noWrap w:val="0"/>
            <w:vAlign w:val="center"/>
          </w:tcPr>
          <w:p>
            <w:pPr>
              <w:spacing w:line="360" w:lineRule="exact"/>
              <w:ind w:right="6"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728" w:type="dxa"/>
            <w:noWrap w:val="0"/>
            <w:vAlign w:val="center"/>
          </w:tcPr>
          <w:p>
            <w:pPr>
              <w:spacing w:line="360" w:lineRule="exact"/>
              <w:ind w:right="6"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915" w:type="dxa"/>
            <w:gridSpan w:val="2"/>
            <w:noWrap w:val="0"/>
            <w:vAlign w:val="center"/>
          </w:tcPr>
          <w:p>
            <w:pPr>
              <w:spacing w:line="360" w:lineRule="exact"/>
              <w:ind w:right="6" w:rightChars="0"/>
              <w:jc w:val="center"/>
              <w:rPr>
                <w:rFonts w:hint="eastAsia" w:ascii="宋体" w:hAnsi="宋体" w:eastAsia="宋体" w:cs="宋体"/>
                <w:bCs/>
                <w:color w:val="000000" w:themeColor="text1"/>
                <w:spacing w:val="-4"/>
                <w:kern w:val="0"/>
                <w:sz w:val="21"/>
                <w:szCs w:val="21"/>
                <w:lang w:val="zh-CN"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t>项目负责人承诺到位率</w:t>
            </w:r>
          </w:p>
        </w:tc>
        <w:tc>
          <w:tcPr>
            <w:tcW w:w="5626" w:type="dxa"/>
            <w:noWrap w:val="0"/>
            <w:vAlign w:val="center"/>
          </w:tcPr>
          <w:p>
            <w:pPr>
              <w:spacing w:line="360" w:lineRule="exact"/>
              <w:ind w:right="6" w:righ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根据项目负责人承诺到位率进行打分。（0-4分)</w:t>
            </w:r>
          </w:p>
          <w:p>
            <w:pPr>
              <w:spacing w:line="360" w:lineRule="exact"/>
              <w:ind w:right="6" w:righ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1.每月到位率≥95%，得4分；</w:t>
            </w:r>
          </w:p>
          <w:p>
            <w:pPr>
              <w:spacing w:line="360" w:lineRule="exact"/>
              <w:ind w:right="6" w:righ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2.每月到位率≥90，得3分；</w:t>
            </w:r>
          </w:p>
          <w:p>
            <w:pPr>
              <w:spacing w:line="360" w:lineRule="exact"/>
              <w:ind w:right="6" w:righ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3.每月到位率≥85%，得2分；</w:t>
            </w:r>
          </w:p>
          <w:p>
            <w:pPr>
              <w:spacing w:line="360" w:lineRule="exact"/>
              <w:ind w:right="6" w:righ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4.每月到位率≥80，得1分。</w:t>
            </w:r>
          </w:p>
          <w:p>
            <w:pPr>
              <w:numPr>
                <w:ilvl w:val="0"/>
                <w:numId w:val="0"/>
              </w:numPr>
              <w:ind w:left="0" w:leftChars="0" w:firstLine="0" w:firstLineChars="0"/>
              <w:rPr>
                <w:rFonts w:hint="eastAsia" w:ascii="宋体" w:hAnsi="宋体" w:eastAsia="宋体" w:cs="宋体"/>
                <w:bCs/>
                <w:color w:val="000000" w:themeColor="text1"/>
                <w:spacing w:val="-4"/>
                <w:kern w:val="0"/>
                <w:sz w:val="21"/>
                <w:szCs w:val="21"/>
                <w:highlight w:val="none"/>
                <w:lang w:val="zh-CN" w:eastAsia="zh-CN" w:bidi="ar-SA"/>
                <w14:textFill>
                  <w14:solidFill>
                    <w14:schemeClr w14:val="tx1"/>
                  </w14:solidFill>
                </w14:textFill>
              </w:rPr>
            </w:pPr>
            <w:r>
              <w:rPr>
                <w:rFonts w:hint="eastAsia" w:ascii="宋体" w:hAnsi="宋体" w:eastAsia="宋体" w:cs="宋体"/>
                <w:b/>
                <w:bCs w:val="0"/>
                <w:color w:val="000000" w:themeColor="text1"/>
                <w:spacing w:val="-4"/>
                <w:kern w:val="0"/>
                <w:sz w:val="21"/>
                <w:szCs w:val="21"/>
                <w:highlight w:val="none"/>
                <w:lang w:val="en-US" w:eastAsia="zh-CN" w:bidi="ar-SA"/>
                <w14:textFill>
                  <w14:solidFill>
                    <w14:schemeClr w14:val="tx1"/>
                  </w14:solidFill>
                </w14:textFill>
              </w:rPr>
              <w:t>注;提供承诺函并加盖单位公章，格式自拟。</w:t>
            </w:r>
          </w:p>
        </w:tc>
        <w:tc>
          <w:tcPr>
            <w:tcW w:w="766" w:type="dxa"/>
            <w:noWrap w:val="0"/>
            <w:vAlign w:val="center"/>
          </w:tcPr>
          <w:p>
            <w:pPr>
              <w:numPr>
                <w:ilvl w:val="0"/>
                <w:numId w:val="0"/>
              </w:numPr>
              <w:ind w:left="0" w:leftChars="0"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28" w:type="dxa"/>
            <w:noWrap w:val="0"/>
            <w:vAlign w:val="center"/>
          </w:tcPr>
          <w:p>
            <w:pPr>
              <w:spacing w:line="360" w:lineRule="exact"/>
              <w:ind w:right="6"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915" w:type="dxa"/>
            <w:gridSpan w:val="2"/>
            <w:noWrap w:val="0"/>
            <w:vAlign w:val="center"/>
          </w:tcPr>
          <w:p>
            <w:pPr>
              <w:spacing w:line="360" w:lineRule="exact"/>
              <w:ind w:right="6" w:rightChars="0"/>
              <w:jc w:val="center"/>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lang w:val="en-US" w:eastAsia="zh-CN" w:bidi="ar-SA"/>
                <w14:textFill>
                  <w14:solidFill>
                    <w14:schemeClr w14:val="tx1"/>
                  </w14:solidFill>
                </w14:textFill>
              </w:rPr>
              <w:t>项目重点、难点分析</w:t>
            </w:r>
          </w:p>
        </w:tc>
        <w:tc>
          <w:tcPr>
            <w:tcW w:w="5626" w:type="dxa"/>
            <w:noWrap w:val="0"/>
            <w:vAlign w:val="center"/>
          </w:tcPr>
          <w:p>
            <w:pPr>
              <w:spacing w:line="360" w:lineRule="exact"/>
              <w:ind w:right="6" w:rightChars="0"/>
              <w:jc w:val="both"/>
              <w:rPr>
                <w:rFonts w:hint="eastAsia" w:ascii="宋体" w:hAnsi="宋体" w:eastAsia="宋体" w:cs="宋体"/>
                <w:bCs/>
                <w:color w:val="000000" w:themeColor="text1"/>
                <w:spacing w:val="-4"/>
                <w:kern w:val="0"/>
                <w:sz w:val="21"/>
                <w:szCs w:val="21"/>
                <w:highlight w:val="none"/>
                <w:lang w:val="en-US" w:eastAsia="zh-CN" w:bidi="ar-SA"/>
                <w14:textFill>
                  <w14:solidFill>
                    <w14:schemeClr w14:val="tx1"/>
                  </w14:solidFill>
                </w14:textFill>
              </w:rPr>
            </w:pPr>
            <w:r>
              <w:rPr>
                <w:rFonts w:hint="eastAsia" w:ascii="宋体" w:hAnsi="宋体" w:eastAsia="宋体" w:cs="宋体"/>
                <w:bCs/>
                <w:color w:val="000000" w:themeColor="text1"/>
                <w:spacing w:val="-4"/>
                <w:kern w:val="0"/>
                <w:sz w:val="21"/>
                <w:szCs w:val="21"/>
                <w:highlight w:val="none"/>
                <w:lang w:val="en-US" w:eastAsia="zh-CN" w:bidi="ar-SA"/>
                <w14:textFill>
                  <w14:solidFill>
                    <w14:schemeClr w14:val="tx1"/>
                  </w14:solidFill>
                </w14:textFill>
              </w:rPr>
              <w:t>根据本项目的采购需求，重点、难点分析是否全面、阐述合理、条理清晰符合现状措施等进行综合打分。</w:t>
            </w:r>
            <w:r>
              <w:rPr>
                <w:rFonts w:hint="eastAsia" w:ascii="宋体" w:hAnsi="宋体" w:eastAsia="宋体" w:cs="宋体"/>
                <w:sz w:val="21"/>
                <w:szCs w:val="21"/>
              </w:rPr>
              <w:t>（0-</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tc>
        <w:tc>
          <w:tcPr>
            <w:tcW w:w="766" w:type="dxa"/>
            <w:noWrap w:val="0"/>
            <w:vAlign w:val="center"/>
          </w:tcPr>
          <w:p>
            <w:pPr>
              <w:spacing w:line="360" w:lineRule="exact"/>
              <w:ind w:right="6"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28" w:type="dxa"/>
            <w:vMerge w:val="restart"/>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p>
            <w:pPr>
              <w:spacing w:line="360" w:lineRule="exact"/>
              <w:ind w:right="3" w:rightChars="0"/>
              <w:jc w:val="center"/>
              <w:rPr>
                <w:rFonts w:hint="eastAsia" w:ascii="宋体" w:hAnsi="宋体" w:eastAsia="宋体" w:cs="宋体"/>
                <w:sz w:val="21"/>
                <w:szCs w:val="21"/>
                <w:highlight w:val="none"/>
                <w:lang w:val="en-US" w:eastAsia="zh-CN"/>
              </w:rPr>
            </w:pPr>
          </w:p>
          <w:p>
            <w:pPr>
              <w:spacing w:line="360" w:lineRule="exact"/>
              <w:ind w:right="3" w:rightChars="0"/>
              <w:jc w:val="both"/>
              <w:rPr>
                <w:rFonts w:hint="eastAsia" w:ascii="宋体" w:hAnsi="宋体" w:eastAsia="宋体" w:cs="宋体"/>
                <w:sz w:val="21"/>
                <w:szCs w:val="21"/>
                <w:highlight w:val="none"/>
                <w:lang w:val="en-US" w:eastAsia="zh-CN"/>
              </w:rPr>
            </w:pPr>
          </w:p>
          <w:p>
            <w:pPr>
              <w:spacing w:line="360" w:lineRule="exact"/>
              <w:ind w:right="3" w:rightChars="0"/>
              <w:jc w:val="center"/>
              <w:rPr>
                <w:rFonts w:hint="eastAsia" w:ascii="宋体" w:hAnsi="宋体" w:eastAsia="宋体" w:cs="宋体"/>
                <w:sz w:val="21"/>
                <w:szCs w:val="21"/>
                <w:highlight w:val="none"/>
                <w:lang w:val="en-US" w:eastAsia="zh-CN"/>
              </w:rPr>
            </w:pPr>
          </w:p>
        </w:tc>
        <w:tc>
          <w:tcPr>
            <w:tcW w:w="808" w:type="dxa"/>
            <w:vMerge w:val="restart"/>
            <w:noWrap w:val="0"/>
            <w:vAlign w:val="center"/>
          </w:tcPr>
          <w:p>
            <w:pPr>
              <w:spacing w:line="360" w:lineRule="exact"/>
              <w:ind w:right="6"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施工方案</w:t>
            </w:r>
          </w:p>
        </w:tc>
        <w:tc>
          <w:tcPr>
            <w:tcW w:w="1107" w:type="dxa"/>
            <w:noWrap w:val="0"/>
            <w:vAlign w:val="center"/>
          </w:tcPr>
          <w:p>
            <w:pPr>
              <w:spacing w:line="360" w:lineRule="exact"/>
              <w:ind w:right="6"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总体方案</w:t>
            </w:r>
          </w:p>
        </w:tc>
        <w:tc>
          <w:tcPr>
            <w:tcW w:w="5626" w:type="dxa"/>
            <w:noWrap w:val="0"/>
            <w:vAlign w:val="center"/>
          </w:tcPr>
          <w:p>
            <w:pPr>
              <w:spacing w:line="36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rPr>
              <w:t>根据本项目的特点提出合理的项目总体施工方案、总体目标进行综合评议（0-</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tc>
        <w:tc>
          <w:tcPr>
            <w:tcW w:w="766" w:type="dxa"/>
            <w:noWrap w:val="0"/>
            <w:vAlign w:val="center"/>
          </w:tcPr>
          <w:p>
            <w:pPr>
              <w:spacing w:line="360" w:lineRule="exact"/>
              <w:ind w:right="3"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8" w:type="dxa"/>
            <w:vMerge w:val="continue"/>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p>
        </w:tc>
        <w:tc>
          <w:tcPr>
            <w:tcW w:w="808" w:type="dxa"/>
            <w:vMerge w:val="continue"/>
            <w:noWrap w:val="0"/>
            <w:vAlign w:val="center"/>
          </w:tcPr>
          <w:p>
            <w:pPr>
              <w:spacing w:line="360" w:lineRule="exact"/>
              <w:ind w:left="-50" w:leftChars="0"/>
              <w:jc w:val="center"/>
              <w:rPr>
                <w:rFonts w:hint="eastAsia" w:ascii="宋体" w:hAnsi="宋体" w:eastAsia="宋体" w:cs="宋体"/>
                <w:sz w:val="21"/>
                <w:szCs w:val="21"/>
              </w:rPr>
            </w:pPr>
          </w:p>
        </w:tc>
        <w:tc>
          <w:tcPr>
            <w:tcW w:w="1107" w:type="dxa"/>
            <w:vMerge w:val="restart"/>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施工总平面布置情况</w:t>
            </w:r>
          </w:p>
          <w:p>
            <w:pPr>
              <w:spacing w:line="360" w:lineRule="exact"/>
              <w:ind w:left="-50" w:leftChars="0"/>
              <w:jc w:val="both"/>
              <w:rPr>
                <w:rFonts w:hint="eastAsia" w:ascii="宋体" w:hAnsi="宋体" w:eastAsia="宋体" w:cs="宋体"/>
                <w:sz w:val="21"/>
                <w:szCs w:val="21"/>
              </w:rPr>
            </w:pPr>
          </w:p>
        </w:tc>
        <w:tc>
          <w:tcPr>
            <w:tcW w:w="5626" w:type="dxa"/>
            <w:noWrap w:val="0"/>
            <w:vAlign w:val="center"/>
          </w:tcPr>
          <w:p>
            <w:pPr>
              <w:pStyle w:val="21"/>
              <w:keepNext w:val="0"/>
              <w:keepLines w:val="0"/>
              <w:pageBreakBefore w:val="0"/>
              <w:widowControl w:val="0"/>
              <w:kinsoku/>
              <w:wordWrap/>
              <w:overflowPunct/>
              <w:topLinePunct w:val="0"/>
              <w:autoSpaceDE/>
              <w:autoSpaceDN/>
              <w:bidi w:val="0"/>
              <w:adjustRightInd/>
              <w:spacing w:after="0" w:line="240" w:lineRule="auto"/>
              <w:textAlignment w:val="auto"/>
              <w:rPr>
                <w:rFonts w:hint="eastAsia" w:ascii="宋体" w:hAnsi="宋体" w:eastAsia="宋体" w:cs="宋体"/>
                <w:sz w:val="21"/>
                <w:szCs w:val="21"/>
              </w:rPr>
            </w:pPr>
            <w:r>
              <w:rPr>
                <w:rFonts w:hint="eastAsia" w:ascii="宋体" w:hAnsi="宋体" w:eastAsia="宋体" w:cs="宋体"/>
                <w:bCs/>
                <w:color w:val="auto"/>
                <w:sz w:val="21"/>
                <w:szCs w:val="21"/>
                <w:highlight w:val="none"/>
              </w:rPr>
              <w:t>根据供应商</w:t>
            </w:r>
            <w:r>
              <w:rPr>
                <w:rFonts w:hint="eastAsia" w:ascii="宋体" w:hAnsi="宋体" w:eastAsia="宋体" w:cs="宋体"/>
                <w:color w:val="auto"/>
                <w:sz w:val="21"/>
                <w:szCs w:val="21"/>
                <w:highlight w:val="none"/>
              </w:rPr>
              <w:t>针对</w:t>
            </w:r>
            <w:r>
              <w:rPr>
                <w:rFonts w:hint="eastAsia" w:ascii="宋体" w:hAnsi="宋体" w:eastAsia="宋体" w:cs="宋体"/>
                <w:color w:val="auto"/>
                <w:sz w:val="21"/>
                <w:szCs w:val="21"/>
                <w:highlight w:val="none"/>
                <w:lang w:eastAsia="zh-CN"/>
              </w:rPr>
              <w:t>本工程</w:t>
            </w:r>
            <w:r>
              <w:rPr>
                <w:rFonts w:hint="eastAsia" w:ascii="宋体" w:hAnsi="宋体" w:eastAsia="宋体" w:cs="宋体"/>
                <w:bCs/>
                <w:color w:val="auto"/>
                <w:sz w:val="21"/>
                <w:szCs w:val="21"/>
                <w:highlight w:val="none"/>
              </w:rPr>
              <w:t>提供的</w:t>
            </w:r>
            <w:r>
              <w:rPr>
                <w:rFonts w:hint="eastAsia" w:ascii="宋体" w:hAnsi="宋体" w:eastAsia="宋体" w:cs="宋体"/>
                <w:color w:val="auto"/>
                <w:sz w:val="21"/>
                <w:szCs w:val="21"/>
                <w:highlight w:val="none"/>
              </w:rPr>
              <w:t>施工总平面布置情况是否符合施工现场实际情况，施工总平面安排是否科学合理，是否符合</w:t>
            </w:r>
            <w:r>
              <w:rPr>
                <w:rFonts w:hint="eastAsia" w:ascii="宋体" w:hAnsi="宋体" w:eastAsia="宋体" w:cs="宋体"/>
                <w:color w:val="auto"/>
                <w:sz w:val="21"/>
                <w:szCs w:val="21"/>
                <w:highlight w:val="none"/>
                <w:lang w:eastAsia="zh-CN"/>
              </w:rPr>
              <w:t>本工程</w:t>
            </w:r>
            <w:r>
              <w:rPr>
                <w:rFonts w:hint="eastAsia" w:ascii="宋体" w:hAnsi="宋体" w:eastAsia="宋体" w:cs="宋体"/>
                <w:color w:val="auto"/>
                <w:sz w:val="21"/>
                <w:szCs w:val="21"/>
                <w:highlight w:val="none"/>
              </w:rPr>
              <w:t>施工实际要求。（0-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766" w:type="dxa"/>
            <w:noWrap w:val="0"/>
            <w:vAlign w:val="center"/>
          </w:tcPr>
          <w:p>
            <w:pPr>
              <w:spacing w:line="360" w:lineRule="exact"/>
              <w:jc w:val="center"/>
              <w:rPr>
                <w:rFonts w:hint="eastAsia" w:ascii="宋体" w:hAnsi="宋体" w:eastAsia="宋体" w:cs="宋体"/>
                <w:bCs/>
                <w:kern w:val="28"/>
                <w:sz w:val="21"/>
                <w:szCs w:val="21"/>
                <w:highlight w:val="none"/>
                <w:lang w:val="en-US" w:eastAsia="zh-CN"/>
              </w:rPr>
            </w:pPr>
            <w:r>
              <w:rPr>
                <w:rFonts w:hint="eastAsia" w:ascii="宋体" w:hAnsi="宋体" w:eastAsia="宋体" w:cs="宋体"/>
                <w:bCs/>
                <w:kern w:val="28"/>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8" w:type="dxa"/>
            <w:vMerge w:val="continue"/>
            <w:noWrap w:val="0"/>
            <w:vAlign w:val="center"/>
          </w:tcPr>
          <w:p>
            <w:pPr>
              <w:spacing w:line="360" w:lineRule="exact"/>
              <w:rPr>
                <w:rFonts w:hint="eastAsia" w:ascii="宋体" w:hAnsi="宋体" w:eastAsia="宋体" w:cs="宋体"/>
                <w:sz w:val="21"/>
                <w:szCs w:val="21"/>
              </w:rPr>
            </w:pPr>
          </w:p>
        </w:tc>
        <w:tc>
          <w:tcPr>
            <w:tcW w:w="808" w:type="dxa"/>
            <w:vMerge w:val="continue"/>
            <w:noWrap w:val="0"/>
            <w:vAlign w:val="center"/>
          </w:tcPr>
          <w:p>
            <w:pPr>
              <w:spacing w:line="360" w:lineRule="exact"/>
              <w:rPr>
                <w:rFonts w:hint="eastAsia" w:ascii="宋体" w:hAnsi="宋体" w:eastAsia="宋体" w:cs="宋体"/>
                <w:sz w:val="21"/>
                <w:szCs w:val="21"/>
              </w:rPr>
            </w:pPr>
          </w:p>
        </w:tc>
        <w:tc>
          <w:tcPr>
            <w:tcW w:w="1107" w:type="dxa"/>
            <w:vMerge w:val="continue"/>
            <w:noWrap w:val="0"/>
            <w:vAlign w:val="center"/>
          </w:tcPr>
          <w:p>
            <w:pPr>
              <w:spacing w:line="360" w:lineRule="exact"/>
              <w:rPr>
                <w:rFonts w:hint="eastAsia" w:ascii="宋体" w:hAnsi="宋体" w:eastAsia="宋体" w:cs="宋体"/>
                <w:sz w:val="21"/>
                <w:szCs w:val="21"/>
              </w:rPr>
            </w:pPr>
          </w:p>
        </w:tc>
        <w:tc>
          <w:tcPr>
            <w:tcW w:w="5626" w:type="dxa"/>
            <w:noWrap w:val="0"/>
            <w:vAlign w:val="center"/>
          </w:tcPr>
          <w:p>
            <w:pPr>
              <w:pStyle w:val="21"/>
              <w:keepNext w:val="0"/>
              <w:keepLines w:val="0"/>
              <w:pageBreakBefore w:val="0"/>
              <w:widowControl w:val="0"/>
              <w:kinsoku/>
              <w:wordWrap/>
              <w:overflowPunct/>
              <w:topLinePunct w:val="0"/>
              <w:autoSpaceDE/>
              <w:autoSpaceDN/>
              <w:bidi w:val="0"/>
              <w:adjustRightInd/>
              <w:spacing w:after="0" w:line="240" w:lineRule="auto"/>
              <w:textAlignment w:val="auto"/>
              <w:rPr>
                <w:rFonts w:hint="eastAsia" w:ascii="宋体" w:hAnsi="宋体" w:eastAsia="宋体" w:cs="宋体"/>
                <w:sz w:val="21"/>
                <w:szCs w:val="21"/>
              </w:rPr>
            </w:pPr>
            <w:r>
              <w:rPr>
                <w:rFonts w:hint="eastAsia" w:ascii="宋体" w:hAnsi="宋体" w:eastAsia="宋体" w:cs="宋体"/>
                <w:bCs/>
                <w:color w:val="auto"/>
                <w:sz w:val="21"/>
                <w:szCs w:val="21"/>
                <w:highlight w:val="none"/>
              </w:rPr>
              <w:t>根据供应商</w:t>
            </w:r>
            <w:r>
              <w:rPr>
                <w:rFonts w:hint="eastAsia" w:ascii="宋体" w:hAnsi="宋体" w:eastAsia="宋体" w:cs="宋体"/>
                <w:color w:val="auto"/>
                <w:sz w:val="21"/>
                <w:szCs w:val="21"/>
                <w:highlight w:val="none"/>
              </w:rPr>
              <w:t>针对</w:t>
            </w:r>
            <w:r>
              <w:rPr>
                <w:rFonts w:hint="eastAsia" w:ascii="宋体" w:hAnsi="宋体" w:eastAsia="宋体" w:cs="宋体"/>
                <w:color w:val="auto"/>
                <w:sz w:val="21"/>
                <w:szCs w:val="21"/>
                <w:highlight w:val="none"/>
                <w:lang w:eastAsia="zh-CN"/>
              </w:rPr>
              <w:t>本工程</w:t>
            </w:r>
            <w:r>
              <w:rPr>
                <w:rFonts w:hint="eastAsia" w:ascii="宋体" w:hAnsi="宋体" w:eastAsia="宋体" w:cs="宋体"/>
                <w:bCs/>
                <w:color w:val="auto"/>
                <w:sz w:val="21"/>
                <w:szCs w:val="21"/>
                <w:highlight w:val="none"/>
              </w:rPr>
              <w:t>提供的</w:t>
            </w:r>
            <w:r>
              <w:rPr>
                <w:rFonts w:hint="eastAsia" w:ascii="宋体" w:hAnsi="宋体" w:eastAsia="宋体" w:cs="宋体"/>
                <w:color w:val="auto"/>
                <w:sz w:val="21"/>
                <w:szCs w:val="21"/>
                <w:highlight w:val="none"/>
              </w:rPr>
              <w:t>材料堆场、施工通道的安排和施工人员住宿安排计划的是否具有科学性、合理性等进行综合评分。（0-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766" w:type="dxa"/>
            <w:noWrap w:val="0"/>
            <w:vAlign w:val="center"/>
          </w:tcPr>
          <w:p>
            <w:pPr>
              <w:spacing w:line="360" w:lineRule="exact"/>
              <w:rPr>
                <w:rFonts w:hint="eastAsia" w:ascii="宋体" w:hAnsi="宋体" w:eastAsia="宋体" w:cs="宋体"/>
                <w:sz w:val="21"/>
                <w:szCs w:val="21"/>
                <w:lang w:val="en-US" w:eastAsia="zh-CN"/>
              </w:rPr>
            </w:pPr>
            <w:r>
              <w:rPr>
                <w:rFonts w:hint="eastAsia" w:ascii="宋体" w:hAnsi="宋体" w:eastAsia="宋体" w:cs="宋体"/>
                <w:bCs/>
                <w:kern w:val="28"/>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728" w:type="dxa"/>
            <w:vMerge w:val="continue"/>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p>
        </w:tc>
        <w:tc>
          <w:tcPr>
            <w:tcW w:w="808" w:type="dxa"/>
            <w:vMerge w:val="continue"/>
            <w:noWrap w:val="0"/>
            <w:vAlign w:val="center"/>
          </w:tcPr>
          <w:p>
            <w:pPr>
              <w:spacing w:line="360" w:lineRule="exact"/>
              <w:ind w:left="-50" w:leftChars="0"/>
              <w:jc w:val="center"/>
              <w:rPr>
                <w:rFonts w:hint="eastAsia" w:ascii="宋体" w:hAnsi="宋体" w:eastAsia="宋体" w:cs="宋体"/>
                <w:snapToGrid w:val="0"/>
                <w:sz w:val="21"/>
                <w:szCs w:val="21"/>
                <w:highlight w:val="none"/>
              </w:rPr>
            </w:pPr>
          </w:p>
        </w:tc>
        <w:tc>
          <w:tcPr>
            <w:tcW w:w="1107"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安全生产方案</w:t>
            </w:r>
          </w:p>
          <w:p>
            <w:pPr>
              <w:spacing w:line="360" w:lineRule="exact"/>
              <w:ind w:left="-50" w:leftChars="0"/>
              <w:jc w:val="center"/>
              <w:rPr>
                <w:rFonts w:hint="eastAsia" w:ascii="宋体" w:hAnsi="宋体" w:eastAsia="宋体" w:cs="宋体"/>
                <w:snapToGrid w:val="0"/>
                <w:kern w:val="2"/>
                <w:sz w:val="21"/>
                <w:szCs w:val="21"/>
                <w:highlight w:val="none"/>
                <w:lang w:val="en-US" w:eastAsia="zh-CN" w:bidi="ar-SA"/>
              </w:rPr>
            </w:pPr>
          </w:p>
        </w:tc>
        <w:tc>
          <w:tcPr>
            <w:tcW w:w="5626" w:type="dxa"/>
            <w:noWrap w:val="0"/>
            <w:vAlign w:val="center"/>
          </w:tcPr>
          <w:p>
            <w:pPr>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sz w:val="21"/>
                <w:szCs w:val="21"/>
                <w:highlight w:val="none"/>
              </w:rPr>
              <w:t>根据供应商针对本工程提供的确保安全生产方案是否具有合理性、可行性等进行综合评分。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0-4分</w:t>
            </w:r>
            <w:r>
              <w:rPr>
                <w:rFonts w:hint="eastAsia" w:ascii="宋体" w:hAnsi="宋体" w:eastAsia="宋体" w:cs="宋体"/>
                <w:color w:val="auto"/>
                <w:sz w:val="21"/>
                <w:szCs w:val="21"/>
                <w:highlight w:val="none"/>
                <w:lang w:eastAsia="zh-CN"/>
              </w:rPr>
              <w:t>）</w:t>
            </w:r>
          </w:p>
        </w:tc>
        <w:tc>
          <w:tcPr>
            <w:tcW w:w="766" w:type="dxa"/>
            <w:noWrap w:val="0"/>
            <w:vAlign w:val="center"/>
          </w:tcPr>
          <w:p>
            <w:pPr>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28" w:type="dxa"/>
            <w:vMerge w:val="continue"/>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p>
        </w:tc>
        <w:tc>
          <w:tcPr>
            <w:tcW w:w="808" w:type="dxa"/>
            <w:vMerge w:val="continue"/>
            <w:noWrap w:val="0"/>
            <w:vAlign w:val="center"/>
          </w:tcPr>
          <w:p>
            <w:pPr>
              <w:spacing w:line="360" w:lineRule="exact"/>
              <w:ind w:left="-50" w:leftChars="0"/>
              <w:jc w:val="center"/>
              <w:rPr>
                <w:rFonts w:hint="eastAsia" w:ascii="宋体" w:hAnsi="宋体" w:eastAsia="宋体" w:cs="宋体"/>
                <w:snapToGrid w:val="0"/>
                <w:sz w:val="21"/>
                <w:szCs w:val="21"/>
                <w:highlight w:val="none"/>
              </w:rPr>
            </w:pPr>
          </w:p>
        </w:tc>
        <w:tc>
          <w:tcPr>
            <w:tcW w:w="1107"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文明施工方案</w:t>
            </w:r>
          </w:p>
          <w:p>
            <w:pPr>
              <w:spacing w:line="360" w:lineRule="exact"/>
              <w:ind w:left="-50" w:leftChars="0"/>
              <w:jc w:val="center"/>
              <w:rPr>
                <w:rFonts w:hint="eastAsia" w:ascii="宋体" w:hAnsi="宋体" w:eastAsia="宋体" w:cs="宋体"/>
                <w:color w:val="000000" w:themeColor="text1"/>
                <w:sz w:val="21"/>
                <w:szCs w:val="21"/>
                <w14:textFill>
                  <w14:solidFill>
                    <w14:schemeClr w14:val="tx1"/>
                  </w14:solidFill>
                </w14:textFill>
              </w:rPr>
            </w:pPr>
          </w:p>
        </w:tc>
        <w:tc>
          <w:tcPr>
            <w:tcW w:w="5626" w:type="dxa"/>
            <w:noWrap w:val="0"/>
            <w:vAlign w:val="center"/>
          </w:tcPr>
          <w:p>
            <w:pPr>
              <w:tabs>
                <w:tab w:val="left" w:pos="4915"/>
              </w:tabs>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highlight w:val="none"/>
              </w:rPr>
              <w:t>根据供应商针对本工程提供的文明施工方案是否具有合理性、可行性等进行综合评分。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0-3分</w:t>
            </w:r>
            <w:r>
              <w:rPr>
                <w:rFonts w:hint="eastAsia" w:ascii="宋体" w:hAnsi="宋体" w:eastAsia="宋体" w:cs="宋体"/>
                <w:color w:val="auto"/>
                <w:sz w:val="21"/>
                <w:szCs w:val="21"/>
                <w:highlight w:val="none"/>
                <w:lang w:eastAsia="zh-CN"/>
              </w:rPr>
              <w:t>）</w:t>
            </w:r>
          </w:p>
        </w:tc>
        <w:tc>
          <w:tcPr>
            <w:tcW w:w="766" w:type="dxa"/>
            <w:noWrap w:val="0"/>
            <w:vAlign w:val="center"/>
          </w:tcPr>
          <w:p>
            <w:pPr>
              <w:spacing w:line="360" w:lineRule="exact"/>
              <w:ind w:right="6" w:rightChars="0"/>
              <w:jc w:val="center"/>
              <w:rPr>
                <w:rFonts w:hint="eastAsia" w:ascii="宋体" w:hAnsi="宋体" w:eastAsia="宋体" w:cs="宋体"/>
                <w:snapToGrid w:val="0"/>
                <w:sz w:val="21"/>
                <w:szCs w:val="21"/>
                <w:highlight w:val="none"/>
                <w:lang w:val="en-US" w:eastAsia="zh-CN"/>
              </w:rPr>
            </w:pPr>
            <w:r>
              <w:rPr>
                <w:rFonts w:hint="eastAsia" w:ascii="宋体" w:hAnsi="宋体" w:eastAsia="宋体" w:cs="宋体"/>
                <w:snapToGrid w:val="0"/>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728" w:type="dxa"/>
            <w:vMerge w:val="continue"/>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p>
        </w:tc>
        <w:tc>
          <w:tcPr>
            <w:tcW w:w="808" w:type="dxa"/>
            <w:vMerge w:val="continue"/>
            <w:noWrap w:val="0"/>
            <w:vAlign w:val="center"/>
          </w:tcPr>
          <w:p>
            <w:pPr>
              <w:spacing w:line="360" w:lineRule="exact"/>
              <w:ind w:left="-50" w:leftChars="0"/>
              <w:jc w:val="center"/>
              <w:rPr>
                <w:rFonts w:hint="eastAsia" w:ascii="宋体" w:hAnsi="宋体" w:eastAsia="宋体" w:cs="宋体"/>
                <w:snapToGrid w:val="0"/>
                <w:sz w:val="21"/>
                <w:szCs w:val="21"/>
                <w:highlight w:val="none"/>
              </w:rPr>
            </w:pPr>
          </w:p>
        </w:tc>
        <w:tc>
          <w:tcPr>
            <w:tcW w:w="1107" w:type="dxa"/>
            <w:noWrap w:val="0"/>
            <w:vAlign w:val="center"/>
          </w:tcPr>
          <w:p>
            <w:pPr>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重点部位施工方案及安全保证措施</w:t>
            </w:r>
          </w:p>
        </w:tc>
        <w:tc>
          <w:tcPr>
            <w:tcW w:w="5626" w:type="dxa"/>
            <w:noWrap w:val="0"/>
            <w:vAlign w:val="center"/>
          </w:tcPr>
          <w:p>
            <w:pPr>
              <w:snapToGrid w:val="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Cs/>
                <w:color w:val="auto"/>
                <w:sz w:val="21"/>
                <w:szCs w:val="21"/>
                <w:highlight w:val="none"/>
              </w:rPr>
              <w:t>根据供应商提供的</w:t>
            </w:r>
            <w:r>
              <w:rPr>
                <w:rFonts w:hint="eastAsia" w:ascii="宋体" w:hAnsi="宋体" w:eastAsia="宋体" w:cs="宋体"/>
                <w:color w:val="auto"/>
                <w:sz w:val="21"/>
                <w:szCs w:val="21"/>
                <w:highlight w:val="none"/>
              </w:rPr>
              <w:t>针对本工程重点部位的施工方案及安全保证措施是否科学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有针对性</w:t>
            </w:r>
            <w:r>
              <w:rPr>
                <w:rFonts w:hint="eastAsia" w:ascii="宋体" w:hAnsi="宋体" w:eastAsia="宋体" w:cs="宋体"/>
                <w:color w:val="auto"/>
                <w:sz w:val="21"/>
                <w:szCs w:val="21"/>
                <w:highlight w:val="none"/>
              </w:rPr>
              <w:t>等进行综合评分。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0-4分</w:t>
            </w:r>
            <w:r>
              <w:rPr>
                <w:rFonts w:hint="eastAsia" w:ascii="宋体" w:hAnsi="宋体" w:eastAsia="宋体" w:cs="宋体"/>
                <w:color w:val="auto"/>
                <w:sz w:val="21"/>
                <w:szCs w:val="21"/>
                <w:highlight w:val="none"/>
                <w:lang w:eastAsia="zh-CN"/>
              </w:rPr>
              <w:t>）</w:t>
            </w:r>
          </w:p>
        </w:tc>
        <w:tc>
          <w:tcPr>
            <w:tcW w:w="766" w:type="dxa"/>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728" w:type="dxa"/>
            <w:vMerge w:val="continue"/>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p>
        </w:tc>
        <w:tc>
          <w:tcPr>
            <w:tcW w:w="808" w:type="dxa"/>
            <w:vMerge w:val="continue"/>
            <w:noWrap w:val="0"/>
            <w:vAlign w:val="center"/>
          </w:tcPr>
          <w:p>
            <w:pPr>
              <w:spacing w:line="360" w:lineRule="exact"/>
              <w:ind w:left="-50" w:leftChars="0"/>
              <w:jc w:val="center"/>
              <w:rPr>
                <w:rFonts w:hint="eastAsia" w:ascii="宋体" w:hAnsi="宋体" w:eastAsia="宋体" w:cs="宋体"/>
                <w:snapToGrid w:val="0"/>
                <w:sz w:val="21"/>
                <w:szCs w:val="21"/>
                <w:highlight w:val="none"/>
              </w:rPr>
            </w:pPr>
          </w:p>
        </w:tc>
        <w:tc>
          <w:tcPr>
            <w:tcW w:w="1107" w:type="dxa"/>
            <w:noWrap w:val="0"/>
            <w:vAlign w:val="center"/>
          </w:tcPr>
          <w:p>
            <w:pPr>
              <w:spacing w:line="360" w:lineRule="exact"/>
              <w:ind w:right="3"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rPr>
              <w:t>环保管理措施</w:t>
            </w:r>
          </w:p>
        </w:tc>
        <w:tc>
          <w:tcPr>
            <w:tcW w:w="5626" w:type="dxa"/>
            <w:noWrap w:val="0"/>
            <w:vAlign w:val="center"/>
          </w:tcPr>
          <w:p>
            <w:pPr>
              <w:tabs>
                <w:tab w:val="left" w:pos="4915"/>
              </w:tabs>
              <w:spacing w:line="36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rPr>
              <w:t>根据供应商提供的环保管理措施（包括但不仅限于防噪音、防扬尘、防刺鼻气味，空气检测、空气治理、与周边环境保护等施工环境维护保障措施等）进行综合评议。</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0-4分</w:t>
            </w:r>
            <w:r>
              <w:rPr>
                <w:rFonts w:hint="eastAsia" w:ascii="宋体" w:hAnsi="宋体" w:eastAsia="宋体" w:cs="宋体"/>
                <w:sz w:val="21"/>
                <w:szCs w:val="21"/>
                <w:lang w:eastAsia="zh-CN"/>
              </w:rPr>
              <w:t>）</w:t>
            </w:r>
          </w:p>
        </w:tc>
        <w:tc>
          <w:tcPr>
            <w:tcW w:w="766" w:type="dxa"/>
            <w:noWrap w:val="0"/>
            <w:vAlign w:val="center"/>
          </w:tcPr>
          <w:p>
            <w:pPr>
              <w:spacing w:line="360" w:lineRule="exact"/>
              <w:ind w:right="3"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728" w:type="dxa"/>
            <w:vMerge w:val="continue"/>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p>
        </w:tc>
        <w:tc>
          <w:tcPr>
            <w:tcW w:w="808" w:type="dxa"/>
            <w:vMerge w:val="continue"/>
            <w:noWrap w:val="0"/>
            <w:vAlign w:val="center"/>
          </w:tcPr>
          <w:p>
            <w:pPr>
              <w:spacing w:line="360" w:lineRule="exact"/>
              <w:ind w:left="-50" w:leftChars="0"/>
              <w:jc w:val="center"/>
              <w:rPr>
                <w:rFonts w:hint="eastAsia" w:ascii="宋体" w:hAnsi="宋体" w:eastAsia="宋体" w:cs="宋体"/>
                <w:snapToGrid w:val="0"/>
                <w:sz w:val="21"/>
                <w:szCs w:val="21"/>
                <w:highlight w:val="none"/>
              </w:rPr>
            </w:pPr>
          </w:p>
        </w:tc>
        <w:tc>
          <w:tcPr>
            <w:tcW w:w="1107" w:type="dxa"/>
            <w:noWrap w:val="0"/>
            <w:vAlign w:val="center"/>
          </w:tcPr>
          <w:p>
            <w:pPr>
              <w:spacing w:line="360" w:lineRule="exact"/>
              <w:ind w:left="-50" w:leftChars="0"/>
              <w:jc w:val="center"/>
              <w:rPr>
                <w:rFonts w:hint="eastAsia" w:ascii="宋体" w:hAnsi="宋体" w:eastAsia="宋体" w:cs="宋体"/>
                <w:snapToGrid w:val="0"/>
                <w:sz w:val="21"/>
                <w:szCs w:val="21"/>
                <w:highlight w:val="none"/>
              </w:rPr>
            </w:pPr>
            <w:r>
              <w:rPr>
                <w:rFonts w:hint="eastAsia" w:ascii="宋体" w:hAnsi="宋体" w:eastAsia="宋体" w:cs="宋体"/>
                <w:color w:val="000000" w:themeColor="text1"/>
                <w:sz w:val="21"/>
                <w:szCs w:val="21"/>
                <w14:textFill>
                  <w14:solidFill>
                    <w14:schemeClr w14:val="tx1"/>
                  </w14:solidFill>
                </w14:textFill>
              </w:rPr>
              <w:t>施工组织管理制度</w:t>
            </w:r>
          </w:p>
        </w:tc>
        <w:tc>
          <w:tcPr>
            <w:tcW w:w="5626" w:type="dxa"/>
            <w:noWrap w:val="0"/>
            <w:vAlign w:val="center"/>
          </w:tcPr>
          <w:p>
            <w:pPr>
              <w:tabs>
                <w:tab w:val="left" w:pos="4915"/>
              </w:tabs>
              <w:spacing w:line="360" w:lineRule="exact"/>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根据供应商针对本项目的项目施工组织管理制度施工组织架构的科学性、合理性进行打分。（0-</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w:t>
            </w:r>
          </w:p>
        </w:tc>
        <w:tc>
          <w:tcPr>
            <w:tcW w:w="766" w:type="dxa"/>
            <w:noWrap w:val="0"/>
            <w:vAlign w:val="center"/>
          </w:tcPr>
          <w:p>
            <w:pPr>
              <w:spacing w:line="360" w:lineRule="exact"/>
              <w:ind w:right="6" w:rightChars="0"/>
              <w:jc w:val="center"/>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napToGrid w:val="0"/>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28" w:type="dxa"/>
            <w:vMerge w:val="restart"/>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915" w:type="dxa"/>
            <w:gridSpan w:val="2"/>
            <w:vMerge w:val="restart"/>
            <w:noWrap w:val="0"/>
            <w:vAlign w:val="center"/>
          </w:tcPr>
          <w:p>
            <w:pPr>
              <w:spacing w:line="360" w:lineRule="exact"/>
              <w:ind w:left="-50" w:leftChars="0"/>
              <w:jc w:val="center"/>
              <w:rPr>
                <w:rFonts w:hint="eastAsia" w:ascii="宋体" w:hAnsi="宋体" w:eastAsia="宋体" w:cs="宋体"/>
                <w:snapToGrid w:val="0"/>
                <w:sz w:val="21"/>
                <w:szCs w:val="21"/>
                <w:highlight w:val="none"/>
              </w:rPr>
            </w:pPr>
            <w:r>
              <w:rPr>
                <w:rFonts w:hint="eastAsia" w:ascii="宋体" w:hAnsi="宋体" w:eastAsia="宋体" w:cs="宋体"/>
                <w:color w:val="000000" w:themeColor="text1"/>
                <w:sz w:val="21"/>
                <w:szCs w:val="21"/>
                <w:lang w:val="en-US" w:eastAsia="zh-CN"/>
                <w14:textFill>
                  <w14:solidFill>
                    <w14:schemeClr w14:val="tx1"/>
                  </w14:solidFill>
                </w14:textFill>
              </w:rPr>
              <w:t>施工进度</w:t>
            </w:r>
          </w:p>
        </w:tc>
        <w:tc>
          <w:tcPr>
            <w:tcW w:w="5626" w:type="dxa"/>
            <w:noWrap w:val="0"/>
            <w:vAlign w:val="center"/>
          </w:tcPr>
          <w:p>
            <w:pPr>
              <w:spacing w:line="360" w:lineRule="exact"/>
              <w:rPr>
                <w:rFonts w:hint="eastAsia" w:ascii="宋体" w:hAnsi="宋体" w:eastAsia="宋体" w:cs="宋体"/>
                <w:sz w:val="21"/>
                <w:szCs w:val="21"/>
                <w:highlight w:val="none"/>
                <w:lang w:val="en-US"/>
              </w:rPr>
            </w:pPr>
            <w:r>
              <w:rPr>
                <w:rFonts w:hint="eastAsia" w:ascii="宋体" w:hAnsi="宋体" w:eastAsia="宋体" w:cs="宋体"/>
                <w:sz w:val="21"/>
                <w:szCs w:val="21"/>
              </w:rPr>
              <w:t>根据</w:t>
            </w:r>
            <w:r>
              <w:rPr>
                <w:rFonts w:hint="eastAsia" w:ascii="宋体" w:hAnsi="宋体" w:eastAsia="宋体" w:cs="宋体"/>
                <w:sz w:val="21"/>
                <w:szCs w:val="21"/>
                <w:lang w:val="en-US" w:eastAsia="zh-CN"/>
              </w:rPr>
              <w:t>本项目整体工作阶段及任务划分</w:t>
            </w:r>
            <w:r>
              <w:rPr>
                <w:rFonts w:hint="eastAsia" w:ascii="宋体" w:hAnsi="宋体" w:eastAsia="宋体" w:cs="宋体"/>
                <w:sz w:val="21"/>
                <w:szCs w:val="21"/>
              </w:rPr>
              <w:t>方案详实情况</w:t>
            </w:r>
            <w:r>
              <w:rPr>
                <w:rFonts w:hint="eastAsia" w:ascii="宋体" w:hAnsi="宋体" w:eastAsia="宋体" w:cs="宋体"/>
                <w:sz w:val="21"/>
                <w:szCs w:val="21"/>
                <w:lang w:val="en-US" w:eastAsia="zh-CN"/>
              </w:rPr>
              <w:t>进行评分（0-3）</w:t>
            </w:r>
          </w:p>
        </w:tc>
        <w:tc>
          <w:tcPr>
            <w:tcW w:w="766" w:type="dxa"/>
            <w:noWrap w:val="0"/>
            <w:vAlign w:val="center"/>
          </w:tcPr>
          <w:p>
            <w:pPr>
              <w:spacing w:line="360" w:lineRule="exact"/>
              <w:ind w:right="3" w:rightChars="0"/>
              <w:jc w:val="center"/>
              <w:rPr>
                <w:rFonts w:hint="eastAsia" w:ascii="宋体" w:hAnsi="宋体" w:eastAsia="宋体" w:cs="宋体"/>
                <w:bCs/>
                <w:kern w:val="28"/>
                <w:sz w:val="21"/>
                <w:szCs w:val="21"/>
                <w:highlight w:val="none"/>
                <w:lang w:val="en-US" w:eastAsia="zh-CN" w:bidi="ar-SA"/>
              </w:rPr>
            </w:pPr>
            <w:r>
              <w:rPr>
                <w:rFonts w:hint="eastAsia" w:ascii="宋体" w:hAnsi="宋体" w:eastAsia="宋体" w:cs="宋体"/>
                <w:bCs/>
                <w:kern w:val="28"/>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28" w:type="dxa"/>
            <w:vMerge w:val="continue"/>
            <w:noWrap w:val="0"/>
            <w:vAlign w:val="center"/>
          </w:tcPr>
          <w:p>
            <w:pPr>
              <w:spacing w:line="360" w:lineRule="exact"/>
              <w:rPr>
                <w:rFonts w:hint="eastAsia" w:ascii="宋体" w:hAnsi="宋体" w:eastAsia="宋体" w:cs="宋体"/>
                <w:sz w:val="21"/>
                <w:szCs w:val="21"/>
              </w:rPr>
            </w:pPr>
          </w:p>
        </w:tc>
        <w:tc>
          <w:tcPr>
            <w:tcW w:w="1915" w:type="dxa"/>
            <w:gridSpan w:val="2"/>
            <w:vMerge w:val="continue"/>
            <w:noWrap w:val="0"/>
            <w:vAlign w:val="center"/>
          </w:tcPr>
          <w:p>
            <w:pPr>
              <w:spacing w:line="360" w:lineRule="exact"/>
              <w:rPr>
                <w:rFonts w:hint="eastAsia" w:ascii="宋体" w:hAnsi="宋体" w:eastAsia="宋体" w:cs="宋体"/>
                <w:sz w:val="21"/>
                <w:szCs w:val="21"/>
              </w:rPr>
            </w:pPr>
          </w:p>
        </w:tc>
        <w:tc>
          <w:tcPr>
            <w:tcW w:w="5626" w:type="dxa"/>
            <w:noWrap w:val="0"/>
            <w:vAlign w:val="center"/>
          </w:tcPr>
          <w:p>
            <w:pPr>
              <w:spacing w:line="3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根据本项目进度控制是否合理、关键时间节点把握是否科学准确进行评分（0-3）</w:t>
            </w:r>
          </w:p>
        </w:tc>
        <w:tc>
          <w:tcPr>
            <w:tcW w:w="766"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28" w:type="dxa"/>
            <w:vMerge w:val="continue"/>
            <w:noWrap w:val="0"/>
            <w:vAlign w:val="center"/>
          </w:tcPr>
          <w:p>
            <w:pPr>
              <w:spacing w:line="360" w:lineRule="exact"/>
              <w:rPr>
                <w:rFonts w:hint="eastAsia" w:ascii="宋体" w:hAnsi="宋体" w:eastAsia="宋体" w:cs="宋体"/>
                <w:sz w:val="21"/>
                <w:szCs w:val="21"/>
              </w:rPr>
            </w:pPr>
          </w:p>
        </w:tc>
        <w:tc>
          <w:tcPr>
            <w:tcW w:w="1915" w:type="dxa"/>
            <w:gridSpan w:val="2"/>
            <w:vMerge w:val="continue"/>
            <w:noWrap w:val="0"/>
            <w:vAlign w:val="center"/>
          </w:tcPr>
          <w:p>
            <w:pPr>
              <w:spacing w:line="360" w:lineRule="exact"/>
              <w:rPr>
                <w:rFonts w:hint="eastAsia" w:ascii="宋体" w:hAnsi="宋体" w:eastAsia="宋体" w:cs="宋体"/>
                <w:sz w:val="21"/>
                <w:szCs w:val="21"/>
              </w:rPr>
            </w:pPr>
          </w:p>
        </w:tc>
        <w:tc>
          <w:tcPr>
            <w:tcW w:w="5626" w:type="dxa"/>
            <w:noWrap w:val="0"/>
            <w:vAlign w:val="center"/>
          </w:tcPr>
          <w:p>
            <w:pPr>
              <w:spacing w:line="360" w:lineRule="exact"/>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14:textFill>
                  <w14:solidFill>
                    <w14:schemeClr w14:val="tx1"/>
                  </w14:solidFill>
                </w14:textFill>
              </w:rPr>
              <w:t>根据</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lang w:val="en-US" w:eastAsia="zh-CN"/>
                <w14:textFill>
                  <w14:solidFill>
                    <w14:schemeClr w14:val="tx1"/>
                  </w14:solidFill>
                </w14:textFill>
              </w:rPr>
              <w:t>施工劳动力安排计划</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为了保证施工进度，考虑施工会出现阻扰、投诉等</w:t>
            </w:r>
            <w:r>
              <w:rPr>
                <w:rFonts w:hint="eastAsia" w:ascii="宋体" w:hAnsi="宋体" w:eastAsia="宋体" w:cs="宋体"/>
                <w:color w:val="000000" w:themeColor="text1"/>
                <w:sz w:val="21"/>
                <w:szCs w:val="21"/>
                <w14:textFill>
                  <w14:solidFill>
                    <w14:schemeClr w14:val="tx1"/>
                  </w14:solidFill>
                </w14:textFill>
              </w:rPr>
              <w:t>情况</w:t>
            </w:r>
            <w:r>
              <w:rPr>
                <w:rFonts w:hint="eastAsia" w:ascii="宋体" w:hAnsi="宋体" w:eastAsia="宋体" w:cs="宋体"/>
                <w:color w:val="000000" w:themeColor="text1"/>
                <w:sz w:val="21"/>
                <w:szCs w:val="21"/>
                <w:lang w:val="en-US" w:eastAsia="zh-CN"/>
                <w14:textFill>
                  <w14:solidFill>
                    <w14:schemeClr w14:val="tx1"/>
                  </w14:solidFill>
                </w14:textFill>
              </w:rPr>
              <w:t>的处理方案，</w:t>
            </w:r>
            <w:r>
              <w:rPr>
                <w:rFonts w:hint="eastAsia" w:ascii="宋体" w:hAnsi="宋体" w:eastAsia="宋体" w:cs="宋体"/>
                <w:color w:val="000000" w:themeColor="text1"/>
                <w:sz w:val="21"/>
                <w:szCs w:val="21"/>
                <w14:textFill>
                  <w14:solidFill>
                    <w14:schemeClr w14:val="tx1"/>
                  </w14:solidFill>
                </w14:textFill>
              </w:rPr>
              <w:t>进行评分。（</w:t>
            </w:r>
            <w:r>
              <w:rPr>
                <w:rFonts w:hint="eastAsia" w:ascii="宋体" w:hAnsi="宋体" w:eastAsia="宋体" w:cs="宋体"/>
                <w:b w:val="0"/>
                <w:bCs w:val="0"/>
                <w:strike w:val="0"/>
                <w:dstrike w:val="0"/>
                <w:color w:val="000000" w:themeColor="text1"/>
                <w:sz w:val="21"/>
                <w:szCs w:val="21"/>
                <w:highlight w:val="none"/>
                <w:lang w:val="en-US" w:eastAsia="zh-CN"/>
                <w14:textFill>
                  <w14:solidFill>
                    <w14:schemeClr w14:val="tx1"/>
                  </w14:solidFill>
                </w14:textFill>
              </w:rPr>
              <w:t>0-4</w:t>
            </w:r>
            <w:r>
              <w:rPr>
                <w:rFonts w:hint="eastAsia" w:ascii="宋体" w:hAnsi="宋体" w:eastAsia="宋体" w:cs="宋体"/>
                <w:color w:val="000000" w:themeColor="text1"/>
                <w:sz w:val="21"/>
                <w:szCs w:val="21"/>
                <w14:textFill>
                  <w14:solidFill>
                    <w14:schemeClr w14:val="tx1"/>
                  </w14:solidFill>
                </w14:textFill>
              </w:rPr>
              <w:t>分）</w:t>
            </w:r>
          </w:p>
        </w:tc>
        <w:tc>
          <w:tcPr>
            <w:tcW w:w="766"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28" w:type="dxa"/>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915" w:type="dxa"/>
            <w:gridSpan w:val="2"/>
            <w:noWrap w:val="0"/>
            <w:vAlign w:val="center"/>
          </w:tcPr>
          <w:p>
            <w:pPr>
              <w:spacing w:line="360" w:lineRule="exact"/>
              <w:ind w:left="-50" w:leftChars="0"/>
              <w:jc w:val="center"/>
              <w:rPr>
                <w:rFonts w:hint="eastAsia" w:ascii="宋体" w:hAnsi="宋体" w:eastAsia="宋体" w:cs="宋体"/>
                <w:snapToGrid w:val="0"/>
                <w:sz w:val="21"/>
                <w:szCs w:val="21"/>
                <w:highlight w:val="none"/>
                <w:lang w:val="en-US" w:eastAsia="zh-CN"/>
              </w:rPr>
            </w:pPr>
            <w:r>
              <w:rPr>
                <w:rFonts w:hint="eastAsia" w:ascii="宋体" w:hAnsi="宋体" w:eastAsia="宋体" w:cs="宋体"/>
                <w:snapToGrid w:val="0"/>
                <w:sz w:val="21"/>
                <w:szCs w:val="21"/>
                <w:highlight w:val="none"/>
              </w:rPr>
              <w:t>工程质量保障措施</w:t>
            </w:r>
          </w:p>
        </w:tc>
        <w:tc>
          <w:tcPr>
            <w:tcW w:w="5626" w:type="dxa"/>
            <w:noWrap w:val="0"/>
            <w:vAlign w:val="center"/>
          </w:tcPr>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根据供应商提供的质量保障措施（包括但不限于材料、设备质量保障措施）进行评分。（0-4分）</w:t>
            </w:r>
          </w:p>
        </w:tc>
        <w:tc>
          <w:tcPr>
            <w:tcW w:w="766" w:type="dxa"/>
            <w:noWrap w:val="0"/>
            <w:vAlign w:val="center"/>
          </w:tcPr>
          <w:p>
            <w:pPr>
              <w:spacing w:line="360" w:lineRule="exact"/>
              <w:ind w:right="3"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28" w:type="dxa"/>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1915" w:type="dxa"/>
            <w:gridSpan w:val="2"/>
            <w:noWrap w:val="0"/>
            <w:vAlign w:val="center"/>
          </w:tcPr>
          <w:p>
            <w:pPr>
              <w:spacing w:line="360" w:lineRule="exact"/>
              <w:ind w:left="-50" w:lef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napToGrid w:val="0"/>
                <w:sz w:val="21"/>
                <w:szCs w:val="21"/>
                <w:highlight w:val="none"/>
              </w:rPr>
              <w:t>主要施工机械设备的配备</w:t>
            </w:r>
          </w:p>
        </w:tc>
        <w:tc>
          <w:tcPr>
            <w:tcW w:w="5626" w:type="dxa"/>
            <w:noWrap w:val="0"/>
            <w:vAlign w:val="center"/>
          </w:tcPr>
          <w:p>
            <w:pPr>
              <w:spacing w:line="360" w:lineRule="exact"/>
              <w:ind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根据供应商</w:t>
            </w:r>
            <w:r>
              <w:rPr>
                <w:rFonts w:hint="eastAsia" w:ascii="宋体" w:hAnsi="宋体" w:eastAsia="宋体" w:cs="宋体"/>
                <w:sz w:val="21"/>
                <w:szCs w:val="21"/>
                <w:highlight w:val="none"/>
                <w:lang w:eastAsia="zh-CN"/>
              </w:rPr>
              <w:t>拟</w:t>
            </w:r>
            <w:r>
              <w:rPr>
                <w:rFonts w:hint="eastAsia" w:ascii="宋体" w:hAnsi="宋体" w:eastAsia="宋体" w:cs="宋体"/>
                <w:sz w:val="21"/>
                <w:szCs w:val="21"/>
                <w:highlight w:val="none"/>
                <w:lang w:val="en-US" w:eastAsia="zh-CN"/>
              </w:rPr>
              <w:t>投入</w:t>
            </w:r>
            <w:r>
              <w:rPr>
                <w:rFonts w:hint="eastAsia" w:ascii="宋体" w:hAnsi="宋体" w:eastAsia="宋体" w:cs="宋体"/>
                <w:sz w:val="21"/>
                <w:szCs w:val="21"/>
                <w:highlight w:val="none"/>
              </w:rPr>
              <w:t>本项目施工过程中需要的机械</w:t>
            </w:r>
            <w:r>
              <w:rPr>
                <w:rFonts w:hint="eastAsia" w:ascii="宋体" w:hAnsi="宋体" w:eastAsia="宋体" w:cs="宋体"/>
                <w:sz w:val="21"/>
                <w:szCs w:val="21"/>
                <w:highlight w:val="none"/>
                <w:lang w:val="en-US" w:eastAsia="zh-CN"/>
              </w:rPr>
              <w:t>设备满足情况</w:t>
            </w:r>
            <w:r>
              <w:rPr>
                <w:rFonts w:hint="eastAsia" w:ascii="宋体" w:hAnsi="宋体" w:eastAsia="宋体" w:cs="宋体"/>
                <w:sz w:val="21"/>
                <w:szCs w:val="21"/>
                <w:highlight w:val="none"/>
              </w:rPr>
              <w:t>（包括但不仅限于电钻、电锯、切割机、电焊机、喷枪漆等）进行综合评议。</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0-4分</w:t>
            </w:r>
            <w:r>
              <w:rPr>
                <w:rFonts w:hint="eastAsia" w:ascii="宋体" w:hAnsi="宋体" w:eastAsia="宋体" w:cs="宋体"/>
                <w:sz w:val="21"/>
                <w:szCs w:val="21"/>
                <w:highlight w:val="none"/>
                <w:lang w:eastAsia="zh-CN"/>
              </w:rPr>
              <w:t>）</w:t>
            </w:r>
          </w:p>
        </w:tc>
        <w:tc>
          <w:tcPr>
            <w:tcW w:w="766" w:type="dxa"/>
            <w:noWrap w:val="0"/>
            <w:vAlign w:val="center"/>
          </w:tcPr>
          <w:p>
            <w:pPr>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28" w:type="dxa"/>
            <w:noWrap w:val="0"/>
            <w:vAlign w:val="center"/>
          </w:tcPr>
          <w:p>
            <w:pPr>
              <w:spacing w:line="360" w:lineRule="exact"/>
              <w:ind w:right="3" w:rightChars="0"/>
              <w:jc w:val="center"/>
              <w:rPr>
                <w:rFonts w:hint="eastAsia" w:ascii="宋体" w:hAnsi="宋体" w:eastAsia="宋体" w:cs="宋体"/>
                <w:sz w:val="21"/>
                <w:szCs w:val="21"/>
                <w:highlight w:val="yellow"/>
                <w:lang w:val="en-US" w:eastAsia="zh-CN"/>
              </w:rPr>
            </w:pPr>
            <w:r>
              <w:rPr>
                <w:rFonts w:hint="eastAsia" w:ascii="宋体" w:hAnsi="宋体" w:eastAsia="宋体" w:cs="宋体"/>
                <w:sz w:val="21"/>
                <w:szCs w:val="21"/>
                <w:highlight w:val="none"/>
                <w:lang w:val="en-US" w:eastAsia="zh-CN"/>
              </w:rPr>
              <w:t>10</w:t>
            </w:r>
          </w:p>
        </w:tc>
        <w:tc>
          <w:tcPr>
            <w:tcW w:w="1915" w:type="dxa"/>
            <w:gridSpan w:val="2"/>
            <w:noWrap w:val="0"/>
            <w:vAlign w:val="center"/>
          </w:tcPr>
          <w:p>
            <w:pPr>
              <w:spacing w:line="360" w:lineRule="exact"/>
              <w:ind w:left="-50" w:leftChars="0"/>
              <w:jc w:val="center"/>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lang w:val="en-US" w:eastAsia="zh-CN"/>
              </w:rPr>
              <w:t>验收、结算与移交</w:t>
            </w:r>
          </w:p>
        </w:tc>
        <w:tc>
          <w:tcPr>
            <w:tcW w:w="5626" w:type="dxa"/>
            <w:noWrap w:val="0"/>
            <w:vAlign w:val="center"/>
          </w:tcPr>
          <w:p>
            <w:pPr>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根据供应商针对验收、结算、移交的合理组织和配合方案进行综合评议（</w:t>
            </w:r>
            <w:r>
              <w:rPr>
                <w:rFonts w:hint="eastAsia" w:ascii="宋体" w:hAnsi="宋体" w:eastAsia="宋体" w:cs="宋体"/>
                <w:sz w:val="21"/>
                <w:szCs w:val="21"/>
                <w:lang w:val="en-US" w:eastAsia="zh-CN"/>
              </w:rPr>
              <w:t>0-4分</w:t>
            </w:r>
            <w:r>
              <w:rPr>
                <w:rFonts w:hint="eastAsia" w:ascii="宋体" w:hAnsi="宋体" w:eastAsia="宋体" w:cs="宋体"/>
                <w:sz w:val="21"/>
                <w:szCs w:val="21"/>
                <w:lang w:eastAsia="zh-CN"/>
              </w:rPr>
              <w:t>）</w:t>
            </w:r>
          </w:p>
        </w:tc>
        <w:tc>
          <w:tcPr>
            <w:tcW w:w="766" w:type="dxa"/>
            <w:noWrap w:val="0"/>
            <w:vAlign w:val="center"/>
          </w:tcPr>
          <w:p>
            <w:pPr>
              <w:spacing w:line="360" w:lineRule="exact"/>
              <w:jc w:val="center"/>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napToGrid w:val="0"/>
                <w:sz w:val="21"/>
                <w:szCs w:val="21"/>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728" w:type="dxa"/>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1915" w:type="dxa"/>
            <w:gridSpan w:val="2"/>
            <w:noWrap w:val="0"/>
            <w:vAlign w:val="center"/>
          </w:tcPr>
          <w:p>
            <w:pPr>
              <w:spacing w:line="360" w:lineRule="exact"/>
              <w:ind w:left="-50" w:lef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napToGrid w:val="0"/>
                <w:sz w:val="21"/>
                <w:szCs w:val="21"/>
                <w:highlight w:val="none"/>
              </w:rPr>
              <w:t>质量保修期内的服务响应</w:t>
            </w:r>
          </w:p>
        </w:tc>
        <w:tc>
          <w:tcPr>
            <w:tcW w:w="5626" w:type="dxa"/>
            <w:noWrap w:val="0"/>
            <w:vAlign w:val="center"/>
          </w:tcPr>
          <w:p>
            <w:pPr>
              <w:spacing w:line="36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根据供应商提供的保修期内接到采购人通知后到达时间、处理及时的承诺响应（包括但不限于一般事故、紧急抢修事故、涉及结构安全的质量问题等）</w:t>
            </w:r>
            <w:r>
              <w:rPr>
                <w:rFonts w:hint="eastAsia" w:ascii="宋体" w:hAnsi="宋体" w:eastAsia="宋体" w:cs="宋体"/>
                <w:sz w:val="21"/>
                <w:szCs w:val="21"/>
                <w:highlight w:val="none"/>
                <w:lang w:eastAsia="zh-CN"/>
              </w:rPr>
              <w:t>进行综合评议。（</w:t>
            </w:r>
            <w:r>
              <w:rPr>
                <w:rFonts w:hint="eastAsia" w:ascii="宋体" w:hAnsi="宋体" w:eastAsia="宋体" w:cs="宋体"/>
                <w:sz w:val="21"/>
                <w:szCs w:val="21"/>
                <w:highlight w:val="none"/>
                <w:lang w:val="en-US" w:eastAsia="zh-CN"/>
              </w:rPr>
              <w:t>0-4分</w:t>
            </w:r>
            <w:r>
              <w:rPr>
                <w:rFonts w:hint="eastAsia" w:ascii="宋体" w:hAnsi="宋体" w:eastAsia="宋体" w:cs="宋体"/>
                <w:sz w:val="21"/>
                <w:szCs w:val="21"/>
                <w:highlight w:val="none"/>
                <w:lang w:eastAsia="zh-CN"/>
              </w:rPr>
              <w:t>）</w:t>
            </w:r>
          </w:p>
        </w:tc>
        <w:tc>
          <w:tcPr>
            <w:tcW w:w="766" w:type="dxa"/>
            <w:noWrap w:val="0"/>
            <w:vAlign w:val="center"/>
          </w:tcPr>
          <w:p>
            <w:pPr>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28" w:type="dxa"/>
            <w:noWrap w:val="0"/>
            <w:vAlign w:val="center"/>
          </w:tcPr>
          <w:p>
            <w:pPr>
              <w:spacing w:line="360" w:lineRule="exact"/>
              <w:ind w:right="3"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w:t>
            </w:r>
          </w:p>
        </w:tc>
        <w:tc>
          <w:tcPr>
            <w:tcW w:w="1915" w:type="dxa"/>
            <w:gridSpan w:val="2"/>
            <w:noWrap w:val="0"/>
            <w:vAlign w:val="center"/>
          </w:tcPr>
          <w:p>
            <w:pPr>
              <w:spacing w:line="360" w:lineRule="exact"/>
              <w:ind w:left="-50" w:leftChars="0"/>
              <w:jc w:val="center"/>
              <w:rPr>
                <w:rFonts w:hint="eastAsia" w:ascii="宋体" w:hAnsi="宋体" w:eastAsia="宋体" w:cs="宋体"/>
                <w:snapToGrid w:val="0"/>
                <w:sz w:val="21"/>
                <w:szCs w:val="21"/>
                <w:highlight w:val="none"/>
                <w:lang w:val="en-US" w:eastAsia="zh-CN"/>
              </w:rPr>
            </w:pPr>
            <w:r>
              <w:rPr>
                <w:rFonts w:hint="eastAsia" w:ascii="宋体" w:hAnsi="宋体" w:eastAsia="宋体" w:cs="宋体"/>
                <w:snapToGrid w:val="0"/>
                <w:sz w:val="21"/>
                <w:szCs w:val="21"/>
                <w:highlight w:val="none"/>
                <w:lang w:val="en-US" w:eastAsia="zh-CN"/>
              </w:rPr>
              <w:t>合理化建议</w:t>
            </w:r>
          </w:p>
        </w:tc>
        <w:tc>
          <w:tcPr>
            <w:tcW w:w="5626" w:type="dxa"/>
            <w:noWrap w:val="0"/>
            <w:vAlign w:val="center"/>
          </w:tcPr>
          <w:p>
            <w:pPr>
              <w:spacing w:line="360" w:lineRule="exact"/>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根据投标人针对本项目提供的合理性建议合理性、科学性等内容进行评分。（0-3分）</w:t>
            </w:r>
          </w:p>
        </w:tc>
        <w:tc>
          <w:tcPr>
            <w:tcW w:w="766" w:type="dxa"/>
            <w:noWrap w:val="0"/>
            <w:vAlign w:val="center"/>
          </w:tcPr>
          <w:p>
            <w:pPr>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0-3</w:t>
            </w:r>
          </w:p>
        </w:tc>
      </w:tr>
    </w:tbl>
    <w:p>
      <w:pPr>
        <w:rPr>
          <w:rFonts w:hint="eastAsia" w:ascii="宋体" w:hAnsi="宋体" w:eastAsia="宋体" w:cs="宋体"/>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r>
        <w:rPr>
          <w:rFonts w:hint="eastAsia" w:ascii="宋体" w:hAnsi="宋体" w:eastAsia="宋体" w:cs="宋体"/>
          <w:b/>
          <w:bCs/>
          <w:sz w:val="21"/>
          <w:szCs w:val="21"/>
        </w:rPr>
        <w:t>提示：</w:t>
      </w:r>
    </w:p>
    <w:p>
      <w:pPr>
        <w:spacing w:line="400" w:lineRule="exact"/>
        <w:rPr>
          <w:rFonts w:hint="eastAsia" w:ascii="宋体" w:hAnsi="宋体" w:eastAsia="宋体" w:cs="宋体"/>
          <w:b/>
          <w:bCs/>
          <w:sz w:val="21"/>
          <w:szCs w:val="21"/>
          <w:u w:val="single"/>
        </w:rPr>
      </w:pPr>
      <w:r>
        <w:rPr>
          <w:rFonts w:hint="eastAsia" w:ascii="宋体" w:hAnsi="宋体" w:eastAsia="宋体" w:cs="宋体"/>
          <w:b/>
          <w:bCs/>
          <w:sz w:val="21"/>
          <w:szCs w:val="21"/>
          <w:u w:val="single"/>
        </w:rPr>
        <w:t>1、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如做出对投标人不利的评审由投标人自行承担</w:t>
      </w:r>
      <w:r>
        <w:rPr>
          <w:rFonts w:hint="eastAsia" w:ascii="宋体" w:hAnsi="宋体" w:eastAsia="宋体" w:cs="宋体"/>
          <w:b/>
          <w:bCs/>
          <w:sz w:val="21"/>
          <w:szCs w:val="21"/>
          <w:u w:val="none"/>
        </w:rPr>
        <w:t>。</w:t>
      </w:r>
    </w:p>
    <w:p>
      <w:pPr>
        <w:spacing w:line="400" w:lineRule="exact"/>
        <w:rPr>
          <w:rFonts w:hint="eastAsia" w:ascii="宋体" w:hAnsi="宋体" w:eastAsia="宋体" w:cs="宋体"/>
          <w:b/>
          <w:bCs/>
          <w:sz w:val="21"/>
          <w:szCs w:val="21"/>
          <w:u w:val="single"/>
          <w:shd w:val="pct10" w:color="auto" w:fill="FFFFFF"/>
        </w:rPr>
      </w:pPr>
      <w:r>
        <w:rPr>
          <w:rFonts w:hint="eastAsia" w:ascii="宋体" w:hAnsi="宋体" w:eastAsia="宋体" w:cs="宋体"/>
          <w:b/>
          <w:bCs/>
          <w:sz w:val="21"/>
          <w:szCs w:val="21"/>
          <w:u w:val="single"/>
          <w:shd w:val="pct10" w:color="auto" w:fill="FFFFFF"/>
        </w:rPr>
        <w:t>2、投标人提交的所有投标文件、资料（包括所有证书、合同、报告等）都是准确、真实、合规的，如提供虚假资料，投标人需承担一切后果。</w:t>
      </w:r>
    </w:p>
    <w:p>
      <w:pPr>
        <w:spacing w:line="400" w:lineRule="exact"/>
        <w:rPr>
          <w:rFonts w:hint="eastAsia" w:ascii="宋体" w:hAnsi="宋体" w:eastAsia="宋体" w:cs="宋体"/>
          <w:b/>
          <w:bCs/>
          <w:sz w:val="21"/>
          <w:szCs w:val="21"/>
          <w:u w:val="single"/>
          <w:shd w:val="pct10" w:color="auto" w:fill="FFFFFF"/>
        </w:rPr>
      </w:pPr>
      <w:r>
        <w:rPr>
          <w:rFonts w:hint="eastAsia" w:ascii="宋体" w:hAnsi="宋体" w:eastAsia="宋体" w:cs="宋体"/>
          <w:b/>
          <w:bCs/>
          <w:sz w:val="21"/>
          <w:szCs w:val="21"/>
          <w:u w:val="single"/>
          <w:shd w:val="pct10" w:color="auto" w:fill="FFFFFF"/>
        </w:rPr>
        <w:t>3、为了评审工作更加优质、高效，投标文件张数建议不要超过300张。</w:t>
      </w:r>
    </w:p>
    <w:p>
      <w:pPr>
        <w:spacing w:line="400" w:lineRule="exact"/>
        <w:rPr>
          <w:rFonts w:hint="eastAsia" w:ascii="宋体" w:hAnsi="宋体" w:eastAsia="宋体" w:cs="宋体"/>
          <w:sz w:val="21"/>
          <w:szCs w:val="21"/>
          <w:shd w:val="pct10" w:color="auto" w:fill="FFFFFF"/>
          <w:lang w:val="zh-CN"/>
        </w:rPr>
      </w:pPr>
      <w:r>
        <w:rPr>
          <w:rFonts w:hint="eastAsia" w:ascii="宋体" w:hAnsi="宋体" w:eastAsia="宋体" w:cs="宋体"/>
          <w:b/>
          <w:bCs/>
          <w:sz w:val="21"/>
          <w:szCs w:val="21"/>
          <w:u w:val="single"/>
          <w:shd w:val="pct10" w:color="auto" w:fill="FFFFFF"/>
        </w:rPr>
        <w:t>4、各投标人请将本采购项目评分索引表放在商务技术文件目录的前页，投标人自评分值（客观分部分）请投标人将应得分值准确自评（请勿不填写也请勿错误填写），以方便评委进行更加优质、高效的评审。</w:t>
      </w:r>
    </w:p>
    <w:p>
      <w:pPr>
        <w:spacing w:before="120" w:beforeLines="50" w:after="120" w:afterLines="50" w:line="400" w:lineRule="exact"/>
        <w:ind w:right="480" w:firstLine="316" w:firstLineChars="150"/>
        <w:rPr>
          <w:rFonts w:hint="eastAsia" w:ascii="宋体" w:hAnsi="宋体" w:eastAsia="宋体" w:cs="宋体"/>
          <w:b/>
          <w:bCs/>
          <w:sz w:val="21"/>
          <w:szCs w:val="21"/>
        </w:rPr>
      </w:pPr>
      <w:r>
        <w:rPr>
          <w:rFonts w:hint="eastAsia" w:ascii="宋体" w:hAnsi="宋体" w:eastAsia="宋体" w:cs="宋体"/>
          <w:b/>
          <w:bCs/>
          <w:sz w:val="21"/>
          <w:szCs w:val="21"/>
        </w:rPr>
        <w:t>（三）商务技术分的计算方式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商务技术分按照评标委员会成员的独立评分结果汇总后，取全部评标委员会成员评分值的算术平均分，计算公式为：</w:t>
      </w:r>
    </w:p>
    <w:p>
      <w:pPr>
        <w:spacing w:line="360" w:lineRule="exact"/>
        <w:ind w:firstLine="495"/>
        <w:rPr>
          <w:rFonts w:hint="eastAsia" w:ascii="宋体" w:hAnsi="宋体" w:eastAsia="宋体" w:cs="宋体"/>
          <w:sz w:val="21"/>
          <w:szCs w:val="21"/>
        </w:rPr>
      </w:pPr>
      <w:r>
        <w:rPr>
          <w:rFonts w:hint="eastAsia" w:ascii="宋体" w:hAnsi="宋体" w:eastAsia="宋体" w:cs="宋体"/>
          <w:sz w:val="21"/>
          <w:szCs w:val="21"/>
        </w:rPr>
        <w:t>商务技术分=（评标委员会所有成员评分合计数）/（评标委员会组成人员数）</w:t>
      </w:r>
    </w:p>
    <w:p>
      <w:pPr>
        <w:pStyle w:val="23"/>
        <w:spacing w:before="120" w:beforeLines="50" w:after="120" w:afterLines="50" w:line="360" w:lineRule="auto"/>
        <w:ind w:firstLine="406" w:firstLineChars="200"/>
        <w:rPr>
          <w:rFonts w:hint="eastAsia" w:ascii="宋体" w:hAnsi="宋体" w:eastAsia="宋体" w:cs="宋体"/>
          <w:b/>
          <w:sz w:val="21"/>
          <w:szCs w:val="21"/>
        </w:rPr>
      </w:pPr>
      <w:r>
        <w:rPr>
          <w:rFonts w:hint="eastAsia" w:ascii="宋体" w:hAnsi="宋体" w:eastAsia="宋体" w:cs="宋体"/>
          <w:b/>
          <w:sz w:val="21"/>
          <w:szCs w:val="21"/>
        </w:rPr>
        <w:t>三、投标人义务</w:t>
      </w:r>
    </w:p>
    <w:p>
      <w:pPr>
        <w:pStyle w:val="23"/>
        <w:spacing w:before="120" w:beforeLines="50" w:after="120" w:afterLines="50" w:line="360" w:lineRule="auto"/>
        <w:ind w:firstLine="404" w:firstLineChars="200"/>
        <w:rPr>
          <w:rFonts w:hint="eastAsia" w:ascii="宋体" w:hAnsi="宋体" w:eastAsia="宋体" w:cs="宋体"/>
          <w:bCs/>
          <w:sz w:val="21"/>
          <w:szCs w:val="21"/>
          <w:lang w:eastAsia="zh-CN"/>
        </w:rPr>
      </w:pPr>
      <w:r>
        <w:rPr>
          <w:rFonts w:hint="eastAsia" w:ascii="宋体" w:hAnsi="宋体" w:eastAsia="宋体" w:cs="宋体"/>
          <w:bCs/>
          <w:sz w:val="21"/>
          <w:szCs w:val="21"/>
        </w:rPr>
        <w:t>评标期间，投标人应随时随地答复评标委员会的询标，解答包括有关的商务、技术问题等</w:t>
      </w:r>
      <w:r>
        <w:rPr>
          <w:rFonts w:hint="eastAsia" w:ascii="宋体" w:hAnsi="宋体" w:eastAsia="宋体" w:cs="宋体"/>
          <w:bCs/>
          <w:sz w:val="21"/>
          <w:szCs w:val="21"/>
          <w:lang w:eastAsia="zh-CN"/>
        </w:rPr>
        <w:t>。</w:t>
      </w: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both"/>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采购项目评分索引表</w:t>
      </w:r>
    </w:p>
    <w:p>
      <w:pPr>
        <w:snapToGrid w:val="0"/>
        <w:spacing w:before="100" w:beforeAutospacing="1" w:after="100" w:afterAutospacing="1" w:line="400" w:lineRule="exact"/>
        <w:rPr>
          <w:rFonts w:hint="eastAsia" w:ascii="宋体" w:hAnsi="宋体" w:eastAsia="宋体" w:cs="宋体"/>
          <w:b/>
          <w:spacing w:val="-4"/>
          <w:sz w:val="21"/>
          <w:szCs w:val="21"/>
          <w:shd w:val="pct10" w:color="auto" w:fill="FFFFFF"/>
        </w:rPr>
      </w:pPr>
      <w:r>
        <w:rPr>
          <w:rFonts w:hint="eastAsia" w:ascii="宋体" w:hAnsi="宋体" w:eastAsia="宋体" w:cs="宋体"/>
          <w:b/>
          <w:spacing w:val="-4"/>
          <w:sz w:val="21"/>
          <w:szCs w:val="21"/>
        </w:rPr>
        <w:t>（</w:t>
      </w:r>
      <w:r>
        <w:rPr>
          <w:rFonts w:hint="eastAsia" w:ascii="宋体" w:hAnsi="宋体" w:eastAsia="宋体" w:cs="宋体"/>
          <w:b/>
          <w:spacing w:val="-4"/>
          <w:sz w:val="21"/>
          <w:szCs w:val="21"/>
          <w:shd w:val="pct10" w:color="auto" w:fill="FFFFFF"/>
        </w:rPr>
        <w:t>重要提示：本采购项目评分索引表放在商务技术文件目录的前页，</w:t>
      </w:r>
      <w:r>
        <w:rPr>
          <w:rFonts w:hint="eastAsia" w:ascii="宋体" w:hAnsi="宋体" w:eastAsia="宋体" w:cs="宋体"/>
          <w:b/>
          <w:spacing w:val="-4"/>
          <w:sz w:val="21"/>
          <w:szCs w:val="21"/>
          <w:u w:val="single"/>
          <w:shd w:val="pct10" w:color="auto" w:fill="FFFFFF"/>
        </w:rPr>
        <w:t>“投标人应标情况栏目” （客观分部分）请投标人务必逐项详细进行填写（请勿不填写），投标人自评分值（客观分部分）请投标人将应得分值准确自评（请勿不填写也请勿错误填写），以方便评委进行更加优质、高效的评审</w:t>
      </w:r>
      <w:r>
        <w:rPr>
          <w:rFonts w:hint="eastAsia" w:ascii="宋体" w:hAnsi="宋体" w:eastAsia="宋体" w:cs="宋体"/>
          <w:b/>
          <w:spacing w:val="-4"/>
          <w:sz w:val="21"/>
          <w:szCs w:val="21"/>
          <w:shd w:val="pct10" w:color="auto" w:fill="FFFFFF"/>
        </w:rPr>
        <w:t>)</w:t>
      </w:r>
    </w:p>
    <w:p>
      <w:pPr>
        <w:rPr>
          <w:rFonts w:hint="eastAsia" w:ascii="宋体" w:hAnsi="宋体" w:eastAsia="宋体" w:cs="宋体"/>
          <w:b/>
          <w:sz w:val="21"/>
          <w:szCs w:val="21"/>
        </w:rPr>
      </w:pPr>
      <w:r>
        <w:rPr>
          <w:rFonts w:hint="eastAsia" w:ascii="宋体" w:hAnsi="宋体" w:eastAsia="宋体" w:cs="宋体"/>
          <w:b/>
          <w:sz w:val="21"/>
          <w:szCs w:val="21"/>
        </w:rPr>
        <w:t>项目名称：                                 投标人名称：</w:t>
      </w:r>
    </w:p>
    <w:tbl>
      <w:tblPr>
        <w:tblStyle w:val="51"/>
        <w:tblW w:w="955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2553"/>
        <w:gridCol w:w="798"/>
        <w:gridCol w:w="1002"/>
        <w:gridCol w:w="346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3048" w:type="dxa"/>
            <w:gridSpan w:val="2"/>
            <w:noWrap w:val="0"/>
            <w:vAlign w:val="center"/>
          </w:tcPr>
          <w:p>
            <w:pPr>
              <w:widowControl/>
              <w:jc w:val="center"/>
              <w:rPr>
                <w:rFonts w:hint="eastAsia" w:ascii="宋体" w:hAnsi="宋体" w:eastAsia="宋体" w:cs="宋体"/>
                <w:b/>
                <w:bCs/>
                <w:sz w:val="21"/>
                <w:szCs w:val="21"/>
              </w:rPr>
            </w:pPr>
            <w:r>
              <w:rPr>
                <w:rFonts w:hint="eastAsia" w:ascii="宋体" w:hAnsi="宋体" w:eastAsia="宋体" w:cs="宋体"/>
                <w:b/>
                <w:bCs/>
                <w:sz w:val="21"/>
                <w:szCs w:val="21"/>
              </w:rPr>
              <w:t>评标内容</w:t>
            </w:r>
          </w:p>
        </w:tc>
        <w:tc>
          <w:tcPr>
            <w:tcW w:w="798" w:type="dxa"/>
            <w:noWrap w:val="0"/>
            <w:vAlign w:val="center"/>
          </w:tcPr>
          <w:p>
            <w:pPr>
              <w:widowControl/>
              <w:jc w:val="center"/>
              <w:rPr>
                <w:rFonts w:hint="eastAsia" w:ascii="宋体" w:hAnsi="宋体" w:eastAsia="宋体" w:cs="宋体"/>
                <w:b/>
                <w:bCs/>
                <w:sz w:val="21"/>
                <w:szCs w:val="21"/>
              </w:rPr>
            </w:pPr>
            <w:r>
              <w:rPr>
                <w:rFonts w:hint="eastAsia" w:ascii="宋体" w:hAnsi="宋体" w:eastAsia="宋体" w:cs="宋体"/>
                <w:b/>
                <w:bCs/>
                <w:sz w:val="21"/>
                <w:szCs w:val="21"/>
              </w:rPr>
              <w:t>分值</w:t>
            </w:r>
          </w:p>
        </w:tc>
        <w:tc>
          <w:tcPr>
            <w:tcW w:w="10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sz w:val="21"/>
                <w:szCs w:val="21"/>
              </w:rPr>
            </w:pPr>
            <w:r>
              <w:rPr>
                <w:rFonts w:hint="eastAsia" w:ascii="宋体" w:hAnsi="宋体" w:eastAsia="宋体" w:cs="宋体"/>
                <w:b/>
                <w:bCs/>
                <w:sz w:val="21"/>
                <w:szCs w:val="21"/>
              </w:rPr>
              <w:t>投标文件</w:t>
            </w:r>
          </w:p>
          <w:p>
            <w:pPr>
              <w:widowControl/>
              <w:jc w:val="center"/>
              <w:rPr>
                <w:rFonts w:hint="eastAsia" w:ascii="宋体" w:hAnsi="宋体" w:eastAsia="宋体" w:cs="宋体"/>
                <w:sz w:val="21"/>
                <w:szCs w:val="21"/>
              </w:rPr>
            </w:pPr>
            <w:r>
              <w:rPr>
                <w:rFonts w:hint="eastAsia" w:ascii="宋体" w:hAnsi="宋体" w:eastAsia="宋体" w:cs="宋体"/>
                <w:b/>
                <w:bCs/>
                <w:sz w:val="21"/>
                <w:szCs w:val="21"/>
              </w:rPr>
              <w:t>响应页码</w:t>
            </w:r>
          </w:p>
        </w:tc>
        <w:tc>
          <w:tcPr>
            <w:tcW w:w="34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投标人</w:t>
            </w:r>
          </w:p>
          <w:p>
            <w:pPr>
              <w:widowControl/>
              <w:jc w:val="center"/>
              <w:rPr>
                <w:rFonts w:hint="eastAsia" w:ascii="宋体" w:hAnsi="宋体" w:eastAsia="宋体" w:cs="宋体"/>
                <w:sz w:val="21"/>
                <w:szCs w:val="21"/>
              </w:rPr>
            </w:pPr>
            <w:r>
              <w:rPr>
                <w:rFonts w:hint="eastAsia" w:ascii="宋体" w:hAnsi="宋体" w:eastAsia="宋体" w:cs="宋体"/>
                <w:b/>
                <w:bCs/>
                <w:kern w:val="0"/>
                <w:sz w:val="21"/>
                <w:szCs w:val="21"/>
              </w:rPr>
              <w:t>应标情况</w:t>
            </w:r>
          </w:p>
        </w:tc>
        <w:tc>
          <w:tcPr>
            <w:tcW w:w="12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kern w:val="0"/>
                <w:sz w:val="21"/>
                <w:szCs w:val="21"/>
              </w:rPr>
              <w:t>投标人自评分值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2553"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lang w:val="en-US" w:eastAsia="zh-CN"/>
              </w:rPr>
              <w:t>类似项目</w:t>
            </w:r>
            <w:r>
              <w:rPr>
                <w:rFonts w:hint="eastAsia" w:ascii="宋体" w:hAnsi="宋体" w:eastAsia="宋体" w:cs="宋体"/>
                <w:b w:val="0"/>
                <w:bCs w:val="0"/>
                <w:sz w:val="21"/>
                <w:szCs w:val="21"/>
                <w:highlight w:val="none"/>
              </w:rPr>
              <w:t>业绩</w:t>
            </w:r>
          </w:p>
        </w:tc>
        <w:tc>
          <w:tcPr>
            <w:tcW w:w="798" w:type="dxa"/>
            <w:noWrap w:val="0"/>
            <w:vAlign w:val="center"/>
          </w:tcPr>
          <w:p>
            <w:pPr>
              <w:spacing w:line="360" w:lineRule="exact"/>
              <w:ind w:right="3" w:rightChars="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w:t>
            </w:r>
          </w:p>
        </w:tc>
        <w:tc>
          <w:tcPr>
            <w:tcW w:w="1002" w:type="dxa"/>
            <w:noWrap w:val="0"/>
            <w:vAlign w:val="center"/>
          </w:tcPr>
          <w:p>
            <w:pPr>
              <w:jc w:val="left"/>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sz w:val="21"/>
                <w:szCs w:val="21"/>
              </w:rPr>
            </w:pPr>
          </w:p>
        </w:tc>
        <w:tc>
          <w:tcPr>
            <w:tcW w:w="124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2553" w:type="dxa"/>
            <w:noWrap w:val="0"/>
            <w:vAlign w:val="center"/>
          </w:tcPr>
          <w:p>
            <w:pPr>
              <w:spacing w:line="360" w:lineRule="exact"/>
              <w:ind w:right="6" w:rightChars="0"/>
              <w:jc w:val="center"/>
              <w:rPr>
                <w:rFonts w:hint="eastAsia" w:ascii="宋体" w:hAnsi="宋体" w:eastAsia="宋体" w:cs="宋体"/>
                <w:b w:val="0"/>
                <w:bCs w:val="0"/>
                <w:kern w:val="0"/>
                <w:sz w:val="21"/>
                <w:szCs w:val="21"/>
                <w:lang w:val="en-US"/>
              </w:rPr>
            </w:pPr>
            <w:r>
              <w:rPr>
                <w:rFonts w:hint="eastAsia" w:ascii="宋体" w:hAnsi="宋体" w:eastAsia="宋体" w:cs="宋体"/>
                <w:b w:val="0"/>
                <w:bCs w:val="0"/>
                <w:color w:val="000000" w:themeColor="text1"/>
                <w:spacing w:val="-4"/>
                <w:kern w:val="0"/>
                <w:sz w:val="21"/>
                <w:szCs w:val="21"/>
                <w:lang w:val="en-US" w:eastAsia="zh-CN" w:bidi="ar-SA"/>
                <w14:textFill>
                  <w14:solidFill>
                    <w14:schemeClr w14:val="tx1"/>
                  </w14:solidFill>
                </w14:textFill>
              </w:rPr>
              <w:t>企业实力</w:t>
            </w:r>
          </w:p>
        </w:tc>
        <w:tc>
          <w:tcPr>
            <w:tcW w:w="798" w:type="dxa"/>
            <w:noWrap w:val="0"/>
            <w:vAlign w:val="center"/>
          </w:tcPr>
          <w:p>
            <w:pPr>
              <w:spacing w:line="360" w:lineRule="exact"/>
              <w:ind w:right="6" w:rightChars="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w:t>
            </w:r>
          </w:p>
        </w:tc>
        <w:tc>
          <w:tcPr>
            <w:tcW w:w="1002" w:type="dxa"/>
            <w:noWrap w:val="0"/>
            <w:vAlign w:val="center"/>
          </w:tcPr>
          <w:p>
            <w:pPr>
              <w:jc w:val="left"/>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Cs/>
                <w:sz w:val="21"/>
                <w:szCs w:val="21"/>
              </w:rPr>
            </w:pPr>
          </w:p>
        </w:tc>
        <w:tc>
          <w:tcPr>
            <w:tcW w:w="124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2553" w:type="dxa"/>
            <w:noWrap w:val="0"/>
            <w:vAlign w:val="center"/>
          </w:tcPr>
          <w:p>
            <w:pPr>
              <w:spacing w:line="360" w:lineRule="exact"/>
              <w:ind w:right="6" w:rightChars="0"/>
              <w:jc w:val="center"/>
              <w:rPr>
                <w:rFonts w:hint="eastAsia" w:ascii="宋体" w:hAnsi="宋体" w:eastAsia="宋体" w:cs="宋体"/>
                <w:b w:val="0"/>
                <w:bCs w:val="0"/>
                <w:sz w:val="21"/>
                <w:szCs w:val="21"/>
                <w:lang w:val="en-US"/>
              </w:rPr>
            </w:pPr>
            <w:r>
              <w:rPr>
                <w:rFonts w:hint="eastAsia" w:ascii="宋体" w:hAnsi="宋体" w:eastAsia="宋体" w:cs="宋体"/>
                <w:b w:val="0"/>
                <w:bCs w:val="0"/>
                <w:color w:val="000000" w:themeColor="text1"/>
                <w:spacing w:val="-4"/>
                <w:kern w:val="0"/>
                <w:sz w:val="21"/>
                <w:szCs w:val="21"/>
                <w:lang w:val="en-US" w:eastAsia="zh-CN" w:bidi="ar-SA"/>
                <w14:textFill>
                  <w14:solidFill>
                    <w14:schemeClr w14:val="tx1"/>
                  </w14:solidFill>
                </w14:textFill>
              </w:rPr>
              <w:t>项目团队实力</w:t>
            </w:r>
          </w:p>
        </w:tc>
        <w:tc>
          <w:tcPr>
            <w:tcW w:w="798" w:type="dxa"/>
            <w:noWrap w:val="0"/>
            <w:vAlign w:val="center"/>
          </w:tcPr>
          <w:p>
            <w:pPr>
              <w:spacing w:line="360" w:lineRule="exact"/>
              <w:ind w:right="6" w:rightChars="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9</w:t>
            </w:r>
          </w:p>
        </w:tc>
        <w:tc>
          <w:tcPr>
            <w:tcW w:w="1002" w:type="dxa"/>
            <w:noWrap w:val="0"/>
            <w:vAlign w:val="center"/>
          </w:tcPr>
          <w:p>
            <w:pPr>
              <w:jc w:val="left"/>
              <w:rPr>
                <w:rFonts w:hint="eastAsia" w:ascii="宋体" w:hAnsi="宋体" w:eastAsia="宋体" w:cs="宋体"/>
                <w:bCs/>
                <w:sz w:val="21"/>
                <w:szCs w:val="21"/>
              </w:rPr>
            </w:pPr>
          </w:p>
        </w:tc>
        <w:tc>
          <w:tcPr>
            <w:tcW w:w="3463" w:type="dxa"/>
            <w:noWrap w:val="0"/>
            <w:vAlign w:val="center"/>
          </w:tcPr>
          <w:p>
            <w:pPr>
              <w:jc w:val="left"/>
              <w:rPr>
                <w:rFonts w:hint="eastAsia" w:ascii="宋体" w:hAnsi="宋体" w:eastAsia="宋体" w:cs="宋体"/>
                <w:bCs/>
                <w:sz w:val="21"/>
                <w:szCs w:val="21"/>
              </w:rPr>
            </w:pPr>
          </w:p>
        </w:tc>
        <w:tc>
          <w:tcPr>
            <w:tcW w:w="1247" w:type="dxa"/>
            <w:noWrap w:val="0"/>
            <w:vAlign w:val="center"/>
          </w:tcPr>
          <w:p>
            <w:pPr>
              <w:jc w:val="left"/>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2553" w:type="dxa"/>
            <w:noWrap w:val="0"/>
            <w:vAlign w:val="center"/>
          </w:tcPr>
          <w:p>
            <w:pPr>
              <w:spacing w:line="360" w:lineRule="exact"/>
              <w:ind w:right="6" w:rightChars="0"/>
              <w:jc w:val="center"/>
              <w:rPr>
                <w:rFonts w:hint="eastAsia" w:ascii="宋体" w:hAnsi="宋体" w:eastAsia="宋体" w:cs="宋体"/>
                <w:b w:val="0"/>
                <w:bCs w:val="0"/>
                <w:sz w:val="21"/>
                <w:szCs w:val="21"/>
                <w:lang w:val="en-US"/>
              </w:rPr>
            </w:pPr>
            <w:r>
              <w:rPr>
                <w:rFonts w:hint="eastAsia" w:ascii="宋体" w:hAnsi="宋体" w:eastAsia="宋体" w:cs="宋体"/>
                <w:b w:val="0"/>
                <w:bCs w:val="0"/>
                <w:color w:val="000000" w:themeColor="text1"/>
                <w:spacing w:val="-4"/>
                <w:kern w:val="0"/>
                <w:sz w:val="21"/>
                <w:szCs w:val="21"/>
                <w:lang w:val="en-US" w:eastAsia="zh-CN" w:bidi="ar-SA"/>
                <w14:textFill>
                  <w14:solidFill>
                    <w14:schemeClr w14:val="tx1"/>
                  </w14:solidFill>
                </w14:textFill>
              </w:rPr>
              <w:t>项目负责人承诺到位率</w:t>
            </w:r>
          </w:p>
        </w:tc>
        <w:tc>
          <w:tcPr>
            <w:tcW w:w="798" w:type="dxa"/>
            <w:noWrap w:val="0"/>
            <w:vAlign w:val="center"/>
          </w:tcPr>
          <w:p>
            <w:pPr>
              <w:spacing w:line="360" w:lineRule="exact"/>
              <w:ind w:right="6" w:rightChars="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w:t>
            </w:r>
          </w:p>
        </w:tc>
        <w:tc>
          <w:tcPr>
            <w:tcW w:w="1002" w:type="dxa"/>
            <w:noWrap w:val="0"/>
            <w:vAlign w:val="center"/>
          </w:tcPr>
          <w:p>
            <w:pPr>
              <w:jc w:val="left"/>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Cs/>
                <w:sz w:val="21"/>
                <w:szCs w:val="21"/>
              </w:rPr>
            </w:pPr>
          </w:p>
        </w:tc>
        <w:tc>
          <w:tcPr>
            <w:tcW w:w="124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5</w:t>
            </w:r>
          </w:p>
        </w:tc>
        <w:tc>
          <w:tcPr>
            <w:tcW w:w="2553" w:type="dxa"/>
            <w:noWrap w:val="0"/>
            <w:vAlign w:val="center"/>
          </w:tcPr>
          <w:p>
            <w:pPr>
              <w:spacing w:line="360" w:lineRule="exact"/>
              <w:ind w:right="6" w:rightChars="0"/>
              <w:jc w:val="center"/>
              <w:rPr>
                <w:rFonts w:hint="eastAsia" w:ascii="宋体" w:hAnsi="宋体" w:eastAsia="宋体" w:cs="宋体"/>
                <w:b w:val="0"/>
                <w:bCs w:val="0"/>
                <w:sz w:val="21"/>
                <w:szCs w:val="21"/>
              </w:rPr>
            </w:pPr>
            <w:r>
              <w:rPr>
                <w:rFonts w:hint="eastAsia" w:ascii="宋体" w:hAnsi="宋体" w:eastAsia="宋体" w:cs="宋体"/>
                <w:b w:val="0"/>
                <w:bCs w:val="0"/>
                <w:color w:val="000000" w:themeColor="text1"/>
                <w:spacing w:val="-4"/>
                <w:kern w:val="0"/>
                <w:sz w:val="21"/>
                <w:szCs w:val="21"/>
                <w:lang w:val="en-US" w:eastAsia="zh-CN" w:bidi="ar-SA"/>
                <w14:textFill>
                  <w14:solidFill>
                    <w14:schemeClr w14:val="tx1"/>
                  </w14:solidFill>
                </w14:textFill>
              </w:rPr>
              <w:t>项目重点、难点分析</w:t>
            </w:r>
          </w:p>
        </w:tc>
        <w:tc>
          <w:tcPr>
            <w:tcW w:w="798" w:type="dxa"/>
            <w:noWrap w:val="0"/>
            <w:vAlign w:val="center"/>
          </w:tcPr>
          <w:p>
            <w:pPr>
              <w:spacing w:line="360" w:lineRule="exact"/>
              <w:ind w:right="6" w:rightChars="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w:t>
            </w:r>
          </w:p>
        </w:tc>
        <w:tc>
          <w:tcPr>
            <w:tcW w:w="1002" w:type="dxa"/>
            <w:noWrap w:val="0"/>
            <w:vAlign w:val="center"/>
          </w:tcPr>
          <w:p>
            <w:pPr>
              <w:jc w:val="left"/>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sz w:val="21"/>
                <w:szCs w:val="21"/>
              </w:rPr>
            </w:pPr>
          </w:p>
        </w:tc>
        <w:tc>
          <w:tcPr>
            <w:tcW w:w="124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6</w:t>
            </w:r>
          </w:p>
        </w:tc>
        <w:tc>
          <w:tcPr>
            <w:tcW w:w="2553" w:type="dxa"/>
            <w:noWrap w:val="0"/>
            <w:vAlign w:val="center"/>
          </w:tcPr>
          <w:p>
            <w:pPr>
              <w:spacing w:line="360" w:lineRule="exact"/>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施工方案</w:t>
            </w:r>
          </w:p>
        </w:tc>
        <w:tc>
          <w:tcPr>
            <w:tcW w:w="798" w:type="dxa"/>
            <w:noWrap w:val="0"/>
            <w:vAlign w:val="center"/>
          </w:tcPr>
          <w:p>
            <w:pPr>
              <w:spacing w:line="360" w:lineRule="exact"/>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29</w:t>
            </w:r>
          </w:p>
        </w:tc>
        <w:tc>
          <w:tcPr>
            <w:tcW w:w="1002" w:type="dxa"/>
            <w:noWrap w:val="0"/>
            <w:vAlign w:val="center"/>
          </w:tcPr>
          <w:p>
            <w:pPr>
              <w:jc w:val="left"/>
              <w:rPr>
                <w:rFonts w:hint="eastAsia" w:ascii="宋体" w:hAnsi="宋体" w:eastAsia="宋体" w:cs="宋体"/>
                <w:bCs/>
                <w:sz w:val="21"/>
                <w:szCs w:val="21"/>
              </w:rPr>
            </w:pPr>
          </w:p>
        </w:tc>
        <w:tc>
          <w:tcPr>
            <w:tcW w:w="3463" w:type="dxa"/>
            <w:noWrap w:val="0"/>
            <w:vAlign w:val="center"/>
          </w:tcPr>
          <w:p>
            <w:pPr>
              <w:jc w:val="left"/>
              <w:rPr>
                <w:rFonts w:hint="eastAsia" w:ascii="宋体" w:hAnsi="宋体" w:eastAsia="宋体" w:cs="宋体"/>
                <w:bCs/>
                <w:sz w:val="21"/>
                <w:szCs w:val="21"/>
              </w:rPr>
            </w:pPr>
          </w:p>
        </w:tc>
        <w:tc>
          <w:tcPr>
            <w:tcW w:w="1247" w:type="dxa"/>
            <w:noWrap w:val="0"/>
            <w:vAlign w:val="center"/>
          </w:tcPr>
          <w:p>
            <w:pPr>
              <w:jc w:val="left"/>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7</w:t>
            </w:r>
          </w:p>
        </w:tc>
        <w:tc>
          <w:tcPr>
            <w:tcW w:w="2553" w:type="dxa"/>
            <w:noWrap w:val="0"/>
            <w:vAlign w:val="center"/>
          </w:tcPr>
          <w:p>
            <w:pPr>
              <w:spacing w:line="360" w:lineRule="exact"/>
              <w:ind w:left="-50" w:leftChars="0"/>
              <w:jc w:val="center"/>
              <w:rPr>
                <w:rFonts w:hint="eastAsia" w:ascii="宋体" w:hAnsi="宋体" w:eastAsia="宋体" w:cs="宋体"/>
                <w:b w:val="0"/>
                <w:bCs w:val="0"/>
                <w:sz w:val="21"/>
                <w:szCs w:val="21"/>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施工进度</w:t>
            </w:r>
          </w:p>
        </w:tc>
        <w:tc>
          <w:tcPr>
            <w:tcW w:w="798" w:type="dxa"/>
            <w:noWrap w:val="0"/>
            <w:vAlign w:val="center"/>
          </w:tcPr>
          <w:p>
            <w:pPr>
              <w:spacing w:line="360" w:lineRule="exact"/>
              <w:ind w:right="3" w:rightChars="0"/>
              <w:jc w:val="center"/>
              <w:rPr>
                <w:rFonts w:hint="eastAsia" w:ascii="宋体" w:hAnsi="宋体" w:eastAsia="宋体" w:cs="宋体"/>
                <w:b w:val="0"/>
                <w:bCs w:val="0"/>
                <w:sz w:val="21"/>
                <w:szCs w:val="21"/>
                <w:highlight w:val="none"/>
                <w:lang w:val="en-US"/>
              </w:rPr>
            </w:pPr>
            <w:r>
              <w:rPr>
                <w:rFonts w:hint="eastAsia" w:ascii="宋体" w:hAnsi="宋体" w:eastAsia="宋体" w:cs="宋体"/>
                <w:b w:val="0"/>
                <w:bCs w:val="0"/>
                <w:kern w:val="28"/>
                <w:sz w:val="21"/>
                <w:szCs w:val="21"/>
                <w:highlight w:val="none"/>
                <w:lang w:val="en-US" w:eastAsia="zh-CN"/>
              </w:rPr>
              <w:t>10</w:t>
            </w:r>
          </w:p>
        </w:tc>
        <w:tc>
          <w:tcPr>
            <w:tcW w:w="1002" w:type="dxa"/>
            <w:noWrap w:val="0"/>
            <w:vAlign w:val="center"/>
          </w:tcPr>
          <w:p>
            <w:pPr>
              <w:jc w:val="left"/>
              <w:rPr>
                <w:rFonts w:hint="eastAsia" w:ascii="宋体" w:hAnsi="宋体" w:eastAsia="宋体" w:cs="宋体"/>
                <w:bCs/>
                <w:sz w:val="21"/>
                <w:szCs w:val="21"/>
              </w:rPr>
            </w:pPr>
          </w:p>
        </w:tc>
        <w:tc>
          <w:tcPr>
            <w:tcW w:w="3463" w:type="dxa"/>
            <w:noWrap w:val="0"/>
            <w:vAlign w:val="center"/>
          </w:tcPr>
          <w:p>
            <w:pPr>
              <w:jc w:val="left"/>
              <w:rPr>
                <w:rFonts w:hint="eastAsia" w:ascii="宋体" w:hAnsi="宋体" w:eastAsia="宋体" w:cs="宋体"/>
                <w:bCs/>
                <w:sz w:val="21"/>
                <w:szCs w:val="21"/>
              </w:rPr>
            </w:pPr>
          </w:p>
        </w:tc>
        <w:tc>
          <w:tcPr>
            <w:tcW w:w="1247" w:type="dxa"/>
            <w:noWrap w:val="0"/>
            <w:vAlign w:val="center"/>
          </w:tcPr>
          <w:p>
            <w:pPr>
              <w:jc w:val="left"/>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8</w:t>
            </w:r>
          </w:p>
        </w:tc>
        <w:tc>
          <w:tcPr>
            <w:tcW w:w="2553" w:type="dxa"/>
            <w:noWrap w:val="0"/>
            <w:vAlign w:val="center"/>
          </w:tcPr>
          <w:p>
            <w:pPr>
              <w:spacing w:line="360" w:lineRule="exact"/>
              <w:ind w:left="-50" w:leftChars="0"/>
              <w:jc w:val="center"/>
              <w:rPr>
                <w:rFonts w:hint="eastAsia" w:ascii="宋体" w:hAnsi="宋体" w:eastAsia="宋体" w:cs="宋体"/>
                <w:b w:val="0"/>
                <w:bCs w:val="0"/>
                <w:sz w:val="21"/>
                <w:szCs w:val="21"/>
              </w:rPr>
            </w:pPr>
            <w:r>
              <w:rPr>
                <w:rFonts w:hint="eastAsia" w:ascii="宋体" w:hAnsi="宋体" w:eastAsia="宋体" w:cs="宋体"/>
                <w:b w:val="0"/>
                <w:bCs w:val="0"/>
                <w:snapToGrid w:val="0"/>
                <w:sz w:val="21"/>
                <w:szCs w:val="21"/>
                <w:highlight w:val="none"/>
              </w:rPr>
              <w:t>工程质量保障措施</w:t>
            </w:r>
          </w:p>
        </w:tc>
        <w:tc>
          <w:tcPr>
            <w:tcW w:w="798" w:type="dxa"/>
            <w:noWrap w:val="0"/>
            <w:vAlign w:val="center"/>
          </w:tcPr>
          <w:p>
            <w:pPr>
              <w:spacing w:line="360" w:lineRule="exact"/>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w:t>
            </w:r>
          </w:p>
        </w:tc>
        <w:tc>
          <w:tcPr>
            <w:tcW w:w="1002" w:type="dxa"/>
            <w:noWrap w:val="0"/>
            <w:vAlign w:val="center"/>
          </w:tcPr>
          <w:p>
            <w:pPr>
              <w:jc w:val="left"/>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shd w:val="pct10" w:color="auto" w:fill="FFFFFF"/>
              </w:rPr>
            </w:pPr>
          </w:p>
        </w:tc>
        <w:tc>
          <w:tcPr>
            <w:tcW w:w="124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95" w:type="dxa"/>
            <w:noWrap w:val="0"/>
            <w:vAlign w:val="center"/>
          </w:tcPr>
          <w:p>
            <w:pPr>
              <w:spacing w:line="360" w:lineRule="exact"/>
              <w:ind w:right="3" w:rightChars="0"/>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9</w:t>
            </w:r>
          </w:p>
        </w:tc>
        <w:tc>
          <w:tcPr>
            <w:tcW w:w="2553" w:type="dxa"/>
            <w:noWrap w:val="0"/>
            <w:vAlign w:val="center"/>
          </w:tcPr>
          <w:p>
            <w:pPr>
              <w:spacing w:line="360" w:lineRule="exact"/>
              <w:ind w:left="-50" w:leftChars="0"/>
              <w:jc w:val="center"/>
              <w:rPr>
                <w:rFonts w:hint="eastAsia" w:ascii="宋体" w:hAnsi="宋体" w:eastAsia="宋体" w:cs="宋体"/>
                <w:b w:val="0"/>
                <w:bCs w:val="0"/>
                <w:sz w:val="21"/>
                <w:szCs w:val="21"/>
              </w:rPr>
            </w:pPr>
            <w:r>
              <w:rPr>
                <w:rFonts w:hint="eastAsia" w:ascii="宋体" w:hAnsi="宋体" w:eastAsia="宋体" w:cs="宋体"/>
                <w:b w:val="0"/>
                <w:bCs w:val="0"/>
                <w:snapToGrid w:val="0"/>
                <w:sz w:val="21"/>
                <w:szCs w:val="21"/>
                <w:highlight w:val="none"/>
              </w:rPr>
              <w:t>主要施工机械设备的配备</w:t>
            </w:r>
          </w:p>
        </w:tc>
        <w:tc>
          <w:tcPr>
            <w:tcW w:w="798" w:type="dxa"/>
            <w:noWrap w:val="0"/>
            <w:vAlign w:val="center"/>
          </w:tcPr>
          <w:p>
            <w:pPr>
              <w:spacing w:line="360" w:lineRule="exact"/>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w:t>
            </w:r>
          </w:p>
        </w:tc>
        <w:tc>
          <w:tcPr>
            <w:tcW w:w="1002" w:type="dxa"/>
            <w:noWrap w:val="0"/>
            <w:vAlign w:val="center"/>
          </w:tcPr>
          <w:p>
            <w:pPr>
              <w:pStyle w:val="14"/>
              <w:ind w:firstLine="0"/>
              <w:rPr>
                <w:rFonts w:hint="eastAsia" w:ascii="宋体" w:hAnsi="宋体" w:eastAsia="宋体" w:cs="宋体"/>
                <w:bCs/>
                <w:sz w:val="21"/>
                <w:szCs w:val="21"/>
              </w:rPr>
            </w:pPr>
          </w:p>
        </w:tc>
        <w:tc>
          <w:tcPr>
            <w:tcW w:w="3463" w:type="dxa"/>
            <w:noWrap w:val="0"/>
            <w:vAlign w:val="center"/>
          </w:tcPr>
          <w:p>
            <w:pPr>
              <w:pStyle w:val="14"/>
              <w:ind w:firstLine="0"/>
              <w:rPr>
                <w:rFonts w:hint="eastAsia" w:ascii="宋体" w:hAnsi="宋体" w:eastAsia="宋体" w:cs="宋体"/>
                <w:bCs/>
                <w:sz w:val="21"/>
                <w:szCs w:val="21"/>
              </w:rPr>
            </w:pPr>
          </w:p>
        </w:tc>
        <w:tc>
          <w:tcPr>
            <w:tcW w:w="1247" w:type="dxa"/>
            <w:noWrap w:val="0"/>
            <w:vAlign w:val="center"/>
          </w:tcPr>
          <w:p>
            <w:pPr>
              <w:pStyle w:val="14"/>
              <w:ind w:firstLine="0"/>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5" w:type="dxa"/>
            <w:noWrap w:val="0"/>
            <w:vAlign w:val="center"/>
          </w:tcPr>
          <w:p>
            <w:pPr>
              <w:spacing w:line="360" w:lineRule="exact"/>
              <w:ind w:right="3" w:rightChars="0"/>
              <w:jc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val="en-US" w:eastAsia="zh-CN"/>
              </w:rPr>
              <w:t>0</w:t>
            </w:r>
          </w:p>
        </w:tc>
        <w:tc>
          <w:tcPr>
            <w:tcW w:w="2553" w:type="dxa"/>
            <w:noWrap w:val="0"/>
            <w:vAlign w:val="center"/>
          </w:tcPr>
          <w:p>
            <w:pPr>
              <w:spacing w:line="360" w:lineRule="exact"/>
              <w:ind w:left="-50" w:leftChars="0"/>
              <w:jc w:val="center"/>
              <w:rPr>
                <w:rFonts w:hint="eastAsia" w:ascii="宋体" w:hAnsi="宋体" w:eastAsia="宋体" w:cs="宋体"/>
                <w:b w:val="0"/>
                <w:bCs w:val="0"/>
                <w:spacing w:val="-6"/>
                <w:sz w:val="21"/>
                <w:szCs w:val="21"/>
              </w:rPr>
            </w:pPr>
            <w:r>
              <w:rPr>
                <w:rFonts w:hint="eastAsia" w:ascii="宋体" w:hAnsi="宋体" w:eastAsia="宋体" w:cs="宋体"/>
                <w:b w:val="0"/>
                <w:bCs w:val="0"/>
                <w:snapToGrid w:val="0"/>
                <w:sz w:val="21"/>
                <w:szCs w:val="21"/>
                <w:highlight w:val="none"/>
                <w:lang w:val="en-US" w:eastAsia="zh-CN"/>
              </w:rPr>
              <w:t>验收、结算与移交</w:t>
            </w:r>
          </w:p>
        </w:tc>
        <w:tc>
          <w:tcPr>
            <w:tcW w:w="798" w:type="dxa"/>
            <w:noWrap w:val="0"/>
            <w:vAlign w:val="center"/>
          </w:tcPr>
          <w:p>
            <w:pPr>
              <w:spacing w:line="360" w:lineRule="exact"/>
              <w:jc w:val="center"/>
              <w:rPr>
                <w:rFonts w:hint="eastAsia" w:ascii="宋体" w:hAnsi="宋体" w:eastAsia="宋体" w:cs="宋体"/>
                <w:b w:val="0"/>
                <w:bCs w:val="0"/>
                <w:sz w:val="21"/>
                <w:szCs w:val="21"/>
                <w:highlight w:val="none"/>
              </w:rPr>
            </w:pPr>
            <w:r>
              <w:rPr>
                <w:rFonts w:hint="eastAsia" w:ascii="宋体" w:hAnsi="宋体" w:eastAsia="宋体" w:cs="宋体"/>
                <w:b w:val="0"/>
                <w:bCs w:val="0"/>
                <w:kern w:val="2"/>
                <w:sz w:val="21"/>
                <w:szCs w:val="21"/>
                <w:highlight w:val="none"/>
                <w:lang w:val="en-US" w:eastAsia="zh-CN" w:bidi="ar-SA"/>
              </w:rPr>
              <w:t>4</w:t>
            </w:r>
          </w:p>
        </w:tc>
        <w:tc>
          <w:tcPr>
            <w:tcW w:w="1002" w:type="dxa"/>
            <w:noWrap w:val="0"/>
            <w:vAlign w:val="center"/>
          </w:tcPr>
          <w:p>
            <w:pPr>
              <w:pStyle w:val="14"/>
              <w:ind w:firstLine="0"/>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pStyle w:val="14"/>
              <w:ind w:firstLine="0"/>
              <w:jc w:val="center"/>
              <w:rPr>
                <w:rFonts w:hint="eastAsia" w:ascii="宋体" w:hAnsi="宋体" w:eastAsia="宋体" w:cs="宋体"/>
                <w:bCs/>
                <w:sz w:val="21"/>
                <w:szCs w:val="21"/>
              </w:rPr>
            </w:pPr>
          </w:p>
        </w:tc>
        <w:tc>
          <w:tcPr>
            <w:tcW w:w="1247" w:type="dxa"/>
            <w:tcBorders>
              <w:top w:val="nil"/>
              <w:left w:val="nil"/>
              <w:bottom w:val="single" w:color="auto" w:sz="4" w:space="0"/>
              <w:right w:val="single" w:color="auto" w:sz="4" w:space="0"/>
            </w:tcBorders>
            <w:noWrap w:val="0"/>
            <w:vAlign w:val="center"/>
          </w:tcPr>
          <w:p>
            <w:pPr>
              <w:pStyle w:val="14"/>
              <w:ind w:firstLine="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w:t>
            </w:r>
          </w:p>
        </w:tc>
        <w:tc>
          <w:tcPr>
            <w:tcW w:w="2553" w:type="dxa"/>
            <w:noWrap w:val="0"/>
            <w:vAlign w:val="center"/>
          </w:tcPr>
          <w:p>
            <w:pPr>
              <w:spacing w:line="360" w:lineRule="exact"/>
              <w:ind w:left="-50" w:leftChars="0"/>
              <w:jc w:val="center"/>
              <w:rPr>
                <w:rFonts w:hint="eastAsia" w:ascii="宋体" w:hAnsi="宋体" w:eastAsia="宋体" w:cs="宋体"/>
                <w:b w:val="0"/>
                <w:bCs w:val="0"/>
                <w:snapToGrid w:val="0"/>
                <w:sz w:val="21"/>
                <w:szCs w:val="21"/>
                <w:highlight w:val="none"/>
                <w:lang w:val="en-US" w:eastAsia="zh-CN"/>
              </w:rPr>
            </w:pPr>
            <w:r>
              <w:rPr>
                <w:rFonts w:hint="eastAsia" w:ascii="宋体" w:hAnsi="宋体" w:eastAsia="宋体" w:cs="宋体"/>
                <w:b w:val="0"/>
                <w:bCs w:val="0"/>
                <w:snapToGrid w:val="0"/>
                <w:sz w:val="21"/>
                <w:szCs w:val="21"/>
                <w:highlight w:val="none"/>
              </w:rPr>
              <w:t>质量保修期内的服务响应</w:t>
            </w:r>
          </w:p>
        </w:tc>
        <w:tc>
          <w:tcPr>
            <w:tcW w:w="798" w:type="dxa"/>
            <w:noWrap w:val="0"/>
            <w:vAlign w:val="center"/>
          </w:tcPr>
          <w:p>
            <w:pPr>
              <w:spacing w:line="360" w:lineRule="exact"/>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4</w:t>
            </w:r>
          </w:p>
        </w:tc>
        <w:tc>
          <w:tcPr>
            <w:tcW w:w="1002" w:type="dxa"/>
            <w:noWrap w:val="0"/>
            <w:vAlign w:val="center"/>
          </w:tcPr>
          <w:p>
            <w:pPr>
              <w:pStyle w:val="14"/>
              <w:ind w:firstLine="0"/>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pStyle w:val="14"/>
              <w:ind w:firstLine="0"/>
              <w:jc w:val="center"/>
              <w:rPr>
                <w:rFonts w:hint="eastAsia" w:ascii="宋体" w:hAnsi="宋体" w:eastAsia="宋体" w:cs="宋体"/>
                <w:bCs/>
                <w:sz w:val="21"/>
                <w:szCs w:val="21"/>
              </w:rPr>
            </w:pPr>
          </w:p>
        </w:tc>
        <w:tc>
          <w:tcPr>
            <w:tcW w:w="1247" w:type="dxa"/>
            <w:tcBorders>
              <w:top w:val="nil"/>
              <w:left w:val="nil"/>
              <w:bottom w:val="single" w:color="auto" w:sz="4" w:space="0"/>
              <w:right w:val="single" w:color="auto" w:sz="4" w:space="0"/>
            </w:tcBorders>
            <w:noWrap w:val="0"/>
            <w:vAlign w:val="center"/>
          </w:tcPr>
          <w:p>
            <w:pPr>
              <w:pStyle w:val="14"/>
              <w:ind w:firstLine="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5" w:type="dxa"/>
            <w:noWrap w:val="0"/>
            <w:vAlign w:val="center"/>
          </w:tcPr>
          <w:p>
            <w:pPr>
              <w:spacing w:line="360" w:lineRule="exact"/>
              <w:ind w:right="3" w:rightChars="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w:t>
            </w:r>
          </w:p>
        </w:tc>
        <w:tc>
          <w:tcPr>
            <w:tcW w:w="2553" w:type="dxa"/>
            <w:noWrap w:val="0"/>
            <w:vAlign w:val="center"/>
          </w:tcPr>
          <w:p>
            <w:pPr>
              <w:spacing w:line="360" w:lineRule="exact"/>
              <w:ind w:left="-50" w:leftChars="0"/>
              <w:jc w:val="center"/>
              <w:rPr>
                <w:rFonts w:hint="eastAsia" w:ascii="宋体" w:hAnsi="宋体" w:eastAsia="宋体" w:cs="宋体"/>
                <w:b w:val="0"/>
                <w:bCs w:val="0"/>
                <w:snapToGrid w:val="0"/>
                <w:sz w:val="21"/>
                <w:szCs w:val="21"/>
                <w:highlight w:val="none"/>
                <w:lang w:val="en-US" w:eastAsia="zh-CN"/>
              </w:rPr>
            </w:pPr>
            <w:r>
              <w:rPr>
                <w:rFonts w:hint="eastAsia" w:ascii="宋体" w:hAnsi="宋体" w:eastAsia="宋体" w:cs="宋体"/>
                <w:b w:val="0"/>
                <w:bCs w:val="0"/>
                <w:snapToGrid w:val="0"/>
                <w:sz w:val="21"/>
                <w:szCs w:val="21"/>
                <w:highlight w:val="none"/>
                <w:lang w:val="en-US" w:eastAsia="zh-CN"/>
              </w:rPr>
              <w:t>合理化建议</w:t>
            </w:r>
          </w:p>
        </w:tc>
        <w:tc>
          <w:tcPr>
            <w:tcW w:w="798" w:type="dxa"/>
            <w:noWrap w:val="0"/>
            <w:vAlign w:val="center"/>
          </w:tcPr>
          <w:p>
            <w:pPr>
              <w:spacing w:line="360" w:lineRule="exact"/>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3</w:t>
            </w:r>
          </w:p>
        </w:tc>
        <w:tc>
          <w:tcPr>
            <w:tcW w:w="1002" w:type="dxa"/>
            <w:noWrap w:val="0"/>
            <w:vAlign w:val="center"/>
          </w:tcPr>
          <w:p>
            <w:pPr>
              <w:pStyle w:val="14"/>
              <w:ind w:firstLine="0"/>
              <w:rPr>
                <w:rFonts w:hint="eastAsia" w:ascii="宋体" w:hAnsi="宋体" w:eastAsia="宋体" w:cs="宋体"/>
                <w:bCs/>
                <w:sz w:val="21"/>
                <w:szCs w:val="21"/>
              </w:rPr>
            </w:pPr>
          </w:p>
        </w:tc>
        <w:tc>
          <w:tcPr>
            <w:tcW w:w="3463" w:type="dxa"/>
            <w:tcBorders>
              <w:top w:val="nil"/>
              <w:left w:val="nil"/>
              <w:bottom w:val="single" w:color="auto" w:sz="4" w:space="0"/>
              <w:right w:val="single" w:color="auto" w:sz="4" w:space="0"/>
            </w:tcBorders>
            <w:noWrap w:val="0"/>
            <w:vAlign w:val="center"/>
          </w:tcPr>
          <w:p>
            <w:pPr>
              <w:pStyle w:val="14"/>
              <w:ind w:firstLine="0"/>
              <w:jc w:val="center"/>
              <w:rPr>
                <w:rFonts w:hint="eastAsia" w:ascii="宋体" w:hAnsi="宋体" w:eastAsia="宋体" w:cs="宋体"/>
                <w:bCs/>
                <w:sz w:val="21"/>
                <w:szCs w:val="21"/>
              </w:rPr>
            </w:pPr>
          </w:p>
        </w:tc>
        <w:tc>
          <w:tcPr>
            <w:tcW w:w="1247" w:type="dxa"/>
            <w:tcBorders>
              <w:top w:val="nil"/>
              <w:left w:val="nil"/>
              <w:bottom w:val="single" w:color="auto" w:sz="4" w:space="0"/>
              <w:right w:val="single" w:color="auto" w:sz="4" w:space="0"/>
            </w:tcBorders>
            <w:noWrap w:val="0"/>
            <w:vAlign w:val="center"/>
          </w:tcPr>
          <w:p>
            <w:pPr>
              <w:pStyle w:val="14"/>
              <w:ind w:firstLine="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048" w:type="dxa"/>
            <w:gridSpan w:val="2"/>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合计</w:t>
            </w:r>
          </w:p>
        </w:tc>
        <w:tc>
          <w:tcPr>
            <w:tcW w:w="798" w:type="dxa"/>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0分</w:t>
            </w:r>
          </w:p>
        </w:tc>
        <w:tc>
          <w:tcPr>
            <w:tcW w:w="1002" w:type="dxa"/>
            <w:noWrap w:val="0"/>
            <w:vAlign w:val="center"/>
          </w:tcPr>
          <w:p>
            <w:pPr>
              <w:snapToGrid w:val="0"/>
              <w:jc w:val="left"/>
              <w:rPr>
                <w:rFonts w:hint="eastAsia" w:ascii="宋体" w:hAnsi="宋体" w:eastAsia="宋体" w:cs="宋体"/>
                <w:bCs/>
                <w:sz w:val="21"/>
                <w:szCs w:val="21"/>
                <w:lang w:val="zh-CN"/>
              </w:rPr>
            </w:pPr>
          </w:p>
        </w:tc>
        <w:tc>
          <w:tcPr>
            <w:tcW w:w="3463" w:type="dxa"/>
            <w:tcBorders>
              <w:top w:val="nil"/>
              <w:left w:val="nil"/>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1247" w:type="dxa"/>
            <w:tcBorders>
              <w:top w:val="nil"/>
              <w:left w:val="nil"/>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bl>
    <w:p>
      <w:pPr>
        <w:pStyle w:val="21"/>
        <w:rPr>
          <w:rFonts w:hint="eastAsia" w:ascii="宋体" w:hAnsi="宋体" w:eastAsia="宋体" w:cs="宋体"/>
          <w:b/>
          <w:color w:val="auto"/>
          <w:sz w:val="21"/>
          <w:szCs w:val="21"/>
          <w:highlight w:val="none"/>
        </w:rPr>
      </w:pPr>
    </w:p>
    <w:p>
      <w:pPr>
        <w:pStyle w:val="22"/>
        <w:rPr>
          <w:rFonts w:hint="eastAsia" w:ascii="宋体" w:hAnsi="宋体" w:eastAsia="宋体" w:cs="宋体"/>
          <w:color w:val="auto"/>
          <w:sz w:val="21"/>
          <w:szCs w:val="21"/>
          <w:highlight w:val="none"/>
        </w:rPr>
      </w:pPr>
    </w:p>
    <w:p>
      <w:pPr>
        <w:spacing w:before="120" w:beforeLines="50" w:after="120" w:afterLines="50" w:line="400" w:lineRule="exact"/>
        <w:jc w:val="center"/>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pStyle w:val="48"/>
        <w:rPr>
          <w:rFonts w:hint="eastAsia" w:ascii="宋体" w:hAnsi="Courier New" w:eastAsia="宋体" w:cs="Times New Roman"/>
          <w:b/>
          <w:bCs w:val="0"/>
          <w:color w:val="auto"/>
          <w:kern w:val="0"/>
          <w:sz w:val="30"/>
          <w:szCs w:val="30"/>
          <w:highlight w:val="none"/>
          <w:lang w:val="en-US" w:eastAsia="zh-CN" w:bidi="ar-SA"/>
        </w:rPr>
      </w:pPr>
      <w:bookmarkStart w:id="57" w:name="_Toc48835715"/>
      <w:bookmarkStart w:id="58" w:name="_Toc15868"/>
      <w:r>
        <w:rPr>
          <w:rFonts w:hint="eastAsia" w:ascii="宋体" w:hAnsi="Courier New" w:eastAsia="宋体" w:cs="Times New Roman"/>
          <w:b/>
          <w:bCs w:val="0"/>
          <w:color w:val="auto"/>
          <w:kern w:val="0"/>
          <w:sz w:val="30"/>
          <w:szCs w:val="30"/>
          <w:highlight w:val="none"/>
          <w:lang w:val="en-US" w:eastAsia="zh-CN" w:bidi="ar-SA"/>
        </w:rPr>
        <w:t>第五章  合同主要条款</w:t>
      </w:r>
      <w:bookmarkEnd w:id="57"/>
      <w:bookmarkEnd w:id="58"/>
      <w:bookmarkStart w:id="59" w:name="_Toc466534751"/>
    </w:p>
    <w:p>
      <w:pPr>
        <w:adjustRightInd w:val="0"/>
        <w:spacing w:line="440" w:lineRule="exact"/>
        <w:jc w:val="center"/>
        <w:rPr>
          <w:rStyle w:val="173"/>
          <w:rFonts w:hint="eastAsia" w:ascii="宋体" w:hAnsi="宋体" w:eastAsia="宋体" w:cs="宋体"/>
          <w:sz w:val="21"/>
          <w:szCs w:val="21"/>
          <w:lang w:val="en-US" w:eastAsia="zh-CN"/>
        </w:rPr>
      </w:pPr>
      <w:r>
        <w:rPr>
          <w:rStyle w:val="173"/>
          <w:rFonts w:hint="eastAsia" w:ascii="宋体" w:hAnsi="宋体" w:eastAsia="宋体" w:cs="宋体"/>
          <w:sz w:val="21"/>
          <w:szCs w:val="21"/>
          <w:lang w:val="en-US" w:eastAsia="zh-CN"/>
        </w:rPr>
        <w:t xml:space="preserve"> </w:t>
      </w:r>
    </w:p>
    <w:p>
      <w:pPr>
        <w:adjustRightInd w:val="0"/>
        <w:spacing w:line="440" w:lineRule="exact"/>
        <w:jc w:val="center"/>
        <w:rPr>
          <w:rFonts w:hint="eastAsia" w:ascii="宋体" w:hAnsi="宋体" w:eastAsia="宋体" w:cs="宋体"/>
          <w:sz w:val="21"/>
          <w:szCs w:val="21"/>
          <w:shd w:val="pct10" w:color="auto" w:fill="FFFFFF"/>
        </w:rPr>
      </w:pPr>
      <w:r>
        <w:rPr>
          <w:rFonts w:hint="eastAsia" w:ascii="宋体" w:hAnsi="宋体" w:eastAsia="宋体" w:cs="宋体"/>
          <w:sz w:val="21"/>
          <w:szCs w:val="21"/>
          <w:shd w:val="pct10" w:color="auto" w:fill="FFFFFF"/>
        </w:rPr>
        <w:t>（此稿为合同样本，最终定稿待双方协商后商定）</w:t>
      </w:r>
    </w:p>
    <w:p>
      <w:pPr>
        <w:adjustRightInd w:val="0"/>
        <w:spacing w:line="440" w:lineRule="exact"/>
        <w:jc w:val="center"/>
        <w:rPr>
          <w:rFonts w:hint="eastAsia" w:ascii="宋体" w:hAnsi="宋体" w:eastAsia="宋体" w:cs="宋体"/>
          <w:sz w:val="21"/>
          <w:szCs w:val="21"/>
          <w:shd w:val="pct10" w:color="auto" w:fill="FFFFFF"/>
        </w:rPr>
      </w:pPr>
    </w:p>
    <w:p>
      <w:pPr>
        <w:snapToGrid w:val="0"/>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甲方：（采购方）</w:t>
      </w:r>
    </w:p>
    <w:p>
      <w:pPr>
        <w:snapToGrid w:val="0"/>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乙方：（供应商）                             </w:t>
      </w:r>
    </w:p>
    <w:p>
      <w:pPr>
        <w:snapToGrid w:val="0"/>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见证方：采购代理机构</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甲、乙双方根据</w:t>
      </w:r>
      <w:r>
        <w:rPr>
          <w:rFonts w:hint="eastAsia" w:ascii="宋体" w:hAnsi="宋体" w:eastAsia="宋体" w:cs="宋体"/>
          <w:sz w:val="21"/>
          <w:szCs w:val="21"/>
        </w:rPr>
        <w:t>根据《中华人民共和国民法典》、《中华人民共和国建筑法》及有关法律规定，遵循平等、自愿、公平和诚实信用的原则，双方就</w:t>
      </w:r>
      <w:r>
        <w:rPr>
          <w:rFonts w:hint="eastAsia" w:ascii="宋体" w:hAnsi="宋体" w:eastAsia="宋体" w:cs="宋体"/>
          <w:sz w:val="21"/>
          <w:szCs w:val="21"/>
          <w:u w:val="single"/>
          <w:lang w:eastAsia="zh-CN"/>
        </w:rPr>
        <w:t>临海市东矶岛渔业综合管理项目</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施工及有关事项协商一致，共同达成如下协议：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w:t>
      </w:r>
      <w:bookmarkStart w:id="60" w:name="_Toc351203481"/>
      <w:r>
        <w:rPr>
          <w:rFonts w:hint="eastAsia" w:ascii="宋体" w:hAnsi="宋体" w:eastAsia="宋体" w:cs="宋体"/>
          <w:sz w:val="21"/>
          <w:szCs w:val="21"/>
        </w:rPr>
        <w:t>一、工程概况</w:t>
      </w:r>
      <w:bookmarkEnd w:id="60"/>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1.工程名称：</w:t>
      </w:r>
      <w:r>
        <w:rPr>
          <w:rFonts w:hint="eastAsia" w:ascii="宋体" w:hAnsi="宋体" w:eastAsia="宋体" w:cs="宋体"/>
          <w:sz w:val="21"/>
          <w:szCs w:val="21"/>
          <w:u w:val="single"/>
          <w:lang w:eastAsia="zh-CN"/>
        </w:rPr>
        <w:t>临海市东矶岛渔业综合管理项目</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2.工程地点：</w:t>
      </w:r>
      <w:r>
        <w:rPr>
          <w:rFonts w:hint="eastAsia" w:ascii="宋体" w:hAnsi="宋体" w:eastAsia="宋体" w:cs="宋体"/>
          <w:sz w:val="21"/>
          <w:szCs w:val="21"/>
          <w:u w:val="single"/>
          <w:lang w:eastAsia="zh-CN"/>
        </w:rPr>
        <w:t>东矶岛上</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3</w:t>
      </w:r>
      <w:r>
        <w:rPr>
          <w:rFonts w:hint="eastAsia" w:ascii="宋体" w:hAnsi="宋体" w:eastAsia="宋体" w:cs="宋体"/>
          <w:sz w:val="21"/>
          <w:szCs w:val="21"/>
          <w:highlight w:val="none"/>
        </w:rPr>
        <w:t>.工程立项批准文号：</w:t>
      </w:r>
      <w:r>
        <w:rPr>
          <w:rFonts w:hint="eastAsia" w:ascii="宋体" w:hAnsi="宋体" w:eastAsia="宋体" w:cs="宋体"/>
          <w:sz w:val="21"/>
          <w:szCs w:val="21"/>
          <w:highlight w:val="none"/>
          <w:u w:val="single"/>
          <w:lang w:val="en-US" w:eastAsia="zh-CN"/>
        </w:rPr>
        <w:t>临发改投资〔2024〕49号</w:t>
      </w:r>
      <w:r>
        <w:rPr>
          <w:rFonts w:hint="eastAsia" w:ascii="宋体" w:hAnsi="宋体" w:eastAsia="宋体" w:cs="宋体"/>
          <w:sz w:val="21"/>
          <w:szCs w:val="21"/>
          <w:highlight w:val="none"/>
        </w:rPr>
        <w:t>。</w:t>
      </w:r>
    </w:p>
    <w:p>
      <w:pPr>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4.资金来源：</w:t>
      </w:r>
      <w:r>
        <w:rPr>
          <w:rFonts w:hint="eastAsia" w:ascii="宋体" w:hAnsi="宋体" w:eastAsia="宋体" w:cs="宋体"/>
          <w:sz w:val="21"/>
          <w:szCs w:val="21"/>
          <w:highlight w:val="none"/>
          <w:u w:val="single"/>
          <w:lang w:val="en-US" w:eastAsia="zh-CN"/>
        </w:rPr>
        <w:t xml:space="preserve"> 临海市市县统筹渔业油补资金 </w:t>
      </w:r>
      <w:r>
        <w:rPr>
          <w:rFonts w:hint="eastAsia" w:ascii="宋体" w:hAnsi="宋体" w:eastAsia="宋体" w:cs="宋体"/>
          <w:sz w:val="21"/>
          <w:szCs w:val="21"/>
          <w:highlight w:val="none"/>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5.工程内容：</w:t>
      </w:r>
      <w:r>
        <w:rPr>
          <w:rFonts w:hint="eastAsia" w:ascii="宋体" w:hAnsi="宋体" w:eastAsia="宋体" w:cs="宋体"/>
          <w:sz w:val="21"/>
          <w:szCs w:val="21"/>
          <w:lang w:eastAsia="zh-CN"/>
        </w:rPr>
        <w:t>本工程为临海市东矶岛渔业综合管理项目，实施范围主要包括管理用房一至三层、发电机房等区域，涉及建筑总面积约为 590.28 平方米(其中管理用房面积约为 545.1 平方米、发电机房面积约为 45.18 平方米)。改造内容主要包括拆除工程、砌筑工程、墙面粉刷及贴砖以及饰面板、门窗工程、地面铺设地砖及花岗岩、天棚粉刷及吊顶等室内装修装饰工程、屋面工程、水电安装、管线布置、消防及弱电工程、家具及设备购置等其他配套设施项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群体工程应附《承包人承揽工程项目一览表》（附件1）。</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6.工程承包范围：</w:t>
      </w:r>
      <w:r>
        <w:rPr>
          <w:rFonts w:hint="eastAsia" w:ascii="宋体" w:hAnsi="宋体" w:eastAsia="宋体" w:cs="宋体"/>
          <w:sz w:val="21"/>
          <w:szCs w:val="21"/>
          <w:lang w:eastAsia="zh-CN"/>
        </w:rPr>
        <w:t>临海市东矶岛渔业综合管理项目</w:t>
      </w:r>
      <w:r>
        <w:rPr>
          <w:rFonts w:hint="eastAsia" w:ascii="宋体" w:hAnsi="宋体" w:eastAsia="宋体" w:cs="宋体"/>
          <w:sz w:val="21"/>
          <w:szCs w:val="21"/>
        </w:rPr>
        <w:t>，详见</w:t>
      </w:r>
      <w:r>
        <w:rPr>
          <w:rFonts w:hint="eastAsia" w:ascii="宋体" w:hAnsi="宋体" w:eastAsia="宋体" w:cs="宋体"/>
          <w:sz w:val="21"/>
          <w:szCs w:val="21"/>
          <w:lang w:val="en-US" w:eastAsia="zh-CN"/>
        </w:rPr>
        <w:t>发包人</w:t>
      </w:r>
      <w:r>
        <w:rPr>
          <w:rFonts w:hint="eastAsia" w:ascii="宋体" w:hAnsi="宋体" w:eastAsia="宋体" w:cs="宋体"/>
          <w:sz w:val="21"/>
          <w:szCs w:val="21"/>
        </w:rPr>
        <w:t xml:space="preserve">提供的图纸及预算书。 </w:t>
      </w:r>
    </w:p>
    <w:p>
      <w:pPr>
        <w:spacing w:line="360" w:lineRule="exact"/>
        <w:ind w:firstLine="420" w:firstLineChars="200"/>
        <w:rPr>
          <w:rFonts w:hint="eastAsia" w:ascii="宋体" w:hAnsi="宋体" w:eastAsia="宋体" w:cs="宋体"/>
          <w:sz w:val="21"/>
          <w:szCs w:val="21"/>
        </w:rPr>
      </w:pPr>
      <w:bookmarkStart w:id="61" w:name="_Toc351203482"/>
      <w:r>
        <w:rPr>
          <w:rFonts w:hint="eastAsia" w:ascii="宋体" w:hAnsi="宋体" w:eastAsia="宋体" w:cs="宋体"/>
          <w:sz w:val="21"/>
          <w:szCs w:val="21"/>
        </w:rPr>
        <w:t>二、合同工期</w:t>
      </w:r>
      <w:bookmarkEnd w:id="61"/>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计划开工日期：</w:t>
      </w:r>
      <w:r>
        <w:rPr>
          <w:rFonts w:hint="eastAsia" w:ascii="宋体" w:hAnsi="宋体" w:eastAsia="宋体" w:cs="宋体"/>
          <w:sz w:val="21"/>
          <w:szCs w:val="21"/>
          <w:u w:val="single"/>
        </w:rPr>
        <w:t>以发包人的开工通知为准。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计划竣工日期：</w:t>
      </w:r>
      <w:r>
        <w:rPr>
          <w:rFonts w:hint="eastAsia" w:ascii="宋体" w:hAnsi="宋体" w:eastAsia="宋体" w:cs="宋体"/>
          <w:sz w:val="21"/>
          <w:szCs w:val="21"/>
          <w:u w:val="single"/>
        </w:rPr>
        <w:t>按合同工期顺推。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工期总日历天数：</w:t>
      </w:r>
      <w:r>
        <w:rPr>
          <w:rFonts w:hint="eastAsia" w:ascii="宋体" w:hAnsi="宋体" w:eastAsia="宋体" w:cs="宋体"/>
          <w:sz w:val="21"/>
          <w:szCs w:val="21"/>
          <w:u w:val="single"/>
        </w:rPr>
        <w:t xml:space="preserve">         </w:t>
      </w:r>
      <w:r>
        <w:rPr>
          <w:rFonts w:hint="eastAsia" w:ascii="宋体" w:hAnsi="宋体" w:eastAsia="宋体" w:cs="宋体"/>
          <w:sz w:val="21"/>
          <w:szCs w:val="21"/>
        </w:rPr>
        <w:t>天。工期总日历天数与根据前述计划开竣工日期计算的工期天数不一致的，以工期总日历天数为准。</w:t>
      </w:r>
    </w:p>
    <w:p>
      <w:pPr>
        <w:spacing w:line="360" w:lineRule="exact"/>
        <w:ind w:firstLine="420" w:firstLineChars="200"/>
        <w:rPr>
          <w:rFonts w:hint="eastAsia" w:ascii="宋体" w:hAnsi="宋体" w:eastAsia="宋体" w:cs="宋体"/>
          <w:sz w:val="21"/>
          <w:szCs w:val="21"/>
        </w:rPr>
      </w:pPr>
      <w:bookmarkStart w:id="62" w:name="_Toc351203483"/>
      <w:r>
        <w:rPr>
          <w:rFonts w:hint="eastAsia" w:ascii="宋体" w:hAnsi="宋体" w:eastAsia="宋体" w:cs="宋体"/>
          <w:sz w:val="21"/>
          <w:szCs w:val="21"/>
        </w:rPr>
        <w:t>三、质量标准</w:t>
      </w:r>
      <w:bookmarkEnd w:id="62"/>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工程质量符合</w:t>
      </w:r>
      <w:r>
        <w:rPr>
          <w:rFonts w:hint="eastAsia" w:ascii="宋体" w:hAnsi="宋体" w:eastAsia="宋体" w:cs="宋体"/>
          <w:sz w:val="21"/>
          <w:szCs w:val="21"/>
          <w:u w:val="single"/>
        </w:rPr>
        <w:t xml:space="preserve"> 合格  </w:t>
      </w:r>
      <w:r>
        <w:rPr>
          <w:rFonts w:hint="eastAsia" w:ascii="宋体" w:hAnsi="宋体" w:eastAsia="宋体" w:cs="宋体"/>
          <w:sz w:val="21"/>
          <w:szCs w:val="21"/>
        </w:rPr>
        <w:t>标准。</w:t>
      </w:r>
    </w:p>
    <w:p>
      <w:pPr>
        <w:spacing w:line="360" w:lineRule="exact"/>
        <w:ind w:firstLine="420" w:firstLineChars="200"/>
        <w:rPr>
          <w:rFonts w:hint="eastAsia" w:ascii="宋体" w:hAnsi="宋体" w:eastAsia="宋体" w:cs="宋体"/>
          <w:sz w:val="21"/>
          <w:szCs w:val="21"/>
        </w:rPr>
      </w:pPr>
      <w:bookmarkStart w:id="63" w:name="_Toc351203484"/>
      <w:r>
        <w:rPr>
          <w:rFonts w:hint="eastAsia" w:ascii="宋体" w:hAnsi="宋体" w:eastAsia="宋体" w:cs="宋体"/>
          <w:sz w:val="21"/>
          <w:szCs w:val="21"/>
        </w:rPr>
        <w:t>四、签约合同价与合同价格形式</w:t>
      </w:r>
      <w:bookmarkEnd w:id="63"/>
      <w:r>
        <w:rPr>
          <w:rFonts w:hint="eastAsia" w:ascii="宋体" w:hAnsi="宋体" w:eastAsia="宋体" w:cs="宋体"/>
          <w:sz w:val="21"/>
          <w:szCs w:val="21"/>
        </w:rPr>
        <w:tab/>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1.签约合同价为：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人民币（大写）</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2.合同价格形式：</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其他价格形式合同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3．发包人向承包人支付工程价款及其他应当支付的款项均须汇入承包人合同协议书中的银行账户。</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承包人完成本合同项下应税行为的计税方式按以下第</w:t>
      </w:r>
      <w:r>
        <w:rPr>
          <w:rFonts w:hint="eastAsia" w:ascii="宋体" w:hAnsi="宋体" w:eastAsia="宋体" w:cs="宋体"/>
          <w:sz w:val="21"/>
          <w:szCs w:val="21"/>
          <w:u w:val="single"/>
        </w:rPr>
        <w:t>（1）</w:t>
      </w:r>
      <w:r>
        <w:rPr>
          <w:rFonts w:hint="eastAsia" w:ascii="宋体" w:hAnsi="宋体" w:eastAsia="宋体" w:cs="宋体"/>
          <w:sz w:val="21"/>
          <w:szCs w:val="21"/>
        </w:rPr>
        <w:t>种方法，并与工程计价时采用的计税方法一致。</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（1）一般计税方法。</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（2）简易计税方法。</w:t>
      </w:r>
    </w:p>
    <w:p>
      <w:pPr>
        <w:spacing w:line="360" w:lineRule="exact"/>
        <w:ind w:firstLine="420" w:firstLineChars="200"/>
        <w:rPr>
          <w:rFonts w:hint="eastAsia" w:ascii="宋体" w:hAnsi="宋体" w:eastAsia="宋体" w:cs="宋体"/>
          <w:sz w:val="21"/>
          <w:szCs w:val="21"/>
        </w:rPr>
      </w:pPr>
      <w:bookmarkStart w:id="64" w:name="_Toc351203485"/>
      <w:r>
        <w:rPr>
          <w:rFonts w:hint="eastAsia" w:ascii="宋体" w:hAnsi="宋体" w:eastAsia="宋体" w:cs="宋体"/>
          <w:sz w:val="21"/>
          <w:szCs w:val="21"/>
        </w:rPr>
        <w:t>五、</w:t>
      </w:r>
      <w:bookmarkEnd w:id="64"/>
      <w:r>
        <w:rPr>
          <w:rFonts w:hint="eastAsia" w:ascii="宋体" w:hAnsi="宋体" w:eastAsia="宋体" w:cs="宋体"/>
          <w:sz w:val="21"/>
          <w:szCs w:val="21"/>
        </w:rPr>
        <w:t>项目经理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承包人项目经理：</w:t>
      </w:r>
      <w:r>
        <w:rPr>
          <w:rFonts w:hint="eastAsia" w:ascii="宋体" w:hAnsi="宋体" w:eastAsia="宋体" w:cs="宋体"/>
          <w:sz w:val="21"/>
          <w:szCs w:val="21"/>
          <w:u w:val="single"/>
        </w:rPr>
        <w:t>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bookmarkStart w:id="65" w:name="_Toc351203486"/>
      <w:r>
        <w:rPr>
          <w:rFonts w:hint="eastAsia" w:ascii="宋体" w:hAnsi="宋体" w:eastAsia="宋体" w:cs="宋体"/>
          <w:sz w:val="21"/>
          <w:szCs w:val="21"/>
        </w:rPr>
        <w:t>六、合同文件构成</w:t>
      </w:r>
      <w:bookmarkEnd w:id="65"/>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本协议书与下列文件一起构成合同文件：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（1）中标通知书（如果有）；</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（2）投标函及其附录（如果有）；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（3）专用合同条款及其附件；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（4）通用合同条款；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（5）技术标准和要求；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（6）图纸；</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（7）已标价工程量清单或预算书；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（8）其他合同文件。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在合同订立及履行过程中形成的与合同有关的文件均构成合同文件组成部分。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上述各项合同文件包括合同当事人就该项合同文件所作出的补充和修改，属于同一类内容的文件，应以最新签署的为准。专用合同条款及其附件须经合同当事人签字或盖章。</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七、创优目标</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工程质量创</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安全文明施工创</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bCs/>
          <w:sz w:val="21"/>
          <w:szCs w:val="21"/>
        </w:rPr>
        <w:t>八、承诺</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1．发包人承诺按照法律规定履行项目审批手续、筹集工程建设资金并按照合同约定的期限和方式支付合同价款。</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2．承包人承诺按照法律规定及合同约定组织完成工程施工，确保工程质量和安全，不进行转包及违法分包，并在缺陷责任期及保修期内承担相应的工程维修责任。</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bCs/>
          <w:sz w:val="21"/>
          <w:szCs w:val="21"/>
        </w:rPr>
        <w:t xml:space="preserve">3. </w:t>
      </w:r>
      <w:r>
        <w:rPr>
          <w:rFonts w:hint="eastAsia" w:ascii="宋体" w:hAnsi="宋体" w:eastAsia="宋体" w:cs="宋体"/>
          <w:sz w:val="21"/>
          <w:szCs w:val="21"/>
        </w:rPr>
        <w:t>承包人</w:t>
      </w:r>
      <w:r>
        <w:rPr>
          <w:rFonts w:hint="eastAsia" w:ascii="宋体" w:hAnsi="宋体" w:eastAsia="宋体" w:cs="宋体"/>
          <w:bCs/>
          <w:sz w:val="21"/>
          <w:szCs w:val="21"/>
        </w:rPr>
        <w:t>承诺</w:t>
      </w:r>
      <w:r>
        <w:rPr>
          <w:rFonts w:hint="eastAsia" w:ascii="宋体" w:hAnsi="宋体" w:eastAsia="宋体" w:cs="宋体"/>
          <w:sz w:val="21"/>
          <w:szCs w:val="21"/>
        </w:rPr>
        <w:t>不拖欠工人工资，因拖欠工资造成的一切后果，均由承包人承担，发包人有权将应拔付的工程款，先代付工资。</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4．发包人和承包人通过招投标形式签订合同的，双方理解并承诺不再就同一工程另行签订与合同实质性内容相背离的协议。</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rPr>
        <w:t>九、词语含义</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本协议书中词语含义与第二部分通用合同条款中赋予的含义相同。</w:t>
      </w:r>
    </w:p>
    <w:p>
      <w:pPr>
        <w:spacing w:line="360" w:lineRule="exact"/>
        <w:ind w:firstLine="420" w:firstLineChars="200"/>
        <w:rPr>
          <w:rFonts w:hint="eastAsia" w:ascii="宋体" w:hAnsi="宋体" w:eastAsia="宋体" w:cs="宋体"/>
          <w:b/>
          <w:sz w:val="21"/>
          <w:szCs w:val="21"/>
        </w:rPr>
      </w:pPr>
      <w:r>
        <w:rPr>
          <w:rFonts w:hint="eastAsia" w:ascii="宋体" w:hAnsi="宋体" w:eastAsia="宋体" w:cs="宋体"/>
          <w:bCs/>
          <w:sz w:val="21"/>
          <w:szCs w:val="21"/>
        </w:rPr>
        <w:t>十、签订时间</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本合同于</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年</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月</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日签订。</w:t>
      </w:r>
    </w:p>
    <w:p>
      <w:pPr>
        <w:spacing w:line="360" w:lineRule="exact"/>
        <w:ind w:firstLine="420" w:firstLineChars="200"/>
        <w:rPr>
          <w:rFonts w:hint="eastAsia" w:ascii="宋体" w:hAnsi="宋体" w:eastAsia="宋体" w:cs="宋体"/>
          <w:b/>
          <w:sz w:val="21"/>
          <w:szCs w:val="21"/>
        </w:rPr>
      </w:pPr>
      <w:r>
        <w:rPr>
          <w:rFonts w:hint="eastAsia" w:ascii="宋体" w:hAnsi="宋体" w:eastAsia="宋体" w:cs="宋体"/>
          <w:bCs/>
          <w:sz w:val="21"/>
          <w:szCs w:val="21"/>
        </w:rPr>
        <w:t>十一、签订地点</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本合同在</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签订。</w:t>
      </w:r>
    </w:p>
    <w:p>
      <w:pPr>
        <w:spacing w:line="360" w:lineRule="exact"/>
        <w:ind w:firstLine="420" w:firstLineChars="200"/>
        <w:rPr>
          <w:rFonts w:hint="eastAsia" w:ascii="宋体" w:hAnsi="宋体" w:eastAsia="宋体" w:cs="宋体"/>
          <w:b/>
          <w:sz w:val="21"/>
          <w:szCs w:val="21"/>
        </w:rPr>
      </w:pPr>
      <w:r>
        <w:rPr>
          <w:rFonts w:hint="eastAsia" w:ascii="宋体" w:hAnsi="宋体" w:eastAsia="宋体" w:cs="宋体"/>
          <w:bCs/>
          <w:sz w:val="21"/>
          <w:szCs w:val="21"/>
        </w:rPr>
        <w:t>十二、补充协议</w:t>
      </w:r>
    </w:p>
    <w:p>
      <w:pPr>
        <w:spacing w:line="360" w:lineRule="exact"/>
        <w:ind w:firstLine="420" w:firstLineChars="200"/>
        <w:rPr>
          <w:rFonts w:hint="eastAsia" w:ascii="宋体" w:hAnsi="宋体" w:eastAsia="宋体" w:cs="宋体"/>
          <w:b/>
          <w:bCs/>
          <w:sz w:val="21"/>
          <w:szCs w:val="21"/>
        </w:rPr>
      </w:pPr>
      <w:r>
        <w:rPr>
          <w:rFonts w:hint="eastAsia" w:ascii="宋体" w:hAnsi="宋体" w:eastAsia="宋体" w:cs="宋体"/>
          <w:bCs/>
          <w:sz w:val="21"/>
          <w:szCs w:val="21"/>
        </w:rPr>
        <w:t>合同未尽事宜，合同当事人另行签订补充协议，补充协议是合同的组成部分。</w:t>
      </w:r>
    </w:p>
    <w:p>
      <w:pPr>
        <w:spacing w:line="360" w:lineRule="exact"/>
        <w:ind w:firstLine="420" w:firstLineChars="200"/>
        <w:rPr>
          <w:rFonts w:hint="eastAsia" w:ascii="宋体" w:hAnsi="宋体" w:eastAsia="宋体" w:cs="宋体"/>
          <w:b/>
          <w:sz w:val="21"/>
          <w:szCs w:val="21"/>
        </w:rPr>
      </w:pPr>
      <w:r>
        <w:rPr>
          <w:rFonts w:hint="eastAsia" w:ascii="宋体" w:hAnsi="宋体" w:eastAsia="宋体" w:cs="宋体"/>
          <w:bCs/>
          <w:sz w:val="21"/>
          <w:szCs w:val="21"/>
        </w:rPr>
        <w:t>十三、合同生效</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本合同自</w:t>
      </w:r>
      <w:r>
        <w:rPr>
          <w:rFonts w:hint="eastAsia" w:ascii="宋体" w:hAnsi="宋体" w:eastAsia="宋体" w:cs="宋体"/>
          <w:bCs/>
          <w:sz w:val="21"/>
          <w:szCs w:val="21"/>
          <w:u w:val="single"/>
        </w:rPr>
        <w:t>双方法定代表人或委托代理人签字或盖章并加盖公章后生效。</w:t>
      </w:r>
    </w:p>
    <w:p>
      <w:pPr>
        <w:spacing w:line="360" w:lineRule="exact"/>
        <w:ind w:firstLine="420" w:firstLineChars="200"/>
        <w:rPr>
          <w:rFonts w:hint="eastAsia" w:ascii="宋体" w:hAnsi="宋体" w:eastAsia="宋体" w:cs="宋体"/>
          <w:b/>
          <w:sz w:val="21"/>
          <w:szCs w:val="21"/>
        </w:rPr>
      </w:pPr>
      <w:r>
        <w:rPr>
          <w:rFonts w:hint="eastAsia" w:ascii="宋体" w:hAnsi="宋体" w:eastAsia="宋体" w:cs="宋体"/>
          <w:bCs/>
          <w:sz w:val="21"/>
          <w:szCs w:val="21"/>
        </w:rPr>
        <w:t>十四、合同份数</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本合同一式</w:t>
      </w:r>
      <w:r>
        <w:rPr>
          <w:rFonts w:hint="eastAsia" w:ascii="宋体" w:hAnsi="宋体" w:eastAsia="宋体" w:cs="宋体"/>
          <w:bCs/>
          <w:sz w:val="21"/>
          <w:szCs w:val="21"/>
          <w:u w:val="single"/>
        </w:rPr>
        <w:t xml:space="preserve">陆 </w:t>
      </w:r>
      <w:r>
        <w:rPr>
          <w:rFonts w:hint="eastAsia" w:ascii="宋体" w:hAnsi="宋体" w:eastAsia="宋体" w:cs="宋体"/>
          <w:bCs/>
          <w:sz w:val="21"/>
          <w:szCs w:val="21"/>
        </w:rPr>
        <w:t>份，均具有同等法律效力，发包人执</w:t>
      </w:r>
      <w:r>
        <w:rPr>
          <w:rFonts w:hint="eastAsia" w:ascii="宋体" w:hAnsi="宋体" w:eastAsia="宋体" w:cs="宋体"/>
          <w:bCs/>
          <w:sz w:val="21"/>
          <w:szCs w:val="21"/>
          <w:u w:val="single"/>
        </w:rPr>
        <w:t xml:space="preserve"> 叁 </w:t>
      </w:r>
      <w:r>
        <w:rPr>
          <w:rFonts w:hint="eastAsia" w:ascii="宋体" w:hAnsi="宋体" w:eastAsia="宋体" w:cs="宋体"/>
          <w:bCs/>
          <w:sz w:val="21"/>
          <w:szCs w:val="21"/>
        </w:rPr>
        <w:t>份，承包人执</w:t>
      </w:r>
      <w:r>
        <w:rPr>
          <w:rFonts w:hint="eastAsia" w:ascii="宋体" w:hAnsi="宋体" w:eastAsia="宋体" w:cs="宋体"/>
          <w:bCs/>
          <w:sz w:val="21"/>
          <w:szCs w:val="21"/>
          <w:u w:val="single"/>
        </w:rPr>
        <w:t xml:space="preserve"> 叁 </w:t>
      </w:r>
      <w:r>
        <w:rPr>
          <w:rFonts w:hint="eastAsia" w:ascii="宋体" w:hAnsi="宋体" w:eastAsia="宋体" w:cs="宋体"/>
          <w:bCs/>
          <w:sz w:val="21"/>
          <w:szCs w:val="21"/>
        </w:rPr>
        <w:t>份。</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以下无正文</w:t>
      </w:r>
    </w:p>
    <w:p>
      <w:pPr>
        <w:spacing w:line="360" w:lineRule="exact"/>
        <w:ind w:firstLine="420" w:firstLineChars="200"/>
        <w:rPr>
          <w:rFonts w:hint="eastAsia" w:ascii="宋体" w:hAnsi="宋体" w:eastAsia="宋体" w:cs="宋体"/>
          <w:sz w:val="21"/>
          <w:szCs w:val="21"/>
        </w:rPr>
      </w:pPr>
    </w:p>
    <w:p>
      <w:pPr>
        <w:spacing w:line="360" w:lineRule="exact"/>
        <w:ind w:firstLine="420" w:firstLineChars="200"/>
        <w:rPr>
          <w:rFonts w:hint="eastAsia" w:ascii="宋体" w:hAnsi="宋体" w:eastAsia="宋体" w:cs="宋体"/>
          <w:sz w:val="21"/>
          <w:szCs w:val="21"/>
        </w:rPr>
      </w:pPr>
    </w:p>
    <w:p>
      <w:pPr>
        <w:spacing w:line="360" w:lineRule="exact"/>
        <w:ind w:firstLine="420" w:firstLineChars="200"/>
        <w:rPr>
          <w:rFonts w:hint="eastAsia" w:ascii="宋体" w:hAnsi="宋体" w:eastAsia="宋体" w:cs="宋体"/>
          <w:sz w:val="21"/>
          <w:szCs w:val="21"/>
        </w:rPr>
      </w:pPr>
    </w:p>
    <w:p>
      <w:pPr>
        <w:spacing w:line="360" w:lineRule="exact"/>
        <w:rPr>
          <w:rFonts w:hint="eastAsia" w:ascii="宋体" w:hAnsi="宋体" w:eastAsia="宋体" w:cs="宋体"/>
          <w:sz w:val="21"/>
          <w:szCs w:val="21"/>
          <w:u w:val="single"/>
        </w:rPr>
      </w:pPr>
    </w:p>
    <w:p>
      <w:pPr>
        <w:spacing w:line="360" w:lineRule="exact"/>
        <w:ind w:firstLine="420" w:firstLineChars="200"/>
        <w:rPr>
          <w:rFonts w:hint="eastAsia" w:ascii="宋体" w:hAnsi="宋体" w:eastAsia="宋体" w:cs="宋体"/>
          <w:sz w:val="21"/>
          <w:szCs w:val="21"/>
          <w:u w:val="single"/>
        </w:rPr>
      </w:pPr>
    </w:p>
    <w:tbl>
      <w:tblPr>
        <w:tblStyle w:val="51"/>
        <w:tblW w:w="8459" w:type="dxa"/>
        <w:tblInd w:w="2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145"/>
        <w:gridCol w:w="43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00" w:hRule="atLeast"/>
        </w:trPr>
        <w:tc>
          <w:tcPr>
            <w:tcW w:w="4145" w:type="dxa"/>
          </w:tcPr>
          <w:p>
            <w:pPr>
              <w:spacing w:line="380" w:lineRule="exact"/>
              <w:ind w:firstLine="420" w:firstLineChars="200"/>
              <w:rPr>
                <w:rFonts w:ascii="宋体" w:hAnsi="宋体" w:eastAsia="宋体" w:cs="宋体"/>
                <w:bCs/>
                <w:sz w:val="21"/>
                <w:szCs w:val="21"/>
              </w:rPr>
            </w:pPr>
            <w:bookmarkStart w:id="66" w:name="_Toc228163246"/>
            <w:bookmarkStart w:id="67" w:name="_Toc372899875"/>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发包人：（公章或合同专用章）</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住所：</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法定代表人(签字)</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或委托代理人(签字)：</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电话：</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传真：</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开户银行：</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账号：</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邮政编码：</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电子邮箱：</w:t>
            </w:r>
          </w:p>
        </w:tc>
        <w:tc>
          <w:tcPr>
            <w:tcW w:w="4314" w:type="dxa"/>
          </w:tcPr>
          <w:p>
            <w:pPr>
              <w:spacing w:line="380" w:lineRule="exact"/>
              <w:ind w:firstLine="420" w:firstLineChars="200"/>
              <w:rPr>
                <w:rFonts w:ascii="宋体" w:hAnsi="宋体" w:eastAsia="宋体" w:cs="宋体"/>
                <w:bCs/>
                <w:sz w:val="21"/>
                <w:szCs w:val="21"/>
              </w:rPr>
            </w:pP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承包人：（公章或合同专用章）</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住所：</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法定代表人(签字)：</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或委托代理人(签字)：</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电话：</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传真：</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开户银行：</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账号：</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邮政编码：　　　　</w:t>
            </w:r>
          </w:p>
          <w:p>
            <w:pPr>
              <w:spacing w:line="380" w:lineRule="exact"/>
              <w:ind w:firstLine="420" w:firstLineChars="200"/>
              <w:rPr>
                <w:rFonts w:ascii="宋体" w:hAnsi="宋体" w:eastAsia="宋体" w:cs="宋体"/>
                <w:bCs/>
                <w:sz w:val="21"/>
                <w:szCs w:val="21"/>
              </w:rPr>
            </w:pPr>
            <w:r>
              <w:rPr>
                <w:rFonts w:hint="eastAsia" w:ascii="宋体" w:hAnsi="宋体" w:eastAsia="宋体" w:cs="宋体"/>
                <w:bCs/>
                <w:sz w:val="21"/>
                <w:szCs w:val="21"/>
              </w:rPr>
              <w:t>电子邮箱：</w:t>
            </w:r>
          </w:p>
        </w:tc>
      </w:tr>
    </w:tbl>
    <w:p>
      <w:pPr>
        <w:keepNext/>
        <w:keepLines/>
        <w:spacing w:before="100" w:line="400" w:lineRule="exact"/>
        <w:jc w:val="center"/>
        <w:outlineLvl w:val="1"/>
        <w:rPr>
          <w:rFonts w:hint="eastAsia" w:ascii="宋体" w:hAnsi="宋体" w:eastAsia="宋体" w:cs="宋体"/>
          <w:sz w:val="21"/>
          <w:szCs w:val="21"/>
        </w:rPr>
      </w:pPr>
      <w:r>
        <w:rPr>
          <w:rFonts w:hint="eastAsia" w:ascii="宋体" w:hAnsi="宋体" w:eastAsia="宋体" w:cs="宋体"/>
          <w:b/>
          <w:bCs/>
          <w:sz w:val="21"/>
          <w:szCs w:val="21"/>
        </w:rPr>
        <w:br w:type="page"/>
      </w:r>
      <w:bookmarkStart w:id="68" w:name="_Toc19546676"/>
      <w:bookmarkStart w:id="69" w:name="_Toc54349420"/>
      <w:r>
        <w:rPr>
          <w:rFonts w:hint="eastAsia" w:ascii="宋体" w:hAnsi="宋体" w:eastAsia="宋体" w:cs="宋体"/>
          <w:b/>
          <w:bCs/>
          <w:sz w:val="21"/>
          <w:szCs w:val="21"/>
        </w:rPr>
        <w:t>第二部分  通用条款</w:t>
      </w:r>
      <w:bookmarkEnd w:id="66"/>
      <w:r>
        <w:rPr>
          <w:rFonts w:hint="eastAsia" w:ascii="宋体" w:hAnsi="宋体" w:eastAsia="宋体" w:cs="宋体"/>
          <w:b/>
          <w:bCs/>
          <w:sz w:val="21"/>
          <w:szCs w:val="21"/>
        </w:rPr>
        <w:t>（略）</w:t>
      </w:r>
      <w:bookmarkEnd w:id="67"/>
      <w:bookmarkEnd w:id="68"/>
      <w:bookmarkEnd w:id="69"/>
    </w:p>
    <w:p>
      <w:pPr>
        <w:spacing w:line="360" w:lineRule="exact"/>
        <w:ind w:firstLine="420" w:firstLineChars="200"/>
        <w:rPr>
          <w:rFonts w:hint="eastAsia" w:ascii="宋体" w:hAnsi="宋体" w:eastAsia="宋体" w:cs="宋体"/>
          <w:sz w:val="21"/>
          <w:szCs w:val="21"/>
        </w:rPr>
      </w:pPr>
    </w:p>
    <w:p>
      <w:pPr>
        <w:keepNext/>
        <w:keepLines/>
        <w:spacing w:before="100" w:line="400" w:lineRule="exact"/>
        <w:jc w:val="center"/>
        <w:outlineLvl w:val="1"/>
        <w:rPr>
          <w:rFonts w:hint="eastAsia" w:ascii="宋体" w:hAnsi="宋体" w:eastAsia="宋体" w:cs="宋体"/>
          <w:b/>
          <w:bCs/>
          <w:sz w:val="21"/>
          <w:szCs w:val="21"/>
        </w:rPr>
      </w:pPr>
      <w:bookmarkStart w:id="70" w:name="_Toc19546677"/>
      <w:bookmarkStart w:id="71" w:name="_Toc54349421"/>
      <w:r>
        <w:rPr>
          <w:rFonts w:hint="eastAsia" w:ascii="宋体" w:hAnsi="宋体" w:eastAsia="宋体" w:cs="宋体"/>
          <w:b/>
          <w:bCs/>
          <w:sz w:val="21"/>
          <w:szCs w:val="21"/>
        </w:rPr>
        <w:t>第三部分 专用合同条款</w:t>
      </w:r>
      <w:bookmarkEnd w:id="70"/>
      <w:bookmarkEnd w:id="71"/>
    </w:p>
    <w:p>
      <w:pPr>
        <w:spacing w:line="360" w:lineRule="exact"/>
        <w:ind w:firstLine="422" w:firstLineChars="200"/>
        <w:rPr>
          <w:rFonts w:hint="eastAsia" w:ascii="宋体" w:hAnsi="宋体" w:eastAsia="宋体" w:cs="宋体"/>
          <w:b/>
          <w:bCs/>
          <w:sz w:val="21"/>
          <w:szCs w:val="21"/>
        </w:rPr>
      </w:pPr>
      <w:bookmarkStart w:id="72" w:name="_Toc351203633"/>
      <w:r>
        <w:rPr>
          <w:rFonts w:hint="eastAsia" w:ascii="宋体" w:hAnsi="宋体" w:eastAsia="宋体" w:cs="宋体"/>
          <w:b/>
          <w:bCs/>
          <w:sz w:val="21"/>
          <w:szCs w:val="21"/>
        </w:rPr>
        <w:t>1</w:t>
      </w:r>
      <w:bookmarkStart w:id="73" w:name="_Toc296347155"/>
      <w:bookmarkStart w:id="74" w:name="_Toc297120456"/>
      <w:bookmarkStart w:id="75" w:name="_Toc296891196"/>
      <w:bookmarkStart w:id="76" w:name="_Toc296890984"/>
      <w:bookmarkStart w:id="77" w:name="_Toc296503156"/>
      <w:bookmarkStart w:id="78" w:name="_Toc296346657"/>
      <w:bookmarkStart w:id="79" w:name="_Toc296944495"/>
      <w:bookmarkStart w:id="80" w:name="_Toc297048342"/>
      <w:bookmarkStart w:id="81" w:name="_Toc292559361"/>
      <w:bookmarkStart w:id="82" w:name="_Toc292559866"/>
      <w:r>
        <w:rPr>
          <w:rFonts w:hint="eastAsia" w:ascii="宋体" w:hAnsi="宋体" w:eastAsia="宋体" w:cs="宋体"/>
          <w:b/>
          <w:bCs/>
          <w:sz w:val="21"/>
          <w:szCs w:val="21"/>
        </w:rPr>
        <w:t>. 一般约定</w:t>
      </w:r>
      <w:bookmarkEnd w:id="72"/>
    </w:p>
    <w:bookmarkEnd w:id="73"/>
    <w:bookmarkEnd w:id="74"/>
    <w:bookmarkEnd w:id="75"/>
    <w:bookmarkEnd w:id="76"/>
    <w:bookmarkEnd w:id="77"/>
    <w:bookmarkEnd w:id="78"/>
    <w:bookmarkEnd w:id="79"/>
    <w:bookmarkEnd w:id="80"/>
    <w:bookmarkEnd w:id="81"/>
    <w:bookmarkEnd w:id="82"/>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 词语定义</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1.1.1合同</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1.1.1.10其他合同文件包括：</w:t>
      </w:r>
      <w:r>
        <w:rPr>
          <w:rFonts w:hint="eastAsia" w:ascii="宋体" w:hAnsi="宋体" w:eastAsia="宋体" w:cs="宋体"/>
          <w:sz w:val="21"/>
          <w:szCs w:val="21"/>
          <w:u w:val="single"/>
        </w:rPr>
        <w:t>工程采购文件、除投标函及其附录和已标价工程量清单或预算书外的其它投标文件、经批准的施工组织设计、专项施工方案。</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1.1.2 合同当事人及其他相关方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1.1.2.4监理人：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资质类别和等级：</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电子信箱：</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通信地址：</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1.1.2.5 设计人：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资质类别和等级：</w:t>
      </w:r>
      <w:r>
        <w:rPr>
          <w:rFonts w:hint="eastAsia" w:ascii="宋体" w:hAnsi="宋体" w:eastAsia="宋体" w:cs="宋体"/>
          <w:bCs/>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电子信箱：</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通信地址：</w:t>
      </w:r>
      <w:r>
        <w:rPr>
          <w:rFonts w:hint="eastAsia" w:ascii="宋体" w:hAnsi="宋体" w:eastAsia="宋体" w:cs="宋体"/>
          <w:bCs/>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1.1.3 工程和设备</w:t>
      </w:r>
    </w:p>
    <w:p>
      <w:pPr>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1.1.3.7 作为施工现场组成部分的其他场所包括：</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1.1.3.9 永久占地包括：</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1.1.3.10 临时占地包括：</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1.3法律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适用于合同的其他规范性文件：</w:t>
      </w:r>
      <w:r>
        <w:rPr>
          <w:rFonts w:hint="eastAsia" w:ascii="宋体" w:hAnsi="宋体" w:eastAsia="宋体" w:cs="宋体"/>
          <w:sz w:val="21"/>
          <w:szCs w:val="21"/>
          <w:u w:val="single"/>
        </w:rPr>
        <w:t>工程所在地现行的有关工程造价方面规定文件等。</w:t>
      </w:r>
    </w:p>
    <w:p>
      <w:pPr>
        <w:spacing w:line="36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1.4 标准和规范</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1.4.1适用于工程的标准规范包括：</w:t>
      </w:r>
      <w:r>
        <w:rPr>
          <w:rFonts w:hint="eastAsia" w:ascii="宋体" w:hAnsi="宋体" w:eastAsia="宋体" w:cs="宋体"/>
          <w:sz w:val="21"/>
          <w:szCs w:val="21"/>
          <w:u w:val="single"/>
        </w:rPr>
        <w:t>按现行的国家、省、市施工验收规范、质量评定标准及有关规定。合同工期内的标准、规范，招标文件中的技术要求等</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1.4.2 发包人提供国外标准、规范的名称：</w:t>
      </w:r>
      <w:r>
        <w:rPr>
          <w:rFonts w:hint="eastAsia" w:ascii="宋体" w:hAnsi="宋体" w:eastAsia="宋体" w:cs="宋体"/>
          <w:sz w:val="21"/>
          <w:szCs w:val="21"/>
          <w:u w:val="single"/>
        </w:rPr>
        <w:t xml:space="preserve"> 承包人自行解决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发包人提供国外标准、规范的份数：</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发包人提供国外标准、规范的名称：</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1.4.3发包人对工程的技术标准和功能要求的特殊要求：</w:t>
      </w:r>
      <w:r>
        <w:rPr>
          <w:rFonts w:hint="eastAsia" w:ascii="宋体" w:hAnsi="宋体" w:eastAsia="宋体" w:cs="宋体"/>
          <w:sz w:val="21"/>
          <w:szCs w:val="21"/>
          <w:u w:val="single"/>
        </w:rPr>
        <w:t xml:space="preserve"> （国家没有相应标准、规范且不使用国外标准、规范时，按发包人和承包人商定的方案施工）</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 合同文件的优先顺序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合同文件组成及优先顺序为：</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 图纸和承包人文件</w:t>
      </w:r>
      <w:r>
        <w:rPr>
          <w:rFonts w:hint="eastAsia" w:ascii="宋体" w:hAnsi="宋体" w:eastAsia="宋体" w:cs="宋体"/>
          <w:sz w:val="21"/>
          <w:szCs w:val="21"/>
        </w:rPr>
        <w:tab/>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1.6.1 图纸的提供</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发包人向承包人提供图纸的期限：</w:t>
      </w:r>
      <w:r>
        <w:rPr>
          <w:rFonts w:hint="eastAsia" w:ascii="宋体" w:hAnsi="宋体" w:eastAsia="宋体" w:cs="宋体"/>
          <w:sz w:val="21"/>
          <w:szCs w:val="21"/>
          <w:u w:val="single"/>
        </w:rPr>
        <w:t xml:space="preserve">开工日期14天前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发包人向承包人提供图纸的数量：</w:t>
      </w:r>
      <w:r>
        <w:rPr>
          <w:rFonts w:hint="eastAsia" w:ascii="宋体" w:hAnsi="宋体" w:eastAsia="宋体" w:cs="宋体"/>
          <w:sz w:val="21"/>
          <w:szCs w:val="21"/>
          <w:u w:val="single"/>
        </w:rPr>
        <w:t>纸质施工图叁套并附目录清单及与其一致的电子版施工图。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发包人向承包人提供图纸的内容：</w:t>
      </w:r>
      <w:r>
        <w:rPr>
          <w:rFonts w:hint="eastAsia" w:ascii="宋体" w:hAnsi="宋体" w:eastAsia="宋体" w:cs="宋体"/>
          <w:sz w:val="21"/>
          <w:szCs w:val="21"/>
          <w:u w:val="single"/>
        </w:rPr>
        <w:t>合同承包范围内所有完整图纸，施工过程中设计变更图等涉及工程施工所需的所有图纸</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1.6.4 承包人文件</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需要由承包人提供的文件，包括：</w:t>
      </w:r>
      <w:r>
        <w:rPr>
          <w:rFonts w:hint="eastAsia" w:ascii="宋体" w:hAnsi="宋体" w:eastAsia="宋体" w:cs="宋体"/>
          <w:sz w:val="21"/>
          <w:szCs w:val="21"/>
          <w:u w:val="single"/>
        </w:rPr>
        <w:t>按发包人要求。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承包人提供的文件的期限为：</w:t>
      </w:r>
      <w:r>
        <w:rPr>
          <w:rFonts w:hint="eastAsia" w:ascii="宋体" w:hAnsi="宋体" w:eastAsia="宋体" w:cs="宋体"/>
          <w:sz w:val="21"/>
          <w:szCs w:val="21"/>
          <w:u w:val="single"/>
        </w:rPr>
        <w:t>按发包人要求；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承包人提供的文件的数量为：</w:t>
      </w:r>
      <w:r>
        <w:rPr>
          <w:rFonts w:hint="eastAsia" w:ascii="宋体" w:hAnsi="宋体" w:eastAsia="宋体" w:cs="宋体"/>
          <w:sz w:val="21"/>
          <w:szCs w:val="21"/>
          <w:u w:val="single"/>
        </w:rPr>
        <w:t>按发包人要求；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承包人提供的文件的形式为：</w:t>
      </w:r>
      <w:r>
        <w:rPr>
          <w:rFonts w:hint="eastAsia" w:ascii="宋体" w:hAnsi="宋体" w:eastAsia="宋体" w:cs="宋体"/>
          <w:sz w:val="21"/>
          <w:szCs w:val="21"/>
          <w:u w:val="single"/>
        </w:rPr>
        <w:t>纸质及电子版本</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发包人审批承包人文件的期限：</w:t>
      </w:r>
      <w:r>
        <w:rPr>
          <w:rFonts w:hint="eastAsia" w:ascii="宋体" w:hAnsi="宋体" w:eastAsia="宋体" w:cs="宋体"/>
          <w:sz w:val="21"/>
          <w:szCs w:val="21"/>
          <w:u w:val="single"/>
        </w:rPr>
        <w:t>收到相应文件后7天内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1.6.5 现场图纸准备</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关于现场图纸准备的约定：</w:t>
      </w:r>
      <w:r>
        <w:rPr>
          <w:rFonts w:hint="eastAsia" w:ascii="宋体" w:hAnsi="宋体" w:eastAsia="宋体" w:cs="宋体"/>
          <w:sz w:val="21"/>
          <w:szCs w:val="21"/>
          <w:u w:val="single"/>
        </w:rPr>
        <w:t>由监理人在现场保管一套完整施工图，供发包人、监理人及有关人员进行工程检查等活动时使用。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 联络</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1.7.1发包人和承包人应当在</w:t>
      </w:r>
      <w:r>
        <w:rPr>
          <w:rFonts w:hint="eastAsia" w:ascii="宋体" w:hAnsi="宋体" w:eastAsia="宋体" w:cs="宋体"/>
          <w:sz w:val="21"/>
          <w:szCs w:val="21"/>
          <w:u w:val="single"/>
        </w:rPr>
        <w:t xml:space="preserve">7  </w:t>
      </w:r>
      <w:r>
        <w:rPr>
          <w:rFonts w:hint="eastAsia" w:ascii="宋体" w:hAnsi="宋体" w:eastAsia="宋体" w:cs="宋体"/>
          <w:sz w:val="21"/>
          <w:szCs w:val="21"/>
        </w:rPr>
        <w:t>天内将与合同有关的通知、批准、证明、证书、指示、指令、要求、请求、同意、意见、确定和决定等书面函件送达对方当事人。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1.7.2 发包人接收文件的地点：</w:t>
      </w:r>
      <w:r>
        <w:rPr>
          <w:rFonts w:hint="eastAsia" w:ascii="宋体" w:hAnsi="宋体" w:eastAsia="宋体" w:cs="宋体"/>
          <w:sz w:val="21"/>
          <w:szCs w:val="21"/>
          <w:u w:val="single"/>
        </w:rPr>
        <w:t>  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发包人指定的接收人为：</w:t>
      </w:r>
      <w:r>
        <w:rPr>
          <w:rFonts w:hint="eastAsia" w:ascii="宋体" w:hAnsi="宋体" w:eastAsia="宋体" w:cs="宋体"/>
          <w:sz w:val="21"/>
          <w:szCs w:val="21"/>
          <w:u w:val="single"/>
        </w:rPr>
        <w:t>（2人以上及联系电话）</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承包人接收文件的地点：</w:t>
      </w:r>
      <w:r>
        <w:rPr>
          <w:rFonts w:hint="eastAsia" w:ascii="宋体" w:hAnsi="宋体" w:eastAsia="宋体" w:cs="宋体"/>
          <w:sz w:val="21"/>
          <w:szCs w:val="21"/>
          <w:u w:val="single"/>
        </w:rPr>
        <w:t>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承包人指定的接收人为：</w:t>
      </w:r>
      <w:r>
        <w:rPr>
          <w:rFonts w:hint="eastAsia" w:ascii="宋体" w:hAnsi="宋体" w:eastAsia="宋体" w:cs="宋体"/>
          <w:sz w:val="21"/>
          <w:szCs w:val="21"/>
          <w:u w:val="single"/>
        </w:rPr>
        <w:t>（2人以上及联系电话）</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监理人接收文件的地点：</w:t>
      </w:r>
      <w:r>
        <w:rPr>
          <w:rFonts w:hint="eastAsia" w:ascii="宋体" w:hAnsi="宋体" w:eastAsia="宋体" w:cs="宋体"/>
          <w:sz w:val="21"/>
          <w:szCs w:val="21"/>
          <w:u w:val="single"/>
        </w:rPr>
        <w:t xml:space="preserve">现场办公室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监理人指定的接收人为：</w:t>
      </w:r>
      <w:r>
        <w:rPr>
          <w:rFonts w:hint="eastAsia" w:ascii="宋体" w:hAnsi="宋体" w:eastAsia="宋体" w:cs="宋体"/>
          <w:sz w:val="21"/>
          <w:szCs w:val="21"/>
          <w:u w:val="single"/>
        </w:rPr>
        <w:t>（2人以上及联系电话）</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1.10 交通运输</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1.10.1 出入现场的权利</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关于出入现场的权利的约定：</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1.10.3 场内交通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关于场外交通和场内交通的边界的约定：</w:t>
      </w:r>
      <w:r>
        <w:rPr>
          <w:rFonts w:hint="eastAsia" w:ascii="宋体" w:hAnsi="宋体" w:eastAsia="宋体" w:cs="宋体"/>
          <w:b/>
          <w:sz w:val="21"/>
          <w:szCs w:val="21"/>
          <w:u w:val="single"/>
        </w:rPr>
        <w:t>/</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关于发包人向承包人免费提供满足工程施工需要的场内道路和交通设施的约定：</w:t>
      </w:r>
      <w:r>
        <w:rPr>
          <w:rFonts w:hint="eastAsia" w:ascii="宋体" w:hAnsi="宋体" w:eastAsia="宋体" w:cs="宋体"/>
          <w:sz w:val="21"/>
          <w:szCs w:val="21"/>
          <w:u w:val="single"/>
        </w:rPr>
        <w:t>发包人提供的施工条件为现状，承包人自行组织现场踏勘了解，施工期间的维护、管理及相应费用由承包人承担</w:t>
      </w:r>
      <w:r>
        <w:rPr>
          <w:rFonts w:hint="eastAsia" w:ascii="宋体" w:hAnsi="宋体" w:eastAsia="宋体" w:cs="宋体"/>
          <w:sz w:val="21"/>
          <w:szCs w:val="21"/>
        </w:rPr>
        <w:t>。</w:t>
      </w:r>
      <w:bookmarkStart w:id="83" w:name="_Toc318581157"/>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1.10.4超大件和超重件的运输</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运输超大件或超重件所需的道路和桥梁临时加固改造费用和其他有关费用由</w:t>
      </w:r>
      <w:r>
        <w:rPr>
          <w:rFonts w:hint="eastAsia" w:ascii="宋体" w:hAnsi="宋体" w:eastAsia="宋体" w:cs="宋体"/>
          <w:sz w:val="21"/>
          <w:szCs w:val="21"/>
          <w:u w:val="single"/>
        </w:rPr>
        <w:t>承包人在报价中综合考虑，并承担相应费用</w:t>
      </w:r>
      <w:r>
        <w:rPr>
          <w:rFonts w:hint="eastAsia" w:ascii="宋体" w:hAnsi="宋体" w:eastAsia="宋体" w:cs="宋体"/>
          <w:sz w:val="21"/>
          <w:szCs w:val="21"/>
        </w:rPr>
        <w:t>。</w:t>
      </w:r>
    </w:p>
    <w:bookmarkEnd w:id="83"/>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 知识产权</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sz w:val="21"/>
          <w:szCs w:val="21"/>
          <w:u w:val="single"/>
        </w:rPr>
        <w:t xml:space="preserve">按合同通用条款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关于发包人提供的上述文件的使用限制的要求：</w:t>
      </w:r>
      <w:r>
        <w:rPr>
          <w:rFonts w:hint="eastAsia" w:ascii="宋体" w:hAnsi="宋体" w:eastAsia="宋体" w:cs="宋体"/>
          <w:sz w:val="21"/>
          <w:szCs w:val="21"/>
          <w:u w:val="single"/>
        </w:rPr>
        <w:t xml:space="preserve"> 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1.11.2 关于承包人为实施工程所编制文件的著作权的归属：</w:t>
      </w:r>
      <w:r>
        <w:rPr>
          <w:rFonts w:hint="eastAsia" w:ascii="宋体" w:hAnsi="宋体" w:eastAsia="宋体" w:cs="宋体"/>
          <w:sz w:val="21"/>
          <w:szCs w:val="21"/>
          <w:u w:val="single"/>
        </w:rPr>
        <w:t xml:space="preserve"> 发包人</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关于承包人提供的上述文件的使用限制的要求：</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1.11.4 承包人在施工过程中所采用的专利、专有技术、技术秘密的使用费的承担方式：</w:t>
      </w:r>
      <w:r>
        <w:rPr>
          <w:rFonts w:hint="eastAsia" w:ascii="宋体" w:hAnsi="宋体" w:eastAsia="宋体" w:cs="宋体"/>
          <w:sz w:val="21"/>
          <w:szCs w:val="21"/>
          <w:u w:val="single"/>
        </w:rPr>
        <w:t xml:space="preserve">包含在签约合同价内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2. 发包人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2.2 发包人代表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发包人代表：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姓    名：</w:t>
      </w:r>
      <w:r>
        <w:rPr>
          <w:rFonts w:hint="eastAsia" w:ascii="宋体" w:hAnsi="宋体" w:eastAsia="宋体" w:cs="宋体"/>
          <w:sz w:val="21"/>
          <w:szCs w:val="21"/>
          <w:u w:val="single"/>
        </w:rPr>
        <w:t> 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身份证号：</w:t>
      </w:r>
      <w:r>
        <w:rPr>
          <w:rFonts w:hint="eastAsia" w:ascii="宋体" w:hAnsi="宋体" w:eastAsia="宋体" w:cs="宋体"/>
          <w:sz w:val="21"/>
          <w:szCs w:val="21"/>
          <w:u w:val="single"/>
        </w:rPr>
        <w:t> 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职    务：</w:t>
      </w:r>
      <w:r>
        <w:rPr>
          <w:rFonts w:hint="eastAsia" w:ascii="宋体" w:hAnsi="宋体" w:eastAsia="宋体" w:cs="宋体"/>
          <w:sz w:val="21"/>
          <w:szCs w:val="21"/>
          <w:u w:val="single"/>
        </w:rPr>
        <w:t>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u w:val="single"/>
        </w:rPr>
        <w:t>   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电子信箱：</w:t>
      </w:r>
      <w:r>
        <w:rPr>
          <w:rFonts w:hint="eastAsia" w:ascii="宋体" w:hAnsi="宋体" w:eastAsia="宋体" w:cs="宋体"/>
          <w:sz w:val="21"/>
          <w:szCs w:val="21"/>
          <w:u w:val="single"/>
        </w:rPr>
        <w:t>   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通信地址：</w:t>
      </w:r>
      <w:r>
        <w:rPr>
          <w:rFonts w:hint="eastAsia" w:ascii="宋体" w:hAnsi="宋体" w:eastAsia="宋体" w:cs="宋体"/>
          <w:sz w:val="21"/>
          <w:szCs w:val="21"/>
          <w:u w:val="single"/>
        </w:rPr>
        <w:t>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发包人对发包人代表的授权范围如下：</w:t>
      </w:r>
      <w:r>
        <w:rPr>
          <w:rFonts w:hint="eastAsia" w:ascii="宋体" w:hAnsi="宋体" w:eastAsia="宋体" w:cs="宋体"/>
          <w:sz w:val="21"/>
          <w:szCs w:val="21"/>
          <w:u w:val="single"/>
        </w:rPr>
        <w:t xml:space="preserve">承包人将施工工期、工程量复核、设计变更及施工联系单、工程款支付签证等交至监理人审核，监理人签署后报发包人代表负责审核及签署。发包人代表同时负责监理及施工项目班子人员管理及施工现场的服务、协调、督查工作。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2.4 施工现场、施工条件和基础资料的提供</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2.4.1 提供施工现场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关于发包人移交施工现场的期限要求：</w:t>
      </w:r>
      <w:r>
        <w:rPr>
          <w:rFonts w:hint="eastAsia" w:ascii="宋体" w:hAnsi="宋体" w:eastAsia="宋体" w:cs="宋体"/>
          <w:sz w:val="21"/>
          <w:szCs w:val="21"/>
          <w:u w:val="single"/>
        </w:rPr>
        <w:t xml:space="preserve">开工日期14天前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2.4.2 提供施工条件</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关于发包人应负责提供施工所需要的条件，包括：</w:t>
      </w:r>
      <w:r>
        <w:rPr>
          <w:rFonts w:hint="eastAsia" w:ascii="宋体" w:hAnsi="宋体" w:eastAsia="宋体" w:cs="宋体"/>
          <w:bCs/>
          <w:sz w:val="21"/>
          <w:szCs w:val="21"/>
          <w:u w:val="single"/>
        </w:rPr>
        <w:t>发包人提供的施工条件为现状，承包人自行组织现场踏勘了解</w:t>
      </w:r>
      <w:r>
        <w:rPr>
          <w:rFonts w:hint="eastAsia" w:ascii="宋体" w:hAnsi="宋体" w:eastAsia="宋体" w:cs="宋体"/>
          <w:sz w:val="21"/>
          <w:szCs w:val="21"/>
          <w:u w:val="single"/>
        </w:rPr>
        <w:t>，施工用水、施工用电由发包人接入至用地范围内某一接入点，按表计量和支付，费用包含在合同价内。如施工用水用电负荷不能满足承包人要求，由承包人自行解决。</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2.5 资金来源证明及支付担保</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发包人提供资金来源证明的期限要求：</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发包人是否提供支付担保：</w:t>
      </w:r>
      <w:r>
        <w:rPr>
          <w:rFonts w:hint="eastAsia" w:ascii="宋体" w:hAnsi="宋体" w:eastAsia="宋体" w:cs="宋体"/>
          <w:sz w:val="21"/>
          <w:szCs w:val="21"/>
          <w:u w:val="single"/>
        </w:rPr>
        <w:t xml:space="preserve">   否     </w:t>
      </w:r>
      <w:r>
        <w:rPr>
          <w:rFonts w:hint="eastAsia" w:ascii="宋体" w:hAnsi="宋体" w:eastAsia="宋体" w:cs="宋体"/>
          <w:sz w:val="21"/>
          <w:szCs w:val="21"/>
        </w:rPr>
        <w:t>。</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发包人提供支付担保的形式：</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2.6 支付合同价款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发包人应按合同约定向承包人及时支付合同价款。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2.7 组织竣工验收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发包人应按合同约定及时组织竣工验收。</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承包人完成合同范围内工程内容，发包人应根据施工图纸、现行施工验收规范和质量验收标准及时组织工程质量验收。</w:t>
      </w:r>
    </w:p>
    <w:p>
      <w:pPr>
        <w:spacing w:line="360" w:lineRule="exact"/>
        <w:ind w:firstLine="420" w:firstLineChars="200"/>
        <w:rPr>
          <w:rFonts w:hint="eastAsia" w:ascii="宋体" w:hAnsi="宋体" w:eastAsia="宋体" w:cs="宋体"/>
          <w:sz w:val="21"/>
          <w:szCs w:val="21"/>
        </w:rPr>
      </w:pP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3. 承包人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3.1 承包人的一般义务</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（9）承包人提交的竣工资料的内容：</w:t>
      </w:r>
      <w:r>
        <w:rPr>
          <w:rFonts w:hint="eastAsia" w:ascii="宋体" w:hAnsi="宋体" w:eastAsia="宋体" w:cs="宋体"/>
          <w:sz w:val="21"/>
          <w:szCs w:val="21"/>
          <w:u w:val="single"/>
        </w:rPr>
        <w:t>向发包人提交按规范规定应由承包人编制部分的竣工资料，包括含施工过程中验收、检查时拍摄或录制的相片、影像资料等，并符合建设工程资料存档要求</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承包人需要提交的竣工资料套数：</w:t>
      </w:r>
      <w:r>
        <w:rPr>
          <w:rFonts w:hint="eastAsia" w:ascii="宋体" w:hAnsi="宋体" w:eastAsia="宋体" w:cs="宋体"/>
          <w:sz w:val="21"/>
          <w:szCs w:val="21"/>
          <w:u w:val="single"/>
        </w:rPr>
        <w:t xml:space="preserve">满足发包人需求份数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承包人提交的竣工资料的费用承担：</w:t>
      </w:r>
      <w:r>
        <w:rPr>
          <w:rFonts w:hint="eastAsia" w:ascii="宋体" w:hAnsi="宋体" w:eastAsia="宋体" w:cs="宋体"/>
          <w:sz w:val="21"/>
          <w:szCs w:val="21"/>
          <w:u w:val="single"/>
        </w:rPr>
        <w:t>由承包人承担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承包人提交的竣工资料移交时间：</w:t>
      </w:r>
      <w:r>
        <w:rPr>
          <w:rFonts w:hint="eastAsia" w:ascii="宋体" w:hAnsi="宋体" w:eastAsia="宋体" w:cs="宋体"/>
          <w:sz w:val="21"/>
          <w:szCs w:val="21"/>
          <w:u w:val="single"/>
        </w:rPr>
        <w:t>工程竣工验收合格后7天内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承包人提交的竣工资料形式要求：</w:t>
      </w:r>
      <w:r>
        <w:rPr>
          <w:rFonts w:hint="eastAsia" w:ascii="宋体" w:hAnsi="宋体" w:eastAsia="宋体" w:cs="宋体"/>
          <w:sz w:val="21"/>
          <w:szCs w:val="21"/>
          <w:u w:val="single"/>
        </w:rPr>
        <w:t>纸质及相关电子数据</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（10）承包人应履行的其他义务：</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a.在施工中必须严格按照规范操作，并针对邻近建筑物实际情况，采取相应防护措施，对不按规范要求施工或未采取防护措施的，造成的损失由承包人承担。</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b.本项目施工安全由承包人负总责。</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sz w:val="21"/>
          <w:szCs w:val="21"/>
          <w:u w:val="single"/>
          <w:lang w:val="en-US" w:eastAsia="zh-CN"/>
        </w:rPr>
        <w:t>c</w:t>
      </w:r>
      <w:r>
        <w:rPr>
          <w:rFonts w:hint="eastAsia" w:ascii="宋体" w:hAnsi="宋体" w:eastAsia="宋体" w:cs="宋体"/>
          <w:sz w:val="21"/>
          <w:szCs w:val="21"/>
          <w:u w:val="single"/>
        </w:rPr>
        <w:t>.按当地有关部门要求，</w:t>
      </w:r>
      <w:r>
        <w:rPr>
          <w:rFonts w:hint="eastAsia" w:ascii="宋体" w:hAnsi="宋体" w:eastAsia="宋体" w:cs="宋体"/>
          <w:kern w:val="0"/>
          <w:sz w:val="21"/>
          <w:szCs w:val="21"/>
          <w:u w:val="single"/>
        </w:rPr>
        <w:t>由承包人办理有关施工场地交通、环卫和施工噪音排放等手续。</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lang w:val="en-US" w:eastAsia="zh-CN"/>
        </w:rPr>
        <w:t>d</w:t>
      </w:r>
      <w:r>
        <w:rPr>
          <w:rFonts w:hint="eastAsia" w:ascii="宋体" w:hAnsi="宋体" w:eastAsia="宋体" w:cs="宋体"/>
          <w:kern w:val="0"/>
          <w:sz w:val="21"/>
          <w:szCs w:val="21"/>
          <w:u w:val="single"/>
        </w:rPr>
        <w:t>、承包人必须按台州市、临海市有关规定进行施工现场围护及文明施工管理。</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lang w:val="en-US" w:eastAsia="zh-CN"/>
        </w:rPr>
        <w:t>e</w:t>
      </w:r>
      <w:r>
        <w:rPr>
          <w:rFonts w:hint="eastAsia" w:ascii="宋体" w:hAnsi="宋体" w:eastAsia="宋体" w:cs="宋体"/>
          <w:kern w:val="0"/>
          <w:sz w:val="21"/>
          <w:szCs w:val="21"/>
          <w:u w:val="single"/>
        </w:rPr>
        <w:t>. 其他：</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①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②承包人承担施工期间的水、电费用，承包人必须每月按水、电部门的计价标准，按所需缴纳金额及时足额向水、电部门缴纳，若承包人不按时缴纳，则发包人有权采取相应措施。</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③对发包人的现场监督工作予以充分的配合与协助。承包人服从发包人、监理公司的管理，做好交叉施工事宜及其他与本工程施工相关的工作。</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④从合同生效之日起至工程通过竣工验收的期间内，承包人应承担合同规定的现场各项临时房屋、设施、设备的修建、购置、安装、管理、保养、维修及拆除工作，并提供必要的设施保洁服务。</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⑤承包人必须遵守浙江省、台州市等的地方法规，服从行业主管部门的管理，凡涉及到承包单位的施工备案、车辆准运等有关行政或者事业许可、备案、审批等程序，均由承包人自行办理，发包人给予配合，发生的费用全部由承包人承担，包括外省施工单位进浙江省的施工备案费用、排污管理费、噪声管理费、垃圾管理费等。</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⑥重大活动期间以及发包人需要的时间段内，可能对施工做出某些限制和配合要求，承包人应按照要求做出必要的配合，并承担有可能因此而引起工效降低所需增加的费用。相关费用含在合同价款中。</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⑦要加强工程施工车辆的管理，施工车辆不得无故堵塞道路交通，不得沿途抛洒丢弃。</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⑧承包人在施工期间配备专职安保人员，负责整个施工现场内外的保安、保卫工作；对工地出入口车辆、人员进出进行管理，工地出入口应24小时有人值守，相关费用含在合同价款中。</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⑨施工现场的标语、条幅和围挡图案、廉政文化宣传等制作，在悬挂和喷涂前应征得发包人同意，如发包人提出修改意见，承包人应无条件修改，直到符合要求为止，合同价款不予调整。</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⑩承包人应承担法律法规以及按规范、标准要求必须进行的各类复试检测，所发生的一切费用由承包人承担。如发包人对承包人提供的检测报告或检测结论有异议，认为需要重新检测时，承包人应无条件重新检测，重新检测的材料费由承包人承担，当检测合格时，检测费用由发包人承担；当检测不合格时，检测费用由承包人承担，并无条件更换已进场或已使用的材料同时承担由此产生的一切损失及费用（包括再次重新检测时发生的材料费、检测费等一切费用，直到检测合格为止）。</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⑪承包人进场后需对场地标高进行测量，测量过程应通知监理人及发包人代表到场，并提供测量成果，此结果在得到监理人及发包人代表确认后做为土方工程计量的依据。</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⑫承包人在合同履行过程中，应严格遵守和执行发包人制定的各项管理制度和规定，严格执行发包人关于工程设计变更、签证等方面的审批程序及制度。</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⑬承包人应全权负责其劳务及职员的雇佣、工资的支付、房屋、膳食及运输的安排。承包人在任何时候应采取一切合理的预防措施，以防止其劳务及职员发生任何违法的、妨害治安的行为，并维护治安和保护工程及个人或财产免遭上述行为的破坏。</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⑭承包人负责落实对施工现场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⑮承包人负责组织全部工程的移交工作，承包人负责编制或汇总移交方案、建筑产品使用说明书（内容包括建筑物主要使用功能、空间布局、使用注意事项、维保手册等，并提供给发包人），移交期间现场安全、成品保护、水电费等可能发生的其他费用由承包人承担。承包人应在移交前负责完成承包范围内的卫生清理、保洁工作，保洁标准应经发包人验收确认，费用含在合同价款中。</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⑯由承包人的质量安全职能部门每月对本工程施工现场的质量、安全文明、进度等进行全面督查，并将督查结果向发包人汇报。</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⑰承包人必须完成本合同规定的全部工作内容，如某项工作内容达不到</w:t>
      </w:r>
      <w:r>
        <w:rPr>
          <w:rFonts w:hint="eastAsia" w:ascii="宋体" w:hAnsi="宋体" w:eastAsia="宋体" w:cs="宋体"/>
          <w:kern w:val="0"/>
          <w:sz w:val="21"/>
          <w:szCs w:val="21"/>
          <w:u w:val="single"/>
          <w:lang w:eastAsia="zh-CN"/>
        </w:rPr>
        <w:t>相关</w:t>
      </w:r>
      <w:r>
        <w:rPr>
          <w:rFonts w:hint="eastAsia" w:ascii="宋体" w:hAnsi="宋体" w:eastAsia="宋体" w:cs="宋体"/>
          <w:kern w:val="0"/>
          <w:sz w:val="21"/>
          <w:szCs w:val="21"/>
          <w:u w:val="single"/>
        </w:rPr>
        <w:t>要求，在监理方下达整改通知后仍不执行，则发包人有权委托第三方完成该项工作，并将相应费用从承包人的工程款中扣除，由此造成的损失和后果由承包人</w:t>
      </w:r>
      <w:r>
        <w:rPr>
          <w:rFonts w:hint="eastAsia" w:ascii="宋体" w:hAnsi="宋体" w:eastAsia="宋体" w:cs="宋体"/>
          <w:kern w:val="0"/>
          <w:sz w:val="21"/>
          <w:szCs w:val="21"/>
          <w:u w:val="single"/>
          <w:lang w:eastAsia="zh-CN"/>
        </w:rPr>
        <w:t>自行</w:t>
      </w:r>
      <w:r>
        <w:rPr>
          <w:rFonts w:hint="eastAsia" w:ascii="宋体" w:hAnsi="宋体" w:eastAsia="宋体" w:cs="宋体"/>
          <w:kern w:val="0"/>
          <w:sz w:val="21"/>
          <w:szCs w:val="21"/>
          <w:u w:val="single"/>
        </w:rPr>
        <w:t>承担。</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⑱工程质量保修期间，承包人须设立电子邮箱，发包人的通知指令发送至承包人设立的电子邮箱，即视为承包人已收到发包人的相关通知。</w:t>
      </w:r>
    </w:p>
    <w:p>
      <w:pPr>
        <w:spacing w:line="400" w:lineRule="exact"/>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⑲已竣工工程未交付之前，承包人按协议条款约定负责已完工程的保护工作，保护期间发生损坏，责任方自费予以修复至符合验收条件。</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（11）承包人诚实信用的承诺：</w:t>
      </w:r>
      <w:r>
        <w:rPr>
          <w:rFonts w:hint="eastAsia" w:ascii="宋体" w:hAnsi="宋体" w:eastAsia="宋体" w:cs="宋体"/>
          <w:sz w:val="21"/>
          <w:szCs w:val="21"/>
          <w:u w:val="single"/>
        </w:rPr>
        <w:t xml:space="preserve">  承包人向发包人承诺按照本合同约定及现场甲方和监理工程师的指令进行施工。竣工后，保修期内承担工程质量保修责任，并履行本合同约定的全部义务。</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（12）施工过程中应注重安全文明施工及环境保护，施工过程中如有出现人员伤亡情况，责任均由施工方承担。</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kern w:val="0"/>
          <w:sz w:val="21"/>
          <w:szCs w:val="21"/>
        </w:rPr>
        <w:t>（13）承包人使用新技术、工法、工艺的承诺：</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p>
    <w:p>
      <w:pPr>
        <w:spacing w:line="360" w:lineRule="exact"/>
        <w:ind w:firstLine="420" w:firstLineChars="200"/>
        <w:rPr>
          <w:rFonts w:hint="eastAsia" w:ascii="宋体" w:hAnsi="宋体" w:eastAsia="宋体" w:cs="宋体"/>
          <w:sz w:val="21"/>
          <w:szCs w:val="21"/>
        </w:rPr>
      </w:pPr>
      <w:bookmarkStart w:id="84" w:name="_Toc297120468"/>
      <w:bookmarkStart w:id="85" w:name="_Toc267251424"/>
      <w:bookmarkStart w:id="86" w:name="_Toc303539137"/>
      <w:bookmarkStart w:id="87" w:name="_Toc296891208"/>
      <w:bookmarkStart w:id="88" w:name="_Toc304295557"/>
      <w:bookmarkStart w:id="89" w:name="_Toc296890996"/>
      <w:bookmarkStart w:id="90" w:name="_Toc296346669"/>
      <w:bookmarkStart w:id="91" w:name="_Toc280868656"/>
      <w:bookmarkStart w:id="92" w:name="_Toc296347167"/>
      <w:bookmarkStart w:id="93" w:name="_Toc300934980"/>
      <w:bookmarkStart w:id="94" w:name="_Toc296944507"/>
      <w:bookmarkStart w:id="95" w:name="_Toc312678020"/>
      <w:bookmarkStart w:id="96" w:name="_Toc280868655"/>
      <w:bookmarkStart w:id="97" w:name="_Toc312677494"/>
      <w:bookmarkStart w:id="98" w:name="_Toc297123528"/>
      <w:bookmarkStart w:id="99" w:name="_Toc318581173"/>
      <w:bookmarkStart w:id="100" w:name="_Toc297216187"/>
      <w:bookmarkStart w:id="101" w:name="_Toc296503168"/>
      <w:bookmarkStart w:id="102" w:name="_Toc297048354"/>
      <w:r>
        <w:rPr>
          <w:rFonts w:hint="eastAsia" w:ascii="宋体" w:hAnsi="宋体" w:eastAsia="宋体" w:cs="宋体"/>
          <w:sz w:val="21"/>
          <w:szCs w:val="21"/>
        </w:rPr>
        <w:t>3.2 项目经理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3.2.1 项目经理：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姓    名：</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身份证号：</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建造师执业资格等级：</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建造师注册证书号：</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建造师执业印章号：</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安全生产考核合格证书号：</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电子信箱：</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通信地址：</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承包人对项目经理的授权范围如下：</w:t>
      </w:r>
      <w:r>
        <w:rPr>
          <w:rFonts w:hint="eastAsia" w:ascii="宋体" w:hAnsi="宋体" w:eastAsia="宋体" w:cs="宋体"/>
          <w:sz w:val="21"/>
          <w:szCs w:val="21"/>
          <w:u w:val="single"/>
        </w:rPr>
        <w:t>负责质量、进度、安全及协调工作；负责办理变更、洽商相关手续。</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关于项目经理每月在施工现场的时间要求：</w:t>
      </w:r>
      <w:r>
        <w:rPr>
          <w:rFonts w:hint="eastAsia" w:ascii="宋体" w:hAnsi="宋体" w:eastAsia="宋体" w:cs="宋体"/>
          <w:sz w:val="21"/>
          <w:szCs w:val="21"/>
          <w:u w:val="single"/>
        </w:rPr>
        <w:t>月到岗须达</w:t>
      </w:r>
      <w:r>
        <w:rPr>
          <w:rFonts w:hint="eastAsia" w:ascii="宋体" w:hAnsi="宋体" w:eastAsia="宋体" w:cs="宋体"/>
          <w:sz w:val="21"/>
          <w:szCs w:val="21"/>
          <w:u w:val="single"/>
          <w:lang w:val="en-US" w:eastAsia="zh-CN"/>
        </w:rPr>
        <w:t xml:space="preserve"> 24</w:t>
      </w:r>
      <w:r>
        <w:rPr>
          <w:rFonts w:hint="eastAsia" w:ascii="宋体" w:hAnsi="宋体" w:eastAsia="宋体" w:cs="宋体"/>
          <w:sz w:val="21"/>
          <w:szCs w:val="21"/>
          <w:u w:val="single"/>
        </w:rPr>
        <w:t>天，月到岗达不到约定天数，按相关行业主管部发布的规定处理。遇有工程检查、验收或参观等活动时，无特殊原因不得离开施工现场。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承包人未提交劳动合同，以及没有为项目经理缴纳社会保险证明的违约责任：</w:t>
      </w:r>
      <w:r>
        <w:rPr>
          <w:rFonts w:hint="eastAsia" w:ascii="宋体" w:hAnsi="宋体" w:eastAsia="宋体" w:cs="宋体"/>
          <w:sz w:val="21"/>
          <w:szCs w:val="21"/>
          <w:u w:val="single"/>
        </w:rPr>
        <w:t>按通用合同条款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项目经理未经批准，擅自离开施工现场的违约责任：</w:t>
      </w:r>
      <w:r>
        <w:rPr>
          <w:rFonts w:hint="eastAsia" w:ascii="宋体" w:hAnsi="宋体" w:eastAsia="宋体" w:cs="宋体"/>
          <w:color w:val="0000FF"/>
          <w:sz w:val="21"/>
          <w:szCs w:val="21"/>
          <w:u w:val="single"/>
        </w:rPr>
        <w:t>月到岗须达</w:t>
      </w:r>
      <w:r>
        <w:rPr>
          <w:rFonts w:hint="eastAsia" w:ascii="宋体" w:hAnsi="宋体" w:eastAsia="宋体" w:cs="宋体"/>
          <w:color w:val="0000FF"/>
          <w:sz w:val="21"/>
          <w:szCs w:val="21"/>
          <w:u w:val="single"/>
          <w:lang w:val="en-US" w:eastAsia="zh-CN"/>
        </w:rPr>
        <w:t xml:space="preserve">    </w:t>
      </w:r>
      <w:r>
        <w:rPr>
          <w:rFonts w:hint="eastAsia" w:ascii="宋体" w:hAnsi="宋体" w:eastAsia="宋体" w:cs="宋体"/>
          <w:color w:val="0000FF"/>
          <w:sz w:val="21"/>
          <w:szCs w:val="21"/>
          <w:u w:val="single"/>
        </w:rPr>
        <w:t>天</w:t>
      </w:r>
      <w:r>
        <w:rPr>
          <w:rFonts w:hint="eastAsia" w:ascii="宋体" w:hAnsi="宋体" w:eastAsia="宋体" w:cs="宋体"/>
          <w:color w:val="0000FF"/>
          <w:sz w:val="21"/>
          <w:szCs w:val="21"/>
          <w:u w:val="single"/>
          <w:lang w:val="en-US" w:eastAsia="zh-CN"/>
        </w:rPr>
        <w:t>(不少于24天</w:t>
      </w:r>
      <w:r>
        <w:rPr>
          <w:rFonts w:hint="eastAsia" w:ascii="宋体" w:hAnsi="宋体" w:eastAsia="宋体" w:cs="宋体"/>
          <w:color w:val="0000FF"/>
          <w:sz w:val="21"/>
          <w:szCs w:val="21"/>
          <w:u w:val="single"/>
        </w:rPr>
        <w:t>，</w:t>
      </w:r>
      <w:r>
        <w:rPr>
          <w:rFonts w:hint="eastAsia" w:ascii="宋体" w:hAnsi="宋体" w:eastAsia="宋体" w:cs="宋体"/>
          <w:color w:val="0000FF"/>
          <w:sz w:val="21"/>
          <w:szCs w:val="21"/>
          <w:u w:val="single"/>
          <w:lang w:val="en-US" w:eastAsia="zh-CN"/>
        </w:rPr>
        <w:t>具体根据投标人承诺天数，每不足一天扣1000元作为违约金，在当期工程款支付时扣除</w:t>
      </w:r>
      <w:r>
        <w:rPr>
          <w:rFonts w:hint="eastAsia" w:ascii="宋体" w:hAnsi="宋体" w:cs="宋体"/>
          <w:color w:val="0000FF"/>
          <w:sz w:val="21"/>
          <w:szCs w:val="21"/>
          <w:u w:val="single"/>
          <w:lang w:val="en-US" w:eastAsia="zh-CN"/>
        </w:rPr>
        <w:t>）</w:t>
      </w:r>
      <w:r>
        <w:rPr>
          <w:rFonts w:hint="eastAsia" w:ascii="宋体" w:hAnsi="宋体" w:eastAsia="宋体" w:cs="宋体"/>
          <w:color w:val="0000FF"/>
          <w:sz w:val="21"/>
          <w:szCs w:val="21"/>
          <w:u w:val="single"/>
          <w:lang w:val="en-US" w:eastAsia="zh-CN"/>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3.2.3 承包人擅自更换项目经理的违约责任：</w:t>
      </w:r>
      <w:r>
        <w:rPr>
          <w:rFonts w:hint="eastAsia" w:ascii="宋体" w:hAnsi="宋体" w:eastAsia="宋体" w:cs="宋体"/>
          <w:sz w:val="21"/>
          <w:szCs w:val="21"/>
          <w:u w:val="single"/>
        </w:rPr>
        <w:t>项目经理因发生重大安全事故、生病住院、终止劳动合同关系、被责令停止执业、羁押或判刑等情形，确已无法继续担任项目经理，承包人向发包人提出申请，发包人应同意更换，并报所在地建设行政主管部门备案，更换到位的项目经理资质、信用等级不低于原项目经理；如承包人擅自更换，按每更换一人次扣除履约担保金额的20%；及至发包人可通知承包人全部解除合同，所有履约担保金归发包人，并赔偿发包人损失。</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3.2.4 承包人无正当理由拒绝更换项目经理的违约责任：</w:t>
      </w:r>
      <w:r>
        <w:rPr>
          <w:rFonts w:hint="eastAsia" w:ascii="宋体" w:hAnsi="宋体" w:eastAsia="宋体" w:cs="宋体"/>
          <w:sz w:val="21"/>
          <w:szCs w:val="21"/>
          <w:u w:val="single"/>
        </w:rPr>
        <w:t>发包人可通知承包人全部解除合同，所有履约担保金归发包人，同时赔偿发包人损失。</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3.3 承包人人员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3.3.1 承包人提交项目管理机构及施工现场管理人员安排报告的期限：</w:t>
      </w:r>
      <w:r>
        <w:rPr>
          <w:rFonts w:hint="eastAsia" w:ascii="宋体" w:hAnsi="宋体" w:eastAsia="宋体" w:cs="宋体"/>
          <w:sz w:val="21"/>
          <w:szCs w:val="21"/>
          <w:u w:val="single"/>
        </w:rPr>
        <w:t xml:space="preserve"> 接到开工通知（或确定开工日期）后7天内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3.3.3 承包人无正当理由拒绝撤换主要施工管理人员的违约责任：</w:t>
      </w:r>
      <w:r>
        <w:rPr>
          <w:rFonts w:hint="eastAsia" w:ascii="宋体" w:hAnsi="宋体" w:eastAsia="宋体" w:cs="宋体"/>
          <w:sz w:val="21"/>
          <w:szCs w:val="21"/>
          <w:u w:val="single"/>
        </w:rPr>
        <w:t>发包人可通知承包人全部解除合同，在工程款中扣除所有履约担保金。</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3.3.4 承包人主要施工管理人员离开施工现场的批准要求：</w:t>
      </w:r>
      <w:r>
        <w:rPr>
          <w:rFonts w:hint="eastAsia" w:ascii="宋体" w:hAnsi="宋体" w:eastAsia="宋体" w:cs="宋体"/>
          <w:sz w:val="21"/>
          <w:szCs w:val="21"/>
          <w:u w:val="single"/>
        </w:rPr>
        <w:t>按通用条款执行；另遇有工程检查、验收或参观等活动时，无特殊原因不得请假</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3.3.5承包人擅自更换主要施工管理人员的违约责任：</w:t>
      </w:r>
      <w:r>
        <w:rPr>
          <w:rFonts w:hint="eastAsia" w:ascii="宋体" w:hAnsi="宋体" w:eastAsia="宋体" w:cs="宋体"/>
          <w:sz w:val="21"/>
          <w:szCs w:val="21"/>
          <w:u w:val="single"/>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承包人主要施工管理人员擅自离开施工现场的违约责任：</w:t>
      </w:r>
      <w:r>
        <w:rPr>
          <w:rFonts w:hint="eastAsia" w:ascii="宋体" w:hAnsi="宋体" w:eastAsia="宋体" w:cs="宋体"/>
          <w:sz w:val="21"/>
          <w:szCs w:val="21"/>
          <w:u w:val="single"/>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bookmarkStart w:id="103" w:name="_Toc296891199"/>
      <w:bookmarkStart w:id="104" w:name="_Toc296347158"/>
      <w:bookmarkStart w:id="105" w:name="_Toc296503159"/>
      <w:bookmarkStart w:id="106" w:name="_Toc296944498"/>
      <w:bookmarkStart w:id="107" w:name="_Toc296346660"/>
      <w:bookmarkStart w:id="108" w:name="_Toc312677988"/>
      <w:bookmarkStart w:id="109" w:name="_Toc304295523"/>
      <w:bookmarkStart w:id="110" w:name="_Toc297048345"/>
      <w:bookmarkStart w:id="111" w:name="_Toc296890987"/>
      <w:bookmarkStart w:id="112" w:name="_Toc292559869"/>
      <w:bookmarkStart w:id="113" w:name="_Toc292559364"/>
      <w:bookmarkStart w:id="114" w:name="_Toc297216151"/>
      <w:bookmarkStart w:id="115" w:name="_Toc297120459"/>
      <w:bookmarkStart w:id="116" w:name="_Toc303539102"/>
      <w:bookmarkStart w:id="117" w:name="_Toc297123492"/>
      <w:bookmarkStart w:id="118" w:name="_Toc300934945"/>
      <w:r>
        <w:rPr>
          <w:rFonts w:hint="eastAsia" w:ascii="宋体" w:hAnsi="宋体" w:eastAsia="宋体" w:cs="宋体"/>
          <w:sz w:val="21"/>
          <w:szCs w:val="21"/>
        </w:rPr>
        <w:t>.5 分包</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Pr>
        <w:spacing w:line="360" w:lineRule="exact"/>
        <w:ind w:firstLine="420" w:firstLineChars="200"/>
        <w:rPr>
          <w:rFonts w:hint="eastAsia" w:ascii="宋体" w:hAnsi="宋体" w:eastAsia="宋体" w:cs="宋体"/>
          <w:sz w:val="21"/>
          <w:szCs w:val="21"/>
        </w:rPr>
      </w:pPr>
      <w:bookmarkStart w:id="119" w:name="_Toc318581159"/>
      <w:bookmarkStart w:id="120" w:name="_Toc312677990"/>
      <w:r>
        <w:rPr>
          <w:rFonts w:hint="eastAsia" w:ascii="宋体" w:hAnsi="宋体" w:eastAsia="宋体" w:cs="宋体"/>
          <w:sz w:val="21"/>
          <w:szCs w:val="21"/>
        </w:rPr>
        <w:t>3</w:t>
      </w:r>
      <w:bookmarkStart w:id="121" w:name="_Toc297120460"/>
      <w:bookmarkStart w:id="122" w:name="_Toc296503160"/>
      <w:bookmarkStart w:id="123" w:name="_Toc292559365"/>
      <w:bookmarkStart w:id="124" w:name="_Toc296891200"/>
      <w:bookmarkStart w:id="125" w:name="_Toc296890988"/>
      <w:bookmarkStart w:id="126" w:name="_Toc296347159"/>
      <w:bookmarkStart w:id="127" w:name="_Toc300934946"/>
      <w:bookmarkStart w:id="128" w:name="_Toc296944499"/>
      <w:bookmarkStart w:id="129" w:name="_Toc303539103"/>
      <w:bookmarkStart w:id="130" w:name="_Toc297216152"/>
      <w:bookmarkStart w:id="131" w:name="_Toc292559870"/>
      <w:bookmarkStart w:id="132" w:name="_Toc297123493"/>
      <w:bookmarkStart w:id="133" w:name="_Toc304295524"/>
      <w:bookmarkStart w:id="134" w:name="_Toc297048346"/>
      <w:bookmarkStart w:id="135" w:name="_Toc296346661"/>
      <w:bookmarkStart w:id="136" w:name="_Toc318581158"/>
      <w:bookmarkStart w:id="137" w:name="_Toc312677989"/>
      <w:r>
        <w:rPr>
          <w:rFonts w:hint="eastAsia" w:ascii="宋体" w:hAnsi="宋体" w:eastAsia="宋体" w:cs="宋体"/>
          <w:sz w:val="21"/>
          <w:szCs w:val="21"/>
        </w:rPr>
        <w:t>.5.1 分包的一般约定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禁止分包的工程包括：</w:t>
      </w:r>
      <w:r>
        <w:rPr>
          <w:rFonts w:hint="eastAsia" w:ascii="宋体" w:hAnsi="宋体" w:eastAsia="宋体" w:cs="宋体"/>
          <w:sz w:val="21"/>
          <w:szCs w:val="21"/>
          <w:u w:val="single"/>
        </w:rPr>
        <w:t xml:space="preserve"> 工程主体结构、关键性工作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主体结构、关键性工作的范围：</w:t>
      </w:r>
      <w:r>
        <w:rPr>
          <w:rFonts w:hint="eastAsia" w:ascii="宋体" w:hAnsi="宋体" w:eastAsia="宋体" w:cs="宋体"/>
          <w:sz w:val="21"/>
          <w:szCs w:val="21"/>
          <w:u w:val="single"/>
        </w:rPr>
        <w:t xml:space="preserve">                      </w:t>
      </w:r>
      <w:r>
        <w:rPr>
          <w:rFonts w:hint="eastAsia" w:ascii="宋体" w:hAnsi="宋体" w:eastAsia="宋体" w:cs="宋体"/>
          <w:sz w:val="21"/>
          <w:szCs w:val="21"/>
        </w:rPr>
        <w: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Start w:id="138" w:name="_Toc304295525"/>
      <w:bookmarkStart w:id="139" w:name="_Toc297216153"/>
      <w:bookmarkStart w:id="140" w:name="_Toc296944500"/>
      <w:bookmarkStart w:id="141" w:name="_Toc297120461"/>
      <w:bookmarkStart w:id="142" w:name="_Toc296890989"/>
      <w:bookmarkStart w:id="143" w:name="_Toc296347160"/>
      <w:bookmarkStart w:id="144" w:name="_Toc297123494"/>
      <w:bookmarkStart w:id="145" w:name="_Toc296891201"/>
      <w:bookmarkStart w:id="146" w:name="_Toc303539104"/>
      <w:bookmarkStart w:id="147" w:name="_Toc297048347"/>
      <w:bookmarkStart w:id="148" w:name="_Toc300934947"/>
      <w:bookmarkStart w:id="149" w:name="_Toc296503161"/>
      <w:bookmarkStart w:id="150" w:name="_Toc296346662"/>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3.5.2分包的确定</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允许分包的专业工程包括：</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其他关于分包的约定：</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3.5.4 分包合同价款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关于分包合同价款支付的约定：</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bookmarkEnd w:id="119"/>
    <w:bookmarkEnd w:id="120"/>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3.6 工程照管与成品、半成品保护</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承包人负责照管工程及工程相关的材料、工程设备的起始时间：</w:t>
      </w:r>
      <w:r>
        <w:rPr>
          <w:rFonts w:hint="eastAsia" w:ascii="宋体" w:hAnsi="宋体" w:eastAsia="宋体" w:cs="宋体"/>
          <w:sz w:val="21"/>
          <w:szCs w:val="21"/>
          <w:u w:val="single"/>
        </w:rPr>
        <w:t>按合同通用条款执行</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3.7 履约担保</w:t>
      </w:r>
    </w:p>
    <w:p>
      <w:pPr>
        <w:spacing w:line="360" w:lineRule="exact"/>
        <w:ind w:firstLine="420" w:firstLineChars="200"/>
        <w:rPr>
          <w:rFonts w:hint="eastAsia" w:ascii="宋体" w:hAnsi="宋体" w:eastAsia="宋体" w:cs="宋体"/>
          <w:sz w:val="21"/>
          <w:szCs w:val="21"/>
        </w:rPr>
      </w:pPr>
      <w:bookmarkStart w:id="151" w:name="_Toc351203636"/>
      <w:r>
        <w:rPr>
          <w:rFonts w:hint="eastAsia" w:ascii="宋体" w:hAnsi="宋体" w:eastAsia="宋体" w:cs="宋体"/>
          <w:sz w:val="21"/>
          <w:szCs w:val="21"/>
        </w:rPr>
        <w:t>承包人是否提供履约担保：</w:t>
      </w:r>
      <w:r>
        <w:rPr>
          <w:rFonts w:hint="eastAsia" w:ascii="宋体" w:hAnsi="宋体" w:eastAsia="宋体" w:cs="宋体"/>
          <w:color w:val="0000FF"/>
          <w:sz w:val="21"/>
          <w:szCs w:val="21"/>
          <w:u w:val="single"/>
        </w:rPr>
        <w:t xml:space="preserve"> 是 。</w:t>
      </w:r>
    </w:p>
    <w:p>
      <w:pPr>
        <w:spacing w:line="36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u w:val="single"/>
        </w:rPr>
        <w:t>承包人提供履约担保的形式、金额及期限的：</w:t>
      </w:r>
      <w:r>
        <w:rPr>
          <w:rFonts w:hint="eastAsia" w:ascii="宋体" w:hAnsi="宋体" w:eastAsia="宋体" w:cs="宋体"/>
          <w:sz w:val="21"/>
          <w:szCs w:val="21"/>
          <w:highlight w:val="none"/>
          <w:u w:val="single"/>
        </w:rPr>
        <w:t>履约担保为签约合同价的1%，履约担保期限至本工程竣工验收为止，履约担保期间不计息。如承包人发生违约情形，直接在工程款中扣除</w:t>
      </w:r>
      <w:r>
        <w:rPr>
          <w:rFonts w:hint="eastAsia" w:ascii="宋体" w:hAnsi="宋体" w:eastAsia="宋体" w:cs="宋体"/>
          <w:sz w:val="21"/>
          <w:szCs w:val="21"/>
          <w:highlight w:val="none"/>
        </w:rPr>
        <w:t>。</w:t>
      </w:r>
    </w:p>
    <w:p>
      <w:pPr>
        <w:spacing w:line="360" w:lineRule="exact"/>
        <w:ind w:firstLine="420" w:firstLineChars="200"/>
        <w:rPr>
          <w:rFonts w:hint="eastAsia" w:ascii="宋体" w:hAnsi="宋体" w:eastAsia="宋体" w:cs="宋体"/>
          <w:sz w:val="21"/>
          <w:szCs w:val="21"/>
          <w:highlight w:val="yellow"/>
          <w:u w:val="single"/>
        </w:rPr>
      </w:pPr>
      <w:r>
        <w:rPr>
          <w:rFonts w:hint="eastAsia" w:ascii="宋体" w:hAnsi="宋体" w:eastAsia="宋体" w:cs="宋体"/>
          <w:sz w:val="21"/>
          <w:szCs w:val="21"/>
        </w:rPr>
        <w:t>承包人提供履约担保的期限：</w:t>
      </w:r>
      <w:r>
        <w:rPr>
          <w:rFonts w:hint="eastAsia" w:ascii="宋体" w:hAnsi="宋体" w:eastAsia="宋体" w:cs="宋体"/>
          <w:sz w:val="21"/>
          <w:szCs w:val="21"/>
          <w:highlight w:val="none"/>
          <w:u w:val="single"/>
        </w:rPr>
        <w:t>履约保证金如为非保函和担保形式的，合同到期后，发包人在所有工程竣工验收后14天内退还履约担保（扣除相应的违约责任后）。</w:t>
      </w:r>
    </w:p>
    <w:p>
      <w:pPr>
        <w:spacing w:line="360" w:lineRule="exact"/>
        <w:ind w:firstLine="422" w:firstLineChars="200"/>
        <w:rPr>
          <w:rFonts w:hint="eastAsia" w:ascii="宋体" w:hAnsi="宋体" w:eastAsia="宋体" w:cs="宋体"/>
          <w:sz w:val="21"/>
          <w:szCs w:val="21"/>
          <w:u w:val="single"/>
        </w:rPr>
      </w:pPr>
      <w:r>
        <w:rPr>
          <w:rFonts w:hint="eastAsia" w:ascii="宋体" w:hAnsi="宋体" w:eastAsia="宋体" w:cs="宋体"/>
          <w:b/>
          <w:bCs/>
          <w:sz w:val="21"/>
          <w:szCs w:val="21"/>
        </w:rPr>
        <w:t>4</w:t>
      </w:r>
      <w:bookmarkStart w:id="152" w:name="_Toc297048348"/>
      <w:bookmarkStart w:id="153" w:name="_Toc296891202"/>
      <w:bookmarkStart w:id="154" w:name="_Toc296944501"/>
      <w:bookmarkStart w:id="155" w:name="_Toc267251413"/>
      <w:bookmarkStart w:id="156" w:name="_Toc292559871"/>
      <w:bookmarkStart w:id="157" w:name="_Toc296347161"/>
      <w:bookmarkStart w:id="158" w:name="_Toc296346663"/>
      <w:bookmarkStart w:id="159" w:name="_Toc296503162"/>
      <w:bookmarkStart w:id="160" w:name="_Toc297120462"/>
      <w:bookmarkStart w:id="161" w:name="_Toc292559366"/>
      <w:bookmarkStart w:id="162" w:name="_Toc296890990"/>
      <w:r>
        <w:rPr>
          <w:rFonts w:hint="eastAsia" w:ascii="宋体" w:hAnsi="宋体" w:eastAsia="宋体" w:cs="宋体"/>
          <w:b/>
          <w:bCs/>
          <w:sz w:val="21"/>
          <w:szCs w:val="21"/>
        </w:rPr>
        <w:t>. 监</w:t>
      </w:r>
      <w:bookmarkEnd w:id="152"/>
      <w:bookmarkEnd w:id="153"/>
      <w:bookmarkEnd w:id="154"/>
      <w:bookmarkEnd w:id="155"/>
      <w:bookmarkEnd w:id="156"/>
      <w:bookmarkEnd w:id="157"/>
      <w:bookmarkEnd w:id="158"/>
      <w:bookmarkEnd w:id="159"/>
      <w:bookmarkEnd w:id="160"/>
      <w:bookmarkEnd w:id="161"/>
      <w:bookmarkEnd w:id="162"/>
      <w:r>
        <w:rPr>
          <w:rFonts w:hint="eastAsia" w:ascii="宋体" w:hAnsi="宋体" w:eastAsia="宋体" w:cs="宋体"/>
          <w:b/>
          <w:bCs/>
          <w:sz w:val="21"/>
          <w:szCs w:val="21"/>
        </w:rPr>
        <w:t>理人</w:t>
      </w:r>
      <w:bookmarkEnd w:id="151"/>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4.1监理人的一般规定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关于监理人的监理内容：</w:t>
      </w:r>
      <w:r>
        <w:rPr>
          <w:rFonts w:hint="eastAsia" w:ascii="宋体" w:hAnsi="宋体" w:eastAsia="宋体" w:cs="宋体"/>
          <w:sz w:val="21"/>
          <w:szCs w:val="21"/>
          <w:u w:val="single"/>
        </w:rPr>
        <w:t xml:space="preserve"> 按本工程监理合同约定内容</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关于监理人的监理权限：</w:t>
      </w:r>
      <w:r>
        <w:rPr>
          <w:rFonts w:hint="eastAsia" w:ascii="宋体" w:hAnsi="宋体" w:eastAsia="宋体" w:cs="宋体"/>
          <w:sz w:val="21"/>
          <w:szCs w:val="21"/>
          <w:u w:val="single"/>
        </w:rPr>
        <w:t>按本工程监理合同约定内容，涉及工程变更（含设计变更等参建各方变更）均需报发包人审批后生效</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关于监理人在施工现场的办公场所、生活场所的提供和费用承担的约定：</w:t>
      </w:r>
      <w:r>
        <w:rPr>
          <w:rFonts w:hint="eastAsia" w:ascii="宋体" w:hAnsi="宋体" w:eastAsia="宋体" w:cs="宋体"/>
          <w:sz w:val="21"/>
          <w:szCs w:val="21"/>
          <w:u w:val="single"/>
        </w:rPr>
        <w:t>由承包人免费提供办公室1间使用。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4.2 监理人员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总监理工程师：</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姓    名：</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职    务：</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监理工程师执业资格证书号：</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电子信箱：</w:t>
      </w:r>
      <w:r>
        <w:rPr>
          <w:rFonts w:hint="eastAsia" w:ascii="宋体" w:hAnsi="宋体" w:eastAsia="宋体" w:cs="宋体"/>
          <w:sz w:val="21"/>
          <w:szCs w:val="21"/>
          <w:u w:val="single"/>
        </w:rPr>
        <w:t xml:space="preserve">   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通信地址：</w:t>
      </w:r>
      <w:r>
        <w:rPr>
          <w:rFonts w:hint="eastAsia" w:ascii="宋体" w:hAnsi="宋体" w:eastAsia="宋体" w:cs="宋体"/>
          <w:sz w:val="21"/>
          <w:szCs w:val="21"/>
          <w:u w:val="single"/>
        </w:rPr>
        <w:t xml:space="preserve">  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关于监理人的其他约定：</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（1）监理人授权超出合同约定，承包人有权提出异议，如监理人对于承包人合理的异议不予接受，则承包人可要求发包人就该事项作出处理决定；</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（2）对于监理人更换其委派的监理人员的，监理人在征得发包人同意后应当提前48小时书面通知承包人；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single"/>
        </w:rPr>
        <w:t>（3）监理人对其监理人员的任何授权，承包人均应当要求监理人提供书面的授权，否则，承包人有权拒绝接受监理人员的指示。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4.4 商定或确定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在发包人和承包人不能通过协商达成一致意见时，发包人授权监理人对以下事项进行确定：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2" w:firstLineChars="200"/>
        <w:rPr>
          <w:rFonts w:hint="eastAsia" w:ascii="宋体" w:hAnsi="宋体" w:eastAsia="宋体" w:cs="宋体"/>
          <w:b/>
          <w:bCs/>
          <w:sz w:val="21"/>
          <w:szCs w:val="21"/>
        </w:rPr>
      </w:pPr>
      <w:bookmarkStart w:id="163" w:name="_Toc351203637"/>
      <w:r>
        <w:rPr>
          <w:rFonts w:hint="eastAsia" w:ascii="宋体" w:hAnsi="宋体" w:eastAsia="宋体" w:cs="宋体"/>
          <w:b/>
          <w:bCs/>
          <w:sz w:val="21"/>
          <w:szCs w:val="21"/>
        </w:rPr>
        <w:t>5</w:t>
      </w:r>
      <w:bookmarkStart w:id="164" w:name="_Toc292559872"/>
      <w:bookmarkStart w:id="165" w:name="_Toc292559367"/>
      <w:bookmarkStart w:id="166" w:name="_Toc296891203"/>
      <w:bookmarkStart w:id="167" w:name="_Toc296890991"/>
      <w:bookmarkStart w:id="168" w:name="_Toc297120463"/>
      <w:bookmarkStart w:id="169" w:name="_Toc296503163"/>
      <w:bookmarkStart w:id="170" w:name="_Toc296944502"/>
      <w:bookmarkStart w:id="171" w:name="_Toc297048349"/>
      <w:bookmarkStart w:id="172" w:name="_Toc296346664"/>
      <w:bookmarkStart w:id="173" w:name="_Toc296347162"/>
      <w:r>
        <w:rPr>
          <w:rFonts w:hint="eastAsia" w:ascii="宋体" w:hAnsi="宋体" w:eastAsia="宋体" w:cs="宋体"/>
          <w:b/>
          <w:bCs/>
          <w:sz w:val="21"/>
          <w:szCs w:val="21"/>
        </w:rPr>
        <w:t>. 工程质量</w:t>
      </w:r>
      <w:bookmarkEnd w:id="163"/>
    </w:p>
    <w:p>
      <w:pPr>
        <w:spacing w:line="360" w:lineRule="exact"/>
        <w:ind w:firstLine="420" w:firstLineChars="200"/>
        <w:rPr>
          <w:rFonts w:hint="eastAsia" w:ascii="宋体" w:hAnsi="宋体" w:eastAsia="宋体" w:cs="宋体"/>
          <w:sz w:val="21"/>
          <w:szCs w:val="21"/>
        </w:rPr>
      </w:pPr>
      <w:bookmarkStart w:id="174" w:name="_Toc312677997"/>
      <w:bookmarkStart w:id="175" w:name="_Toc318581164"/>
      <w:bookmarkStart w:id="176" w:name="_Toc297123496"/>
      <w:bookmarkStart w:id="177" w:name="_Toc304295527"/>
      <w:bookmarkStart w:id="178" w:name="_Toc297216155"/>
      <w:bookmarkStart w:id="179" w:name="_Toc303539106"/>
      <w:bookmarkStart w:id="180" w:name="_Toc300934949"/>
      <w:r>
        <w:rPr>
          <w:rFonts w:hint="eastAsia" w:ascii="宋体" w:hAnsi="宋体" w:eastAsia="宋体" w:cs="宋体"/>
          <w:sz w:val="21"/>
          <w:szCs w:val="21"/>
        </w:rPr>
        <w:t>5.1 质量要求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5.1.1 特殊质量标准和要求：</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关于工程奖项的约定：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5.3 隐蔽工程检查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5.3.2承包人提前通知监理人隐蔽工程检查的期限的约定：</w:t>
      </w:r>
      <w:r>
        <w:rPr>
          <w:rFonts w:hint="eastAsia" w:ascii="宋体" w:hAnsi="宋体" w:eastAsia="宋体" w:cs="宋体"/>
          <w:sz w:val="21"/>
          <w:szCs w:val="21"/>
          <w:u w:val="single"/>
        </w:rPr>
        <w:t xml:space="preserve"> 按合同通用条款执行</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监理人不能按时进行检查时，应提前</w:t>
      </w:r>
      <w:r>
        <w:rPr>
          <w:rFonts w:hint="eastAsia" w:ascii="宋体" w:hAnsi="宋体" w:eastAsia="宋体" w:cs="宋体"/>
          <w:sz w:val="21"/>
          <w:szCs w:val="21"/>
          <w:u w:val="single"/>
        </w:rPr>
        <w:t xml:space="preserve"> 24 </w:t>
      </w:r>
      <w:r>
        <w:rPr>
          <w:rFonts w:hint="eastAsia" w:ascii="宋体" w:hAnsi="宋体" w:eastAsia="宋体" w:cs="宋体"/>
          <w:sz w:val="21"/>
          <w:szCs w:val="21"/>
        </w:rPr>
        <w:t>小时提交书面延期要求。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关于延期最长不得超过：</w:t>
      </w:r>
      <w:r>
        <w:rPr>
          <w:rFonts w:hint="eastAsia" w:ascii="宋体" w:hAnsi="宋体" w:eastAsia="宋体" w:cs="宋体"/>
          <w:sz w:val="21"/>
          <w:szCs w:val="21"/>
          <w:u w:val="single"/>
        </w:rPr>
        <w:t xml:space="preserve"> 24 </w:t>
      </w:r>
      <w:r>
        <w:rPr>
          <w:rFonts w:hint="eastAsia" w:ascii="宋体" w:hAnsi="宋体" w:eastAsia="宋体" w:cs="宋体"/>
          <w:sz w:val="21"/>
          <w:szCs w:val="21"/>
        </w:rPr>
        <w:t>小时，由此导致工期延误的，工期予以顺延。</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隐蔽工程验收过程、验收部位除办理纸质验收记录，还应留置验收部位、验收过程、主要验收人员相片、影像等资料。</w:t>
      </w:r>
    </w:p>
    <w:p>
      <w:pPr>
        <w:spacing w:line="360" w:lineRule="exact"/>
        <w:ind w:firstLine="422" w:firstLineChars="200"/>
        <w:rPr>
          <w:rFonts w:hint="eastAsia" w:ascii="宋体" w:hAnsi="宋体" w:eastAsia="宋体" w:cs="宋体"/>
          <w:bCs/>
          <w:sz w:val="21"/>
          <w:szCs w:val="21"/>
        </w:rPr>
      </w:pPr>
      <w:bookmarkStart w:id="181" w:name="_Toc351203638"/>
      <w:r>
        <w:rPr>
          <w:rFonts w:hint="eastAsia" w:ascii="宋体" w:hAnsi="宋体" w:eastAsia="宋体" w:cs="宋体"/>
          <w:b/>
          <w:bCs/>
          <w:sz w:val="21"/>
          <w:szCs w:val="21"/>
        </w:rPr>
        <w:t>6. 安全文明施工与环境保护</w:t>
      </w:r>
      <w:bookmarkEnd w:id="181"/>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6.1安全文明施工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6.1.1 项目安全生产的达标目标及相应事项的约定：</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按省、市建筑业、安全监督等相关主管部门发布的有关管理规定执行</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6.1.4 关于治安保卫的特别约定：</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关于编制施工场地治安管理计划的约定：</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6.1.5 文明施工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合同当事人对文明施工的要求：</w:t>
      </w:r>
      <w:r>
        <w:rPr>
          <w:rFonts w:hint="eastAsia" w:ascii="宋体" w:hAnsi="宋体" w:eastAsia="宋体" w:cs="宋体"/>
          <w:sz w:val="21"/>
          <w:szCs w:val="21"/>
          <w:u w:val="single"/>
        </w:rPr>
        <w:t>按省、市发有关文明施工管理规定执行</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6.1.6 关于安全文明施工费支付比例和支付期限的约定：</w:t>
      </w:r>
      <w:r>
        <w:rPr>
          <w:rFonts w:hint="eastAsia" w:ascii="宋体" w:hAnsi="宋体" w:eastAsia="宋体" w:cs="宋体"/>
          <w:sz w:val="21"/>
          <w:szCs w:val="21"/>
          <w:u w:val="single"/>
        </w:rPr>
        <w:t>安全文明施工费包含在签约合同价内。承包人经发包人同意采取合同以外的安全措施所产生的费用，由发、承包人协商处理；未经发包人同意，发包人可不承担由此增加费用</w:t>
      </w:r>
      <w:r>
        <w:rPr>
          <w:rFonts w:hint="eastAsia" w:ascii="宋体" w:hAnsi="宋体" w:eastAsia="宋体" w:cs="宋体"/>
          <w:sz w:val="21"/>
          <w:szCs w:val="21"/>
        </w:rPr>
        <w:t>。</w:t>
      </w:r>
    </w:p>
    <w:bookmarkEnd w:id="174"/>
    <w:bookmarkEnd w:id="175"/>
    <w:bookmarkEnd w:id="176"/>
    <w:bookmarkEnd w:id="177"/>
    <w:bookmarkEnd w:id="178"/>
    <w:bookmarkEnd w:id="179"/>
    <w:bookmarkEnd w:id="180"/>
    <w:p>
      <w:pPr>
        <w:spacing w:line="360" w:lineRule="exact"/>
        <w:ind w:firstLine="422" w:firstLineChars="200"/>
        <w:rPr>
          <w:rFonts w:hint="eastAsia" w:ascii="宋体" w:hAnsi="宋体" w:eastAsia="宋体" w:cs="宋体"/>
          <w:b/>
          <w:bCs/>
          <w:sz w:val="21"/>
          <w:szCs w:val="21"/>
        </w:rPr>
      </w:pPr>
      <w:bookmarkStart w:id="182" w:name="_Toc351203639"/>
      <w:r>
        <w:rPr>
          <w:rFonts w:hint="eastAsia" w:ascii="宋体" w:hAnsi="宋体" w:eastAsia="宋体" w:cs="宋体"/>
          <w:b/>
          <w:bCs/>
          <w:sz w:val="21"/>
          <w:szCs w:val="21"/>
        </w:rPr>
        <w:t>7. 工期和进度</w:t>
      </w:r>
      <w:bookmarkEnd w:id="182"/>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7.1 施工组织设计</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7.1.1 合同当事人约定的施工组织设计应包括的其他内容：</w:t>
      </w:r>
      <w:r>
        <w:rPr>
          <w:rFonts w:hint="eastAsia" w:ascii="宋体" w:hAnsi="宋体" w:eastAsia="宋体" w:cs="宋体"/>
          <w:sz w:val="21"/>
          <w:szCs w:val="21"/>
          <w:u w:val="single"/>
        </w:rPr>
        <w:t>对特殊工艺施工、危险性较大分部分项工程施工应按规定办理审批手续和按当地建设行政主管部门要求组织专家论证</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监理人、发包人对施工组织设计、专项施工方案的批准，仅表示对施工技术方案的认可；如构成工程变更或者涉及工程价款调整的，承包人应在提交的审批表中载明，并同时提交工程造价文件，经监理人、发包人审批后作为结算依据</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7.1.2 施工组织设计的提交和修改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承包人提交详细施工组织设计的期限的约定：</w:t>
      </w:r>
      <w:r>
        <w:rPr>
          <w:rFonts w:hint="eastAsia" w:ascii="宋体" w:hAnsi="宋体" w:eastAsia="宋体" w:cs="宋体"/>
          <w:sz w:val="21"/>
          <w:szCs w:val="21"/>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发包人和监理人在收到详细的施工组织设计后确认或提出修改意见的期限：</w:t>
      </w:r>
      <w:r>
        <w:rPr>
          <w:rFonts w:hint="eastAsia" w:ascii="宋体" w:hAnsi="宋体" w:eastAsia="宋体" w:cs="宋体"/>
          <w:sz w:val="21"/>
          <w:szCs w:val="21"/>
          <w:u w:val="single"/>
        </w:rPr>
        <w:t>收到相应文件后7天内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w:t>
      </w:r>
      <w:bookmarkStart w:id="183" w:name="_Toc303539123"/>
      <w:bookmarkStart w:id="184" w:name="_Toc312677479"/>
      <w:bookmarkStart w:id="185" w:name="_Toc297216173"/>
      <w:bookmarkStart w:id="186" w:name="_Toc297123514"/>
      <w:bookmarkStart w:id="187" w:name="_Toc312678005"/>
      <w:bookmarkStart w:id="188" w:name="_Toc304295541"/>
      <w:bookmarkStart w:id="189" w:name="_Toc300934966"/>
      <w:r>
        <w:rPr>
          <w:rFonts w:hint="eastAsia" w:ascii="宋体" w:hAnsi="宋体" w:eastAsia="宋体" w:cs="宋体"/>
          <w:sz w:val="21"/>
          <w:szCs w:val="21"/>
        </w:rPr>
        <w:t>.2 施工进度计划</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7.2.2 施工进度计划的修订</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发包人和监理人在收到修订的施工进度计划后确认或提出修改意见的期限：</w:t>
      </w:r>
      <w:r>
        <w:rPr>
          <w:rFonts w:hint="eastAsia" w:ascii="宋体" w:hAnsi="宋体" w:eastAsia="宋体" w:cs="宋体"/>
          <w:sz w:val="21"/>
          <w:szCs w:val="21"/>
          <w:u w:val="single"/>
        </w:rPr>
        <w:t xml:space="preserve"> 收到相应文件后7天内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7.3 开工</w:t>
      </w:r>
    </w:p>
    <w:bookmarkEnd w:id="183"/>
    <w:bookmarkEnd w:id="184"/>
    <w:bookmarkEnd w:id="185"/>
    <w:bookmarkEnd w:id="186"/>
    <w:bookmarkEnd w:id="187"/>
    <w:bookmarkEnd w:id="188"/>
    <w:bookmarkEnd w:id="189"/>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7.3.1 开工准备</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关于承包人提交工程开工报审表的期限：</w:t>
      </w:r>
      <w:r>
        <w:rPr>
          <w:rFonts w:hint="eastAsia" w:ascii="宋体" w:hAnsi="宋体" w:eastAsia="宋体" w:cs="宋体"/>
          <w:sz w:val="21"/>
          <w:szCs w:val="21"/>
          <w:u w:val="single"/>
        </w:rPr>
        <w:t xml:space="preserve">接到开工通知（或确定开工日期）后7天内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关于发包人应完成的其他开工准备工作及期限：</w:t>
      </w:r>
      <w:r>
        <w:rPr>
          <w:rFonts w:hint="eastAsia" w:ascii="宋体" w:hAnsi="宋体" w:eastAsia="宋体" w:cs="宋体"/>
          <w:sz w:val="21"/>
          <w:szCs w:val="21"/>
          <w:u w:val="single"/>
        </w:rPr>
        <w:t>开工前7天</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关于承包人应完成的其他开工准备工作及期限：</w:t>
      </w:r>
      <w:r>
        <w:rPr>
          <w:rFonts w:hint="eastAsia" w:ascii="宋体" w:hAnsi="宋体" w:eastAsia="宋体" w:cs="宋体"/>
          <w:sz w:val="21"/>
          <w:szCs w:val="21"/>
          <w:u w:val="single"/>
        </w:rPr>
        <w:t>开工前</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7.3.2开工通知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发包人（或监理人）在计划开工日期前7天向承包人发出开工通知，工期自开工通知中载明的开工日期起算。</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因发包人原因造成监理人未能在计划开工日期之日起 90天内发出开工通知的，承包人有权提出价格调整要求，或者解除合同。发包人应当承担由此增加的费用或赔偿承包人的损失</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7.4 测量放线</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7.4.1发包人通过监理人向承包人提供测量基准点、基准线和水准点及其书面资料的期限：</w:t>
      </w:r>
      <w:r>
        <w:rPr>
          <w:rFonts w:hint="eastAsia" w:ascii="宋体" w:hAnsi="宋体" w:eastAsia="宋体" w:cs="宋体"/>
          <w:sz w:val="21"/>
          <w:szCs w:val="21"/>
          <w:u w:val="single"/>
        </w:rPr>
        <w:t xml:space="preserve"> 按合同通用条款执行</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w:t>
      </w:r>
      <w:bookmarkStart w:id="190" w:name="_Toc304295546"/>
      <w:bookmarkStart w:id="191" w:name="_Toc312677484"/>
      <w:bookmarkStart w:id="192" w:name="_Toc297123516"/>
      <w:bookmarkStart w:id="193" w:name="_Toc297216175"/>
      <w:bookmarkStart w:id="194" w:name="_Toc300934968"/>
      <w:bookmarkStart w:id="195" w:name="_Toc312678010"/>
      <w:bookmarkStart w:id="196" w:name="_Toc303539125"/>
      <w:r>
        <w:rPr>
          <w:rFonts w:hint="eastAsia" w:ascii="宋体" w:hAnsi="宋体" w:eastAsia="宋体" w:cs="宋体"/>
          <w:sz w:val="21"/>
          <w:szCs w:val="21"/>
        </w:rPr>
        <w:t>.5 工期延误</w:t>
      </w:r>
    </w:p>
    <w:bookmarkEnd w:id="190"/>
    <w:bookmarkEnd w:id="191"/>
    <w:bookmarkEnd w:id="192"/>
    <w:bookmarkEnd w:id="193"/>
    <w:bookmarkEnd w:id="194"/>
    <w:bookmarkEnd w:id="195"/>
    <w:bookmarkEnd w:id="196"/>
    <w:p>
      <w:pPr>
        <w:spacing w:line="360" w:lineRule="exact"/>
        <w:ind w:firstLine="420" w:firstLineChars="200"/>
        <w:rPr>
          <w:rFonts w:hint="eastAsia" w:ascii="宋体" w:hAnsi="宋体" w:eastAsia="宋体" w:cs="宋体"/>
          <w:sz w:val="21"/>
          <w:szCs w:val="21"/>
        </w:rPr>
      </w:pPr>
      <w:bookmarkStart w:id="197" w:name="_Toc318581171"/>
      <w:bookmarkStart w:id="198" w:name="_Toc312678014"/>
      <w:r>
        <w:rPr>
          <w:rFonts w:hint="eastAsia" w:ascii="宋体" w:hAnsi="宋体" w:eastAsia="宋体" w:cs="宋体"/>
          <w:sz w:val="21"/>
          <w:szCs w:val="21"/>
        </w:rPr>
        <w:t>7.5.1 因发包人原因导致工期延误</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（7）因发包人原因导致工期延误的其他情形：</w:t>
      </w:r>
      <w:r>
        <w:rPr>
          <w:rFonts w:hint="eastAsia" w:ascii="宋体" w:hAnsi="宋体" w:eastAsia="宋体" w:cs="宋体"/>
          <w:sz w:val="21"/>
          <w:szCs w:val="21"/>
          <w:u w:val="single"/>
        </w:rPr>
        <w:t xml:space="preserve"> ①重大设计变更；②因政策处理不完善导致无法施工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w:t>
      </w:r>
      <w:bookmarkStart w:id="199" w:name="_Toc318581169"/>
      <w:bookmarkStart w:id="200" w:name="_Toc312677486"/>
      <w:bookmarkStart w:id="201" w:name="_Toc312678012"/>
      <w:bookmarkStart w:id="202" w:name="_Toc297216177"/>
      <w:bookmarkStart w:id="203" w:name="_Toc300934970"/>
      <w:bookmarkStart w:id="204" w:name="_Toc297123518"/>
      <w:bookmarkStart w:id="205" w:name="_Toc304295548"/>
      <w:bookmarkStart w:id="206" w:name="_Toc303539127"/>
      <w:r>
        <w:rPr>
          <w:rFonts w:hint="eastAsia" w:ascii="宋体" w:hAnsi="宋体" w:eastAsia="宋体" w:cs="宋体"/>
          <w:sz w:val="21"/>
          <w:szCs w:val="21"/>
        </w:rPr>
        <w:t>.5.2 因承包人原因导致工期延误</w:t>
      </w:r>
    </w:p>
    <w:bookmarkEnd w:id="199"/>
    <w:bookmarkEnd w:id="200"/>
    <w:bookmarkEnd w:id="201"/>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因</w:t>
      </w:r>
      <w:bookmarkStart w:id="207" w:name="_Toc312677487"/>
      <w:bookmarkStart w:id="208" w:name="_Toc312678013"/>
      <w:bookmarkStart w:id="209" w:name="_Toc318581170"/>
      <w:r>
        <w:rPr>
          <w:rFonts w:hint="eastAsia" w:ascii="宋体" w:hAnsi="宋体" w:eastAsia="宋体" w:cs="宋体"/>
          <w:sz w:val="21"/>
          <w:szCs w:val="21"/>
        </w:rPr>
        <w:t>承包人原因造成工期延误，逾期竣工违约金的计算方法为：</w:t>
      </w:r>
      <w:bookmarkEnd w:id="202"/>
      <w:bookmarkEnd w:id="203"/>
      <w:bookmarkEnd w:id="204"/>
      <w:bookmarkEnd w:id="205"/>
      <w:bookmarkEnd w:id="206"/>
      <w:bookmarkEnd w:id="207"/>
      <w:bookmarkEnd w:id="208"/>
      <w:r>
        <w:rPr>
          <w:rFonts w:hint="eastAsia" w:ascii="宋体" w:hAnsi="宋体" w:eastAsia="宋体" w:cs="宋体"/>
          <w:sz w:val="21"/>
          <w:szCs w:val="21"/>
          <w:u w:val="single"/>
        </w:rPr>
        <w:t>每天1000元。</w:t>
      </w:r>
    </w:p>
    <w:bookmarkEnd w:id="209"/>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因承包人原因造成工期延误，逾期竣工违约金的上限：</w:t>
      </w:r>
      <w:r>
        <w:rPr>
          <w:rFonts w:hint="eastAsia" w:ascii="宋体" w:hAnsi="宋体" w:eastAsia="宋体" w:cs="宋体"/>
          <w:sz w:val="21"/>
          <w:szCs w:val="21"/>
          <w:u w:val="single"/>
        </w:rPr>
        <w:t>履约保证金额度，对发包人造成损失超过违约金的，除承担违约金外同时赔偿发包人损失</w:t>
      </w:r>
      <w:r>
        <w:rPr>
          <w:rFonts w:hint="eastAsia" w:ascii="宋体" w:hAnsi="宋体" w:eastAsia="宋体" w:cs="宋体"/>
          <w:sz w:val="21"/>
          <w:szCs w:val="21"/>
        </w:rPr>
        <w:t>。</w:t>
      </w:r>
    </w:p>
    <w:bookmarkEnd w:id="197"/>
    <w:bookmarkEnd w:id="198"/>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w:t>
      </w:r>
      <w:bookmarkStart w:id="210" w:name="_Toc303539128"/>
      <w:bookmarkStart w:id="211" w:name="_Toc300934971"/>
      <w:bookmarkStart w:id="212" w:name="_Toc297216178"/>
      <w:bookmarkStart w:id="213" w:name="_Toc312678015"/>
      <w:bookmarkStart w:id="214" w:name="_Toc297123519"/>
      <w:bookmarkStart w:id="215" w:name="_Toc304295549"/>
      <w:r>
        <w:rPr>
          <w:rFonts w:hint="eastAsia" w:ascii="宋体" w:hAnsi="宋体" w:eastAsia="宋体" w:cs="宋体"/>
          <w:sz w:val="21"/>
          <w:szCs w:val="21"/>
        </w:rPr>
        <w:t>.6 不</w:t>
      </w:r>
      <w:bookmarkEnd w:id="210"/>
      <w:bookmarkEnd w:id="211"/>
      <w:bookmarkEnd w:id="212"/>
      <w:bookmarkEnd w:id="213"/>
      <w:bookmarkEnd w:id="214"/>
      <w:bookmarkEnd w:id="215"/>
      <w:r>
        <w:rPr>
          <w:rFonts w:hint="eastAsia" w:ascii="宋体" w:hAnsi="宋体" w:eastAsia="宋体" w:cs="宋体"/>
          <w:sz w:val="21"/>
          <w:szCs w:val="21"/>
        </w:rPr>
        <w:t>利物质条件</w:t>
      </w:r>
    </w:p>
    <w:p>
      <w:pPr>
        <w:spacing w:line="360" w:lineRule="exact"/>
        <w:ind w:firstLine="420" w:firstLineChars="200"/>
        <w:rPr>
          <w:rFonts w:hint="eastAsia" w:ascii="宋体" w:hAnsi="宋体" w:eastAsia="宋体" w:cs="宋体"/>
          <w:sz w:val="21"/>
          <w:szCs w:val="21"/>
        </w:rPr>
      </w:pPr>
      <w:bookmarkStart w:id="216" w:name="_Toc312678016"/>
      <w:bookmarkStart w:id="217" w:name="_Toc318581172"/>
      <w:bookmarkStart w:id="218" w:name="_Toc304295550"/>
      <w:bookmarkStart w:id="219" w:name="_Toc303539129"/>
      <w:bookmarkStart w:id="220" w:name="_Toc300934972"/>
      <w:bookmarkStart w:id="221" w:name="_Toc297123520"/>
      <w:bookmarkStart w:id="222" w:name="_Toc297216179"/>
      <w:r>
        <w:rPr>
          <w:rFonts w:hint="eastAsia" w:ascii="宋体" w:hAnsi="宋体" w:eastAsia="宋体" w:cs="宋体"/>
          <w:sz w:val="21"/>
          <w:szCs w:val="21"/>
        </w:rPr>
        <w:t>不利物质条件的其他情形和有关约定：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u w:val="single"/>
        </w:rPr>
        <w:t>每天连续停水、停电超过8小时以上</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u w:val="single"/>
        </w:rPr>
        <w:t>因政府行政命令（因承包人原因的除外）</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w:t>
      </w:r>
      <w:r>
        <w:rPr>
          <w:rFonts w:hint="eastAsia" w:ascii="宋体" w:hAnsi="宋体" w:eastAsia="宋体" w:cs="宋体"/>
          <w:sz w:val="21"/>
          <w:szCs w:val="21"/>
          <w:u w:val="single"/>
        </w:rPr>
        <w:t>非因双方原因而无法控制的爆炸、火灾等事件</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（4）</w:t>
      </w:r>
      <w:r>
        <w:rPr>
          <w:rFonts w:hint="eastAsia" w:ascii="宋体" w:hAnsi="宋体" w:eastAsia="宋体" w:cs="宋体"/>
          <w:sz w:val="21"/>
          <w:szCs w:val="21"/>
          <w:u w:val="single"/>
        </w:rPr>
        <w:t>施工场地周围地下管线保护，地下障碍物和污染物排除，邻近建筑物、构筑物的保护要求。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u w:val="single"/>
        </w:rPr>
        <w:t>地质勘探资料未涉及的地下管道、暗沟、岩层等。</w:t>
      </w:r>
    </w:p>
    <w:bookmarkEnd w:id="216"/>
    <w:bookmarkEnd w:id="217"/>
    <w:bookmarkEnd w:id="218"/>
    <w:bookmarkEnd w:id="219"/>
    <w:bookmarkEnd w:id="220"/>
    <w:bookmarkEnd w:id="221"/>
    <w:bookmarkEnd w:id="222"/>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w:t>
      </w:r>
      <w:bookmarkStart w:id="223" w:name="_Toc297123521"/>
      <w:bookmarkStart w:id="224" w:name="_Toc304295551"/>
      <w:bookmarkStart w:id="225" w:name="_Toc312678017"/>
      <w:bookmarkStart w:id="226" w:name="_Toc300934973"/>
      <w:bookmarkStart w:id="227" w:name="_Toc303539130"/>
      <w:bookmarkStart w:id="228" w:name="_Toc297216180"/>
      <w:r>
        <w:rPr>
          <w:rFonts w:hint="eastAsia" w:ascii="宋体" w:hAnsi="宋体" w:eastAsia="宋体" w:cs="宋体"/>
          <w:sz w:val="21"/>
          <w:szCs w:val="21"/>
        </w:rPr>
        <w:t>.7异常恶劣的气候条件</w:t>
      </w:r>
    </w:p>
    <w:bookmarkEnd w:id="223"/>
    <w:bookmarkEnd w:id="224"/>
    <w:bookmarkEnd w:id="225"/>
    <w:bookmarkEnd w:id="226"/>
    <w:bookmarkEnd w:id="227"/>
    <w:bookmarkEnd w:id="228"/>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发包人和承包人同意以下情形视为异常恶劣的气候条件：</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w:t>
      </w:r>
      <w:r>
        <w:rPr>
          <w:rFonts w:hint="eastAsia" w:ascii="宋体" w:hAnsi="宋体" w:eastAsia="宋体" w:cs="宋体"/>
          <w:sz w:val="21"/>
          <w:szCs w:val="21"/>
          <w:u w:val="single"/>
        </w:rPr>
        <w:t>8-10 级（含10 级）持续24小时的大风（台风）；</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u w:val="single"/>
        </w:rPr>
        <w:t xml:space="preserve">24小时内持续降雨且降水量为200mm以上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u w:val="single"/>
        </w:rPr>
        <w:t xml:space="preserve">40摄氏度及以上且持续2天以上的高温天气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承包人为克服异常恶劣的气候条件，所采取合理措施而增加的费用和延误的工期由发包人承担；承包人虽然采取了合理的措施，但异常恶劣的气候条件发生后， 仍导致了工程现场损失，则参照通用合同条款 17.3 处理</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7.9 提前竣工的奖励</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7.9.2提前竣工的奖励：</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numPr>
          <w:ilvl w:val="0"/>
          <w:numId w:val="7"/>
        </w:numPr>
        <w:spacing w:line="360" w:lineRule="exact"/>
        <w:ind w:firstLine="422" w:firstLineChars="200"/>
        <w:rPr>
          <w:rFonts w:hint="eastAsia" w:ascii="宋体" w:hAnsi="宋体" w:eastAsia="宋体" w:cs="宋体"/>
          <w:b/>
          <w:bCs/>
          <w:sz w:val="21"/>
          <w:szCs w:val="21"/>
        </w:rPr>
      </w:pPr>
      <w:bookmarkStart w:id="229" w:name="_Toc351203640"/>
      <w:r>
        <w:rPr>
          <w:rFonts w:hint="eastAsia" w:ascii="宋体" w:hAnsi="宋体" w:eastAsia="宋体" w:cs="宋体"/>
          <w:b/>
          <w:bCs/>
          <w:sz w:val="21"/>
          <w:szCs w:val="21"/>
        </w:rPr>
        <w:t>材料与设备</w:t>
      </w:r>
      <w:bookmarkEnd w:id="229"/>
    </w:p>
    <w:bookmarkEnd w:id="164"/>
    <w:bookmarkEnd w:id="165"/>
    <w:bookmarkEnd w:id="166"/>
    <w:bookmarkEnd w:id="167"/>
    <w:bookmarkEnd w:id="168"/>
    <w:bookmarkEnd w:id="169"/>
    <w:bookmarkEnd w:id="170"/>
    <w:bookmarkEnd w:id="171"/>
    <w:bookmarkEnd w:id="172"/>
    <w:bookmarkEnd w:id="173"/>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8.2 承包人采购材料与工程设备</w:t>
      </w:r>
    </w:p>
    <w:p>
      <w:pPr>
        <w:numPr>
          <w:ilvl w:val="0"/>
          <w:numId w:val="8"/>
        </w:num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材料品牌、规格和使用要求：按招标文件（相应）技术标准和要求执行</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（2）本工程已确定承包价的建筑材料均由承包人自行询价、采购、运输和保管</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（3）本工程要求使用材料要求备选品牌或厂家：</w:t>
      </w:r>
    </w:p>
    <w:tbl>
      <w:tblPr>
        <w:tblStyle w:val="51"/>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257"/>
        <w:gridCol w:w="418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225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材料名称</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备选品牌或厂家</w:t>
            </w:r>
          </w:p>
        </w:tc>
        <w:tc>
          <w:tcPr>
            <w:tcW w:w="178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257" w:type="dxa"/>
            <w:noWrap w:val="0"/>
            <w:vAlign w:val="center"/>
          </w:tcPr>
          <w:p>
            <w:pPr>
              <w:jc w:val="center"/>
              <w:rPr>
                <w:rFonts w:hint="eastAsia" w:ascii="宋体" w:hAnsi="宋体" w:eastAsia="宋体" w:cs="宋体"/>
                <w:sz w:val="21"/>
                <w:szCs w:val="21"/>
              </w:rPr>
            </w:pPr>
            <w:r>
              <w:rPr>
                <w:rFonts w:hint="eastAsia"/>
              </w:rPr>
              <w:t>煤气单灶</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节尔猛，美厨道，庆丰，新派天宝</w:t>
            </w:r>
          </w:p>
        </w:tc>
        <w:tc>
          <w:tcPr>
            <w:tcW w:w="1783" w:type="dxa"/>
            <w:noWrap w:val="0"/>
            <w:vAlign w:val="center"/>
          </w:tcPr>
          <w:p>
            <w:pPr>
              <w:jc w:val="center"/>
              <w:rPr>
                <w:rFonts w:hint="eastAsia" w:ascii="宋体" w:hAnsi="宋体" w:eastAsia="宋体" w:cs="宋体"/>
                <w:sz w:val="21"/>
                <w:szCs w:val="21"/>
                <w:lang w:eastAsia="zh-CN"/>
              </w:rPr>
            </w:pPr>
            <w:r>
              <w:rPr>
                <w:rFonts w:hint="eastAsia"/>
              </w:rPr>
              <w:t>尺寸88X80X108</w:t>
            </w:r>
            <w:r>
              <w:rPr>
                <w:rFonts w:hint="eastAsia"/>
                <w:lang w:eastAsia="zh-CN"/>
              </w:rPr>
              <w:t>（单位：厘米）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257" w:type="dxa"/>
            <w:noWrap w:val="0"/>
            <w:vAlign w:val="center"/>
          </w:tcPr>
          <w:p>
            <w:pPr>
              <w:jc w:val="center"/>
              <w:rPr>
                <w:rFonts w:hint="eastAsia" w:ascii="宋体" w:hAnsi="宋体" w:eastAsia="宋体" w:cs="宋体"/>
                <w:sz w:val="21"/>
                <w:szCs w:val="21"/>
              </w:rPr>
            </w:pPr>
            <w:r>
              <w:rPr>
                <w:rFonts w:hint="eastAsia"/>
              </w:rPr>
              <w:t>双眼灶</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节尔猛，美厨道，庆丰，新派天宝</w:t>
            </w:r>
          </w:p>
        </w:tc>
        <w:tc>
          <w:tcPr>
            <w:tcW w:w="1783" w:type="dxa"/>
            <w:noWrap w:val="0"/>
            <w:vAlign w:val="center"/>
          </w:tcPr>
          <w:p>
            <w:pPr>
              <w:jc w:val="center"/>
              <w:rPr>
                <w:rFonts w:hint="eastAsia"/>
              </w:rPr>
            </w:pPr>
            <w:r>
              <w:rPr>
                <w:rFonts w:hint="eastAsia"/>
              </w:rPr>
              <w:t>尺寸68X35X17</w:t>
            </w:r>
            <w:r>
              <w:rPr>
                <w:rFonts w:hint="eastAsia"/>
                <w:lang w:eastAsia="zh-CN"/>
              </w:rPr>
              <w:t>（单位：厘米）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257" w:type="dxa"/>
            <w:noWrap w:val="0"/>
            <w:vAlign w:val="center"/>
          </w:tcPr>
          <w:p>
            <w:pPr>
              <w:jc w:val="center"/>
              <w:rPr>
                <w:rFonts w:hint="eastAsia" w:ascii="宋体" w:hAnsi="宋体" w:eastAsia="宋体" w:cs="宋体"/>
                <w:sz w:val="21"/>
                <w:szCs w:val="21"/>
              </w:rPr>
            </w:pPr>
            <w:r>
              <w:rPr>
                <w:rFonts w:hint="eastAsia"/>
              </w:rPr>
              <w:t>煤气蒸灶</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节尔猛，美厨道，庆丰，新派天宝</w:t>
            </w:r>
          </w:p>
        </w:tc>
        <w:tc>
          <w:tcPr>
            <w:tcW w:w="1783" w:type="dxa"/>
            <w:noWrap w:val="0"/>
            <w:vAlign w:val="center"/>
          </w:tcPr>
          <w:p>
            <w:pPr>
              <w:jc w:val="center"/>
              <w:rPr>
                <w:rFonts w:hint="eastAsia"/>
              </w:rPr>
            </w:pPr>
            <w:r>
              <w:rPr>
                <w:rFonts w:hint="eastAsia"/>
              </w:rPr>
              <w:t>尺寸70X70X70</w:t>
            </w:r>
            <w:r>
              <w:rPr>
                <w:rFonts w:hint="eastAsia"/>
                <w:lang w:eastAsia="zh-CN"/>
              </w:rPr>
              <w:t>（单位：厘米）</w:t>
            </w: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257" w:type="dxa"/>
            <w:noWrap w:val="0"/>
            <w:vAlign w:val="center"/>
          </w:tcPr>
          <w:p>
            <w:pPr>
              <w:jc w:val="center"/>
              <w:rPr>
                <w:rFonts w:hint="eastAsia" w:ascii="宋体" w:hAnsi="宋体" w:eastAsia="宋体" w:cs="宋体"/>
                <w:sz w:val="21"/>
                <w:szCs w:val="21"/>
              </w:rPr>
            </w:pPr>
            <w:r>
              <w:rPr>
                <w:rFonts w:hint="eastAsia"/>
              </w:rPr>
              <w:t>简易案台</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国产优质</w:t>
            </w:r>
          </w:p>
        </w:tc>
        <w:tc>
          <w:tcPr>
            <w:tcW w:w="1783" w:type="dxa"/>
            <w:noWrap w:val="0"/>
            <w:vAlign w:val="center"/>
          </w:tcPr>
          <w:p>
            <w:pPr>
              <w:jc w:val="center"/>
              <w:rPr>
                <w:rFonts w:hint="eastAsia"/>
              </w:rPr>
            </w:pPr>
            <w:r>
              <w:rPr>
                <w:rFonts w:hint="eastAsia"/>
              </w:rPr>
              <w:t>尺寸150X80X80</w:t>
            </w:r>
          </w:p>
          <w:p>
            <w:pPr>
              <w:jc w:val="center"/>
              <w:rPr>
                <w:rFonts w:hint="eastAsia"/>
              </w:rPr>
            </w:pPr>
            <w:r>
              <w:rPr>
                <w:rFonts w:hint="eastAsia"/>
                <w:lang w:eastAsia="zh-CN"/>
              </w:rPr>
              <w:t>（单位：厘米）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257" w:type="dxa"/>
            <w:noWrap w:val="0"/>
            <w:vAlign w:val="center"/>
          </w:tcPr>
          <w:p>
            <w:pPr>
              <w:jc w:val="center"/>
              <w:rPr>
                <w:rFonts w:hint="eastAsia" w:ascii="宋体" w:hAnsi="宋体" w:eastAsia="宋体" w:cs="宋体"/>
                <w:sz w:val="21"/>
                <w:szCs w:val="21"/>
              </w:rPr>
            </w:pPr>
            <w:r>
              <w:rPr>
                <w:rFonts w:hint="eastAsia"/>
              </w:rPr>
              <w:t>货架</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国产优质</w:t>
            </w:r>
          </w:p>
        </w:tc>
        <w:tc>
          <w:tcPr>
            <w:tcW w:w="1783" w:type="dxa"/>
            <w:noWrap w:val="0"/>
            <w:vAlign w:val="center"/>
          </w:tcPr>
          <w:p>
            <w:pPr>
              <w:jc w:val="center"/>
              <w:rPr>
                <w:rFonts w:hint="eastAsia"/>
              </w:rPr>
            </w:pPr>
            <w:r>
              <w:rPr>
                <w:rFonts w:hint="eastAsia"/>
              </w:rPr>
              <w:t>尺寸150X50X150</w:t>
            </w:r>
          </w:p>
          <w:p>
            <w:pPr>
              <w:jc w:val="center"/>
              <w:rPr>
                <w:rFonts w:hint="eastAsia"/>
              </w:rPr>
            </w:pPr>
            <w:r>
              <w:rPr>
                <w:rFonts w:hint="eastAsia"/>
                <w:lang w:eastAsia="zh-CN"/>
              </w:rPr>
              <w:t>（单位：厘米）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257" w:type="dxa"/>
            <w:noWrap w:val="0"/>
            <w:vAlign w:val="center"/>
          </w:tcPr>
          <w:p>
            <w:pPr>
              <w:jc w:val="center"/>
              <w:rPr>
                <w:rFonts w:hint="eastAsia" w:ascii="宋体" w:hAnsi="宋体" w:eastAsia="宋体" w:cs="宋体"/>
                <w:sz w:val="21"/>
                <w:szCs w:val="21"/>
              </w:rPr>
            </w:pPr>
            <w:r>
              <w:rPr>
                <w:rFonts w:hint="eastAsia"/>
              </w:rPr>
              <w:t>水池</w:t>
            </w:r>
          </w:p>
        </w:tc>
        <w:tc>
          <w:tcPr>
            <w:tcW w:w="4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国产优质</w:t>
            </w:r>
          </w:p>
        </w:tc>
        <w:tc>
          <w:tcPr>
            <w:tcW w:w="1783" w:type="dxa"/>
            <w:noWrap w:val="0"/>
            <w:vAlign w:val="center"/>
          </w:tcPr>
          <w:p>
            <w:pPr>
              <w:jc w:val="center"/>
              <w:rPr>
                <w:rFonts w:hint="eastAsia"/>
              </w:rPr>
            </w:pPr>
            <w:r>
              <w:rPr>
                <w:rFonts w:hint="eastAsia"/>
              </w:rPr>
              <w:t>尺寸180X60X95</w:t>
            </w:r>
            <w:r>
              <w:rPr>
                <w:rFonts w:hint="eastAsia"/>
                <w:lang w:eastAsia="zh-CN"/>
              </w:rPr>
              <w:t>（单位：厘米）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2257" w:type="dxa"/>
            <w:noWrap w:val="0"/>
            <w:vAlign w:val="center"/>
          </w:tcPr>
          <w:p>
            <w:pPr>
              <w:jc w:val="center"/>
              <w:rPr>
                <w:rFonts w:hint="eastAsia" w:ascii="宋体" w:hAnsi="宋体" w:eastAsia="宋体" w:cs="宋体"/>
                <w:sz w:val="21"/>
                <w:szCs w:val="21"/>
              </w:rPr>
            </w:pPr>
            <w:r>
              <w:rPr>
                <w:rFonts w:hint="eastAsia"/>
              </w:rPr>
              <w:t>油烟机</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节尔猛，美厨道，庆丰，新派天宝</w:t>
            </w:r>
          </w:p>
        </w:tc>
        <w:tc>
          <w:tcPr>
            <w:tcW w:w="1783" w:type="dxa"/>
            <w:noWrap w:val="0"/>
            <w:vAlign w:val="center"/>
          </w:tcPr>
          <w:p>
            <w:pPr>
              <w:jc w:val="center"/>
              <w:rPr>
                <w:rFonts w:hint="eastAsia"/>
              </w:rPr>
            </w:pPr>
            <w:r>
              <w:rPr>
                <w:rFonts w:hint="eastAsia"/>
              </w:rPr>
              <w:t>尺寸150X80X50</w:t>
            </w:r>
            <w:r>
              <w:rPr>
                <w:rFonts w:hint="eastAsia"/>
                <w:lang w:eastAsia="zh-CN"/>
              </w:rPr>
              <w:t>（单位：厘米）</w:t>
            </w: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2257" w:type="dxa"/>
            <w:noWrap w:val="0"/>
            <w:vAlign w:val="center"/>
          </w:tcPr>
          <w:p>
            <w:pPr>
              <w:jc w:val="center"/>
              <w:rPr>
                <w:rFonts w:hint="eastAsia" w:ascii="宋体" w:hAnsi="宋体" w:eastAsia="宋体" w:cs="宋体"/>
                <w:sz w:val="21"/>
                <w:szCs w:val="21"/>
              </w:rPr>
            </w:pPr>
            <w:r>
              <w:rPr>
                <w:rFonts w:hint="eastAsia"/>
              </w:rPr>
              <w:t>调料台</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国产优质</w:t>
            </w:r>
          </w:p>
        </w:tc>
        <w:tc>
          <w:tcPr>
            <w:tcW w:w="1783" w:type="dxa"/>
            <w:noWrap w:val="0"/>
            <w:vAlign w:val="center"/>
          </w:tcPr>
          <w:p>
            <w:pPr>
              <w:jc w:val="center"/>
              <w:rPr>
                <w:rFonts w:hint="eastAsia"/>
              </w:rPr>
            </w:pPr>
            <w:r>
              <w:rPr>
                <w:rFonts w:hint="eastAsia"/>
              </w:rPr>
              <w:t>尺寸50X80X80</w:t>
            </w:r>
            <w:r>
              <w:rPr>
                <w:rFonts w:hint="eastAsia"/>
                <w:lang w:eastAsia="zh-CN"/>
              </w:rPr>
              <w:t>（单位：厘米）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2257" w:type="dxa"/>
            <w:noWrap w:val="0"/>
            <w:vAlign w:val="center"/>
          </w:tcPr>
          <w:p>
            <w:pPr>
              <w:jc w:val="center"/>
              <w:rPr>
                <w:rFonts w:hint="eastAsia" w:ascii="宋体" w:hAnsi="宋体" w:eastAsia="宋体" w:cs="宋体"/>
                <w:sz w:val="21"/>
                <w:szCs w:val="21"/>
              </w:rPr>
            </w:pPr>
            <w:r>
              <w:rPr>
                <w:rFonts w:hint="eastAsia"/>
              </w:rPr>
              <w:t>消毒柜</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节尔猛，美厨道，庆丰，新派天宝</w:t>
            </w:r>
          </w:p>
        </w:tc>
        <w:tc>
          <w:tcPr>
            <w:tcW w:w="1783" w:type="dxa"/>
            <w:noWrap w:val="0"/>
            <w:vAlign w:val="center"/>
          </w:tcPr>
          <w:p>
            <w:pPr>
              <w:jc w:val="center"/>
              <w:rPr>
                <w:rFonts w:hint="eastAsia"/>
              </w:rPr>
            </w:pPr>
            <w:r>
              <w:rPr>
                <w:rFonts w:hint="eastAsia"/>
              </w:rPr>
              <w:t>尺寸60X60X195</w:t>
            </w:r>
            <w:r>
              <w:rPr>
                <w:rFonts w:hint="eastAsia"/>
                <w:lang w:eastAsia="zh-CN"/>
              </w:rPr>
              <w:t>（单位：厘米）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2257" w:type="dxa"/>
            <w:noWrap w:val="0"/>
            <w:vAlign w:val="center"/>
          </w:tcPr>
          <w:p>
            <w:pPr>
              <w:jc w:val="center"/>
              <w:rPr>
                <w:rFonts w:hint="eastAsia" w:ascii="宋体" w:hAnsi="宋体" w:eastAsia="宋体" w:cs="宋体"/>
                <w:sz w:val="21"/>
                <w:szCs w:val="21"/>
              </w:rPr>
            </w:pPr>
            <w:r>
              <w:rPr>
                <w:rFonts w:hint="eastAsia"/>
                <w:lang w:eastAsia="zh-CN"/>
              </w:rPr>
              <w:t>发电机</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康明斯机组，沃尔沃机组，卡特彼勒机组</w:t>
            </w:r>
          </w:p>
        </w:tc>
        <w:tc>
          <w:tcPr>
            <w:tcW w:w="178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2257" w:type="dxa"/>
            <w:noWrap w:val="0"/>
            <w:vAlign w:val="center"/>
          </w:tcPr>
          <w:p>
            <w:pPr>
              <w:jc w:val="center"/>
              <w:rPr>
                <w:rFonts w:hint="eastAsia" w:ascii="宋体" w:hAnsi="宋体" w:eastAsia="宋体" w:cs="宋体"/>
                <w:sz w:val="21"/>
                <w:szCs w:val="21"/>
              </w:rPr>
            </w:pPr>
            <w:r>
              <w:rPr>
                <w:rFonts w:hint="eastAsia"/>
                <w:lang w:eastAsia="zh-CN"/>
              </w:rPr>
              <w:t>发电机副油箱</w:t>
            </w:r>
          </w:p>
        </w:tc>
        <w:tc>
          <w:tcPr>
            <w:tcW w:w="4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康明斯机组，沃尔沃机组，卡特彼勒机组</w:t>
            </w:r>
          </w:p>
        </w:tc>
        <w:tc>
          <w:tcPr>
            <w:tcW w:w="1783" w:type="dxa"/>
            <w:noWrap w:val="0"/>
            <w:vAlign w:val="center"/>
          </w:tcPr>
          <w:p>
            <w:pPr>
              <w:jc w:val="center"/>
              <w:rPr>
                <w:rFonts w:hint="eastAsia" w:ascii="宋体" w:hAnsi="宋体" w:eastAsia="宋体" w:cs="宋体"/>
                <w:sz w:val="21"/>
                <w:szCs w:val="21"/>
              </w:rPr>
            </w:pPr>
          </w:p>
        </w:tc>
      </w:tr>
    </w:tbl>
    <w:p>
      <w:pPr>
        <w:spacing w:line="36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（4）所有材料必须有质保书或合格证，符合施工图纸和规范要求，且品牌、产地需报发包人备案，否则，因此产生的后果均由承包人负责</w:t>
      </w:r>
      <w:r>
        <w:rPr>
          <w:rFonts w:hint="eastAsia" w:ascii="宋体" w:hAnsi="宋体" w:eastAsia="宋体" w:cs="宋体"/>
          <w:sz w:val="21"/>
          <w:szCs w:val="21"/>
          <w:highlight w:val="none"/>
        </w:rPr>
        <w:t>。</w:t>
      </w:r>
    </w:p>
    <w:p>
      <w:pPr>
        <w:spacing w:line="360" w:lineRule="exact"/>
        <w:ind w:firstLine="420" w:firstLineChars="200"/>
        <w:rPr>
          <w:rFonts w:hint="eastAsia" w:ascii="宋体" w:hAnsi="宋体" w:eastAsia="宋体" w:cs="宋体"/>
          <w:b/>
          <w:bCs/>
          <w:sz w:val="21"/>
          <w:szCs w:val="21"/>
          <w:u w:val="single"/>
        </w:rPr>
      </w:pPr>
      <w:r>
        <w:rPr>
          <w:rFonts w:hint="eastAsia" w:ascii="宋体" w:hAnsi="宋体" w:eastAsia="宋体" w:cs="宋体"/>
          <w:sz w:val="21"/>
          <w:szCs w:val="21"/>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（6）所有设备、材料和预制构件等均需有产品合格证和质保书、试验（试车）报告等必要资料，符合国家规定的技术标准和设计图纸要求的标准，并且须经发包人及监理单位验收合格后方可使用</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（7）根据工程需要，发包人有权对承包人投标时确认的品牌进行更换，更换后的材料价格由发包人签证进行结算</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single"/>
        </w:rPr>
        <w:t>（8）合同中原暂定价材料或由工程变更产生的无价材料由承包人采购时，应由发包人签证确定价格后采购，发包人在收到承包人价格确定申请后，7日内审批完毕</w:t>
      </w:r>
      <w:r>
        <w:rPr>
          <w:rFonts w:hint="eastAsia" w:ascii="宋体" w:hAnsi="宋体" w:eastAsia="宋体" w:cs="宋体"/>
          <w:sz w:val="21"/>
          <w:szCs w:val="21"/>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Start w:id="230" w:name="_Toc267251442"/>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8.4材料与工程设备的保管与使用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8.4.1发包人供应的材料设备的保管费用的承担：</w:t>
      </w:r>
      <w:r>
        <w:rPr>
          <w:rFonts w:hint="eastAsia" w:ascii="宋体" w:hAnsi="宋体" w:eastAsia="宋体" w:cs="宋体"/>
          <w:sz w:val="21"/>
          <w:szCs w:val="21"/>
          <w:u w:val="single"/>
        </w:rPr>
        <w:t>不另行计取</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8.6 样品</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8.6.1 样品的报送与封存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需要承包人报送样品的材料或工程设备，样品的种类、名称、规格、数量要求：</w:t>
      </w:r>
      <w:r>
        <w:rPr>
          <w:rFonts w:hint="eastAsia" w:ascii="宋体" w:hAnsi="宋体" w:eastAsia="宋体" w:cs="宋体"/>
          <w:sz w:val="21"/>
          <w:szCs w:val="21"/>
          <w:u w:val="single"/>
        </w:rPr>
        <w:t xml:space="preserve"> （如有要封存样品，明确具体样品名称）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8.8 施工设备和临时设施</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8.8.1 承包人提供的施工设备和临时设施</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关于修建临时设施费用承担的约定：</w:t>
      </w:r>
      <w:r>
        <w:rPr>
          <w:rFonts w:hint="eastAsia" w:ascii="宋体" w:hAnsi="宋体" w:eastAsia="宋体" w:cs="宋体"/>
          <w:sz w:val="21"/>
          <w:szCs w:val="21"/>
          <w:u w:val="single"/>
        </w:rPr>
        <w:t xml:space="preserve"> 由承包人承担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9. 试验与检验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9.1试验设备与试验人员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9.1.2 试验设备</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施工现场需要配置的试验场所：</w:t>
      </w:r>
      <w:r>
        <w:rPr>
          <w:rFonts w:hint="eastAsia" w:ascii="宋体" w:hAnsi="宋体" w:eastAsia="宋体" w:cs="宋体"/>
          <w:sz w:val="21"/>
          <w:szCs w:val="21"/>
          <w:u w:val="single"/>
        </w:rPr>
        <w:t xml:space="preserve"> 按规范及（当地）建设行政主管部门要求配置</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施工现场需要配备的试验设备：</w:t>
      </w:r>
      <w:r>
        <w:rPr>
          <w:rFonts w:hint="eastAsia" w:ascii="宋体" w:hAnsi="宋体" w:eastAsia="宋体" w:cs="宋体"/>
          <w:sz w:val="21"/>
          <w:szCs w:val="21"/>
          <w:u w:val="single"/>
        </w:rPr>
        <w:t xml:space="preserve"> 按规范及（当地）建设行政主管部门要求配置</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施工现场需要具备的其他试验条件：</w:t>
      </w:r>
      <w:r>
        <w:rPr>
          <w:rFonts w:hint="eastAsia" w:ascii="宋体" w:hAnsi="宋体" w:eastAsia="宋体" w:cs="宋体"/>
          <w:sz w:val="21"/>
          <w:szCs w:val="21"/>
          <w:u w:val="single"/>
        </w:rPr>
        <w:t xml:space="preserve"> 按规范及（当地）建设行政主管部门要求配置</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9.3 材料、工程设备和工程的试验和检验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9.3.4材料、设备和工程的试验和检验的费用：</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1）材料、设备和工程的试验按《建设工程质量管理条例》、《房屋建筑工程和市政基础设施工程实行见证取样和送检的规定》、《浙江省房屋建筑和市政基础设施工程质量检测管理实施办法》等及工程所在地有关工程质量检测的规定实施</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2）本合同金额包括建筑以及材料、构件和建筑安装物进行一般鉴定、检查所发生的费用，包括建设工程质量见证取样检测费、建筑施工企业配合检测及自设试验室进行试验所耗用的材料和化学药品等费用，其中由发包人支付的见证取样检测费在财务结算时从承包人的工程款中扣回；本项目发包人提出的构件破坏性试验费用由发包人承担，承包人在投标时应充分考虑本项目可能存在的检测内容及费用，结算时不再调整</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3）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4）当质量安全管理机构根据规范，要求发包人与承包人开展本工程某一部分质量实体或某项材料设备质量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9.4 现场工艺试验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现场工艺试验的有关约定：</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10. 变更</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10.1变更的范围</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关于变更的范围的约定：</w:t>
      </w:r>
      <w:r>
        <w:rPr>
          <w:rFonts w:hint="eastAsia" w:ascii="宋体" w:hAnsi="宋体" w:eastAsia="宋体" w:cs="宋体"/>
          <w:sz w:val="21"/>
          <w:szCs w:val="21"/>
          <w:u w:val="single"/>
        </w:rPr>
        <w:t>按合同通用条款。工程变更引起工程量的减少或增加，承包人不得因此拒绝施工</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10.4 变更估价</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10.4.1 变更估价原则</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关于变更估价的约定: </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变更项目的计价口径同合同约定计价方法，按约定的工程预算定额计价，预算定额中无合适定额子目的由发包人签证确定</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10.4.2 变更估价程序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single"/>
        </w:rPr>
        <w:t>承包人收到发包人、设计单位的变更指示后14天内向发包人提交变更估价申请。承包人提出工程变更、施工方案调整等变更应同时提交变更估价申请。承包人提交的变更估价申请，发包人应予以签收，并在14天内审批完毕。</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10.5承包人的合理化建议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监理人审查承包人合理化建议的期限：</w:t>
      </w:r>
      <w:r>
        <w:rPr>
          <w:rFonts w:hint="eastAsia" w:ascii="宋体" w:hAnsi="宋体" w:eastAsia="宋体" w:cs="宋体"/>
          <w:sz w:val="21"/>
          <w:szCs w:val="21"/>
          <w:u w:val="single"/>
        </w:rPr>
        <w:t xml:space="preserve"> 按通用条款执行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发包人审批承包人合理化建议的期限：</w:t>
      </w:r>
      <w:r>
        <w:rPr>
          <w:rFonts w:hint="eastAsia" w:ascii="宋体" w:hAnsi="宋体" w:eastAsia="宋体" w:cs="宋体"/>
          <w:sz w:val="21"/>
          <w:szCs w:val="21"/>
          <w:u w:val="single"/>
        </w:rPr>
        <w:t xml:space="preserve">按通用条款执行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承包人提出的合理化建议降低了合同价格或者提高了工程经济效益的奖励的方法和金额为：</w:t>
      </w:r>
      <w:r>
        <w:rPr>
          <w:rFonts w:hint="eastAsia" w:ascii="宋体" w:hAnsi="宋体" w:eastAsia="宋体" w:cs="宋体"/>
          <w:sz w:val="21"/>
          <w:szCs w:val="21"/>
          <w:u w:val="single"/>
        </w:rPr>
        <w:t>/</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10.7 暂估价</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暂估价材料和工程设备的明细详见附件11：《暂估价一览表》。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10.7.1必须招标的暂估价项目</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无承包价（暂定价）的单项材料、设备、专业分包工程估算价在30万元以上的（指可以向同一家供应商采购的同类材料总价），须由发、承包双方通过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10.7.2 不属于必须招标的暂估价项目：</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第3种方式：承包人直接实施的暂估价项目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承包人直接实施的暂估价项目的约定：</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10.8 暂列金额</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合同当事人关于暂列金额使用的约定：</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创标化工地增加费计算方法：</w:t>
      </w:r>
      <w:r>
        <w:rPr>
          <w:rFonts w:hint="eastAsia" w:ascii="宋体" w:hAnsi="宋体" w:eastAsia="宋体" w:cs="宋体"/>
          <w:sz w:val="21"/>
          <w:szCs w:val="21"/>
          <w:u w:val="single"/>
        </w:rPr>
        <w:t>本工程无创标化工地目标。</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创优质工程增加费计算方法：</w:t>
      </w:r>
      <w:r>
        <w:rPr>
          <w:rFonts w:hint="eastAsia" w:ascii="宋体" w:hAnsi="宋体" w:eastAsia="宋体" w:cs="宋体"/>
          <w:sz w:val="21"/>
          <w:szCs w:val="21"/>
          <w:u w:val="single"/>
        </w:rPr>
        <w:t>本工程无创优质工程目标。</w:t>
      </w:r>
    </w:p>
    <w:p>
      <w:pPr>
        <w:numPr>
          <w:ilvl w:val="0"/>
          <w:numId w:val="9"/>
        </w:num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价格调整</w:t>
      </w:r>
      <w:bookmarkStart w:id="231" w:name="_Toc296503201"/>
      <w:bookmarkStart w:id="232" w:name="_Toc297048387"/>
      <w:bookmarkStart w:id="233" w:name="_Toc296944540"/>
      <w:bookmarkStart w:id="234" w:name="_Toc296347200"/>
      <w:bookmarkStart w:id="235" w:name="_Toc297216209"/>
      <w:bookmarkStart w:id="236" w:name="_Toc303539157"/>
      <w:bookmarkStart w:id="237" w:name="_Toc304295577"/>
      <w:bookmarkStart w:id="238" w:name="_Toc292559406"/>
      <w:bookmarkStart w:id="239" w:name="_Toc292559911"/>
      <w:bookmarkStart w:id="240" w:name="_Toc296346702"/>
      <w:bookmarkStart w:id="241" w:name="_Toc296891029"/>
      <w:bookmarkStart w:id="242" w:name="_Toc296891241"/>
      <w:bookmarkStart w:id="243" w:name="_Toc297123550"/>
      <w:bookmarkStart w:id="244" w:name="_Toc312678039"/>
      <w:bookmarkStart w:id="245" w:name="_Toc300935000"/>
      <w:bookmarkStart w:id="246" w:name="_Toc297120501"/>
    </w:p>
    <w:p>
      <w:pPr>
        <w:numPr>
          <w:ilvl w:val="0"/>
          <w:numId w:val="0"/>
        </w:num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 市场价格波动引起的调整</w:t>
      </w:r>
    </w:p>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Pr>
        <w:numPr>
          <w:ilvl w:val="0"/>
          <w:numId w:val="0"/>
        </w:numPr>
        <w:spacing w:line="400" w:lineRule="exact"/>
        <w:ind w:firstLine="420" w:firstLineChars="200"/>
        <w:rPr>
          <w:rFonts w:ascii="宋体" w:hAnsi="宋体" w:eastAsia="宋体" w:cs="宋体"/>
          <w:sz w:val="21"/>
          <w:szCs w:val="21"/>
        </w:rPr>
      </w:pPr>
      <w:r>
        <w:rPr>
          <w:rFonts w:hint="eastAsia" w:ascii="宋体" w:hAnsi="宋体" w:eastAsia="宋体" w:cs="宋体"/>
          <w:kern w:val="0"/>
          <w:sz w:val="21"/>
          <w:szCs w:val="21"/>
        </w:rPr>
        <w:t>市场价格波动是否调整合同价格的约定：</w:t>
      </w:r>
      <w:r>
        <w:rPr>
          <w:rFonts w:hint="eastAsia" w:ascii="宋体" w:hAnsi="宋体" w:eastAsia="宋体" w:cs="宋体"/>
          <w:sz w:val="21"/>
          <w:szCs w:val="21"/>
          <w:u w:val="single"/>
        </w:rPr>
        <w:t>人工、材料结算价格按以下方法调整。本条约定的调整时间均为在施工工期范围内。人工（含机上人工）调整的差价部分只计取税金及民工工伤保险费。</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因市场价格波动调整合同价格，采用以下第</w:t>
      </w:r>
      <w:r>
        <w:rPr>
          <w:rFonts w:hint="eastAsia" w:ascii="宋体" w:hAnsi="宋体" w:eastAsia="宋体" w:cs="宋体"/>
          <w:sz w:val="21"/>
          <w:szCs w:val="21"/>
          <w:u w:val="single"/>
        </w:rPr>
        <w:t xml:space="preserve">  2  </w:t>
      </w:r>
      <w:r>
        <w:rPr>
          <w:rFonts w:hint="eastAsia" w:ascii="宋体" w:hAnsi="宋体" w:eastAsia="宋体" w:cs="宋体"/>
          <w:sz w:val="21"/>
          <w:szCs w:val="21"/>
        </w:rPr>
        <w:t>种方式对合同价格进行调整：</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第1种方式：采用价格指数进行价格调整。</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第2种方式：本工程的人工、材料结算单价，按施工期内的信息价《台州造价（正刊）》（工程所在地）的平均值计算。</w:t>
      </w:r>
    </w:p>
    <w:p>
      <w:pPr>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第3种方式：其他价格调整方式：</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11.2 法律变化引起的调整 ：</w:t>
      </w:r>
      <w:r>
        <w:rPr>
          <w:rFonts w:hint="eastAsia" w:ascii="宋体" w:hAnsi="宋体" w:eastAsia="宋体" w:cs="宋体"/>
          <w:sz w:val="21"/>
          <w:szCs w:val="21"/>
          <w:u w:val="single"/>
        </w:rPr>
        <w:t xml:space="preserve"> 按省级或行业建设主管部门或其授权的工程造价管理机构发布的规定执行。</w:t>
      </w:r>
    </w:p>
    <w:p>
      <w:pPr>
        <w:spacing w:line="360" w:lineRule="exact"/>
        <w:ind w:firstLine="420" w:firstLineChars="200"/>
        <w:rPr>
          <w:bCs/>
          <w:szCs w:val="21"/>
        </w:rPr>
      </w:pPr>
      <w:r>
        <w:rPr>
          <w:bCs/>
          <w:szCs w:val="21"/>
        </w:rPr>
        <w:t>12. 合同价格、计量与支付</w:t>
      </w:r>
    </w:p>
    <w:p>
      <w:pPr>
        <w:spacing w:line="400" w:lineRule="exact"/>
        <w:ind w:firstLine="420" w:firstLineChars="200"/>
        <w:rPr>
          <w:rFonts w:hint="eastAsia" w:ascii="宋体" w:hAnsi="宋体" w:eastAsia="宋体" w:cs="宋体"/>
          <w:kern w:val="0"/>
          <w:sz w:val="21"/>
          <w:szCs w:val="21"/>
          <w:lang w:val="en-US" w:eastAsia="zh-CN" w:bidi="ar-SA"/>
        </w:rPr>
      </w:pPr>
      <w:bookmarkStart w:id="247" w:name="_Toc312678042"/>
      <w:bookmarkStart w:id="248" w:name="_Toc300935004"/>
      <w:bookmarkStart w:id="249" w:name="_Toc304295581"/>
      <w:bookmarkStart w:id="250" w:name="_Toc303539161"/>
      <w:bookmarkStart w:id="251" w:name="_Toc297123554"/>
      <w:bookmarkStart w:id="252" w:name="_Toc297216213"/>
      <w:bookmarkStart w:id="253" w:name="_Toc296503207"/>
      <w:bookmarkStart w:id="254" w:name="_Toc297048393"/>
      <w:bookmarkStart w:id="255" w:name="_Toc296891247"/>
      <w:bookmarkStart w:id="256" w:name="_Toc296347206"/>
      <w:bookmarkStart w:id="257" w:name="_Toc297120507"/>
      <w:bookmarkStart w:id="258" w:name="_Toc296944546"/>
      <w:bookmarkStart w:id="259" w:name="_Toc296346708"/>
      <w:bookmarkStart w:id="260" w:name="_Toc292559412"/>
      <w:bookmarkStart w:id="261" w:name="_Toc296891035"/>
      <w:bookmarkStart w:id="262" w:name="_Toc292559917"/>
      <w:r>
        <w:rPr>
          <w:rFonts w:hint="eastAsia" w:ascii="宋体" w:hAnsi="宋体" w:eastAsia="宋体" w:cs="宋体"/>
          <w:kern w:val="0"/>
          <w:sz w:val="21"/>
          <w:szCs w:val="21"/>
          <w:lang w:val="en-US" w:eastAsia="zh-CN" w:bidi="ar-SA"/>
        </w:rPr>
        <w:t>12.1 合同价格形式</w:t>
      </w:r>
    </w:p>
    <w:p>
      <w:pPr>
        <w:pStyle w:val="29"/>
        <w:adjustRightInd w:val="0"/>
        <w:spacing w:line="400" w:lineRule="exact"/>
        <w:ind w:firstLine="420" w:firstLineChars="200"/>
        <w:rPr>
          <w:rFonts w:hAnsi="宋体" w:eastAsia="宋体" w:cs="宋体"/>
          <w:kern w:val="0"/>
          <w:sz w:val="21"/>
          <w:szCs w:val="21"/>
        </w:rPr>
      </w:pPr>
      <w:r>
        <w:rPr>
          <w:rFonts w:hint="eastAsia" w:hAnsi="宋体" w:eastAsia="宋体" w:cs="宋体"/>
          <w:kern w:val="0"/>
          <w:sz w:val="21"/>
          <w:szCs w:val="21"/>
        </w:rPr>
        <w:t>本合同价款采用第</w:t>
      </w:r>
      <w:r>
        <w:rPr>
          <w:rFonts w:hint="eastAsia" w:hAnsi="宋体" w:eastAsia="宋体" w:cs="宋体"/>
          <w:kern w:val="0"/>
          <w:sz w:val="21"/>
          <w:szCs w:val="21"/>
          <w:u w:val="single"/>
        </w:rPr>
        <w:t xml:space="preserve">  3  </w:t>
      </w:r>
      <w:r>
        <w:rPr>
          <w:rFonts w:hint="eastAsia" w:hAnsi="宋体" w:eastAsia="宋体" w:cs="宋体"/>
          <w:kern w:val="0"/>
          <w:sz w:val="21"/>
          <w:szCs w:val="21"/>
        </w:rPr>
        <w:t>种方式</w:t>
      </w:r>
      <w:r>
        <w:rPr>
          <w:rFonts w:hint="eastAsia" w:hAnsi="宋体" w:eastAsia="宋体" w:cs="宋体"/>
          <w:sz w:val="21"/>
          <w:szCs w:val="21"/>
          <w:u w:val="single"/>
        </w:rPr>
        <w:t>其他价格形式合同</w:t>
      </w:r>
      <w:r>
        <w:rPr>
          <w:rFonts w:hint="eastAsia" w:hAnsi="宋体" w:eastAsia="宋体" w:cs="宋体"/>
          <w:kern w:val="0"/>
          <w:sz w:val="21"/>
          <w:szCs w:val="21"/>
        </w:rPr>
        <w:t>确定。</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1.单价合同：</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tabs>
          <w:tab w:val="left" w:pos="0"/>
        </w:tabs>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2.总价合同：</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总价包含的风险范围：</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风险费用的计算方法：</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风险范围以外合同价格的调整方法：</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tabs>
          <w:tab w:val="left" w:pos="0"/>
        </w:tabs>
        <w:spacing w:line="400" w:lineRule="exact"/>
        <w:ind w:firstLine="420" w:firstLineChars="200"/>
        <w:rPr>
          <w:rFonts w:ascii="宋体" w:hAnsi="宋体" w:eastAsia="宋体" w:cs="宋体"/>
          <w:sz w:val="21"/>
          <w:szCs w:val="21"/>
          <w:highlight w:val="yellow"/>
        </w:rPr>
      </w:pPr>
      <w:r>
        <w:rPr>
          <w:rFonts w:hint="eastAsia" w:ascii="宋体" w:hAnsi="宋体" w:eastAsia="宋体" w:cs="宋体"/>
          <w:sz w:val="21"/>
          <w:szCs w:val="21"/>
        </w:rPr>
        <w:t>3.其他价格形</w:t>
      </w:r>
      <w:r>
        <w:rPr>
          <w:rFonts w:hint="eastAsia" w:ascii="宋体" w:hAnsi="宋体" w:eastAsia="宋体" w:cs="宋体"/>
          <w:sz w:val="21"/>
          <w:szCs w:val="21"/>
          <w:highlight w:val="none"/>
        </w:rPr>
        <w:t>式：</w:t>
      </w:r>
      <w:r>
        <w:rPr>
          <w:rFonts w:hint="eastAsia" w:ascii="宋体" w:hAnsi="宋体" w:eastAsia="宋体" w:cs="宋体"/>
          <w:kern w:val="0"/>
          <w:sz w:val="21"/>
          <w:szCs w:val="21"/>
          <w:highlight w:val="none"/>
          <w:u w:val="single"/>
        </w:rPr>
        <w:t>工程造价按工程预算定额计价乘以结算率（1-下浮率）确定。</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合同约定的风险范围：</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本工程结算价的计算方式按以下第（1）约定工程造价计算规则，结合投标工程结算率和市场价格波动调整办法计算工程造价。除风险范围以外约定调整外，以下内容按承包人的投标承诺不作调整：</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（1）《浙江省建设工程计价规则》(2018版)、</w:t>
      </w:r>
      <w:r>
        <w:rPr>
          <w:rFonts w:hint="eastAsia" w:hAnsi="宋体" w:eastAsia="宋体" w:cs="宋体"/>
          <w:sz w:val="21"/>
          <w:szCs w:val="21"/>
          <w:u w:val="single"/>
        </w:rPr>
        <w:t>《浙江省建设工程施工取费定额》（2018版）、</w:t>
      </w:r>
      <w:r>
        <w:rPr>
          <w:rFonts w:hint="eastAsia" w:hAnsi="宋体" w:eastAsia="宋体" w:cs="宋体"/>
          <w:kern w:val="0"/>
          <w:sz w:val="21"/>
          <w:szCs w:val="21"/>
          <w:u w:val="single"/>
        </w:rPr>
        <w:t>《浙江省房屋建筑与装饰工程预算定额》(2018版)、《浙江省通用安装工程预算定额》(2018版)、《浙江省建设工程施工机械台班费用定额》(2018版)，有关补充定额、定额解释及工程所在地现行的有关工程造价方面规定及发包人提供的预算编制说明中规定的工程量计算规则计算，由承包人计量、发包人及有关部门审核。</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（2）工程结算率：           ；</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（3）施工组织措施项目内容及对应费率：                  ；</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（4）规费费率：         ；税金税率：                   ；</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（5）企业管理费、利润、施工组织措施费、规费的计算基数为人工及机械台班费，基数中单价按人工、机械台班的定额单价计算；</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（6）签证确定的某个施工内容的施工价（或工料机完全价）仅计算税金及工伤保险费，不纳入工程下浮率（或结算率计算）。</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无承包价（暂定价）或工程变更新增的单项材料、设备、专业分包工程由发包人签证或招标确定的价格，不纳入工程下浮率（或结算率）计算；</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（7）计日工综合单价（工数经发包人签证，综合单价按技术工260元/工日、普工180元/工日计取）；该项费用仅另计算税金。</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（8）其他可能发生的费用：</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b.实际施工中可能发生街道管理费、干扰费、环保费、占道押金等其它管理费。</w:t>
      </w:r>
    </w:p>
    <w:p>
      <w:pPr>
        <w:pStyle w:val="29"/>
        <w:widowControl/>
        <w:adjustRightInd w:val="0"/>
        <w:spacing w:line="400" w:lineRule="exact"/>
        <w:ind w:firstLine="420" w:firstLineChars="200"/>
        <w:rPr>
          <w:rFonts w:hAnsi="宋体" w:eastAsia="宋体" w:cs="宋体"/>
          <w:kern w:val="0"/>
          <w:sz w:val="21"/>
          <w:szCs w:val="21"/>
          <w:u w:val="single"/>
        </w:rPr>
      </w:pPr>
      <w:r>
        <w:rPr>
          <w:rFonts w:hint="eastAsia" w:hAnsi="宋体" w:eastAsia="宋体" w:cs="宋体"/>
          <w:kern w:val="0"/>
          <w:sz w:val="21"/>
          <w:szCs w:val="21"/>
          <w:u w:val="single"/>
        </w:rPr>
        <w:t>c.机械运杂费：大型机械进出场费和大型机械安拆费一次性包死，不论实际用于本工程的机械设备是否增加或变动，均不予调整，投标人投标时综合考虑。</w:t>
      </w:r>
    </w:p>
    <w:p>
      <w:pPr>
        <w:spacing w:line="400" w:lineRule="exact"/>
        <w:ind w:firstLine="420" w:firstLineChars="200"/>
        <w:rPr>
          <w:rFonts w:ascii="宋体" w:hAnsi="宋体" w:eastAsia="宋体" w:cs="宋体"/>
          <w:kern w:val="0"/>
          <w:sz w:val="21"/>
          <w:szCs w:val="21"/>
          <w:u w:val="single"/>
        </w:rPr>
      </w:pPr>
      <w:r>
        <w:rPr>
          <w:rFonts w:hint="eastAsia" w:ascii="宋体" w:hAnsi="宋体" w:eastAsia="宋体" w:cs="宋体"/>
          <w:kern w:val="0"/>
          <w:sz w:val="21"/>
          <w:szCs w:val="21"/>
          <w:u w:val="single"/>
        </w:rPr>
        <w:t>风险费用的计算方法：已包含在合同价内。</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风险范围以外合同价格的调整方法：</w:t>
      </w:r>
    </w:p>
    <w:p>
      <w:pPr>
        <w:autoSpaceDE w:val="0"/>
        <w:autoSpaceDN w:val="0"/>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u w:val="single"/>
          <w:lang w:val="zh-CN"/>
        </w:rPr>
        <w:t>（1）</w:t>
      </w:r>
      <w:r>
        <w:rPr>
          <w:rFonts w:hint="eastAsia" w:ascii="宋体" w:hAnsi="宋体" w:eastAsia="宋体" w:cs="宋体"/>
          <w:sz w:val="21"/>
          <w:szCs w:val="21"/>
          <w:u w:val="single"/>
        </w:rPr>
        <w:t>工程量按照《浙江省建设工程计价规则》(2018版)、《浙江省建设工程施工机械台班费用》(2018版)、《浙江省房屋建筑与装饰工程预算定额》(2018版)、《浙江省通用安装工程预算定额》(2018版)、《浙江省建设工程施工机械台班费用定额》(2018版)，有关补充定额、定额解释及工程所在地现行的有关工程造价方面规定及发包人提供的预算编制说明中规定的工程量计算规则计算，由承包人计量、发包人及有关部门审核。</w:t>
      </w:r>
    </w:p>
    <w:p>
      <w:pPr>
        <w:autoSpaceDE w:val="0"/>
        <w:autoSpaceDN w:val="0"/>
        <w:spacing w:line="400" w:lineRule="exact"/>
        <w:ind w:firstLine="420" w:firstLineChars="200"/>
        <w:rPr>
          <w:rFonts w:ascii="宋体" w:hAnsi="宋体" w:eastAsia="宋体" w:cs="宋体"/>
          <w:sz w:val="21"/>
          <w:szCs w:val="21"/>
          <w:u w:val="single"/>
          <w:lang w:val="zh-CN"/>
        </w:rPr>
      </w:pPr>
      <w:r>
        <w:rPr>
          <w:rFonts w:hint="eastAsia" w:ascii="宋体" w:hAnsi="宋体" w:eastAsia="宋体" w:cs="宋体"/>
          <w:sz w:val="21"/>
          <w:szCs w:val="21"/>
          <w:u w:val="single"/>
        </w:rPr>
        <w:t>（2）</w:t>
      </w:r>
      <w:r>
        <w:rPr>
          <w:rFonts w:hint="eastAsia" w:ascii="宋体" w:hAnsi="宋体" w:eastAsia="宋体" w:cs="宋体"/>
          <w:kern w:val="0"/>
          <w:sz w:val="21"/>
          <w:szCs w:val="21"/>
          <w:u w:val="single"/>
        </w:rPr>
        <w:t>因市场价格波动引起人工、材料价格变化的调整，按</w:t>
      </w:r>
      <w:r>
        <w:rPr>
          <w:rFonts w:hint="eastAsia" w:ascii="宋体" w:hAnsi="宋体" w:eastAsia="宋体" w:cs="宋体"/>
          <w:sz w:val="21"/>
          <w:szCs w:val="21"/>
          <w:u w:val="single"/>
        </w:rPr>
        <w:t>本专用合同条款第11.1款约定调整。</w:t>
      </w:r>
    </w:p>
    <w:p>
      <w:pPr>
        <w:autoSpaceDE w:val="0"/>
        <w:autoSpaceDN w:val="0"/>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u w:val="single"/>
        </w:rPr>
        <w:t>（3）未在投标价中包含的专项施工方案的施工及论证费用，根据施工现场实际按照合同约定方法确定费用或签证。</w:t>
      </w:r>
    </w:p>
    <w:p>
      <w:pPr>
        <w:autoSpaceDE w:val="0"/>
        <w:autoSpaceDN w:val="0"/>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u w:val="single"/>
        </w:rPr>
        <w:t>（4）政策性调整及各级建设行政主管部门发布的计价依据调整按规定调整。</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12.2 预付款</w:t>
      </w:r>
    </w:p>
    <w:bookmarkEnd w:id="247"/>
    <w:bookmarkEnd w:id="248"/>
    <w:bookmarkEnd w:id="249"/>
    <w:bookmarkEnd w:id="250"/>
    <w:bookmarkEnd w:id="251"/>
    <w:bookmarkEnd w:id="252"/>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12.2.1 预付款的支付</w:t>
      </w:r>
    </w:p>
    <w:p>
      <w:pPr>
        <w:spacing w:line="36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预付款支付比例或金额：</w:t>
      </w:r>
      <w:r>
        <w:rPr>
          <w:rFonts w:hint="eastAsia" w:ascii="宋体" w:hAnsi="宋体" w:eastAsia="宋体" w:cs="宋体"/>
          <w:color w:val="auto"/>
          <w:sz w:val="21"/>
          <w:szCs w:val="21"/>
          <w:u w:val="single"/>
        </w:rPr>
        <w:t>签约合同价的40%，金额       元。包含专用条款6.1.6条所列的安全文明施工费。</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预付款支付期限：</w:t>
      </w:r>
      <w:r>
        <w:rPr>
          <w:rFonts w:hint="eastAsia" w:ascii="宋体" w:hAnsi="宋体" w:eastAsia="宋体" w:cs="宋体"/>
          <w:color w:val="auto"/>
          <w:sz w:val="21"/>
          <w:szCs w:val="21"/>
          <w:u w:val="single"/>
        </w:rPr>
        <w:t xml:space="preserve"> 按投标承诺的人员、机械设备进场后7天内 </w:t>
      </w:r>
      <w:r>
        <w:rPr>
          <w:rFonts w:hint="eastAsia" w:ascii="宋体" w:hAnsi="宋体" w:eastAsia="宋体" w:cs="宋体"/>
          <w:color w:val="auto"/>
          <w:sz w:val="21"/>
          <w:szCs w:val="21"/>
        </w:rPr>
        <w:t>。</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预付款扣回的方式：</w:t>
      </w:r>
      <w:r>
        <w:rPr>
          <w:rFonts w:hint="eastAsia" w:ascii="宋体" w:hAnsi="宋体" w:eastAsia="宋体" w:cs="宋体"/>
          <w:color w:val="auto"/>
          <w:sz w:val="21"/>
          <w:szCs w:val="21"/>
          <w:u w:val="single"/>
        </w:rPr>
        <w:t>不扣回，作为工程款</w:t>
      </w:r>
      <w:r>
        <w:rPr>
          <w:rFonts w:hint="eastAsia" w:ascii="宋体" w:hAnsi="宋体" w:cs="宋体"/>
          <w:color w:val="auto"/>
          <w:sz w:val="21"/>
          <w:szCs w:val="21"/>
          <w:u w:val="single"/>
          <w:lang w:eastAsia="zh-CN"/>
        </w:rPr>
        <w:t>，</w:t>
      </w:r>
      <w:r>
        <w:rPr>
          <w:rFonts w:hint="eastAsia" w:ascii="宋体" w:hAnsi="宋体" w:eastAsia="宋体" w:cs="宋体"/>
          <w:color w:val="auto"/>
          <w:sz w:val="21"/>
          <w:szCs w:val="21"/>
          <w:u w:val="single"/>
        </w:rPr>
        <w:t>不抵扣每期应付进度款</w:t>
      </w:r>
      <w:r>
        <w:rPr>
          <w:rFonts w:hint="eastAsia" w:ascii="宋体" w:hAnsi="宋体" w:eastAsia="宋体" w:cs="宋体"/>
          <w:color w:val="auto"/>
          <w:sz w:val="21"/>
          <w:szCs w:val="21"/>
        </w:rPr>
        <w:t>。</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12.2.2 预付款担保</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承包人提交预付款担保的期限：</w:t>
      </w:r>
      <w:r>
        <w:rPr>
          <w:rFonts w:hint="eastAsia" w:ascii="宋体" w:hAnsi="宋体" w:eastAsia="宋体" w:cs="宋体"/>
          <w:color w:val="auto"/>
          <w:sz w:val="21"/>
          <w:szCs w:val="21"/>
          <w:u w:val="single"/>
        </w:rPr>
        <w:t xml:space="preserve">按投标承诺的人员、机械设备进场后7天内 </w:t>
      </w:r>
      <w:r>
        <w:rPr>
          <w:rFonts w:hint="eastAsia" w:ascii="宋体" w:hAnsi="宋体" w:eastAsia="宋体" w:cs="宋体"/>
          <w:color w:val="auto"/>
          <w:sz w:val="21"/>
          <w:szCs w:val="21"/>
        </w:rPr>
        <w:t>。</w:t>
      </w:r>
    </w:p>
    <w:p>
      <w:pPr>
        <w:spacing w:line="36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预付款担保的形式为：</w:t>
      </w:r>
      <w:r>
        <w:rPr>
          <w:rFonts w:hint="eastAsia" w:ascii="宋体" w:hAnsi="宋体" w:eastAsia="宋体" w:cs="宋体"/>
          <w:color w:val="auto"/>
          <w:sz w:val="21"/>
          <w:szCs w:val="21"/>
          <w:u w:val="single"/>
        </w:rPr>
        <w:t>预付款担保可以用银行、保险公司、融资担保公司出具的预付款保函。</w:t>
      </w:r>
    </w:p>
    <w:bookmarkEnd w:id="253"/>
    <w:bookmarkEnd w:id="254"/>
    <w:bookmarkEnd w:id="255"/>
    <w:bookmarkEnd w:id="256"/>
    <w:bookmarkEnd w:id="257"/>
    <w:bookmarkEnd w:id="258"/>
    <w:bookmarkEnd w:id="259"/>
    <w:bookmarkEnd w:id="260"/>
    <w:bookmarkEnd w:id="261"/>
    <w:bookmarkEnd w:id="262"/>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12.3 计量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12.3.1 计量原则</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按照发包人提供的预算编制说明中规定的工程量计算规则计算。以上规定的工程量计算规则中没有的子目，其工程量按照有合同约束力的图纸所标示尺寸的理论净量计算。计量采用中华人民共和国法定的基本计量单位。</w:t>
      </w:r>
    </w:p>
    <w:p>
      <w:pPr>
        <w:spacing w:line="360" w:lineRule="exact"/>
        <w:ind w:firstLine="420" w:firstLineChars="200"/>
        <w:rPr>
          <w:rFonts w:hint="eastAsia" w:ascii="宋体" w:hAnsi="宋体" w:eastAsia="宋体" w:cs="宋体"/>
          <w:sz w:val="21"/>
          <w:szCs w:val="21"/>
          <w:u w:val="single"/>
        </w:rPr>
      </w:pP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12.3.2 计量周期：</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关于计量周期的约定：</w:t>
      </w:r>
      <w:r>
        <w:rPr>
          <w:rFonts w:hint="eastAsia" w:ascii="宋体" w:hAnsi="宋体" w:eastAsia="宋体" w:cs="宋体"/>
          <w:sz w:val="21"/>
          <w:szCs w:val="21"/>
          <w:u w:val="single"/>
          <w:lang w:val="en-US" w:eastAsia="zh-CN"/>
        </w:rPr>
        <w:t xml:space="preserve">  竣工后一次性计量 </w:t>
      </w:r>
      <w:r>
        <w:rPr>
          <w:rFonts w:hint="eastAsia" w:ascii="宋体" w:hAnsi="宋体" w:eastAsia="宋体" w:cs="宋体"/>
          <w:sz w:val="21"/>
          <w:szCs w:val="21"/>
          <w:u w:val="single"/>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12.3.3 单价合同的计量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关于单价合同计量的约定</w:t>
      </w:r>
      <w:r>
        <w:rPr>
          <w:rFonts w:hint="eastAsia" w:ascii="宋体" w:hAnsi="宋体" w:eastAsia="宋体" w:cs="宋体"/>
          <w:sz w:val="21"/>
          <w:szCs w:val="21"/>
          <w:u w:val="single"/>
        </w:rPr>
        <w:t>：按合同通用条款执行</w:t>
      </w:r>
      <w:r>
        <w:rPr>
          <w:rFonts w:hint="eastAsia" w:ascii="宋体" w:hAnsi="宋体" w:eastAsia="宋体" w:cs="宋体"/>
          <w:sz w:val="21"/>
          <w:szCs w:val="21"/>
          <w:u w:val="single"/>
          <w:lang w:eastAsia="zh-CN"/>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12.3.4 总价合同的计量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关于总价合同计量的约定：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12.3.5总价合同采用支付分解表计量支付的，是否适用第12.3.4 项〔总价合同的计量〕约定进行计量：</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12.3.6 其他价格形式合同的计量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其他价格形式的计量方式和程序：</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12.4 工程进度款支付</w:t>
      </w:r>
    </w:p>
    <w:p>
      <w:pPr>
        <w:spacing w:line="360" w:lineRule="exact"/>
        <w:ind w:firstLine="420" w:firstLineChars="200"/>
        <w:rPr>
          <w:rFonts w:hint="eastAsia" w:ascii="宋体" w:hAnsi="宋体" w:eastAsia="宋体" w:cs="宋体"/>
          <w:sz w:val="21"/>
          <w:szCs w:val="21"/>
        </w:rPr>
      </w:pPr>
      <w:bookmarkStart w:id="263" w:name="_Toc300935006"/>
      <w:bookmarkStart w:id="264" w:name="_Toc303539163"/>
      <w:bookmarkStart w:id="265" w:name="_Toc292559921"/>
      <w:bookmarkStart w:id="266" w:name="_Toc292559416"/>
      <w:bookmarkStart w:id="267" w:name="_Toc297216215"/>
      <w:bookmarkStart w:id="268" w:name="_Toc297048397"/>
      <w:bookmarkStart w:id="269" w:name="_Toc296891039"/>
      <w:bookmarkStart w:id="270" w:name="_Toc297120511"/>
      <w:bookmarkStart w:id="271" w:name="_Toc296891251"/>
      <w:bookmarkStart w:id="272" w:name="_Toc297123556"/>
      <w:bookmarkStart w:id="273" w:name="_Toc296347210"/>
      <w:bookmarkStart w:id="274" w:name="_Toc296944550"/>
      <w:bookmarkStart w:id="275" w:name="_Toc296346712"/>
      <w:bookmarkStart w:id="276" w:name="_Toc296503211"/>
      <w:r>
        <w:rPr>
          <w:rFonts w:hint="eastAsia" w:ascii="宋体" w:hAnsi="宋体" w:eastAsia="宋体" w:cs="宋体"/>
          <w:sz w:val="21"/>
          <w:szCs w:val="21"/>
        </w:rPr>
        <w:t>12.4.1 付款周期</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关于付款周期的约定：</w:t>
      </w:r>
      <w:r>
        <w:rPr>
          <w:rFonts w:hint="eastAsia"/>
          <w:szCs w:val="21"/>
          <w:u w:val="single"/>
        </w:rPr>
        <w:t>按形象进度支付</w:t>
      </w:r>
      <w:r>
        <w:rPr>
          <w:rFonts w:hint="eastAsia" w:ascii="宋体" w:hAnsi="宋体" w:eastAsia="宋体" w:cs="宋体"/>
          <w:sz w:val="21"/>
          <w:szCs w:val="21"/>
          <w:u w:val="single"/>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12.4.2 进度付款申请单的编制</w:t>
      </w:r>
    </w:p>
    <w:p>
      <w:pPr>
        <w:spacing w:line="360" w:lineRule="exact"/>
        <w:ind w:firstLine="420" w:firstLineChars="200"/>
        <w:rPr>
          <w:rFonts w:hint="eastAsia" w:ascii="宋体" w:hAnsi="宋体" w:eastAsia="宋体" w:cs="宋体"/>
          <w:color w:val="0000FF"/>
          <w:sz w:val="21"/>
          <w:szCs w:val="21"/>
          <w:u w:val="single"/>
        </w:rPr>
      </w:pPr>
      <w:r>
        <w:rPr>
          <w:rFonts w:hint="eastAsia" w:ascii="宋体" w:hAnsi="宋体" w:eastAsia="宋体" w:cs="宋体"/>
          <w:sz w:val="21"/>
          <w:szCs w:val="21"/>
        </w:rPr>
        <w:t>关于进度付款申请单编制的约定：</w:t>
      </w:r>
      <w:r>
        <w:rPr>
          <w:rFonts w:hint="eastAsia" w:ascii="宋体" w:hAnsi="宋体" w:eastAsia="宋体" w:cs="宋体"/>
          <w:color w:val="auto"/>
          <w:sz w:val="21"/>
          <w:szCs w:val="21"/>
          <w:u w:val="single"/>
        </w:rPr>
        <w:t>合同范围内施工内容施工完成，参建各方（建设、监理、施工、设计单位等）对工程验收并签署工程质量合格文件后，支付至合同价的85%。工程</w:t>
      </w:r>
      <w:r>
        <w:rPr>
          <w:rFonts w:hint="eastAsia" w:ascii="宋体" w:hAnsi="宋体" w:cs="宋体"/>
          <w:color w:val="auto"/>
          <w:sz w:val="21"/>
          <w:szCs w:val="21"/>
          <w:u w:val="single"/>
          <w:lang w:eastAsia="zh-CN"/>
        </w:rPr>
        <w:t>完</w:t>
      </w:r>
      <w:r>
        <w:rPr>
          <w:rFonts w:hint="eastAsia" w:ascii="宋体" w:hAnsi="宋体" w:eastAsia="宋体" w:cs="宋体"/>
          <w:color w:val="auto"/>
          <w:sz w:val="21"/>
          <w:szCs w:val="21"/>
          <w:u w:val="single"/>
        </w:rPr>
        <w:t>工验收合格及承包人结算报送并经发包人或相关部门审核后，</w:t>
      </w:r>
      <w:r>
        <w:rPr>
          <w:rFonts w:hint="eastAsia" w:ascii="宋体" w:hAnsi="宋体" w:eastAsia="宋体" w:cs="宋体"/>
          <w:color w:val="auto"/>
          <w:sz w:val="21"/>
          <w:szCs w:val="21"/>
          <w:u w:val="single"/>
          <w:lang w:eastAsia="zh-CN"/>
        </w:rPr>
        <w:t>付清剩余款项</w:t>
      </w:r>
      <w:r>
        <w:rPr>
          <w:rFonts w:hint="eastAsia" w:ascii="宋体" w:hAnsi="宋体" w:eastAsia="宋体" w:cs="宋体"/>
          <w:color w:val="auto"/>
          <w:sz w:val="21"/>
          <w:szCs w:val="21"/>
          <w:u w:val="single"/>
          <w:lang w:val="en-US" w:eastAsia="zh-CN"/>
        </w:rPr>
        <w:t>。</w:t>
      </w:r>
    </w:p>
    <w:bookmarkEnd w:id="230"/>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12.4.3 进度付款申请单的提交</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（1）单价合同进度付款申请单提交的约定：</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（2）总价合同进度付款申请单提交的约定：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（3）其他价格形式合同进度付款申请单提交的约定：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12.4.4 进度款审核和支付</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（1）监理人审查并报送发包人的期限：</w:t>
      </w:r>
      <w:r>
        <w:rPr>
          <w:rFonts w:hint="eastAsia" w:ascii="宋体" w:hAnsi="宋体" w:eastAsia="宋体" w:cs="宋体"/>
          <w:sz w:val="21"/>
          <w:szCs w:val="21"/>
          <w:u w:val="single"/>
        </w:rPr>
        <w:t xml:space="preserve">按合同通用条款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发包人完成审批并签发进度款支付证书的期限：</w:t>
      </w:r>
      <w:r>
        <w:rPr>
          <w:rFonts w:hint="eastAsia" w:ascii="宋体" w:hAnsi="宋体" w:eastAsia="宋体" w:cs="宋体"/>
          <w:sz w:val="21"/>
          <w:szCs w:val="21"/>
          <w:u w:val="single"/>
        </w:rPr>
        <w:t>按合同通用条款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（2）发包人支付进度款的期限：</w:t>
      </w:r>
      <w:r>
        <w:rPr>
          <w:rFonts w:hint="eastAsia" w:ascii="宋体" w:hAnsi="宋体" w:eastAsia="宋体" w:cs="宋体"/>
          <w:sz w:val="21"/>
          <w:szCs w:val="21"/>
          <w:u w:val="single"/>
        </w:rPr>
        <w:t>在发包人确认计量结果后14天内完成支付。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发包人逾期支付进度款的违约金的计算方式：</w:t>
      </w:r>
      <w:r>
        <w:rPr>
          <w:rFonts w:hint="eastAsia" w:ascii="宋体" w:hAnsi="宋体" w:eastAsia="宋体" w:cs="宋体"/>
          <w:sz w:val="21"/>
          <w:szCs w:val="21"/>
          <w:u w:val="single"/>
        </w:rPr>
        <w:t>支付应付工程进度款的利息，利率按同期全国银行间同业拆借中心公布的贷款市场报价利率，时间为从约定应付之日起至支付之日止计算利息。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u w:val="single"/>
        </w:rPr>
        <w:t>发包人签发的工程量审核报告、 进度款支付证书或临时进度款支付证书，仅为本期工程进度款支付依据，不作为发包人已同意、批准或接受了承包人完成的相应部分工作或已确认计量结果。</w:t>
      </w:r>
    </w:p>
    <w:p>
      <w:pPr>
        <w:spacing w:line="36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12.4.6 支付分解表的编制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2、总价合同支付分解表的编制与审批： </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3、单价合同的总价项目支付分解表的编制与审批：</w:t>
      </w:r>
      <w:r>
        <w:rPr>
          <w:rFonts w:hint="eastAsia" w:ascii="宋体" w:hAnsi="宋体" w:eastAsia="宋体" w:cs="宋体"/>
          <w:sz w:val="21"/>
          <w:szCs w:val="21"/>
          <w:u w:val="single"/>
        </w:rPr>
        <w:t>按通用条款执行。</w:t>
      </w:r>
    </w:p>
    <w:p>
      <w:pPr>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12.5 支付账户</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single"/>
        </w:rPr>
        <w:t>发包人将当期应付工程进度款的(20)% 拨付到承包人的农民工工资专用账</w:t>
      </w:r>
      <w:r>
        <w:rPr>
          <w:rFonts w:hint="eastAsia" w:ascii="宋体" w:hAnsi="宋体" w:eastAsia="宋体" w:cs="宋体"/>
          <w:sz w:val="21"/>
          <w:szCs w:val="21"/>
        </w:rPr>
        <w:t>户：</w:t>
      </w:r>
      <w:r>
        <w:rPr>
          <w:rFonts w:hint="eastAsia" w:ascii="宋体" w:hAnsi="宋体" w:eastAsia="宋体" w:cs="宋体"/>
          <w:sz w:val="21"/>
          <w:szCs w:val="21"/>
          <w:u w:val="single"/>
        </w:rPr>
        <w:t xml:space="preserve">                                        ；</w:t>
      </w:r>
      <w:r>
        <w:rPr>
          <w:rFonts w:hint="eastAsia" w:ascii="宋体" w:hAnsi="宋体" w:eastAsia="宋体" w:cs="宋体"/>
          <w:sz w:val="21"/>
          <w:szCs w:val="21"/>
        </w:rPr>
        <w:t>其余合同价款支付至合同协议书中约定的承包人账户。</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如承包人因经营需要将合同价款支付至其他指定账户时，应向发包人书面申请，并由承包人法定代表人或授权代表签字、盖章。</w:t>
      </w:r>
    </w:p>
    <w:p>
      <w:pPr>
        <w:spacing w:line="360" w:lineRule="exact"/>
        <w:ind w:firstLine="422" w:firstLineChars="200"/>
        <w:rPr>
          <w:rFonts w:hint="eastAsia" w:ascii="宋体" w:hAnsi="宋体" w:eastAsia="宋体" w:cs="宋体"/>
          <w:b/>
          <w:bCs/>
          <w:sz w:val="21"/>
          <w:szCs w:val="21"/>
        </w:rPr>
      </w:pPr>
      <w:bookmarkStart w:id="277" w:name="_Toc351203645"/>
      <w:bookmarkStart w:id="278" w:name="_Toc304295593"/>
      <w:bookmarkStart w:id="279" w:name="_Toc292559424"/>
      <w:bookmarkStart w:id="280" w:name="_Toc297048405"/>
      <w:bookmarkStart w:id="281" w:name="_Toc296347218"/>
      <w:bookmarkStart w:id="282" w:name="_Toc297120519"/>
      <w:bookmarkStart w:id="283" w:name="_Toc312678053"/>
      <w:bookmarkStart w:id="284" w:name="_Toc292559929"/>
      <w:bookmarkStart w:id="285" w:name="_Toc296891047"/>
      <w:bookmarkStart w:id="286" w:name="_Toc300935015"/>
      <w:bookmarkStart w:id="287" w:name="_Toc296346720"/>
      <w:bookmarkStart w:id="288" w:name="_Toc296503219"/>
      <w:bookmarkStart w:id="289" w:name="_Toc303539172"/>
      <w:bookmarkStart w:id="290" w:name="_Toc297123564"/>
      <w:bookmarkStart w:id="291" w:name="_Toc296891259"/>
      <w:bookmarkStart w:id="292" w:name="_Toc297216223"/>
      <w:bookmarkStart w:id="293" w:name="_Toc296944558"/>
      <w:r>
        <w:rPr>
          <w:rFonts w:hint="eastAsia" w:ascii="宋体" w:hAnsi="宋体" w:eastAsia="宋体" w:cs="宋体"/>
          <w:b/>
          <w:bCs/>
          <w:sz w:val="21"/>
          <w:szCs w:val="21"/>
        </w:rPr>
        <w:t>13. 验收和工程试车</w:t>
      </w:r>
      <w:bookmarkEnd w:id="277"/>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line="360" w:lineRule="exact"/>
        <w:ind w:firstLine="420" w:firstLineChars="200"/>
        <w:rPr>
          <w:rFonts w:hint="eastAsia" w:ascii="宋体" w:hAnsi="宋体" w:eastAsia="宋体" w:cs="宋体"/>
          <w:sz w:val="21"/>
          <w:szCs w:val="21"/>
        </w:rPr>
      </w:pPr>
      <w:bookmarkStart w:id="294" w:name="_Toc267251476"/>
      <w:bookmarkStart w:id="295" w:name="_Toc267251471"/>
      <w:bookmarkStart w:id="296" w:name="_Toc267251473"/>
      <w:bookmarkStart w:id="297" w:name="_Toc267251475"/>
      <w:bookmarkStart w:id="298" w:name="_Toc280868709"/>
      <w:bookmarkStart w:id="299" w:name="_Toc267251474"/>
      <w:bookmarkStart w:id="300" w:name="_Toc267251472"/>
      <w:bookmarkStart w:id="301" w:name="_Toc267251470"/>
      <w:r>
        <w:rPr>
          <w:rFonts w:hint="eastAsia" w:ascii="宋体" w:hAnsi="宋体" w:eastAsia="宋体" w:cs="宋体"/>
          <w:sz w:val="21"/>
          <w:szCs w:val="21"/>
        </w:rPr>
        <w:t>13.1 分部分项工程验收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13.1.2监理人不能按时进行验收时，应提前</w:t>
      </w:r>
      <w:r>
        <w:rPr>
          <w:rFonts w:hint="eastAsia" w:ascii="宋体" w:hAnsi="宋体" w:eastAsia="宋体" w:cs="宋体"/>
          <w:sz w:val="21"/>
          <w:szCs w:val="21"/>
          <w:u w:val="single"/>
        </w:rPr>
        <w:t xml:space="preserve">  24  </w:t>
      </w:r>
      <w:r>
        <w:rPr>
          <w:rFonts w:hint="eastAsia" w:ascii="宋体" w:hAnsi="宋体" w:eastAsia="宋体" w:cs="宋体"/>
          <w:sz w:val="21"/>
          <w:szCs w:val="21"/>
        </w:rPr>
        <w:t>小时提交书面延期要求。</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关于延期最长不得超过：</w:t>
      </w:r>
      <w:r>
        <w:rPr>
          <w:rFonts w:hint="eastAsia" w:ascii="宋体" w:hAnsi="宋体" w:eastAsia="宋体" w:cs="宋体"/>
          <w:sz w:val="21"/>
          <w:szCs w:val="21"/>
          <w:u w:val="single"/>
        </w:rPr>
        <w:t xml:space="preserve">  24 </w:t>
      </w:r>
      <w:r>
        <w:rPr>
          <w:rFonts w:hint="eastAsia" w:ascii="宋体" w:hAnsi="宋体" w:eastAsia="宋体" w:cs="宋体"/>
          <w:sz w:val="21"/>
          <w:szCs w:val="21"/>
        </w:rPr>
        <w:t>小时。</w:t>
      </w:r>
    </w:p>
    <w:p>
      <w:pPr>
        <w:spacing w:line="360" w:lineRule="exact"/>
        <w:ind w:firstLine="420" w:firstLineChars="200"/>
        <w:rPr>
          <w:rFonts w:hint="eastAsia" w:ascii="宋体" w:hAnsi="宋体" w:eastAsia="宋体" w:cs="宋体"/>
          <w:b/>
          <w:sz w:val="21"/>
          <w:szCs w:val="21"/>
          <w:u w:val="single"/>
        </w:rPr>
      </w:pPr>
      <w:r>
        <w:rPr>
          <w:rFonts w:hint="eastAsia" w:ascii="宋体" w:hAnsi="宋体" w:eastAsia="宋体" w:cs="宋体"/>
          <w:sz w:val="21"/>
          <w:szCs w:val="21"/>
          <w:u w:val="single"/>
        </w:rPr>
        <w:t>工程验收过程、验收部位除办理纸质验收记录，还应留置验收部位、验收过程、主要验收人员相片、影像等资料</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bookmarkStart w:id="302" w:name="_Toc312678056"/>
      <w:bookmarkStart w:id="303" w:name="_Toc296347222"/>
      <w:bookmarkStart w:id="304" w:name="_Toc297216224"/>
      <w:bookmarkStart w:id="305" w:name="_Toc304295596"/>
      <w:bookmarkStart w:id="306" w:name="_Toc296346724"/>
      <w:bookmarkStart w:id="307" w:name="_Toc296944562"/>
      <w:bookmarkStart w:id="308" w:name="_Toc297123565"/>
      <w:bookmarkStart w:id="309" w:name="_Toc300935016"/>
      <w:bookmarkStart w:id="310" w:name="_Toc296891051"/>
      <w:bookmarkStart w:id="311" w:name="_Toc297120523"/>
      <w:bookmarkStart w:id="312" w:name="_Toc292559933"/>
      <w:bookmarkStart w:id="313" w:name="_Toc292559428"/>
      <w:bookmarkStart w:id="314" w:name="_Toc296891263"/>
      <w:bookmarkStart w:id="315" w:name="_Toc296503223"/>
      <w:bookmarkStart w:id="316" w:name="_Toc297048409"/>
      <w:bookmarkStart w:id="317" w:name="_Toc303539173"/>
      <w:r>
        <w:rPr>
          <w:rFonts w:hint="eastAsia" w:ascii="宋体" w:hAnsi="宋体" w:eastAsia="宋体" w:cs="宋体"/>
          <w:sz w:val="21"/>
          <w:szCs w:val="21"/>
        </w:rPr>
        <w:t>13.2 竣工验收</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Pr>
        <w:spacing w:line="360" w:lineRule="exact"/>
        <w:ind w:firstLine="420" w:firstLineChars="200"/>
        <w:rPr>
          <w:rFonts w:hint="eastAsia" w:ascii="宋体" w:hAnsi="宋体" w:eastAsia="宋体" w:cs="宋体"/>
          <w:sz w:val="21"/>
          <w:szCs w:val="21"/>
        </w:rPr>
      </w:pPr>
      <w:bookmarkStart w:id="318" w:name="_Toc280868704"/>
      <w:bookmarkStart w:id="319" w:name="_Toc280868705"/>
      <w:bookmarkStart w:id="320" w:name="_Toc280868706"/>
      <w:bookmarkStart w:id="321" w:name="_Toc280868707"/>
      <w:bookmarkStart w:id="322" w:name="_Toc280868708"/>
      <w:r>
        <w:rPr>
          <w:rFonts w:hint="eastAsia" w:ascii="宋体" w:hAnsi="宋体" w:eastAsia="宋体" w:cs="宋体"/>
          <w:sz w:val="21"/>
          <w:szCs w:val="21"/>
        </w:rPr>
        <w:t>13.2.2竣工验收程序</w:t>
      </w:r>
    </w:p>
    <w:bookmarkEnd w:id="318"/>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关于竣工验收程序的约定：</w:t>
      </w:r>
      <w:r>
        <w:rPr>
          <w:rFonts w:hint="eastAsia" w:ascii="宋体" w:hAnsi="宋体" w:eastAsia="宋体" w:cs="宋体"/>
          <w:sz w:val="21"/>
          <w:szCs w:val="21"/>
          <w:u w:val="single"/>
        </w:rPr>
        <w:t>竣工验收程序按通用条款</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承包人须配合发包人进行工程竣工验收。</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发包人不按照本项约定组织竣工验收、颁发工程接收证书的违约金的计算方法：</w:t>
      </w:r>
      <w:r>
        <w:rPr>
          <w:rFonts w:hint="eastAsia" w:ascii="宋体" w:hAnsi="宋体" w:eastAsia="宋体" w:cs="宋体"/>
          <w:sz w:val="21"/>
          <w:szCs w:val="21"/>
          <w:u w:val="single"/>
        </w:rPr>
        <w:t>不计违约金。</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eastAsia="宋体" w:cs="宋体"/>
          <w:sz w:val="21"/>
          <w:szCs w:val="21"/>
        </w:rPr>
        <w:t>。</w:t>
      </w:r>
    </w:p>
    <w:bookmarkEnd w:id="319"/>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13.2.5移交、接收全部与部分工程</w:t>
      </w:r>
    </w:p>
    <w:bookmarkEnd w:id="320"/>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承包人向发包人移交工程的期限：</w:t>
      </w:r>
      <w:r>
        <w:rPr>
          <w:rFonts w:hint="eastAsia" w:ascii="宋体" w:hAnsi="宋体" w:eastAsia="宋体" w:cs="宋体"/>
          <w:sz w:val="21"/>
          <w:szCs w:val="21"/>
          <w:u w:val="single"/>
        </w:rPr>
        <w:t xml:space="preserve">  按通用条款执行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发包人未按本合同约定接收全部或部分工程的，违约金的计算方法为：</w:t>
      </w:r>
      <w:r>
        <w:rPr>
          <w:rFonts w:hint="eastAsia" w:ascii="宋体" w:hAnsi="宋体" w:eastAsia="宋体" w:cs="宋体"/>
          <w:sz w:val="21"/>
          <w:szCs w:val="21"/>
          <w:u w:val="single"/>
        </w:rPr>
        <w:t xml:space="preserve"> 按通用条款 </w:t>
      </w:r>
      <w:r>
        <w:rPr>
          <w:rFonts w:hint="eastAsia" w:ascii="宋体" w:hAnsi="宋体" w:eastAsia="宋体" w:cs="宋体"/>
          <w:sz w:val="21"/>
          <w:szCs w:val="21"/>
        </w:rPr>
        <w:t>。</w:t>
      </w:r>
    </w:p>
    <w:bookmarkEnd w:id="321"/>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承包人未按时移交工程的，违约金的计算方法为：</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13.3 工程试车</w:t>
      </w:r>
    </w:p>
    <w:bookmarkEnd w:id="322"/>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13.3.1 试车程序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工程试车内容：</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（1）单机无负荷试车费用由</w:t>
      </w:r>
      <w:r>
        <w:rPr>
          <w:rFonts w:hint="eastAsia" w:ascii="宋体" w:hAnsi="宋体" w:eastAsia="宋体" w:cs="宋体"/>
          <w:sz w:val="21"/>
          <w:szCs w:val="21"/>
          <w:u w:val="single"/>
        </w:rPr>
        <w:t xml:space="preserve">           承包人         </w:t>
      </w:r>
      <w:r>
        <w:rPr>
          <w:rFonts w:hint="eastAsia" w:ascii="宋体" w:hAnsi="宋体" w:eastAsia="宋体" w:cs="宋体"/>
          <w:sz w:val="21"/>
          <w:szCs w:val="21"/>
        </w:rPr>
        <w:t>承担；</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（2）无负荷联动试车费用由</w:t>
      </w:r>
      <w:r>
        <w:rPr>
          <w:rFonts w:hint="eastAsia" w:ascii="宋体" w:hAnsi="宋体" w:eastAsia="宋体" w:cs="宋体"/>
          <w:sz w:val="21"/>
          <w:szCs w:val="21"/>
          <w:u w:val="single"/>
        </w:rPr>
        <w:t xml:space="preserve">          承包人          </w:t>
      </w:r>
      <w:r>
        <w:rPr>
          <w:rFonts w:hint="eastAsia" w:ascii="宋体" w:hAnsi="宋体" w:eastAsia="宋体" w:cs="宋体"/>
          <w:sz w:val="21"/>
          <w:szCs w:val="21"/>
        </w:rPr>
        <w:t>承担。</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13.3.3 投料试车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关于投料试车相关事项的约定：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13.6 竣工退场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13.6.1 竣工退场</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承包人完成竣工退场的期限：</w:t>
      </w:r>
      <w:r>
        <w:rPr>
          <w:rFonts w:hint="eastAsia" w:ascii="宋体" w:hAnsi="宋体" w:eastAsia="宋体" w:cs="宋体"/>
          <w:sz w:val="21"/>
          <w:szCs w:val="21"/>
          <w:u w:val="single"/>
        </w:rPr>
        <w:t xml:space="preserve"> 颁发工程接收证书后7天内</w:t>
      </w:r>
      <w:r>
        <w:rPr>
          <w:rFonts w:hint="eastAsia" w:ascii="宋体" w:hAnsi="宋体" w:eastAsia="宋体" w:cs="宋体"/>
          <w:sz w:val="21"/>
          <w:szCs w:val="21"/>
        </w:rPr>
        <w:t>。</w:t>
      </w:r>
    </w:p>
    <w:p>
      <w:pPr>
        <w:spacing w:line="360" w:lineRule="exact"/>
        <w:ind w:firstLine="422" w:firstLineChars="200"/>
        <w:rPr>
          <w:rFonts w:hint="eastAsia" w:ascii="宋体" w:hAnsi="宋体" w:eastAsia="宋体" w:cs="宋体"/>
          <w:b/>
          <w:bCs/>
          <w:sz w:val="21"/>
          <w:szCs w:val="21"/>
        </w:rPr>
      </w:pPr>
      <w:bookmarkStart w:id="323" w:name="_Toc351203646"/>
      <w:r>
        <w:rPr>
          <w:rFonts w:hint="eastAsia" w:ascii="宋体" w:hAnsi="宋体" w:eastAsia="宋体" w:cs="宋体"/>
          <w:b/>
          <w:bCs/>
          <w:sz w:val="21"/>
          <w:szCs w:val="21"/>
        </w:rPr>
        <w:t>14. 竣工结算</w:t>
      </w:r>
      <w:bookmarkEnd w:id="323"/>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14.1 竣工结算申请</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1.承包人提交竣工结算申请的期限：</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承包人应在完成合同范围内施工内容，经工程竣工验收合格后28天内向发包人和监理人提交竣工结算申请单，并提交完整的工程结算资料一套。</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工程验收后，承包人超过90天未提交竣工结算资料，经发包人催告后28天，承包人还不提交竣工结算资料的，发包人可根据自己资料办理竣工结算，且视为承包人认可竣工结算结果。</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2.</w:t>
      </w:r>
      <w:r>
        <w:rPr>
          <w:rFonts w:hint="eastAsia" w:ascii="宋体" w:hAnsi="宋体" w:eastAsia="宋体" w:cs="宋体"/>
          <w:sz w:val="21"/>
          <w:szCs w:val="21"/>
        </w:rPr>
        <w:t xml:space="preserve"> </w:t>
      </w:r>
      <w:r>
        <w:rPr>
          <w:rFonts w:hint="eastAsia" w:ascii="宋体" w:hAnsi="宋体" w:eastAsia="宋体" w:cs="宋体"/>
          <w:sz w:val="21"/>
          <w:szCs w:val="21"/>
          <w:u w:val="single"/>
        </w:rPr>
        <w:t>竣工结算申请单应包括的内容： 包括但不限于施工合同、 补充协议、招标文件、投标文件、竣工图纸、施工方案以及经确认的工程变更、工程索赔、现场签证，相关施工记录，工程款收款证明、逾期付款利息计算书等相关资料。</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14.2 竣工结算审核</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（1）发包人结算审核时间：</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发包人收到承包人递交的最终工程结算报告及完整的结算资料后，在90天内审核完毕，并签发最终工程结算证书。</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因非承包人原因逾期审核责任：发包人（或其委托监理、造价审核单位）收到承包人递交的最终工程结算申请后，由非承包人原因导致的未在约定时间内完成审核。发包人向承包人支付违约金，违约金为工程结算后应付工程款的利息，逾期审核时间 60天内，利率按同期全国银行间同业拆借中心公布的贷款市场报价利率，利息计算时间为应付工程款日至支付工程款日止；逾期审核时间超过 60 天，超过时间的利率按同期全国银行间同业拆借中心公布的贷款市场报价利率的 2 倍计算；</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（2）发包人在签署最终工程结算证书后 14 天内，按专用条款 15.3条办理工程质量保证金留置手续后完成对承包人的竣工付款。逾期支付按同期全国银行间同业拆借中心公布的贷款市场报价利率支付违约金；逾期超过 56天，按同期全国银行间同业拆借中心公布的贷款市场报价利率的 2倍支付违约金。</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（3）承包人对发包人签认的结算价有异议的，发包人可先支付承包人无异议部分结算款。异议部分重新进行复核或按照第20条〔争议解决约定〕处理。</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4）结算特殊要求：工程结算审价单位由发包人指定，承包人无权干预。对于工程结算审核费用支付的约定：基本费由发包人承担；核减追加费按核减超过送审造价5%的幅度以外的核减额为基数计取5%的费用，核增追加费按核增额的5%计算费用，核增额与核减额不作抵扣，核减、核增追加费由承包人承担，即核增减追加费=(核减额-送审造价×5%)×5%+核增额×5%。当上述应由承包人支付的费用，承包人没有支付时，发包人可以在应付款中代扣支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14.4 最终结清</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14.4.1 最终结清申请单</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承包人提交最终结清申请单的份数：</w:t>
      </w:r>
      <w:r>
        <w:rPr>
          <w:rFonts w:hint="eastAsia" w:ascii="宋体" w:hAnsi="宋体" w:eastAsia="宋体" w:cs="宋体"/>
          <w:sz w:val="21"/>
          <w:szCs w:val="21"/>
          <w:u w:val="single"/>
        </w:rPr>
        <w:t xml:space="preserve">   2份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承包人提交最终结算申请单的期限：</w:t>
      </w:r>
      <w:r>
        <w:rPr>
          <w:rFonts w:hint="eastAsia" w:ascii="宋体" w:hAnsi="宋体" w:eastAsia="宋体" w:cs="宋体"/>
          <w:sz w:val="21"/>
          <w:szCs w:val="21"/>
          <w:u w:val="single"/>
        </w:rPr>
        <w:t xml:space="preserve">  缺陷责任期终止后 7 天内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14.4.2 最终结清证书和支付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（1）发包人完成最终结清申请单的审批并颁发最终结清证书的期限：</w:t>
      </w:r>
      <w:r>
        <w:rPr>
          <w:rFonts w:hint="eastAsia" w:ascii="宋体" w:hAnsi="宋体" w:eastAsia="宋体" w:cs="宋体"/>
          <w:sz w:val="21"/>
          <w:szCs w:val="21"/>
          <w:u w:val="single"/>
        </w:rPr>
        <w:t xml:space="preserve">  按通用条款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（2）发包人完成支付的期限：</w:t>
      </w:r>
      <w:r>
        <w:rPr>
          <w:rFonts w:hint="eastAsia" w:ascii="宋体" w:hAnsi="宋体" w:eastAsia="宋体" w:cs="宋体"/>
          <w:sz w:val="21"/>
          <w:szCs w:val="21"/>
          <w:u w:val="single"/>
        </w:rPr>
        <w:t>按通用条款</w:t>
      </w:r>
      <w:r>
        <w:rPr>
          <w:rFonts w:hint="eastAsia" w:ascii="宋体" w:hAnsi="宋体" w:eastAsia="宋体" w:cs="宋体"/>
          <w:sz w:val="21"/>
          <w:szCs w:val="21"/>
        </w:rPr>
        <w:t>。</w:t>
      </w:r>
    </w:p>
    <w:bookmarkEnd w:id="294"/>
    <w:bookmarkEnd w:id="295"/>
    <w:bookmarkEnd w:id="296"/>
    <w:bookmarkEnd w:id="297"/>
    <w:bookmarkEnd w:id="298"/>
    <w:bookmarkEnd w:id="299"/>
    <w:bookmarkEnd w:id="300"/>
    <w:bookmarkEnd w:id="301"/>
    <w:p>
      <w:pPr>
        <w:spacing w:line="360" w:lineRule="exact"/>
        <w:ind w:firstLine="422" w:firstLineChars="200"/>
        <w:rPr>
          <w:rFonts w:hint="eastAsia" w:ascii="宋体" w:hAnsi="宋体" w:eastAsia="宋体" w:cs="宋体"/>
          <w:bCs/>
          <w:sz w:val="21"/>
          <w:szCs w:val="21"/>
        </w:rPr>
      </w:pPr>
      <w:bookmarkStart w:id="324" w:name="_Toc351203647"/>
      <w:bookmarkStart w:id="325" w:name="_Toc267251485"/>
      <w:bookmarkStart w:id="326" w:name="_Toc267251482"/>
      <w:bookmarkStart w:id="327" w:name="_Toc267251483"/>
      <w:bookmarkStart w:id="328" w:name="_Toc267251484"/>
      <w:bookmarkStart w:id="329" w:name="_Toc267251488"/>
      <w:bookmarkStart w:id="330" w:name="_Toc267251490"/>
      <w:bookmarkStart w:id="331" w:name="_Toc267251486"/>
      <w:bookmarkStart w:id="332" w:name="_Toc267251489"/>
      <w:bookmarkStart w:id="333" w:name="_Toc267251495"/>
      <w:bookmarkStart w:id="334" w:name="_Toc267251491"/>
      <w:bookmarkStart w:id="335" w:name="_Toc267251493"/>
      <w:bookmarkStart w:id="336" w:name="_Toc267251503"/>
      <w:bookmarkStart w:id="337" w:name="_Toc267251501"/>
      <w:bookmarkStart w:id="338" w:name="_Toc267251496"/>
      <w:bookmarkStart w:id="339" w:name="_Toc267251498"/>
      <w:bookmarkStart w:id="340" w:name="_Toc267251502"/>
      <w:bookmarkStart w:id="341" w:name="_Toc267251497"/>
      <w:bookmarkStart w:id="342" w:name="_Toc267251499"/>
      <w:bookmarkStart w:id="343" w:name="_Toc267251494"/>
      <w:bookmarkStart w:id="344" w:name="_Toc267251492"/>
      <w:bookmarkStart w:id="345" w:name="_Toc267251508"/>
      <w:bookmarkStart w:id="346" w:name="_Toc267251511"/>
      <w:bookmarkStart w:id="347" w:name="_Toc267251514"/>
      <w:bookmarkStart w:id="348" w:name="_Toc267251506"/>
      <w:bookmarkStart w:id="349" w:name="_Toc267251509"/>
      <w:bookmarkStart w:id="350" w:name="_Toc267251513"/>
      <w:bookmarkStart w:id="351" w:name="_Toc267251510"/>
      <w:bookmarkStart w:id="352" w:name="_Toc267251504"/>
      <w:bookmarkStart w:id="353" w:name="_Toc267251515"/>
      <w:bookmarkStart w:id="354" w:name="_Toc267251507"/>
      <w:r>
        <w:rPr>
          <w:rFonts w:hint="eastAsia" w:ascii="宋体" w:hAnsi="宋体" w:eastAsia="宋体" w:cs="宋体"/>
          <w:b/>
          <w:bCs/>
          <w:sz w:val="21"/>
          <w:szCs w:val="21"/>
        </w:rPr>
        <w:t>15. 缺陷责任期与保修</w:t>
      </w:r>
      <w:bookmarkEnd w:id="324"/>
    </w:p>
    <w:bookmarkEnd w:id="325"/>
    <w:bookmarkEnd w:id="326"/>
    <w:bookmarkEnd w:id="327"/>
    <w:bookmarkEnd w:id="328"/>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15.2缺陷责任期</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缺陷责任期的具体期限：</w:t>
      </w:r>
      <w:r>
        <w:rPr>
          <w:rFonts w:hint="eastAsia" w:ascii="宋体" w:hAnsi="宋体" w:eastAsia="宋体" w:cs="宋体"/>
          <w:sz w:val="21"/>
          <w:szCs w:val="21"/>
          <w:u w:val="single"/>
        </w:rPr>
        <w:t xml:space="preserve"> 缺陷责任期24个月，其余按通用条款执行</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15.3 质量保证金</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关于是否扣留质量保证金的约定：</w:t>
      </w:r>
      <w:r>
        <w:rPr>
          <w:rFonts w:hint="eastAsia" w:ascii="宋体" w:hAnsi="宋体" w:eastAsia="宋体" w:cs="宋体"/>
          <w:sz w:val="21"/>
          <w:szCs w:val="21"/>
          <w:u w:val="single"/>
        </w:rPr>
        <w:t xml:space="preserve"> 留置质量保证金</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15.3.1 </w:t>
      </w:r>
      <w:r>
        <w:rPr>
          <w:rFonts w:hint="eastAsia" w:ascii="宋体" w:hAnsi="宋体" w:eastAsia="宋体" w:cs="宋体"/>
          <w:b/>
          <w:bCs/>
          <w:color w:val="auto"/>
          <w:sz w:val="21"/>
          <w:szCs w:val="21"/>
        </w:rPr>
        <w:t>承包人提供质量保证金的方式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质量保证金采用以下第</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种方式：</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（1）质量保证金保函，保函形式为银行保函〔保险保函〕，金额为1.5 %的工程结算价款；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u w:val="single"/>
        </w:rPr>
        <w:t>1.5</w:t>
      </w:r>
      <w:r>
        <w:rPr>
          <w:rFonts w:hint="eastAsia" w:ascii="宋体" w:hAnsi="宋体" w:eastAsia="宋体" w:cs="宋体"/>
          <w:sz w:val="21"/>
          <w:szCs w:val="21"/>
        </w:rPr>
        <w:t>%的工程结算价款；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（3）其他方式:</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15.3.2 质量保证金的扣留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质量保证金的扣留采取以下第</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种方式：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（1）在支付工程进度款时逐次扣留，在此情形下，质量保证金的计算基数不包括预付款的支付、扣回以及价格调整的金额；</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（2）工程竣工结算时一次性扣留质量保证金；</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（3）其他扣留方式：</w:t>
      </w:r>
      <w:r>
        <w:rPr>
          <w:rFonts w:hint="eastAsia" w:ascii="宋体" w:hAnsi="宋体" w:eastAsia="宋体" w:cs="宋体"/>
          <w:sz w:val="21"/>
          <w:szCs w:val="21"/>
          <w:u w:val="single"/>
        </w:rPr>
        <w:t>发包人支付完成最后工程结算付款前，承包人提供质量保证金保函</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关于质量保证金的补充约定：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15.3.3 质量保证金的退还</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质量保证金按以下第</w:t>
      </w:r>
      <w:r>
        <w:rPr>
          <w:rFonts w:hint="eastAsia" w:ascii="宋体" w:hAnsi="宋体" w:eastAsia="宋体" w:cs="宋体"/>
          <w:sz w:val="21"/>
          <w:szCs w:val="21"/>
          <w:u w:val="single"/>
        </w:rPr>
        <w:t xml:space="preserve"> （2）</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方式退回：</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（1）缺陷责任期终止后，发包人退还剩余的质量保证金。</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（2）建筑工程：</w:t>
      </w:r>
      <w:r>
        <w:rPr>
          <w:rFonts w:hint="eastAsia" w:ascii="宋体" w:hAnsi="宋体" w:eastAsia="宋体" w:cs="宋体"/>
          <w:sz w:val="21"/>
          <w:szCs w:val="21"/>
          <w:u w:val="single"/>
        </w:rPr>
        <w:t>工程竣工验收合格后满 1 年返还质量保证金的 30%，满 2 年返还全部预留的质量保证金。</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（3）市政工程：工程竣工验收合格后满 1 年返还全部质量保证金。</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（4）其它：</w:t>
      </w:r>
      <w:r>
        <w:rPr>
          <w:rFonts w:hint="eastAsia" w:ascii="宋体" w:hAnsi="宋体" w:eastAsia="宋体" w:cs="宋体"/>
          <w:sz w:val="21"/>
          <w:szCs w:val="21"/>
          <w:u w:val="single"/>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15.4保修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15.4.1 保修责任</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工程保修期为：</w:t>
      </w:r>
      <w:r>
        <w:rPr>
          <w:rFonts w:hint="eastAsia" w:ascii="宋体" w:hAnsi="宋体" w:eastAsia="宋体" w:cs="宋体"/>
          <w:sz w:val="21"/>
          <w:szCs w:val="21"/>
          <w:u w:val="single"/>
        </w:rPr>
        <w:t xml:space="preserve"> 按本合同附件3《工程质量保修书》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15.4.3 修复通知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承包人收到保修通知并到达工程现场的合理时间：</w:t>
      </w:r>
      <w:r>
        <w:rPr>
          <w:rFonts w:hint="eastAsia" w:ascii="宋体" w:hAnsi="宋体" w:eastAsia="宋体" w:cs="宋体"/>
          <w:sz w:val="21"/>
          <w:szCs w:val="21"/>
          <w:u w:val="single"/>
        </w:rPr>
        <w:t>按本合同附件3《工程质量保修书》执行</w:t>
      </w:r>
      <w:r>
        <w:rPr>
          <w:rFonts w:hint="eastAsia" w:ascii="宋体" w:hAnsi="宋体" w:eastAsia="宋体" w:cs="宋体"/>
          <w:sz w:val="21"/>
          <w:szCs w:val="21"/>
        </w:rPr>
        <w:t>。</w:t>
      </w:r>
    </w:p>
    <w:bookmarkEnd w:id="329"/>
    <w:bookmarkEnd w:id="330"/>
    <w:bookmarkEnd w:id="331"/>
    <w:bookmarkEnd w:id="332"/>
    <w:p>
      <w:pPr>
        <w:spacing w:line="360" w:lineRule="exact"/>
        <w:ind w:firstLine="422" w:firstLineChars="200"/>
        <w:rPr>
          <w:rFonts w:hint="eastAsia" w:ascii="宋体" w:hAnsi="宋体" w:eastAsia="宋体" w:cs="宋体"/>
          <w:b/>
          <w:bCs/>
          <w:sz w:val="21"/>
          <w:szCs w:val="21"/>
        </w:rPr>
      </w:pPr>
      <w:bookmarkStart w:id="355" w:name="_Toc351203648"/>
      <w:bookmarkStart w:id="356" w:name="_Toc280868717"/>
      <w:bookmarkStart w:id="357" w:name="_Toc280868718"/>
      <w:r>
        <w:rPr>
          <w:rFonts w:hint="eastAsia" w:ascii="宋体" w:hAnsi="宋体" w:eastAsia="宋体" w:cs="宋体"/>
          <w:b/>
          <w:bCs/>
          <w:sz w:val="21"/>
          <w:szCs w:val="21"/>
        </w:rPr>
        <w:t>16. 违约</w:t>
      </w:r>
      <w:bookmarkEnd w:id="355"/>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16.1 发包人违约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16.1.1发包人违约的情形</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发包人违约的其他情形：</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16.1.2 发包人违约的责任</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发包人违约责任的承担方式和计算方法：</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（1）因发包人原因未能在计划开工日期前7天内下达开工通知的违约责任：</w:t>
      </w:r>
      <w:r>
        <w:rPr>
          <w:rFonts w:hint="eastAsia" w:ascii="宋体" w:hAnsi="宋体" w:eastAsia="宋体" w:cs="宋体"/>
          <w:sz w:val="21"/>
          <w:szCs w:val="21"/>
          <w:u w:val="single"/>
        </w:rPr>
        <w:t xml:space="preserve"> 赔偿承包人相关损失；属于专用合同条款 7.3.2 条约定情形的，按该条款约定处理。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（2）因发包人原因未能按合同约定支付合同价款的违约责任：</w:t>
      </w:r>
      <w:r>
        <w:rPr>
          <w:rFonts w:hint="eastAsia" w:ascii="宋体" w:hAnsi="宋体" w:eastAsia="宋体" w:cs="宋体"/>
          <w:sz w:val="21"/>
          <w:szCs w:val="21"/>
          <w:u w:val="single"/>
        </w:rPr>
        <w:t>逾期支付在56天内的按同期全国银行间同业拆借中心公布的贷款市场报价利率支付违约金；逾期超过56天，按同期全国银行间同业拆借中心公布的贷款市场报价利率的两倍支付违约金。</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（3）发包人违反第10.1款〔变更的范围〕第（2）项约定，自行实施被取消的工作或转由他人实施的违约责任：</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（4）发包人提供的材料、工程设备的规格、数量或质量不符合合同约定，或因发包人原因导致交货日期延误或交货地点变更等情况的违约责任：</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（5）因发包人违反合同约定造成暂停施工的违约责任：</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（6）发包人无正当理由没有在约定期限内发出复工指示，导致承包人无法复工的违约责任：</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（7）其他：</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16.1.3 因发包人违约解除合同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承包人按16.1.1项〔发包人违约的情形〕约定暂停施工满</w:t>
      </w:r>
      <w:r>
        <w:rPr>
          <w:rFonts w:hint="eastAsia" w:ascii="宋体" w:hAnsi="宋体" w:eastAsia="宋体" w:cs="宋体"/>
          <w:sz w:val="21"/>
          <w:szCs w:val="21"/>
          <w:u w:val="single"/>
        </w:rPr>
        <w:t>28</w:t>
      </w:r>
      <w:r>
        <w:rPr>
          <w:rFonts w:hint="eastAsia" w:ascii="宋体" w:hAnsi="宋体" w:eastAsia="宋体" w:cs="宋体"/>
          <w:sz w:val="21"/>
          <w:szCs w:val="21"/>
        </w:rPr>
        <w:t>天后发包人仍不纠正其违约行为并致使合同目的不能实现的，承包人有权解除合同。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16.2 承包人违约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16.2.1 承包人违约的情形</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承包人违约的其他情形：</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w:t>
      </w:r>
      <w:r>
        <w:rPr>
          <w:rFonts w:hint="eastAsia" w:ascii="宋体" w:hAnsi="宋体" w:eastAsia="宋体" w:cs="宋体"/>
          <w:sz w:val="21"/>
          <w:szCs w:val="21"/>
          <w:u w:val="single"/>
        </w:rPr>
        <w:t>机械设备、施工项目班子未按投标承诺及时到位</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（2）</w:t>
      </w:r>
      <w:r>
        <w:rPr>
          <w:rFonts w:hint="eastAsia" w:ascii="宋体" w:hAnsi="宋体" w:eastAsia="宋体" w:cs="宋体"/>
          <w:sz w:val="21"/>
          <w:szCs w:val="21"/>
          <w:u w:val="single"/>
        </w:rPr>
        <w:t>本工程在实施过程中，如承包人的施工队伍素质、力量、现场管理班子、现场安全文明施工不符合投标书的承诺，造成现场管理混乱、工程质量和进度达不到投标所承诺的要求；</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w:t>
      </w:r>
      <w:r>
        <w:rPr>
          <w:rFonts w:hint="eastAsia" w:ascii="宋体" w:hAnsi="宋体" w:eastAsia="宋体" w:cs="宋体"/>
          <w:sz w:val="21"/>
          <w:szCs w:val="21"/>
          <w:u w:val="single"/>
        </w:rPr>
        <w:t>承包人允许其他人挂靠经营、私自转包</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（4）</w:t>
      </w:r>
      <w:r>
        <w:rPr>
          <w:rFonts w:hint="eastAsia" w:ascii="宋体" w:hAnsi="宋体" w:eastAsia="宋体" w:cs="宋体"/>
          <w:sz w:val="21"/>
          <w:szCs w:val="21"/>
          <w:u w:val="single"/>
        </w:rPr>
        <w:t>承包人未达到投标时所承诺的诚信与技术标准</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16.2.2承包人违约的责任</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承包人违约责任的承担方式和计算方法：</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（1）机械设备未按投标承诺到位，每项扣除履约担保金 2%；</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2）现场安全文明施工不符合投标书承诺，扣减相应安全文明施工费用；承包人原因造成现场管理混乱、工程质量和进度达不到投标承诺的要求，发包人有权要求承包人调整充实施工力量、更换项目班子，及至解除施工合同，所有履约担保金归发包人，在工程款支付时扣除，并赔偿发包人损失。</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w:t>
      </w:r>
      <w:r>
        <w:rPr>
          <w:rFonts w:hint="eastAsia" w:ascii="宋体" w:hAnsi="宋体" w:eastAsia="宋体" w:cs="宋体"/>
          <w:sz w:val="21"/>
          <w:szCs w:val="21"/>
          <w:u w:val="single"/>
        </w:rPr>
        <w:t>发现承包人允许其他人挂靠经营、私自转包，所有履约担保归发包人，在工程款支付时扣除，同时赔偿发包人损失，并责令退出工地。</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（4）</w:t>
      </w:r>
      <w:r>
        <w:rPr>
          <w:rFonts w:hint="eastAsia" w:ascii="宋体" w:hAnsi="宋体" w:eastAsia="宋体" w:cs="宋体"/>
          <w:sz w:val="21"/>
          <w:szCs w:val="21"/>
          <w:u w:val="single"/>
        </w:rPr>
        <w:t>未达到投标所承诺的诚信与技术标准，按每一项扣减履约担保金的10%，在当期工程款支付时扣除。</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（5）</w:t>
      </w:r>
      <w:r>
        <w:rPr>
          <w:rFonts w:hint="eastAsia" w:ascii="宋体" w:hAnsi="宋体" w:eastAsia="宋体" w:cs="宋体"/>
          <w:sz w:val="21"/>
          <w:szCs w:val="21"/>
          <w:u w:val="single"/>
        </w:rPr>
        <w:t>承包人原因导致的工程延误，工期不予顺延，由工期延误引起人工、材料价格上涨由承包人承担，按原合同约定价格结算；价格下降归发包人受益，按下降后价格结算。工期顺延对发包人造成损失的，赔偿发包人相应损失；当施工工期超过合同工期50%以上时，可解除施工合同。</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（6）</w:t>
      </w:r>
      <w:r>
        <w:rPr>
          <w:rFonts w:hint="eastAsia" w:ascii="宋体" w:hAnsi="宋体" w:eastAsia="宋体" w:cs="宋体"/>
          <w:sz w:val="21"/>
          <w:szCs w:val="21"/>
          <w:u w:val="single"/>
        </w:rPr>
        <w:t>承包人无法继续履行、明确表示不履行或实质上已停止履行合同，发包人可通知承包人全部解除合同，所有履约担保归发包人，同时赔偿发包人损失。</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16.2.3 因承包人违约解除合同</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关于承包人违约解除合同的特别约定：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发包人继续使用承包人在施工现场的材料、设备、临时工程、承包人文件和由承包人或以其名义编制的其他文件的费用承担方式：</w:t>
      </w:r>
      <w:r>
        <w:rPr>
          <w:rFonts w:hint="eastAsia" w:ascii="宋体" w:hAnsi="宋体" w:eastAsia="宋体" w:cs="宋体"/>
          <w:sz w:val="21"/>
          <w:szCs w:val="21"/>
          <w:u w:val="single"/>
        </w:rPr>
        <w:t>使用施工现场的材料、设备按实结算，使用施工机械、器具按租赁费结算，临时工程折算成费用按完成造价比例计算，无偿使用承包人为本工程施工所编制的相应文件等</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16.2.4 因承包人违约解除合同后的处理：</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2" w:firstLineChars="200"/>
        <w:rPr>
          <w:rFonts w:hint="eastAsia" w:ascii="宋体" w:hAnsi="宋体" w:eastAsia="宋体" w:cs="宋体"/>
          <w:bCs/>
          <w:sz w:val="21"/>
          <w:szCs w:val="21"/>
        </w:rPr>
      </w:pPr>
      <w:bookmarkStart w:id="358" w:name="_Toc351203649"/>
      <w:r>
        <w:rPr>
          <w:rFonts w:hint="eastAsia" w:ascii="宋体" w:hAnsi="宋体" w:eastAsia="宋体" w:cs="宋体"/>
          <w:b/>
          <w:bCs/>
          <w:sz w:val="21"/>
          <w:szCs w:val="21"/>
        </w:rPr>
        <w:t>17. 不可抗力</w:t>
      </w:r>
      <w:bookmarkEnd w:id="358"/>
      <w:r>
        <w:rPr>
          <w:rFonts w:hint="eastAsia" w:ascii="宋体" w:hAnsi="宋体" w:eastAsia="宋体" w:cs="宋体"/>
          <w:bCs/>
          <w:sz w:val="21"/>
          <w:szCs w:val="21"/>
        </w:rPr>
        <w:t xml:space="preserve"> </w:t>
      </w:r>
      <w:bookmarkEnd w:id="356"/>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17.1 不可抗力的确认</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除通用合同条款约定的不可抗力事件之外，视为不可抗力的其他情形：</w:t>
      </w:r>
      <w:r>
        <w:rPr>
          <w:rFonts w:hint="eastAsia" w:ascii="宋体" w:hAnsi="宋体" w:eastAsia="宋体" w:cs="宋体"/>
          <w:sz w:val="21"/>
          <w:szCs w:val="21"/>
          <w:u w:val="single"/>
        </w:rPr>
        <w:t>10 级（不含 10 级）以上台风、10 年一遇洪水、暴风雪、干旱，罢工、政府禁令</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17.2 不可抗力的通知</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17.3 不可抗力后果的承担</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按通用条款。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17.4 因不可抗力解除合同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合同解除后，发包人应在商定或确定发包人应支付款项后</w:t>
      </w:r>
      <w:r>
        <w:rPr>
          <w:rFonts w:hint="eastAsia" w:ascii="宋体" w:hAnsi="宋体" w:eastAsia="宋体" w:cs="宋体"/>
          <w:sz w:val="21"/>
          <w:szCs w:val="21"/>
          <w:u w:val="single"/>
        </w:rPr>
        <w:t>14</w:t>
      </w:r>
      <w:r>
        <w:rPr>
          <w:rFonts w:hint="eastAsia" w:ascii="宋体" w:hAnsi="宋体" w:eastAsia="宋体" w:cs="宋体"/>
          <w:sz w:val="21"/>
          <w:szCs w:val="21"/>
        </w:rPr>
        <w:t>天内完成款项的支付。</w:t>
      </w:r>
    </w:p>
    <w:p>
      <w:pPr>
        <w:spacing w:line="360" w:lineRule="exact"/>
        <w:ind w:firstLine="422" w:firstLineChars="200"/>
        <w:rPr>
          <w:rFonts w:hint="eastAsia" w:ascii="宋体" w:hAnsi="宋体" w:eastAsia="宋体" w:cs="宋体"/>
          <w:b/>
          <w:bCs/>
          <w:sz w:val="21"/>
          <w:szCs w:val="21"/>
        </w:rPr>
      </w:pPr>
      <w:bookmarkStart w:id="359" w:name="_Toc351203650"/>
      <w:r>
        <w:rPr>
          <w:rFonts w:hint="eastAsia" w:ascii="宋体" w:hAnsi="宋体" w:eastAsia="宋体" w:cs="宋体"/>
          <w:b/>
          <w:bCs/>
          <w:sz w:val="21"/>
          <w:szCs w:val="21"/>
        </w:rPr>
        <w:t>18. 保险</w:t>
      </w:r>
      <w:bookmarkEnd w:id="359"/>
    </w:p>
    <w:bookmarkEnd w:id="357"/>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18.1 工程保险</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关于工程保险的特别约定：</w:t>
      </w:r>
      <w:r>
        <w:rPr>
          <w:rFonts w:hint="eastAsia" w:ascii="宋体" w:hAnsi="宋体" w:eastAsia="宋体" w:cs="宋体"/>
          <w:sz w:val="21"/>
          <w:szCs w:val="21"/>
          <w:u w:val="single"/>
        </w:rPr>
        <w:t xml:space="preserve">  按规定必须投保的强制性保险</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18.3 其他保险</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关于其他保险的约定：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承包人是否应为其施工设备等办理财产保险：</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18.7 通知义务</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关于变更保险合同时的通知义务的约定：</w:t>
      </w:r>
      <w:r>
        <w:rPr>
          <w:rFonts w:hint="eastAsia" w:ascii="宋体" w:hAnsi="宋体" w:eastAsia="宋体" w:cs="宋体"/>
          <w:sz w:val="21"/>
          <w:szCs w:val="21"/>
          <w:u w:val="single"/>
        </w:rPr>
        <w:t>按通用条款执行</w:t>
      </w:r>
      <w:r>
        <w:rPr>
          <w:rFonts w:hint="eastAsia" w:ascii="宋体" w:hAnsi="宋体" w:eastAsia="宋体" w:cs="宋体"/>
          <w:sz w:val="21"/>
          <w:szCs w:val="21"/>
        </w:rPr>
        <w:t>。</w:t>
      </w:r>
    </w:p>
    <w:bookmarkEnd w:id="333"/>
    <w:bookmarkEnd w:id="334"/>
    <w:bookmarkEnd w:id="335"/>
    <w:bookmarkEnd w:id="336"/>
    <w:bookmarkEnd w:id="337"/>
    <w:bookmarkEnd w:id="338"/>
    <w:bookmarkEnd w:id="339"/>
    <w:bookmarkEnd w:id="340"/>
    <w:bookmarkEnd w:id="341"/>
    <w:bookmarkEnd w:id="342"/>
    <w:bookmarkEnd w:id="343"/>
    <w:bookmarkEnd w:id="344"/>
    <w:p>
      <w:pPr>
        <w:spacing w:line="360" w:lineRule="exact"/>
        <w:ind w:firstLine="422" w:firstLineChars="200"/>
        <w:rPr>
          <w:rFonts w:hint="eastAsia" w:ascii="宋体" w:hAnsi="宋体" w:eastAsia="宋体" w:cs="宋体"/>
          <w:b/>
          <w:bCs/>
          <w:sz w:val="21"/>
          <w:szCs w:val="21"/>
        </w:rPr>
      </w:pPr>
      <w:bookmarkStart w:id="360" w:name="_Toc351203651"/>
      <w:r>
        <w:rPr>
          <w:rFonts w:hint="eastAsia" w:ascii="宋体" w:hAnsi="宋体" w:eastAsia="宋体" w:cs="宋体"/>
          <w:b/>
          <w:bCs/>
          <w:sz w:val="21"/>
          <w:szCs w:val="21"/>
        </w:rPr>
        <w:t>20. 争议解决</w:t>
      </w:r>
      <w:bookmarkEnd w:id="360"/>
    </w:p>
    <w:bookmarkEnd w:id="345"/>
    <w:bookmarkEnd w:id="346"/>
    <w:bookmarkEnd w:id="347"/>
    <w:bookmarkEnd w:id="348"/>
    <w:bookmarkEnd w:id="349"/>
    <w:bookmarkEnd w:id="350"/>
    <w:bookmarkEnd w:id="351"/>
    <w:bookmarkEnd w:id="352"/>
    <w:bookmarkEnd w:id="353"/>
    <w:bookmarkEnd w:id="354"/>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20.3 争议评审</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合同当事人是否同意将工程争议提交争议评审小组决定：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20.3.1 争议评审小组的确定</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争议评审小组成员的确定：</w:t>
      </w:r>
      <w:r>
        <w:rPr>
          <w:rFonts w:hint="eastAsia" w:ascii="宋体" w:hAnsi="宋体" w:eastAsia="宋体" w:cs="宋体"/>
          <w:sz w:val="21"/>
          <w:szCs w:val="21"/>
          <w:u w:val="single"/>
        </w:rPr>
        <w:t xml:space="preserve">         /                   </w:t>
      </w:r>
      <w:r>
        <w:rPr>
          <w:rFonts w:hint="eastAsia" w:ascii="宋体" w:hAnsi="宋体" w:eastAsia="宋体" w:cs="宋体"/>
          <w:sz w:val="21"/>
          <w:szCs w:val="21"/>
        </w:rPr>
        <w:t xml:space="preserve">。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选定争议评审员的期限：</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争议评审小组成员的报酬承担方式：</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其他事项的约定：</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20.3.2 争议评审小组的决定</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合同当事人关于本项的约定：</w:t>
      </w:r>
      <w:r>
        <w:rPr>
          <w:rFonts w:hint="eastAsia" w:ascii="宋体" w:hAnsi="宋体" w:eastAsia="宋体" w:cs="宋体"/>
          <w:sz w:val="21"/>
          <w:szCs w:val="21"/>
          <w:u w:val="single"/>
        </w:rPr>
        <w:t xml:space="preserve">  按通用条款。</w:t>
      </w:r>
    </w:p>
    <w:p>
      <w:pPr>
        <w:spacing w:line="3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20.3.3 争议评审小组决定的效力：按通用条款执行。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20.4仲裁或诉讼</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因合同及合同有关事项发生的争议，按下列第</w:t>
      </w:r>
      <w:r>
        <w:rPr>
          <w:rFonts w:hint="eastAsia" w:ascii="宋体" w:hAnsi="宋体" w:eastAsia="宋体" w:cs="宋体"/>
          <w:sz w:val="21"/>
          <w:szCs w:val="21"/>
          <w:u w:val="single"/>
        </w:rPr>
        <w:t xml:space="preserve">  2  </w:t>
      </w:r>
      <w:r>
        <w:rPr>
          <w:rFonts w:hint="eastAsia" w:ascii="宋体" w:hAnsi="宋体" w:eastAsia="宋体" w:cs="宋体"/>
          <w:sz w:val="21"/>
          <w:szCs w:val="21"/>
        </w:rPr>
        <w:t>种方式解决：</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（1）向</w:t>
      </w:r>
      <w:r>
        <w:rPr>
          <w:rFonts w:hint="eastAsia" w:ascii="宋体" w:hAnsi="宋体" w:eastAsia="宋体" w:cs="宋体"/>
          <w:sz w:val="21"/>
          <w:szCs w:val="21"/>
          <w:u w:val="single"/>
        </w:rPr>
        <w:t>台州</w:t>
      </w:r>
      <w:r>
        <w:rPr>
          <w:rFonts w:hint="eastAsia" w:ascii="宋体" w:hAnsi="宋体" w:eastAsia="宋体" w:cs="宋体"/>
          <w:sz w:val="21"/>
          <w:szCs w:val="21"/>
        </w:rPr>
        <w:t>仲裁委员会申请仲裁；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（2）向</w:t>
      </w:r>
      <w:r>
        <w:rPr>
          <w:rFonts w:hint="eastAsia" w:ascii="宋体" w:hAnsi="宋体" w:eastAsia="宋体" w:cs="宋体"/>
          <w:sz w:val="21"/>
          <w:szCs w:val="21"/>
          <w:u w:val="single"/>
        </w:rPr>
        <w:t>工程所在地</w:t>
      </w:r>
      <w:r>
        <w:rPr>
          <w:rFonts w:hint="eastAsia" w:ascii="宋体" w:hAnsi="宋体" w:eastAsia="宋体" w:cs="宋体"/>
          <w:sz w:val="21"/>
          <w:szCs w:val="21"/>
        </w:rPr>
        <w:t>人民法院起诉。</w:t>
      </w:r>
    </w:p>
    <w:p>
      <w:pPr>
        <w:spacing w:line="360" w:lineRule="exact"/>
        <w:ind w:firstLine="422" w:firstLineChars="200"/>
        <w:rPr>
          <w:rFonts w:hint="eastAsia" w:ascii="宋体" w:hAnsi="宋体" w:eastAsia="宋体" w:cs="宋体"/>
          <w:b/>
          <w:sz w:val="21"/>
          <w:szCs w:val="21"/>
        </w:rPr>
      </w:pPr>
    </w:p>
    <w:p>
      <w:pPr>
        <w:spacing w:line="360" w:lineRule="exact"/>
        <w:ind w:firstLine="422" w:firstLineChars="200"/>
        <w:rPr>
          <w:rFonts w:hint="eastAsia" w:ascii="宋体" w:hAnsi="宋体" w:eastAsia="宋体" w:cs="宋体"/>
          <w:b/>
          <w:sz w:val="21"/>
          <w:szCs w:val="21"/>
        </w:rPr>
      </w:pPr>
    </w:p>
    <w:p>
      <w:pPr>
        <w:spacing w:line="360" w:lineRule="exact"/>
        <w:ind w:firstLine="422" w:firstLineChars="200"/>
        <w:rPr>
          <w:rFonts w:hint="eastAsia" w:ascii="宋体" w:hAnsi="宋体" w:eastAsia="宋体" w:cs="宋体"/>
          <w:b/>
          <w:sz w:val="21"/>
          <w:szCs w:val="21"/>
        </w:rPr>
      </w:pPr>
    </w:p>
    <w:p>
      <w:pPr>
        <w:spacing w:line="360" w:lineRule="exact"/>
        <w:ind w:firstLine="422" w:firstLineChars="200"/>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spacing w:line="360" w:lineRule="exact"/>
        <w:rPr>
          <w:rFonts w:hint="eastAsia" w:ascii="宋体" w:hAnsi="宋体" w:eastAsia="宋体" w:cs="宋体"/>
          <w:b/>
          <w:sz w:val="21"/>
          <w:szCs w:val="21"/>
        </w:rPr>
      </w:pPr>
    </w:p>
    <w:p>
      <w:pPr>
        <w:rPr>
          <w:rFonts w:hint="eastAsia" w:ascii="宋体" w:hAnsi="宋体" w:eastAsia="宋体" w:cs="宋体"/>
          <w:b/>
          <w:sz w:val="21"/>
          <w:szCs w:val="21"/>
        </w:rPr>
      </w:pPr>
      <w:r>
        <w:rPr>
          <w:rFonts w:hint="eastAsia" w:ascii="宋体" w:hAnsi="宋体" w:eastAsia="宋体" w:cs="宋体"/>
          <w:b/>
          <w:sz w:val="21"/>
          <w:szCs w:val="21"/>
        </w:rPr>
        <w:br w:type="page"/>
      </w:r>
    </w:p>
    <w:p>
      <w:pPr>
        <w:spacing w:line="360" w:lineRule="exact"/>
        <w:rPr>
          <w:rFonts w:hint="eastAsia" w:ascii="宋体" w:hAnsi="宋体" w:eastAsia="宋体" w:cs="宋体"/>
          <w:b/>
          <w:sz w:val="21"/>
          <w:szCs w:val="21"/>
        </w:rPr>
      </w:pPr>
      <w:r>
        <w:rPr>
          <w:rFonts w:hint="eastAsia" w:ascii="宋体" w:hAnsi="宋体" w:eastAsia="宋体" w:cs="宋体"/>
          <w:b/>
          <w:sz w:val="21"/>
          <w:szCs w:val="21"/>
        </w:rPr>
        <w:t>附件</w:t>
      </w:r>
    </w:p>
    <w:p>
      <w:pPr>
        <w:spacing w:line="360" w:lineRule="exact"/>
        <w:rPr>
          <w:rFonts w:hint="eastAsia" w:ascii="宋体" w:hAnsi="宋体" w:eastAsia="宋体" w:cs="宋体"/>
          <w:sz w:val="21"/>
          <w:szCs w:val="21"/>
        </w:rPr>
      </w:pP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协议书附件：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附件1：承包人承揽工程项目一览表（略）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专用合同条款附件：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附件2：发包人供应材料设备一览表（略）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附件3：工程质量保修书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附件4：主要建设工程文件目录（略）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附件5：承包人用于本工程施工的机械设备表（略）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附件6：承包人主要施工管理人员表（略）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附件7：承包人主要施工管理人员表（略）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附件8：履约担保格式（略）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附件9：预付款担保格式（略）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附件10：支付担保格式（略）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附件11：暂估价一览表（略）</w:t>
      </w:r>
    </w:p>
    <w:p>
      <w:pPr>
        <w:keepNext/>
        <w:keepLines/>
        <w:spacing w:line="360" w:lineRule="exact"/>
        <w:ind w:firstLine="482" w:firstLineChars="200"/>
        <w:outlineLvl w:val="3"/>
        <w:rPr>
          <w:rFonts w:hint="eastAsia" w:asciiTheme="majorEastAsia" w:hAnsiTheme="majorEastAsia" w:eastAsiaTheme="majorEastAsia" w:cstheme="majorEastAsia"/>
          <w:b/>
          <w:bCs/>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br w:type="page"/>
      </w:r>
    </w:p>
    <w:p>
      <w:pPr>
        <w:keepNext/>
        <w:keepLines/>
        <w:spacing w:line="360" w:lineRule="exact"/>
        <w:outlineLvl w:val="3"/>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w:t>
      </w:r>
      <w:bookmarkStart w:id="361" w:name="_Toc296347225"/>
      <w:bookmarkStart w:id="362" w:name="_Toc296503226"/>
      <w:bookmarkStart w:id="363" w:name="_Toc296346727"/>
      <w:bookmarkStart w:id="364" w:name="_Toc267261693"/>
      <w:bookmarkStart w:id="365" w:name="_Toc296944565"/>
      <w:bookmarkStart w:id="366" w:name="_Toc296891054"/>
      <w:bookmarkStart w:id="367" w:name="_Toc296891266"/>
      <w:r>
        <w:rPr>
          <w:rFonts w:hint="eastAsia" w:asciiTheme="majorEastAsia" w:hAnsiTheme="majorEastAsia" w:eastAsiaTheme="majorEastAsia" w:cstheme="majorEastAsia"/>
          <w:b/>
          <w:bCs/>
          <w:sz w:val="24"/>
          <w:szCs w:val="24"/>
        </w:rPr>
        <w:t>件3：</w:t>
      </w:r>
      <w:bookmarkEnd w:id="361"/>
      <w:bookmarkEnd w:id="362"/>
      <w:bookmarkEnd w:id="363"/>
      <w:bookmarkEnd w:id="364"/>
      <w:bookmarkEnd w:id="365"/>
      <w:bookmarkEnd w:id="366"/>
      <w:bookmarkEnd w:id="367"/>
      <w:r>
        <w:rPr>
          <w:rFonts w:hint="eastAsia" w:asciiTheme="majorEastAsia" w:hAnsiTheme="majorEastAsia" w:eastAsiaTheme="majorEastAsia" w:cstheme="majorEastAsia"/>
          <w:b/>
          <w:bCs/>
          <w:sz w:val="24"/>
          <w:szCs w:val="24"/>
        </w:rPr>
        <w:t xml:space="preserve">    </w:t>
      </w:r>
    </w:p>
    <w:p>
      <w:pPr>
        <w:spacing w:line="360" w:lineRule="exact"/>
        <w:ind w:firstLine="420" w:firstLineChars="200"/>
        <w:jc w:val="center"/>
        <w:rPr>
          <w:rFonts w:hint="eastAsia" w:ascii="宋体" w:hAnsi="宋体" w:eastAsia="宋体" w:cs="宋体"/>
          <w:bCs/>
          <w:sz w:val="21"/>
          <w:szCs w:val="21"/>
        </w:rPr>
      </w:pPr>
      <w:r>
        <w:rPr>
          <w:rFonts w:hint="eastAsia" w:ascii="宋体" w:hAnsi="宋体" w:eastAsia="宋体" w:cs="宋体"/>
          <w:bCs/>
          <w:sz w:val="21"/>
          <w:szCs w:val="21"/>
        </w:rPr>
        <w:t>工程质量保修书</w:t>
      </w:r>
    </w:p>
    <w:p>
      <w:pPr>
        <w:spacing w:line="586" w:lineRule="exact"/>
        <w:rPr>
          <w:rFonts w:hint="eastAsia" w:ascii="宋体" w:hAnsi="宋体" w:eastAsia="宋体" w:cs="宋体"/>
          <w:sz w:val="21"/>
          <w:szCs w:val="21"/>
        </w:rPr>
      </w:pP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发包人（全称）：</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exact"/>
        <w:ind w:firstLine="420" w:firstLineChars="200"/>
        <w:rPr>
          <w:rFonts w:hint="eastAsia" w:ascii="宋体" w:hAnsi="宋体" w:eastAsia="宋体" w:cs="宋体"/>
          <w:sz w:val="21"/>
          <w:szCs w:val="21"/>
          <w:u w:val="single"/>
          <w:lang w:val="en-US" w:eastAsia="zh-CN"/>
        </w:rPr>
      </w:pPr>
      <w:r>
        <w:rPr>
          <w:rFonts w:hint="eastAsia" w:ascii="宋体" w:hAnsi="宋体" w:eastAsia="宋体" w:cs="宋体"/>
          <w:sz w:val="21"/>
          <w:szCs w:val="21"/>
        </w:rPr>
        <w:t>承包人（全称）</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发包人和承包人根据《中华人民共和国建筑法》和《建设工程质量管理条例》，经协商一致就</w:t>
      </w:r>
      <w:r>
        <w:rPr>
          <w:rFonts w:hint="eastAsia" w:ascii="宋体" w:hAnsi="宋体" w:eastAsia="宋体" w:cs="宋体"/>
          <w:sz w:val="21"/>
          <w:szCs w:val="21"/>
          <w:u w:val="single"/>
        </w:rPr>
        <w:t xml:space="preserve">                </w:t>
      </w:r>
      <w:r>
        <w:rPr>
          <w:rFonts w:hint="eastAsia" w:ascii="宋体" w:hAnsi="宋体" w:eastAsia="宋体" w:cs="宋体"/>
          <w:sz w:val="21"/>
          <w:szCs w:val="21"/>
        </w:rPr>
        <w:t>（工程全称）签订工程质量保修书。</w:t>
      </w:r>
    </w:p>
    <w:p>
      <w:pPr>
        <w:spacing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一、工程质量保修范围和内容</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承包人在质量保修期内，按照有关法律规定和合同约定，承担工程质量保修责任。</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工程合同范围内的所有工程。</w:t>
      </w:r>
    </w:p>
    <w:p>
      <w:pPr>
        <w:spacing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二、质量保修期</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根据《建设工程质量管理条例》及有关规定，工程的质量保修期如下：</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1．屋面防水工程、有防水要求的卫生间、房间和外墙面的防渗为</w:t>
      </w:r>
      <w:r>
        <w:rPr>
          <w:rFonts w:hint="eastAsia" w:ascii="宋体" w:hAnsi="宋体" w:eastAsia="宋体" w:cs="宋体"/>
          <w:sz w:val="21"/>
          <w:szCs w:val="21"/>
          <w:u w:val="single"/>
        </w:rPr>
        <w:t xml:space="preserve">   5   </w:t>
      </w:r>
      <w:r>
        <w:rPr>
          <w:rFonts w:hint="eastAsia" w:ascii="宋体" w:hAnsi="宋体" w:eastAsia="宋体" w:cs="宋体"/>
          <w:sz w:val="21"/>
          <w:szCs w:val="21"/>
        </w:rPr>
        <w:t>年；</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2．其他项目保修期限约定如下：</w:t>
      </w:r>
      <w:r>
        <w:rPr>
          <w:rFonts w:hint="eastAsia" w:ascii="宋体" w:hAnsi="宋体" w:eastAsia="宋体" w:cs="宋体"/>
          <w:sz w:val="21"/>
          <w:szCs w:val="21"/>
          <w:u w:val="single"/>
        </w:rPr>
        <w:t>2</w:t>
      </w:r>
      <w:r>
        <w:rPr>
          <w:rFonts w:hint="eastAsia" w:ascii="宋体" w:hAnsi="宋体" w:eastAsia="宋体" w:cs="宋体"/>
          <w:sz w:val="21"/>
          <w:szCs w:val="21"/>
        </w:rPr>
        <w:t>年。</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质量保修期自工程竣工验收合格之日起计算。</w:t>
      </w:r>
    </w:p>
    <w:p>
      <w:pPr>
        <w:spacing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三、缺陷责任期</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工程缺陷责任期为</w:t>
      </w:r>
      <w:r>
        <w:rPr>
          <w:rFonts w:hint="eastAsia" w:ascii="宋体" w:hAnsi="宋体" w:eastAsia="宋体" w:cs="宋体"/>
          <w:sz w:val="21"/>
          <w:szCs w:val="21"/>
          <w:u w:val="single"/>
        </w:rPr>
        <w:t>24</w:t>
      </w:r>
      <w:r>
        <w:rPr>
          <w:rFonts w:hint="eastAsia" w:ascii="宋体" w:hAnsi="宋体" w:eastAsia="宋体" w:cs="宋体"/>
          <w:sz w:val="21"/>
          <w:szCs w:val="21"/>
        </w:rPr>
        <w:t>个月，缺陷责任期自工程竣工验收合格之日起计算。单位工程先于全部工程进行验收，单位工程缺陷责任期自单位工程验收合格之日起算。</w:t>
      </w:r>
    </w:p>
    <w:p>
      <w:pPr>
        <w:spacing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四、质量保修责任</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1．属于保修范围、内容的项目，承包人应当在接到保修通知之日起7天内派人保修。承包人不在约定期限内派人保修的，发包人可以委托他人修理。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2．发生紧急事故需抢修的，承包人在接到事故通知后，应当立即到达事故现场抢修。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4．质量保修完成后，由发包人组织验收。</w:t>
      </w:r>
    </w:p>
    <w:p>
      <w:pPr>
        <w:spacing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五、保修费用</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保修费用由造成质量缺陷的责任方承担。</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六、双方约定的其他工程质量保修事项</w:t>
      </w:r>
      <w:r>
        <w:rPr>
          <w:rFonts w:hint="eastAsia" w:ascii="宋体" w:hAnsi="宋体" w:eastAsia="宋体" w:cs="宋体"/>
          <w:bCs/>
          <w:sz w:val="21"/>
          <w:szCs w:val="21"/>
        </w:rPr>
        <w:t>：</w:t>
      </w:r>
      <w:r>
        <w:rPr>
          <w:rFonts w:hint="eastAsia" w:ascii="宋体" w:hAnsi="宋体" w:eastAsia="宋体" w:cs="宋体"/>
          <w:sz w:val="21"/>
          <w:szCs w:val="21"/>
          <w:u w:val="single"/>
        </w:rPr>
        <w:t>①工程质量保修期间，发包人已书面文件送达至承包人，即视为承包人已收到发包人的相关通知。②如承包人未按《工程质量保修书》所规定的期限内保修的，发包人可以委托他人修理，由此造成的一切责任（包括安全责任）由承包人承担，所需的保修费用从质量保证金中扣除，不足部分由承包人承担</w:t>
      </w:r>
      <w:r>
        <w:rPr>
          <w:rFonts w:hint="eastAsia" w:ascii="宋体" w:hAnsi="宋体" w:eastAsia="宋体" w:cs="宋体"/>
          <w:sz w:val="21"/>
          <w:szCs w:val="21"/>
        </w:rPr>
        <w:t>。</w:t>
      </w:r>
    </w:p>
    <w:p>
      <w:pPr>
        <w:spacing w:line="360" w:lineRule="exact"/>
        <w:ind w:firstLine="399" w:firstLineChars="190"/>
        <w:rPr>
          <w:rFonts w:hint="eastAsia" w:ascii="宋体" w:hAnsi="宋体" w:eastAsia="宋体" w:cs="宋体"/>
          <w:sz w:val="21"/>
          <w:szCs w:val="21"/>
        </w:rPr>
      </w:pPr>
      <w:r>
        <w:rPr>
          <w:rFonts w:hint="eastAsia" w:ascii="宋体" w:hAnsi="宋体" w:eastAsia="宋体" w:cs="宋体"/>
          <w:sz w:val="21"/>
          <w:szCs w:val="21"/>
        </w:rPr>
        <w:t>工程质量保修书由发包人、承包人在工程竣工验收前共同签署，作为施工合同附件，其有效期限至保修期满。</w:t>
      </w:r>
    </w:p>
    <w:p>
      <w:pPr>
        <w:spacing w:line="360" w:lineRule="exact"/>
        <w:rPr>
          <w:rFonts w:hint="eastAsia" w:ascii="宋体" w:hAnsi="宋体" w:eastAsia="宋体" w:cs="宋体"/>
          <w:sz w:val="21"/>
          <w:szCs w:val="21"/>
        </w:rPr>
      </w:pPr>
    </w:p>
    <w:p>
      <w:pPr>
        <w:spacing w:line="360" w:lineRule="exact"/>
        <w:rPr>
          <w:rFonts w:hint="eastAsia" w:ascii="宋体" w:hAnsi="宋体" w:eastAsia="宋体" w:cs="宋体"/>
          <w:sz w:val="21"/>
          <w:szCs w:val="21"/>
        </w:rPr>
      </w:pPr>
    </w:p>
    <w:p>
      <w:pPr>
        <w:spacing w:line="360" w:lineRule="exact"/>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发包人（公章）：</w:t>
      </w:r>
      <w:r>
        <w:rPr>
          <w:rFonts w:hint="eastAsia" w:ascii="宋体" w:hAnsi="宋体" w:eastAsia="宋体" w:cs="宋体"/>
          <w:sz w:val="21"/>
          <w:szCs w:val="21"/>
          <w:u w:val="single"/>
        </w:rPr>
        <w:t>         </w:t>
      </w:r>
      <w:r>
        <w:rPr>
          <w:rFonts w:hint="eastAsia" w:ascii="宋体" w:hAnsi="宋体" w:eastAsia="宋体" w:cs="宋体"/>
          <w:sz w:val="21"/>
          <w:szCs w:val="21"/>
        </w:rPr>
        <w:t>承包人（公章）：</w:t>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single"/>
        </w:rPr>
        <w:t>           </w:t>
      </w:r>
      <w:r>
        <w:rPr>
          <w:rFonts w:hint="eastAsia" w:ascii="宋体" w:hAnsi="宋体" w:eastAsia="宋体" w:cs="宋体"/>
          <w:sz w:val="21"/>
          <w:szCs w:val="21"/>
        </w:rPr>
        <w:t>地址：</w:t>
      </w:r>
      <w:r>
        <w:rPr>
          <w:rFonts w:hint="eastAsia" w:ascii="宋体" w:hAnsi="宋体" w:eastAsia="宋体" w:cs="宋体"/>
          <w:sz w:val="21"/>
          <w:szCs w:val="21"/>
          <w:u w:val="single"/>
        </w:rPr>
        <w:t>            </w:t>
      </w:r>
    </w:p>
    <w:p>
      <w:pPr>
        <w:spacing w:line="360" w:lineRule="auto"/>
        <w:rPr>
          <w:rFonts w:hint="eastAsia" w:ascii="宋体" w:hAnsi="宋体" w:eastAsia="宋体" w:cs="宋体"/>
          <w:sz w:val="21"/>
          <w:szCs w:val="21"/>
        </w:rPr>
      </w:pPr>
      <w:r>
        <w:rPr>
          <w:rFonts w:hint="eastAsia" w:ascii="宋体" w:hAnsi="宋体" w:eastAsia="宋体" w:cs="宋体"/>
          <w:sz w:val="21"/>
          <w:szCs w:val="21"/>
        </w:rPr>
        <w:t>法定代表人或               法定代表人或</w:t>
      </w:r>
    </w:p>
    <w:p>
      <w:pPr>
        <w:spacing w:line="360" w:lineRule="auto"/>
        <w:rPr>
          <w:rFonts w:hint="eastAsia" w:ascii="宋体" w:hAnsi="宋体" w:eastAsia="宋体" w:cs="宋体"/>
          <w:sz w:val="21"/>
          <w:szCs w:val="21"/>
        </w:rPr>
      </w:pPr>
      <w:r>
        <w:rPr>
          <w:rFonts w:hint="eastAsia" w:ascii="宋体" w:hAnsi="宋体" w:eastAsia="宋体" w:cs="宋体"/>
          <w:sz w:val="21"/>
          <w:szCs w:val="21"/>
        </w:rPr>
        <w:t>委托代理人（签字）：</w:t>
      </w:r>
      <w:r>
        <w:rPr>
          <w:rFonts w:hint="eastAsia" w:ascii="宋体" w:hAnsi="宋体" w:eastAsia="宋体" w:cs="宋体"/>
          <w:sz w:val="21"/>
          <w:szCs w:val="21"/>
          <w:u w:val="single"/>
        </w:rPr>
        <w:t>       </w:t>
      </w:r>
      <w:r>
        <w:rPr>
          <w:rFonts w:hint="eastAsia" w:ascii="宋体" w:hAnsi="宋体" w:eastAsia="宋体" w:cs="宋体"/>
          <w:sz w:val="21"/>
          <w:szCs w:val="21"/>
        </w:rPr>
        <w:t>委托代理人（签字）：</w:t>
      </w:r>
      <w:r>
        <w:rPr>
          <w:rFonts w:hint="eastAsia" w:ascii="宋体" w:hAnsi="宋体" w:eastAsia="宋体" w:cs="宋体"/>
          <w:sz w:val="21"/>
          <w:szCs w:val="21"/>
          <w:u w:val="single"/>
        </w:rPr>
        <w:t>        </w:t>
      </w:r>
    </w:p>
    <w:p>
      <w:pPr>
        <w:spacing w:line="360" w:lineRule="auto"/>
        <w:rPr>
          <w:rFonts w:hint="eastAsia" w:ascii="宋体" w:hAnsi="宋体" w:eastAsia="宋体" w:cs="宋体"/>
          <w:sz w:val="21"/>
          <w:szCs w:val="21"/>
        </w:rPr>
      </w:pPr>
      <w:r>
        <w:rPr>
          <w:rFonts w:hint="eastAsia" w:ascii="宋体" w:hAnsi="宋体" w:eastAsia="宋体" w:cs="宋体"/>
          <w:sz w:val="21"/>
          <w:szCs w:val="21"/>
        </w:rPr>
        <w:t>电话：</w:t>
      </w:r>
      <w:r>
        <w:rPr>
          <w:rFonts w:hint="eastAsia" w:ascii="宋体" w:hAnsi="宋体" w:eastAsia="宋体" w:cs="宋体"/>
          <w:sz w:val="21"/>
          <w:szCs w:val="21"/>
          <w:u w:val="single"/>
        </w:rPr>
        <w:t>         </w:t>
      </w:r>
      <w:r>
        <w:rPr>
          <w:rFonts w:hint="eastAsia" w:ascii="宋体" w:hAnsi="宋体" w:eastAsia="宋体" w:cs="宋体"/>
          <w:sz w:val="21"/>
          <w:szCs w:val="21"/>
        </w:rPr>
        <w:t>电话：</w:t>
      </w:r>
      <w:r>
        <w:rPr>
          <w:rFonts w:hint="eastAsia" w:ascii="宋体" w:hAnsi="宋体" w:eastAsia="宋体" w:cs="宋体"/>
          <w:sz w:val="21"/>
          <w:szCs w:val="21"/>
          <w:u w:val="single"/>
        </w:rPr>
        <w:t>          </w:t>
      </w:r>
    </w:p>
    <w:p>
      <w:pPr>
        <w:spacing w:line="360" w:lineRule="auto"/>
        <w:rPr>
          <w:rFonts w:hint="eastAsia" w:ascii="宋体" w:hAnsi="宋体" w:eastAsia="宋体" w:cs="宋体"/>
          <w:sz w:val="21"/>
          <w:szCs w:val="21"/>
        </w:rPr>
      </w:pPr>
      <w:r>
        <w:rPr>
          <w:rFonts w:hint="eastAsia" w:ascii="宋体" w:hAnsi="宋体" w:eastAsia="宋体" w:cs="宋体"/>
          <w:sz w:val="21"/>
          <w:szCs w:val="21"/>
        </w:rPr>
        <w:t>传真：</w:t>
      </w:r>
      <w:r>
        <w:rPr>
          <w:rFonts w:hint="eastAsia" w:ascii="宋体" w:hAnsi="宋体" w:eastAsia="宋体" w:cs="宋体"/>
          <w:sz w:val="21"/>
          <w:szCs w:val="21"/>
          <w:u w:val="single"/>
        </w:rPr>
        <w:t>         </w:t>
      </w:r>
      <w:r>
        <w:rPr>
          <w:rFonts w:hint="eastAsia" w:ascii="宋体" w:hAnsi="宋体" w:eastAsia="宋体" w:cs="宋体"/>
          <w:sz w:val="21"/>
          <w:szCs w:val="21"/>
        </w:rPr>
        <w:t>传真：</w:t>
      </w:r>
      <w:r>
        <w:rPr>
          <w:rFonts w:hint="eastAsia" w:ascii="宋体" w:hAnsi="宋体" w:eastAsia="宋体" w:cs="宋体"/>
          <w:sz w:val="21"/>
          <w:szCs w:val="21"/>
          <w:u w:val="single"/>
        </w:rPr>
        <w:t>          </w:t>
      </w:r>
    </w:p>
    <w:p>
      <w:pPr>
        <w:spacing w:line="360" w:lineRule="auto"/>
        <w:rPr>
          <w:rFonts w:hint="eastAsia" w:ascii="宋体" w:hAnsi="宋体" w:eastAsia="宋体" w:cs="宋体"/>
          <w:sz w:val="21"/>
          <w:szCs w:val="21"/>
        </w:rPr>
      </w:pPr>
      <w:r>
        <w:rPr>
          <w:rFonts w:hint="eastAsia" w:ascii="宋体" w:hAnsi="宋体" w:eastAsia="宋体" w:cs="宋体"/>
          <w:sz w:val="21"/>
          <w:szCs w:val="21"/>
        </w:rPr>
        <w:t>开户银行：</w:t>
      </w:r>
      <w:r>
        <w:rPr>
          <w:rFonts w:hint="eastAsia" w:ascii="宋体" w:hAnsi="宋体" w:eastAsia="宋体" w:cs="宋体"/>
          <w:sz w:val="21"/>
          <w:szCs w:val="21"/>
          <w:u w:val="single"/>
        </w:rPr>
        <w:t>      </w:t>
      </w:r>
      <w:r>
        <w:rPr>
          <w:rFonts w:hint="eastAsia" w:ascii="宋体" w:hAnsi="宋体" w:eastAsia="宋体" w:cs="宋体"/>
          <w:sz w:val="21"/>
          <w:szCs w:val="21"/>
        </w:rPr>
        <w:t>开户银行：</w:t>
      </w:r>
      <w:r>
        <w:rPr>
          <w:rFonts w:hint="eastAsia" w:ascii="宋体" w:hAnsi="宋体" w:eastAsia="宋体" w:cs="宋体"/>
          <w:sz w:val="21"/>
          <w:szCs w:val="21"/>
          <w:u w:val="single"/>
        </w:rPr>
        <w:t>       </w:t>
      </w:r>
    </w:p>
    <w:p>
      <w:pPr>
        <w:spacing w:line="360" w:lineRule="auto"/>
        <w:rPr>
          <w:rFonts w:hint="eastAsia" w:ascii="宋体" w:hAnsi="宋体" w:eastAsia="宋体" w:cs="宋体"/>
          <w:sz w:val="21"/>
          <w:szCs w:val="21"/>
        </w:rPr>
      </w:pPr>
      <w:r>
        <w:rPr>
          <w:rFonts w:hint="eastAsia" w:ascii="宋体" w:hAnsi="宋体" w:eastAsia="宋体" w:cs="宋体"/>
          <w:sz w:val="21"/>
          <w:szCs w:val="21"/>
        </w:rPr>
        <w:t>账号：</w:t>
      </w:r>
      <w:r>
        <w:rPr>
          <w:rFonts w:hint="eastAsia" w:ascii="宋体" w:hAnsi="宋体" w:eastAsia="宋体" w:cs="宋体"/>
          <w:sz w:val="21"/>
          <w:szCs w:val="21"/>
          <w:u w:val="single"/>
        </w:rPr>
        <w:t>            </w:t>
      </w:r>
      <w:r>
        <w:rPr>
          <w:rFonts w:hint="eastAsia" w:ascii="宋体" w:hAnsi="宋体" w:eastAsia="宋体" w:cs="宋体"/>
          <w:sz w:val="21"/>
          <w:szCs w:val="21"/>
        </w:rPr>
        <w:t>账号：</w:t>
      </w:r>
      <w:r>
        <w:rPr>
          <w:rFonts w:hint="eastAsia" w:ascii="宋体" w:hAnsi="宋体" w:eastAsia="宋体" w:cs="宋体"/>
          <w:sz w:val="21"/>
          <w:szCs w:val="21"/>
          <w:u w:val="single"/>
        </w:rPr>
        <w:t>           </w:t>
      </w:r>
    </w:p>
    <w:p>
      <w:pPr>
        <w:spacing w:line="360" w:lineRule="auto"/>
        <w:rPr>
          <w:rFonts w:hint="eastAsia" w:ascii="宋体" w:hAnsi="宋体" w:eastAsia="宋体" w:cs="宋体"/>
          <w:sz w:val="21"/>
          <w:szCs w:val="21"/>
        </w:rPr>
      </w:pPr>
      <w:r>
        <w:rPr>
          <w:rFonts w:hint="eastAsia" w:ascii="宋体" w:hAnsi="宋体" w:eastAsia="宋体" w:cs="宋体"/>
          <w:sz w:val="21"/>
          <w:szCs w:val="21"/>
        </w:rPr>
        <w:t>邮政编码：</w:t>
      </w:r>
      <w:r>
        <w:rPr>
          <w:rFonts w:hint="eastAsia" w:ascii="宋体" w:hAnsi="宋体" w:eastAsia="宋体" w:cs="宋体"/>
          <w:sz w:val="21"/>
          <w:szCs w:val="21"/>
          <w:u w:val="single"/>
        </w:rPr>
        <w:t>        </w:t>
      </w:r>
      <w:r>
        <w:rPr>
          <w:rFonts w:hint="eastAsia" w:ascii="宋体" w:hAnsi="宋体" w:eastAsia="宋体" w:cs="宋体"/>
          <w:sz w:val="21"/>
          <w:szCs w:val="21"/>
        </w:rPr>
        <w:t>邮政编码：</w:t>
      </w:r>
      <w:r>
        <w:rPr>
          <w:rFonts w:hint="eastAsia" w:ascii="宋体" w:hAnsi="宋体" w:eastAsia="宋体" w:cs="宋体"/>
          <w:sz w:val="21"/>
          <w:szCs w:val="21"/>
          <w:u w:val="single"/>
        </w:rPr>
        <w:t>       </w:t>
      </w: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spacing w:line="360" w:lineRule="exact"/>
        <w:ind w:firstLine="480" w:firstLineChars="200"/>
        <w:jc w:val="center"/>
        <w:rPr>
          <w:rFonts w:hint="eastAsia" w:asciiTheme="majorEastAsia" w:hAnsiTheme="majorEastAsia" w:eastAsiaTheme="majorEastAsia" w:cstheme="majorEastAsia"/>
          <w:bCs/>
          <w:sz w:val="24"/>
          <w:szCs w:val="24"/>
        </w:rPr>
      </w:pPr>
    </w:p>
    <w:p>
      <w:pP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br w:type="page"/>
      </w:r>
    </w:p>
    <w:p>
      <w:pPr>
        <w:spacing w:line="360" w:lineRule="exact"/>
        <w:ind w:firstLine="480" w:firstLineChars="200"/>
        <w:jc w:val="center"/>
        <w:rPr>
          <w:rFonts w:hint="eastAsia" w:ascii="宋体" w:hAnsi="宋体" w:eastAsia="宋体" w:cs="宋体"/>
          <w:bCs/>
          <w:sz w:val="24"/>
          <w:szCs w:val="24"/>
        </w:rPr>
      </w:pPr>
      <w:r>
        <w:rPr>
          <w:rFonts w:hint="eastAsia" w:ascii="宋体" w:hAnsi="宋体" w:eastAsia="宋体" w:cs="宋体"/>
          <w:bCs/>
          <w:sz w:val="24"/>
          <w:szCs w:val="24"/>
        </w:rPr>
        <w:t>第四部分    工程建设项目廉政责任书</w:t>
      </w:r>
    </w:p>
    <w:p>
      <w:pPr>
        <w:spacing w:line="360" w:lineRule="exact"/>
        <w:jc w:val="left"/>
        <w:rPr>
          <w:rFonts w:hint="eastAsia" w:ascii="宋体" w:hAnsi="宋体" w:eastAsia="宋体" w:cs="宋体"/>
          <w:sz w:val="21"/>
          <w:szCs w:val="21"/>
        </w:rPr>
      </w:pP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工程项目名称：</w:t>
      </w:r>
      <w:r>
        <w:rPr>
          <w:rFonts w:hint="eastAsia" w:ascii="宋体" w:hAnsi="宋体" w:eastAsia="宋体" w:cs="宋体"/>
          <w:sz w:val="21"/>
          <w:szCs w:val="21"/>
          <w:u w:val="single"/>
          <w:lang w:eastAsia="zh-CN"/>
        </w:rPr>
        <w:t>临海市东矶岛渔业综合管理项目</w:t>
      </w:r>
      <w:r>
        <w:rPr>
          <w:rFonts w:hint="eastAsia" w:ascii="宋体" w:hAnsi="宋体" w:eastAsia="宋体" w:cs="宋体"/>
          <w:sz w:val="21"/>
          <w:szCs w:val="21"/>
        </w:rPr>
        <w:t xml:space="preserve">                            </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工程项目地址：</w:t>
      </w:r>
      <w:r>
        <w:rPr>
          <w:rFonts w:hint="eastAsia" w:ascii="宋体" w:hAnsi="宋体" w:eastAsia="宋体" w:cs="宋体"/>
          <w:sz w:val="21"/>
          <w:szCs w:val="21"/>
          <w:u w:val="single"/>
          <w:lang w:eastAsia="zh-CN"/>
        </w:rPr>
        <w:t>东矶岛上</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建设单位（甲方）：</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施工单位（乙方）：</w:t>
      </w:r>
      <w:r>
        <w:rPr>
          <w:rFonts w:hint="eastAsia" w:ascii="宋体" w:hAnsi="宋体" w:eastAsia="宋体" w:cs="宋体"/>
          <w:sz w:val="21"/>
          <w:szCs w:val="21"/>
          <w:u w:val="single"/>
        </w:rPr>
        <w:t xml:space="preserve">                                                         </w:t>
      </w:r>
    </w:p>
    <w:p>
      <w:pPr>
        <w:autoSpaceDE w:val="0"/>
        <w:autoSpaceDN w:val="0"/>
        <w:spacing w:line="360" w:lineRule="exact"/>
        <w:ind w:firstLine="482"/>
        <w:rPr>
          <w:rFonts w:hint="eastAsia" w:ascii="宋体" w:hAnsi="宋体" w:eastAsia="宋体" w:cs="宋体"/>
          <w:sz w:val="21"/>
          <w:szCs w:val="21"/>
        </w:rPr>
      </w:pPr>
    </w:p>
    <w:p>
      <w:pPr>
        <w:autoSpaceDE w:val="0"/>
        <w:autoSpaceDN w:val="0"/>
        <w:spacing w:line="360" w:lineRule="exact"/>
        <w:ind w:firstLine="482"/>
        <w:rPr>
          <w:rFonts w:hint="eastAsia" w:ascii="宋体" w:hAnsi="宋体" w:eastAsia="宋体" w:cs="宋体"/>
          <w:sz w:val="21"/>
          <w:szCs w:val="21"/>
        </w:rPr>
      </w:pPr>
      <w:r>
        <w:rPr>
          <w:rFonts w:hint="eastAsia" w:ascii="宋体" w:hAnsi="宋体" w:eastAsia="宋体" w:cs="宋体"/>
          <w:sz w:val="21"/>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第一条 甲乙双方的责任</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（一）应严格遵守国家关于市场准入、项目招标投标、工程建设、施工安装和市场活动等有关法律、法规，相关政策，以及廉政建设的各项规定。</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（二）严格执行建设工程项目承发包合同文件，自觉按合同办事。</w:t>
      </w:r>
    </w:p>
    <w:p>
      <w:pPr>
        <w:spacing w:line="360" w:lineRule="exact"/>
        <w:rPr>
          <w:rFonts w:hint="eastAsia" w:ascii="宋体" w:hAnsi="宋体" w:eastAsia="宋体" w:cs="宋体"/>
          <w:sz w:val="21"/>
          <w:szCs w:val="21"/>
        </w:rPr>
      </w:pPr>
      <w:r>
        <w:rPr>
          <w:rFonts w:hint="eastAsia" w:ascii="宋体" w:hAnsi="宋体" w:eastAsia="宋体" w:cs="宋体"/>
          <w:sz w:val="21"/>
          <w:szCs w:val="21"/>
        </w:rPr>
        <w:t>　　（三）业务活动必须坚持公开、公平、公正、诚信、透明的原则（除法律法规另有规定者外），不得为获取不正当的利益，损害国家、集体和对方利益，不得违反工程建设管理、施工安装的规章制度。</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（四）发现对方在业务活动中有违规、违纪、违法行为的，应及时提醒对方，情节严重的，应向其上级主管部门或纪检监察、司法等有关机关举报。</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第二条 甲方的责任</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甲方的领导和从事该建设工程项目的工作人员，在工程建设的事前、事中、事后应遵守以下规定：</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（一）不准向乙方和相关单位索要或接受回扣、礼金、有价证券、贵重物品和好处费、感谢费等。</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（二）不准在乙方和相关单位报销任何应由甲方或个人支付的费用。</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（三）不准要求、暗示和接受乙方和相关单位为个人装修住房、婚丧嫁娶、配偶子女的工作安排以及出国（境）、旅游等提供方便。</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（四）不准参加有可能影响公正执行公务的乙方和相关单位的宴请和健身、娱乐等活动。</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第三条 乙方的责任</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应与甲方保持正常的业务交往，按照有关法律法规和程序开展业务工作，严格执行工程建设的有关方针、政策，尤其是有关建筑施工安装的强制性标准和规范，并遵守以下规定：</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（一）不准以任何理由向甲方、相关单位及其工作人员索要、接受或赠送礼金、有价证券、贵重物品和回扣、好处费、感谢费等。</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（二）不准以任何理由为甲方和相关单位报销应由对方或个人支付的费用。</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（三）不准接受或暗示为甲方、相关单位或个人装修住房、婚丧嫁娶、配偶子女的工作安排以及出国（境）、旅游等提供方便。</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（四）不准以任何理由为甲方、相关单位或个人组织有可能影响公正执行公务的宴请、健身、娱乐等活动。</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第四条 违约责任</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第五条 本责任书作为工程施工合同的附件，与工程施工合同具有同等法律效力。经双方签署后立即生效。</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第六条 本责任书的有效期为双方签署之日起至该工程项目竣工验收合格时止。</w:t>
      </w:r>
    </w:p>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　　第七条 本责任书份数同合同份数。</w:t>
      </w:r>
    </w:p>
    <w:p>
      <w:pPr>
        <w:autoSpaceDE w:val="0"/>
        <w:autoSpaceDN w:val="0"/>
        <w:spacing w:line="360" w:lineRule="exact"/>
        <w:ind w:firstLine="482"/>
        <w:rPr>
          <w:rFonts w:hint="eastAsia" w:ascii="宋体" w:hAnsi="宋体" w:eastAsia="宋体" w:cs="宋体"/>
          <w:sz w:val="21"/>
          <w:szCs w:val="21"/>
        </w:rPr>
      </w:pPr>
    </w:p>
    <w:p>
      <w:pPr>
        <w:autoSpaceDE w:val="0"/>
        <w:autoSpaceDN w:val="0"/>
        <w:spacing w:line="360" w:lineRule="exact"/>
        <w:ind w:firstLine="482"/>
        <w:rPr>
          <w:rFonts w:hint="eastAsia" w:ascii="宋体" w:hAnsi="宋体" w:eastAsia="宋体" w:cs="宋体"/>
          <w:sz w:val="21"/>
          <w:szCs w:val="21"/>
        </w:rPr>
      </w:pPr>
    </w:p>
    <w:p>
      <w:pPr>
        <w:autoSpaceDE w:val="0"/>
        <w:autoSpaceDN w:val="0"/>
        <w:spacing w:line="360" w:lineRule="exact"/>
        <w:ind w:firstLine="482"/>
        <w:rPr>
          <w:rFonts w:hint="eastAsia" w:ascii="宋体" w:hAnsi="宋体" w:eastAsia="宋体" w:cs="宋体"/>
          <w:sz w:val="21"/>
          <w:szCs w:val="21"/>
        </w:rPr>
      </w:pPr>
      <w:r>
        <w:rPr>
          <w:rFonts w:hint="eastAsia" w:ascii="宋体" w:hAnsi="宋体" w:eastAsia="宋体" w:cs="宋体"/>
          <w:sz w:val="21"/>
          <w:szCs w:val="21"/>
        </w:rPr>
        <w:t>甲方单位：（盖章）　　　　　　　　                 乙方单位：（盖章）</w:t>
      </w:r>
    </w:p>
    <w:p>
      <w:pPr>
        <w:autoSpaceDE w:val="0"/>
        <w:autoSpaceDN w:val="0"/>
        <w:spacing w:line="360" w:lineRule="exact"/>
        <w:ind w:firstLine="482"/>
        <w:rPr>
          <w:rFonts w:hint="eastAsia" w:ascii="宋体" w:hAnsi="宋体" w:eastAsia="宋体" w:cs="宋体"/>
          <w:sz w:val="21"/>
          <w:szCs w:val="21"/>
        </w:rPr>
      </w:pPr>
      <w:r>
        <w:rPr>
          <w:rFonts w:hint="eastAsia" w:ascii="宋体" w:hAnsi="宋体" w:eastAsia="宋体" w:cs="宋体"/>
          <w:sz w:val="21"/>
          <w:szCs w:val="21"/>
        </w:rPr>
        <w:t>法定代表人：　　　　　　　　　               　　　法定代表人：</w:t>
      </w:r>
    </w:p>
    <w:p>
      <w:pPr>
        <w:autoSpaceDE w:val="0"/>
        <w:autoSpaceDN w:val="0"/>
        <w:spacing w:line="360" w:lineRule="exact"/>
        <w:ind w:firstLine="482"/>
        <w:rPr>
          <w:rFonts w:hint="eastAsia" w:ascii="宋体" w:hAnsi="宋体" w:eastAsia="宋体" w:cs="宋体"/>
          <w:sz w:val="21"/>
          <w:szCs w:val="21"/>
        </w:rPr>
      </w:pPr>
      <w:r>
        <w:rPr>
          <w:rFonts w:hint="eastAsia" w:ascii="宋体" w:hAnsi="宋体" w:eastAsia="宋体" w:cs="宋体"/>
          <w:sz w:val="21"/>
          <w:szCs w:val="21"/>
        </w:rPr>
        <w:t>地址：　　　　　　　　　　　　　               　　地址：</w:t>
      </w:r>
    </w:p>
    <w:p>
      <w:pPr>
        <w:autoSpaceDE w:val="0"/>
        <w:autoSpaceDN w:val="0"/>
        <w:spacing w:line="360" w:lineRule="exact"/>
        <w:ind w:firstLine="482"/>
        <w:rPr>
          <w:rFonts w:hint="eastAsia" w:ascii="宋体" w:hAnsi="宋体" w:eastAsia="宋体" w:cs="宋体"/>
          <w:sz w:val="21"/>
          <w:szCs w:val="21"/>
        </w:rPr>
      </w:pPr>
      <w:r>
        <w:rPr>
          <w:rFonts w:hint="eastAsia" w:ascii="宋体" w:hAnsi="宋体" w:eastAsia="宋体" w:cs="宋体"/>
          <w:sz w:val="21"/>
          <w:szCs w:val="21"/>
        </w:rPr>
        <w:t>电话：　　　　　　　　　　　　　　　               电话：</w:t>
      </w:r>
    </w:p>
    <w:p>
      <w:pPr>
        <w:autoSpaceDE w:val="0"/>
        <w:autoSpaceDN w:val="0"/>
        <w:spacing w:line="360" w:lineRule="exact"/>
        <w:ind w:firstLine="482"/>
        <w:rPr>
          <w:rFonts w:hint="eastAsia" w:ascii="宋体" w:hAnsi="宋体" w:eastAsia="宋体" w:cs="宋体"/>
          <w:sz w:val="21"/>
          <w:szCs w:val="21"/>
        </w:rPr>
      </w:pPr>
      <w:r>
        <w:rPr>
          <w:rFonts w:hint="eastAsia" w:ascii="宋体" w:hAnsi="宋体" w:eastAsia="宋体" w:cs="宋体"/>
          <w:sz w:val="21"/>
          <w:szCs w:val="21"/>
        </w:rPr>
        <w:t>年　月　日　　　　　　　　　　　　　               年　月　日</w:t>
      </w:r>
    </w:p>
    <w:p>
      <w:pPr>
        <w:pStyle w:val="20"/>
        <w:spacing w:line="400" w:lineRule="exact"/>
        <w:jc w:val="left"/>
        <w:rPr>
          <w:rFonts w:hint="eastAsia" w:asciiTheme="majorEastAsia" w:hAnsiTheme="majorEastAsia" w:eastAsiaTheme="majorEastAsia" w:cstheme="majorEastAsia"/>
          <w:b w:val="0"/>
          <w:bCs/>
          <w:sz w:val="24"/>
          <w:szCs w:val="24"/>
        </w:rPr>
      </w:pPr>
    </w:p>
    <w:p>
      <w:pPr>
        <w:snapToGrid w:val="0"/>
        <w:spacing w:line="440" w:lineRule="exact"/>
        <w:ind w:firstLine="240" w:firstLineChars="100"/>
        <w:rPr>
          <w:rFonts w:hint="eastAsia" w:ascii="宋体" w:hAnsi="宋体"/>
          <w:kern w:val="0"/>
          <w:sz w:val="24"/>
        </w:rPr>
      </w:pPr>
    </w:p>
    <w:p>
      <w:pPr>
        <w:pStyle w:val="29"/>
        <w:snapToGrid w:val="0"/>
        <w:spacing w:before="120" w:after="120" w:line="440" w:lineRule="exact"/>
        <w:rPr>
          <w:rFonts w:hint="eastAsia" w:ascii="Times New Roman" w:hAnsi="宋体"/>
          <w:kern w:val="2"/>
          <w:sz w:val="21"/>
        </w:rPr>
      </w:pPr>
      <w:r>
        <w:rPr>
          <w:rFonts w:ascii="Times New Roman" w:hAnsi="宋体"/>
          <w:b/>
          <w:bCs/>
        </w:rPr>
        <w:t xml:space="preserve"> </w:t>
      </w:r>
      <w:r>
        <w:rPr>
          <w:rFonts w:ascii="Times New Roman" w:hAnsi="宋体"/>
          <w:b/>
          <w:bCs/>
          <w:sz w:val="21"/>
        </w:rPr>
        <w:t xml:space="preserve"> </w:t>
      </w:r>
      <w:r>
        <w:rPr>
          <w:rFonts w:ascii="Times New Roman" w:hAnsi="宋体"/>
          <w:sz w:val="21"/>
        </w:rPr>
        <w:t xml:space="preserve">     </w:t>
      </w:r>
    </w:p>
    <w:p>
      <w:pPr>
        <w:adjustRightInd w:val="0"/>
        <w:spacing w:line="360" w:lineRule="auto"/>
        <w:ind w:left="3092" w:hanging="2319" w:hangingChars="1100"/>
        <w:jc w:val="both"/>
        <w:rPr>
          <w:rFonts w:hAnsi="宋体"/>
          <w:b/>
          <w:bCs/>
          <w:color w:val="auto"/>
          <w:sz w:val="28"/>
          <w:szCs w:val="28"/>
          <w:highlight w:val="none"/>
          <w:u w:val="single"/>
          <w:shd w:val="pct10" w:color="auto" w:fill="FFFFFF"/>
        </w:rPr>
      </w:pPr>
      <w:r>
        <w:rPr>
          <w:rFonts w:asciiTheme="minorEastAsia" w:hAnsiTheme="minorEastAsia" w:eastAsiaTheme="minorEastAsia"/>
          <w:b/>
          <w:bCs/>
          <w:color w:val="auto"/>
          <w:highlight w:val="none"/>
        </w:rPr>
        <w:br w:type="page"/>
      </w:r>
      <w:r>
        <w:rPr>
          <w:rFonts w:hint="eastAsia" w:asciiTheme="minorEastAsia" w:hAnsiTheme="minorEastAsia" w:eastAsiaTheme="minorEastAsia"/>
          <w:b/>
          <w:bCs/>
          <w:color w:val="auto"/>
          <w:highlight w:val="none"/>
          <w:lang w:val="en-US" w:eastAsia="zh-CN"/>
        </w:rPr>
        <w:t xml:space="preserve">                             </w:t>
      </w:r>
      <w:r>
        <w:rPr>
          <w:rFonts w:hint="eastAsia" w:hAnsi="宋体"/>
          <w:b/>
          <w:color w:val="auto"/>
          <w:sz w:val="30"/>
          <w:szCs w:val="30"/>
          <w:highlight w:val="none"/>
        </w:rPr>
        <w:t>第六章　响应文件格式</w:t>
      </w:r>
    </w:p>
    <w:p>
      <w:pPr>
        <w:pStyle w:val="29"/>
        <w:snapToGrid w:val="0"/>
        <w:spacing w:beforeLines="0" w:afterLines="0" w:line="420" w:lineRule="exact"/>
        <w:jc w:val="center"/>
        <w:rPr>
          <w:rFonts w:hAnsi="宋体"/>
          <w:color w:val="auto"/>
          <w:sz w:val="30"/>
          <w:szCs w:val="30"/>
          <w:highlight w:val="none"/>
        </w:rPr>
      </w:pPr>
    </w:p>
    <w:p>
      <w:pPr>
        <w:snapToGrid w:val="0"/>
        <w:spacing w:before="120" w:beforeLines="50" w:after="50"/>
        <w:jc w:val="center"/>
        <w:outlineLvl w:val="1"/>
        <w:rPr>
          <w:rFonts w:ascii="宋体" w:hAnsi="宋体"/>
          <w:b/>
          <w:bCs/>
          <w:color w:val="auto"/>
          <w:sz w:val="28"/>
          <w:szCs w:val="28"/>
          <w:highlight w:val="none"/>
        </w:rPr>
      </w:pPr>
      <w:bookmarkStart w:id="368" w:name="_Toc3459"/>
      <w:bookmarkStart w:id="369" w:name="_Toc265669850"/>
      <w:r>
        <w:rPr>
          <w:rFonts w:hint="eastAsia" w:ascii="宋体" w:hAnsi="宋体"/>
          <w:b/>
          <w:bCs/>
          <w:color w:val="auto"/>
          <w:sz w:val="28"/>
          <w:szCs w:val="28"/>
          <w:highlight w:val="none"/>
        </w:rPr>
        <w:t>一、资格响应文件格式</w:t>
      </w:r>
      <w:bookmarkEnd w:id="368"/>
    </w:p>
    <w:p>
      <w:pPr>
        <w:snapToGrid w:val="0"/>
        <w:spacing w:before="120" w:beforeLines="50" w:after="50"/>
        <w:jc w:val="center"/>
        <w:rPr>
          <w:rFonts w:ascii="宋体" w:hAnsi="宋体"/>
          <w:color w:val="auto"/>
          <w:sz w:val="28"/>
          <w:szCs w:val="28"/>
          <w:highlight w:val="none"/>
        </w:rPr>
      </w:pPr>
    </w:p>
    <w:p>
      <w:pPr>
        <w:snapToGrid w:val="0"/>
        <w:spacing w:before="120" w:beforeLines="50" w:after="50"/>
        <w:jc w:val="center"/>
        <w:rPr>
          <w:rFonts w:ascii="宋体" w:hAnsi="宋体"/>
          <w:color w:val="auto"/>
          <w:sz w:val="28"/>
          <w:szCs w:val="28"/>
          <w:highlight w:val="none"/>
        </w:rPr>
      </w:pPr>
    </w:p>
    <w:p>
      <w:pPr>
        <w:snapToGrid w:val="0"/>
        <w:spacing w:before="120" w:beforeLines="50" w:after="50"/>
        <w:ind w:firstLine="560" w:firstLineChars="200"/>
        <w:rPr>
          <w:rFonts w:ascii="宋体" w:hAns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 xml:space="preserve">.资格响应文件封面格式： </w:t>
      </w:r>
    </w:p>
    <w:p>
      <w:pPr>
        <w:snapToGrid w:val="0"/>
        <w:spacing w:before="120" w:beforeLines="50" w:after="50"/>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napToGrid w:val="0"/>
        <w:spacing w:before="120" w:beforeLines="50" w:after="50"/>
        <w:rPr>
          <w:rFonts w:ascii="宋体" w:hAnsi="宋体"/>
          <w:color w:val="auto"/>
          <w:sz w:val="28"/>
          <w:szCs w:val="28"/>
          <w:highlight w:val="none"/>
        </w:rPr>
      </w:pPr>
    </w:p>
    <w:p>
      <w:pPr>
        <w:snapToGrid w:val="0"/>
        <w:spacing w:before="120" w:beforeLines="50" w:after="50"/>
        <w:jc w:val="center"/>
        <w:rPr>
          <w:rFonts w:ascii="宋体" w:hAnsi="宋体"/>
          <w:bCs/>
          <w:color w:val="auto"/>
          <w:sz w:val="28"/>
          <w:szCs w:val="28"/>
          <w:highlight w:val="none"/>
        </w:rPr>
      </w:pPr>
    </w:p>
    <w:p>
      <w:pPr>
        <w:snapToGrid w:val="0"/>
        <w:spacing w:before="120" w:beforeLines="50" w:after="50"/>
        <w:jc w:val="center"/>
        <w:rPr>
          <w:rFonts w:ascii="宋体" w:hAnsi="宋体"/>
          <w:bCs/>
          <w:color w:val="auto"/>
          <w:sz w:val="28"/>
          <w:szCs w:val="28"/>
          <w:highlight w:val="none"/>
        </w:rPr>
      </w:pPr>
      <w:r>
        <w:rPr>
          <w:rFonts w:hint="eastAsia" w:ascii="宋体" w:hAnsi="宋体"/>
          <w:bCs/>
          <w:color w:val="auto"/>
          <w:sz w:val="28"/>
          <w:szCs w:val="28"/>
          <w:highlight w:val="none"/>
        </w:rPr>
        <w:t>资格响应文件</w:t>
      </w: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ind w:firstLine="1246" w:firstLineChars="445"/>
        <w:rPr>
          <w:rFonts w:ascii="宋体" w:hAnsi="宋体"/>
          <w:bCs/>
          <w:color w:val="auto"/>
          <w:sz w:val="28"/>
          <w:szCs w:val="28"/>
          <w:highlight w:val="none"/>
        </w:rPr>
      </w:pPr>
      <w:r>
        <w:rPr>
          <w:rFonts w:hint="eastAsia" w:ascii="宋体" w:hAnsi="宋体"/>
          <w:bCs/>
          <w:color w:val="auto"/>
          <w:sz w:val="28"/>
          <w:szCs w:val="28"/>
          <w:highlight w:val="none"/>
        </w:rPr>
        <w:t>项目名称：</w:t>
      </w:r>
    </w:p>
    <w:p>
      <w:pPr>
        <w:snapToGrid w:val="0"/>
        <w:spacing w:before="120" w:beforeLines="50" w:after="50"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 xml:space="preserve">     项目编号：    </w:t>
      </w:r>
    </w:p>
    <w:p>
      <w:pPr>
        <w:pStyle w:val="14"/>
        <w:snapToGrid w:val="0"/>
        <w:spacing w:before="50" w:after="50" w:line="360" w:lineRule="auto"/>
        <w:ind w:firstLine="1164" w:firstLineChars="416"/>
        <w:rPr>
          <w:rFonts w:ascii="宋体" w:hAnsi="宋体"/>
          <w:bCs/>
          <w:color w:val="auto"/>
          <w:sz w:val="28"/>
          <w:szCs w:val="28"/>
          <w:highlight w:val="none"/>
        </w:rPr>
      </w:pPr>
    </w:p>
    <w:p>
      <w:pPr>
        <w:pStyle w:val="1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供应商名称：</w:t>
      </w:r>
    </w:p>
    <w:p>
      <w:pPr>
        <w:pStyle w:val="1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供应商地址：</w:t>
      </w:r>
    </w:p>
    <w:p>
      <w:pPr>
        <w:pStyle w:val="14"/>
        <w:snapToGrid w:val="0"/>
        <w:spacing w:before="50" w:after="50"/>
        <w:ind w:firstLine="1120" w:firstLineChars="400"/>
        <w:rPr>
          <w:rFonts w:ascii="宋体" w:hAnsi="宋体"/>
          <w:bCs/>
          <w:color w:val="auto"/>
          <w:sz w:val="28"/>
          <w:szCs w:val="28"/>
          <w:highlight w:val="none"/>
        </w:rPr>
      </w:pPr>
    </w:p>
    <w:p>
      <w:pPr>
        <w:snapToGrid w:val="0"/>
        <w:spacing w:line="360" w:lineRule="auto"/>
        <w:ind w:firstLine="3360" w:firstLineChars="1200"/>
        <w:jc w:val="left"/>
        <w:rPr>
          <w:rFonts w:ascii="宋体" w:hAnsi="宋体"/>
          <w:color w:val="auto"/>
          <w:sz w:val="28"/>
          <w:szCs w:val="28"/>
          <w:highlight w:val="none"/>
        </w:rPr>
      </w:pPr>
    </w:p>
    <w:p>
      <w:pPr>
        <w:snapToGrid w:val="0"/>
        <w:spacing w:line="360" w:lineRule="auto"/>
        <w:ind w:firstLine="3640" w:firstLineChars="1300"/>
        <w:jc w:val="left"/>
        <w:rPr>
          <w:rFonts w:ascii="宋体" w:hAnsi="宋体"/>
          <w:color w:val="auto"/>
          <w:sz w:val="24"/>
          <w:highlight w:val="none"/>
        </w:rPr>
      </w:pPr>
      <w:r>
        <w:rPr>
          <w:rFonts w:hint="eastAsia" w:ascii="宋体" w:hAnsi="宋体"/>
          <w:color w:val="auto"/>
          <w:sz w:val="28"/>
          <w:szCs w:val="28"/>
          <w:highlight w:val="none"/>
        </w:rPr>
        <w:t>年  月  日</w:t>
      </w:r>
      <w:r>
        <w:rPr>
          <w:rFonts w:ascii="宋体" w:hAnsi="宋体"/>
          <w:color w:val="auto"/>
          <w:sz w:val="28"/>
          <w:szCs w:val="28"/>
          <w:highlight w:val="none"/>
        </w:rPr>
        <w:br w:type="page"/>
      </w:r>
      <w:bookmarkStart w:id="370" w:name="_Hlk60757343"/>
      <w:r>
        <w:rPr>
          <w:rFonts w:hint="eastAsia" w:ascii="宋体" w:hAnsi="宋体"/>
          <w:color w:val="auto"/>
          <w:sz w:val="28"/>
          <w:szCs w:val="28"/>
          <w:highlight w:val="none"/>
        </w:rPr>
        <w:t>2.营业执照等：</w:t>
      </w:r>
      <w:bookmarkEnd w:id="370"/>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宋体" w:hAnsi="宋体" w:cs="仿宋_GB2312"/>
          <w:b/>
          <w:color w:val="auto"/>
          <w:kern w:val="0"/>
          <w:sz w:val="32"/>
          <w:szCs w:val="32"/>
          <w:highlight w:val="none"/>
          <w:lang w:val="zh-CN"/>
        </w:rPr>
      </w:pPr>
    </w:p>
    <w:p>
      <w:pPr>
        <w:snapToGrid w:val="0"/>
        <w:spacing w:line="360" w:lineRule="auto"/>
        <w:jc w:val="center"/>
        <w:rPr>
          <w:rFonts w:ascii="宋体" w:hAnsi="宋体" w:cs="仿宋_GB2312"/>
          <w:b/>
          <w:color w:val="auto"/>
          <w:kern w:val="0"/>
          <w:sz w:val="28"/>
          <w:szCs w:val="28"/>
          <w:highlight w:val="none"/>
          <w:lang w:val="zh-CN"/>
        </w:rPr>
      </w:pPr>
      <w:r>
        <w:rPr>
          <w:rFonts w:hint="eastAsia" w:ascii="宋体" w:hAnsi="宋体" w:cs="仿宋_GB2312"/>
          <w:b/>
          <w:color w:val="auto"/>
          <w:kern w:val="0"/>
          <w:sz w:val="28"/>
          <w:szCs w:val="28"/>
          <w:highlight w:val="none"/>
          <w:lang w:val="zh-CN"/>
        </w:rPr>
        <w:t>营业执照（推荐使用电子营业执照）</w:t>
      </w:r>
    </w:p>
    <w:p>
      <w:pPr>
        <w:snapToGrid w:val="0"/>
        <w:spacing w:line="360" w:lineRule="auto"/>
        <w:jc w:val="center"/>
        <w:rPr>
          <w:rFonts w:ascii="宋体" w:hAnsi="宋体" w:cs="仿宋_GB2312"/>
          <w:b/>
          <w:color w:val="auto"/>
          <w:kern w:val="0"/>
          <w:sz w:val="28"/>
          <w:szCs w:val="28"/>
          <w:highlight w:val="none"/>
          <w:lang w:val="zh-CN"/>
        </w:rPr>
      </w:pPr>
      <w:r>
        <w:rPr>
          <w:rFonts w:hint="eastAsia" w:ascii="宋体" w:hAnsi="宋体" w:cs="仿宋_GB2312"/>
          <w:b/>
          <w:color w:val="auto"/>
          <w:kern w:val="0"/>
          <w:sz w:val="28"/>
          <w:szCs w:val="28"/>
          <w:highlight w:val="none"/>
          <w:lang w:val="zh-CN"/>
        </w:rPr>
        <w:t>或事业法人登记证或其他工商等登记证明材料原件扫描件或复印件</w:t>
      </w:r>
    </w:p>
    <w:p>
      <w:pPr>
        <w:snapToGrid w:val="0"/>
        <w:spacing w:line="360" w:lineRule="auto"/>
        <w:rPr>
          <w:rFonts w:hint="eastAsia" w:ascii="宋体" w:hAnsi="宋体" w:cs="仿宋_GB2312"/>
          <w:bCs/>
          <w:color w:val="auto"/>
          <w:kern w:val="0"/>
          <w:sz w:val="24"/>
          <w:szCs w:val="24"/>
          <w:highlight w:val="none"/>
          <w:lang w:val="zh-CN"/>
        </w:rPr>
      </w:pPr>
    </w:p>
    <w:p>
      <w:pPr>
        <w:snapToGrid w:val="0"/>
        <w:spacing w:line="360" w:lineRule="auto"/>
        <w:rPr>
          <w:rFonts w:ascii="宋体" w:hAnsi="宋体" w:cs="仿宋_GB2312"/>
          <w:bCs/>
          <w:color w:val="auto"/>
          <w:kern w:val="0"/>
          <w:sz w:val="24"/>
          <w:szCs w:val="24"/>
          <w:highlight w:val="none"/>
          <w:lang w:val="zh-CN"/>
        </w:rPr>
      </w:pPr>
      <w:r>
        <w:rPr>
          <w:rFonts w:hint="eastAsia" w:ascii="宋体" w:hAnsi="宋体" w:cs="仿宋_GB2312"/>
          <w:bCs/>
          <w:color w:val="auto"/>
          <w:kern w:val="0"/>
          <w:sz w:val="24"/>
          <w:szCs w:val="24"/>
          <w:highlight w:val="none"/>
          <w:lang w:val="zh-CN"/>
        </w:rPr>
        <w:t>温馨提示：下载电子营业执照：可微信搜索“电子营业执照”小程序——点击“下载执照”——输入“姓名”“身份证号”“手机号码”（必须与当初登记的信息一致）——点击“确认”——点击“授权验证”后点击“返回”并勾选协议后进行人脸识别——输入登记地“浙江”——选择需要下载的营业执照——勾选执照下载声明并点击下载。</w:t>
      </w:r>
    </w:p>
    <w:p>
      <w:pPr>
        <w:spacing w:line="360" w:lineRule="auto"/>
        <w:jc w:val="center"/>
        <w:rPr>
          <w:rFonts w:ascii="宋体" w:hAnsi="宋体" w:cs="仿宋_GB2312"/>
          <w:b/>
          <w:color w:val="auto"/>
          <w:sz w:val="32"/>
          <w:szCs w:val="32"/>
          <w:highlight w:val="none"/>
        </w:rPr>
      </w:pPr>
    </w:p>
    <w:p>
      <w:pPr>
        <w:spacing w:line="360" w:lineRule="auto"/>
        <w:jc w:val="center"/>
        <w:rPr>
          <w:rFonts w:ascii="宋体" w:hAnsi="宋体" w:cs="仿宋_GB2312"/>
          <w:b/>
          <w:color w:val="auto"/>
          <w:sz w:val="32"/>
          <w:szCs w:val="32"/>
          <w:highlight w:val="none"/>
        </w:rPr>
      </w:pPr>
      <w:r>
        <w:rPr>
          <w:rFonts w:hint="eastAsia" w:ascii="宋体" w:hAnsi="宋体" w:cs="仿宋_GB2312"/>
          <w:b/>
          <w:color w:val="auto"/>
          <w:sz w:val="32"/>
          <w:szCs w:val="32"/>
          <w:highlight w:val="none"/>
        </w:rPr>
        <w:t>特定资格条件要求的资质文件复印件（如有）</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（由供应商根据竞争性磋商公告合格的供应商应具备的特定资格要求编制，如果本项目没有设置特定资格条件，则不需要提供）</w:t>
      </w:r>
    </w:p>
    <w:p>
      <w:pPr>
        <w:spacing w:line="360" w:lineRule="auto"/>
        <w:jc w:val="left"/>
        <w:rPr>
          <w:rFonts w:ascii="宋体" w:hAnsi="宋体"/>
          <w:b/>
          <w:bCs/>
          <w:color w:val="auto"/>
          <w:sz w:val="28"/>
          <w:szCs w:val="28"/>
          <w:highlight w:val="none"/>
        </w:rPr>
      </w:pPr>
      <w:r>
        <w:rPr>
          <w:rFonts w:ascii="宋体" w:hAnsi="宋体" w:cs="仿宋_GB2312"/>
          <w:b/>
          <w:color w:val="auto"/>
          <w:sz w:val="30"/>
          <w:szCs w:val="30"/>
          <w:highlight w:val="none"/>
        </w:rPr>
        <w:br w:type="page"/>
      </w:r>
    </w:p>
    <w:p>
      <w:pPr>
        <w:snapToGrid w:val="0"/>
        <w:spacing w:line="360" w:lineRule="auto"/>
        <w:jc w:val="left"/>
        <w:rPr>
          <w:rFonts w:hint="eastAsia" w:ascii="宋体" w:hAnsi="宋体"/>
          <w:color w:val="auto"/>
          <w:sz w:val="28"/>
          <w:szCs w:val="28"/>
          <w:highlight w:val="none"/>
        </w:rPr>
      </w:pPr>
      <w:r>
        <w:rPr>
          <w:rFonts w:hint="eastAsia" w:ascii="宋体" w:hAnsi="宋体"/>
          <w:color w:val="auto"/>
          <w:sz w:val="28"/>
          <w:szCs w:val="28"/>
          <w:highlight w:val="none"/>
        </w:rPr>
        <w:t>3. 没有重大违法记录的承诺函格式：</w:t>
      </w:r>
    </w:p>
    <w:p>
      <w:pPr>
        <w:spacing w:line="360" w:lineRule="auto"/>
        <w:jc w:val="center"/>
        <w:rPr>
          <w:rFonts w:ascii="宋体" w:hAnsi="宋体" w:cs="仿宋_GB2312"/>
          <w:b/>
          <w:color w:val="auto"/>
          <w:kern w:val="0"/>
          <w:sz w:val="32"/>
          <w:szCs w:val="32"/>
          <w:highlight w:val="none"/>
        </w:rPr>
      </w:pPr>
    </w:p>
    <w:p>
      <w:pPr>
        <w:spacing w:line="52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参加本次政府采购项目前三年内在经营活动中</w:t>
      </w:r>
    </w:p>
    <w:p>
      <w:pPr>
        <w:spacing w:line="52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没有重大违法记录的承诺函</w:t>
      </w:r>
    </w:p>
    <w:p>
      <w:pPr>
        <w:spacing w:line="520" w:lineRule="exact"/>
        <w:jc w:val="center"/>
        <w:rPr>
          <w:rFonts w:ascii="宋体" w:hAnsi="宋体" w:cs="宋体"/>
          <w:bCs/>
          <w:color w:val="auto"/>
          <w:sz w:val="24"/>
          <w:highlight w:val="none"/>
        </w:rPr>
      </w:pPr>
    </w:p>
    <w:p>
      <w:pPr>
        <w:ind w:firstLine="420"/>
        <w:rPr>
          <w:rFonts w:ascii="宋体" w:hAnsi="宋体" w:cs="宋体"/>
          <w:color w:val="auto"/>
          <w:sz w:val="24"/>
          <w:highlight w:val="none"/>
        </w:rPr>
      </w:pPr>
    </w:p>
    <w:p>
      <w:pPr>
        <w:spacing w:line="360" w:lineRule="auto"/>
        <w:rPr>
          <w:rFonts w:ascii="宋体" w:hAnsi="宋体" w:cs="宋体"/>
          <w:color w:val="auto"/>
          <w:kern w:val="0"/>
          <w:sz w:val="24"/>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r>
        <w:rPr>
          <w:rFonts w:hint="eastAsia" w:ascii="宋体" w:hAnsi="宋体" w:cs="宋体"/>
          <w:b/>
          <w:bCs/>
          <w:color w:val="auto"/>
          <w:sz w:val="24"/>
          <w:highlight w:val="none"/>
        </w:rPr>
        <w:t xml:space="preserve"> </w:t>
      </w:r>
      <w:r>
        <w:rPr>
          <w:rFonts w:hint="eastAsia" w:ascii="宋体" w:hAnsi="宋体" w:cs="宋体"/>
          <w:color w:val="auto"/>
          <w:sz w:val="24"/>
          <w:highlight w:val="none"/>
        </w:rPr>
        <w:t>：</w:t>
      </w:r>
    </w:p>
    <w:p>
      <w:pPr>
        <w:snapToGrid w:val="0"/>
        <w:spacing w:before="120" w:beforeLines="50" w:after="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我方郑重承诺，我方在参加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磋商/成交/签订合同），我方对此无任何异议，并愿意承担一切后果和责任。</w:t>
      </w:r>
    </w:p>
    <w:p>
      <w:pPr>
        <w:ind w:firstLine="420"/>
        <w:rPr>
          <w:rFonts w:ascii="宋体" w:hAnsi="宋体" w:cs="宋体"/>
          <w:color w:val="auto"/>
          <w:sz w:val="24"/>
          <w:highlight w:val="none"/>
        </w:rPr>
      </w:pPr>
    </w:p>
    <w:p>
      <w:pPr>
        <w:snapToGrid w:val="0"/>
        <w:spacing w:before="120" w:beforeLines="50" w:after="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w:t>
      </w:r>
      <w:r>
        <w:rPr>
          <w:rFonts w:hint="eastAsia" w:ascii="宋体" w:hAnsi="宋体" w:cs="宋体"/>
          <w:color w:val="auto"/>
          <w:kern w:val="0"/>
          <w:sz w:val="24"/>
          <w:highlight w:val="none"/>
        </w:rPr>
        <w:t>承诺</w:t>
      </w:r>
      <w:r>
        <w:rPr>
          <w:rFonts w:hint="eastAsia" w:ascii="宋体" w:hAnsi="宋体" w:cs="宋体"/>
          <w:color w:val="auto"/>
          <w:sz w:val="24"/>
          <w:highlight w:val="none"/>
        </w:rPr>
        <w:t>！</w:t>
      </w:r>
    </w:p>
    <w:p>
      <w:pPr>
        <w:snapToGrid w:val="0"/>
        <w:spacing w:before="50" w:after="120" w:afterLines="50"/>
        <w:jc w:val="left"/>
        <w:rPr>
          <w:rFonts w:ascii="宋体" w:hAnsi="宋体" w:cs="宋体"/>
          <w:color w:val="auto"/>
          <w:kern w:val="0"/>
          <w:sz w:val="24"/>
          <w:highlight w:val="none"/>
          <w:lang w:val="zh-CN"/>
        </w:rPr>
      </w:pPr>
    </w:p>
    <w:p>
      <w:pPr>
        <w:snapToGrid w:val="0"/>
        <w:spacing w:before="50" w:after="120" w:afterLines="50"/>
        <w:jc w:val="left"/>
        <w:rPr>
          <w:rFonts w:ascii="宋体" w:hAnsi="宋体" w:cs="宋体"/>
          <w:color w:val="auto"/>
          <w:kern w:val="0"/>
          <w:sz w:val="24"/>
          <w:highlight w:val="none"/>
          <w:lang w:val="zh-CN"/>
        </w:rPr>
      </w:pPr>
    </w:p>
    <w:p>
      <w:pPr>
        <w:snapToGrid w:val="0"/>
        <w:spacing w:before="50" w:after="120" w:afterLines="50"/>
        <w:jc w:val="left"/>
        <w:rPr>
          <w:rFonts w:ascii="宋体" w:hAnsi="宋体" w:cs="宋体"/>
          <w:color w:val="auto"/>
          <w:kern w:val="0"/>
          <w:sz w:val="24"/>
          <w:highlight w:val="none"/>
          <w:lang w:val="zh-CN"/>
        </w:rPr>
      </w:pPr>
    </w:p>
    <w:p>
      <w:pPr>
        <w:snapToGrid w:val="0"/>
        <w:spacing w:before="50" w:after="120" w:afterLines="50"/>
        <w:jc w:val="left"/>
        <w:rPr>
          <w:rFonts w:ascii="宋体" w:hAnsi="宋体"/>
          <w:color w:val="auto"/>
          <w:spacing w:val="20"/>
          <w:sz w:val="24"/>
          <w:highlight w:val="none"/>
        </w:rPr>
      </w:pPr>
      <w:r>
        <w:rPr>
          <w:rFonts w:hint="eastAsia" w:ascii="宋体" w:hAnsi="宋体"/>
          <w:color w:val="auto"/>
          <w:spacing w:val="20"/>
          <w:sz w:val="24"/>
          <w:highlight w:val="none"/>
        </w:rPr>
        <w:t>法定代表人签字（或盖章）：         供应商（盖章）：</w:t>
      </w: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 xml:space="preserve">  </w:t>
      </w:r>
      <w:r>
        <w:rPr>
          <w:rFonts w:hint="eastAsia" w:ascii="宋体" w:hAnsi="宋体"/>
          <w:color w:val="auto"/>
          <w:sz w:val="24"/>
          <w:highlight w:val="none"/>
        </w:rPr>
        <w:t>_____年___月___日</w:t>
      </w:r>
    </w:p>
    <w:p>
      <w:pPr>
        <w:snapToGrid w:val="0"/>
        <w:spacing w:before="50" w:after="120" w:afterLines="50"/>
        <w:jc w:val="left"/>
        <w:rPr>
          <w:rFonts w:ascii="宋体" w:hAnsi="宋体"/>
          <w:color w:val="auto"/>
          <w:sz w:val="28"/>
          <w:szCs w:val="28"/>
          <w:highlight w:val="none"/>
        </w:rPr>
      </w:pPr>
    </w:p>
    <w:p>
      <w:pPr>
        <w:snapToGrid w:val="0"/>
        <w:spacing w:line="360" w:lineRule="auto"/>
        <w:rPr>
          <w:rFonts w:ascii="宋体" w:hAnsi="宋体" w:cs="仿宋_GB2312"/>
          <w:color w:val="auto"/>
          <w:kern w:val="0"/>
          <w:sz w:val="24"/>
          <w:highlight w:val="none"/>
        </w:rPr>
      </w:pPr>
      <w:r>
        <w:rPr>
          <w:rFonts w:ascii="宋体" w:hAnsi="宋体" w:cs="仿宋_GB2312"/>
          <w:color w:val="auto"/>
          <w:kern w:val="0"/>
          <w:sz w:val="24"/>
          <w:highlight w:val="none"/>
          <w:lang w:val="zh-CN"/>
        </w:rPr>
        <w:br w:type="page"/>
      </w:r>
    </w:p>
    <w:p>
      <w:pPr>
        <w:pStyle w:val="29"/>
        <w:pageBreakBefore/>
        <w:snapToGrid w:val="0"/>
        <w:spacing w:before="120" w:beforeLines="0" w:after="120" w:afterLines="0" w:line="240" w:lineRule="auto"/>
        <w:rPr>
          <w:rFonts w:hint="eastAsia" w:ascii="宋体" w:hAnsi="宋体" w:eastAsia="宋体" w:cs="Times New Roman"/>
          <w:color w:val="auto"/>
          <w:kern w:val="2"/>
          <w:sz w:val="28"/>
          <w:szCs w:val="28"/>
          <w:highlight w:val="none"/>
          <w:lang w:val="en-US" w:eastAsia="zh-CN" w:bidi="ar-SA"/>
        </w:rPr>
      </w:pPr>
      <w:bookmarkStart w:id="371" w:name="_Hlk60823488"/>
      <w:r>
        <w:rPr>
          <w:rFonts w:hint="eastAsia" w:ascii="宋体" w:hAnsi="宋体" w:eastAsia="宋体" w:cs="Times New Roman"/>
          <w:color w:val="auto"/>
          <w:kern w:val="2"/>
          <w:sz w:val="28"/>
          <w:szCs w:val="28"/>
          <w:highlight w:val="none"/>
          <w:lang w:val="en-US" w:eastAsia="zh-CN" w:bidi="ar-SA"/>
        </w:rPr>
        <w:t>4.中小企业声明函（如有）</w:t>
      </w:r>
    </w:p>
    <w:bookmarkEnd w:id="371"/>
    <w:p>
      <w:pPr>
        <w:pStyle w:val="29"/>
        <w:snapToGrid w:val="0"/>
        <w:spacing w:before="120" w:beforeLines="0" w:after="120" w:afterLines="0" w:line="240" w:lineRule="auto"/>
        <w:jc w:val="center"/>
        <w:rPr>
          <w:rFonts w:hint="default" w:ascii="宋体" w:hAnsi="宋体" w:eastAsia="宋体" w:cs="宋体"/>
          <w:b/>
          <w:sz w:val="24"/>
          <w:szCs w:val="24"/>
          <w:lang w:val="en-US" w:eastAsia="zh-CN"/>
        </w:rPr>
      </w:pPr>
      <w:r>
        <w:rPr>
          <w:rFonts w:hint="eastAsia" w:ascii="宋体" w:hAnsi="宋体" w:eastAsia="宋体" w:cs="宋体"/>
          <w:b/>
          <w:sz w:val="24"/>
          <w:szCs w:val="24"/>
        </w:rPr>
        <w:t>中小企业声明函</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工程）</w:t>
      </w:r>
    </w:p>
    <w:p>
      <w:pPr>
        <w:pStyle w:val="29"/>
        <w:snapToGrid w:val="0"/>
        <w:spacing w:before="120" w:beforeLines="0" w:after="120" w:afterLines="0" w:line="240" w:lineRule="auto"/>
        <w:ind w:firstLine="480"/>
        <w:jc w:val="left"/>
        <w:rPr>
          <w:rFonts w:hint="eastAsia" w:ascii="宋体" w:hAnsi="宋体" w:eastAsia="宋体" w:cs="宋体"/>
          <w:bCs/>
          <w:sz w:val="24"/>
          <w:szCs w:val="24"/>
        </w:rPr>
      </w:pPr>
      <w:r>
        <w:rPr>
          <w:rFonts w:hint="eastAsia" w:ascii="宋体" w:hAnsi="宋体" w:eastAsia="宋体" w:cs="宋体"/>
          <w:bCs/>
          <w:sz w:val="24"/>
          <w:szCs w:val="24"/>
        </w:rPr>
        <w:t>本公司（联合体）郑重声明，根据《政府采购促进中小企业发展管理办法》（财库［2020］46号）的规定，本公司（联合体）参加</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的</w:t>
      </w:r>
      <w:r>
        <w:rPr>
          <w:rFonts w:hint="eastAsia" w:ascii="宋体" w:hAnsi="宋体" w:eastAsia="宋体" w:cs="宋体"/>
          <w:bCs/>
          <w:sz w:val="24"/>
          <w:szCs w:val="24"/>
          <w:u w:val="single"/>
        </w:rPr>
        <w:t xml:space="preserve"> （项目名称）</w:t>
      </w:r>
      <w:r>
        <w:rPr>
          <w:rFonts w:hint="eastAsia" w:ascii="宋体" w:hAnsi="宋体" w:eastAsia="宋体" w:cs="宋体"/>
          <w:bCs/>
          <w:sz w:val="24"/>
          <w:szCs w:val="24"/>
        </w:rPr>
        <w:t>采购活动，工程的施工单位全部为符合政策要求的中小企业。相关企业（含联合体中的中小企业、签订分包意向协议的中小企业）的具体情况如下：</w:t>
      </w:r>
    </w:p>
    <w:p>
      <w:pPr>
        <w:pStyle w:val="29"/>
        <w:snapToGrid w:val="0"/>
        <w:spacing w:before="120" w:beforeLines="0" w:after="120" w:afterLines="0" w:line="240" w:lineRule="auto"/>
        <w:ind w:firstLine="480"/>
        <w:jc w:val="left"/>
        <w:rPr>
          <w:rFonts w:hint="eastAsia" w:ascii="宋体" w:hAnsi="宋体" w:eastAsia="宋体" w:cs="宋体"/>
          <w:bCs/>
          <w:sz w:val="24"/>
          <w:szCs w:val="24"/>
          <w:u w:val="single"/>
        </w:rPr>
      </w:pPr>
      <w:r>
        <w:rPr>
          <w:rFonts w:hint="eastAsia" w:ascii="宋体" w:hAnsi="宋体" w:eastAsia="宋体" w:cs="宋体"/>
          <w:bCs/>
          <w:sz w:val="24"/>
          <w:szCs w:val="24"/>
        </w:rPr>
        <w:t>1、</w:t>
      </w:r>
      <w:r>
        <w:rPr>
          <w:rFonts w:hint="eastAsia" w:ascii="宋体" w:hAnsi="宋体" w:eastAsia="宋体" w:cs="宋体"/>
          <w:bCs/>
          <w:sz w:val="24"/>
          <w:szCs w:val="24"/>
          <w:u w:val="single"/>
        </w:rPr>
        <w:t>（标的名称   ）</w:t>
      </w:r>
      <w:r>
        <w:rPr>
          <w:rFonts w:hint="eastAsia" w:ascii="宋体" w:hAnsi="宋体" w:eastAsia="宋体" w:cs="宋体"/>
          <w:bCs/>
          <w:sz w:val="24"/>
          <w:szCs w:val="24"/>
        </w:rPr>
        <w:t>，属于</w:t>
      </w:r>
      <w:r>
        <w:rPr>
          <w:rFonts w:hint="eastAsia" w:ascii="宋体" w:hAnsi="宋体" w:eastAsia="宋体" w:cs="宋体"/>
          <w:sz w:val="24"/>
          <w:szCs w:val="24"/>
          <w:u w:val="single"/>
        </w:rPr>
        <w:t>（建筑业）</w:t>
      </w:r>
      <w:r>
        <w:rPr>
          <w:rFonts w:hint="eastAsia" w:ascii="宋体" w:hAnsi="宋体" w:eastAsia="宋体" w:cs="宋体"/>
          <w:sz w:val="24"/>
          <w:szCs w:val="24"/>
        </w:rPr>
        <w:t>行业，</w:t>
      </w:r>
      <w:r>
        <w:rPr>
          <w:rFonts w:hint="eastAsia" w:ascii="宋体" w:hAnsi="宋体" w:eastAsia="宋体" w:cs="宋体"/>
          <w:bCs/>
          <w:sz w:val="24"/>
          <w:szCs w:val="24"/>
        </w:rPr>
        <w:t>承建企业为</w:t>
      </w:r>
      <w:r>
        <w:rPr>
          <w:rFonts w:hint="eastAsia" w:ascii="宋体" w:hAnsi="宋体" w:eastAsia="宋体" w:cs="宋体"/>
          <w:bCs/>
          <w:sz w:val="24"/>
          <w:szCs w:val="24"/>
          <w:u w:val="single"/>
        </w:rPr>
        <w:t>（企业名称   ）</w:t>
      </w:r>
      <w:r>
        <w:rPr>
          <w:rFonts w:hint="eastAsia" w:ascii="宋体" w:hAnsi="宋体" w:eastAsia="宋体" w:cs="宋体"/>
          <w:bCs/>
          <w:sz w:val="24"/>
          <w:szCs w:val="24"/>
        </w:rPr>
        <w:t>，</w:t>
      </w:r>
      <w:r>
        <w:rPr>
          <w:rFonts w:hint="eastAsia" w:ascii="宋体" w:hAnsi="宋体" w:eastAsia="宋体" w:cs="宋体"/>
          <w:bCs/>
          <w:iCs/>
          <w:sz w:val="24"/>
          <w:szCs w:val="24"/>
        </w:rPr>
        <w:t>从业人员</w:t>
      </w:r>
      <w:r>
        <w:rPr>
          <w:rFonts w:hint="eastAsia" w:ascii="宋体" w:hAnsi="宋体" w:eastAsia="宋体" w:cs="宋体"/>
          <w:bCs/>
          <w:iCs/>
          <w:sz w:val="24"/>
          <w:szCs w:val="24"/>
          <w:u w:val="single"/>
        </w:rPr>
        <w:t xml:space="preserve">     </w:t>
      </w:r>
      <w:r>
        <w:rPr>
          <w:rFonts w:hint="eastAsia" w:ascii="宋体" w:hAnsi="宋体" w:eastAsia="宋体" w:cs="宋体"/>
          <w:bCs/>
          <w:iCs/>
          <w:sz w:val="24"/>
          <w:szCs w:val="24"/>
        </w:rPr>
        <w:t>人、营业收入为</w:t>
      </w:r>
      <w:r>
        <w:rPr>
          <w:rFonts w:hint="eastAsia" w:ascii="宋体" w:hAnsi="宋体" w:eastAsia="宋体" w:cs="宋体"/>
          <w:bCs/>
          <w:iCs/>
          <w:sz w:val="24"/>
          <w:szCs w:val="24"/>
          <w:u w:val="single"/>
        </w:rPr>
        <w:t xml:space="preserve">   </w:t>
      </w:r>
      <w:r>
        <w:rPr>
          <w:rFonts w:hint="eastAsia" w:ascii="宋体" w:hAnsi="宋体" w:eastAsia="宋体" w:cs="宋体"/>
          <w:bCs/>
          <w:iCs/>
          <w:sz w:val="24"/>
          <w:szCs w:val="24"/>
        </w:rPr>
        <w:t>万元</w:t>
      </w:r>
      <w:r>
        <w:rPr>
          <w:rFonts w:hint="eastAsia" w:ascii="宋体" w:hAnsi="宋体" w:eastAsia="宋体" w:cs="宋体"/>
          <w:bCs/>
          <w:sz w:val="24"/>
          <w:szCs w:val="24"/>
        </w:rPr>
        <w:t>，资产总额</w:t>
      </w:r>
      <w:r>
        <w:rPr>
          <w:rFonts w:hint="eastAsia" w:ascii="宋体" w:hAnsi="宋体" w:eastAsia="宋体" w:cs="宋体"/>
          <w:bCs/>
          <w:iCs/>
          <w:sz w:val="24"/>
          <w:szCs w:val="24"/>
          <w:u w:val="single"/>
        </w:rPr>
        <w:t xml:space="preserve">   </w:t>
      </w:r>
      <w:r>
        <w:rPr>
          <w:rFonts w:hint="eastAsia" w:ascii="宋体" w:hAnsi="宋体" w:eastAsia="宋体" w:cs="宋体"/>
          <w:bCs/>
          <w:sz w:val="24"/>
          <w:szCs w:val="24"/>
        </w:rPr>
        <w:t>万元，属于</w:t>
      </w:r>
      <w:r>
        <w:rPr>
          <w:rFonts w:hint="eastAsia" w:ascii="宋体" w:hAnsi="宋体" w:eastAsia="宋体" w:cs="宋体"/>
          <w:bCs/>
          <w:sz w:val="24"/>
          <w:szCs w:val="24"/>
          <w:u w:val="single"/>
        </w:rPr>
        <w:t xml:space="preserve">      （中型企业、小型企业、微型企业）；</w:t>
      </w:r>
    </w:p>
    <w:p>
      <w:pPr>
        <w:pStyle w:val="29"/>
        <w:snapToGrid w:val="0"/>
        <w:spacing w:before="120" w:beforeLines="0" w:after="120" w:afterLines="0" w:line="240" w:lineRule="auto"/>
        <w:ind w:firstLine="480"/>
        <w:jc w:val="left"/>
        <w:rPr>
          <w:rFonts w:hint="eastAsia" w:ascii="宋体" w:hAnsi="宋体" w:eastAsia="宋体" w:cs="宋体"/>
          <w:bCs/>
          <w:sz w:val="24"/>
          <w:szCs w:val="24"/>
          <w:u w:val="single"/>
        </w:rPr>
      </w:pPr>
      <w:r>
        <w:rPr>
          <w:rFonts w:hint="eastAsia" w:ascii="宋体" w:hAnsi="宋体" w:eastAsia="宋体" w:cs="宋体"/>
          <w:bCs/>
          <w:sz w:val="24"/>
          <w:szCs w:val="24"/>
        </w:rPr>
        <w:t>2、</w:t>
      </w:r>
      <w:r>
        <w:rPr>
          <w:rFonts w:hint="eastAsia" w:ascii="宋体" w:hAnsi="宋体" w:eastAsia="宋体" w:cs="宋体"/>
          <w:bCs/>
          <w:sz w:val="24"/>
          <w:szCs w:val="24"/>
          <w:u w:val="single"/>
        </w:rPr>
        <w:t>（标的名称）</w:t>
      </w:r>
      <w:r>
        <w:rPr>
          <w:rFonts w:hint="eastAsia" w:ascii="宋体" w:hAnsi="宋体" w:eastAsia="宋体" w:cs="宋体"/>
          <w:bCs/>
          <w:sz w:val="24"/>
          <w:szCs w:val="24"/>
        </w:rPr>
        <w:t>，属于</w:t>
      </w:r>
      <w:r>
        <w:rPr>
          <w:rFonts w:hint="eastAsia" w:ascii="宋体" w:hAnsi="宋体" w:eastAsia="宋体" w:cs="宋体"/>
          <w:sz w:val="24"/>
          <w:szCs w:val="24"/>
          <w:u w:val="single"/>
        </w:rPr>
        <w:t>（磋商文件中明确的所属行业）</w:t>
      </w:r>
      <w:r>
        <w:rPr>
          <w:rFonts w:hint="eastAsia" w:ascii="宋体" w:hAnsi="宋体" w:eastAsia="宋体" w:cs="宋体"/>
          <w:sz w:val="24"/>
          <w:szCs w:val="24"/>
        </w:rPr>
        <w:t>行业，</w:t>
      </w:r>
      <w:r>
        <w:rPr>
          <w:rFonts w:hint="eastAsia" w:ascii="宋体" w:hAnsi="宋体" w:eastAsia="宋体" w:cs="宋体"/>
          <w:bCs/>
          <w:sz w:val="24"/>
          <w:szCs w:val="24"/>
        </w:rPr>
        <w:t>承接企业为</w:t>
      </w:r>
      <w:r>
        <w:rPr>
          <w:rFonts w:hint="eastAsia" w:ascii="宋体" w:hAnsi="宋体" w:eastAsia="宋体" w:cs="宋体"/>
          <w:bCs/>
          <w:sz w:val="24"/>
          <w:szCs w:val="24"/>
          <w:u w:val="single"/>
        </w:rPr>
        <w:t>（企业名称）</w:t>
      </w:r>
      <w:r>
        <w:rPr>
          <w:rFonts w:hint="eastAsia" w:ascii="宋体" w:hAnsi="宋体" w:eastAsia="宋体" w:cs="宋体"/>
          <w:bCs/>
          <w:sz w:val="24"/>
          <w:szCs w:val="24"/>
        </w:rPr>
        <w:t>，</w:t>
      </w:r>
      <w:r>
        <w:rPr>
          <w:rFonts w:hint="eastAsia" w:ascii="宋体" w:hAnsi="宋体" w:eastAsia="宋体" w:cs="宋体"/>
          <w:bCs/>
          <w:iCs/>
          <w:sz w:val="24"/>
          <w:szCs w:val="24"/>
        </w:rPr>
        <w:t>从业人员</w:t>
      </w:r>
      <w:r>
        <w:rPr>
          <w:rFonts w:hint="eastAsia" w:ascii="宋体" w:hAnsi="宋体" w:eastAsia="宋体" w:cs="宋体"/>
          <w:bCs/>
          <w:iCs/>
          <w:sz w:val="24"/>
          <w:szCs w:val="24"/>
          <w:u w:val="single"/>
        </w:rPr>
        <w:t xml:space="preserve">   </w:t>
      </w:r>
      <w:r>
        <w:rPr>
          <w:rFonts w:hint="eastAsia" w:ascii="宋体" w:hAnsi="宋体" w:eastAsia="宋体" w:cs="宋体"/>
          <w:bCs/>
          <w:iCs/>
          <w:sz w:val="24"/>
          <w:szCs w:val="24"/>
        </w:rPr>
        <w:t>人、营业收入为</w:t>
      </w:r>
      <w:r>
        <w:rPr>
          <w:rFonts w:hint="eastAsia" w:ascii="宋体" w:hAnsi="宋体" w:eastAsia="宋体" w:cs="宋体"/>
          <w:bCs/>
          <w:iCs/>
          <w:sz w:val="24"/>
          <w:szCs w:val="24"/>
          <w:u w:val="single"/>
        </w:rPr>
        <w:t xml:space="preserve">   </w:t>
      </w:r>
      <w:r>
        <w:rPr>
          <w:rFonts w:hint="eastAsia" w:ascii="宋体" w:hAnsi="宋体" w:eastAsia="宋体" w:cs="宋体"/>
          <w:bCs/>
          <w:iCs/>
          <w:sz w:val="24"/>
          <w:szCs w:val="24"/>
        </w:rPr>
        <w:t>万元</w:t>
      </w:r>
      <w:r>
        <w:rPr>
          <w:rFonts w:hint="eastAsia" w:ascii="宋体" w:hAnsi="宋体" w:eastAsia="宋体" w:cs="宋体"/>
          <w:bCs/>
          <w:sz w:val="24"/>
          <w:szCs w:val="24"/>
        </w:rPr>
        <w:t>，资产总额</w:t>
      </w:r>
      <w:r>
        <w:rPr>
          <w:rFonts w:hint="eastAsia" w:ascii="宋体" w:hAnsi="宋体" w:eastAsia="宋体" w:cs="宋体"/>
          <w:bCs/>
          <w:iCs/>
          <w:sz w:val="24"/>
          <w:szCs w:val="24"/>
          <w:u w:val="single"/>
        </w:rPr>
        <w:t xml:space="preserve">   </w:t>
      </w:r>
      <w:r>
        <w:rPr>
          <w:rFonts w:hint="eastAsia" w:ascii="宋体" w:hAnsi="宋体" w:eastAsia="宋体" w:cs="宋体"/>
          <w:bCs/>
          <w:sz w:val="24"/>
          <w:szCs w:val="24"/>
        </w:rPr>
        <w:t>万元，属于</w:t>
      </w:r>
      <w:r>
        <w:rPr>
          <w:rFonts w:hint="eastAsia" w:ascii="宋体" w:hAnsi="宋体" w:eastAsia="宋体" w:cs="宋体"/>
          <w:bCs/>
          <w:sz w:val="24"/>
          <w:szCs w:val="24"/>
          <w:u w:val="single"/>
        </w:rPr>
        <w:t xml:space="preserve">      （中型企业、小型企业、微型企业）；</w:t>
      </w:r>
    </w:p>
    <w:p>
      <w:pPr>
        <w:pStyle w:val="29"/>
        <w:snapToGrid w:val="0"/>
        <w:spacing w:before="120" w:beforeLines="0" w:after="120" w:afterLines="0" w:line="24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w:t>
      </w:r>
    </w:p>
    <w:p>
      <w:pPr>
        <w:pStyle w:val="29"/>
        <w:snapToGrid w:val="0"/>
        <w:spacing w:before="120" w:beforeLines="0" w:after="120" w:afterLines="0" w:line="24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以上企业，不属于大企业的分支机构，不存在控股股东为大企业的情形，也不存在与大企业的负责人为同一人的情形。</w:t>
      </w:r>
    </w:p>
    <w:p>
      <w:pPr>
        <w:pStyle w:val="29"/>
        <w:snapToGrid w:val="0"/>
        <w:spacing w:before="120" w:beforeLines="0" w:after="120" w:afterLines="0" w:line="240" w:lineRule="auto"/>
        <w:rPr>
          <w:rFonts w:hint="eastAsia" w:ascii="宋体" w:hAnsi="宋体" w:eastAsia="宋体" w:cs="宋体"/>
          <w:b/>
          <w:bCs/>
          <w:sz w:val="24"/>
          <w:szCs w:val="24"/>
          <w:u w:val="single"/>
          <w:shd w:val="pct10" w:color="auto" w:fill="FFFFFF"/>
        </w:rPr>
      </w:pPr>
    </w:p>
    <w:p>
      <w:pPr>
        <w:pStyle w:val="29"/>
        <w:snapToGrid w:val="0"/>
        <w:spacing w:before="120" w:beforeLines="0" w:after="120" w:afterLines="0" w:line="240" w:lineRule="auto"/>
        <w:ind w:firstLine="480" w:firstLineChars="200"/>
        <w:jc w:val="left"/>
        <w:rPr>
          <w:rFonts w:hint="eastAsia" w:ascii="宋体" w:hAnsi="宋体" w:eastAsia="宋体" w:cs="宋体"/>
          <w:bCs/>
          <w:sz w:val="24"/>
          <w:szCs w:val="24"/>
          <w:u w:val="single"/>
        </w:rPr>
      </w:pPr>
      <w:r>
        <w:rPr>
          <w:rFonts w:hint="eastAsia" w:ascii="宋体" w:hAnsi="宋体" w:eastAsia="宋体" w:cs="宋体"/>
          <w:bCs/>
          <w:sz w:val="24"/>
          <w:szCs w:val="24"/>
          <w:u w:val="single"/>
        </w:rPr>
        <w:t>本企业对上述声明内容的真实性负责。如有虚假，将依法承担相应责任。</w:t>
      </w:r>
    </w:p>
    <w:p>
      <w:pPr>
        <w:pStyle w:val="29"/>
        <w:snapToGrid w:val="0"/>
        <w:spacing w:before="120" w:beforeLines="0" w:after="120" w:afterLines="0" w:line="240" w:lineRule="auto"/>
        <w:rPr>
          <w:rFonts w:hint="eastAsia" w:ascii="宋体" w:hAnsi="宋体" w:eastAsia="宋体" w:cs="宋体"/>
          <w:spacing w:val="20"/>
          <w:sz w:val="24"/>
          <w:szCs w:val="24"/>
        </w:rPr>
      </w:pPr>
    </w:p>
    <w:p>
      <w:pPr>
        <w:pStyle w:val="29"/>
        <w:snapToGrid w:val="0"/>
        <w:spacing w:before="120" w:beforeLines="0" w:after="120" w:afterLines="0" w:line="240" w:lineRule="auto"/>
        <w:rPr>
          <w:rFonts w:hint="eastAsia" w:ascii="宋体" w:hAnsi="宋体" w:eastAsia="宋体" w:cs="宋体"/>
          <w:b/>
          <w:spacing w:val="20"/>
          <w:sz w:val="24"/>
          <w:szCs w:val="24"/>
        </w:rPr>
      </w:pPr>
      <w:r>
        <w:rPr>
          <w:rFonts w:hint="eastAsia" w:ascii="宋体" w:hAnsi="宋体" w:eastAsia="宋体" w:cs="宋体"/>
          <w:b/>
          <w:spacing w:val="20"/>
          <w:sz w:val="24"/>
          <w:szCs w:val="24"/>
        </w:rPr>
        <w:t xml:space="preserve">法定代表人签字（或盖章）：            供应商（盖章）： </w:t>
      </w:r>
    </w:p>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 xml:space="preserve">                                              </w:t>
      </w:r>
    </w:p>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 xml:space="preserve">                                             日期:_____年___月___日</w:t>
      </w:r>
    </w:p>
    <w:p>
      <w:pPr>
        <w:pStyle w:val="29"/>
        <w:snapToGrid w:val="0"/>
        <w:spacing w:before="120" w:beforeLines="0" w:after="120" w:afterLines="0" w:line="240" w:lineRule="auto"/>
        <w:jc w:val="left"/>
        <w:rPr>
          <w:rFonts w:hint="eastAsia" w:ascii="宋体" w:hAnsi="宋体" w:eastAsia="宋体" w:cs="宋体"/>
          <w:b/>
          <w:bCs/>
          <w:sz w:val="22"/>
          <w:szCs w:val="22"/>
          <w:u w:val="single"/>
          <w:shd w:val="pct10" w:color="auto" w:fill="FFFFFF"/>
        </w:rPr>
      </w:pPr>
    </w:p>
    <w:p>
      <w:pPr>
        <w:pStyle w:val="29"/>
        <w:snapToGrid w:val="0"/>
        <w:spacing w:before="120" w:beforeLines="0" w:after="120" w:afterLines="0" w:line="240" w:lineRule="auto"/>
        <w:jc w:val="left"/>
        <w:rPr>
          <w:rFonts w:hint="eastAsia" w:ascii="宋体" w:hAnsi="宋体" w:eastAsia="宋体" w:cs="宋体"/>
          <w:b/>
          <w:bCs/>
          <w:sz w:val="22"/>
          <w:szCs w:val="22"/>
          <w:u w:val="single"/>
          <w:shd w:val="pct10" w:color="auto" w:fill="FFFFFF"/>
        </w:rPr>
      </w:pPr>
    </w:p>
    <w:p>
      <w:pPr>
        <w:pStyle w:val="29"/>
        <w:snapToGrid w:val="0"/>
        <w:spacing w:before="120" w:beforeLines="0" w:after="120" w:afterLines="0" w:line="240" w:lineRule="auto"/>
        <w:jc w:val="left"/>
        <w:rPr>
          <w:rFonts w:hint="eastAsia" w:ascii="宋体" w:hAnsi="宋体" w:eastAsia="宋体" w:cs="宋体"/>
          <w:b/>
          <w:bCs/>
          <w:sz w:val="22"/>
          <w:szCs w:val="22"/>
          <w:u w:val="single"/>
          <w:shd w:val="pct10" w:color="auto" w:fill="FFFFFF"/>
        </w:rPr>
      </w:pPr>
    </w:p>
    <w:p>
      <w:pPr>
        <w:pStyle w:val="29"/>
        <w:snapToGrid w:val="0"/>
        <w:spacing w:before="120" w:beforeLines="0" w:after="120" w:afterLines="0" w:line="240" w:lineRule="auto"/>
        <w:jc w:val="left"/>
        <w:rPr>
          <w:rFonts w:hint="eastAsia" w:ascii="宋体" w:hAnsi="宋体" w:eastAsia="宋体" w:cs="宋体"/>
          <w:b/>
          <w:bCs/>
          <w:sz w:val="22"/>
          <w:szCs w:val="22"/>
          <w:u w:val="single"/>
          <w:shd w:val="pct10" w:color="auto" w:fill="FFFFFF"/>
        </w:rPr>
      </w:pPr>
    </w:p>
    <w:p>
      <w:pPr>
        <w:pStyle w:val="29"/>
        <w:snapToGrid w:val="0"/>
        <w:spacing w:before="120" w:beforeLines="0" w:after="120" w:afterLines="0" w:line="240" w:lineRule="auto"/>
        <w:jc w:val="left"/>
        <w:rPr>
          <w:rFonts w:hint="eastAsia" w:ascii="宋体" w:hAnsi="宋体" w:eastAsia="宋体" w:cs="宋体"/>
          <w:b/>
          <w:bCs/>
          <w:sz w:val="22"/>
          <w:szCs w:val="22"/>
          <w:u w:val="single"/>
          <w:shd w:val="pct10" w:color="auto" w:fill="FFFFFF"/>
        </w:rPr>
      </w:pPr>
    </w:p>
    <w:p>
      <w:pPr>
        <w:pStyle w:val="29"/>
        <w:snapToGrid w:val="0"/>
        <w:spacing w:before="120" w:beforeLines="0" w:after="120" w:afterLines="0" w:line="240" w:lineRule="auto"/>
        <w:jc w:val="left"/>
        <w:rPr>
          <w:rFonts w:hint="eastAsia" w:ascii="宋体" w:hAnsi="宋体" w:eastAsia="宋体" w:cs="宋体"/>
          <w:b/>
          <w:bCs/>
          <w:sz w:val="22"/>
          <w:szCs w:val="22"/>
          <w:u w:val="single"/>
          <w:shd w:val="pct10" w:color="auto" w:fill="FFFFFF"/>
        </w:rPr>
      </w:pPr>
    </w:p>
    <w:p>
      <w:pPr>
        <w:pStyle w:val="29"/>
        <w:snapToGrid w:val="0"/>
        <w:spacing w:before="120" w:beforeLines="0" w:after="120" w:afterLines="0" w:line="240" w:lineRule="auto"/>
        <w:jc w:val="left"/>
        <w:rPr>
          <w:rFonts w:hint="eastAsia" w:ascii="宋体" w:hAnsi="宋体" w:eastAsia="宋体" w:cs="宋体"/>
          <w:b/>
          <w:bCs/>
          <w:sz w:val="21"/>
          <w:szCs w:val="21"/>
          <w:u w:val="single"/>
          <w:shd w:val="pct10" w:color="auto" w:fill="FFFFFF"/>
        </w:rPr>
      </w:pPr>
      <w:r>
        <w:rPr>
          <w:rFonts w:hint="eastAsia" w:ascii="宋体" w:hAnsi="宋体" w:eastAsia="宋体" w:cs="宋体"/>
          <w:b/>
          <w:bCs/>
          <w:sz w:val="21"/>
          <w:szCs w:val="21"/>
          <w:u w:val="single"/>
          <w:shd w:val="pct10" w:color="auto" w:fill="FFFFFF"/>
        </w:rPr>
        <w:t>填表说明：</w:t>
      </w:r>
    </w:p>
    <w:p>
      <w:pPr>
        <w:pStyle w:val="29"/>
        <w:snapToGrid w:val="0"/>
        <w:spacing w:before="120" w:beforeLines="0" w:after="120" w:afterLines="0" w:line="240" w:lineRule="auto"/>
        <w:jc w:val="left"/>
        <w:rPr>
          <w:rFonts w:hint="eastAsia" w:ascii="宋体" w:hAnsi="宋体" w:eastAsia="宋体" w:cs="宋体"/>
          <w:b/>
          <w:bCs/>
          <w:sz w:val="21"/>
          <w:szCs w:val="21"/>
          <w:u w:val="single"/>
          <w:shd w:val="pct10" w:color="auto" w:fill="FFFFFF"/>
        </w:rPr>
      </w:pPr>
      <w:r>
        <w:rPr>
          <w:rFonts w:hint="eastAsia" w:ascii="宋体" w:hAnsi="宋体" w:eastAsia="宋体" w:cs="宋体"/>
          <w:b/>
          <w:bCs/>
          <w:sz w:val="21"/>
          <w:szCs w:val="21"/>
          <w:u w:val="single"/>
          <w:shd w:val="pct10" w:color="auto" w:fill="FFFFFF"/>
        </w:rPr>
        <w:t>1、标的分别由不同承接企业承接的，请按序号填写齐全所有标的承接企业的信息。2、从业人员、营业收入、资产总额填报上一年度数据，无上一年度数据的新成立企业可不填报。</w:t>
      </w:r>
    </w:p>
    <w:p>
      <w:pPr>
        <w:pStyle w:val="29"/>
        <w:snapToGrid w:val="0"/>
        <w:spacing w:before="120" w:after="120" w:line="240" w:lineRule="auto"/>
        <w:jc w:val="left"/>
        <w:rPr>
          <w:rFonts w:hint="eastAsia" w:ascii="宋体" w:hAnsi="宋体" w:eastAsia="宋体" w:cs="宋体"/>
          <w:b/>
          <w:bCs/>
          <w:sz w:val="21"/>
          <w:szCs w:val="21"/>
          <w:u w:val="single"/>
          <w:shd w:val="pct10" w:color="auto" w:fill="FFFFFF"/>
          <w:lang w:eastAsia="zh-CN"/>
        </w:rPr>
      </w:pPr>
      <w:r>
        <w:rPr>
          <w:rFonts w:hint="eastAsia" w:ascii="宋体" w:hAnsi="宋体" w:eastAsia="宋体" w:cs="宋体"/>
          <w:b/>
          <w:bCs/>
          <w:sz w:val="21"/>
          <w:szCs w:val="21"/>
          <w:u w:val="single"/>
          <w:shd w:val="pct10" w:color="auto" w:fill="FFFFFF"/>
        </w:rPr>
        <w:t>3、（1）按照国家统计局统计口径规定，单位从业人员指报告期末最后一日在本单位工作，并取得工资或其他形式劳动报酬的人员数。（2）企业划型时，应将分公司的从业人员、营业收入纳入合并计算。4、为了更加准确判定制造商是否为小微企业，请投标人根据工业和信息化部官方网站---中小企业规模类型自测小程序来辨别制造商企业规模类型，中小企业规模类型自测小程序链接网址http://202.106.120.146/baosong/appweb/orgScale.html</w:t>
      </w:r>
      <w:r>
        <w:rPr>
          <w:rFonts w:hint="eastAsia" w:ascii="宋体" w:hAnsi="宋体" w:eastAsia="宋体" w:cs="宋体"/>
          <w:b/>
          <w:bCs/>
          <w:sz w:val="21"/>
          <w:szCs w:val="21"/>
          <w:u w:val="single"/>
          <w:shd w:val="pct10" w:color="auto" w:fill="FFFFFF"/>
          <w:lang w:eastAsia="zh-CN"/>
        </w:rPr>
        <w:t>。</w:t>
      </w:r>
    </w:p>
    <w:p>
      <w:pPr>
        <w:pStyle w:val="29"/>
        <w:snapToGrid w:val="0"/>
        <w:spacing w:before="120" w:after="120" w:line="240" w:lineRule="auto"/>
        <w:jc w:val="left"/>
        <w:rPr>
          <w:rFonts w:hint="eastAsia" w:ascii="宋体" w:hAnsi="宋体" w:eastAsia="宋体" w:cs="宋体"/>
          <w:b/>
          <w:bCs/>
          <w:sz w:val="21"/>
          <w:szCs w:val="21"/>
          <w:u w:val="single"/>
          <w:shd w:val="pct10" w:color="auto" w:fill="FFFFFF"/>
        </w:rPr>
      </w:pPr>
      <w:r>
        <w:rPr>
          <w:rFonts w:hint="eastAsia" w:ascii="宋体" w:hAnsi="宋体" w:eastAsia="宋体" w:cs="宋体"/>
          <w:b/>
          <w:bCs/>
          <w:sz w:val="21"/>
          <w:szCs w:val="21"/>
          <w:u w:val="single"/>
          <w:shd w:val="pct10" w:color="auto" w:fill="FFFFFF"/>
        </w:rPr>
        <w:t>5、投标人未提供《中小企业声明函》的、《中小企业声明函》中内容应填写而未进行填写、缺项或未如实填写的，投标人将不予享受中小企业扶持政策。中标供应商享受中小企业扶持政策的，将在成交结果公告中公开中标供应商的《中小企业声明函》。</w:t>
      </w:r>
    </w:p>
    <w:p>
      <w:pPr>
        <w:pStyle w:val="29"/>
        <w:snapToGrid w:val="0"/>
        <w:spacing w:before="120" w:after="120" w:line="240" w:lineRule="auto"/>
        <w:jc w:val="left"/>
        <w:rPr>
          <w:rFonts w:hint="eastAsia" w:ascii="宋体" w:hAnsi="宋体" w:eastAsia="宋体" w:cs="宋体"/>
          <w:b/>
          <w:bCs/>
          <w:sz w:val="21"/>
          <w:szCs w:val="21"/>
          <w:u w:val="single"/>
          <w:shd w:val="pct10" w:color="auto" w:fill="FFFFFF"/>
        </w:rPr>
      </w:pPr>
      <w:r>
        <w:rPr>
          <w:rFonts w:hint="eastAsia" w:ascii="宋体" w:hAnsi="宋体" w:eastAsia="宋体" w:cs="宋体"/>
          <w:b/>
          <w:bCs/>
          <w:sz w:val="21"/>
          <w:szCs w:val="21"/>
          <w:u w:val="single"/>
          <w:shd w:val="pct10" w:color="auto" w:fill="FFFFFF"/>
        </w:rPr>
        <w:t>6、如国家对中小企业划型标准有新的规定的，从其规定。</w:t>
      </w:r>
    </w:p>
    <w:p>
      <w:pPr>
        <w:snapToGrid w:val="0"/>
        <w:spacing w:before="120" w:beforeLines="50" w:after="50"/>
        <w:outlineLvl w:val="1"/>
        <w:rPr>
          <w:rFonts w:ascii="宋体" w:hAnsi="宋体"/>
          <w:b/>
          <w:bCs/>
          <w:color w:val="auto"/>
          <w:sz w:val="24"/>
          <w:highlight w:val="none"/>
        </w:rPr>
      </w:pPr>
    </w:p>
    <w:p>
      <w:pPr>
        <w:snapToGrid w:val="0"/>
        <w:spacing w:before="120" w:beforeLines="50" w:after="50"/>
        <w:outlineLvl w:val="1"/>
        <w:rPr>
          <w:rFonts w:ascii="宋体" w:hAnsi="宋体"/>
          <w:b/>
          <w:bCs/>
          <w:color w:val="auto"/>
          <w:sz w:val="24"/>
          <w:highlight w:val="none"/>
        </w:rPr>
      </w:pPr>
    </w:p>
    <w:p>
      <w:pPr>
        <w:snapToGrid w:val="0"/>
        <w:spacing w:before="120" w:beforeLines="50" w:after="50"/>
        <w:jc w:val="center"/>
        <w:outlineLvl w:val="1"/>
        <w:rPr>
          <w:rFonts w:ascii="宋体" w:hAnsi="宋体"/>
          <w:b/>
          <w:bCs/>
          <w:color w:val="auto"/>
          <w:sz w:val="24"/>
          <w:highlight w:val="none"/>
        </w:rPr>
      </w:pPr>
    </w:p>
    <w:p>
      <w:pPr>
        <w:snapToGrid w:val="0"/>
        <w:spacing w:before="120" w:beforeLines="50" w:after="50"/>
        <w:jc w:val="center"/>
        <w:outlineLvl w:val="1"/>
        <w:rPr>
          <w:rFonts w:ascii="宋体" w:hAnsi="宋体"/>
          <w:b/>
          <w:bCs/>
          <w:color w:val="auto"/>
          <w:sz w:val="28"/>
          <w:szCs w:val="28"/>
          <w:highlight w:val="none"/>
        </w:rPr>
      </w:pPr>
      <w:bookmarkStart w:id="372" w:name="_Toc466534753"/>
      <w:bookmarkStart w:id="373" w:name="_Toc29344"/>
      <w:r>
        <w:rPr>
          <w:rFonts w:hint="eastAsia" w:ascii="宋体" w:hAnsi="宋体"/>
          <w:b/>
          <w:bCs/>
          <w:color w:val="auto"/>
          <w:sz w:val="28"/>
          <w:szCs w:val="28"/>
          <w:highlight w:val="none"/>
        </w:rPr>
        <w:t>二、商务技术文件格式</w:t>
      </w:r>
      <w:bookmarkEnd w:id="369"/>
      <w:bookmarkEnd w:id="372"/>
      <w:bookmarkEnd w:id="373"/>
    </w:p>
    <w:p>
      <w:pPr>
        <w:snapToGrid w:val="0"/>
        <w:spacing w:before="120" w:beforeLines="50" w:after="50"/>
        <w:jc w:val="center"/>
        <w:rPr>
          <w:rFonts w:ascii="宋体" w:hAnsi="宋体"/>
          <w:color w:val="auto"/>
          <w:sz w:val="28"/>
          <w:szCs w:val="28"/>
          <w:highlight w:val="none"/>
        </w:rPr>
      </w:pPr>
    </w:p>
    <w:p>
      <w:pPr>
        <w:snapToGrid w:val="0"/>
        <w:spacing w:before="120" w:beforeLines="50" w:after="50"/>
        <w:rPr>
          <w:rFonts w:ascii="宋体" w:hAnsi="宋体"/>
          <w:color w:val="auto"/>
          <w:sz w:val="28"/>
          <w:szCs w:val="28"/>
          <w:highlight w:val="none"/>
        </w:rPr>
      </w:pP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 xml:space="preserve">.商务技术文件封面格式： </w:t>
      </w:r>
    </w:p>
    <w:p>
      <w:pPr>
        <w:snapToGrid w:val="0"/>
        <w:spacing w:before="120" w:beforeLines="50" w:after="50"/>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napToGrid w:val="0"/>
        <w:spacing w:before="120" w:beforeLines="50" w:after="50"/>
        <w:rPr>
          <w:rFonts w:ascii="宋体" w:hAnsi="宋体"/>
          <w:color w:val="auto"/>
          <w:sz w:val="28"/>
          <w:szCs w:val="28"/>
          <w:highlight w:val="none"/>
        </w:rPr>
      </w:pPr>
    </w:p>
    <w:p>
      <w:pPr>
        <w:snapToGrid w:val="0"/>
        <w:spacing w:before="120" w:beforeLines="50" w:after="50"/>
        <w:jc w:val="center"/>
        <w:rPr>
          <w:rFonts w:ascii="宋体" w:hAnsi="宋体"/>
          <w:bCs/>
          <w:color w:val="auto"/>
          <w:sz w:val="28"/>
          <w:szCs w:val="28"/>
          <w:highlight w:val="none"/>
        </w:rPr>
      </w:pPr>
    </w:p>
    <w:p>
      <w:pPr>
        <w:snapToGrid w:val="0"/>
        <w:spacing w:before="120" w:beforeLines="50" w:after="50"/>
        <w:jc w:val="center"/>
        <w:rPr>
          <w:rFonts w:ascii="宋体" w:hAnsi="宋体"/>
          <w:bCs/>
          <w:color w:val="auto"/>
          <w:sz w:val="28"/>
          <w:szCs w:val="28"/>
          <w:highlight w:val="none"/>
        </w:rPr>
      </w:pPr>
      <w:r>
        <w:rPr>
          <w:rFonts w:hint="eastAsia" w:ascii="宋体" w:hAnsi="宋体"/>
          <w:bCs/>
          <w:color w:val="auto"/>
          <w:sz w:val="28"/>
          <w:szCs w:val="28"/>
          <w:highlight w:val="none"/>
        </w:rPr>
        <w:t>商务技术文件</w:t>
      </w: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ind w:firstLine="1246" w:firstLineChars="445"/>
        <w:rPr>
          <w:rFonts w:ascii="宋体" w:hAnsi="宋体"/>
          <w:bCs/>
          <w:color w:val="auto"/>
          <w:sz w:val="28"/>
          <w:szCs w:val="28"/>
          <w:highlight w:val="none"/>
        </w:rPr>
      </w:pPr>
      <w:r>
        <w:rPr>
          <w:rFonts w:hint="eastAsia" w:ascii="宋体" w:hAnsi="宋体"/>
          <w:bCs/>
          <w:color w:val="auto"/>
          <w:sz w:val="28"/>
          <w:szCs w:val="28"/>
          <w:highlight w:val="none"/>
        </w:rPr>
        <w:t>项目名称：</w:t>
      </w:r>
    </w:p>
    <w:p>
      <w:pPr>
        <w:snapToGrid w:val="0"/>
        <w:spacing w:before="120" w:beforeLines="50" w:after="50"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 xml:space="preserve">     项目编号：    </w:t>
      </w:r>
    </w:p>
    <w:p>
      <w:pPr>
        <w:pStyle w:val="14"/>
        <w:snapToGrid w:val="0"/>
        <w:spacing w:before="50" w:after="50" w:line="360" w:lineRule="auto"/>
        <w:ind w:firstLine="1164" w:firstLineChars="416"/>
        <w:rPr>
          <w:rFonts w:ascii="宋体" w:hAnsi="宋体"/>
          <w:bCs/>
          <w:color w:val="auto"/>
          <w:sz w:val="28"/>
          <w:szCs w:val="28"/>
          <w:highlight w:val="none"/>
        </w:rPr>
      </w:pPr>
    </w:p>
    <w:p>
      <w:pPr>
        <w:pStyle w:val="1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供应商名称：</w:t>
      </w:r>
    </w:p>
    <w:p>
      <w:pPr>
        <w:pStyle w:val="1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供应商地址：</w:t>
      </w:r>
    </w:p>
    <w:p>
      <w:pPr>
        <w:pStyle w:val="14"/>
        <w:snapToGrid w:val="0"/>
        <w:spacing w:before="50" w:after="50"/>
        <w:ind w:firstLine="1120" w:firstLineChars="400"/>
        <w:rPr>
          <w:rFonts w:ascii="宋体" w:hAnsi="宋体"/>
          <w:bCs/>
          <w:color w:val="auto"/>
          <w:sz w:val="28"/>
          <w:szCs w:val="28"/>
          <w:highlight w:val="none"/>
        </w:rPr>
      </w:pPr>
    </w:p>
    <w:p>
      <w:pPr>
        <w:pStyle w:val="29"/>
        <w:snapToGrid w:val="0"/>
        <w:spacing w:beforeLines="0" w:afterLines="0" w:line="420" w:lineRule="exact"/>
        <w:jc w:val="left"/>
        <w:outlineLvl w:val="0"/>
        <w:rPr>
          <w:rFonts w:hAnsi="宋体"/>
          <w:color w:val="auto"/>
          <w:sz w:val="28"/>
          <w:szCs w:val="28"/>
          <w:highlight w:val="none"/>
        </w:rPr>
      </w:pPr>
      <w:r>
        <w:rPr>
          <w:rFonts w:hint="eastAsia" w:hAnsi="宋体"/>
          <w:color w:val="auto"/>
          <w:sz w:val="28"/>
          <w:szCs w:val="28"/>
          <w:highlight w:val="none"/>
        </w:rPr>
        <w:t xml:space="preserve">                        </w:t>
      </w:r>
      <w:bookmarkStart w:id="374" w:name="_Toc14823"/>
      <w:r>
        <w:rPr>
          <w:rFonts w:hint="eastAsia" w:hAnsi="宋体"/>
          <w:color w:val="auto"/>
          <w:sz w:val="28"/>
          <w:szCs w:val="28"/>
          <w:highlight w:val="none"/>
        </w:rPr>
        <w:t>年  月  日</w:t>
      </w:r>
      <w:r>
        <w:rPr>
          <w:rFonts w:hAnsi="宋体"/>
          <w:color w:val="auto"/>
          <w:sz w:val="28"/>
          <w:szCs w:val="28"/>
          <w:highlight w:val="none"/>
        </w:rPr>
        <w:br w:type="page"/>
      </w:r>
      <w:bookmarkEnd w:id="374"/>
    </w:p>
    <w:p>
      <w:pPr>
        <w:pStyle w:val="29"/>
        <w:pageBreakBefore/>
        <w:snapToGrid w:val="0"/>
        <w:spacing w:before="120" w:beforeLines="0" w:after="120" w:afterLines="0" w:line="240" w:lineRule="auto"/>
        <w:rPr>
          <w:rFonts w:hint="eastAsia" w:ascii="宋体" w:hAnsi="宋体" w:eastAsia="宋体" w:cs="Times New Roman"/>
          <w:color w:val="auto"/>
          <w:kern w:val="2"/>
          <w:sz w:val="28"/>
          <w:szCs w:val="28"/>
          <w:highlight w:val="none"/>
          <w:lang w:val="en-US" w:eastAsia="zh-CN" w:bidi="ar-SA"/>
        </w:rPr>
      </w:pPr>
      <w:bookmarkStart w:id="375" w:name="_Hlk60757098"/>
      <w:r>
        <w:rPr>
          <w:rFonts w:hint="eastAsia" w:ascii="宋体" w:hAnsi="宋体" w:eastAsia="宋体" w:cs="Times New Roman"/>
          <w:color w:val="auto"/>
          <w:kern w:val="2"/>
          <w:sz w:val="28"/>
          <w:szCs w:val="28"/>
          <w:highlight w:val="none"/>
          <w:lang w:val="en-US" w:eastAsia="zh-CN" w:bidi="ar-SA"/>
        </w:rPr>
        <w:t>6.投标函格式：</w:t>
      </w:r>
      <w:bookmarkEnd w:id="375"/>
    </w:p>
    <w:p>
      <w:pPr>
        <w:snapToGrid w:val="0"/>
        <w:spacing w:before="120" w:beforeLines="50" w:after="50"/>
        <w:jc w:val="center"/>
        <w:rPr>
          <w:rFonts w:ascii="宋体" w:hAnsi="宋体"/>
          <w:b/>
          <w:color w:val="auto"/>
          <w:sz w:val="36"/>
          <w:szCs w:val="36"/>
          <w:highlight w:val="none"/>
        </w:rPr>
      </w:pPr>
      <w:r>
        <w:rPr>
          <w:rFonts w:hint="eastAsia" w:ascii="宋体" w:hAnsi="宋体"/>
          <w:b/>
          <w:color w:val="auto"/>
          <w:sz w:val="36"/>
          <w:szCs w:val="36"/>
          <w:highlight w:val="none"/>
        </w:rPr>
        <w:t>投 标 函</w:t>
      </w:r>
    </w:p>
    <w:p>
      <w:pPr>
        <w:snapToGrid w:val="0"/>
        <w:spacing w:before="120" w:beforeLines="50" w:after="50" w:line="380" w:lineRule="exact"/>
        <w:rPr>
          <w:rFonts w:ascii="宋体" w:hAnsi="宋体"/>
          <w:color w:val="auto"/>
          <w:sz w:val="24"/>
          <w:szCs w:val="20"/>
          <w:highlight w:val="none"/>
        </w:rPr>
      </w:pPr>
      <w:r>
        <w:rPr>
          <w:rFonts w:hint="eastAsia" w:ascii="宋体" w:hAnsi="宋体"/>
          <w:color w:val="auto"/>
          <w:sz w:val="24"/>
          <w:highlight w:val="none"/>
        </w:rPr>
        <w:t>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（招标采购单位名称）：</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1、我方自愿参加贵方组织的</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）的投标，并</w:t>
      </w:r>
      <w:r>
        <w:rPr>
          <w:rFonts w:ascii="宋体" w:hAnsi="宋体"/>
          <w:color w:val="auto"/>
          <w:sz w:val="24"/>
          <w:highlight w:val="none"/>
        </w:rPr>
        <w:t>按采购文件的要求</w:t>
      </w:r>
      <w:r>
        <w:rPr>
          <w:rFonts w:hint="eastAsia" w:ascii="宋体" w:hAnsi="宋体"/>
          <w:color w:val="auto"/>
          <w:sz w:val="24"/>
          <w:highlight w:val="none"/>
        </w:rPr>
        <w:t>提交商务技术文件、报价文件。</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、我方完全理解并接受磋商文件（包括修改补</w:t>
      </w:r>
      <w:r>
        <w:rPr>
          <w:rFonts w:ascii="宋体" w:hAnsi="宋体"/>
          <w:color w:val="auto"/>
          <w:sz w:val="24"/>
          <w:highlight w:val="none"/>
        </w:rPr>
        <w:t>充</w:t>
      </w:r>
      <w:r>
        <w:rPr>
          <w:rFonts w:hint="eastAsia" w:ascii="宋体" w:hAnsi="宋体"/>
          <w:color w:val="auto"/>
          <w:sz w:val="24"/>
          <w:highlight w:val="none"/>
        </w:rPr>
        <w:t>文件）的各项规定和要求</w:t>
      </w:r>
      <w:r>
        <w:rPr>
          <w:rFonts w:ascii="宋体" w:hAnsi="宋体"/>
          <w:color w:val="auto"/>
          <w:sz w:val="24"/>
          <w:highlight w:val="none"/>
        </w:rPr>
        <w:t>，</w:t>
      </w:r>
      <w:r>
        <w:rPr>
          <w:rFonts w:hint="eastAsia" w:ascii="宋体" w:hAnsi="宋体"/>
          <w:color w:val="auto"/>
          <w:sz w:val="24"/>
          <w:highlight w:val="none"/>
        </w:rPr>
        <w:t>不</w:t>
      </w:r>
      <w:r>
        <w:rPr>
          <w:rFonts w:ascii="宋体" w:hAnsi="宋体"/>
          <w:color w:val="auto"/>
          <w:sz w:val="24"/>
          <w:highlight w:val="none"/>
        </w:rPr>
        <w:t>再对磋商文件</w:t>
      </w:r>
      <w:r>
        <w:rPr>
          <w:rFonts w:hint="eastAsia" w:ascii="宋体" w:hAnsi="宋体"/>
          <w:color w:val="auto"/>
          <w:sz w:val="24"/>
          <w:highlight w:val="none"/>
        </w:rPr>
        <w:t>的合理性、合法性等</w:t>
      </w:r>
      <w:r>
        <w:rPr>
          <w:rFonts w:ascii="宋体" w:hAnsi="宋体"/>
          <w:color w:val="auto"/>
          <w:sz w:val="24"/>
          <w:highlight w:val="none"/>
        </w:rPr>
        <w:t>相关内容提出质疑或投诉。</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、我方不是采购单位的附属机构以及</w:t>
      </w:r>
      <w:r>
        <w:rPr>
          <w:rFonts w:ascii="宋体" w:hAnsi="宋体"/>
          <w:color w:val="auto"/>
          <w:sz w:val="24"/>
          <w:highlight w:val="none"/>
        </w:rPr>
        <w:t>其它法律法规</w:t>
      </w:r>
      <w:r>
        <w:rPr>
          <w:rFonts w:hint="eastAsia" w:ascii="宋体" w:hAnsi="宋体"/>
          <w:color w:val="auto"/>
          <w:sz w:val="24"/>
          <w:highlight w:val="none"/>
        </w:rPr>
        <w:t>所</w:t>
      </w:r>
      <w:r>
        <w:rPr>
          <w:rFonts w:ascii="宋体" w:hAnsi="宋体"/>
          <w:color w:val="auto"/>
          <w:sz w:val="24"/>
          <w:highlight w:val="none"/>
        </w:rPr>
        <w:t>规定的限制投标单位</w:t>
      </w:r>
      <w:r>
        <w:rPr>
          <w:rFonts w:hint="eastAsia" w:ascii="宋体" w:hAnsi="宋体"/>
          <w:color w:val="auto"/>
          <w:sz w:val="24"/>
          <w:highlight w:val="none"/>
        </w:rPr>
        <w:t>。</w:t>
      </w:r>
    </w:p>
    <w:p>
      <w:pPr>
        <w:snapToGrid w:val="0"/>
        <w:spacing w:line="360" w:lineRule="auto"/>
        <w:ind w:firstLine="482" w:firstLineChars="200"/>
        <w:rPr>
          <w:rFonts w:ascii="宋体" w:hAnsi="宋体"/>
          <w:b/>
          <w:bCs/>
          <w:color w:val="auto"/>
          <w:sz w:val="24"/>
          <w:highlight w:val="none"/>
          <w:shd w:val="pct10" w:color="auto" w:fill="FFFFFF"/>
        </w:rPr>
      </w:pPr>
      <w:r>
        <w:rPr>
          <w:rFonts w:ascii="宋体" w:hAnsi="宋体"/>
          <w:b/>
          <w:bCs/>
          <w:color w:val="auto"/>
          <w:sz w:val="24"/>
          <w:highlight w:val="none"/>
          <w:shd w:val="pct10" w:color="auto" w:fill="FFFFFF"/>
        </w:rPr>
        <w:t>4</w:t>
      </w:r>
      <w:r>
        <w:rPr>
          <w:rFonts w:hint="eastAsia" w:ascii="宋体" w:hAnsi="宋体"/>
          <w:b/>
          <w:bCs/>
          <w:color w:val="auto"/>
          <w:sz w:val="24"/>
          <w:highlight w:val="none"/>
          <w:shd w:val="pct10" w:color="auto" w:fill="FFFFFF"/>
        </w:rPr>
        <w:t>.、我方向贵方提交的所有响应文件、资料（包括所有</w:t>
      </w:r>
      <w:bookmarkStart w:id="376" w:name="_Hlk59707887"/>
      <w:r>
        <w:rPr>
          <w:rFonts w:hint="eastAsia" w:ascii="宋体" w:hAnsi="宋体"/>
          <w:b/>
          <w:bCs/>
          <w:color w:val="auto"/>
          <w:sz w:val="24"/>
          <w:highlight w:val="none"/>
          <w:shd w:val="pct10" w:color="auto" w:fill="FFFFFF"/>
        </w:rPr>
        <w:t>证书、合同、报告等</w:t>
      </w:r>
      <w:bookmarkEnd w:id="376"/>
      <w:r>
        <w:rPr>
          <w:rFonts w:hint="eastAsia" w:ascii="宋体" w:hAnsi="宋体"/>
          <w:b/>
          <w:bCs/>
          <w:color w:val="auto"/>
          <w:sz w:val="24"/>
          <w:highlight w:val="none"/>
          <w:shd w:val="pct10" w:color="auto" w:fill="FFFFFF"/>
        </w:rPr>
        <w:t>）都是准确、真实、合规的，如有虚假或隐瞒，我方愿意承担一切后果。</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、本投标自开标日起 90天</w:t>
      </w:r>
      <w:r>
        <w:rPr>
          <w:rFonts w:ascii="宋体" w:hAnsi="宋体"/>
          <w:color w:val="auto"/>
          <w:sz w:val="24"/>
          <w:highlight w:val="none"/>
        </w:rPr>
        <w:t>内</w:t>
      </w:r>
      <w:r>
        <w:rPr>
          <w:rFonts w:hint="eastAsia" w:ascii="宋体" w:hAnsi="宋体"/>
          <w:color w:val="auto"/>
          <w:sz w:val="24"/>
          <w:highlight w:val="none"/>
        </w:rPr>
        <w:t>有效。</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、如成交，本响应文件至本项目合同履行完毕均保持有效，同意按照贵方要求提供与投标有关的一切数据或资料，并按“磋商文件”及政府采购法律、法规的规定履行合同责任和义务。</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、以上事项如有虚假或隐瞒，我方愿意承担一切后果，并不再寻求任何旨在减轻或免除法律责任的辩解，</w:t>
      </w:r>
      <w:r>
        <w:rPr>
          <w:rFonts w:ascii="宋体" w:hAnsi="宋体"/>
          <w:color w:val="auto"/>
          <w:sz w:val="24"/>
          <w:highlight w:val="none"/>
        </w:rPr>
        <w:t>并对招标采购单位</w:t>
      </w:r>
      <w:r>
        <w:rPr>
          <w:rFonts w:hint="eastAsia" w:ascii="宋体" w:hAnsi="宋体"/>
          <w:color w:val="auto"/>
          <w:sz w:val="24"/>
          <w:highlight w:val="none"/>
        </w:rPr>
        <w:t>因</w:t>
      </w:r>
      <w:r>
        <w:rPr>
          <w:rFonts w:ascii="宋体" w:hAnsi="宋体"/>
          <w:color w:val="auto"/>
          <w:sz w:val="24"/>
          <w:highlight w:val="none"/>
        </w:rPr>
        <w:t>此引起的损失予以赔偿</w:t>
      </w:r>
      <w:r>
        <w:rPr>
          <w:rFonts w:hint="eastAsia" w:ascii="宋体" w:hAnsi="宋体"/>
          <w:color w:val="auto"/>
          <w:sz w:val="24"/>
          <w:highlight w:val="none"/>
        </w:rPr>
        <w:t>。</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、我方全权授</w:t>
      </w:r>
      <w:r>
        <w:rPr>
          <w:rFonts w:ascii="宋体" w:hAnsi="宋体"/>
          <w:color w:val="auto"/>
          <w:sz w:val="24"/>
          <w:highlight w:val="none"/>
        </w:rPr>
        <w:t>权被授权人</w:t>
      </w:r>
      <w:r>
        <w:rPr>
          <w:rFonts w:hint="eastAsia" w:ascii="宋体" w:hAnsi="宋体"/>
          <w:color w:val="auto"/>
          <w:sz w:val="24"/>
          <w:highlight w:val="none"/>
        </w:rPr>
        <w:t>办理针对上述项目的投标、开标、磋商、签约等具体事务和签署相关文件，</w:t>
      </w:r>
      <w:r>
        <w:rPr>
          <w:rFonts w:ascii="宋体" w:hAnsi="宋体"/>
          <w:color w:val="auto"/>
          <w:sz w:val="24"/>
          <w:highlight w:val="none"/>
        </w:rPr>
        <w:t>对被授权的</w:t>
      </w:r>
      <w:r>
        <w:rPr>
          <w:rFonts w:hint="eastAsia" w:ascii="宋体" w:hAnsi="宋体"/>
          <w:color w:val="auto"/>
          <w:sz w:val="24"/>
          <w:highlight w:val="none"/>
        </w:rPr>
        <w:t>各</w:t>
      </w:r>
      <w:r>
        <w:rPr>
          <w:rFonts w:ascii="宋体" w:hAnsi="宋体"/>
          <w:color w:val="auto"/>
          <w:sz w:val="24"/>
          <w:highlight w:val="none"/>
        </w:rPr>
        <w:t>项行为负全部责任</w:t>
      </w:r>
      <w:r>
        <w:rPr>
          <w:rFonts w:hint="eastAsia" w:ascii="宋体" w:hAnsi="宋体"/>
          <w:color w:val="auto"/>
          <w:sz w:val="24"/>
          <w:highlight w:val="none"/>
        </w:rPr>
        <w:t>，在撤销授权的书面通知以前，本授权书一直有效，被授权人无转委托权。</w:t>
      </w:r>
    </w:p>
    <w:p>
      <w:pPr>
        <w:snapToGrid w:val="0"/>
        <w:spacing w:line="400" w:lineRule="exact"/>
        <w:ind w:firstLine="361" w:firstLineChars="150"/>
        <w:rPr>
          <w:rFonts w:ascii="宋体" w:hAnsi="宋体"/>
          <w:b/>
          <w:bCs/>
          <w:sz w:val="24"/>
          <w:u w:val="single"/>
          <w:shd w:val="pct10" w:color="auto" w:fill="FFFFFF"/>
        </w:rPr>
      </w:pPr>
      <w:r>
        <w:rPr>
          <w:rFonts w:hint="eastAsia" w:ascii="宋体" w:hAnsi="宋体"/>
          <w:b/>
          <w:bCs/>
          <w:sz w:val="24"/>
        </w:rPr>
        <w:t>与本投标有关的一切正式往来信函、传真或邮件（例如质疑回复函、中标（成交）通知书、合同等）请采用如下联系方式送达，我方确保能够及时、准确收悉。</w:t>
      </w:r>
    </w:p>
    <w:p>
      <w:pPr>
        <w:snapToGrid w:val="0"/>
        <w:spacing w:line="400" w:lineRule="exact"/>
        <w:ind w:firstLine="360" w:firstLineChars="150"/>
        <w:rPr>
          <w:rFonts w:ascii="宋体" w:hAnsi="宋体"/>
          <w:sz w:val="24"/>
        </w:rPr>
      </w:pPr>
      <w:r>
        <w:rPr>
          <w:rFonts w:hint="eastAsia" w:ascii="宋体" w:hAnsi="宋体"/>
          <w:sz w:val="24"/>
        </w:rPr>
        <w:t>邮寄详细地址：</w:t>
      </w:r>
      <w:r>
        <w:rPr>
          <w:rFonts w:hint="eastAsia" w:ascii="宋体" w:hAnsi="宋体"/>
          <w:sz w:val="24"/>
          <w:u w:val="single"/>
        </w:rPr>
        <w:t xml:space="preserve">                </w:t>
      </w:r>
      <w:r>
        <w:rPr>
          <w:rFonts w:ascii="宋体" w:hAnsi="宋体"/>
          <w:sz w:val="24"/>
        </w:rPr>
        <w:t xml:space="preserve">  </w:t>
      </w:r>
      <w:r>
        <w:rPr>
          <w:rFonts w:hint="eastAsia" w:ascii="宋体" w:hAnsi="宋体"/>
          <w:sz w:val="24"/>
        </w:rPr>
        <w:t>邮编：</w:t>
      </w:r>
      <w:r>
        <w:rPr>
          <w:rFonts w:hint="eastAsia" w:ascii="宋体" w:hAnsi="宋体"/>
          <w:sz w:val="24"/>
          <w:u w:val="single"/>
        </w:rPr>
        <w:t xml:space="preserve">             </w:t>
      </w:r>
    </w:p>
    <w:p>
      <w:pPr>
        <w:snapToGrid w:val="0"/>
        <w:spacing w:line="400" w:lineRule="exact"/>
        <w:ind w:firstLine="360" w:firstLineChars="150"/>
        <w:rPr>
          <w:rFonts w:ascii="宋体" w:hAnsi="宋体"/>
          <w:sz w:val="24"/>
        </w:rPr>
      </w:pPr>
      <w:r>
        <w:rPr>
          <w:rFonts w:hint="eastAsia" w:ascii="宋体" w:hAnsi="宋体"/>
          <w:sz w:val="24"/>
        </w:rPr>
        <w:t>收件人姓名：</w:t>
      </w:r>
      <w:r>
        <w:rPr>
          <w:rFonts w:hint="eastAsia" w:ascii="宋体" w:hAnsi="宋体"/>
          <w:sz w:val="24"/>
          <w:u w:val="single"/>
        </w:rPr>
        <w:t xml:space="preserve">            </w:t>
      </w:r>
      <w:r>
        <w:rPr>
          <w:rFonts w:hint="eastAsia" w:ascii="宋体" w:hAnsi="宋体"/>
          <w:sz w:val="24"/>
        </w:rPr>
        <w:t xml:space="preserve"> 联系手机：</w:t>
      </w:r>
      <w:r>
        <w:rPr>
          <w:rFonts w:hint="eastAsia" w:ascii="宋体" w:hAnsi="宋体"/>
          <w:sz w:val="24"/>
          <w:u w:val="single"/>
        </w:rPr>
        <w:t xml:space="preserve">               </w:t>
      </w:r>
      <w:r>
        <w:rPr>
          <w:rFonts w:hint="eastAsia" w:ascii="宋体" w:hAnsi="宋体"/>
          <w:sz w:val="24"/>
        </w:rPr>
        <w:t xml:space="preserve">  </w:t>
      </w:r>
    </w:p>
    <w:p>
      <w:pPr>
        <w:snapToGrid w:val="0"/>
        <w:spacing w:line="400" w:lineRule="exact"/>
        <w:ind w:firstLine="360" w:firstLineChars="150"/>
        <w:rPr>
          <w:rFonts w:ascii="宋体" w:hAnsi="宋体"/>
          <w:sz w:val="24"/>
        </w:rPr>
      </w:pPr>
      <w:r>
        <w:rPr>
          <w:rFonts w:hint="eastAsia" w:ascii="宋体" w:hAnsi="宋体"/>
          <w:sz w:val="24"/>
        </w:rPr>
        <w:t>公司电子邮箱</w:t>
      </w:r>
      <w:r>
        <w:rPr>
          <w:rFonts w:hint="eastAsia" w:ascii="宋体" w:hAnsi="宋体"/>
          <w:b/>
          <w:bCs/>
          <w:sz w:val="24"/>
        </w:rPr>
        <w:t>：</w:t>
      </w:r>
      <w:r>
        <w:rPr>
          <w:rFonts w:hint="eastAsia" w:ascii="宋体" w:hAnsi="宋体"/>
          <w:sz w:val="24"/>
          <w:u w:val="single"/>
        </w:rPr>
        <w:t xml:space="preserve">                      </w:t>
      </w:r>
    </w:p>
    <w:p>
      <w:pPr>
        <w:snapToGrid w:val="0"/>
        <w:spacing w:line="400" w:lineRule="exact"/>
        <w:ind w:firstLine="361" w:firstLineChars="150"/>
        <w:rPr>
          <w:rFonts w:ascii="宋体" w:hAnsi="宋体"/>
          <w:b/>
          <w:bCs/>
          <w:sz w:val="24"/>
        </w:rPr>
      </w:pPr>
      <w:r>
        <w:rPr>
          <w:rFonts w:hint="eastAsia" w:ascii="宋体" w:hAnsi="宋体"/>
          <w:b/>
          <w:bCs/>
          <w:sz w:val="24"/>
        </w:rPr>
        <w:t>为了方便评审磋商小组在必要时对供应商进行询标，请供应商填写以下响应文件编制人信息，以便及时、准确进行询标，响应文件编制人信息可不限于1人。</w:t>
      </w:r>
    </w:p>
    <w:p>
      <w:pPr>
        <w:snapToGrid w:val="0"/>
        <w:spacing w:line="400" w:lineRule="exact"/>
        <w:ind w:firstLine="361" w:firstLineChars="150"/>
        <w:jc w:val="left"/>
        <w:rPr>
          <w:rFonts w:ascii="宋体" w:hAnsi="宋体"/>
          <w:b/>
          <w:bCs/>
          <w:sz w:val="24"/>
          <w:u w:val="single"/>
        </w:rPr>
      </w:pPr>
      <w:r>
        <w:rPr>
          <w:rFonts w:hint="eastAsia" w:ascii="宋体" w:hAnsi="宋体"/>
          <w:b/>
          <w:bCs/>
          <w:sz w:val="24"/>
        </w:rPr>
        <w:t>响应文件编制人姓名：</w:t>
      </w:r>
      <w:r>
        <w:rPr>
          <w:rFonts w:hint="eastAsia" w:ascii="宋体" w:hAnsi="宋体"/>
          <w:b/>
          <w:bCs/>
          <w:sz w:val="24"/>
          <w:u w:val="single"/>
        </w:rPr>
        <w:t xml:space="preserve">          </w:t>
      </w:r>
      <w:r>
        <w:rPr>
          <w:rFonts w:hint="eastAsia" w:ascii="宋体" w:hAnsi="宋体"/>
          <w:b/>
          <w:bCs/>
          <w:sz w:val="24"/>
        </w:rPr>
        <w:t xml:space="preserve"> </w:t>
      </w:r>
      <w:r>
        <w:rPr>
          <w:rFonts w:ascii="宋体" w:hAnsi="宋体"/>
          <w:b/>
          <w:bCs/>
          <w:sz w:val="24"/>
        </w:rPr>
        <w:t xml:space="preserve">  </w:t>
      </w:r>
      <w:r>
        <w:rPr>
          <w:rFonts w:hint="eastAsia" w:ascii="宋体" w:hAnsi="宋体"/>
          <w:b/>
          <w:bCs/>
          <w:sz w:val="24"/>
        </w:rPr>
        <w:t>手机号码：</w:t>
      </w:r>
      <w:r>
        <w:rPr>
          <w:rFonts w:hint="eastAsia" w:ascii="宋体" w:hAnsi="宋体"/>
          <w:b/>
          <w:bCs/>
          <w:sz w:val="24"/>
          <w:u w:val="single"/>
        </w:rPr>
        <w:t xml:space="preserve">       </w:t>
      </w:r>
    </w:p>
    <w:p>
      <w:pPr>
        <w:snapToGrid w:val="0"/>
        <w:spacing w:line="400" w:lineRule="exact"/>
        <w:ind w:firstLine="361" w:firstLineChars="150"/>
        <w:jc w:val="left"/>
        <w:rPr>
          <w:rFonts w:ascii="宋体" w:hAnsi="宋体"/>
          <w:b/>
          <w:bCs/>
          <w:sz w:val="24"/>
        </w:rPr>
      </w:pPr>
      <w:r>
        <w:rPr>
          <w:rFonts w:hint="eastAsia" w:ascii="宋体" w:hAnsi="宋体"/>
          <w:b/>
          <w:bCs/>
          <w:sz w:val="24"/>
        </w:rPr>
        <w:t>法定代表人（签字或盖章）：</w:t>
      </w:r>
    </w:p>
    <w:p>
      <w:pPr>
        <w:snapToGrid w:val="0"/>
        <w:spacing w:line="400" w:lineRule="exact"/>
        <w:ind w:firstLine="361" w:firstLineChars="150"/>
        <w:jc w:val="left"/>
        <w:rPr>
          <w:rFonts w:ascii="宋体" w:hAnsi="宋体"/>
          <w:b/>
          <w:bCs/>
          <w:sz w:val="24"/>
        </w:rPr>
      </w:pPr>
      <w:r>
        <w:rPr>
          <w:rFonts w:hint="eastAsia" w:ascii="宋体" w:hAnsi="宋体"/>
          <w:b/>
          <w:bCs/>
          <w:sz w:val="24"/>
        </w:rPr>
        <w:t>被授权人（签字）:</w:t>
      </w:r>
      <w:r>
        <w:rPr>
          <w:rFonts w:hint="eastAsia" w:ascii="宋体" w:hAnsi="宋体"/>
          <w:b/>
          <w:bCs/>
          <w:sz w:val="24"/>
          <w:u w:val="single"/>
        </w:rPr>
        <w:t xml:space="preserve">             </w:t>
      </w:r>
      <w:r>
        <w:rPr>
          <w:rFonts w:hint="eastAsia" w:ascii="宋体" w:hAnsi="宋体"/>
          <w:b/>
          <w:bCs/>
          <w:sz w:val="24"/>
        </w:rPr>
        <w:t xml:space="preserve"> </w:t>
      </w:r>
      <w:r>
        <w:rPr>
          <w:rFonts w:hint="eastAsia" w:ascii="宋体" w:hAnsi="宋体"/>
          <w:sz w:val="24"/>
        </w:rPr>
        <w:t xml:space="preserve"> </w:t>
      </w:r>
      <w:r>
        <w:rPr>
          <w:rFonts w:hint="eastAsia" w:ascii="宋体" w:hAnsi="宋体"/>
          <w:b/>
          <w:bCs/>
          <w:sz w:val="24"/>
        </w:rPr>
        <w:t>被授权人手机号码：</w:t>
      </w:r>
      <w:r>
        <w:rPr>
          <w:rFonts w:hint="eastAsia" w:ascii="宋体" w:hAnsi="宋体"/>
          <w:b/>
          <w:sz w:val="24"/>
          <w:u w:val="single"/>
        </w:rPr>
        <w:t xml:space="preserve">     </w:t>
      </w:r>
    </w:p>
    <w:p>
      <w:pPr>
        <w:snapToGrid w:val="0"/>
        <w:spacing w:line="400" w:lineRule="exact"/>
        <w:jc w:val="left"/>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供应商名称（电子印章）：</w:t>
      </w:r>
    </w:p>
    <w:p>
      <w:pPr>
        <w:spacing w:line="360" w:lineRule="auto"/>
        <w:ind w:firstLine="424" w:firstLineChars="177"/>
        <w:rPr>
          <w:rFonts w:ascii="宋体" w:hAnsi="宋体"/>
          <w:sz w:val="24"/>
        </w:rPr>
      </w:pPr>
      <w:r>
        <w:rPr>
          <w:rFonts w:hint="eastAsia" w:ascii="宋体" w:hAnsi="宋体" w:cs="仿宋_GB2312"/>
          <w:kern w:val="0"/>
          <w:sz w:val="24"/>
          <w:lang w:val="zh-CN"/>
        </w:rPr>
        <w:t>法定代表人或授权委托人签字或</w:t>
      </w:r>
      <w:r>
        <w:rPr>
          <w:rFonts w:hint="eastAsia" w:ascii="宋体" w:hAnsi="宋体" w:cs="仿宋_GB2312"/>
          <w:kern w:val="0"/>
          <w:sz w:val="24"/>
          <w:lang w:val="en-US" w:eastAsia="zh-CN"/>
        </w:rPr>
        <w:t>盖</w:t>
      </w:r>
      <w:r>
        <w:rPr>
          <w:rFonts w:hint="eastAsia" w:ascii="宋体" w:hAnsi="宋体" w:cs="仿宋_GB2312"/>
          <w:kern w:val="0"/>
          <w:sz w:val="24"/>
          <w:lang w:val="zh-CN"/>
        </w:rPr>
        <w:t>章</w:t>
      </w:r>
      <w:r>
        <w:rPr>
          <w:rFonts w:hint="eastAsia" w:ascii="宋体" w:hAnsi="宋体"/>
          <w:sz w:val="24"/>
        </w:rPr>
        <w:t>：</w:t>
      </w:r>
    </w:p>
    <w:p>
      <w:pPr>
        <w:snapToGrid w:val="0"/>
        <w:spacing w:line="400" w:lineRule="exact"/>
        <w:ind w:firstLine="5760" w:firstLineChars="2400"/>
        <w:jc w:val="left"/>
        <w:rPr>
          <w:rFonts w:ascii="宋体" w:hAnsi="宋体"/>
          <w:sz w:val="24"/>
        </w:rPr>
      </w:pPr>
      <w:r>
        <w:rPr>
          <w:rFonts w:hint="eastAsia" w:ascii="宋体" w:hAnsi="宋体"/>
          <w:sz w:val="24"/>
        </w:rPr>
        <w:t>日期:     年   月   日</w:t>
      </w:r>
    </w:p>
    <w:p>
      <w:pPr>
        <w:snapToGrid w:val="0"/>
        <w:spacing w:before="120" w:beforeLines="50" w:after="50"/>
        <w:rPr>
          <w:rFonts w:ascii="宋体" w:hAnsi="宋体"/>
          <w:color w:val="auto"/>
          <w:sz w:val="24"/>
          <w:szCs w:val="20"/>
          <w:highlight w:val="none"/>
        </w:rPr>
      </w:pPr>
      <w:r>
        <w:rPr>
          <w:rFonts w:hint="eastAsia" w:ascii="宋体" w:hAnsi="宋体"/>
          <w:color w:val="auto"/>
          <w:highlight w:val="none"/>
        </w:rPr>
        <w:br w:type="page"/>
      </w:r>
      <w:r>
        <w:rPr>
          <w:rFonts w:hint="eastAsia" w:ascii="宋体" w:hAnsi="宋体"/>
          <w:color w:val="auto"/>
          <w:sz w:val="24"/>
          <w:highlight w:val="none"/>
          <w:lang w:val="en-US" w:eastAsia="zh-CN"/>
        </w:rPr>
        <w:t>7</w:t>
      </w:r>
      <w:r>
        <w:rPr>
          <w:rFonts w:hint="eastAsia" w:ascii="宋体" w:hAnsi="宋体"/>
          <w:color w:val="auto"/>
          <w:sz w:val="24"/>
          <w:highlight w:val="none"/>
        </w:rPr>
        <w:t>.法定代表人授权委托书格式：</w:t>
      </w:r>
    </w:p>
    <w:p>
      <w:pPr>
        <w:snapToGrid w:val="0"/>
        <w:spacing w:before="120" w:beforeLines="50" w:after="50"/>
        <w:jc w:val="center"/>
        <w:rPr>
          <w:rFonts w:ascii="宋体" w:hAnsi="宋体"/>
          <w:b/>
          <w:color w:val="auto"/>
          <w:sz w:val="24"/>
          <w:highlight w:val="none"/>
        </w:rPr>
      </w:pPr>
      <w:r>
        <w:rPr>
          <w:rFonts w:hint="eastAsia" w:ascii="宋体" w:hAnsi="宋体"/>
          <w:b/>
          <w:color w:val="auto"/>
          <w:sz w:val="24"/>
          <w:highlight w:val="none"/>
        </w:rPr>
        <w:t>法定代表人授权委托书</w:t>
      </w:r>
    </w:p>
    <w:p>
      <w:pPr>
        <w:snapToGrid w:val="0"/>
        <w:spacing w:before="120" w:beforeLines="50" w:after="50" w:line="460" w:lineRule="exact"/>
        <w:rPr>
          <w:rFonts w:ascii="宋体" w:hAnsi="宋体"/>
          <w:b/>
          <w:bCs/>
          <w:color w:val="auto"/>
          <w:sz w:val="24"/>
          <w:szCs w:val="20"/>
          <w:highlight w:val="none"/>
        </w:rPr>
      </w:pPr>
      <w:r>
        <w:rPr>
          <w:rFonts w:hint="eastAsia" w:ascii="宋体" w:hAnsi="宋体"/>
          <w:bCs/>
          <w:color w:val="auto"/>
          <w:sz w:val="24"/>
          <w:highlight w:val="none"/>
        </w:rPr>
        <w:t>致：</w:t>
      </w:r>
      <w:r>
        <w:rPr>
          <w:rFonts w:hint="eastAsia" w:ascii="宋体" w:hAnsi="宋体"/>
          <w:color w:val="auto"/>
          <w:sz w:val="24"/>
          <w:highlight w:val="none"/>
        </w:rPr>
        <w:t>__________（招标采购单位名称）：</w:t>
      </w:r>
    </w:p>
    <w:p>
      <w:pPr>
        <w:snapToGrid w:val="0"/>
        <w:spacing w:before="120" w:beforeLines="50" w:after="50" w:line="460" w:lineRule="exact"/>
        <w:ind w:firstLine="480" w:firstLineChars="200"/>
        <w:rPr>
          <w:rFonts w:ascii="宋体" w:hAnsi="宋体"/>
          <w:color w:val="auto"/>
          <w:sz w:val="24"/>
          <w:szCs w:val="20"/>
          <w:highlight w:val="none"/>
        </w:rPr>
      </w:pPr>
      <w:r>
        <w:rPr>
          <w:rFonts w:hint="eastAsia" w:ascii="宋体" w:hAnsi="宋体"/>
          <w:color w:val="auto"/>
          <w:sz w:val="24"/>
          <w:highlight w:val="none"/>
        </w:rPr>
        <w:t>我</w:t>
      </w:r>
      <w:bookmarkStart w:id="377" w:name="_Hlk12177807"/>
      <w:r>
        <w:rPr>
          <w:rFonts w:hint="eastAsia" w:ascii="宋体" w:hAnsi="宋体"/>
          <w:color w:val="auto"/>
          <w:sz w:val="24"/>
          <w:highlight w:val="none"/>
        </w:rPr>
        <w:t>______</w:t>
      </w:r>
      <w:bookmarkEnd w:id="377"/>
      <w:r>
        <w:rPr>
          <w:rFonts w:hint="eastAsia" w:ascii="宋体" w:hAnsi="宋体"/>
          <w:color w:val="auto"/>
          <w:sz w:val="24"/>
          <w:highlight w:val="none"/>
        </w:rPr>
        <w:t xml:space="preserve">（姓名）系__________（投标单位名称）的法定代表人，现授权委托本单位职工 </w:t>
      </w:r>
      <w:bookmarkStart w:id="378" w:name="_Hlk12177819"/>
      <w:r>
        <w:rPr>
          <w:rFonts w:hint="eastAsia" w:ascii="宋体" w:hAnsi="宋体"/>
          <w:color w:val="auto"/>
          <w:sz w:val="24"/>
          <w:highlight w:val="none"/>
        </w:rPr>
        <w:t>______</w:t>
      </w:r>
      <w:bookmarkEnd w:id="378"/>
      <w:r>
        <w:rPr>
          <w:rFonts w:hint="eastAsia" w:ascii="宋体" w:hAnsi="宋体"/>
          <w:color w:val="auto"/>
          <w:sz w:val="24"/>
          <w:highlight w:val="none"/>
        </w:rPr>
        <w:t>（姓名）以我方的名义参加_______</w:t>
      </w:r>
      <w:r>
        <w:rPr>
          <w:rFonts w:hint="eastAsia" w:ascii="宋体" w:hAnsi="宋体"/>
          <w:color w:val="auto"/>
          <w:sz w:val="24"/>
          <w:highlight w:val="none"/>
          <w:lang w:val="en-US" w:eastAsia="zh-CN"/>
        </w:rPr>
        <w:t xml:space="preserve">    </w:t>
      </w:r>
      <w:r>
        <w:rPr>
          <w:rFonts w:hint="eastAsia" w:ascii="宋体" w:hAnsi="宋体"/>
          <w:color w:val="auto"/>
          <w:sz w:val="24"/>
          <w:highlight w:val="none"/>
        </w:rPr>
        <w:t>___项目的投标活动，并代表我方全权办理针对上述项目的投标、开标、磋商、签约等具体事务和签署相关文件。</w:t>
      </w:r>
    </w:p>
    <w:p>
      <w:pPr>
        <w:snapToGrid w:val="0"/>
        <w:spacing w:before="120" w:beforeLines="50" w:after="50" w:line="460" w:lineRule="exact"/>
        <w:rPr>
          <w:rFonts w:ascii="宋体" w:hAnsi="宋体"/>
          <w:color w:val="auto"/>
          <w:sz w:val="24"/>
          <w:szCs w:val="20"/>
          <w:highlight w:val="none"/>
        </w:rPr>
      </w:pPr>
      <w:r>
        <w:rPr>
          <w:rFonts w:hint="eastAsia" w:ascii="宋体" w:hAnsi="宋体"/>
          <w:color w:val="auto"/>
          <w:sz w:val="24"/>
          <w:highlight w:val="none"/>
        </w:rPr>
        <w:t xml:space="preserve">    我方对被授权人的签名事项负全部责任。</w:t>
      </w:r>
    </w:p>
    <w:p>
      <w:pPr>
        <w:snapToGrid w:val="0"/>
        <w:spacing w:before="120" w:beforeLines="50" w:after="50" w:line="460" w:lineRule="exact"/>
        <w:ind w:firstLine="480"/>
        <w:rPr>
          <w:rFonts w:ascii="宋体" w:hAnsi="宋体"/>
          <w:color w:val="auto"/>
          <w:sz w:val="24"/>
          <w:szCs w:val="20"/>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spacing w:before="120" w:beforeLines="50" w:after="50" w:line="460" w:lineRule="exact"/>
        <w:ind w:firstLine="480"/>
        <w:rPr>
          <w:rFonts w:ascii="宋体" w:hAnsi="宋体"/>
          <w:color w:val="auto"/>
          <w:sz w:val="24"/>
          <w:szCs w:val="20"/>
          <w:highlight w:val="none"/>
        </w:rPr>
      </w:pPr>
      <w:r>
        <w:rPr>
          <w:rFonts w:hint="eastAsia" w:ascii="宋体" w:hAnsi="宋体"/>
          <w:color w:val="auto"/>
          <w:sz w:val="24"/>
          <w:highlight w:val="none"/>
        </w:rPr>
        <w:t>被授权人无转委托权，特此委托。</w:t>
      </w:r>
    </w:p>
    <w:p>
      <w:pPr>
        <w:snapToGrid w:val="0"/>
        <w:spacing w:before="120" w:beforeLines="50" w:after="50" w:line="460" w:lineRule="exact"/>
        <w:rPr>
          <w:rFonts w:ascii="宋体" w:hAnsi="宋体"/>
          <w:color w:val="auto"/>
          <w:sz w:val="24"/>
          <w:szCs w:val="24"/>
          <w:highlight w:val="none"/>
        </w:rPr>
      </w:pPr>
      <w:r>
        <w:rPr>
          <w:rFonts w:hint="eastAsia" w:ascii="宋体" w:hAnsi="宋体"/>
          <w:b/>
          <w:bCs/>
          <w:color w:val="auto"/>
          <w:sz w:val="24"/>
          <w:szCs w:val="24"/>
          <w:highlight w:val="none"/>
          <w:u w:val="single"/>
        </w:rPr>
        <w:t>法定代表人签名或盖章：</w:t>
      </w:r>
      <w:r>
        <w:rPr>
          <w:rFonts w:hint="eastAsia" w:ascii="宋体" w:hAnsi="宋体"/>
          <w:b/>
          <w:bCs/>
          <w:color w:val="auto"/>
          <w:sz w:val="24"/>
          <w:szCs w:val="24"/>
          <w:highlight w:val="none"/>
        </w:rPr>
        <w:t xml:space="preserve"> </w:t>
      </w:r>
      <w:r>
        <w:rPr>
          <w:rFonts w:ascii="宋体" w:hAnsi="宋体"/>
          <w:b/>
          <w:bCs/>
          <w:color w:val="auto"/>
          <w:sz w:val="24"/>
          <w:szCs w:val="24"/>
          <w:highlight w:val="none"/>
        </w:rPr>
        <w:t xml:space="preserve">            </w:t>
      </w:r>
      <w:r>
        <w:rPr>
          <w:rFonts w:hint="eastAsia" w:ascii="宋体" w:hAnsi="宋体"/>
          <w:b/>
          <w:bCs/>
          <w:color w:val="auto"/>
          <w:sz w:val="24"/>
          <w:szCs w:val="24"/>
          <w:highlight w:val="none"/>
          <w:u w:val="single"/>
        </w:rPr>
        <w:t xml:space="preserve">被授权人签名： </w:t>
      </w:r>
      <w:r>
        <w:rPr>
          <w:rFonts w:hint="eastAsia" w:ascii="宋体" w:hAnsi="宋体"/>
          <w:color w:val="auto"/>
          <w:sz w:val="24"/>
          <w:szCs w:val="24"/>
          <w:highlight w:val="none"/>
        </w:rPr>
        <w:t xml:space="preserve">               </w:t>
      </w:r>
    </w:p>
    <w:p>
      <w:pPr>
        <w:snapToGrid w:val="0"/>
        <w:spacing w:before="120" w:beforeLines="50" w:after="50" w:line="460" w:lineRule="exact"/>
        <w:rPr>
          <w:rFonts w:ascii="宋体" w:hAnsi="宋体"/>
          <w:color w:val="auto"/>
          <w:sz w:val="24"/>
          <w:szCs w:val="24"/>
          <w:highlight w:val="none"/>
          <w:u w:val="single"/>
        </w:rPr>
      </w:pPr>
    </w:p>
    <w:p>
      <w:pPr>
        <w:snapToGrid w:val="0"/>
        <w:spacing w:before="120" w:beforeLines="50" w:after="50" w:line="460" w:lineRule="exact"/>
        <w:rPr>
          <w:rFonts w:ascii="宋体" w:hAnsi="宋体"/>
          <w:b/>
          <w:bCs/>
          <w:color w:val="auto"/>
          <w:sz w:val="24"/>
          <w:szCs w:val="24"/>
          <w:highlight w:val="none"/>
        </w:rPr>
      </w:pPr>
      <w:r>
        <w:rPr>
          <w:rFonts w:hint="eastAsia" w:ascii="宋体" w:hAnsi="宋体"/>
          <w:b/>
          <w:bCs/>
          <w:color w:val="auto"/>
          <w:sz w:val="24"/>
          <w:szCs w:val="24"/>
          <w:highlight w:val="none"/>
        </w:rPr>
        <w:t xml:space="preserve">法定代表人身份证复印件 </w:t>
      </w:r>
      <w:r>
        <w:rPr>
          <w:rFonts w:ascii="宋体" w:hAnsi="宋体"/>
          <w:b/>
          <w:bCs/>
          <w:color w:val="auto"/>
          <w:sz w:val="24"/>
          <w:szCs w:val="24"/>
          <w:highlight w:val="none"/>
        </w:rPr>
        <w:t xml:space="preserve">           </w:t>
      </w:r>
      <w:r>
        <w:rPr>
          <w:rFonts w:hint="eastAsia" w:ascii="宋体" w:hAnsi="宋体"/>
          <w:b/>
          <w:bCs/>
          <w:color w:val="auto"/>
          <w:sz w:val="24"/>
          <w:szCs w:val="24"/>
          <w:highlight w:val="none"/>
        </w:rPr>
        <w:t>被授权人身份证复印件</w:t>
      </w:r>
    </w:p>
    <w:tbl>
      <w:tblPr>
        <w:tblStyle w:val="51"/>
        <w:tblW w:w="9579" w:type="dxa"/>
        <w:jc w:val="center"/>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autofit"/>
        <w:tblCellMar>
          <w:top w:w="0" w:type="dxa"/>
          <w:left w:w="108" w:type="dxa"/>
          <w:bottom w:w="0" w:type="dxa"/>
          <w:right w:w="108" w:type="dxa"/>
        </w:tblCellMar>
      </w:tblPr>
      <w:tblGrid>
        <w:gridCol w:w="4790"/>
        <w:gridCol w:w="4789"/>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029" w:hRule="atLeast"/>
          <w:jc w:val="center"/>
        </w:trPr>
        <w:tc>
          <w:tcPr>
            <w:tcW w:w="4790" w:type="dxa"/>
          </w:tcPr>
          <w:p>
            <w:pPr>
              <w:spacing w:line="360" w:lineRule="auto"/>
              <w:rPr>
                <w:color w:val="auto"/>
                <w:sz w:val="24"/>
                <w:szCs w:val="24"/>
                <w:highlight w:val="none"/>
              </w:rPr>
            </w:pPr>
            <w:r>
              <w:rPr>
                <w:rFonts w:hint="eastAsia"/>
                <w:color w:val="auto"/>
                <w:sz w:val="24"/>
                <w:szCs w:val="24"/>
                <w:highlight w:val="none"/>
              </w:rPr>
              <w:t>身份证复印件粘贴处，正反两面均复印，复印件清晰可认。</w:t>
            </w:r>
          </w:p>
        </w:tc>
        <w:tc>
          <w:tcPr>
            <w:tcW w:w="4789" w:type="dxa"/>
          </w:tcPr>
          <w:p>
            <w:pPr>
              <w:spacing w:line="360" w:lineRule="auto"/>
              <w:rPr>
                <w:color w:val="auto"/>
                <w:sz w:val="24"/>
                <w:szCs w:val="24"/>
                <w:highlight w:val="none"/>
              </w:rPr>
            </w:pPr>
            <w:r>
              <w:rPr>
                <w:rFonts w:hint="eastAsia"/>
                <w:color w:val="auto"/>
                <w:sz w:val="24"/>
                <w:szCs w:val="24"/>
                <w:highlight w:val="none"/>
              </w:rPr>
              <w:t>身份证复印件粘贴处，正反两面均复印，复印件清晰可认。</w:t>
            </w:r>
          </w:p>
        </w:tc>
      </w:tr>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PrEx>
        <w:trPr>
          <w:trHeight w:val="2919" w:hRule="atLeast"/>
          <w:jc w:val="center"/>
        </w:trPr>
        <w:tc>
          <w:tcPr>
            <w:tcW w:w="4790" w:type="dxa"/>
          </w:tcPr>
          <w:p>
            <w:pPr>
              <w:spacing w:line="360" w:lineRule="auto"/>
              <w:rPr>
                <w:color w:val="auto"/>
                <w:sz w:val="30"/>
                <w:szCs w:val="30"/>
                <w:highlight w:val="none"/>
              </w:rPr>
            </w:pPr>
          </w:p>
        </w:tc>
        <w:tc>
          <w:tcPr>
            <w:tcW w:w="4789" w:type="dxa"/>
          </w:tcPr>
          <w:p>
            <w:pPr>
              <w:spacing w:line="360" w:lineRule="auto"/>
              <w:rPr>
                <w:color w:val="auto"/>
                <w:sz w:val="30"/>
                <w:szCs w:val="30"/>
                <w:highlight w:val="none"/>
              </w:rPr>
            </w:pPr>
          </w:p>
        </w:tc>
      </w:tr>
    </w:tbl>
    <w:p>
      <w:pPr>
        <w:snapToGrid w:val="0"/>
        <w:spacing w:before="120" w:beforeLines="50" w:after="50" w:line="460" w:lineRule="exact"/>
        <w:rPr>
          <w:rFonts w:ascii="宋体" w:hAnsi="宋体"/>
          <w:color w:val="auto"/>
          <w:sz w:val="24"/>
          <w:highlight w:val="none"/>
        </w:rPr>
      </w:pPr>
      <w:r>
        <w:rPr>
          <w:rFonts w:hint="eastAsia" w:ascii="宋体" w:hAnsi="宋体"/>
          <w:color w:val="auto"/>
          <w:sz w:val="24"/>
          <w:highlight w:val="none"/>
        </w:rPr>
        <w:t xml:space="preserve">                                                供应商盖章：</w:t>
      </w:r>
    </w:p>
    <w:p>
      <w:pPr>
        <w:snapToGrid w:val="0"/>
        <w:spacing w:before="120" w:beforeLines="50" w:after="50"/>
        <w:jc w:val="center"/>
        <w:rPr>
          <w:rFonts w:ascii="宋体" w:hAnsi="宋体"/>
          <w:color w:val="auto"/>
          <w:sz w:val="24"/>
          <w:szCs w:val="20"/>
          <w:highlight w:val="none"/>
        </w:rPr>
      </w:pPr>
      <w:r>
        <w:rPr>
          <w:rFonts w:hint="eastAsia" w:ascii="宋体" w:hAnsi="宋体"/>
          <w:color w:val="auto"/>
          <w:sz w:val="24"/>
          <w:highlight w:val="none"/>
        </w:rPr>
        <w:t xml:space="preserve">                                        年    月    日</w:t>
      </w:r>
    </w:p>
    <w:p>
      <w:pPr>
        <w:snapToGrid w:val="0"/>
        <w:spacing w:before="50" w:after="120" w:afterLines="50"/>
        <w:jc w:val="left"/>
        <w:rPr>
          <w:rFonts w:hint="eastAsia" w:ascii="宋体" w:hAnsi="宋体"/>
          <w:color w:val="auto"/>
          <w:sz w:val="24"/>
          <w:highlight w:val="none"/>
          <w:lang w:val="en-US" w:eastAsia="zh-CN"/>
        </w:rPr>
      </w:pPr>
    </w:p>
    <w:p>
      <w:pPr>
        <w:snapToGrid w:val="0"/>
        <w:spacing w:before="50" w:after="120" w:afterLines="50"/>
        <w:jc w:val="left"/>
        <w:rPr>
          <w:rFonts w:hint="eastAsia" w:ascii="宋体" w:hAnsi="宋体"/>
          <w:color w:val="auto"/>
          <w:sz w:val="24"/>
          <w:highlight w:val="none"/>
          <w:lang w:val="en-US" w:eastAsia="zh-CN"/>
        </w:rPr>
      </w:pPr>
    </w:p>
    <w:p>
      <w:pPr>
        <w:snapToGrid w:val="0"/>
        <w:spacing w:before="50" w:after="120" w:afterLines="50"/>
        <w:jc w:val="left"/>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.项目负责人简历：</w:t>
      </w:r>
    </w:p>
    <w:p>
      <w:pPr>
        <w:snapToGrid w:val="0"/>
        <w:spacing w:before="50" w:after="120" w:afterLines="50"/>
        <w:jc w:val="left"/>
        <w:rPr>
          <w:rFonts w:ascii="宋体" w:hAnsi="宋体"/>
          <w:color w:val="auto"/>
          <w:sz w:val="24"/>
          <w:szCs w:val="20"/>
          <w:highlight w:val="none"/>
        </w:rPr>
      </w:pPr>
    </w:p>
    <w:p>
      <w:pPr>
        <w:jc w:val="center"/>
        <w:rPr>
          <w:rFonts w:ascii="宋体" w:hAnsi="宋体"/>
          <w:snapToGrid w:val="0"/>
          <w:color w:val="auto"/>
          <w:sz w:val="28"/>
          <w:highlight w:val="none"/>
        </w:rPr>
      </w:pPr>
      <w:r>
        <w:rPr>
          <w:rFonts w:hint="eastAsia" w:ascii="宋体" w:hAnsi="宋体"/>
          <w:snapToGrid w:val="0"/>
          <w:color w:val="auto"/>
          <w:sz w:val="28"/>
          <w:highlight w:val="none"/>
        </w:rPr>
        <w:t>项目负责人简历表</w:t>
      </w:r>
    </w:p>
    <w:p>
      <w:pPr>
        <w:snapToGrid w:val="0"/>
        <w:spacing w:before="120" w:beforeLines="50" w:after="50" w:line="360" w:lineRule="auto"/>
        <w:jc w:val="center"/>
        <w:rPr>
          <w:rFonts w:ascii="宋体" w:hAnsi="宋体"/>
          <w:bCs/>
          <w:color w:val="auto"/>
          <w:sz w:val="24"/>
          <w:highlight w:val="none"/>
        </w:rPr>
      </w:pPr>
    </w:p>
    <w:p>
      <w:pPr>
        <w:snapToGrid w:val="0"/>
        <w:spacing w:before="120" w:beforeLines="50" w:after="50" w:line="480" w:lineRule="auto"/>
        <w:rPr>
          <w:rFonts w:ascii="宋体" w:hAnsi="宋体"/>
          <w:color w:val="auto"/>
          <w:sz w:val="24"/>
          <w:highlight w:val="none"/>
        </w:rPr>
      </w:pPr>
      <w:r>
        <w:rPr>
          <w:rFonts w:hint="eastAsia" w:ascii="宋体" w:hAnsi="宋体"/>
          <w:bCs/>
          <w:color w:val="auto"/>
          <w:sz w:val="24"/>
          <w:highlight w:val="none"/>
        </w:rPr>
        <w:t>项目名称：</w:t>
      </w:r>
    </w:p>
    <w:p>
      <w:pPr>
        <w:snapToGrid w:val="0"/>
        <w:spacing w:before="120" w:beforeLines="50" w:after="50" w:line="480" w:lineRule="auto"/>
        <w:rPr>
          <w:rFonts w:ascii="宋体" w:hAnsi="宋体"/>
          <w:bCs/>
          <w:color w:val="auto"/>
          <w:sz w:val="24"/>
          <w:szCs w:val="20"/>
          <w:highlight w:val="none"/>
        </w:rPr>
      </w:pPr>
      <w:r>
        <w:rPr>
          <w:rFonts w:hint="eastAsia" w:ascii="宋体" w:hAnsi="宋体"/>
          <w:bCs/>
          <w:color w:val="auto"/>
          <w:sz w:val="24"/>
          <w:highlight w:val="none"/>
        </w:rPr>
        <w:t>项目编号：</w:t>
      </w:r>
    </w:p>
    <w:tbl>
      <w:tblPr>
        <w:tblStyle w:val="51"/>
        <w:tblpPr w:leftFromText="180" w:rightFromText="180" w:vertAnchor="text" w:tblpY="2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1084"/>
        <w:gridCol w:w="2733"/>
        <w:gridCol w:w="1952"/>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vAlign w:val="center"/>
          </w:tcPr>
          <w:p>
            <w:pPr>
              <w:spacing w:line="351" w:lineRule="atLeast"/>
              <w:jc w:val="center"/>
              <w:rPr>
                <w:rFonts w:ascii="宋体" w:hAnsi="宋体"/>
                <w:color w:val="auto"/>
                <w:sz w:val="28"/>
                <w:highlight w:val="none"/>
                <w:u w:color="000000"/>
              </w:rPr>
            </w:pPr>
            <w:r>
              <w:rPr>
                <w:rFonts w:hint="eastAsia" w:ascii="宋体" w:hAnsi="宋体"/>
                <w:color w:val="auto"/>
                <w:sz w:val="28"/>
                <w:highlight w:val="none"/>
              </w:rPr>
              <w:t>姓  名</w:t>
            </w:r>
          </w:p>
        </w:tc>
        <w:tc>
          <w:tcPr>
            <w:tcW w:w="2733"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auto"/>
                <w:sz w:val="28"/>
                <w:highlight w:val="none"/>
                <w:u w:color="000000"/>
              </w:rPr>
            </w:pPr>
          </w:p>
        </w:tc>
        <w:tc>
          <w:tcPr>
            <w:tcW w:w="1952"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auto"/>
                <w:sz w:val="28"/>
                <w:highlight w:val="none"/>
                <w:u w:color="000000"/>
              </w:rPr>
            </w:pPr>
            <w:r>
              <w:rPr>
                <w:rFonts w:hint="eastAsia" w:ascii="宋体" w:hAnsi="宋体"/>
                <w:color w:val="auto"/>
                <w:sz w:val="28"/>
                <w:highlight w:val="none"/>
              </w:rPr>
              <w:t>性  别</w:t>
            </w:r>
          </w:p>
        </w:tc>
        <w:tc>
          <w:tcPr>
            <w:tcW w:w="2928" w:type="dxa"/>
            <w:tcBorders>
              <w:top w:val="single" w:color="000000" w:sz="8"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auto"/>
                <w:sz w:val="28"/>
                <w:highlight w:val="none"/>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vAlign w:val="center"/>
          </w:tcPr>
          <w:p>
            <w:pPr>
              <w:spacing w:line="351" w:lineRule="atLeast"/>
              <w:jc w:val="center"/>
              <w:rPr>
                <w:rFonts w:ascii="宋体" w:hAnsi="宋体"/>
                <w:color w:val="auto"/>
                <w:sz w:val="28"/>
                <w:highlight w:val="none"/>
              </w:rPr>
            </w:pPr>
            <w:r>
              <w:rPr>
                <w:rFonts w:hint="eastAsia" w:ascii="宋体" w:hAnsi="宋体"/>
                <w:color w:val="auto"/>
                <w:sz w:val="28"/>
                <w:highlight w:val="none"/>
              </w:rPr>
              <w:t>年  龄</w:t>
            </w:r>
          </w:p>
        </w:tc>
        <w:tc>
          <w:tcPr>
            <w:tcW w:w="2733"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auto"/>
                <w:sz w:val="28"/>
                <w:highlight w:val="none"/>
                <w:u w:color="000000"/>
              </w:rPr>
            </w:pPr>
          </w:p>
        </w:tc>
        <w:tc>
          <w:tcPr>
            <w:tcW w:w="1952"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auto"/>
                <w:sz w:val="28"/>
                <w:highlight w:val="none"/>
              </w:rPr>
            </w:pPr>
            <w:r>
              <w:rPr>
                <w:rFonts w:hint="eastAsia" w:ascii="宋体" w:hAnsi="宋体"/>
                <w:color w:val="auto"/>
                <w:sz w:val="28"/>
                <w:highlight w:val="none"/>
              </w:rPr>
              <w:t>身份证号</w:t>
            </w:r>
          </w:p>
        </w:tc>
        <w:tc>
          <w:tcPr>
            <w:tcW w:w="2928" w:type="dxa"/>
            <w:tcBorders>
              <w:top w:val="single" w:color="000000" w:sz="8"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auto"/>
                <w:sz w:val="28"/>
                <w:highlight w:val="none"/>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964" w:type="dxa"/>
            <w:gridSpan w:val="2"/>
            <w:tcBorders>
              <w:top w:val="single" w:color="auto" w:sz="4" w:space="0"/>
              <w:left w:val="single" w:color="000000" w:sz="8" w:space="0"/>
              <w:bottom w:val="single" w:color="auto" w:sz="4" w:space="0"/>
              <w:right w:val="single" w:color="auto" w:sz="4" w:space="0"/>
            </w:tcBorders>
            <w:vAlign w:val="center"/>
          </w:tcPr>
          <w:p>
            <w:pPr>
              <w:spacing w:line="351" w:lineRule="atLeast"/>
              <w:jc w:val="center"/>
              <w:rPr>
                <w:rFonts w:ascii="宋体" w:hAnsi="宋体"/>
                <w:color w:val="auto"/>
                <w:sz w:val="28"/>
                <w:highlight w:val="none"/>
                <w:u w:color="000000"/>
              </w:rPr>
            </w:pPr>
            <w:r>
              <w:rPr>
                <w:rFonts w:hint="eastAsia" w:ascii="宋体" w:hAnsi="宋体"/>
                <w:color w:val="auto"/>
                <w:sz w:val="28"/>
                <w:highlight w:val="none"/>
              </w:rPr>
              <w:t>资  格</w:t>
            </w:r>
          </w:p>
        </w:tc>
        <w:tc>
          <w:tcPr>
            <w:tcW w:w="2733" w:type="dxa"/>
            <w:tcBorders>
              <w:top w:val="single" w:color="auto" w:sz="4" w:space="0"/>
              <w:left w:val="single" w:color="auto" w:sz="4" w:space="0"/>
              <w:bottom w:val="single" w:color="auto" w:sz="4" w:space="0"/>
              <w:right w:val="single" w:color="000000" w:sz="4" w:space="0"/>
            </w:tcBorders>
            <w:vAlign w:val="center"/>
          </w:tcPr>
          <w:p>
            <w:pPr>
              <w:spacing w:line="351" w:lineRule="atLeast"/>
              <w:jc w:val="center"/>
              <w:rPr>
                <w:rFonts w:ascii="宋体" w:hAnsi="宋体"/>
                <w:color w:val="auto"/>
                <w:sz w:val="28"/>
                <w:highlight w:val="none"/>
                <w:u w:color="000000"/>
              </w:rPr>
            </w:pPr>
          </w:p>
        </w:tc>
        <w:tc>
          <w:tcPr>
            <w:tcW w:w="1952" w:type="dxa"/>
            <w:tcBorders>
              <w:top w:val="single" w:color="auto" w:sz="4" w:space="0"/>
              <w:left w:val="single" w:color="auto" w:sz="4" w:space="0"/>
              <w:bottom w:val="single" w:color="auto" w:sz="4" w:space="0"/>
              <w:right w:val="single" w:color="auto" w:sz="4" w:space="0"/>
            </w:tcBorders>
            <w:vAlign w:val="center"/>
          </w:tcPr>
          <w:p>
            <w:pPr>
              <w:spacing w:line="351" w:lineRule="atLeast"/>
              <w:jc w:val="center"/>
              <w:rPr>
                <w:rFonts w:ascii="宋体" w:hAnsi="宋体"/>
                <w:color w:val="auto"/>
                <w:sz w:val="28"/>
                <w:highlight w:val="none"/>
                <w:u w:color="000000"/>
              </w:rPr>
            </w:pPr>
            <w:r>
              <w:rPr>
                <w:rFonts w:hint="eastAsia" w:ascii="宋体" w:hAnsi="宋体"/>
                <w:color w:val="auto"/>
                <w:sz w:val="28"/>
                <w:highlight w:val="none"/>
              </w:rPr>
              <w:t>资格证书号</w:t>
            </w:r>
          </w:p>
        </w:tc>
        <w:tc>
          <w:tcPr>
            <w:tcW w:w="2928" w:type="dxa"/>
            <w:tcBorders>
              <w:top w:val="single" w:color="auto" w:sz="4" w:space="0"/>
              <w:left w:val="single" w:color="auto" w:sz="4" w:space="0"/>
              <w:bottom w:val="single" w:color="auto" w:sz="4" w:space="0"/>
              <w:right w:val="single" w:color="000000" w:sz="8" w:space="0"/>
            </w:tcBorders>
            <w:vAlign w:val="center"/>
          </w:tcPr>
          <w:p>
            <w:pPr>
              <w:spacing w:line="351" w:lineRule="atLeast"/>
              <w:jc w:val="center"/>
              <w:rPr>
                <w:rFonts w:ascii="宋体" w:hAnsi="宋体"/>
                <w:color w:val="auto"/>
                <w:sz w:val="28"/>
                <w:highlight w:val="none"/>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964" w:type="dxa"/>
            <w:gridSpan w:val="2"/>
            <w:tcBorders>
              <w:top w:val="single" w:color="auto" w:sz="4" w:space="0"/>
              <w:left w:val="single" w:color="000000" w:sz="8" w:space="0"/>
              <w:bottom w:val="single" w:color="000000" w:sz="4" w:space="0"/>
              <w:right w:val="single" w:color="auto" w:sz="4" w:space="0"/>
            </w:tcBorders>
            <w:vAlign w:val="center"/>
          </w:tcPr>
          <w:p>
            <w:pPr>
              <w:spacing w:line="351" w:lineRule="atLeast"/>
              <w:ind w:firstLine="557" w:firstLineChars="199"/>
              <w:rPr>
                <w:rFonts w:ascii="宋体" w:hAnsi="宋体"/>
                <w:color w:val="auto"/>
                <w:sz w:val="28"/>
                <w:highlight w:val="none"/>
                <w:u w:color="000000"/>
              </w:rPr>
            </w:pPr>
            <w:r>
              <w:rPr>
                <w:rFonts w:hint="eastAsia" w:ascii="宋体" w:hAnsi="宋体"/>
                <w:color w:val="auto"/>
                <w:sz w:val="28"/>
                <w:highlight w:val="none"/>
              </w:rPr>
              <w:t>职  称</w:t>
            </w:r>
          </w:p>
        </w:tc>
        <w:tc>
          <w:tcPr>
            <w:tcW w:w="2733" w:type="dxa"/>
            <w:tcBorders>
              <w:top w:val="single" w:color="auto" w:sz="4" w:space="0"/>
              <w:left w:val="single" w:color="auto" w:sz="4" w:space="0"/>
              <w:bottom w:val="single" w:color="000000" w:sz="4" w:space="0"/>
              <w:right w:val="single" w:color="000000" w:sz="4" w:space="0"/>
            </w:tcBorders>
            <w:vAlign w:val="center"/>
          </w:tcPr>
          <w:p>
            <w:pPr>
              <w:spacing w:line="351" w:lineRule="atLeast"/>
              <w:ind w:firstLine="419"/>
              <w:jc w:val="center"/>
              <w:rPr>
                <w:rFonts w:ascii="宋体" w:hAnsi="宋体"/>
                <w:color w:val="auto"/>
                <w:sz w:val="28"/>
                <w:highlight w:val="none"/>
                <w:u w:color="000000"/>
              </w:rPr>
            </w:pPr>
          </w:p>
        </w:tc>
        <w:tc>
          <w:tcPr>
            <w:tcW w:w="1952" w:type="dxa"/>
            <w:tcBorders>
              <w:top w:val="single" w:color="auto" w:sz="4" w:space="0"/>
              <w:left w:val="single" w:color="auto" w:sz="4" w:space="0"/>
              <w:bottom w:val="single" w:color="000000" w:sz="4" w:space="0"/>
              <w:right w:val="single" w:color="auto" w:sz="4" w:space="0"/>
            </w:tcBorders>
            <w:vAlign w:val="center"/>
          </w:tcPr>
          <w:p>
            <w:pPr>
              <w:spacing w:line="351" w:lineRule="atLeast"/>
              <w:ind w:firstLine="554" w:firstLineChars="198"/>
              <w:rPr>
                <w:rFonts w:ascii="宋体" w:hAnsi="宋体"/>
                <w:color w:val="auto"/>
                <w:sz w:val="28"/>
                <w:highlight w:val="none"/>
                <w:u w:color="000000"/>
              </w:rPr>
            </w:pPr>
            <w:r>
              <w:rPr>
                <w:rFonts w:hint="eastAsia" w:ascii="宋体" w:hAnsi="宋体"/>
                <w:color w:val="auto"/>
                <w:sz w:val="28"/>
                <w:highlight w:val="none"/>
              </w:rPr>
              <w:t>学  历</w:t>
            </w:r>
          </w:p>
        </w:tc>
        <w:tc>
          <w:tcPr>
            <w:tcW w:w="2928" w:type="dxa"/>
            <w:tcBorders>
              <w:top w:val="single" w:color="auto" w:sz="4"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auto"/>
                <w:sz w:val="28"/>
                <w:highlight w:val="none"/>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1964" w:type="dxa"/>
            <w:gridSpan w:val="2"/>
            <w:tcBorders>
              <w:top w:val="single" w:color="auto" w:sz="4" w:space="0"/>
              <w:left w:val="single" w:color="000000" w:sz="8" w:space="0"/>
              <w:bottom w:val="single" w:color="000000" w:sz="4" w:space="0"/>
              <w:right w:val="single" w:color="000000" w:sz="4" w:space="0"/>
            </w:tcBorders>
            <w:vAlign w:val="center"/>
          </w:tcPr>
          <w:p>
            <w:pPr>
              <w:spacing w:line="351" w:lineRule="atLeast"/>
              <w:jc w:val="center"/>
              <w:rPr>
                <w:rFonts w:ascii="宋体" w:hAnsi="宋体"/>
                <w:color w:val="auto"/>
                <w:sz w:val="28"/>
                <w:highlight w:val="none"/>
                <w:u w:color="000000"/>
              </w:rPr>
            </w:pPr>
            <w:r>
              <w:rPr>
                <w:rFonts w:hint="eastAsia" w:ascii="宋体" w:hAnsi="宋体"/>
                <w:color w:val="auto"/>
                <w:sz w:val="28"/>
                <w:highlight w:val="none"/>
                <w:u w:color="000000"/>
              </w:rPr>
              <w:t>手机号</w:t>
            </w:r>
          </w:p>
        </w:tc>
        <w:tc>
          <w:tcPr>
            <w:tcW w:w="2733" w:type="dxa"/>
            <w:tcBorders>
              <w:top w:val="single" w:color="auto" w:sz="4"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auto"/>
                <w:sz w:val="28"/>
                <w:highlight w:val="none"/>
                <w:u w:color="000000"/>
              </w:rPr>
            </w:pPr>
          </w:p>
        </w:tc>
        <w:tc>
          <w:tcPr>
            <w:tcW w:w="1952" w:type="dxa"/>
            <w:tcBorders>
              <w:top w:val="single" w:color="auto" w:sz="4" w:space="0"/>
              <w:left w:val="single" w:color="auto" w:sz="4" w:space="0"/>
              <w:bottom w:val="single" w:color="000000" w:sz="4" w:space="0"/>
              <w:right w:val="single" w:color="auto" w:sz="4" w:space="0"/>
            </w:tcBorders>
            <w:vAlign w:val="center"/>
          </w:tcPr>
          <w:p>
            <w:pPr>
              <w:spacing w:line="351" w:lineRule="atLeast"/>
              <w:jc w:val="center"/>
              <w:rPr>
                <w:rFonts w:ascii="宋体" w:hAnsi="宋体"/>
                <w:color w:val="auto"/>
                <w:sz w:val="28"/>
                <w:highlight w:val="none"/>
                <w:u w:color="000000"/>
              </w:rPr>
            </w:pPr>
            <w:r>
              <w:rPr>
                <w:rFonts w:hint="eastAsia" w:ascii="宋体" w:hAnsi="宋体"/>
                <w:color w:val="auto"/>
                <w:sz w:val="28"/>
                <w:highlight w:val="none"/>
                <w:u w:color="000000"/>
              </w:rPr>
              <w:t>联系电话</w:t>
            </w:r>
          </w:p>
        </w:tc>
        <w:tc>
          <w:tcPr>
            <w:tcW w:w="2928" w:type="dxa"/>
            <w:tcBorders>
              <w:top w:val="single" w:color="auto" w:sz="4"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auto"/>
                <w:sz w:val="28"/>
                <w:highlight w:val="none"/>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2" w:hRule="atLeast"/>
        </w:trPr>
        <w:tc>
          <w:tcPr>
            <w:tcW w:w="880" w:type="dxa"/>
            <w:tcBorders>
              <w:top w:val="single" w:color="auto" w:sz="4" w:space="0"/>
              <w:left w:val="single" w:color="000000" w:sz="8" w:space="0"/>
              <w:bottom w:val="single" w:color="000000" w:sz="8" w:space="0"/>
              <w:right w:val="single" w:color="000000" w:sz="4" w:space="0"/>
            </w:tcBorders>
            <w:vAlign w:val="center"/>
          </w:tcPr>
          <w:p>
            <w:pPr>
              <w:jc w:val="center"/>
              <w:rPr>
                <w:rFonts w:ascii="宋体" w:hAnsi="宋体"/>
                <w:color w:val="auto"/>
                <w:sz w:val="28"/>
                <w:highlight w:val="none"/>
                <w:u w:color="000000"/>
              </w:rPr>
            </w:pPr>
            <w:r>
              <w:rPr>
                <w:rFonts w:hint="eastAsia" w:ascii="宋体" w:hAnsi="宋体"/>
                <w:color w:val="auto"/>
                <w:sz w:val="28"/>
                <w:highlight w:val="none"/>
              </w:rPr>
              <w:t>简</w:t>
            </w:r>
          </w:p>
          <w:p>
            <w:pPr>
              <w:jc w:val="center"/>
              <w:rPr>
                <w:rFonts w:ascii="宋体" w:hAnsi="宋体"/>
                <w:color w:val="auto"/>
                <w:sz w:val="28"/>
                <w:highlight w:val="none"/>
              </w:rPr>
            </w:pPr>
          </w:p>
          <w:p>
            <w:pPr>
              <w:jc w:val="center"/>
              <w:rPr>
                <w:rFonts w:ascii="宋体" w:hAnsi="宋体"/>
                <w:color w:val="auto"/>
                <w:sz w:val="28"/>
                <w:highlight w:val="none"/>
              </w:rPr>
            </w:pPr>
          </w:p>
          <w:p>
            <w:pPr>
              <w:spacing w:line="351" w:lineRule="atLeast"/>
              <w:jc w:val="center"/>
              <w:rPr>
                <w:rFonts w:ascii="宋体" w:hAnsi="宋体"/>
                <w:color w:val="auto"/>
                <w:highlight w:val="none"/>
                <w:u w:color="000000"/>
              </w:rPr>
            </w:pPr>
            <w:r>
              <w:rPr>
                <w:rFonts w:hint="eastAsia" w:ascii="宋体" w:hAnsi="宋体"/>
                <w:color w:val="auto"/>
                <w:sz w:val="28"/>
                <w:highlight w:val="none"/>
              </w:rPr>
              <w:t>历</w:t>
            </w:r>
          </w:p>
        </w:tc>
        <w:tc>
          <w:tcPr>
            <w:tcW w:w="8697" w:type="dxa"/>
            <w:gridSpan w:val="4"/>
            <w:tcBorders>
              <w:top w:val="single" w:color="auto" w:sz="4" w:space="0"/>
              <w:left w:val="single" w:color="auto" w:sz="4" w:space="0"/>
              <w:bottom w:val="single" w:color="000000" w:sz="8" w:space="0"/>
              <w:right w:val="single" w:color="000000" w:sz="8" w:space="0"/>
            </w:tcBorders>
            <w:vAlign w:val="center"/>
          </w:tcPr>
          <w:p>
            <w:pPr>
              <w:spacing w:line="351" w:lineRule="atLeast"/>
              <w:jc w:val="center"/>
              <w:rPr>
                <w:rFonts w:ascii="宋体" w:hAnsi="宋体"/>
                <w:color w:val="auto"/>
                <w:highlight w:val="none"/>
                <w:u w:color="000000"/>
              </w:rPr>
            </w:pPr>
          </w:p>
        </w:tc>
      </w:tr>
    </w:tbl>
    <w:p>
      <w:pPr>
        <w:rPr>
          <w:rFonts w:ascii="宋体" w:hAnsi="宋体"/>
          <w:bCs/>
          <w:snapToGrid w:val="0"/>
          <w:color w:val="auto"/>
          <w:highlight w:val="none"/>
        </w:rPr>
      </w:pPr>
    </w:p>
    <w:p>
      <w:pPr>
        <w:snapToGrid w:val="0"/>
        <w:spacing w:before="50" w:after="120" w:afterLines="50"/>
        <w:jc w:val="left"/>
        <w:rPr>
          <w:rFonts w:hint="eastAsia" w:ascii="宋体" w:hAnsi="宋体"/>
          <w:color w:val="auto"/>
          <w:spacing w:val="20"/>
          <w:sz w:val="24"/>
          <w:highlight w:val="none"/>
        </w:rPr>
      </w:pPr>
      <w:bookmarkStart w:id="379" w:name="_Hlk60757472"/>
      <w:r>
        <w:rPr>
          <w:rFonts w:hint="eastAsia" w:ascii="宋体" w:hAnsi="宋体"/>
          <w:color w:val="auto"/>
          <w:spacing w:val="20"/>
          <w:sz w:val="24"/>
          <w:highlight w:val="none"/>
        </w:rPr>
        <w:t>法定代表人签字（或盖章）：            供应商（盖章）：</w:t>
      </w:r>
    </w:p>
    <w:p>
      <w:pPr>
        <w:snapToGrid w:val="0"/>
        <w:spacing w:before="50" w:after="120" w:afterLines="50"/>
        <w:jc w:val="left"/>
        <w:rPr>
          <w:rFonts w:hint="eastAsia" w:ascii="宋体" w:hAnsi="宋体"/>
          <w:color w:val="auto"/>
          <w:sz w:val="24"/>
          <w:szCs w:val="20"/>
          <w:highlight w:val="none"/>
        </w:rPr>
      </w:pPr>
      <w:r>
        <w:rPr>
          <w:rFonts w:hint="eastAsia" w:ascii="宋体" w:hAnsi="宋体"/>
          <w:color w:val="auto"/>
          <w:sz w:val="24"/>
          <w:szCs w:val="20"/>
          <w:highlight w:val="none"/>
        </w:rPr>
        <w:t>日期：</w:t>
      </w:r>
      <w:bookmarkStart w:id="380" w:name="_Toc13400"/>
      <w:bookmarkStart w:id="381" w:name="_Toc6677"/>
      <w:bookmarkStart w:id="382" w:name="_Toc11092"/>
      <w:bookmarkStart w:id="383" w:name="_Toc386207588"/>
      <w:bookmarkStart w:id="384" w:name="_Toc386208332"/>
      <w:bookmarkStart w:id="385" w:name="_Toc386207774"/>
      <w:bookmarkStart w:id="386" w:name="_Toc451876067"/>
      <w:bookmarkStart w:id="387" w:name="_Toc452563050"/>
      <w:bookmarkStart w:id="388" w:name="_Toc11120"/>
      <w:bookmarkStart w:id="389" w:name="_Toc386209083"/>
      <w:bookmarkStart w:id="390" w:name="_Toc386207867"/>
    </w:p>
    <w:p>
      <w:pPr>
        <w:snapToGrid w:val="0"/>
        <w:spacing w:before="50" w:after="120" w:afterLines="50"/>
        <w:jc w:val="left"/>
        <w:rPr>
          <w:rFonts w:hint="eastAsia" w:ascii="宋体" w:hAnsi="宋体"/>
          <w:color w:val="auto"/>
          <w:sz w:val="24"/>
          <w:szCs w:val="20"/>
          <w:highlight w:val="none"/>
        </w:rPr>
      </w:pPr>
    </w:p>
    <w:p>
      <w:pPr>
        <w:pStyle w:val="29"/>
        <w:pageBreakBefore/>
        <w:snapToGrid w:val="0"/>
        <w:spacing w:before="120" w:beforeLines="0" w:after="120" w:afterLines="0" w:line="240" w:lineRule="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9.项目负责人在建项目承诺书格式：</w:t>
      </w:r>
      <w:bookmarkEnd w:id="380"/>
      <w:bookmarkEnd w:id="381"/>
      <w:bookmarkEnd w:id="382"/>
      <w:r>
        <w:rPr>
          <w:rFonts w:hint="eastAsia" w:ascii="宋体" w:hAnsi="宋体" w:eastAsia="宋体" w:cs="Times New Roman"/>
          <w:color w:val="auto"/>
          <w:kern w:val="2"/>
          <w:sz w:val="28"/>
          <w:szCs w:val="28"/>
          <w:highlight w:val="none"/>
          <w:lang w:val="en-US" w:eastAsia="zh-CN" w:bidi="ar-SA"/>
        </w:rPr>
        <w:t xml:space="preserve"> </w:t>
      </w:r>
    </w:p>
    <w:p>
      <w:pPr>
        <w:spacing w:line="440" w:lineRule="exact"/>
        <w:rPr>
          <w:rFonts w:eastAsia="黑体"/>
          <w:sz w:val="20"/>
          <w:szCs w:val="20"/>
        </w:rPr>
      </w:pPr>
    </w:p>
    <w:p>
      <w:pPr>
        <w:spacing w:line="440" w:lineRule="exact"/>
        <w:jc w:val="center"/>
        <w:rPr>
          <w:rFonts w:ascii="黑体" w:eastAsia="黑体"/>
          <w:b/>
          <w:sz w:val="36"/>
          <w:szCs w:val="16"/>
        </w:rPr>
      </w:pPr>
      <w:r>
        <w:rPr>
          <w:rFonts w:hint="eastAsia" w:ascii="黑体" w:eastAsia="黑体"/>
          <w:b/>
          <w:sz w:val="36"/>
          <w:szCs w:val="21"/>
        </w:rPr>
        <w:t>项目负责人在建项目承诺书</w:t>
      </w:r>
    </w:p>
    <w:p>
      <w:pPr>
        <w:spacing w:line="440" w:lineRule="exact"/>
        <w:rPr>
          <w:rFonts w:ascii="宋体" w:hAnsi="宋体"/>
          <w:sz w:val="24"/>
        </w:rPr>
      </w:pPr>
    </w:p>
    <w:p>
      <w:pPr>
        <w:spacing w:line="440" w:lineRule="exact"/>
        <w:rPr>
          <w:rFonts w:ascii="宋体" w:hAnsi="宋体"/>
          <w:sz w:val="24"/>
        </w:rPr>
      </w:pPr>
    </w:p>
    <w:p>
      <w:pPr>
        <w:spacing w:line="360" w:lineRule="auto"/>
        <w:rPr>
          <w:rFonts w:ascii="宋体" w:hAnsi="宋体"/>
          <w:sz w:val="24"/>
          <w:szCs w:val="24"/>
        </w:rPr>
      </w:pPr>
      <w:r>
        <w:rPr>
          <w:rFonts w:hint="eastAsia" w:ascii="宋体" w:hAnsi="宋体"/>
          <w:sz w:val="24"/>
          <w:szCs w:val="24"/>
        </w:rPr>
        <w:t>我方在此郑重承诺：</w:t>
      </w:r>
    </w:p>
    <w:p>
      <w:pPr>
        <w:spacing w:line="360" w:lineRule="auto"/>
        <w:ind w:firstLine="480" w:firstLineChars="200"/>
        <w:jc w:val="left"/>
        <w:rPr>
          <w:rFonts w:ascii="宋体" w:hAnsi="宋体"/>
          <w:sz w:val="24"/>
          <w:szCs w:val="24"/>
        </w:rPr>
      </w:pPr>
      <w:r>
        <w:rPr>
          <w:rFonts w:hint="eastAsia" w:ascii="宋体" w:hAnsi="宋体"/>
          <w:sz w:val="24"/>
          <w:szCs w:val="24"/>
        </w:rPr>
        <w:t>我方参加</w:t>
      </w:r>
      <w:r>
        <w:rPr>
          <w:rFonts w:hint="eastAsia" w:ascii="宋体" w:hAnsi="宋体"/>
          <w:sz w:val="24"/>
          <w:szCs w:val="24"/>
          <w:highlight w:val="none"/>
          <w:u w:val="single"/>
          <w:lang w:eastAsia="zh-CN"/>
        </w:rPr>
        <w:t>临海市东矶岛渔业综合管理项目</w:t>
      </w:r>
      <w:r>
        <w:rPr>
          <w:rFonts w:hint="eastAsia" w:ascii="宋体" w:hAnsi="宋体"/>
          <w:sz w:val="24"/>
          <w:szCs w:val="24"/>
        </w:rPr>
        <w:t>（招标工程名称）的项目负责人在建项目情况符合招标文件及国家相关规定。</w:t>
      </w:r>
    </w:p>
    <w:p>
      <w:pPr>
        <w:spacing w:line="360" w:lineRule="auto"/>
        <w:ind w:firstLine="480" w:firstLineChars="200"/>
        <w:rPr>
          <w:rFonts w:ascii="宋体" w:hAnsi="宋体"/>
          <w:sz w:val="24"/>
          <w:szCs w:val="24"/>
        </w:rPr>
      </w:pPr>
      <w:r>
        <w:rPr>
          <w:rFonts w:hint="eastAsia" w:ascii="宋体" w:hAnsi="宋体"/>
          <w:sz w:val="24"/>
          <w:szCs w:val="24"/>
        </w:rPr>
        <w:t>我方深知《中华人民共和国招标投标法》第五十四条的内容，以上承诺内容如有虚假，愿意承担法律责任；如已中标的，愿自动放弃中标资格，并接受被没收投标担保的处罚；给招标人造成损失的，依法承担赔偿责任。</w:t>
      </w:r>
    </w:p>
    <w:p>
      <w:pPr>
        <w:spacing w:line="360" w:lineRule="auto"/>
        <w:ind w:firstLine="560" w:firstLineChars="200"/>
        <w:rPr>
          <w:rFonts w:ascii="宋体" w:hAnsi="宋体"/>
          <w:sz w:val="28"/>
          <w:szCs w:val="28"/>
          <w:u w:val="single"/>
        </w:rPr>
      </w:pP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bookmarkEnd w:id="383"/>
    <w:bookmarkEnd w:id="384"/>
    <w:bookmarkEnd w:id="385"/>
    <w:bookmarkEnd w:id="386"/>
    <w:bookmarkEnd w:id="387"/>
    <w:bookmarkEnd w:id="388"/>
    <w:bookmarkEnd w:id="389"/>
    <w:bookmarkEnd w:id="390"/>
    <w:p>
      <w:pPr>
        <w:snapToGrid w:val="0"/>
        <w:spacing w:before="50" w:after="120" w:afterLines="50"/>
        <w:jc w:val="left"/>
        <w:rPr>
          <w:rFonts w:ascii="宋体" w:hAnsi="宋体"/>
          <w:b/>
          <w:color w:val="000000"/>
          <w:spacing w:val="20"/>
          <w:sz w:val="24"/>
        </w:rPr>
      </w:pPr>
      <w:r>
        <w:rPr>
          <w:rFonts w:hint="eastAsia" w:ascii="宋体" w:hAnsi="宋体"/>
          <w:b/>
          <w:color w:val="000000"/>
          <w:spacing w:val="20"/>
          <w:sz w:val="24"/>
        </w:rPr>
        <w:t xml:space="preserve">法定代表人签字（或盖章）：         </w:t>
      </w:r>
      <w:r>
        <w:rPr>
          <w:rFonts w:hint="eastAsia" w:ascii="宋体" w:hAnsi="宋体"/>
          <w:b/>
          <w:color w:val="FF0000"/>
          <w:spacing w:val="20"/>
          <w:sz w:val="24"/>
        </w:rPr>
        <w:t xml:space="preserve">   </w:t>
      </w:r>
      <w:r>
        <w:rPr>
          <w:rFonts w:hint="eastAsia" w:ascii="宋体" w:hAnsi="宋体"/>
          <w:b/>
          <w:spacing w:val="20"/>
          <w:sz w:val="24"/>
        </w:rPr>
        <w:t>供应商（盖章）：</w:t>
      </w:r>
    </w:p>
    <w:p>
      <w:pPr>
        <w:snapToGrid w:val="0"/>
        <w:spacing w:before="50" w:after="120" w:afterLines="50"/>
        <w:jc w:val="left"/>
        <w:rPr>
          <w:rFonts w:ascii="宋体" w:hAnsi="宋体"/>
          <w:b/>
          <w:color w:val="000000"/>
          <w:sz w:val="24"/>
        </w:rPr>
      </w:pPr>
    </w:p>
    <w:p>
      <w:pPr>
        <w:snapToGrid w:val="0"/>
        <w:spacing w:before="50" w:after="120" w:afterLines="50"/>
        <w:jc w:val="left"/>
        <w:rPr>
          <w:rFonts w:ascii="宋体" w:hAnsi="宋体"/>
          <w:b/>
          <w:color w:val="000000"/>
          <w:sz w:val="24"/>
        </w:rPr>
      </w:pPr>
    </w:p>
    <w:p>
      <w:pPr>
        <w:snapToGrid w:val="0"/>
        <w:spacing w:before="50" w:after="120" w:afterLines="50"/>
        <w:jc w:val="left"/>
        <w:rPr>
          <w:rFonts w:ascii="宋体" w:hAnsi="宋体"/>
          <w:b/>
          <w:color w:val="000000"/>
          <w:sz w:val="24"/>
        </w:rPr>
      </w:pPr>
      <w:r>
        <w:rPr>
          <w:rFonts w:hint="eastAsia" w:ascii="宋体" w:hAnsi="宋体"/>
          <w:b/>
          <w:color w:val="000000"/>
          <w:sz w:val="24"/>
        </w:rPr>
        <w:t>日期:_____年___月___日</w:t>
      </w:r>
    </w:p>
    <w:p>
      <w:pPr>
        <w:snapToGrid w:val="0"/>
        <w:spacing w:before="50" w:after="120" w:afterLines="50"/>
        <w:jc w:val="left"/>
        <w:rPr>
          <w:rFonts w:ascii="宋体" w:hAnsi="宋体"/>
          <w:color w:val="auto"/>
          <w:sz w:val="24"/>
          <w:szCs w:val="20"/>
          <w:highlight w:val="none"/>
        </w:rPr>
      </w:pPr>
      <w:r>
        <w:rPr>
          <w:rFonts w:ascii="宋体" w:hAnsi="宋体"/>
          <w:color w:val="000000"/>
          <w:sz w:val="24"/>
        </w:rPr>
        <w:br w:type="page"/>
      </w:r>
    </w:p>
    <w:p>
      <w:pPr>
        <w:snapToGrid w:val="0"/>
        <w:spacing w:line="360" w:lineRule="auto"/>
        <w:rPr>
          <w:rFonts w:ascii="宋体" w:hAnsi="宋体"/>
          <w:color w:val="000000"/>
          <w:sz w:val="24"/>
        </w:rPr>
      </w:pPr>
      <w:r>
        <w:rPr>
          <w:rFonts w:ascii="宋体" w:hAnsi="宋体"/>
          <w:color w:val="000000"/>
          <w:sz w:val="24"/>
        </w:rPr>
        <w:t>10</w:t>
      </w:r>
      <w:r>
        <w:rPr>
          <w:rFonts w:hint="eastAsia" w:ascii="宋体" w:hAnsi="宋体"/>
          <w:color w:val="000000"/>
          <w:sz w:val="24"/>
        </w:rPr>
        <w:t>.项目技术负责人简历表格式：</w:t>
      </w:r>
    </w:p>
    <w:p>
      <w:pPr>
        <w:spacing w:line="360" w:lineRule="auto"/>
        <w:jc w:val="center"/>
        <w:rPr>
          <w:rFonts w:ascii="黑体" w:eastAsia="黑体"/>
          <w:b/>
          <w:sz w:val="44"/>
        </w:rPr>
      </w:pPr>
      <w:r>
        <w:rPr>
          <w:rFonts w:hint="eastAsia" w:ascii="黑体" w:eastAsia="黑体"/>
          <w:b/>
          <w:sz w:val="44"/>
        </w:rPr>
        <w:t>项目技术负责人简历表</w:t>
      </w:r>
    </w:p>
    <w:tbl>
      <w:tblPr>
        <w:tblStyle w:val="51"/>
        <w:tblW w:w="9180" w:type="dxa"/>
        <w:jc w:val="center"/>
        <w:tblLayout w:type="fixed"/>
        <w:tblCellMar>
          <w:top w:w="0" w:type="dxa"/>
          <w:left w:w="108" w:type="dxa"/>
          <w:bottom w:w="0" w:type="dxa"/>
          <w:right w:w="108" w:type="dxa"/>
        </w:tblCellMar>
      </w:tblPr>
      <w:tblGrid>
        <w:gridCol w:w="1140"/>
        <w:gridCol w:w="1380"/>
        <w:gridCol w:w="920"/>
        <w:gridCol w:w="1140"/>
        <w:gridCol w:w="820"/>
        <w:gridCol w:w="980"/>
        <w:gridCol w:w="1020"/>
        <w:gridCol w:w="1780"/>
      </w:tblGrid>
      <w:tr>
        <w:tblPrEx>
          <w:tblCellMar>
            <w:top w:w="0" w:type="dxa"/>
            <w:left w:w="108" w:type="dxa"/>
            <w:bottom w:w="0" w:type="dxa"/>
            <w:right w:w="108" w:type="dxa"/>
          </w:tblCellMar>
        </w:tblPrEx>
        <w:trPr>
          <w:trHeight w:val="525"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姓名</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性别</w:t>
            </w:r>
          </w:p>
        </w:tc>
        <w:tc>
          <w:tcPr>
            <w:tcW w:w="11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p>
        </w:tc>
        <w:tc>
          <w:tcPr>
            <w:tcW w:w="8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年龄</w:t>
            </w:r>
          </w:p>
        </w:tc>
        <w:tc>
          <w:tcPr>
            <w:tcW w:w="9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0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专业</w:t>
            </w:r>
          </w:p>
        </w:tc>
        <w:tc>
          <w:tcPr>
            <w:tcW w:w="17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jc w:val="center"/>
        </w:trPr>
        <w:tc>
          <w:tcPr>
            <w:tcW w:w="1140"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职称</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206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学历</w:t>
            </w:r>
          </w:p>
        </w:tc>
        <w:tc>
          <w:tcPr>
            <w:tcW w:w="178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jc w:val="center"/>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参加工作时间</w:t>
            </w:r>
          </w:p>
        </w:tc>
        <w:tc>
          <w:tcPr>
            <w:tcW w:w="206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2820"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从事技术负责人年限</w:t>
            </w:r>
          </w:p>
        </w:tc>
        <w:tc>
          <w:tcPr>
            <w:tcW w:w="178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35" w:hRule="atLeast"/>
          <w:jc w:val="center"/>
        </w:trPr>
        <w:tc>
          <w:tcPr>
            <w:tcW w:w="1140" w:type="dxa"/>
            <w:tcBorders>
              <w:top w:val="nil"/>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简</w:t>
            </w: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历</w:t>
            </w:r>
          </w:p>
        </w:tc>
        <w:tc>
          <w:tcPr>
            <w:tcW w:w="8040" w:type="dxa"/>
            <w:gridSpan w:val="7"/>
            <w:tcBorders>
              <w:top w:val="single" w:color="000000" w:sz="4" w:space="0"/>
              <w:left w:val="nil"/>
              <w:bottom w:val="single" w:color="auto" w:sz="4" w:space="0"/>
              <w:right w:val="single" w:color="000000" w:sz="4" w:space="0"/>
            </w:tcBorders>
            <w:shd w:val="clear" w:color="auto" w:fill="FFFFFF"/>
          </w:tcPr>
          <w:p>
            <w:pPr>
              <w:widowControl/>
              <w:jc w:val="left"/>
              <w:rPr>
                <w:rFonts w:ascii="宋体" w:hAnsi="宋体" w:cs="宋体"/>
                <w:kern w:val="0"/>
                <w:sz w:val="24"/>
              </w:rPr>
            </w:pPr>
            <w:r>
              <w:rPr>
                <w:rFonts w:hint="eastAsia" w:ascii="宋体" w:hAnsi="宋体" w:cs="宋体"/>
                <w:kern w:val="0"/>
                <w:sz w:val="24"/>
              </w:rPr>
              <w:t>　</w:t>
            </w:r>
          </w:p>
        </w:tc>
      </w:tr>
    </w:tbl>
    <w:p>
      <w:pPr>
        <w:snapToGrid w:val="0"/>
        <w:spacing w:line="360" w:lineRule="auto"/>
        <w:jc w:val="left"/>
        <w:rPr>
          <w:rFonts w:ascii="宋体" w:hAnsi="宋体"/>
          <w:b/>
          <w:bCs/>
          <w:color w:val="000000"/>
          <w:sz w:val="24"/>
        </w:rPr>
      </w:pPr>
    </w:p>
    <w:p>
      <w:pPr>
        <w:snapToGrid w:val="0"/>
        <w:spacing w:before="50" w:after="120" w:afterLines="50"/>
        <w:jc w:val="left"/>
        <w:rPr>
          <w:rFonts w:ascii="宋体" w:hAnsi="宋体"/>
          <w:b/>
          <w:color w:val="000000"/>
          <w:spacing w:val="20"/>
          <w:sz w:val="24"/>
        </w:rPr>
      </w:pPr>
      <w:r>
        <w:rPr>
          <w:rFonts w:hint="eastAsia" w:ascii="宋体" w:hAnsi="宋体"/>
          <w:b/>
          <w:color w:val="000000"/>
          <w:spacing w:val="20"/>
          <w:sz w:val="24"/>
        </w:rPr>
        <w:t xml:space="preserve">法定代表人签字（或盖章）：         </w:t>
      </w:r>
      <w:r>
        <w:rPr>
          <w:rFonts w:hint="eastAsia" w:ascii="宋体" w:hAnsi="宋体"/>
          <w:b/>
          <w:color w:val="FF0000"/>
          <w:spacing w:val="20"/>
          <w:sz w:val="24"/>
        </w:rPr>
        <w:t xml:space="preserve">   </w:t>
      </w:r>
      <w:r>
        <w:rPr>
          <w:rFonts w:hint="eastAsia" w:ascii="宋体" w:hAnsi="宋体"/>
          <w:b/>
          <w:spacing w:val="20"/>
          <w:sz w:val="24"/>
        </w:rPr>
        <w:t>供应商（盖章）：</w:t>
      </w:r>
    </w:p>
    <w:p>
      <w:pPr>
        <w:snapToGrid w:val="0"/>
        <w:spacing w:before="50" w:after="120" w:afterLines="50"/>
        <w:jc w:val="left"/>
        <w:rPr>
          <w:rFonts w:ascii="宋体" w:hAnsi="宋体"/>
          <w:b/>
          <w:color w:val="000000"/>
          <w:sz w:val="24"/>
        </w:rPr>
      </w:pPr>
    </w:p>
    <w:p>
      <w:pPr>
        <w:snapToGrid w:val="0"/>
        <w:spacing w:before="50" w:after="120" w:afterLines="50"/>
        <w:jc w:val="left"/>
        <w:rPr>
          <w:rFonts w:ascii="宋体" w:hAnsi="宋体"/>
          <w:b/>
          <w:color w:val="000000"/>
          <w:sz w:val="24"/>
        </w:rPr>
      </w:pPr>
      <w:r>
        <w:rPr>
          <w:rFonts w:hint="eastAsia" w:ascii="宋体" w:hAnsi="宋体"/>
          <w:b/>
          <w:color w:val="000000"/>
          <w:sz w:val="24"/>
        </w:rPr>
        <w:t>日期:_____年___月___日</w:t>
      </w:r>
    </w:p>
    <w:p>
      <w:pPr>
        <w:snapToGrid w:val="0"/>
        <w:spacing w:before="50" w:after="120" w:afterLines="50"/>
        <w:jc w:val="left"/>
        <w:rPr>
          <w:rFonts w:ascii="宋体" w:hAnsi="宋体"/>
          <w:color w:val="auto"/>
          <w:sz w:val="24"/>
          <w:highlight w:val="none"/>
        </w:rPr>
      </w:pPr>
    </w:p>
    <w:bookmarkEnd w:id="379"/>
    <w:p>
      <w:pPr>
        <w:snapToGrid w:val="0"/>
        <w:spacing w:before="50" w:after="120" w:afterLines="50"/>
        <w:jc w:val="left"/>
        <w:rPr>
          <w:rFonts w:ascii="宋体" w:hAnsi="宋体"/>
          <w:color w:val="auto"/>
          <w:sz w:val="24"/>
          <w:highlight w:val="none"/>
        </w:rPr>
      </w:pPr>
    </w:p>
    <w:p>
      <w:pPr>
        <w:snapToGrid w:val="0"/>
        <w:spacing w:before="50" w:after="120" w:afterLines="50"/>
        <w:jc w:val="left"/>
        <w:rPr>
          <w:rFonts w:hint="eastAsia" w:ascii="宋体" w:hAnsi="宋体"/>
          <w:color w:val="auto"/>
          <w:sz w:val="24"/>
          <w:highlight w:val="red"/>
          <w:lang w:val="en-US" w:eastAsia="zh-CN"/>
        </w:rPr>
      </w:pPr>
    </w:p>
    <w:p>
      <w:pPr>
        <w:snapToGrid w:val="0"/>
        <w:spacing w:before="50" w:after="120" w:afterLines="50"/>
        <w:jc w:val="left"/>
        <w:rPr>
          <w:rFonts w:hint="eastAsia" w:ascii="宋体" w:hAnsi="宋体"/>
          <w:color w:val="auto"/>
          <w:sz w:val="24"/>
          <w:highlight w:val="red"/>
          <w:lang w:val="en-US" w:eastAsia="zh-CN"/>
        </w:rPr>
      </w:pPr>
    </w:p>
    <w:p>
      <w:pPr>
        <w:snapToGrid w:val="0"/>
        <w:spacing w:before="50" w:after="120" w:afterLines="50"/>
        <w:jc w:val="left"/>
        <w:rPr>
          <w:rFonts w:hint="eastAsia" w:ascii="宋体" w:hAnsi="宋体"/>
          <w:color w:val="auto"/>
          <w:sz w:val="24"/>
          <w:highlight w:val="red"/>
          <w:lang w:val="en-US" w:eastAsia="zh-CN"/>
        </w:rPr>
      </w:pPr>
    </w:p>
    <w:p>
      <w:pPr>
        <w:snapToGrid w:val="0"/>
        <w:spacing w:before="50" w:after="120" w:afterLines="50"/>
        <w:jc w:val="left"/>
        <w:rPr>
          <w:rFonts w:ascii="宋体" w:hAnsi="宋体"/>
          <w:color w:val="auto"/>
          <w:sz w:val="24"/>
          <w:szCs w:val="20"/>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项目实施人员一览表格式</w:t>
      </w:r>
    </w:p>
    <w:p>
      <w:pPr>
        <w:snapToGrid w:val="0"/>
        <w:spacing w:before="50" w:after="120" w:afterLines="50"/>
        <w:jc w:val="left"/>
        <w:rPr>
          <w:rFonts w:ascii="宋体" w:hAnsi="宋体"/>
          <w:color w:val="auto"/>
          <w:sz w:val="24"/>
          <w:szCs w:val="20"/>
          <w:highlight w:val="none"/>
        </w:rPr>
      </w:pPr>
    </w:p>
    <w:p>
      <w:pPr>
        <w:snapToGrid w:val="0"/>
        <w:spacing w:before="120" w:beforeLines="50" w:after="50"/>
        <w:jc w:val="center"/>
        <w:rPr>
          <w:rFonts w:ascii="宋体" w:hAnsi="宋体"/>
          <w:b/>
          <w:color w:val="auto"/>
          <w:sz w:val="24"/>
          <w:highlight w:val="none"/>
        </w:rPr>
      </w:pPr>
      <w:r>
        <w:rPr>
          <w:rFonts w:hint="eastAsia" w:ascii="宋体" w:hAnsi="宋体"/>
          <w:b/>
          <w:color w:val="auto"/>
          <w:sz w:val="24"/>
          <w:highlight w:val="none"/>
        </w:rPr>
        <w:t>项目实施人员（主要从业人员及其技术资格）一览表</w:t>
      </w:r>
    </w:p>
    <w:p>
      <w:pPr>
        <w:snapToGrid w:val="0"/>
        <w:spacing w:before="120" w:beforeLines="50" w:after="50" w:line="480" w:lineRule="auto"/>
        <w:rPr>
          <w:rFonts w:ascii="宋体" w:hAnsi="宋体"/>
          <w:color w:val="auto"/>
          <w:sz w:val="24"/>
          <w:highlight w:val="none"/>
        </w:rPr>
      </w:pPr>
      <w:r>
        <w:rPr>
          <w:rFonts w:hint="eastAsia" w:ascii="宋体" w:hAnsi="宋体"/>
          <w:bCs/>
          <w:color w:val="auto"/>
          <w:sz w:val="24"/>
          <w:highlight w:val="none"/>
        </w:rPr>
        <w:t>项目名称：</w:t>
      </w:r>
    </w:p>
    <w:p>
      <w:pPr>
        <w:snapToGrid w:val="0"/>
        <w:spacing w:before="120" w:beforeLines="50" w:after="50" w:line="480" w:lineRule="auto"/>
        <w:rPr>
          <w:rFonts w:ascii="宋体" w:hAnsi="宋体"/>
          <w:bCs/>
          <w:color w:val="auto"/>
          <w:sz w:val="24"/>
          <w:highlight w:val="none"/>
        </w:rPr>
      </w:pPr>
      <w:r>
        <w:rPr>
          <w:rFonts w:hint="eastAsia" w:ascii="宋体" w:hAnsi="宋体"/>
          <w:bCs/>
          <w:color w:val="auto"/>
          <w:sz w:val="24"/>
          <w:highlight w:val="none"/>
        </w:rPr>
        <w:t>项目编号：</w:t>
      </w:r>
    </w:p>
    <w:tbl>
      <w:tblPr>
        <w:tblStyle w:val="51"/>
        <w:tblW w:w="9182"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560"/>
        <w:gridCol w:w="1701"/>
        <w:gridCol w:w="1842"/>
        <w:gridCol w:w="1560"/>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姓名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职务</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专业技术资格</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证书编号</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Cs/>
                <w:color w:val="auto"/>
                <w:sz w:val="24"/>
                <w:highlight w:val="none"/>
              </w:rPr>
            </w:pPr>
            <w:r>
              <w:rPr>
                <w:rFonts w:hint="eastAsia" w:ascii="宋体" w:hAnsi="宋体"/>
                <w:bCs/>
                <w:color w:val="auto"/>
                <w:sz w:val="24"/>
                <w:highlight w:val="none"/>
              </w:rPr>
              <w:t>进入本单位工作开始时间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30"/>
              <w:snapToGrid w:val="0"/>
              <w:spacing w:before="120" w:beforeLines="50" w:after="50" w:line="360" w:lineRule="auto"/>
              <w:ind w:left="5250"/>
              <w:rPr>
                <w:rFonts w:ascii="宋体" w:hAnsi="宋体" w:eastAsia="宋体"/>
                <w:color w:val="auto"/>
                <w:kern w:val="2"/>
                <w:sz w:val="24"/>
                <w:szCs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olor w:val="auto"/>
                <w:sz w:val="24"/>
                <w:highlight w:val="none"/>
              </w:rPr>
            </w:pPr>
          </w:p>
        </w:tc>
      </w:tr>
    </w:tbl>
    <w:p>
      <w:pPr>
        <w:snapToGrid w:val="0"/>
        <w:spacing w:before="120" w:beforeLines="50" w:after="50" w:line="480" w:lineRule="auto"/>
        <w:rPr>
          <w:rFonts w:ascii="宋体" w:hAnsi="宋体"/>
          <w:bCs/>
          <w:color w:val="auto"/>
          <w:sz w:val="24"/>
          <w:highlight w:val="none"/>
        </w:rPr>
      </w:pPr>
    </w:p>
    <w:p>
      <w:pPr>
        <w:snapToGrid w:val="0"/>
        <w:spacing w:before="50" w:after="120" w:afterLines="50"/>
        <w:jc w:val="left"/>
        <w:rPr>
          <w:rFonts w:ascii="宋体" w:hAnsi="宋体"/>
          <w:b/>
          <w:bCs/>
          <w:color w:val="auto"/>
          <w:sz w:val="24"/>
          <w:highlight w:val="none"/>
        </w:rPr>
      </w:pPr>
      <w:r>
        <w:rPr>
          <w:rFonts w:hint="eastAsia" w:ascii="宋体" w:hAnsi="宋体"/>
          <w:b/>
          <w:bCs/>
          <w:color w:val="auto"/>
          <w:sz w:val="24"/>
          <w:highlight w:val="none"/>
        </w:rPr>
        <w:t>注：填写本表格时如不适合供应商的实际情况，可根据本表格式自行修订填写。</w:t>
      </w:r>
    </w:p>
    <w:p>
      <w:pPr>
        <w:snapToGrid w:val="0"/>
        <w:spacing w:before="50" w:after="120" w:afterLines="50" w:line="360" w:lineRule="auto"/>
        <w:jc w:val="left"/>
        <w:rPr>
          <w:rFonts w:ascii="宋体" w:hAnsi="宋体"/>
          <w:color w:val="auto"/>
          <w:sz w:val="24"/>
          <w:szCs w:val="20"/>
          <w:highlight w:val="none"/>
        </w:rPr>
      </w:pPr>
    </w:p>
    <w:p>
      <w:pPr>
        <w:snapToGrid w:val="0"/>
        <w:spacing w:before="50" w:after="120" w:afterLines="50"/>
        <w:jc w:val="left"/>
        <w:rPr>
          <w:rFonts w:hint="eastAsia" w:ascii="Times New Roman" w:hAnsi="宋体" w:eastAsia="宋体" w:cs="Times New Roman"/>
          <w:color w:val="auto"/>
          <w:highlight w:val="none"/>
          <w:lang w:val="en-US" w:eastAsia="zh-CN"/>
        </w:rPr>
      </w:pPr>
    </w:p>
    <w:p>
      <w:pPr>
        <w:snapToGrid w:val="0"/>
        <w:spacing w:before="50" w:after="120" w:afterLines="50"/>
        <w:jc w:val="left"/>
        <w:rPr>
          <w:rFonts w:hint="eastAsia" w:ascii="Times New Roman" w:hAnsi="宋体" w:eastAsia="宋体" w:cs="Times New Roman"/>
          <w:color w:val="auto"/>
          <w:sz w:val="22"/>
          <w:szCs w:val="28"/>
          <w:highlight w:val="none"/>
          <w:lang w:val="en-US" w:eastAsia="zh-CN"/>
        </w:rPr>
      </w:pPr>
      <w:r>
        <w:rPr>
          <w:rFonts w:hint="eastAsia" w:ascii="Times New Roman" w:hAnsi="宋体" w:eastAsia="宋体" w:cs="Times New Roman"/>
          <w:color w:val="auto"/>
          <w:sz w:val="22"/>
          <w:szCs w:val="28"/>
          <w:highlight w:val="none"/>
          <w:lang w:val="en-US" w:eastAsia="zh-CN"/>
        </w:rPr>
        <w:t xml:space="preserve">法定代表人签字（或盖章）：            供应商（盖章）：          </w:t>
      </w:r>
    </w:p>
    <w:p>
      <w:pPr>
        <w:snapToGrid w:val="0"/>
        <w:spacing w:before="50" w:after="120" w:afterLines="50"/>
        <w:jc w:val="left"/>
        <w:rPr>
          <w:rFonts w:hint="eastAsia" w:hAnsi="宋体"/>
          <w:color w:val="auto"/>
          <w:sz w:val="22"/>
          <w:szCs w:val="28"/>
          <w:highlight w:val="none"/>
        </w:rPr>
      </w:pPr>
    </w:p>
    <w:p>
      <w:pPr>
        <w:snapToGrid w:val="0"/>
        <w:spacing w:before="50" w:after="120" w:afterLines="50"/>
        <w:jc w:val="left"/>
        <w:rPr>
          <w:rFonts w:hint="default" w:hAnsi="宋体" w:eastAsia="宋体"/>
          <w:color w:val="auto"/>
          <w:sz w:val="22"/>
          <w:szCs w:val="28"/>
          <w:highlight w:val="none"/>
          <w:lang w:val="en-US" w:eastAsia="zh-CN"/>
        </w:rPr>
      </w:pPr>
      <w:r>
        <w:rPr>
          <w:rFonts w:hint="eastAsia" w:hAnsi="宋体"/>
          <w:color w:val="auto"/>
          <w:sz w:val="22"/>
          <w:szCs w:val="28"/>
          <w:highlight w:val="none"/>
        </w:rPr>
        <w:t>日期</w:t>
      </w:r>
      <w:r>
        <w:rPr>
          <w:rFonts w:hint="eastAsia" w:hAnsi="宋体"/>
          <w:color w:val="auto"/>
          <w:sz w:val="22"/>
          <w:szCs w:val="28"/>
          <w:highlight w:val="none"/>
          <w:lang w:eastAsia="zh-CN"/>
        </w:rPr>
        <w:t>：</w:t>
      </w:r>
      <w:r>
        <w:rPr>
          <w:rFonts w:hint="eastAsia" w:hAnsi="宋体"/>
          <w:color w:val="auto"/>
          <w:sz w:val="22"/>
          <w:szCs w:val="28"/>
          <w:highlight w:val="none"/>
          <w:lang w:val="en-US" w:eastAsia="zh-CN"/>
        </w:rPr>
        <w:t xml:space="preserve">  年  月  日</w:t>
      </w:r>
    </w:p>
    <w:p>
      <w:pPr>
        <w:snapToGrid w:val="0"/>
        <w:spacing w:before="50" w:after="120" w:afterLines="50"/>
        <w:jc w:val="left"/>
        <w:rPr>
          <w:rFonts w:hint="eastAsia" w:hAnsi="宋体"/>
          <w:color w:val="auto"/>
          <w:highlight w:val="none"/>
        </w:rPr>
      </w:pPr>
    </w:p>
    <w:p>
      <w:pPr>
        <w:snapToGrid w:val="0"/>
        <w:spacing w:before="50" w:after="120" w:afterLines="50"/>
        <w:jc w:val="left"/>
        <w:rPr>
          <w:rFonts w:hint="eastAsia" w:hAnsi="宋体"/>
          <w:color w:val="auto"/>
          <w:highlight w:val="none"/>
        </w:rPr>
      </w:pPr>
    </w:p>
    <w:p>
      <w:pPr>
        <w:snapToGrid w:val="0"/>
        <w:spacing w:before="50" w:after="120" w:afterLines="50"/>
        <w:jc w:val="left"/>
        <w:rPr>
          <w:rFonts w:hint="eastAsia" w:hAnsi="宋体"/>
          <w:color w:val="auto"/>
          <w:highlight w:val="none"/>
        </w:rPr>
      </w:pPr>
    </w:p>
    <w:p>
      <w:pPr>
        <w:snapToGrid w:val="0"/>
        <w:spacing w:before="50" w:after="120" w:afterLines="50"/>
        <w:jc w:val="left"/>
        <w:rPr>
          <w:rFonts w:hint="eastAsia" w:hAnsi="宋体"/>
          <w:color w:val="auto"/>
          <w:highlight w:val="none"/>
        </w:rPr>
      </w:pPr>
    </w:p>
    <w:p>
      <w:pPr>
        <w:snapToGrid w:val="0"/>
        <w:spacing w:before="50" w:after="120" w:afterLines="50"/>
        <w:jc w:val="left"/>
        <w:rPr>
          <w:rFonts w:hint="eastAsia" w:hAnsi="宋体"/>
          <w:color w:val="auto"/>
          <w:highlight w:val="none"/>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sz w:val="24"/>
        </w:rPr>
      </w:pPr>
      <w:r>
        <w:rPr>
          <w:rFonts w:hint="eastAsia" w:ascii="宋体" w:hAnsi="宋体" w:eastAsia="宋体" w:cs="Times New Roman"/>
          <w:color w:val="auto"/>
          <w:kern w:val="2"/>
          <w:sz w:val="28"/>
          <w:szCs w:val="28"/>
          <w:highlight w:val="none"/>
          <w:lang w:val="en-US" w:eastAsia="zh-CN" w:bidi="ar-SA"/>
        </w:rPr>
        <w:t>12.主要施工机械设备表格式：</w:t>
      </w:r>
      <w:r>
        <w:rPr>
          <w:rFonts w:ascii="黑体"/>
          <w:szCs w:val="28"/>
        </w:rPr>
        <w:t xml:space="preserve"> </w:t>
      </w:r>
    </w:p>
    <w:p>
      <w:pPr>
        <w:spacing w:line="440" w:lineRule="exact"/>
        <w:jc w:val="center"/>
        <w:rPr>
          <w:rFonts w:eastAsia="黑体"/>
          <w:sz w:val="20"/>
          <w:szCs w:val="20"/>
        </w:rPr>
      </w:pPr>
    </w:p>
    <w:p>
      <w:pPr>
        <w:spacing w:line="360" w:lineRule="auto"/>
        <w:jc w:val="center"/>
        <w:rPr>
          <w:rFonts w:ascii="黑体" w:eastAsia="黑体"/>
          <w:b/>
          <w:sz w:val="44"/>
        </w:rPr>
      </w:pPr>
      <w:r>
        <w:rPr>
          <w:rFonts w:hint="eastAsia" w:ascii="黑体" w:eastAsia="黑体"/>
          <w:b/>
          <w:sz w:val="44"/>
        </w:rPr>
        <w:t>主要施工机械设备表</w:t>
      </w:r>
    </w:p>
    <w:tbl>
      <w:tblPr>
        <w:tblStyle w:val="51"/>
        <w:tblW w:w="0" w:type="auto"/>
        <w:jc w:val="center"/>
        <w:tblLayout w:type="fixed"/>
        <w:tblCellMar>
          <w:top w:w="0" w:type="dxa"/>
          <w:left w:w="108" w:type="dxa"/>
          <w:bottom w:w="0" w:type="dxa"/>
          <w:right w:w="108" w:type="dxa"/>
        </w:tblCellMar>
      </w:tblPr>
      <w:tblGrid>
        <w:gridCol w:w="828"/>
        <w:gridCol w:w="2100"/>
        <w:gridCol w:w="1620"/>
        <w:gridCol w:w="1060"/>
        <w:gridCol w:w="1420"/>
        <w:gridCol w:w="1340"/>
        <w:gridCol w:w="920"/>
      </w:tblGrid>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设备名称</w:t>
            </w: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进场时间</w:t>
            </w: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2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6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kern w:val="0"/>
                <w:sz w:val="22"/>
                <w:szCs w:val="22"/>
              </w:rPr>
            </w:pPr>
          </w:p>
        </w:tc>
      </w:tr>
    </w:tbl>
    <w:p>
      <w:pPr>
        <w:spacing w:line="440" w:lineRule="exact"/>
        <w:ind w:right="720"/>
        <w:rPr>
          <w:rFonts w:ascii="宋体" w:hAnsi="宋体"/>
          <w:sz w:val="24"/>
        </w:rPr>
      </w:pPr>
    </w:p>
    <w:p>
      <w:pPr>
        <w:snapToGrid w:val="0"/>
        <w:spacing w:before="50" w:after="120" w:afterLines="50"/>
        <w:jc w:val="left"/>
        <w:rPr>
          <w:rFonts w:ascii="宋体" w:hAnsi="宋体"/>
          <w:b/>
          <w:color w:val="000000"/>
          <w:spacing w:val="20"/>
          <w:sz w:val="24"/>
        </w:rPr>
      </w:pPr>
      <w:r>
        <w:rPr>
          <w:rFonts w:hint="eastAsia" w:ascii="宋体" w:hAnsi="宋体"/>
          <w:b/>
          <w:color w:val="000000"/>
          <w:spacing w:val="20"/>
          <w:sz w:val="24"/>
        </w:rPr>
        <w:t xml:space="preserve">法定代表人签字（或盖章）：         </w:t>
      </w:r>
      <w:r>
        <w:rPr>
          <w:rFonts w:hint="eastAsia" w:ascii="宋体" w:hAnsi="宋体"/>
          <w:b/>
          <w:color w:val="FF0000"/>
          <w:spacing w:val="20"/>
          <w:sz w:val="24"/>
        </w:rPr>
        <w:t xml:space="preserve">   </w:t>
      </w:r>
      <w:r>
        <w:rPr>
          <w:rFonts w:hint="eastAsia" w:ascii="宋体" w:hAnsi="宋体"/>
          <w:b/>
          <w:spacing w:val="20"/>
          <w:sz w:val="24"/>
        </w:rPr>
        <w:t>供应商（盖章）：</w:t>
      </w:r>
    </w:p>
    <w:p>
      <w:pPr>
        <w:snapToGrid w:val="0"/>
        <w:spacing w:before="50" w:after="120" w:afterLines="50"/>
        <w:jc w:val="left"/>
        <w:rPr>
          <w:rFonts w:ascii="宋体" w:hAnsi="宋体"/>
          <w:b/>
          <w:color w:val="000000"/>
          <w:sz w:val="24"/>
        </w:rPr>
      </w:pPr>
    </w:p>
    <w:p>
      <w:pPr>
        <w:pStyle w:val="29"/>
        <w:snapToGrid w:val="0"/>
        <w:spacing w:beforeLines="0" w:afterLines="0" w:line="240" w:lineRule="auto"/>
        <w:rPr>
          <w:rFonts w:hAnsi="宋体"/>
          <w:color w:val="auto"/>
          <w:highlight w:val="none"/>
        </w:rPr>
        <w:sectPr>
          <w:footerReference r:id="rId6" w:type="default"/>
          <w:pgSz w:w="11906" w:h="16838"/>
          <w:pgMar w:top="1021" w:right="1361" w:bottom="851" w:left="1361" w:header="567" w:footer="454" w:gutter="0"/>
          <w:pgNumType w:fmt="decimal" w:start="1"/>
          <w:cols w:space="720" w:num="1"/>
          <w:docGrid w:linePitch="286" w:charSpace="0"/>
        </w:sectPr>
      </w:pPr>
      <w:r>
        <w:rPr>
          <w:rFonts w:hint="eastAsia" w:ascii="宋体" w:hAnsi="宋体"/>
          <w:b/>
          <w:color w:val="000000"/>
          <w:sz w:val="24"/>
        </w:rPr>
        <w:t>日期:_____年___月___日</w:t>
      </w:r>
      <w:r>
        <w:rPr>
          <w:rFonts w:hint="eastAsia" w:hAnsi="宋体"/>
          <w:color w:val="auto"/>
          <w:highlight w:val="none"/>
        </w:rPr>
        <w:t>：</w:t>
      </w:r>
    </w:p>
    <w:p>
      <w:pPr>
        <w:snapToGrid w:val="0"/>
        <w:spacing w:before="50" w:after="120" w:afterLines="50"/>
        <w:ind w:firstLine="4337" w:firstLineChars="1800"/>
        <w:jc w:val="both"/>
        <w:rPr>
          <w:rFonts w:ascii="宋体" w:hAnsi="宋体"/>
          <w:b/>
          <w:color w:val="auto"/>
          <w:sz w:val="24"/>
          <w:highlight w:val="none"/>
        </w:rPr>
      </w:pPr>
      <w:r>
        <w:rPr>
          <w:rFonts w:hint="eastAsia" w:ascii="宋体" w:hAnsi="宋体"/>
          <w:b/>
          <w:color w:val="auto"/>
          <w:sz w:val="24"/>
          <w:highlight w:val="none"/>
        </w:rPr>
        <w:t>供应商类似合同案例一览表</w:t>
      </w:r>
    </w:p>
    <w:p>
      <w:pPr>
        <w:snapToGrid w:val="0"/>
        <w:spacing w:before="120" w:beforeLines="50" w:after="50" w:line="480" w:lineRule="auto"/>
        <w:ind w:firstLine="1068" w:firstLineChars="445"/>
        <w:rPr>
          <w:rFonts w:ascii="宋体" w:hAnsi="宋体"/>
          <w:bCs/>
          <w:color w:val="auto"/>
          <w:sz w:val="24"/>
          <w:highlight w:val="none"/>
        </w:rPr>
      </w:pPr>
    </w:p>
    <w:p>
      <w:pPr>
        <w:snapToGrid w:val="0"/>
        <w:spacing w:before="120" w:beforeLines="50" w:after="50" w:line="480" w:lineRule="auto"/>
        <w:ind w:firstLine="1068" w:firstLineChars="445"/>
        <w:rPr>
          <w:rFonts w:ascii="宋体" w:hAnsi="宋体"/>
          <w:bCs/>
          <w:color w:val="auto"/>
          <w:sz w:val="24"/>
          <w:szCs w:val="20"/>
          <w:highlight w:val="none"/>
        </w:rPr>
      </w:pPr>
      <w:r>
        <w:rPr>
          <w:rFonts w:hint="eastAsia" w:ascii="宋体" w:hAnsi="宋体"/>
          <w:bCs/>
          <w:color w:val="auto"/>
          <w:sz w:val="24"/>
          <w:highlight w:val="none"/>
        </w:rPr>
        <w:t xml:space="preserve">项目名称：                                            </w:t>
      </w:r>
      <w:r>
        <w:rPr>
          <w:rFonts w:hint="eastAsia" w:ascii="宋体" w:hAnsi="宋体"/>
          <w:color w:val="auto"/>
          <w:sz w:val="24"/>
          <w:highlight w:val="none"/>
        </w:rPr>
        <w:t>项目编号：</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3"/>
        <w:gridCol w:w="2835"/>
        <w:gridCol w:w="2003"/>
        <w:gridCol w:w="1843"/>
        <w:gridCol w:w="1764"/>
        <w:gridCol w:w="1921"/>
        <w:gridCol w:w="1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5"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采购单位名称</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项目名称</w:t>
            </w:r>
          </w:p>
        </w:tc>
        <w:tc>
          <w:tcPr>
            <w:tcW w:w="20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合同金额</w:t>
            </w:r>
          </w:p>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（万元）</w:t>
            </w:r>
          </w:p>
        </w:tc>
        <w:tc>
          <w:tcPr>
            <w:tcW w:w="1843"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合同签订时间</w:t>
            </w:r>
          </w:p>
        </w:tc>
        <w:tc>
          <w:tcPr>
            <w:tcW w:w="17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color w:val="auto"/>
                <w:sz w:val="24"/>
                <w:highlight w:val="none"/>
              </w:rPr>
            </w:pPr>
            <w:r>
              <w:rPr>
                <w:rFonts w:hint="eastAsia" w:ascii="宋体" w:hAnsi="宋体"/>
                <w:color w:val="auto"/>
                <w:sz w:val="24"/>
                <w:highlight w:val="none"/>
              </w:rPr>
              <w:t>合同完成时间</w:t>
            </w:r>
          </w:p>
        </w:tc>
        <w:tc>
          <w:tcPr>
            <w:tcW w:w="192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highlight w:val="none"/>
              </w:rPr>
            </w:pPr>
            <w:r>
              <w:rPr>
                <w:rFonts w:hint="eastAsia" w:ascii="宋体" w:hAnsi="宋体"/>
                <w:color w:val="auto"/>
                <w:sz w:val="24"/>
                <w:highlight w:val="none"/>
              </w:rPr>
              <w:t>采购单位联系人</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4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28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200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76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92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399"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4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szCs w:val="20"/>
                <w:highlight w:val="none"/>
              </w:rPr>
            </w:pPr>
          </w:p>
        </w:tc>
      </w:tr>
    </w:tbl>
    <w:p>
      <w:pPr>
        <w:pStyle w:val="15"/>
        <w:snapToGrid w:val="0"/>
        <w:ind w:firstLine="960" w:firstLineChars="4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p>
    <w:p>
      <w:pPr>
        <w:pStyle w:val="15"/>
        <w:snapToGrid w:val="0"/>
        <w:ind w:firstLine="360" w:firstLineChars="150"/>
        <w:rPr>
          <w:rFonts w:ascii="宋体" w:hAnsi="宋体" w:eastAsia="宋体"/>
          <w:color w:val="auto"/>
          <w:sz w:val="24"/>
          <w:szCs w:val="24"/>
          <w:highlight w:val="none"/>
        </w:rPr>
      </w:pPr>
    </w:p>
    <w:p>
      <w:pPr>
        <w:pStyle w:val="15"/>
        <w:snapToGrid w:val="0"/>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法定代表人签字（或盖章）：                            供应商（盖章）：                    日期：</w:t>
      </w:r>
    </w:p>
    <w:p>
      <w:pPr>
        <w:pStyle w:val="15"/>
        <w:snapToGrid w:val="0"/>
        <w:rPr>
          <w:rFonts w:ascii="宋体" w:hAnsi="宋体" w:eastAsia="宋体"/>
          <w:color w:val="auto"/>
          <w:sz w:val="24"/>
          <w:szCs w:val="24"/>
          <w:highlight w:val="none"/>
        </w:rPr>
        <w:sectPr>
          <w:pgSz w:w="16838" w:h="11906" w:orient="landscape"/>
          <w:pgMar w:top="1588" w:right="1021" w:bottom="1588" w:left="851" w:header="851" w:footer="851" w:gutter="0"/>
          <w:pgNumType w:fmt="decimal"/>
          <w:cols w:space="720" w:num="1"/>
        </w:sectPr>
      </w:pPr>
    </w:p>
    <w:p>
      <w:pPr>
        <w:snapToGrid w:val="0"/>
        <w:spacing w:before="50" w:after="120" w:afterLines="50"/>
        <w:jc w:val="left"/>
        <w:rPr>
          <w:rFonts w:ascii="宋体" w:hAnsi="宋体"/>
          <w:color w:val="auto"/>
          <w:sz w:val="24"/>
          <w:szCs w:val="20"/>
          <w:highlight w:val="none"/>
        </w:rPr>
      </w:pPr>
    </w:p>
    <w:p>
      <w:pPr>
        <w:snapToGrid w:val="0"/>
        <w:spacing w:before="50"/>
        <w:jc w:val="left"/>
        <w:rPr>
          <w:rFonts w:ascii="宋体" w:hAnsi="宋体"/>
          <w:color w:val="000000"/>
          <w:sz w:val="24"/>
        </w:rPr>
      </w:pPr>
      <w:r>
        <w:rPr>
          <w:rFonts w:ascii="宋体" w:hAnsi="宋体"/>
          <w:color w:val="000000"/>
          <w:sz w:val="24"/>
        </w:rPr>
        <w:t>14</w:t>
      </w:r>
      <w:r>
        <w:rPr>
          <w:rFonts w:hint="eastAsia" w:ascii="宋体" w:hAnsi="宋体"/>
          <w:color w:val="000000"/>
          <w:sz w:val="24"/>
        </w:rPr>
        <w:t>.商务及技术响应表格式：</w:t>
      </w:r>
    </w:p>
    <w:p>
      <w:pPr>
        <w:snapToGrid w:val="0"/>
        <w:spacing w:before="50"/>
        <w:jc w:val="left"/>
        <w:rPr>
          <w:rFonts w:ascii="宋体" w:hAnsi="宋体"/>
          <w:color w:val="000000"/>
          <w:sz w:val="24"/>
        </w:rPr>
      </w:pPr>
    </w:p>
    <w:p>
      <w:pPr>
        <w:snapToGrid w:val="0"/>
        <w:spacing w:before="50"/>
        <w:jc w:val="center"/>
        <w:rPr>
          <w:rFonts w:ascii="宋体" w:hAnsi="宋体"/>
          <w:b/>
          <w:color w:val="000000"/>
          <w:sz w:val="24"/>
        </w:rPr>
      </w:pPr>
      <w:r>
        <w:rPr>
          <w:rFonts w:hint="eastAsia" w:ascii="宋体" w:hAnsi="宋体"/>
          <w:b/>
          <w:color w:val="000000"/>
          <w:sz w:val="24"/>
        </w:rPr>
        <w:t>商务及技术响应表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51"/>
        <w:tblW w:w="972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1701"/>
        <w:gridCol w:w="1843"/>
        <w:gridCol w:w="1275"/>
        <w:gridCol w:w="2268"/>
        <w:gridCol w:w="17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b/>
                <w:color w:val="000000"/>
                <w:sz w:val="24"/>
              </w:rPr>
            </w:pPr>
            <w:r>
              <w:rPr>
                <w:rFonts w:hint="eastAsia" w:ascii="宋体" w:hAnsi="宋体"/>
                <w:b/>
                <w:color w:val="000000"/>
                <w:sz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名称</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磋商文件要求</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是否响应</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供应商的应标情况</w:t>
            </w:r>
          </w:p>
        </w:tc>
        <w:tc>
          <w:tcPr>
            <w:tcW w:w="179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b/>
                <w:sz w:val="24"/>
              </w:rPr>
            </w:pPr>
            <w:r>
              <w:rPr>
                <w:rFonts w:hint="eastAsia" w:ascii="宋体" w:hAnsi="宋体"/>
                <w:b/>
                <w:sz w:val="24"/>
              </w:rPr>
              <w:t>相应内容在响应文件中页码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84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9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4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9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4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86"/>
              <w:rPr>
                <w:rFonts w:ascii="宋体" w:hAnsi="宋体"/>
                <w:color w:val="000000"/>
                <w:sz w:val="24"/>
                <w:szCs w:val="20"/>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86"/>
              <w:rPr>
                <w:rFonts w:ascii="宋体" w:hAnsi="宋体"/>
                <w:color w:val="000000"/>
                <w:sz w:val="24"/>
                <w:szCs w:val="20"/>
              </w:rPr>
            </w:pPr>
          </w:p>
        </w:tc>
        <w:tc>
          <w:tcPr>
            <w:tcW w:w="179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86"/>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4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9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9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84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9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84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c>
          <w:tcPr>
            <w:tcW w:w="179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olor w:val="000000"/>
                <w:sz w:val="24"/>
                <w:szCs w:val="20"/>
              </w:rPr>
            </w:pPr>
          </w:p>
        </w:tc>
      </w:tr>
    </w:tbl>
    <w:p>
      <w:pPr>
        <w:spacing w:line="480" w:lineRule="exact"/>
        <w:rPr>
          <w:rFonts w:ascii="宋体" w:hAnsi="宋体"/>
          <w:b/>
          <w:szCs w:val="21"/>
        </w:rPr>
      </w:pPr>
      <w:r>
        <w:rPr>
          <w:rFonts w:hint="eastAsia" w:ascii="宋体" w:hAnsi="宋体"/>
          <w:b/>
          <w:szCs w:val="21"/>
        </w:rPr>
        <w:t>要求：本表“内容”栏根据磋商文件第</w:t>
      </w:r>
      <w:r>
        <w:rPr>
          <w:rFonts w:hint="eastAsia" w:ascii="宋体" w:hAnsi="宋体"/>
          <w:b/>
          <w:szCs w:val="21"/>
          <w:lang w:val="en-US" w:eastAsia="zh-CN"/>
        </w:rPr>
        <w:t>二</w:t>
      </w:r>
      <w:r>
        <w:rPr>
          <w:rFonts w:hint="eastAsia" w:ascii="宋体" w:hAnsi="宋体"/>
          <w:b/>
          <w:szCs w:val="21"/>
        </w:rPr>
        <w:t>章项目需求内容填写。如无偏离，可不需逐条响应，在本表中写明“无偏离，完全响应磋商文件要求”，如有条款偏离，则必须逐条填写响应情况。</w:t>
      </w:r>
    </w:p>
    <w:p>
      <w:pPr>
        <w:pStyle w:val="29"/>
        <w:snapToGrid w:val="0"/>
        <w:spacing w:beforeLines="0" w:afterLines="0" w:line="240" w:lineRule="auto"/>
        <w:rPr>
          <w:rFonts w:hAnsi="宋体"/>
          <w:color w:val="000000"/>
          <w:spacing w:val="20"/>
        </w:rPr>
      </w:pPr>
    </w:p>
    <w:p>
      <w:pPr>
        <w:pStyle w:val="29"/>
        <w:snapToGrid w:val="0"/>
        <w:spacing w:beforeLines="0" w:afterLines="0" w:line="240" w:lineRule="auto"/>
        <w:rPr>
          <w:rFonts w:hint="eastAsia" w:hAnsi="宋体"/>
          <w:b/>
          <w:color w:val="000000"/>
          <w:spacing w:val="20"/>
        </w:rPr>
      </w:pPr>
    </w:p>
    <w:p>
      <w:pPr>
        <w:pStyle w:val="29"/>
        <w:snapToGrid w:val="0"/>
        <w:spacing w:beforeLines="0" w:afterLines="0" w:line="240" w:lineRule="auto"/>
        <w:rPr>
          <w:rFonts w:hint="eastAsia" w:hAnsi="宋体"/>
          <w:b/>
          <w:color w:val="000000"/>
          <w:spacing w:val="20"/>
        </w:rPr>
      </w:pPr>
    </w:p>
    <w:p>
      <w:pPr>
        <w:pStyle w:val="29"/>
        <w:snapToGrid w:val="0"/>
        <w:spacing w:beforeLines="0" w:afterLines="0" w:line="240" w:lineRule="auto"/>
        <w:rPr>
          <w:rFonts w:hAnsi="宋体"/>
          <w:b/>
          <w:color w:val="000000"/>
        </w:rPr>
      </w:pPr>
      <w:r>
        <w:rPr>
          <w:rFonts w:hint="eastAsia" w:hAnsi="宋体"/>
          <w:b/>
          <w:color w:val="000000"/>
          <w:spacing w:val="20"/>
        </w:rPr>
        <w:t>法定代表人签字（或盖章）：            供应商（盖章）：</w:t>
      </w:r>
    </w:p>
    <w:p>
      <w:pPr>
        <w:widowControl/>
        <w:jc w:val="left"/>
        <w:rPr>
          <w:rFonts w:ascii="宋体" w:hAnsi="宋体"/>
          <w:b/>
          <w:color w:val="000000"/>
          <w:sz w:val="24"/>
        </w:rPr>
      </w:pPr>
    </w:p>
    <w:p>
      <w:pPr>
        <w:snapToGrid w:val="0"/>
        <w:spacing w:before="50" w:after="120" w:afterLines="50"/>
        <w:jc w:val="left"/>
        <w:rPr>
          <w:rFonts w:ascii="宋体" w:hAnsi="宋体"/>
          <w:b/>
          <w:color w:val="000000"/>
          <w:sz w:val="24"/>
          <w:szCs w:val="20"/>
        </w:rPr>
      </w:pPr>
      <w:r>
        <w:rPr>
          <w:rFonts w:hint="eastAsia" w:ascii="宋体" w:hAnsi="宋体"/>
          <w:b/>
          <w:color w:val="000000"/>
          <w:sz w:val="24"/>
          <w:szCs w:val="20"/>
        </w:rPr>
        <w:t>日期:_____年___月___日</w:t>
      </w:r>
    </w:p>
    <w:p>
      <w:pPr>
        <w:snapToGrid w:val="0"/>
        <w:spacing w:before="50"/>
        <w:jc w:val="left"/>
        <w:rPr>
          <w:rFonts w:ascii="宋体" w:hAnsi="宋体"/>
          <w:color w:val="auto"/>
          <w:sz w:val="24"/>
          <w:highlight w:val="none"/>
        </w:rPr>
      </w:pPr>
    </w:p>
    <w:p>
      <w:pPr>
        <w:snapToGrid w:val="0"/>
        <w:spacing w:before="50" w:after="120" w:afterLines="50"/>
        <w:outlineLvl w:val="1"/>
        <w:rPr>
          <w:rFonts w:ascii="宋体" w:hAnsi="宋体"/>
          <w:b/>
          <w:color w:val="auto"/>
          <w:sz w:val="24"/>
          <w:highlight w:val="none"/>
        </w:rPr>
      </w:pPr>
      <w:r>
        <w:rPr>
          <w:rFonts w:ascii="宋体" w:hAnsi="宋体"/>
          <w:color w:val="auto"/>
          <w:sz w:val="24"/>
          <w:highlight w:val="none"/>
        </w:rPr>
        <w:br w:type="page"/>
      </w:r>
      <w:bookmarkStart w:id="391" w:name="_Toc265669851"/>
    </w:p>
    <w:p>
      <w:pPr>
        <w:snapToGrid w:val="0"/>
        <w:spacing w:before="50" w:after="120" w:afterLines="50"/>
        <w:jc w:val="center"/>
        <w:outlineLvl w:val="1"/>
        <w:rPr>
          <w:rFonts w:ascii="宋体" w:hAnsi="宋体"/>
          <w:b/>
          <w:color w:val="auto"/>
          <w:sz w:val="24"/>
          <w:highlight w:val="none"/>
        </w:rPr>
      </w:pPr>
    </w:p>
    <w:bookmarkEnd w:id="59"/>
    <w:bookmarkEnd w:id="391"/>
    <w:p>
      <w:pPr>
        <w:snapToGrid w:val="0"/>
        <w:spacing w:before="50" w:after="120" w:afterLines="50"/>
        <w:jc w:val="center"/>
        <w:outlineLvl w:val="1"/>
        <w:rPr>
          <w:rFonts w:ascii="宋体" w:hAnsi="宋体"/>
          <w:b/>
          <w:color w:val="auto"/>
          <w:sz w:val="30"/>
          <w:szCs w:val="30"/>
          <w:highlight w:val="none"/>
        </w:rPr>
      </w:pPr>
      <w:bookmarkStart w:id="392" w:name="_Toc466534754"/>
      <w:bookmarkStart w:id="393" w:name="_Toc20065"/>
      <w:r>
        <w:rPr>
          <w:rFonts w:hint="eastAsia" w:ascii="宋体" w:hAnsi="宋体"/>
          <w:b/>
          <w:color w:val="auto"/>
          <w:sz w:val="30"/>
          <w:szCs w:val="30"/>
          <w:highlight w:val="none"/>
        </w:rPr>
        <w:t>三、报价文件格式</w:t>
      </w:r>
      <w:bookmarkEnd w:id="392"/>
      <w:bookmarkEnd w:id="393"/>
    </w:p>
    <w:p>
      <w:pPr>
        <w:snapToGrid w:val="0"/>
        <w:spacing w:before="120" w:beforeLines="50" w:after="50"/>
        <w:ind w:firstLine="645"/>
        <w:jc w:val="center"/>
        <w:rPr>
          <w:rFonts w:ascii="宋体" w:hAnsi="宋体"/>
          <w:color w:val="auto"/>
          <w:sz w:val="24"/>
          <w:szCs w:val="20"/>
          <w:highlight w:val="none"/>
        </w:rPr>
      </w:pPr>
      <w:r>
        <w:rPr>
          <w:rFonts w:ascii="宋体" w:hAnsi="宋体"/>
          <w:bCs/>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8"/>
          <w:szCs w:val="28"/>
          <w:highlight w:val="none"/>
        </w:rPr>
      </w:pPr>
      <w:r>
        <w:rPr>
          <w:rFonts w:hint="eastAsia" w:ascii="宋体" w:hAnsi="宋体" w:eastAsia="宋体" w:cs="Times New Roman"/>
          <w:color w:val="auto"/>
          <w:kern w:val="2"/>
          <w:sz w:val="28"/>
          <w:szCs w:val="28"/>
          <w:highlight w:val="none"/>
          <w:lang w:val="en-US" w:eastAsia="zh-CN" w:bidi="ar-SA"/>
        </w:rPr>
        <w:t>15.报价文件封面格式：</w:t>
      </w:r>
      <w:r>
        <w:rPr>
          <w:rFonts w:hint="eastAsia" w:ascii="宋体" w:hAnsi="宋体"/>
          <w:color w:val="auto"/>
          <w:sz w:val="28"/>
          <w:szCs w:val="28"/>
          <w:highlight w:val="none"/>
        </w:rPr>
        <w:t xml:space="preserve"> </w:t>
      </w:r>
    </w:p>
    <w:p>
      <w:pPr>
        <w:snapToGrid w:val="0"/>
        <w:spacing w:before="120" w:beforeLines="50" w:after="50"/>
        <w:jc w:val="center"/>
        <w:rPr>
          <w:rFonts w:ascii="宋体" w:hAnsi="宋体"/>
          <w:bCs/>
          <w:color w:val="auto"/>
          <w:sz w:val="28"/>
          <w:szCs w:val="28"/>
          <w:highlight w:val="none"/>
        </w:rPr>
      </w:pPr>
      <w:r>
        <w:rPr>
          <w:rFonts w:hint="eastAsia" w:ascii="宋体" w:hAnsi="宋体"/>
          <w:bCs/>
          <w:color w:val="auto"/>
          <w:sz w:val="28"/>
          <w:szCs w:val="28"/>
          <w:highlight w:val="none"/>
        </w:rPr>
        <w:t>报 价 文 件</w:t>
      </w:r>
    </w:p>
    <w:p>
      <w:pPr>
        <w:snapToGrid w:val="0"/>
        <w:spacing w:before="120" w:beforeLines="50" w:after="50"/>
        <w:jc w:val="center"/>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ind w:firstLine="1246" w:firstLineChars="445"/>
        <w:rPr>
          <w:rFonts w:ascii="宋体" w:hAnsi="宋体"/>
          <w:bCs/>
          <w:color w:val="auto"/>
          <w:sz w:val="28"/>
          <w:szCs w:val="28"/>
          <w:highlight w:val="none"/>
        </w:rPr>
      </w:pPr>
      <w:r>
        <w:rPr>
          <w:rFonts w:hint="eastAsia" w:ascii="宋体" w:hAnsi="宋体"/>
          <w:bCs/>
          <w:color w:val="auto"/>
          <w:sz w:val="28"/>
          <w:szCs w:val="28"/>
          <w:highlight w:val="none"/>
        </w:rPr>
        <w:t>项目名称：</w:t>
      </w:r>
    </w:p>
    <w:p>
      <w:pPr>
        <w:snapToGrid w:val="0"/>
        <w:spacing w:before="120" w:beforeLines="50" w:after="50"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 xml:space="preserve">     项目编号：</w:t>
      </w:r>
    </w:p>
    <w:p>
      <w:pPr>
        <w:pStyle w:val="14"/>
        <w:snapToGrid w:val="0"/>
        <w:spacing w:before="50" w:after="50" w:line="360" w:lineRule="auto"/>
        <w:ind w:firstLine="1164" w:firstLineChars="416"/>
        <w:rPr>
          <w:rFonts w:ascii="宋体" w:hAnsi="宋体"/>
          <w:bCs/>
          <w:color w:val="auto"/>
          <w:sz w:val="28"/>
          <w:szCs w:val="28"/>
          <w:highlight w:val="none"/>
        </w:rPr>
      </w:pPr>
    </w:p>
    <w:p>
      <w:pPr>
        <w:pStyle w:val="1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供应商名称：</w:t>
      </w:r>
    </w:p>
    <w:p>
      <w:pPr>
        <w:pStyle w:val="1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供应商地址：</w:t>
      </w:r>
    </w:p>
    <w:p>
      <w:pPr>
        <w:snapToGrid w:val="0"/>
        <w:spacing w:before="120" w:beforeLines="50" w:after="50" w:line="360" w:lineRule="auto"/>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snapToGrid w:val="0"/>
        <w:spacing w:before="120" w:beforeLines="50" w:after="50" w:line="360" w:lineRule="auto"/>
        <w:jc w:val="center"/>
        <w:rPr>
          <w:rFonts w:ascii="宋体" w:hAnsi="宋体"/>
          <w:color w:val="auto"/>
          <w:sz w:val="28"/>
          <w:szCs w:val="28"/>
          <w:highlight w:val="none"/>
        </w:rPr>
      </w:pPr>
      <w:r>
        <w:rPr>
          <w:rFonts w:hint="eastAsia" w:ascii="宋体" w:hAnsi="宋体"/>
          <w:color w:val="auto"/>
          <w:sz w:val="28"/>
          <w:szCs w:val="28"/>
          <w:highlight w:val="none"/>
        </w:rPr>
        <w:t>年  月  日</w:t>
      </w:r>
    </w:p>
    <w:p>
      <w:pPr>
        <w:pStyle w:val="29"/>
        <w:snapToGrid w:val="0"/>
        <w:spacing w:beforeLines="0" w:afterLines="0" w:line="240" w:lineRule="auto"/>
        <w:rPr>
          <w:rFonts w:hAnsi="宋体"/>
          <w:color w:val="auto"/>
          <w:highlight w:val="none"/>
        </w:rPr>
      </w:pPr>
      <w:r>
        <w:rPr>
          <w:rFonts w:hint="eastAsia" w:hAnsi="宋体"/>
          <w:color w:val="auto"/>
          <w:highlight w:val="none"/>
        </w:rPr>
        <w:br w:type="page"/>
      </w:r>
      <w:r>
        <w:rPr>
          <w:rFonts w:hint="eastAsia" w:ascii="宋体" w:hAnsi="宋体" w:eastAsia="宋体" w:cs="Times New Roman"/>
          <w:color w:val="auto"/>
          <w:kern w:val="2"/>
          <w:sz w:val="28"/>
          <w:szCs w:val="28"/>
          <w:highlight w:val="none"/>
          <w:lang w:val="en-US" w:eastAsia="zh-CN" w:bidi="ar-SA"/>
        </w:rPr>
        <w:t>16.开标一览表格式：</w:t>
      </w:r>
    </w:p>
    <w:p>
      <w:pPr>
        <w:pStyle w:val="29"/>
        <w:snapToGrid w:val="0"/>
        <w:spacing w:beforeLines="0" w:afterLines="0" w:line="240" w:lineRule="auto"/>
        <w:jc w:val="center"/>
        <w:rPr>
          <w:rFonts w:hAnsi="宋体"/>
          <w:b/>
          <w:color w:val="auto"/>
          <w:highlight w:val="none"/>
        </w:rPr>
      </w:pPr>
      <w:r>
        <w:rPr>
          <w:rFonts w:hint="eastAsia" w:hAnsi="宋体"/>
          <w:b/>
          <w:color w:val="auto"/>
          <w:highlight w:val="none"/>
        </w:rPr>
        <w:t>开标一览表</w:t>
      </w:r>
    </w:p>
    <w:p>
      <w:pPr>
        <w:snapToGrid w:val="0"/>
        <w:spacing w:before="120" w:beforeLines="50" w:after="50" w:line="480" w:lineRule="auto"/>
        <w:rPr>
          <w:rFonts w:ascii="宋体" w:hAnsi="宋体"/>
          <w:b/>
          <w:color w:val="auto"/>
          <w:sz w:val="24"/>
          <w:highlight w:val="none"/>
        </w:rPr>
      </w:pPr>
    </w:p>
    <w:p>
      <w:pPr>
        <w:snapToGrid w:val="0"/>
        <w:spacing w:before="120" w:beforeLines="50" w:after="50" w:line="480" w:lineRule="auto"/>
        <w:ind w:firstLine="588" w:firstLineChars="245"/>
        <w:rPr>
          <w:rFonts w:ascii="宋体" w:hAnsi="宋体"/>
          <w:bCs/>
          <w:color w:val="auto"/>
          <w:sz w:val="24"/>
          <w:szCs w:val="20"/>
          <w:highlight w:val="none"/>
        </w:rPr>
      </w:pPr>
      <w:r>
        <w:rPr>
          <w:rFonts w:hint="eastAsia" w:ascii="宋体" w:hAnsi="宋体"/>
          <w:bCs/>
          <w:color w:val="auto"/>
          <w:sz w:val="24"/>
          <w:highlight w:val="none"/>
        </w:rPr>
        <w:t>项目名称：</w:t>
      </w:r>
    </w:p>
    <w:p>
      <w:pPr>
        <w:snapToGrid w:val="0"/>
        <w:spacing w:before="120" w:beforeLines="50" w:after="50" w:line="480" w:lineRule="auto"/>
        <w:ind w:firstLine="480" w:firstLineChars="200"/>
        <w:rPr>
          <w:rFonts w:ascii="宋体" w:hAnsi="宋体"/>
          <w:b/>
          <w:color w:val="auto"/>
          <w:sz w:val="24"/>
          <w:highlight w:val="none"/>
        </w:rPr>
      </w:pPr>
      <w:r>
        <w:rPr>
          <w:rFonts w:hint="eastAsia" w:ascii="宋体" w:hAnsi="宋体"/>
          <w:color w:val="auto"/>
          <w:sz w:val="24"/>
          <w:highlight w:val="none"/>
        </w:rPr>
        <w:t>项目编号：</w:t>
      </w:r>
    </w:p>
    <w:tbl>
      <w:tblPr>
        <w:tblStyle w:val="5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21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8" w:type="dxa"/>
            <w:vAlign w:val="center"/>
          </w:tcPr>
          <w:p>
            <w:pPr>
              <w:pStyle w:val="29"/>
              <w:snapToGrid w:val="0"/>
              <w:spacing w:beforeLines="0" w:afterLines="0" w:line="240" w:lineRule="auto"/>
              <w:jc w:val="center"/>
              <w:rPr>
                <w:rFonts w:hAnsi="宋体"/>
                <w:b/>
                <w:color w:val="000000"/>
                <w:kern w:val="2"/>
              </w:rPr>
            </w:pPr>
            <w:r>
              <w:rPr>
                <w:rFonts w:hint="eastAsia" w:hAnsi="宋体"/>
                <w:b/>
                <w:color w:val="000000"/>
                <w:kern w:val="2"/>
              </w:rPr>
              <w:t>名称</w:t>
            </w:r>
          </w:p>
        </w:tc>
        <w:tc>
          <w:tcPr>
            <w:tcW w:w="5213" w:type="dxa"/>
            <w:vAlign w:val="center"/>
          </w:tcPr>
          <w:p>
            <w:pPr>
              <w:pStyle w:val="29"/>
              <w:snapToGrid w:val="0"/>
              <w:spacing w:beforeLines="0" w:afterLines="0" w:line="240" w:lineRule="auto"/>
              <w:jc w:val="center"/>
              <w:rPr>
                <w:rFonts w:hAnsi="宋体"/>
                <w:b/>
                <w:color w:val="000000"/>
                <w:kern w:val="2"/>
              </w:rPr>
            </w:pPr>
            <w:r>
              <w:rPr>
                <w:rFonts w:hint="eastAsia" w:hAnsi="宋体"/>
                <w:b/>
                <w:color w:val="000000"/>
                <w:kern w:val="2"/>
              </w:rPr>
              <w:t>内容</w:t>
            </w:r>
          </w:p>
        </w:tc>
        <w:tc>
          <w:tcPr>
            <w:tcW w:w="2410" w:type="dxa"/>
            <w:vAlign w:val="center"/>
          </w:tcPr>
          <w:p>
            <w:pPr>
              <w:pStyle w:val="29"/>
              <w:snapToGrid w:val="0"/>
              <w:spacing w:beforeLines="0" w:afterLines="0" w:line="240" w:lineRule="auto"/>
              <w:jc w:val="center"/>
              <w:rPr>
                <w:rFonts w:hAnsi="宋体"/>
                <w:b/>
                <w:color w:val="000000"/>
                <w:kern w:val="2"/>
              </w:rPr>
            </w:pPr>
            <w:r>
              <w:rPr>
                <w:rFonts w:hint="eastAsia" w:hAnsi="宋体"/>
                <w:b/>
                <w:color w:val="000000"/>
                <w:kern w:val="2"/>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1728" w:type="dxa"/>
            <w:vAlign w:val="center"/>
          </w:tcPr>
          <w:p>
            <w:pPr>
              <w:pStyle w:val="29"/>
              <w:snapToGrid w:val="0"/>
              <w:spacing w:beforeLines="0" w:afterLines="0" w:line="240" w:lineRule="auto"/>
              <w:jc w:val="center"/>
              <w:rPr>
                <w:rFonts w:hAnsi="宋体"/>
                <w:b/>
                <w:color w:val="000000"/>
                <w:kern w:val="2"/>
              </w:rPr>
            </w:pPr>
          </w:p>
          <w:p>
            <w:pPr>
              <w:pStyle w:val="29"/>
              <w:snapToGrid w:val="0"/>
              <w:spacing w:beforeLines="0" w:afterLines="0" w:line="240" w:lineRule="auto"/>
              <w:jc w:val="center"/>
              <w:rPr>
                <w:rFonts w:hAnsi="宋体"/>
                <w:color w:val="000000"/>
                <w:kern w:val="2"/>
              </w:rPr>
            </w:pPr>
            <w:r>
              <w:rPr>
                <w:rFonts w:hint="eastAsia" w:hAnsi="宋体"/>
                <w:color w:val="000000"/>
                <w:kern w:val="2"/>
              </w:rPr>
              <w:t>投</w:t>
            </w:r>
            <w:r>
              <w:rPr>
                <w:rFonts w:hint="eastAsia" w:hAnsi="宋体"/>
                <w:kern w:val="2"/>
              </w:rPr>
              <w:t>标</w:t>
            </w:r>
            <w:r>
              <w:rPr>
                <w:rFonts w:hint="eastAsia" w:hAnsi="宋体"/>
                <w:b/>
                <w:bCs/>
                <w:kern w:val="2"/>
              </w:rPr>
              <w:t>总</w:t>
            </w:r>
            <w:r>
              <w:rPr>
                <w:rFonts w:hint="eastAsia" w:hAnsi="宋体"/>
                <w:kern w:val="2"/>
              </w:rPr>
              <w:t>报价</w:t>
            </w:r>
          </w:p>
          <w:p>
            <w:pPr>
              <w:pStyle w:val="29"/>
              <w:snapToGrid w:val="0"/>
              <w:spacing w:beforeLines="0" w:afterLines="0" w:line="240" w:lineRule="auto"/>
              <w:rPr>
                <w:rFonts w:hAnsi="宋体"/>
                <w:b/>
                <w:color w:val="000000"/>
                <w:kern w:val="2"/>
              </w:rPr>
            </w:pPr>
          </w:p>
        </w:tc>
        <w:tc>
          <w:tcPr>
            <w:tcW w:w="5213" w:type="dxa"/>
            <w:vAlign w:val="center"/>
          </w:tcPr>
          <w:p>
            <w:pPr>
              <w:pStyle w:val="29"/>
              <w:snapToGrid w:val="0"/>
              <w:spacing w:beforeLines="0" w:afterLines="0" w:line="240" w:lineRule="auto"/>
              <w:rPr>
                <w:rFonts w:hAnsi="宋体"/>
                <w:color w:val="000000"/>
                <w:kern w:val="2"/>
              </w:rPr>
            </w:pPr>
          </w:p>
          <w:p>
            <w:pPr>
              <w:pStyle w:val="29"/>
              <w:snapToGrid w:val="0"/>
              <w:spacing w:beforeLines="0" w:afterLines="0" w:line="240" w:lineRule="auto"/>
              <w:ind w:left="240" w:hanging="240" w:hangingChars="100"/>
              <w:rPr>
                <w:rFonts w:hAnsi="宋体"/>
                <w:kern w:val="2"/>
              </w:rPr>
            </w:pPr>
            <w:r>
              <w:rPr>
                <w:rFonts w:hint="eastAsia" w:hAnsi="宋体"/>
                <w:color w:val="000000"/>
                <w:kern w:val="2"/>
              </w:rPr>
              <w:t>大写</w:t>
            </w:r>
            <w:r>
              <w:rPr>
                <w:rFonts w:hint="eastAsia" w:hAnsi="宋体"/>
                <w:kern w:val="2"/>
              </w:rPr>
              <w:t>：人民币</w:t>
            </w:r>
            <w:r>
              <w:rPr>
                <w:rFonts w:hint="eastAsia" w:hAnsi="宋体"/>
                <w:kern w:val="2"/>
                <w:u w:val="single"/>
              </w:rPr>
              <w:t xml:space="preserve"> </w:t>
            </w:r>
            <w:r>
              <w:rPr>
                <w:rFonts w:hAnsi="宋体"/>
                <w:kern w:val="2"/>
                <w:u w:val="single"/>
              </w:rPr>
              <w:t xml:space="preserve">   </w:t>
            </w:r>
            <w:r>
              <w:rPr>
                <w:rFonts w:hint="eastAsia" w:hAnsi="宋体"/>
                <w:kern w:val="2"/>
              </w:rPr>
              <w:t>佰</w:t>
            </w:r>
            <w:r>
              <w:rPr>
                <w:rFonts w:hint="eastAsia" w:hAnsi="宋体"/>
                <w:kern w:val="2"/>
                <w:u w:val="single"/>
              </w:rPr>
              <w:t xml:space="preserve"> </w:t>
            </w:r>
            <w:r>
              <w:rPr>
                <w:rFonts w:hAnsi="宋体"/>
                <w:kern w:val="2"/>
                <w:u w:val="single"/>
              </w:rPr>
              <w:t xml:space="preserve">   </w:t>
            </w:r>
            <w:r>
              <w:rPr>
                <w:rFonts w:hint="eastAsia" w:hAnsi="宋体"/>
                <w:kern w:val="2"/>
              </w:rPr>
              <w:t>拾</w:t>
            </w:r>
            <w:r>
              <w:rPr>
                <w:rFonts w:hint="eastAsia" w:hAnsi="宋体"/>
                <w:kern w:val="2"/>
                <w:u w:val="single"/>
              </w:rPr>
              <w:t xml:space="preserve"> </w:t>
            </w:r>
            <w:r>
              <w:rPr>
                <w:rFonts w:hAnsi="宋体"/>
                <w:kern w:val="2"/>
                <w:u w:val="single"/>
              </w:rPr>
              <w:t xml:space="preserve">  </w:t>
            </w:r>
            <w:r>
              <w:rPr>
                <w:rFonts w:hint="eastAsia" w:hAnsi="宋体"/>
                <w:kern w:val="2"/>
              </w:rPr>
              <w:t>万</w:t>
            </w:r>
            <w:r>
              <w:rPr>
                <w:rFonts w:hint="eastAsia" w:hAnsi="宋体"/>
                <w:kern w:val="2"/>
                <w:u w:val="single"/>
              </w:rPr>
              <w:t xml:space="preserve"> </w:t>
            </w:r>
            <w:r>
              <w:rPr>
                <w:rFonts w:hAnsi="宋体"/>
                <w:kern w:val="2"/>
                <w:u w:val="single"/>
              </w:rPr>
              <w:t xml:space="preserve">  </w:t>
            </w:r>
            <w:r>
              <w:rPr>
                <w:rFonts w:hint="eastAsia" w:hAnsi="宋体"/>
                <w:kern w:val="2"/>
              </w:rPr>
              <w:t>仟</w:t>
            </w:r>
            <w:r>
              <w:rPr>
                <w:rFonts w:hint="eastAsia" w:hAnsi="宋体"/>
                <w:kern w:val="2"/>
                <w:u w:val="single"/>
              </w:rPr>
              <w:t xml:space="preserve"> </w:t>
            </w:r>
            <w:r>
              <w:rPr>
                <w:rFonts w:hAnsi="宋体"/>
                <w:kern w:val="2"/>
                <w:u w:val="single"/>
              </w:rPr>
              <w:t xml:space="preserve">  </w:t>
            </w:r>
            <w:r>
              <w:rPr>
                <w:rFonts w:hint="eastAsia" w:hAnsi="宋体"/>
                <w:kern w:val="2"/>
              </w:rPr>
              <w:t>佰</w:t>
            </w:r>
            <w:r>
              <w:rPr>
                <w:rFonts w:hint="eastAsia" w:hAnsi="宋体"/>
                <w:kern w:val="2"/>
                <w:u w:val="single"/>
              </w:rPr>
              <w:t xml:space="preserve"> </w:t>
            </w:r>
            <w:r>
              <w:rPr>
                <w:rFonts w:hAnsi="宋体"/>
                <w:kern w:val="2"/>
                <w:u w:val="single"/>
              </w:rPr>
              <w:t xml:space="preserve">  </w:t>
            </w:r>
            <w:r>
              <w:rPr>
                <w:rFonts w:hint="eastAsia" w:hAnsi="宋体"/>
                <w:kern w:val="2"/>
              </w:rPr>
              <w:t>拾</w:t>
            </w:r>
            <w:r>
              <w:rPr>
                <w:rFonts w:hint="eastAsia" w:hAnsi="宋体"/>
                <w:kern w:val="2"/>
                <w:u w:val="single"/>
              </w:rPr>
              <w:t xml:space="preserve"> </w:t>
            </w:r>
            <w:r>
              <w:rPr>
                <w:rFonts w:hAnsi="宋体"/>
                <w:kern w:val="2"/>
                <w:u w:val="single"/>
              </w:rPr>
              <w:t xml:space="preserve">   </w:t>
            </w:r>
            <w:r>
              <w:rPr>
                <w:rFonts w:hint="eastAsia" w:hAnsi="宋体"/>
                <w:kern w:val="2"/>
              </w:rPr>
              <w:t>元</w:t>
            </w:r>
            <w:r>
              <w:rPr>
                <w:rFonts w:hAnsi="宋体"/>
                <w:kern w:val="2"/>
              </w:rPr>
              <w:t xml:space="preserve"> </w:t>
            </w:r>
            <w:r>
              <w:rPr>
                <w:rFonts w:hAnsi="宋体"/>
                <w:kern w:val="2"/>
                <w:u w:val="single"/>
              </w:rPr>
              <w:t xml:space="preserve"> </w:t>
            </w:r>
            <w:r>
              <w:rPr>
                <w:rFonts w:hint="eastAsia" w:hAnsi="宋体"/>
                <w:kern w:val="2"/>
                <w:u w:val="single"/>
              </w:rPr>
              <w:t xml:space="preserve"> </w:t>
            </w:r>
            <w:r>
              <w:rPr>
                <w:rFonts w:hAnsi="宋体"/>
                <w:kern w:val="2"/>
                <w:u w:val="single"/>
              </w:rPr>
              <w:t xml:space="preserve">  </w:t>
            </w:r>
            <w:r>
              <w:rPr>
                <w:rFonts w:hint="eastAsia" w:hAnsi="宋体"/>
                <w:kern w:val="2"/>
              </w:rPr>
              <w:t>角</w:t>
            </w:r>
            <w:r>
              <w:rPr>
                <w:rFonts w:hint="eastAsia" w:hAnsi="宋体"/>
                <w:kern w:val="2"/>
                <w:u w:val="single"/>
              </w:rPr>
              <w:t xml:space="preserve"> </w:t>
            </w:r>
            <w:r>
              <w:rPr>
                <w:rFonts w:hAnsi="宋体"/>
                <w:kern w:val="2"/>
                <w:u w:val="single"/>
              </w:rPr>
              <w:t xml:space="preserve">   </w:t>
            </w:r>
            <w:r>
              <w:rPr>
                <w:rFonts w:hint="eastAsia" w:hAnsi="宋体"/>
                <w:kern w:val="2"/>
              </w:rPr>
              <w:t>分整</w:t>
            </w:r>
          </w:p>
          <w:p>
            <w:pPr>
              <w:pStyle w:val="29"/>
              <w:snapToGrid w:val="0"/>
              <w:spacing w:beforeLines="0" w:afterLines="0" w:line="240" w:lineRule="auto"/>
              <w:rPr>
                <w:rFonts w:hAnsi="宋体"/>
                <w:kern w:val="2"/>
              </w:rPr>
            </w:pPr>
          </w:p>
          <w:p>
            <w:pPr>
              <w:pStyle w:val="29"/>
              <w:snapToGrid w:val="0"/>
              <w:spacing w:beforeLines="0" w:afterLines="0" w:line="240" w:lineRule="auto"/>
              <w:rPr>
                <w:rFonts w:hAnsi="宋体"/>
                <w:kern w:val="2"/>
              </w:rPr>
            </w:pPr>
            <w:r>
              <w:rPr>
                <w:rFonts w:hint="eastAsia" w:hAnsi="宋体"/>
                <w:kern w:val="2"/>
              </w:rPr>
              <w:t>小写：</w:t>
            </w:r>
            <w:r>
              <w:rPr>
                <w:rFonts w:hint="eastAsia" w:hAnsi="宋体"/>
                <w:kern w:val="2"/>
                <w:u w:val="none"/>
              </w:rPr>
              <w:t>￥</w:t>
            </w:r>
            <w:r>
              <w:rPr>
                <w:rFonts w:hint="eastAsia" w:ascii="仿宋" w:hAnsi="仿宋"/>
                <w:color w:val="000000"/>
                <w:kern w:val="0"/>
                <w:sz w:val="24"/>
                <w:u w:val="single"/>
              </w:rPr>
              <w:t xml:space="preserve"> </w:t>
            </w:r>
            <w:r>
              <w:rPr>
                <w:rFonts w:ascii="仿宋" w:hAnsi="仿宋"/>
                <w:color w:val="000000"/>
                <w:kern w:val="0"/>
                <w:sz w:val="24"/>
                <w:u w:val="single"/>
              </w:rPr>
              <w:t xml:space="preserve">               </w:t>
            </w:r>
            <w:r>
              <w:rPr>
                <w:rFonts w:hint="eastAsia" w:ascii="仿宋" w:hAnsi="仿宋"/>
                <w:color w:val="000000"/>
                <w:kern w:val="0"/>
                <w:sz w:val="24"/>
                <w:u w:val="single"/>
              </w:rPr>
              <w:t xml:space="preserve"> </w:t>
            </w:r>
            <w:r>
              <w:rPr>
                <w:rFonts w:hint="eastAsia" w:hAnsi="宋体"/>
                <w:kern w:val="2"/>
              </w:rPr>
              <w:t>元整</w:t>
            </w:r>
          </w:p>
        </w:tc>
        <w:tc>
          <w:tcPr>
            <w:tcW w:w="2410" w:type="dxa"/>
          </w:tcPr>
          <w:p>
            <w:pPr>
              <w:pStyle w:val="29"/>
              <w:snapToGrid w:val="0"/>
              <w:spacing w:beforeLines="0" w:afterLines="0" w:line="240" w:lineRule="auto"/>
              <w:rPr>
                <w:rFonts w:hAnsi="宋体"/>
                <w:b/>
                <w:color w:val="000000"/>
                <w:kern w:val="2"/>
              </w:rPr>
            </w:pPr>
          </w:p>
          <w:p>
            <w:pPr>
              <w:pStyle w:val="29"/>
              <w:snapToGrid w:val="0"/>
              <w:spacing w:beforeLines="0" w:afterLines="0" w:line="240" w:lineRule="auto"/>
              <w:ind w:left="240" w:hanging="240" w:hangingChars="100"/>
              <w:rPr>
                <w:rFonts w:hint="eastAsia" w:ascii="宋体" w:hAnsi="宋体" w:eastAsia="宋体" w:cs="Times New Roman"/>
                <w:kern w:val="2"/>
                <w:u w:val="single"/>
              </w:rPr>
            </w:pPr>
          </w:p>
          <w:p>
            <w:pPr>
              <w:pStyle w:val="29"/>
              <w:snapToGrid w:val="0"/>
              <w:spacing w:beforeLines="0" w:afterLines="0" w:line="240" w:lineRule="auto"/>
              <w:ind w:left="240" w:hanging="240" w:hangingChars="100"/>
              <w:jc w:val="left"/>
              <w:rPr>
                <w:rFonts w:hAnsi="宋体"/>
                <w:b/>
                <w:color w:val="000000"/>
                <w:kern w:val="2"/>
              </w:rPr>
            </w:pPr>
            <w:r>
              <w:rPr>
                <w:rFonts w:hint="eastAsia" w:ascii="宋体" w:hAnsi="宋体" w:eastAsia="宋体" w:cs="Times New Roman"/>
                <w:kern w:val="2"/>
                <w:u w:val="none"/>
              </w:rPr>
              <w:t>本项目投标下浮率为</w:t>
            </w:r>
            <w:r>
              <w:rPr>
                <w:rFonts w:hint="eastAsia" w:ascii="宋体" w:hAnsi="宋体" w:eastAsia="宋体" w:cs="Times New Roman"/>
                <w:kern w:val="2"/>
                <w:u w:val="single"/>
              </w:rPr>
              <w:t xml:space="preserve">     </w:t>
            </w:r>
            <w:r>
              <w:rPr>
                <w:rFonts w:hint="eastAsia" w:ascii="宋体" w:hAnsi="宋体" w:eastAsia="宋体" w:cs="Times New Roman"/>
                <w:kern w:val="2"/>
                <w:u w:val="none"/>
              </w:rPr>
              <w:t>%</w:t>
            </w:r>
          </w:p>
        </w:tc>
      </w:tr>
    </w:tbl>
    <w:p>
      <w:pPr>
        <w:pStyle w:val="29"/>
        <w:snapToGrid w:val="0"/>
        <w:spacing w:beforeLines="0" w:afterLines="0" w:line="240" w:lineRule="auto"/>
        <w:rPr>
          <w:rFonts w:hAnsi="宋体"/>
          <w:b/>
          <w:color w:val="auto"/>
          <w:highlight w:val="none"/>
        </w:rPr>
      </w:pPr>
    </w:p>
    <w:p>
      <w:pPr>
        <w:pStyle w:val="29"/>
        <w:snapToGrid w:val="0"/>
        <w:spacing w:beforeLines="0" w:afterLines="0" w:line="240" w:lineRule="auto"/>
        <w:rPr>
          <w:rFonts w:hint="eastAsia" w:ascii="宋体" w:hAnsi="宋体" w:eastAsia="宋体" w:cs="Times New Roman"/>
          <w:color w:val="auto"/>
          <w:spacing w:val="20"/>
          <w:highlight w:val="none"/>
          <w:lang w:val="en-US" w:eastAsia="zh-CN"/>
        </w:rPr>
      </w:pPr>
      <w:r>
        <w:rPr>
          <w:rFonts w:hint="eastAsia" w:ascii="宋体" w:hAnsi="宋体" w:eastAsia="宋体" w:cs="Times New Roman"/>
          <w:color w:val="auto"/>
          <w:spacing w:val="20"/>
          <w:highlight w:val="none"/>
          <w:lang w:val="en-US" w:eastAsia="zh-CN"/>
        </w:rPr>
        <w:t>备注：本项目最高限价为</w:t>
      </w:r>
      <w:r>
        <w:rPr>
          <w:rFonts w:hint="eastAsia" w:hAnsi="宋体" w:cs="Times New Roman"/>
          <w:color w:val="auto"/>
          <w:spacing w:val="20"/>
          <w:highlight w:val="none"/>
          <w:lang w:val="en-US" w:eastAsia="zh-CN"/>
        </w:rPr>
        <w:t>96.7013</w:t>
      </w:r>
      <w:r>
        <w:rPr>
          <w:rFonts w:hint="eastAsia" w:ascii="宋体" w:hAnsi="宋体" w:eastAsia="宋体" w:cs="Times New Roman"/>
          <w:color w:val="auto"/>
          <w:spacing w:val="20"/>
          <w:highlight w:val="none"/>
          <w:lang w:val="en-US" w:eastAsia="zh-CN"/>
        </w:rPr>
        <w:t>万元【即本项目投标下浮率不少于</w:t>
      </w:r>
      <w:r>
        <w:rPr>
          <w:rFonts w:hint="eastAsia" w:hAnsi="宋体" w:cs="Times New Roman"/>
          <w:color w:val="auto"/>
          <w:spacing w:val="20"/>
          <w:highlight w:val="none"/>
          <w:lang w:val="en-US" w:eastAsia="zh-CN"/>
        </w:rPr>
        <w:t>12%</w:t>
      </w:r>
      <w:r>
        <w:rPr>
          <w:rFonts w:hint="eastAsia" w:ascii="宋体" w:hAnsi="宋体" w:eastAsia="宋体" w:cs="Times New Roman"/>
          <w:color w:val="auto"/>
          <w:spacing w:val="20"/>
          <w:highlight w:val="none"/>
          <w:lang w:val="en-US" w:eastAsia="zh-CN"/>
        </w:rPr>
        <w:t>，即</w:t>
      </w:r>
      <w:r>
        <w:rPr>
          <w:rFonts w:hint="eastAsia" w:hAnsi="宋体" w:cs="Times New Roman"/>
          <w:color w:val="auto"/>
          <w:spacing w:val="20"/>
          <w:highlight w:val="none"/>
          <w:lang w:val="en-US" w:eastAsia="zh-CN"/>
        </w:rPr>
        <w:t>1098878</w:t>
      </w:r>
      <w:r>
        <w:rPr>
          <w:rFonts w:hint="eastAsia" w:ascii="宋体" w:hAnsi="宋体" w:eastAsia="宋体" w:cs="Times New Roman"/>
          <w:color w:val="auto"/>
          <w:spacing w:val="20"/>
          <w:highlight w:val="none"/>
          <w:lang w:val="en-US" w:eastAsia="zh-CN"/>
        </w:rPr>
        <w:t>万元*（1-</w:t>
      </w:r>
      <w:r>
        <w:rPr>
          <w:rFonts w:hint="eastAsia" w:hAnsi="宋体" w:cs="Times New Roman"/>
          <w:color w:val="auto"/>
          <w:spacing w:val="20"/>
          <w:highlight w:val="none"/>
          <w:lang w:val="en-US" w:eastAsia="zh-CN"/>
        </w:rPr>
        <w:t>12%</w:t>
      </w:r>
      <w:r>
        <w:rPr>
          <w:rFonts w:hint="eastAsia" w:ascii="宋体" w:hAnsi="宋体" w:eastAsia="宋体" w:cs="Times New Roman"/>
          <w:color w:val="auto"/>
          <w:spacing w:val="20"/>
          <w:highlight w:val="none"/>
          <w:lang w:val="en-US" w:eastAsia="zh-CN"/>
        </w:rPr>
        <w:t>）】，超过最高限价为无效标。竣工决算按照本项目最终投标下浮率进行决算。</w:t>
      </w:r>
    </w:p>
    <w:p>
      <w:pPr>
        <w:pStyle w:val="29"/>
        <w:snapToGrid w:val="0"/>
        <w:spacing w:beforeLines="0" w:afterLines="0" w:line="240" w:lineRule="auto"/>
        <w:rPr>
          <w:rFonts w:hint="eastAsia" w:ascii="宋体" w:hAnsi="宋体" w:eastAsia="宋体" w:cs="Times New Roman"/>
          <w:color w:val="auto"/>
          <w:spacing w:val="20"/>
          <w:highlight w:val="none"/>
          <w:lang w:val="en-US" w:eastAsia="zh-CN"/>
        </w:rPr>
      </w:pPr>
    </w:p>
    <w:p>
      <w:pPr>
        <w:pStyle w:val="29"/>
        <w:snapToGrid w:val="0"/>
        <w:spacing w:beforeLines="0" w:afterLines="0" w:line="240" w:lineRule="auto"/>
        <w:rPr>
          <w:rFonts w:hint="eastAsia" w:hAnsi="宋体"/>
          <w:color w:val="auto"/>
          <w:spacing w:val="20"/>
          <w:highlight w:val="none"/>
        </w:rPr>
      </w:pPr>
    </w:p>
    <w:p>
      <w:pPr>
        <w:pStyle w:val="29"/>
        <w:snapToGrid w:val="0"/>
        <w:spacing w:beforeLines="0" w:afterLines="0" w:line="240" w:lineRule="auto"/>
        <w:rPr>
          <w:rFonts w:hint="eastAsia" w:hAnsi="宋体"/>
          <w:color w:val="auto"/>
          <w:spacing w:val="20"/>
          <w:highlight w:val="none"/>
        </w:rPr>
      </w:pPr>
    </w:p>
    <w:p>
      <w:pPr>
        <w:pStyle w:val="29"/>
        <w:snapToGrid w:val="0"/>
        <w:spacing w:beforeLines="0" w:afterLines="0" w:line="240" w:lineRule="auto"/>
        <w:rPr>
          <w:rFonts w:hAnsi="宋体"/>
          <w:color w:val="auto"/>
          <w:spacing w:val="20"/>
          <w:highlight w:val="none"/>
        </w:rPr>
      </w:pPr>
      <w:r>
        <w:rPr>
          <w:rFonts w:hint="eastAsia" w:hAnsi="宋体"/>
          <w:color w:val="auto"/>
          <w:spacing w:val="20"/>
          <w:highlight w:val="none"/>
        </w:rPr>
        <w:t xml:space="preserve">法定代表人签字（或盖章）：            供应商（盖章）：  </w:t>
      </w: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int="eastAsia" w:hAnsi="宋体"/>
          <w:color w:val="auto"/>
          <w:highlight w:val="none"/>
        </w:rPr>
      </w:pPr>
    </w:p>
    <w:p>
      <w:pPr>
        <w:pStyle w:val="29"/>
        <w:snapToGrid w:val="0"/>
        <w:spacing w:beforeLines="0" w:afterLines="0" w:line="240" w:lineRule="auto"/>
        <w:rPr>
          <w:rFonts w:hint="eastAsia" w:hAnsi="宋体"/>
          <w:color w:val="auto"/>
          <w:highlight w:val="none"/>
        </w:rPr>
      </w:pPr>
    </w:p>
    <w:p>
      <w:pPr>
        <w:pStyle w:val="29"/>
        <w:snapToGrid w:val="0"/>
        <w:spacing w:beforeLines="0" w:afterLines="0" w:line="240" w:lineRule="auto"/>
        <w:rPr>
          <w:rFonts w:hint="eastAsia" w:hAnsi="宋体"/>
          <w:color w:val="auto"/>
          <w:highlight w:val="none"/>
        </w:rPr>
      </w:pPr>
      <w:r>
        <w:rPr>
          <w:rFonts w:hint="eastAsia" w:hAnsi="宋体"/>
          <w:color w:val="auto"/>
          <w:highlight w:val="none"/>
        </w:rPr>
        <w:t>日期：年  月  日</w:t>
      </w: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int="eastAsia" w:hAnsi="宋体"/>
          <w:color w:val="auto"/>
          <w:highlight w:val="none"/>
          <w:lang w:val="en-US" w:eastAsia="zh-CN"/>
        </w:rPr>
      </w:pPr>
    </w:p>
    <w:p>
      <w:pPr>
        <w:pStyle w:val="29"/>
        <w:snapToGrid w:val="0"/>
        <w:spacing w:beforeLines="0" w:afterLines="0" w:line="240" w:lineRule="auto"/>
        <w:rPr>
          <w:rFonts w:hint="eastAsia" w:hAnsi="宋体"/>
          <w:color w:val="auto"/>
          <w:highlight w:val="none"/>
          <w:lang w:val="en-US" w:eastAsia="zh-CN"/>
        </w:rPr>
      </w:pPr>
    </w:p>
    <w:p>
      <w:pPr>
        <w:pStyle w:val="29"/>
        <w:snapToGrid w:val="0"/>
        <w:spacing w:beforeLines="0" w:afterLines="0" w:line="240" w:lineRule="auto"/>
        <w:rPr>
          <w:rFonts w:hint="eastAsia" w:hAnsi="宋体"/>
          <w:color w:val="auto"/>
          <w:highlight w:val="none"/>
          <w:lang w:val="en-US" w:eastAsia="zh-CN"/>
        </w:rPr>
      </w:pPr>
    </w:p>
    <w:p>
      <w:pPr>
        <w:pStyle w:val="29"/>
        <w:snapToGrid w:val="0"/>
        <w:spacing w:beforeLines="0" w:afterLines="0" w:line="240" w:lineRule="auto"/>
        <w:rPr>
          <w:rFonts w:hint="eastAsia" w:hAnsi="宋体"/>
          <w:color w:val="auto"/>
          <w:highlight w:val="none"/>
          <w:lang w:val="en-US" w:eastAsia="zh-CN"/>
        </w:rPr>
      </w:pPr>
    </w:p>
    <w:p>
      <w:pPr>
        <w:pStyle w:val="29"/>
        <w:snapToGrid w:val="0"/>
        <w:spacing w:beforeLines="0" w:afterLines="0" w:line="240" w:lineRule="auto"/>
        <w:rPr>
          <w:rFonts w:hint="eastAsia" w:hAnsi="宋体"/>
          <w:color w:val="auto"/>
          <w:highlight w:val="none"/>
          <w:lang w:val="en-US" w:eastAsia="zh-CN"/>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p>
    <w:p>
      <w:pPr>
        <w:pStyle w:val="29"/>
        <w:snapToGrid w:val="0"/>
        <w:spacing w:beforeLines="0" w:afterLines="0" w:line="240" w:lineRule="auto"/>
        <w:rPr>
          <w:rFonts w:hAnsi="宋体"/>
          <w:color w:val="auto"/>
          <w:highlight w:val="none"/>
        </w:rPr>
      </w:pPr>
      <w:r>
        <w:rPr>
          <w:rFonts w:hAnsi="宋体"/>
          <w:color w:val="auto"/>
          <w:highlight w:val="none"/>
        </w:rPr>
        <w:br w:type="page"/>
      </w:r>
    </w:p>
    <w:p>
      <w:pPr>
        <w:pStyle w:val="29"/>
        <w:snapToGrid w:val="0"/>
        <w:spacing w:beforeLines="0" w:afterLines="0" w:line="240" w:lineRule="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17.政府采购活动现场确认声明书</w:t>
      </w:r>
    </w:p>
    <w:p>
      <w:pPr>
        <w:snapToGrid w:val="0"/>
        <w:spacing w:line="500" w:lineRule="exact"/>
        <w:jc w:val="center"/>
        <w:rPr>
          <w:rFonts w:ascii="方正小标宋简体" w:hAnsi="方正小标宋简体" w:eastAsia="方正小标宋简体" w:cs="方正小标宋简体"/>
          <w:color w:val="auto"/>
          <w:sz w:val="44"/>
          <w:szCs w:val="44"/>
          <w:highlight w:val="none"/>
        </w:rPr>
      </w:pPr>
    </w:p>
    <w:p>
      <w:pPr>
        <w:snapToGrid w:val="0"/>
        <w:spacing w:line="50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政府采购活动现场确认声明书</w:t>
      </w:r>
    </w:p>
    <w:p>
      <w:pPr>
        <w:snapToGrid w:val="0"/>
        <w:spacing w:line="500" w:lineRule="exact"/>
        <w:rPr>
          <w:rFonts w:ascii="仿宋" w:hAnsi="Courier New" w:eastAsia="仿宋"/>
          <w:b/>
          <w:color w:val="auto"/>
          <w:sz w:val="24"/>
          <w:highlight w:val="none"/>
        </w:rPr>
      </w:pPr>
      <w:r>
        <w:rPr>
          <w:rFonts w:hint="eastAsia" w:ascii="仿宋" w:hAnsi="仿宋"/>
          <w:color w:val="auto"/>
          <w:kern w:val="0"/>
          <w:sz w:val="24"/>
          <w:highlight w:val="none"/>
          <w:u w:val="single"/>
        </w:rPr>
        <w:t xml:space="preserve"> </w:t>
      </w:r>
      <w:r>
        <w:rPr>
          <w:rFonts w:ascii="仿宋" w:hAnsi="仿宋"/>
          <w:color w:val="auto"/>
          <w:kern w:val="0"/>
          <w:sz w:val="24"/>
          <w:highlight w:val="none"/>
          <w:u w:val="single"/>
        </w:rPr>
        <w:t xml:space="preserve">               </w:t>
      </w:r>
      <w:r>
        <w:rPr>
          <w:rFonts w:hint="eastAsia" w:ascii="仿宋" w:hAnsi="仿宋"/>
          <w:color w:val="auto"/>
          <w:kern w:val="0"/>
          <w:sz w:val="24"/>
          <w:highlight w:val="none"/>
          <w:u w:val="single"/>
        </w:rPr>
        <w:t xml:space="preserve"> </w:t>
      </w:r>
      <w:r>
        <w:rPr>
          <w:rFonts w:hint="eastAsia" w:ascii="仿宋" w:hAnsi="仿宋"/>
          <w:color w:val="auto"/>
          <w:kern w:val="0"/>
          <w:sz w:val="24"/>
          <w:highlight w:val="none"/>
        </w:rPr>
        <w:t>（采购组织机构名称）：</w:t>
      </w:r>
    </w:p>
    <w:p>
      <w:pPr>
        <w:widowControl/>
        <w:spacing w:line="360" w:lineRule="exact"/>
        <w:ind w:firstLine="504" w:firstLineChars="200"/>
        <w:jc w:val="left"/>
        <w:rPr>
          <w:rFonts w:ascii="宋体" w:hAnsi="宋体"/>
          <w:color w:val="auto"/>
          <w:kern w:val="0"/>
          <w:sz w:val="24"/>
          <w:highlight w:val="none"/>
          <w:lang w:val="zh-CN" w:eastAsia="zh-CN"/>
        </w:rPr>
      </w:pPr>
      <w:r>
        <w:rPr>
          <w:rFonts w:hint="eastAsia" w:ascii="仿宋" w:hAnsi="仿宋"/>
          <w:color w:val="auto"/>
          <w:spacing w:val="6"/>
          <w:kern w:val="0"/>
          <w:sz w:val="24"/>
          <w:highlight w:val="none"/>
          <w:lang w:val="zh-CN" w:eastAsia="zh-CN"/>
        </w:rPr>
        <w:t>本人经由</w:t>
      </w:r>
      <w:r>
        <w:rPr>
          <w:rFonts w:hint="eastAsia" w:ascii="仿宋" w:hAnsi="仿宋"/>
          <w:color w:val="auto"/>
          <w:spacing w:val="6"/>
          <w:kern w:val="0"/>
          <w:sz w:val="24"/>
          <w:highlight w:val="none"/>
          <w:u w:val="single"/>
          <w:lang w:val="zh-CN" w:eastAsia="zh-CN"/>
        </w:rPr>
        <w:t xml:space="preserve">                </w:t>
      </w:r>
      <w:r>
        <w:rPr>
          <w:rFonts w:hint="eastAsia" w:ascii="仿宋" w:hAnsi="仿宋"/>
          <w:color w:val="auto"/>
          <w:spacing w:val="6"/>
          <w:kern w:val="0"/>
          <w:sz w:val="24"/>
          <w:highlight w:val="none"/>
          <w:u w:val="single"/>
          <w:lang w:val="zh-CN"/>
        </w:rPr>
        <w:t xml:space="preserve">  </w:t>
      </w:r>
      <w:r>
        <w:rPr>
          <w:rFonts w:hint="eastAsia" w:ascii="仿宋" w:hAnsi="仿宋"/>
          <w:color w:val="auto"/>
          <w:spacing w:val="6"/>
          <w:kern w:val="0"/>
          <w:sz w:val="24"/>
          <w:highlight w:val="none"/>
          <w:u w:val="single"/>
          <w:lang w:val="zh-CN" w:eastAsia="zh-CN"/>
        </w:rPr>
        <w:t xml:space="preserve"> </w:t>
      </w:r>
      <w:r>
        <w:rPr>
          <w:rFonts w:ascii="仿宋" w:hAnsi="仿宋"/>
          <w:color w:val="auto"/>
          <w:spacing w:val="6"/>
          <w:kern w:val="0"/>
          <w:sz w:val="24"/>
          <w:highlight w:val="none"/>
          <w:u w:val="single"/>
          <w:lang w:val="zh-CN" w:eastAsia="zh-CN"/>
        </w:rPr>
        <w:t xml:space="preserve">          </w:t>
      </w:r>
      <w:r>
        <w:rPr>
          <w:rFonts w:hint="eastAsia" w:ascii="仿宋" w:hAnsi="仿宋"/>
          <w:color w:val="auto"/>
          <w:spacing w:val="6"/>
          <w:kern w:val="0"/>
          <w:sz w:val="24"/>
          <w:highlight w:val="none"/>
          <w:lang w:val="zh-CN" w:eastAsia="zh-CN"/>
        </w:rPr>
        <w:t>单位</w:t>
      </w:r>
      <w:r>
        <w:rPr>
          <w:rFonts w:hint="eastAsia" w:ascii="仿宋" w:hAnsi="仿宋"/>
          <w:color w:val="auto"/>
          <w:spacing w:val="6"/>
          <w:kern w:val="0"/>
          <w:sz w:val="24"/>
          <w:highlight w:val="none"/>
          <w:u w:val="single"/>
          <w:lang w:val="zh-CN" w:eastAsia="zh-CN"/>
        </w:rPr>
        <w:t xml:space="preserve">         (</w:t>
      </w:r>
      <w:r>
        <w:rPr>
          <w:rFonts w:hint="eastAsia" w:ascii="仿宋" w:hAnsi="仿宋"/>
          <w:color w:val="auto"/>
          <w:spacing w:val="6"/>
          <w:kern w:val="0"/>
          <w:sz w:val="24"/>
          <w:highlight w:val="none"/>
          <w:u w:val="single"/>
          <w:lang w:val="zh-CN"/>
        </w:rPr>
        <w:t>法人代表)</w:t>
      </w:r>
      <w:r>
        <w:rPr>
          <w:rFonts w:hint="eastAsia" w:ascii="仿宋" w:hAnsi="仿宋"/>
          <w:color w:val="auto"/>
          <w:spacing w:val="6"/>
          <w:kern w:val="0"/>
          <w:sz w:val="24"/>
          <w:highlight w:val="none"/>
          <w:lang w:val="zh-CN" w:eastAsia="zh-CN"/>
        </w:rPr>
        <w:t>合法授权参加</w:t>
      </w:r>
      <w:r>
        <w:rPr>
          <w:rFonts w:hint="eastAsia" w:ascii="宋体" w:hAnsi="宋体"/>
          <w:color w:val="auto"/>
          <w:kern w:val="0"/>
          <w:sz w:val="24"/>
          <w:highlight w:val="none"/>
          <w:u w:val="single"/>
          <w:lang w:val="zh-CN"/>
        </w:rPr>
        <w:t xml:space="preserve"> </w:t>
      </w:r>
      <w:r>
        <w:rPr>
          <w:rFonts w:ascii="宋体" w:hAnsi="宋体"/>
          <w:color w:val="auto"/>
          <w:kern w:val="0"/>
          <w:sz w:val="24"/>
          <w:highlight w:val="none"/>
          <w:u w:val="single"/>
          <w:lang w:val="zh-CN"/>
        </w:rPr>
        <w:t xml:space="preserve">                 </w:t>
      </w:r>
      <w:r>
        <w:rPr>
          <w:rFonts w:hint="eastAsia" w:ascii="宋体" w:hAnsi="宋体"/>
          <w:color w:val="auto"/>
          <w:kern w:val="0"/>
          <w:sz w:val="24"/>
          <w:highlight w:val="none"/>
          <w:u w:val="single"/>
          <w:lang w:val="zh-CN"/>
        </w:rPr>
        <w:t xml:space="preserve"> </w:t>
      </w:r>
      <w:r>
        <w:rPr>
          <w:rFonts w:ascii="宋体" w:hAnsi="宋体"/>
          <w:color w:val="auto"/>
          <w:kern w:val="0"/>
          <w:sz w:val="24"/>
          <w:highlight w:val="none"/>
          <w:u w:val="single"/>
          <w:lang w:val="zh-CN"/>
        </w:rPr>
        <w:t xml:space="preserve">   </w:t>
      </w:r>
      <w:r>
        <w:rPr>
          <w:rFonts w:hint="eastAsia" w:ascii="宋体" w:hAnsi="宋体"/>
          <w:color w:val="auto"/>
          <w:kern w:val="0"/>
          <w:sz w:val="24"/>
          <w:highlight w:val="none"/>
          <w:u w:val="single"/>
          <w:lang w:val="zh-CN" w:eastAsia="zh-CN"/>
        </w:rPr>
        <w:t>采购</w:t>
      </w:r>
      <w:r>
        <w:rPr>
          <w:rFonts w:hint="eastAsia" w:ascii="仿宋" w:hAnsi="仿宋"/>
          <w:color w:val="auto"/>
          <w:spacing w:val="6"/>
          <w:kern w:val="0"/>
          <w:sz w:val="24"/>
          <w:highlight w:val="none"/>
          <w:u w:val="single"/>
          <w:lang w:val="zh-CN" w:eastAsia="zh-CN"/>
        </w:rPr>
        <w:t>（编号：</w:t>
      </w:r>
      <w:r>
        <w:rPr>
          <w:rFonts w:hint="eastAsia" w:ascii="仿宋" w:hAnsi="仿宋"/>
          <w:color w:val="auto"/>
          <w:spacing w:val="6"/>
          <w:kern w:val="0"/>
          <w:sz w:val="24"/>
          <w:highlight w:val="none"/>
          <w:u w:val="single"/>
          <w:lang w:val="zh-CN"/>
        </w:rPr>
        <w:t xml:space="preserve"> </w:t>
      </w:r>
      <w:r>
        <w:rPr>
          <w:rFonts w:ascii="仿宋" w:hAnsi="仿宋"/>
          <w:color w:val="auto"/>
          <w:spacing w:val="6"/>
          <w:kern w:val="0"/>
          <w:sz w:val="24"/>
          <w:highlight w:val="none"/>
          <w:u w:val="single"/>
          <w:lang w:val="zh-CN"/>
        </w:rPr>
        <w:t xml:space="preserve">      </w:t>
      </w:r>
      <w:r>
        <w:rPr>
          <w:rFonts w:ascii="仿宋" w:hAnsi="仿宋"/>
          <w:color w:val="auto"/>
          <w:spacing w:val="6"/>
          <w:kern w:val="0"/>
          <w:sz w:val="24"/>
          <w:highlight w:val="none"/>
          <w:u w:val="single"/>
          <w:lang w:val="zh-CN" w:eastAsia="zh-CN"/>
        </w:rPr>
        <w:t>）</w:t>
      </w:r>
      <w:r>
        <w:rPr>
          <w:rFonts w:hint="eastAsia" w:ascii="仿宋" w:hAnsi="仿宋"/>
          <w:color w:val="auto"/>
          <w:spacing w:val="6"/>
          <w:kern w:val="0"/>
          <w:sz w:val="24"/>
          <w:highlight w:val="none"/>
          <w:lang w:val="zh-CN" w:eastAsia="zh-CN"/>
        </w:rPr>
        <w:t>政府采购活动，经与本单位法人代表（负责人）联系确认，现就有关公平竞争事项郑重声明如下：</w:t>
      </w:r>
    </w:p>
    <w:p>
      <w:pPr>
        <w:widowControl/>
        <w:snapToGrid w:val="0"/>
        <w:spacing w:line="440" w:lineRule="exact"/>
        <w:rPr>
          <w:rFonts w:ascii="仿宋" w:eastAsia="仿宋"/>
          <w:color w:val="auto"/>
          <w:kern w:val="0"/>
          <w:sz w:val="24"/>
          <w:highlight w:val="none"/>
        </w:rPr>
      </w:pPr>
      <w:r>
        <w:rPr>
          <w:rFonts w:hint="eastAsia" w:ascii="仿宋" w:hAnsi="仿宋"/>
          <w:color w:val="auto"/>
          <w:kern w:val="0"/>
          <w:sz w:val="24"/>
          <w:highlight w:val="none"/>
        </w:rPr>
        <w:t>一、本单位与采购人之间</w:t>
      </w:r>
    </w:p>
    <w:p>
      <w:pPr>
        <w:widowControl/>
        <w:snapToGrid w:val="0"/>
        <w:spacing w:line="440" w:lineRule="exact"/>
        <w:ind w:left="454"/>
        <w:rPr>
          <w:rFonts w:ascii="仿宋" w:eastAsia="仿宋"/>
          <w:color w:val="auto"/>
          <w:kern w:val="0"/>
          <w:sz w:val="24"/>
          <w:highlight w:val="none"/>
        </w:rPr>
      </w:pPr>
      <w:r>
        <w:rPr>
          <w:rFonts w:hint="eastAsia" w:ascii="宋体" w:hAnsi="宋体" w:cs="宋体"/>
          <w:color w:val="auto"/>
          <w:kern w:val="0"/>
          <w:sz w:val="24"/>
          <w:highlight w:val="none"/>
        </w:rPr>
        <w:t>□</w:t>
      </w:r>
      <w:r>
        <w:rPr>
          <w:rFonts w:hint="eastAsia" w:ascii="仿宋" w:hAnsi="仿宋"/>
          <w:color w:val="auto"/>
          <w:kern w:val="0"/>
          <w:sz w:val="24"/>
          <w:highlight w:val="none"/>
        </w:rPr>
        <w:t>不存在利害关系</w:t>
      </w:r>
    </w:p>
    <w:p>
      <w:pPr>
        <w:widowControl/>
        <w:snapToGrid w:val="0"/>
        <w:spacing w:line="440" w:lineRule="exact"/>
        <w:ind w:left="454"/>
        <w:rPr>
          <w:rFonts w:ascii="仿宋" w:eastAsia="仿宋"/>
          <w:color w:val="auto"/>
          <w:kern w:val="0"/>
          <w:sz w:val="24"/>
          <w:highlight w:val="none"/>
        </w:rPr>
      </w:pPr>
      <w:r>
        <w:rPr>
          <w:rFonts w:hint="eastAsia" w:ascii="宋体" w:hAnsi="宋体" w:cs="宋体"/>
          <w:color w:val="auto"/>
          <w:kern w:val="0"/>
          <w:sz w:val="24"/>
          <w:highlight w:val="none"/>
        </w:rPr>
        <w:t>□</w:t>
      </w:r>
      <w:r>
        <w:rPr>
          <w:rFonts w:hint="eastAsia" w:ascii="仿宋" w:hAnsi="仿宋"/>
          <w:color w:val="auto"/>
          <w:kern w:val="0"/>
          <w:sz w:val="24"/>
          <w:highlight w:val="none"/>
        </w:rPr>
        <w:t>存在下列利害关系：</w:t>
      </w:r>
    </w:p>
    <w:p>
      <w:pPr>
        <w:widowControl/>
        <w:snapToGrid w:val="0"/>
        <w:spacing w:line="440" w:lineRule="exact"/>
        <w:rPr>
          <w:rFonts w:ascii="仿宋" w:eastAsia="仿宋"/>
          <w:color w:val="auto"/>
          <w:kern w:val="0"/>
          <w:sz w:val="24"/>
          <w:highlight w:val="none"/>
        </w:rPr>
      </w:pPr>
      <w:r>
        <w:rPr>
          <w:rFonts w:ascii="仿宋" w:hAnsi="仿宋"/>
          <w:color w:val="auto"/>
          <w:kern w:val="0"/>
          <w:sz w:val="24"/>
          <w:highlight w:val="none"/>
        </w:rPr>
        <w:t xml:space="preserve">  A.</w:t>
      </w:r>
      <w:r>
        <w:rPr>
          <w:rFonts w:hint="eastAsia" w:ascii="仿宋" w:hAnsi="仿宋"/>
          <w:color w:val="auto"/>
          <w:kern w:val="0"/>
          <w:sz w:val="24"/>
          <w:highlight w:val="none"/>
        </w:rPr>
        <w:t>投资关系</w:t>
      </w:r>
      <w:r>
        <w:rPr>
          <w:rFonts w:ascii="仿宋" w:hAnsi="仿宋"/>
          <w:color w:val="auto"/>
          <w:kern w:val="0"/>
          <w:sz w:val="24"/>
          <w:highlight w:val="none"/>
        </w:rPr>
        <w:t xml:space="preserve">    B.</w:t>
      </w:r>
      <w:r>
        <w:rPr>
          <w:rFonts w:hint="eastAsia" w:ascii="仿宋" w:hAnsi="仿宋"/>
          <w:color w:val="auto"/>
          <w:kern w:val="0"/>
          <w:sz w:val="24"/>
          <w:highlight w:val="none"/>
        </w:rPr>
        <w:t>行政隶属关系</w:t>
      </w:r>
      <w:r>
        <w:rPr>
          <w:rFonts w:ascii="仿宋" w:hAnsi="仿宋"/>
          <w:color w:val="auto"/>
          <w:kern w:val="0"/>
          <w:sz w:val="24"/>
          <w:highlight w:val="none"/>
        </w:rPr>
        <w:t xml:space="preserve">    C.</w:t>
      </w:r>
      <w:r>
        <w:rPr>
          <w:rFonts w:hint="eastAsia" w:ascii="仿宋" w:hAnsi="仿宋"/>
          <w:color w:val="auto"/>
          <w:kern w:val="0"/>
          <w:sz w:val="24"/>
          <w:highlight w:val="none"/>
        </w:rPr>
        <w:t>业务指导关系</w:t>
      </w:r>
    </w:p>
    <w:p>
      <w:pPr>
        <w:widowControl/>
        <w:snapToGrid w:val="0"/>
        <w:spacing w:line="440" w:lineRule="exact"/>
        <w:rPr>
          <w:rFonts w:ascii="仿宋" w:eastAsia="仿宋"/>
          <w:color w:val="auto"/>
          <w:kern w:val="0"/>
          <w:sz w:val="24"/>
          <w:highlight w:val="none"/>
        </w:rPr>
      </w:pPr>
      <w:r>
        <w:rPr>
          <w:rFonts w:ascii="仿宋" w:hAnsi="仿宋"/>
          <w:color w:val="auto"/>
          <w:kern w:val="0"/>
          <w:sz w:val="24"/>
          <w:highlight w:val="none"/>
        </w:rPr>
        <w:t xml:space="preserve">  D.</w:t>
      </w:r>
      <w:r>
        <w:rPr>
          <w:rFonts w:hint="eastAsia" w:ascii="仿宋" w:hAnsi="仿宋"/>
          <w:color w:val="auto"/>
          <w:kern w:val="0"/>
          <w:sz w:val="24"/>
          <w:highlight w:val="none"/>
        </w:rPr>
        <w:t>其他可能</w:t>
      </w:r>
      <w:r>
        <w:rPr>
          <w:rFonts w:hint="eastAsia" w:ascii="仿宋" w:hAnsi="仿宋"/>
          <w:color w:val="auto"/>
          <w:sz w:val="24"/>
          <w:highlight w:val="none"/>
        </w:rPr>
        <w:t>影响采购公正的</w:t>
      </w:r>
      <w:r>
        <w:rPr>
          <w:rFonts w:hint="eastAsia" w:ascii="仿宋" w:hAnsi="仿宋"/>
          <w:color w:val="auto"/>
          <w:kern w:val="0"/>
          <w:sz w:val="24"/>
          <w:highlight w:val="none"/>
        </w:rPr>
        <w:t>利害关系。</w:t>
      </w:r>
    </w:p>
    <w:p>
      <w:pPr>
        <w:widowControl/>
        <w:snapToGrid w:val="0"/>
        <w:spacing w:line="440" w:lineRule="exact"/>
        <w:rPr>
          <w:rFonts w:ascii="仿宋" w:eastAsia="仿宋"/>
          <w:color w:val="auto"/>
          <w:kern w:val="0"/>
          <w:sz w:val="24"/>
          <w:highlight w:val="none"/>
        </w:rPr>
      </w:pPr>
      <w:r>
        <w:rPr>
          <w:rFonts w:hint="eastAsia" w:ascii="仿宋" w:hAnsi="仿宋"/>
          <w:color w:val="auto"/>
          <w:spacing w:val="6"/>
          <w:sz w:val="24"/>
          <w:highlight w:val="none"/>
        </w:rPr>
        <w:t>二、</w:t>
      </w:r>
      <w:r>
        <w:rPr>
          <w:rFonts w:hint="eastAsia" w:ascii="仿宋" w:hAnsi="仿宋"/>
          <w:color w:val="auto"/>
          <w:kern w:val="0"/>
          <w:sz w:val="24"/>
          <w:highlight w:val="none"/>
        </w:rPr>
        <w:t>现已清楚知道参加本项目采购活动的其他所有供应商名称，本单位</w:t>
      </w:r>
    </w:p>
    <w:p>
      <w:pPr>
        <w:widowControl/>
        <w:snapToGrid w:val="0"/>
        <w:spacing w:line="440" w:lineRule="exact"/>
        <w:ind w:firstLine="480" w:firstLineChars="200"/>
        <w:rPr>
          <w:rFonts w:ascii="仿宋" w:eastAsia="仿宋"/>
          <w:color w:val="auto"/>
          <w:kern w:val="0"/>
          <w:sz w:val="24"/>
          <w:highlight w:val="none"/>
        </w:rPr>
      </w:pPr>
      <w:r>
        <w:rPr>
          <w:rFonts w:hint="eastAsia" w:ascii="宋体" w:hAnsi="宋体" w:cs="宋体"/>
          <w:color w:val="auto"/>
          <w:kern w:val="0"/>
          <w:sz w:val="24"/>
          <w:highlight w:val="none"/>
        </w:rPr>
        <w:t>□与其他所有供应商之间均</w:t>
      </w:r>
      <w:r>
        <w:rPr>
          <w:rFonts w:hint="eastAsia" w:ascii="仿宋" w:hAnsi="仿宋"/>
          <w:color w:val="auto"/>
          <w:kern w:val="0"/>
          <w:sz w:val="24"/>
          <w:highlight w:val="none"/>
        </w:rPr>
        <w:t>不存在利害关系</w:t>
      </w:r>
    </w:p>
    <w:p>
      <w:pPr>
        <w:widowControl/>
        <w:snapToGrid w:val="0"/>
        <w:spacing w:line="440" w:lineRule="exact"/>
        <w:ind w:firstLine="480" w:firstLineChars="200"/>
        <w:rPr>
          <w:rFonts w:ascii="仿宋" w:eastAsia="仿宋"/>
          <w:color w:val="auto"/>
          <w:kern w:val="0"/>
          <w:sz w:val="24"/>
          <w:highlight w:val="none"/>
        </w:rPr>
      </w:pPr>
      <w:r>
        <w:rPr>
          <w:rFonts w:hint="eastAsia" w:ascii="宋体" w:hAnsi="宋体" w:cs="宋体"/>
          <w:color w:val="auto"/>
          <w:kern w:val="0"/>
          <w:sz w:val="24"/>
          <w:highlight w:val="none"/>
        </w:rPr>
        <w:t>□与之间</w:t>
      </w:r>
      <w:r>
        <w:rPr>
          <w:rFonts w:hint="eastAsia" w:ascii="仿宋" w:hAnsi="仿宋"/>
          <w:color w:val="auto"/>
          <w:kern w:val="0"/>
          <w:sz w:val="24"/>
          <w:highlight w:val="none"/>
        </w:rPr>
        <w:t>存在下列利害关系：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A.</w:t>
      </w:r>
      <w:r>
        <w:rPr>
          <w:rFonts w:hint="eastAsia" w:ascii="仿宋" w:hAnsi="仿宋"/>
          <w:color w:val="auto"/>
          <w:kern w:val="0"/>
          <w:sz w:val="24"/>
          <w:highlight w:val="none"/>
        </w:rPr>
        <w:t>法定代表人或负责人或实际控制人是同一人</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B.</w:t>
      </w:r>
      <w:r>
        <w:rPr>
          <w:rFonts w:hint="eastAsia" w:ascii="仿宋" w:hAnsi="仿宋"/>
          <w:color w:val="auto"/>
          <w:kern w:val="0"/>
          <w:sz w:val="24"/>
          <w:highlight w:val="none"/>
        </w:rPr>
        <w:t>法定代表人或负责人或实际控制人是夫妻关系</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C.</w:t>
      </w:r>
      <w:r>
        <w:rPr>
          <w:rFonts w:hint="eastAsia" w:ascii="仿宋" w:hAnsi="仿宋"/>
          <w:color w:val="auto"/>
          <w:kern w:val="0"/>
          <w:sz w:val="24"/>
          <w:highlight w:val="none"/>
        </w:rPr>
        <w:t>法定代表人或负责人或实际控制人是直系血亲关系</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D.</w:t>
      </w:r>
      <w:r>
        <w:rPr>
          <w:rFonts w:hint="eastAsia" w:ascii="仿宋" w:hAnsi="仿宋"/>
          <w:color w:val="auto"/>
          <w:kern w:val="0"/>
          <w:sz w:val="24"/>
          <w:highlight w:val="none"/>
        </w:rPr>
        <w:t>法定代表人或负责人或实际控制人存在三代以内旁系血亲关系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E.</w:t>
      </w:r>
      <w:r>
        <w:rPr>
          <w:rFonts w:hint="eastAsia" w:ascii="仿宋" w:hAnsi="仿宋"/>
          <w:color w:val="auto"/>
          <w:kern w:val="0"/>
          <w:sz w:val="24"/>
          <w:highlight w:val="none"/>
        </w:rPr>
        <w:t>法定代表人或负责人或实际控制人存在近姻亲关系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F.</w:t>
      </w:r>
      <w:r>
        <w:rPr>
          <w:rFonts w:hint="eastAsia" w:ascii="仿宋" w:hAnsi="仿宋"/>
          <w:color w:val="auto"/>
          <w:kern w:val="0"/>
          <w:sz w:val="24"/>
          <w:highlight w:val="none"/>
        </w:rPr>
        <w:t>法定代表人或负责人或实际控制人存在股份控制或实际控制关系</w:t>
      </w:r>
    </w:p>
    <w:p>
      <w:pPr>
        <w:snapToGrid w:val="0"/>
        <w:spacing w:line="440" w:lineRule="exact"/>
        <w:outlineLvl w:val="0"/>
        <w:rPr>
          <w:rFonts w:ascii="仿宋" w:hAnsi="Courier New" w:eastAsia="仿宋"/>
          <w:color w:val="auto"/>
          <w:kern w:val="0"/>
          <w:sz w:val="24"/>
          <w:highlight w:val="none"/>
        </w:rPr>
      </w:pPr>
      <w:r>
        <w:rPr>
          <w:rFonts w:ascii="仿宋" w:hAnsi="仿宋"/>
          <w:color w:val="auto"/>
          <w:kern w:val="0"/>
          <w:sz w:val="24"/>
          <w:highlight w:val="none"/>
        </w:rPr>
        <w:t xml:space="preserve">  </w:t>
      </w:r>
      <w:bookmarkStart w:id="394" w:name="_Toc29363"/>
      <w:r>
        <w:rPr>
          <w:rFonts w:ascii="仿宋" w:hAnsi="仿宋"/>
          <w:color w:val="auto"/>
          <w:kern w:val="0"/>
          <w:sz w:val="24"/>
          <w:highlight w:val="none"/>
        </w:rPr>
        <w:t>G.</w:t>
      </w:r>
      <w:r>
        <w:rPr>
          <w:rFonts w:hint="eastAsia" w:ascii="仿宋" w:hAnsi="仿宋"/>
          <w:color w:val="auto"/>
          <w:kern w:val="0"/>
          <w:sz w:val="24"/>
          <w:highlight w:val="none"/>
        </w:rPr>
        <w:t>存在共同直接或间接投资设立子公司、联营企业和合营企业情况</w:t>
      </w:r>
      <w:bookmarkEnd w:id="394"/>
    </w:p>
    <w:p>
      <w:pPr>
        <w:snapToGrid w:val="0"/>
        <w:spacing w:line="440" w:lineRule="exact"/>
        <w:rPr>
          <w:rFonts w:ascii="仿宋" w:hAnsi="Courier New" w:eastAsia="仿宋"/>
          <w:color w:val="auto"/>
          <w:sz w:val="24"/>
          <w:highlight w:val="none"/>
        </w:rPr>
      </w:pPr>
      <w:r>
        <w:rPr>
          <w:rFonts w:ascii="仿宋" w:hAnsi="仿宋"/>
          <w:color w:val="auto"/>
          <w:kern w:val="0"/>
          <w:sz w:val="24"/>
          <w:highlight w:val="none"/>
        </w:rPr>
        <w:t xml:space="preserve">  H.</w:t>
      </w:r>
      <w:r>
        <w:rPr>
          <w:rFonts w:hint="eastAsia" w:ascii="仿宋" w:hAnsi="仿宋"/>
          <w:color w:val="auto"/>
          <w:kern w:val="0"/>
          <w:sz w:val="24"/>
          <w:highlight w:val="none"/>
        </w:rPr>
        <w:t>存在分级代理或代销关系、同一生产制造商关系、</w:t>
      </w:r>
      <w:r>
        <w:rPr>
          <w:rFonts w:hint="eastAsia" w:ascii="仿宋" w:hAnsi="仿宋"/>
          <w:color w:val="auto"/>
          <w:sz w:val="24"/>
          <w:highlight w:val="none"/>
        </w:rPr>
        <w:t>管理关系、重要业务（占主营业务收入</w:t>
      </w:r>
      <w:r>
        <w:rPr>
          <w:rFonts w:ascii="仿宋" w:hAnsi="仿宋"/>
          <w:color w:val="auto"/>
          <w:sz w:val="24"/>
          <w:highlight w:val="none"/>
        </w:rPr>
        <w:t>50%</w:t>
      </w:r>
      <w:r>
        <w:rPr>
          <w:rFonts w:hint="eastAsia" w:ascii="仿宋" w:hAnsi="仿宋"/>
          <w:color w:val="auto"/>
          <w:sz w:val="24"/>
          <w:highlight w:val="none"/>
        </w:rPr>
        <w:t>以上）或重要财务往来关系（如融资）等其他实质性控制关系</w:t>
      </w:r>
    </w:p>
    <w:p>
      <w:pPr>
        <w:snapToGrid w:val="0"/>
        <w:spacing w:line="440" w:lineRule="exact"/>
        <w:rPr>
          <w:rFonts w:ascii="仿宋" w:hAnsi="Courier New" w:eastAsia="仿宋"/>
          <w:color w:val="auto"/>
          <w:spacing w:val="6"/>
          <w:sz w:val="24"/>
          <w:highlight w:val="none"/>
        </w:rPr>
      </w:pPr>
      <w:r>
        <w:rPr>
          <w:rFonts w:ascii="仿宋" w:hAnsi="仿宋"/>
          <w:color w:val="auto"/>
          <w:sz w:val="24"/>
          <w:highlight w:val="none"/>
        </w:rPr>
        <w:t>I</w:t>
      </w:r>
      <w:r>
        <w:rPr>
          <w:rFonts w:ascii="仿宋" w:hAnsi="Courier New" w:eastAsia="仿宋"/>
          <w:color w:val="auto"/>
          <w:kern w:val="0"/>
          <w:sz w:val="24"/>
          <w:highlight w:val="none"/>
        </w:rPr>
        <w:t>.</w:t>
      </w:r>
      <w:r>
        <w:rPr>
          <w:rFonts w:hint="eastAsia" w:ascii="仿宋" w:hAnsi="仿宋"/>
          <w:color w:val="auto"/>
          <w:sz w:val="24"/>
          <w:highlight w:val="none"/>
        </w:rPr>
        <w:t>其他利害关系情况</w:t>
      </w:r>
      <w:r>
        <w:rPr>
          <w:rFonts w:hint="eastAsia" w:ascii="仿宋" w:hAnsi="仿宋"/>
          <w:color w:val="auto"/>
          <w:kern w:val="0"/>
          <w:sz w:val="24"/>
          <w:highlight w:val="none"/>
        </w:rPr>
        <w:t>。</w:t>
      </w:r>
    </w:p>
    <w:p>
      <w:pPr>
        <w:widowControl/>
        <w:snapToGrid w:val="0"/>
        <w:spacing w:line="440" w:lineRule="exact"/>
        <w:rPr>
          <w:rFonts w:ascii="仿宋" w:eastAsia="仿宋"/>
          <w:color w:val="auto"/>
          <w:kern w:val="0"/>
          <w:sz w:val="24"/>
          <w:highlight w:val="none"/>
        </w:rPr>
      </w:pPr>
      <w:r>
        <w:rPr>
          <w:rFonts w:hint="eastAsia" w:ascii="仿宋" w:hAnsi="仿宋"/>
          <w:color w:val="auto"/>
          <w:sz w:val="24"/>
          <w:highlight w:val="none"/>
        </w:rPr>
        <w:t>三、现已清楚知道并</w:t>
      </w:r>
      <w:r>
        <w:rPr>
          <w:rFonts w:hint="eastAsia" w:ascii="仿宋" w:hAnsi="仿宋"/>
          <w:color w:val="auto"/>
          <w:kern w:val="0"/>
          <w:sz w:val="24"/>
          <w:highlight w:val="none"/>
        </w:rPr>
        <w:t>严格遵守政府采购法律法规和现场纪律。</w:t>
      </w:r>
    </w:p>
    <w:p>
      <w:pPr>
        <w:widowControl/>
        <w:snapToGrid w:val="0"/>
        <w:spacing w:line="440" w:lineRule="exact"/>
        <w:rPr>
          <w:rFonts w:ascii="仿宋" w:hAnsi="仿宋"/>
          <w:color w:val="auto"/>
          <w:kern w:val="0"/>
          <w:sz w:val="24"/>
          <w:highlight w:val="none"/>
        </w:rPr>
      </w:pPr>
      <w:r>
        <w:rPr>
          <w:rFonts w:hint="eastAsia" w:ascii="仿宋" w:hAnsi="仿宋"/>
          <w:color w:val="auto"/>
          <w:kern w:val="0"/>
          <w:sz w:val="24"/>
          <w:highlight w:val="none"/>
        </w:rPr>
        <w:t>四、我发现供应商之间存在或可能存在上述第二条第项利害关系。</w:t>
      </w:r>
    </w:p>
    <w:p>
      <w:pPr>
        <w:widowControl/>
        <w:snapToGrid w:val="0"/>
        <w:spacing w:line="440" w:lineRule="exact"/>
        <w:rPr>
          <w:rFonts w:ascii="宋体" w:hAnsi="宋体"/>
          <w:color w:val="auto"/>
          <w:kern w:val="0"/>
          <w:sz w:val="24"/>
          <w:highlight w:val="none"/>
        </w:rPr>
      </w:pPr>
      <w:r>
        <w:rPr>
          <w:rFonts w:hint="eastAsia" w:ascii="宋体" w:hAnsi="宋体"/>
          <w:color w:val="auto"/>
          <w:kern w:val="0"/>
          <w:sz w:val="24"/>
          <w:highlight w:val="none"/>
        </w:rPr>
        <w:t>□不存在利害关系</w:t>
      </w:r>
    </w:p>
    <w:p>
      <w:pPr>
        <w:widowControl/>
        <w:snapToGrid w:val="0"/>
        <w:spacing w:line="440" w:lineRule="exact"/>
        <w:rPr>
          <w:rFonts w:ascii="宋体" w:hAnsi="宋体"/>
          <w:color w:val="auto"/>
          <w:kern w:val="0"/>
          <w:sz w:val="24"/>
          <w:highlight w:val="none"/>
        </w:rPr>
      </w:pPr>
      <w:r>
        <w:rPr>
          <w:rFonts w:hint="eastAsia" w:ascii="宋体" w:hAnsi="宋体"/>
          <w:color w:val="auto"/>
          <w:kern w:val="0"/>
          <w:sz w:val="24"/>
          <w:highlight w:val="none"/>
        </w:rPr>
        <w:t>□存在下列利害关系</w:t>
      </w:r>
    </w:p>
    <w:p>
      <w:pPr>
        <w:snapToGrid w:val="0"/>
        <w:spacing w:line="500" w:lineRule="exact"/>
        <w:ind w:firstLine="480" w:firstLineChars="200"/>
        <w:rPr>
          <w:rFonts w:ascii="仿宋" w:hAnsi="仿宋"/>
          <w:color w:val="auto"/>
          <w:sz w:val="24"/>
          <w:highlight w:val="none"/>
        </w:rPr>
      </w:pPr>
    </w:p>
    <w:p>
      <w:pPr>
        <w:snapToGrid w:val="0"/>
        <w:spacing w:line="500" w:lineRule="exact"/>
        <w:ind w:firstLine="5060" w:firstLineChars="2100"/>
        <w:rPr>
          <w:rFonts w:ascii="仿宋" w:hAnsi="Courier New" w:eastAsia="仿宋"/>
          <w:b/>
          <w:color w:val="auto"/>
          <w:sz w:val="24"/>
          <w:highlight w:val="none"/>
        </w:rPr>
      </w:pPr>
      <w:r>
        <w:rPr>
          <w:rFonts w:hint="eastAsia" w:ascii="仿宋" w:hAnsi="仿宋"/>
          <w:b/>
          <w:color w:val="auto"/>
          <w:sz w:val="24"/>
          <w:highlight w:val="none"/>
          <w:lang w:eastAsia="zh-CN"/>
        </w:rPr>
        <w:t>（</w:t>
      </w:r>
      <w:r>
        <w:rPr>
          <w:rFonts w:hint="eastAsia" w:ascii="仿宋" w:hAnsi="仿宋"/>
          <w:b/>
          <w:color w:val="auto"/>
          <w:sz w:val="24"/>
          <w:highlight w:val="none"/>
        </w:rPr>
        <w:t>供应商代表签名</w:t>
      </w:r>
      <w:r>
        <w:rPr>
          <w:rFonts w:hint="eastAsia" w:ascii="仿宋" w:hAnsi="仿宋"/>
          <w:b/>
          <w:color w:val="auto"/>
          <w:sz w:val="24"/>
          <w:highlight w:val="none"/>
          <w:lang w:val="en-US" w:eastAsia="zh-CN"/>
        </w:rPr>
        <w:t>或盖章）</w:t>
      </w:r>
      <w:r>
        <w:rPr>
          <w:rFonts w:hint="eastAsia" w:ascii="仿宋" w:hAnsi="仿宋"/>
          <w:b/>
          <w:color w:val="auto"/>
          <w:sz w:val="24"/>
          <w:highlight w:val="none"/>
        </w:rPr>
        <w:t>：</w:t>
      </w:r>
    </w:p>
    <w:p>
      <w:pPr>
        <w:ind w:firstLine="3840" w:firstLineChars="1600"/>
        <w:rPr>
          <w:rFonts w:ascii="仿宋" w:eastAsia="仿宋"/>
          <w:color w:val="auto"/>
          <w:sz w:val="24"/>
          <w:highlight w:val="none"/>
        </w:rPr>
      </w:pPr>
    </w:p>
    <w:p>
      <w:pPr>
        <w:ind w:firstLine="5880" w:firstLineChars="2450"/>
        <w:rPr>
          <w:rFonts w:ascii="仿宋" w:hAnsi="仿宋"/>
          <w:color w:val="auto"/>
          <w:sz w:val="24"/>
          <w:highlight w:val="none"/>
        </w:rPr>
      </w:pPr>
      <w:r>
        <w:rPr>
          <w:rFonts w:hint="eastAsia" w:ascii="仿宋" w:hAnsi="仿宋"/>
          <w:color w:val="auto"/>
          <w:sz w:val="24"/>
          <w:highlight w:val="none"/>
        </w:rPr>
        <w:t>年</w:t>
      </w:r>
      <w:r>
        <w:rPr>
          <w:rFonts w:ascii="仿宋" w:hAnsi="仿宋"/>
          <w:color w:val="auto"/>
          <w:sz w:val="24"/>
          <w:highlight w:val="none"/>
        </w:rPr>
        <w:t xml:space="preserve">  </w:t>
      </w:r>
      <w:r>
        <w:rPr>
          <w:rFonts w:hint="eastAsia" w:ascii="仿宋" w:hAnsi="仿宋"/>
          <w:color w:val="auto"/>
          <w:sz w:val="24"/>
          <w:highlight w:val="none"/>
        </w:rPr>
        <w:t>月</w:t>
      </w:r>
      <w:r>
        <w:rPr>
          <w:rFonts w:ascii="仿宋" w:hAnsi="仿宋"/>
          <w:color w:val="auto"/>
          <w:sz w:val="24"/>
          <w:highlight w:val="none"/>
        </w:rPr>
        <w:t xml:space="preserve">   </w:t>
      </w:r>
      <w:r>
        <w:rPr>
          <w:rFonts w:hint="eastAsia" w:ascii="仿宋" w:hAnsi="仿宋"/>
          <w:color w:val="auto"/>
          <w:sz w:val="24"/>
          <w:highlight w:val="none"/>
        </w:rPr>
        <w:t>日</w:t>
      </w:r>
    </w:p>
    <w:sectPr>
      <w:footerReference r:id="rId7" w:type="default"/>
      <w:footerReference r:id="rId8" w:type="even"/>
      <w:pgSz w:w="11906" w:h="16838"/>
      <w:pgMar w:top="1021" w:right="1588" w:bottom="851" w:left="1588" w:header="567" w:footer="454"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HelveticaNeueLT Std Lt">
    <w:altName w:val="新宋体"/>
    <w:panose1 w:val="00000000000000000000"/>
    <w:charset w:val="00"/>
    <w:family w:val="auto"/>
    <w:pitch w:val="default"/>
    <w:sig w:usb0="00000000" w:usb1="00000000" w:usb2="0000001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00"/>
    <w:family w:val="modern"/>
    <w:pitch w:val="default"/>
    <w:sig w:usb0="00000000" w:usb1="00000000" w:usb2="00000010" w:usb3="00000000" w:csb0="00040000" w:csb1="00000000"/>
  </w:font>
  <w:font w:name="EtGsHeiBold">
    <w:altName w:val="黑体"/>
    <w:panose1 w:val="00000000000000000000"/>
    <w:charset w:val="00"/>
    <w:family w:val="auto"/>
    <w:pitch w:val="default"/>
    <w:sig w:usb0="00000000" w:usb1="00000000" w:usb2="00000010" w:usb3="00000000" w:csb0="00040000" w:csb1="00000000"/>
  </w:font>
  <w:font w:name="Swis721 Lt BT">
    <w:altName w:val="Yu Gothic UI Semilight"/>
    <w:panose1 w:val="020B0403020202020204"/>
    <w:charset w:val="00"/>
    <w:family w:val="swiss"/>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长城仿宋">
    <w:altName w:val="黑体"/>
    <w:panose1 w:val="00000000000000000000"/>
    <w:charset w:val="00"/>
    <w:family w:val="modern"/>
    <w:pitch w:val="default"/>
    <w:sig w:usb0="00000000" w:usb1="00000000" w:usb2="00000010" w:usb3="00000000" w:csb0="00040000" w:csb1="00000000"/>
  </w:font>
  <w:font w:name="Garamond">
    <w:altName w:val="PMingLiU-ExtB"/>
    <w:panose1 w:val="02020502050306020203"/>
    <w:charset w:val="00"/>
    <w:family w:val="roman"/>
    <w:pitch w:val="default"/>
    <w:sig w:usb0="00000000" w:usb1="00000000" w:usb2="00000000" w:usb3="00000000" w:csb0="00000000" w:csb1="00000000"/>
  </w:font>
  <w:font w:name="昆仑仿宋">
    <w:altName w:val="黑体"/>
    <w:panose1 w:val="00000000000000000000"/>
    <w:charset w:val="00"/>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创艺简标宋">
    <w:altName w:val="黑体"/>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rFonts w:hint="eastAsia" w:eastAsia="黑体"/>
        <w:lang w:val="en-US" w:eastAsia="zh-CN"/>
      </w:rPr>
    </w:pP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rFonts w:hint="eastAsia" w:eastAsia="黑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separate"/>
    </w:r>
    <w:r>
      <w:rPr>
        <w:rStyle w:val="55"/>
      </w:rPr>
      <w:t>53</w:t>
    </w:r>
    <w:r>
      <w:fldChar w:fldCharType="end"/>
    </w:r>
  </w:p>
  <w:p>
    <w:pPr>
      <w:pStyle w:val="3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BD3C7"/>
    <w:multiLevelType w:val="singleLevel"/>
    <w:tmpl w:val="BF9BD3C7"/>
    <w:lvl w:ilvl="0" w:tentative="0">
      <w:start w:val="11"/>
      <w:numFmt w:val="decimal"/>
      <w:lvlText w:val="%1."/>
      <w:lvlJc w:val="left"/>
      <w:pPr>
        <w:tabs>
          <w:tab w:val="left" w:pos="312"/>
        </w:tabs>
      </w:pPr>
    </w:lvl>
  </w:abstractNum>
  <w:abstractNum w:abstractNumId="1">
    <w:nsid w:val="E0AC6443"/>
    <w:multiLevelType w:val="singleLevel"/>
    <w:tmpl w:val="E0AC6443"/>
    <w:lvl w:ilvl="0" w:tentative="0">
      <w:start w:val="1"/>
      <w:numFmt w:val="decimal"/>
      <w:lvlText w:val="%1."/>
      <w:lvlJc w:val="left"/>
      <w:pPr>
        <w:tabs>
          <w:tab w:val="left" w:pos="312"/>
        </w:tabs>
      </w:pPr>
    </w:lvl>
  </w:abstractNum>
  <w:abstractNum w:abstractNumId="2">
    <w:nsid w:val="E0B4B569"/>
    <w:multiLevelType w:val="singleLevel"/>
    <w:tmpl w:val="E0B4B569"/>
    <w:lvl w:ilvl="0" w:tentative="0">
      <w:start w:val="3"/>
      <w:numFmt w:val="decimal"/>
      <w:suff w:val="nothing"/>
      <w:lvlText w:val="（%1）"/>
      <w:lvlJc w:val="left"/>
    </w:lvl>
  </w:abstractNum>
  <w:abstractNum w:abstractNumId="3">
    <w:nsid w:val="FFFFFFFE"/>
    <w:multiLevelType w:val="singleLevel"/>
    <w:tmpl w:val="FFFFFFFE"/>
    <w:lvl w:ilvl="0" w:tentative="0">
      <w:start w:val="0"/>
      <w:numFmt w:val="bullet"/>
      <w:lvlText w:val="*"/>
      <w:lvlJc w:val="left"/>
    </w:lvl>
  </w:abstractNum>
  <w:abstractNum w:abstractNumId="4">
    <w:nsid w:val="00000003"/>
    <w:multiLevelType w:val="multilevel"/>
    <w:tmpl w:val="00000003"/>
    <w:lvl w:ilvl="0" w:tentative="0">
      <w:start w:val="1"/>
      <w:numFmt w:val="bullet"/>
      <w:pStyle w:val="280"/>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1D92129"/>
    <w:multiLevelType w:val="multilevel"/>
    <w:tmpl w:val="01D92129"/>
    <w:lvl w:ilvl="0" w:tentative="0">
      <w:start w:val="1"/>
      <w:numFmt w:val="bullet"/>
      <w:pStyle w:val="312"/>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241567B2"/>
    <w:multiLevelType w:val="multilevel"/>
    <w:tmpl w:val="241567B2"/>
    <w:lvl w:ilvl="0" w:tentative="0">
      <w:start w:val="1"/>
      <w:numFmt w:val="decimal"/>
      <w:pStyle w:val="6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58C28C62"/>
    <w:multiLevelType w:val="singleLevel"/>
    <w:tmpl w:val="58C28C62"/>
    <w:lvl w:ilvl="0" w:tentative="0">
      <w:start w:val="1"/>
      <w:numFmt w:val="decimal"/>
      <w:suff w:val="nothing"/>
      <w:lvlText w:val="（%1）"/>
      <w:lvlJc w:val="left"/>
      <w:rPr>
        <w:rFonts w:cs="Times New Roman"/>
      </w:rPr>
    </w:lvl>
  </w:abstractNum>
  <w:abstractNum w:abstractNumId="8">
    <w:nsid w:val="59BF3C4E"/>
    <w:multiLevelType w:val="singleLevel"/>
    <w:tmpl w:val="59BF3C4E"/>
    <w:lvl w:ilvl="0" w:tentative="0">
      <w:start w:val="8"/>
      <w:numFmt w:val="decimal"/>
      <w:suff w:val="space"/>
      <w:lvlText w:val="%1."/>
      <w:lvlJc w:val="left"/>
      <w:rPr>
        <w:rFonts w:cs="Times New Roman"/>
      </w:rPr>
    </w:lvl>
  </w:abstractNum>
  <w:num w:numId="1">
    <w:abstractNumId w:val="6"/>
  </w:num>
  <w:num w:numId="2">
    <w:abstractNumId w:val="4"/>
  </w:num>
  <w:num w:numId="3">
    <w:abstractNumId w:val="3"/>
    <w:lvlOverride w:ilvl="0">
      <w:lvl w:ilvl="0" w:tentative="1">
        <w:start w:val="0"/>
        <w:numFmt w:val="bullet"/>
        <w:pStyle w:val="308"/>
        <w:lvlText w:val=""/>
        <w:legacy w:legacy="1" w:legacySpace="0" w:legacyIndent="360"/>
        <w:lvlJc w:val="left"/>
        <w:rPr>
          <w:rFonts w:hint="default" w:ascii="Symbol" w:hAnsi="Symbol"/>
        </w:rPr>
      </w:lvl>
    </w:lvlOverride>
  </w:num>
  <w:num w:numId="4">
    <w:abstractNumId w:val="5"/>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4YTY0MWRhNDNmODU0ZGZjZmQwNWM1OWI4YzljZDEifQ=="/>
    <w:docVar w:name="KSO_WPS_MARK_KEY" w:val="7c619533-9755-4c3d-88d8-a3f610af3712"/>
  </w:docVars>
  <w:rsids>
    <w:rsidRoot w:val="000008D7"/>
    <w:rsid w:val="000000D7"/>
    <w:rsid w:val="000008D7"/>
    <w:rsid w:val="00000982"/>
    <w:rsid w:val="00001E7D"/>
    <w:rsid w:val="00002483"/>
    <w:rsid w:val="00002485"/>
    <w:rsid w:val="00002CF8"/>
    <w:rsid w:val="000032CA"/>
    <w:rsid w:val="00003E16"/>
    <w:rsid w:val="00004E71"/>
    <w:rsid w:val="00005CFF"/>
    <w:rsid w:val="0001070D"/>
    <w:rsid w:val="0001174B"/>
    <w:rsid w:val="00011CD2"/>
    <w:rsid w:val="00013773"/>
    <w:rsid w:val="00014DDC"/>
    <w:rsid w:val="00015C24"/>
    <w:rsid w:val="0001630F"/>
    <w:rsid w:val="00020CE7"/>
    <w:rsid w:val="00021495"/>
    <w:rsid w:val="00021A2B"/>
    <w:rsid w:val="00021D2B"/>
    <w:rsid w:val="00022148"/>
    <w:rsid w:val="00024130"/>
    <w:rsid w:val="000247A9"/>
    <w:rsid w:val="0002495D"/>
    <w:rsid w:val="00025397"/>
    <w:rsid w:val="000260AE"/>
    <w:rsid w:val="000260BE"/>
    <w:rsid w:val="00030FFB"/>
    <w:rsid w:val="00031A8C"/>
    <w:rsid w:val="0003234E"/>
    <w:rsid w:val="00032882"/>
    <w:rsid w:val="00033366"/>
    <w:rsid w:val="000349CC"/>
    <w:rsid w:val="00034DF7"/>
    <w:rsid w:val="00035249"/>
    <w:rsid w:val="00035E6B"/>
    <w:rsid w:val="00036E4C"/>
    <w:rsid w:val="000405F2"/>
    <w:rsid w:val="000408BF"/>
    <w:rsid w:val="0004133E"/>
    <w:rsid w:val="00042B0A"/>
    <w:rsid w:val="00042D09"/>
    <w:rsid w:val="0004358C"/>
    <w:rsid w:val="000443E9"/>
    <w:rsid w:val="00044E24"/>
    <w:rsid w:val="0004562C"/>
    <w:rsid w:val="00046410"/>
    <w:rsid w:val="000506AD"/>
    <w:rsid w:val="000524DA"/>
    <w:rsid w:val="00055EB7"/>
    <w:rsid w:val="00055F54"/>
    <w:rsid w:val="00056416"/>
    <w:rsid w:val="000564F0"/>
    <w:rsid w:val="000613FD"/>
    <w:rsid w:val="000619E3"/>
    <w:rsid w:val="00062503"/>
    <w:rsid w:val="00062B2D"/>
    <w:rsid w:val="000642EB"/>
    <w:rsid w:val="00064497"/>
    <w:rsid w:val="00064A5C"/>
    <w:rsid w:val="00066906"/>
    <w:rsid w:val="00066AE1"/>
    <w:rsid w:val="00067108"/>
    <w:rsid w:val="00067CD6"/>
    <w:rsid w:val="00071CD8"/>
    <w:rsid w:val="00071FDA"/>
    <w:rsid w:val="00072A89"/>
    <w:rsid w:val="000730FF"/>
    <w:rsid w:val="00073448"/>
    <w:rsid w:val="0007482A"/>
    <w:rsid w:val="00074D67"/>
    <w:rsid w:val="0007562E"/>
    <w:rsid w:val="0007575E"/>
    <w:rsid w:val="000772F2"/>
    <w:rsid w:val="00080FC2"/>
    <w:rsid w:val="00081E5C"/>
    <w:rsid w:val="00082938"/>
    <w:rsid w:val="00082E88"/>
    <w:rsid w:val="000833F6"/>
    <w:rsid w:val="000836A6"/>
    <w:rsid w:val="00084C3F"/>
    <w:rsid w:val="00085C05"/>
    <w:rsid w:val="000862C5"/>
    <w:rsid w:val="00087E16"/>
    <w:rsid w:val="00090AB3"/>
    <w:rsid w:val="0009159F"/>
    <w:rsid w:val="000917D7"/>
    <w:rsid w:val="00091CF5"/>
    <w:rsid w:val="000926D9"/>
    <w:rsid w:val="000930D4"/>
    <w:rsid w:val="000931AF"/>
    <w:rsid w:val="000933E2"/>
    <w:rsid w:val="0009341D"/>
    <w:rsid w:val="0009375E"/>
    <w:rsid w:val="00094A6B"/>
    <w:rsid w:val="0009696A"/>
    <w:rsid w:val="000977A8"/>
    <w:rsid w:val="00097A26"/>
    <w:rsid w:val="00097DA6"/>
    <w:rsid w:val="000A0F94"/>
    <w:rsid w:val="000A1780"/>
    <w:rsid w:val="000A2141"/>
    <w:rsid w:val="000A30AE"/>
    <w:rsid w:val="000A4402"/>
    <w:rsid w:val="000A47A9"/>
    <w:rsid w:val="000A4A91"/>
    <w:rsid w:val="000A6163"/>
    <w:rsid w:val="000A7509"/>
    <w:rsid w:val="000A7940"/>
    <w:rsid w:val="000B0C94"/>
    <w:rsid w:val="000B14E8"/>
    <w:rsid w:val="000B1ACE"/>
    <w:rsid w:val="000B366B"/>
    <w:rsid w:val="000B3F38"/>
    <w:rsid w:val="000B490E"/>
    <w:rsid w:val="000B515B"/>
    <w:rsid w:val="000B6D7C"/>
    <w:rsid w:val="000C1211"/>
    <w:rsid w:val="000C14A3"/>
    <w:rsid w:val="000C372B"/>
    <w:rsid w:val="000C467E"/>
    <w:rsid w:val="000C5D92"/>
    <w:rsid w:val="000C6F27"/>
    <w:rsid w:val="000C7CE3"/>
    <w:rsid w:val="000D13FC"/>
    <w:rsid w:val="000D2F5F"/>
    <w:rsid w:val="000D3740"/>
    <w:rsid w:val="000D4F44"/>
    <w:rsid w:val="000D5B51"/>
    <w:rsid w:val="000D6F06"/>
    <w:rsid w:val="000D7912"/>
    <w:rsid w:val="000D7B12"/>
    <w:rsid w:val="000E083E"/>
    <w:rsid w:val="000E4506"/>
    <w:rsid w:val="000E57C9"/>
    <w:rsid w:val="000E7566"/>
    <w:rsid w:val="000F15B9"/>
    <w:rsid w:val="000F1697"/>
    <w:rsid w:val="000F1A29"/>
    <w:rsid w:val="000F1A7E"/>
    <w:rsid w:val="000F1AAD"/>
    <w:rsid w:val="000F27C0"/>
    <w:rsid w:val="000F3CF8"/>
    <w:rsid w:val="000F4804"/>
    <w:rsid w:val="000F49E3"/>
    <w:rsid w:val="000F6C7C"/>
    <w:rsid w:val="000F6E11"/>
    <w:rsid w:val="0010004F"/>
    <w:rsid w:val="00101512"/>
    <w:rsid w:val="00101ECD"/>
    <w:rsid w:val="00102B24"/>
    <w:rsid w:val="00104CD7"/>
    <w:rsid w:val="001061BD"/>
    <w:rsid w:val="0010729C"/>
    <w:rsid w:val="00107348"/>
    <w:rsid w:val="001075D4"/>
    <w:rsid w:val="00107922"/>
    <w:rsid w:val="00113068"/>
    <w:rsid w:val="0011387A"/>
    <w:rsid w:val="0011484D"/>
    <w:rsid w:val="0011500F"/>
    <w:rsid w:val="00115C8D"/>
    <w:rsid w:val="00115DE0"/>
    <w:rsid w:val="0012002A"/>
    <w:rsid w:val="001211AF"/>
    <w:rsid w:val="00122650"/>
    <w:rsid w:val="00123304"/>
    <w:rsid w:val="00123553"/>
    <w:rsid w:val="00123691"/>
    <w:rsid w:val="0012453C"/>
    <w:rsid w:val="001247D7"/>
    <w:rsid w:val="00124E16"/>
    <w:rsid w:val="00125469"/>
    <w:rsid w:val="001272E8"/>
    <w:rsid w:val="00127C0B"/>
    <w:rsid w:val="001313B7"/>
    <w:rsid w:val="001323AE"/>
    <w:rsid w:val="00132406"/>
    <w:rsid w:val="0013312D"/>
    <w:rsid w:val="0013579A"/>
    <w:rsid w:val="00135814"/>
    <w:rsid w:val="0013719D"/>
    <w:rsid w:val="001372FD"/>
    <w:rsid w:val="001402E8"/>
    <w:rsid w:val="001404F9"/>
    <w:rsid w:val="00141CF1"/>
    <w:rsid w:val="00143217"/>
    <w:rsid w:val="001442E6"/>
    <w:rsid w:val="00144BC0"/>
    <w:rsid w:val="00144CF4"/>
    <w:rsid w:val="0014558F"/>
    <w:rsid w:val="00145B44"/>
    <w:rsid w:val="001463CF"/>
    <w:rsid w:val="00146D99"/>
    <w:rsid w:val="00150B67"/>
    <w:rsid w:val="001515C9"/>
    <w:rsid w:val="001540FF"/>
    <w:rsid w:val="00154E8A"/>
    <w:rsid w:val="001557F9"/>
    <w:rsid w:val="0015589B"/>
    <w:rsid w:val="00155E87"/>
    <w:rsid w:val="00156693"/>
    <w:rsid w:val="0016040E"/>
    <w:rsid w:val="00160693"/>
    <w:rsid w:val="001612A1"/>
    <w:rsid w:val="0016160D"/>
    <w:rsid w:val="00161A17"/>
    <w:rsid w:val="00161FC4"/>
    <w:rsid w:val="001628F1"/>
    <w:rsid w:val="00162D1F"/>
    <w:rsid w:val="00163000"/>
    <w:rsid w:val="00164077"/>
    <w:rsid w:val="00164FE2"/>
    <w:rsid w:val="00165FBB"/>
    <w:rsid w:val="001709B8"/>
    <w:rsid w:val="00170E24"/>
    <w:rsid w:val="00171819"/>
    <w:rsid w:val="00171E5A"/>
    <w:rsid w:val="00172A4C"/>
    <w:rsid w:val="00174A28"/>
    <w:rsid w:val="00177D91"/>
    <w:rsid w:val="00177E86"/>
    <w:rsid w:val="001803B9"/>
    <w:rsid w:val="00180717"/>
    <w:rsid w:val="00180825"/>
    <w:rsid w:val="00180C98"/>
    <w:rsid w:val="00181048"/>
    <w:rsid w:val="00181673"/>
    <w:rsid w:val="0018231D"/>
    <w:rsid w:val="00183647"/>
    <w:rsid w:val="0018376B"/>
    <w:rsid w:val="001850AE"/>
    <w:rsid w:val="00185E47"/>
    <w:rsid w:val="001905B4"/>
    <w:rsid w:val="001912BB"/>
    <w:rsid w:val="0019157E"/>
    <w:rsid w:val="00191A95"/>
    <w:rsid w:val="00191B2D"/>
    <w:rsid w:val="00191D01"/>
    <w:rsid w:val="00191F85"/>
    <w:rsid w:val="00192082"/>
    <w:rsid w:val="00192AAB"/>
    <w:rsid w:val="00193193"/>
    <w:rsid w:val="0019594D"/>
    <w:rsid w:val="00197D59"/>
    <w:rsid w:val="001A040C"/>
    <w:rsid w:val="001A11A5"/>
    <w:rsid w:val="001A1FD5"/>
    <w:rsid w:val="001A2AA0"/>
    <w:rsid w:val="001A2C2D"/>
    <w:rsid w:val="001A3661"/>
    <w:rsid w:val="001A3DAC"/>
    <w:rsid w:val="001A5BBC"/>
    <w:rsid w:val="001A6303"/>
    <w:rsid w:val="001A6CC2"/>
    <w:rsid w:val="001A6F81"/>
    <w:rsid w:val="001B06A7"/>
    <w:rsid w:val="001B161F"/>
    <w:rsid w:val="001B27CC"/>
    <w:rsid w:val="001B2813"/>
    <w:rsid w:val="001B2AB2"/>
    <w:rsid w:val="001B3382"/>
    <w:rsid w:val="001B3E84"/>
    <w:rsid w:val="001B4D87"/>
    <w:rsid w:val="001B4EE8"/>
    <w:rsid w:val="001B5B5B"/>
    <w:rsid w:val="001B5C48"/>
    <w:rsid w:val="001B5F84"/>
    <w:rsid w:val="001B6656"/>
    <w:rsid w:val="001B6E16"/>
    <w:rsid w:val="001B723B"/>
    <w:rsid w:val="001B7BA8"/>
    <w:rsid w:val="001C2149"/>
    <w:rsid w:val="001C2997"/>
    <w:rsid w:val="001C4853"/>
    <w:rsid w:val="001C5E5D"/>
    <w:rsid w:val="001C5F4F"/>
    <w:rsid w:val="001C6086"/>
    <w:rsid w:val="001C69B0"/>
    <w:rsid w:val="001C6E88"/>
    <w:rsid w:val="001C710B"/>
    <w:rsid w:val="001D14D8"/>
    <w:rsid w:val="001D27ED"/>
    <w:rsid w:val="001D49BC"/>
    <w:rsid w:val="001D4BFE"/>
    <w:rsid w:val="001D5F4B"/>
    <w:rsid w:val="001D79CF"/>
    <w:rsid w:val="001D7D35"/>
    <w:rsid w:val="001E1151"/>
    <w:rsid w:val="001E127E"/>
    <w:rsid w:val="001E31D0"/>
    <w:rsid w:val="001E5205"/>
    <w:rsid w:val="001E5BEF"/>
    <w:rsid w:val="001E5E95"/>
    <w:rsid w:val="001E5F02"/>
    <w:rsid w:val="001E6332"/>
    <w:rsid w:val="001F2640"/>
    <w:rsid w:val="001F392B"/>
    <w:rsid w:val="001F3E92"/>
    <w:rsid w:val="001F6379"/>
    <w:rsid w:val="001F6544"/>
    <w:rsid w:val="00200040"/>
    <w:rsid w:val="0020035C"/>
    <w:rsid w:val="0020087F"/>
    <w:rsid w:val="00201789"/>
    <w:rsid w:val="00201C88"/>
    <w:rsid w:val="00202F5D"/>
    <w:rsid w:val="00203374"/>
    <w:rsid w:val="00203987"/>
    <w:rsid w:val="002048B3"/>
    <w:rsid w:val="00204D12"/>
    <w:rsid w:val="002051CF"/>
    <w:rsid w:val="00205E8B"/>
    <w:rsid w:val="00206BD1"/>
    <w:rsid w:val="002072D4"/>
    <w:rsid w:val="00210EA7"/>
    <w:rsid w:val="00211E99"/>
    <w:rsid w:val="00211EF5"/>
    <w:rsid w:val="00212D31"/>
    <w:rsid w:val="00213376"/>
    <w:rsid w:val="002140DF"/>
    <w:rsid w:val="002154C7"/>
    <w:rsid w:val="00216145"/>
    <w:rsid w:val="00216B81"/>
    <w:rsid w:val="00216CA5"/>
    <w:rsid w:val="0021773D"/>
    <w:rsid w:val="00222CC7"/>
    <w:rsid w:val="00223ACC"/>
    <w:rsid w:val="002245D9"/>
    <w:rsid w:val="00224AC6"/>
    <w:rsid w:val="00224EE2"/>
    <w:rsid w:val="00225423"/>
    <w:rsid w:val="00225F3C"/>
    <w:rsid w:val="00226696"/>
    <w:rsid w:val="002301C7"/>
    <w:rsid w:val="00230405"/>
    <w:rsid w:val="00231102"/>
    <w:rsid w:val="00231BE9"/>
    <w:rsid w:val="002328D1"/>
    <w:rsid w:val="00233290"/>
    <w:rsid w:val="0023377F"/>
    <w:rsid w:val="00233BCF"/>
    <w:rsid w:val="00234642"/>
    <w:rsid w:val="00234C51"/>
    <w:rsid w:val="00234DBC"/>
    <w:rsid w:val="0023522F"/>
    <w:rsid w:val="00236025"/>
    <w:rsid w:val="00237311"/>
    <w:rsid w:val="002404EB"/>
    <w:rsid w:val="002416B3"/>
    <w:rsid w:val="00241B26"/>
    <w:rsid w:val="002423EE"/>
    <w:rsid w:val="00242A14"/>
    <w:rsid w:val="0024350C"/>
    <w:rsid w:val="00243F54"/>
    <w:rsid w:val="0024470F"/>
    <w:rsid w:val="002447DE"/>
    <w:rsid w:val="00245FD3"/>
    <w:rsid w:val="0024795F"/>
    <w:rsid w:val="002502E5"/>
    <w:rsid w:val="00250F86"/>
    <w:rsid w:val="00251E02"/>
    <w:rsid w:val="002523A0"/>
    <w:rsid w:val="002530CF"/>
    <w:rsid w:val="0025580C"/>
    <w:rsid w:val="00255F0E"/>
    <w:rsid w:val="00257DAF"/>
    <w:rsid w:val="002609D9"/>
    <w:rsid w:val="00260B8A"/>
    <w:rsid w:val="00260C34"/>
    <w:rsid w:val="002610B7"/>
    <w:rsid w:val="0026223E"/>
    <w:rsid w:val="00262746"/>
    <w:rsid w:val="0026279E"/>
    <w:rsid w:val="002629B8"/>
    <w:rsid w:val="00262DF9"/>
    <w:rsid w:val="002637B7"/>
    <w:rsid w:val="002640F8"/>
    <w:rsid w:val="0026763D"/>
    <w:rsid w:val="00267E16"/>
    <w:rsid w:val="00267E1E"/>
    <w:rsid w:val="00267E23"/>
    <w:rsid w:val="002703F5"/>
    <w:rsid w:val="002704A0"/>
    <w:rsid w:val="00270A98"/>
    <w:rsid w:val="00270AF3"/>
    <w:rsid w:val="00271033"/>
    <w:rsid w:val="002728CF"/>
    <w:rsid w:val="00272AF6"/>
    <w:rsid w:val="002732F3"/>
    <w:rsid w:val="00274728"/>
    <w:rsid w:val="0027564C"/>
    <w:rsid w:val="00275BEC"/>
    <w:rsid w:val="00277F63"/>
    <w:rsid w:val="0028211A"/>
    <w:rsid w:val="00282B55"/>
    <w:rsid w:val="00286157"/>
    <w:rsid w:val="00287665"/>
    <w:rsid w:val="00287774"/>
    <w:rsid w:val="00287A4C"/>
    <w:rsid w:val="00287CB6"/>
    <w:rsid w:val="00290279"/>
    <w:rsid w:val="002917A2"/>
    <w:rsid w:val="0029195C"/>
    <w:rsid w:val="002919BB"/>
    <w:rsid w:val="002931D7"/>
    <w:rsid w:val="00293D18"/>
    <w:rsid w:val="00293E83"/>
    <w:rsid w:val="00294734"/>
    <w:rsid w:val="00294EF3"/>
    <w:rsid w:val="00295C67"/>
    <w:rsid w:val="00295FE4"/>
    <w:rsid w:val="0029727E"/>
    <w:rsid w:val="00297456"/>
    <w:rsid w:val="002974EF"/>
    <w:rsid w:val="002A058A"/>
    <w:rsid w:val="002A13A2"/>
    <w:rsid w:val="002A1E58"/>
    <w:rsid w:val="002A20AE"/>
    <w:rsid w:val="002A4208"/>
    <w:rsid w:val="002A42AF"/>
    <w:rsid w:val="002A5810"/>
    <w:rsid w:val="002A5A9C"/>
    <w:rsid w:val="002A6BEB"/>
    <w:rsid w:val="002A788D"/>
    <w:rsid w:val="002B1021"/>
    <w:rsid w:val="002B2205"/>
    <w:rsid w:val="002B28C1"/>
    <w:rsid w:val="002B2CE5"/>
    <w:rsid w:val="002B3DEC"/>
    <w:rsid w:val="002B3E63"/>
    <w:rsid w:val="002B4C13"/>
    <w:rsid w:val="002B4F74"/>
    <w:rsid w:val="002B51A0"/>
    <w:rsid w:val="002B7E49"/>
    <w:rsid w:val="002C1267"/>
    <w:rsid w:val="002C13D2"/>
    <w:rsid w:val="002C1617"/>
    <w:rsid w:val="002C17EB"/>
    <w:rsid w:val="002C1B06"/>
    <w:rsid w:val="002C225E"/>
    <w:rsid w:val="002C23F8"/>
    <w:rsid w:val="002C2458"/>
    <w:rsid w:val="002C2535"/>
    <w:rsid w:val="002C2981"/>
    <w:rsid w:val="002C3A42"/>
    <w:rsid w:val="002C4D33"/>
    <w:rsid w:val="002C58C1"/>
    <w:rsid w:val="002C672B"/>
    <w:rsid w:val="002C70A2"/>
    <w:rsid w:val="002C75C7"/>
    <w:rsid w:val="002C7E94"/>
    <w:rsid w:val="002D0460"/>
    <w:rsid w:val="002D0E9E"/>
    <w:rsid w:val="002D0EF1"/>
    <w:rsid w:val="002D30A1"/>
    <w:rsid w:val="002D32ED"/>
    <w:rsid w:val="002D3F3F"/>
    <w:rsid w:val="002D4FD4"/>
    <w:rsid w:val="002D64F0"/>
    <w:rsid w:val="002D6F88"/>
    <w:rsid w:val="002D7319"/>
    <w:rsid w:val="002D7A6C"/>
    <w:rsid w:val="002E0B99"/>
    <w:rsid w:val="002E1308"/>
    <w:rsid w:val="002E248E"/>
    <w:rsid w:val="002E2720"/>
    <w:rsid w:val="002E399F"/>
    <w:rsid w:val="002E693C"/>
    <w:rsid w:val="002E6A7B"/>
    <w:rsid w:val="002E778F"/>
    <w:rsid w:val="002E7FB0"/>
    <w:rsid w:val="002F0145"/>
    <w:rsid w:val="002F12EA"/>
    <w:rsid w:val="002F1A1A"/>
    <w:rsid w:val="002F1B2E"/>
    <w:rsid w:val="002F1D96"/>
    <w:rsid w:val="002F2FCB"/>
    <w:rsid w:val="002F3C06"/>
    <w:rsid w:val="002F5B07"/>
    <w:rsid w:val="002F6102"/>
    <w:rsid w:val="002F634E"/>
    <w:rsid w:val="002F675E"/>
    <w:rsid w:val="002F6E85"/>
    <w:rsid w:val="002F76A9"/>
    <w:rsid w:val="002F7B52"/>
    <w:rsid w:val="002F7C39"/>
    <w:rsid w:val="00300A2B"/>
    <w:rsid w:val="0030519A"/>
    <w:rsid w:val="003053BE"/>
    <w:rsid w:val="00305F20"/>
    <w:rsid w:val="003061DD"/>
    <w:rsid w:val="003067E9"/>
    <w:rsid w:val="00306E05"/>
    <w:rsid w:val="0031140F"/>
    <w:rsid w:val="00312670"/>
    <w:rsid w:val="0031288E"/>
    <w:rsid w:val="00312D66"/>
    <w:rsid w:val="003133DD"/>
    <w:rsid w:val="00313F64"/>
    <w:rsid w:val="003157A7"/>
    <w:rsid w:val="00315F21"/>
    <w:rsid w:val="00316299"/>
    <w:rsid w:val="00316E19"/>
    <w:rsid w:val="00316FEF"/>
    <w:rsid w:val="00317517"/>
    <w:rsid w:val="003178CC"/>
    <w:rsid w:val="00321869"/>
    <w:rsid w:val="00324063"/>
    <w:rsid w:val="00324DA4"/>
    <w:rsid w:val="00327650"/>
    <w:rsid w:val="003316EC"/>
    <w:rsid w:val="00331D49"/>
    <w:rsid w:val="00331F9B"/>
    <w:rsid w:val="00334654"/>
    <w:rsid w:val="003351C3"/>
    <w:rsid w:val="0034180D"/>
    <w:rsid w:val="0034357F"/>
    <w:rsid w:val="00343B5A"/>
    <w:rsid w:val="00346144"/>
    <w:rsid w:val="00346CD0"/>
    <w:rsid w:val="00347F44"/>
    <w:rsid w:val="00350764"/>
    <w:rsid w:val="00350821"/>
    <w:rsid w:val="003508EA"/>
    <w:rsid w:val="00350E12"/>
    <w:rsid w:val="00351E50"/>
    <w:rsid w:val="0035289E"/>
    <w:rsid w:val="00352CB2"/>
    <w:rsid w:val="00352E15"/>
    <w:rsid w:val="00352EF4"/>
    <w:rsid w:val="003530A6"/>
    <w:rsid w:val="003534A3"/>
    <w:rsid w:val="003539F3"/>
    <w:rsid w:val="00354704"/>
    <w:rsid w:val="003563EF"/>
    <w:rsid w:val="00356B37"/>
    <w:rsid w:val="00357199"/>
    <w:rsid w:val="00360FC3"/>
    <w:rsid w:val="00362BDE"/>
    <w:rsid w:val="0036342C"/>
    <w:rsid w:val="00363630"/>
    <w:rsid w:val="00363A6F"/>
    <w:rsid w:val="0036408B"/>
    <w:rsid w:val="00364BD6"/>
    <w:rsid w:val="00365026"/>
    <w:rsid w:val="003650AB"/>
    <w:rsid w:val="00365F00"/>
    <w:rsid w:val="0036669A"/>
    <w:rsid w:val="00367076"/>
    <w:rsid w:val="00367823"/>
    <w:rsid w:val="003679A6"/>
    <w:rsid w:val="00371097"/>
    <w:rsid w:val="003720F9"/>
    <w:rsid w:val="0037222D"/>
    <w:rsid w:val="003722B7"/>
    <w:rsid w:val="0037269D"/>
    <w:rsid w:val="003740FF"/>
    <w:rsid w:val="00375E4B"/>
    <w:rsid w:val="00376A08"/>
    <w:rsid w:val="00381AEA"/>
    <w:rsid w:val="00382054"/>
    <w:rsid w:val="00382960"/>
    <w:rsid w:val="00382CFD"/>
    <w:rsid w:val="00383812"/>
    <w:rsid w:val="003844F9"/>
    <w:rsid w:val="0038467A"/>
    <w:rsid w:val="00387FE6"/>
    <w:rsid w:val="003907BF"/>
    <w:rsid w:val="00390F53"/>
    <w:rsid w:val="003929B0"/>
    <w:rsid w:val="0039334B"/>
    <w:rsid w:val="00397FEA"/>
    <w:rsid w:val="003A16DC"/>
    <w:rsid w:val="003A4BDD"/>
    <w:rsid w:val="003A5A64"/>
    <w:rsid w:val="003B00AB"/>
    <w:rsid w:val="003B019E"/>
    <w:rsid w:val="003B0824"/>
    <w:rsid w:val="003B2154"/>
    <w:rsid w:val="003B6A1C"/>
    <w:rsid w:val="003B7350"/>
    <w:rsid w:val="003C4BD9"/>
    <w:rsid w:val="003C5346"/>
    <w:rsid w:val="003D0193"/>
    <w:rsid w:val="003D03F0"/>
    <w:rsid w:val="003D09B1"/>
    <w:rsid w:val="003D0A44"/>
    <w:rsid w:val="003D1FC7"/>
    <w:rsid w:val="003D2E31"/>
    <w:rsid w:val="003D3178"/>
    <w:rsid w:val="003D5F19"/>
    <w:rsid w:val="003D6A6D"/>
    <w:rsid w:val="003D74D0"/>
    <w:rsid w:val="003D7D78"/>
    <w:rsid w:val="003E13E7"/>
    <w:rsid w:val="003E187C"/>
    <w:rsid w:val="003E24A2"/>
    <w:rsid w:val="003E34ED"/>
    <w:rsid w:val="003E3D48"/>
    <w:rsid w:val="003E4B16"/>
    <w:rsid w:val="003E5158"/>
    <w:rsid w:val="003E5AAB"/>
    <w:rsid w:val="003E5B49"/>
    <w:rsid w:val="003E7E4F"/>
    <w:rsid w:val="003F007C"/>
    <w:rsid w:val="003F1D9D"/>
    <w:rsid w:val="003F3313"/>
    <w:rsid w:val="003F369B"/>
    <w:rsid w:val="003F45D5"/>
    <w:rsid w:val="003F4FB8"/>
    <w:rsid w:val="003F6F79"/>
    <w:rsid w:val="003F7193"/>
    <w:rsid w:val="003F78B3"/>
    <w:rsid w:val="004001FA"/>
    <w:rsid w:val="00401FB7"/>
    <w:rsid w:val="00403482"/>
    <w:rsid w:val="0040384F"/>
    <w:rsid w:val="00403AEF"/>
    <w:rsid w:val="00404961"/>
    <w:rsid w:val="00404DAC"/>
    <w:rsid w:val="00405AB3"/>
    <w:rsid w:val="00405E3D"/>
    <w:rsid w:val="00406A0F"/>
    <w:rsid w:val="00406F2B"/>
    <w:rsid w:val="00407644"/>
    <w:rsid w:val="00407E5D"/>
    <w:rsid w:val="00411C92"/>
    <w:rsid w:val="00412585"/>
    <w:rsid w:val="00412EC9"/>
    <w:rsid w:val="00413971"/>
    <w:rsid w:val="0041511D"/>
    <w:rsid w:val="0041683B"/>
    <w:rsid w:val="00417561"/>
    <w:rsid w:val="00420682"/>
    <w:rsid w:val="00421D9C"/>
    <w:rsid w:val="00422546"/>
    <w:rsid w:val="004225FB"/>
    <w:rsid w:val="00422F36"/>
    <w:rsid w:val="00423C9E"/>
    <w:rsid w:val="0042526A"/>
    <w:rsid w:val="004258F5"/>
    <w:rsid w:val="00425EFE"/>
    <w:rsid w:val="00426CD5"/>
    <w:rsid w:val="00427253"/>
    <w:rsid w:val="00427DCB"/>
    <w:rsid w:val="00430C56"/>
    <w:rsid w:val="004311C4"/>
    <w:rsid w:val="00433C4B"/>
    <w:rsid w:val="00434468"/>
    <w:rsid w:val="004347A9"/>
    <w:rsid w:val="00434A1C"/>
    <w:rsid w:val="00435307"/>
    <w:rsid w:val="0043590F"/>
    <w:rsid w:val="00436794"/>
    <w:rsid w:val="00436FAE"/>
    <w:rsid w:val="00437DC0"/>
    <w:rsid w:val="00442284"/>
    <w:rsid w:val="004433EB"/>
    <w:rsid w:val="00443C56"/>
    <w:rsid w:val="004444DD"/>
    <w:rsid w:val="00444F8D"/>
    <w:rsid w:val="004453B2"/>
    <w:rsid w:val="00447856"/>
    <w:rsid w:val="00450403"/>
    <w:rsid w:val="004506DD"/>
    <w:rsid w:val="00450DBF"/>
    <w:rsid w:val="0045107F"/>
    <w:rsid w:val="004536F2"/>
    <w:rsid w:val="00454065"/>
    <w:rsid w:val="004540F2"/>
    <w:rsid w:val="004541D1"/>
    <w:rsid w:val="00454A07"/>
    <w:rsid w:val="00455AC8"/>
    <w:rsid w:val="00457621"/>
    <w:rsid w:val="00460D41"/>
    <w:rsid w:val="00461E0C"/>
    <w:rsid w:val="00462163"/>
    <w:rsid w:val="00462530"/>
    <w:rsid w:val="00462AB2"/>
    <w:rsid w:val="00462FF8"/>
    <w:rsid w:val="00463AF0"/>
    <w:rsid w:val="004644B7"/>
    <w:rsid w:val="00464715"/>
    <w:rsid w:val="004652CA"/>
    <w:rsid w:val="004710C1"/>
    <w:rsid w:val="0047123A"/>
    <w:rsid w:val="00471EB1"/>
    <w:rsid w:val="00473D2C"/>
    <w:rsid w:val="00474A3A"/>
    <w:rsid w:val="00475589"/>
    <w:rsid w:val="00475EB4"/>
    <w:rsid w:val="0047671F"/>
    <w:rsid w:val="00477D1D"/>
    <w:rsid w:val="004825B4"/>
    <w:rsid w:val="004827BA"/>
    <w:rsid w:val="00482A84"/>
    <w:rsid w:val="00483C67"/>
    <w:rsid w:val="004855F0"/>
    <w:rsid w:val="00486498"/>
    <w:rsid w:val="004864AB"/>
    <w:rsid w:val="004869F7"/>
    <w:rsid w:val="0048709E"/>
    <w:rsid w:val="00490125"/>
    <w:rsid w:val="00490F0C"/>
    <w:rsid w:val="00490FEB"/>
    <w:rsid w:val="00491A29"/>
    <w:rsid w:val="00492EE9"/>
    <w:rsid w:val="00493030"/>
    <w:rsid w:val="004948B7"/>
    <w:rsid w:val="00494D2A"/>
    <w:rsid w:val="00496B00"/>
    <w:rsid w:val="00497111"/>
    <w:rsid w:val="0049728A"/>
    <w:rsid w:val="00497453"/>
    <w:rsid w:val="00497BFB"/>
    <w:rsid w:val="00497EDD"/>
    <w:rsid w:val="004A2107"/>
    <w:rsid w:val="004A2E19"/>
    <w:rsid w:val="004A496A"/>
    <w:rsid w:val="004A4991"/>
    <w:rsid w:val="004A4B1D"/>
    <w:rsid w:val="004A59BD"/>
    <w:rsid w:val="004A6419"/>
    <w:rsid w:val="004A7021"/>
    <w:rsid w:val="004A77AC"/>
    <w:rsid w:val="004A77E7"/>
    <w:rsid w:val="004B2058"/>
    <w:rsid w:val="004B2F9A"/>
    <w:rsid w:val="004B4A58"/>
    <w:rsid w:val="004B531D"/>
    <w:rsid w:val="004B5C45"/>
    <w:rsid w:val="004B6169"/>
    <w:rsid w:val="004B684D"/>
    <w:rsid w:val="004B6D98"/>
    <w:rsid w:val="004B724F"/>
    <w:rsid w:val="004B785E"/>
    <w:rsid w:val="004C06E3"/>
    <w:rsid w:val="004C0908"/>
    <w:rsid w:val="004C2271"/>
    <w:rsid w:val="004C30B4"/>
    <w:rsid w:val="004C3515"/>
    <w:rsid w:val="004C4467"/>
    <w:rsid w:val="004C45FD"/>
    <w:rsid w:val="004C58A2"/>
    <w:rsid w:val="004C60E5"/>
    <w:rsid w:val="004C6978"/>
    <w:rsid w:val="004D0667"/>
    <w:rsid w:val="004D0FED"/>
    <w:rsid w:val="004D1268"/>
    <w:rsid w:val="004D12A0"/>
    <w:rsid w:val="004D2A7E"/>
    <w:rsid w:val="004D3129"/>
    <w:rsid w:val="004D3359"/>
    <w:rsid w:val="004D3E25"/>
    <w:rsid w:val="004D4305"/>
    <w:rsid w:val="004D5406"/>
    <w:rsid w:val="004D5425"/>
    <w:rsid w:val="004D6017"/>
    <w:rsid w:val="004D78B1"/>
    <w:rsid w:val="004D7D94"/>
    <w:rsid w:val="004E0799"/>
    <w:rsid w:val="004E0989"/>
    <w:rsid w:val="004E0B76"/>
    <w:rsid w:val="004E19D3"/>
    <w:rsid w:val="004E2595"/>
    <w:rsid w:val="004E269A"/>
    <w:rsid w:val="004E2936"/>
    <w:rsid w:val="004E372B"/>
    <w:rsid w:val="004E3A76"/>
    <w:rsid w:val="004E3B99"/>
    <w:rsid w:val="004E421B"/>
    <w:rsid w:val="004E4C91"/>
    <w:rsid w:val="004E5C31"/>
    <w:rsid w:val="004E64F8"/>
    <w:rsid w:val="004E6F43"/>
    <w:rsid w:val="004F23B7"/>
    <w:rsid w:val="004F3681"/>
    <w:rsid w:val="004F36DD"/>
    <w:rsid w:val="004F3858"/>
    <w:rsid w:val="004F5653"/>
    <w:rsid w:val="004F5F8A"/>
    <w:rsid w:val="004F692E"/>
    <w:rsid w:val="004F7AAF"/>
    <w:rsid w:val="0050047C"/>
    <w:rsid w:val="005004E5"/>
    <w:rsid w:val="005012EC"/>
    <w:rsid w:val="005017C1"/>
    <w:rsid w:val="0050194A"/>
    <w:rsid w:val="00502075"/>
    <w:rsid w:val="005032B7"/>
    <w:rsid w:val="00503A6E"/>
    <w:rsid w:val="005042E3"/>
    <w:rsid w:val="00504E50"/>
    <w:rsid w:val="005059FC"/>
    <w:rsid w:val="005122FD"/>
    <w:rsid w:val="005139EC"/>
    <w:rsid w:val="0051671C"/>
    <w:rsid w:val="0051779C"/>
    <w:rsid w:val="00517BEE"/>
    <w:rsid w:val="00520569"/>
    <w:rsid w:val="005224B8"/>
    <w:rsid w:val="00522816"/>
    <w:rsid w:val="005243E7"/>
    <w:rsid w:val="00524AEE"/>
    <w:rsid w:val="00524F8C"/>
    <w:rsid w:val="0053193A"/>
    <w:rsid w:val="00531BA8"/>
    <w:rsid w:val="00531C72"/>
    <w:rsid w:val="00533367"/>
    <w:rsid w:val="00533B10"/>
    <w:rsid w:val="00533DE1"/>
    <w:rsid w:val="00533EF0"/>
    <w:rsid w:val="00535D0C"/>
    <w:rsid w:val="00535D37"/>
    <w:rsid w:val="00536F15"/>
    <w:rsid w:val="00537418"/>
    <w:rsid w:val="005378CE"/>
    <w:rsid w:val="005408A6"/>
    <w:rsid w:val="00540916"/>
    <w:rsid w:val="005416BB"/>
    <w:rsid w:val="00541ED5"/>
    <w:rsid w:val="005426D0"/>
    <w:rsid w:val="0054347C"/>
    <w:rsid w:val="00545E83"/>
    <w:rsid w:val="0055479C"/>
    <w:rsid w:val="005547C4"/>
    <w:rsid w:val="005559C3"/>
    <w:rsid w:val="00555FAD"/>
    <w:rsid w:val="00556BA3"/>
    <w:rsid w:val="00560D46"/>
    <w:rsid w:val="0056215C"/>
    <w:rsid w:val="0056335F"/>
    <w:rsid w:val="00563D4F"/>
    <w:rsid w:val="005654B1"/>
    <w:rsid w:val="005654FD"/>
    <w:rsid w:val="00567B68"/>
    <w:rsid w:val="00567F26"/>
    <w:rsid w:val="005701E5"/>
    <w:rsid w:val="0057032B"/>
    <w:rsid w:val="0057062B"/>
    <w:rsid w:val="00570657"/>
    <w:rsid w:val="0057161D"/>
    <w:rsid w:val="00572753"/>
    <w:rsid w:val="00572F07"/>
    <w:rsid w:val="00574C13"/>
    <w:rsid w:val="00576152"/>
    <w:rsid w:val="00576F76"/>
    <w:rsid w:val="005774B7"/>
    <w:rsid w:val="00580545"/>
    <w:rsid w:val="00581F83"/>
    <w:rsid w:val="00582007"/>
    <w:rsid w:val="00582BBA"/>
    <w:rsid w:val="00583219"/>
    <w:rsid w:val="0058350E"/>
    <w:rsid w:val="0058438C"/>
    <w:rsid w:val="005844B0"/>
    <w:rsid w:val="00584E81"/>
    <w:rsid w:val="0058567E"/>
    <w:rsid w:val="005875BE"/>
    <w:rsid w:val="00587E17"/>
    <w:rsid w:val="00587E98"/>
    <w:rsid w:val="00590DC6"/>
    <w:rsid w:val="005918CD"/>
    <w:rsid w:val="00592591"/>
    <w:rsid w:val="005928EA"/>
    <w:rsid w:val="005935DB"/>
    <w:rsid w:val="00593E92"/>
    <w:rsid w:val="0059448D"/>
    <w:rsid w:val="0059668A"/>
    <w:rsid w:val="00596E6D"/>
    <w:rsid w:val="005A0057"/>
    <w:rsid w:val="005A0AB9"/>
    <w:rsid w:val="005A237B"/>
    <w:rsid w:val="005A3E34"/>
    <w:rsid w:val="005A45F2"/>
    <w:rsid w:val="005A464E"/>
    <w:rsid w:val="005A6BD3"/>
    <w:rsid w:val="005A6D1C"/>
    <w:rsid w:val="005A73A0"/>
    <w:rsid w:val="005B00AA"/>
    <w:rsid w:val="005B117A"/>
    <w:rsid w:val="005B20CA"/>
    <w:rsid w:val="005B361A"/>
    <w:rsid w:val="005B48BE"/>
    <w:rsid w:val="005B53B9"/>
    <w:rsid w:val="005B56B3"/>
    <w:rsid w:val="005B5817"/>
    <w:rsid w:val="005B5CF7"/>
    <w:rsid w:val="005B6B41"/>
    <w:rsid w:val="005B6C02"/>
    <w:rsid w:val="005B732E"/>
    <w:rsid w:val="005C0A65"/>
    <w:rsid w:val="005C2087"/>
    <w:rsid w:val="005C3304"/>
    <w:rsid w:val="005C334E"/>
    <w:rsid w:val="005C43A7"/>
    <w:rsid w:val="005C5701"/>
    <w:rsid w:val="005C5B0C"/>
    <w:rsid w:val="005C5F56"/>
    <w:rsid w:val="005C6998"/>
    <w:rsid w:val="005C7347"/>
    <w:rsid w:val="005D2495"/>
    <w:rsid w:val="005D357D"/>
    <w:rsid w:val="005D3C56"/>
    <w:rsid w:val="005D4E36"/>
    <w:rsid w:val="005D5BD0"/>
    <w:rsid w:val="005D61DB"/>
    <w:rsid w:val="005D7C55"/>
    <w:rsid w:val="005D7EA6"/>
    <w:rsid w:val="005E1487"/>
    <w:rsid w:val="005E1852"/>
    <w:rsid w:val="005E1C7F"/>
    <w:rsid w:val="005E2262"/>
    <w:rsid w:val="005E46B8"/>
    <w:rsid w:val="005E4A76"/>
    <w:rsid w:val="005E5F7D"/>
    <w:rsid w:val="005E6403"/>
    <w:rsid w:val="005E720C"/>
    <w:rsid w:val="005E7354"/>
    <w:rsid w:val="005F01EF"/>
    <w:rsid w:val="005F0421"/>
    <w:rsid w:val="005F0D31"/>
    <w:rsid w:val="005F0D3C"/>
    <w:rsid w:val="005F2AFD"/>
    <w:rsid w:val="005F2B05"/>
    <w:rsid w:val="005F48A9"/>
    <w:rsid w:val="005F495C"/>
    <w:rsid w:val="005F6106"/>
    <w:rsid w:val="005F6193"/>
    <w:rsid w:val="00600200"/>
    <w:rsid w:val="006005B4"/>
    <w:rsid w:val="00601013"/>
    <w:rsid w:val="00601C9C"/>
    <w:rsid w:val="00602BEA"/>
    <w:rsid w:val="006041D0"/>
    <w:rsid w:val="0060471A"/>
    <w:rsid w:val="006121F0"/>
    <w:rsid w:val="00614220"/>
    <w:rsid w:val="00615758"/>
    <w:rsid w:val="006158A0"/>
    <w:rsid w:val="00615F69"/>
    <w:rsid w:val="00616129"/>
    <w:rsid w:val="00617319"/>
    <w:rsid w:val="00620782"/>
    <w:rsid w:val="006208C4"/>
    <w:rsid w:val="0062210A"/>
    <w:rsid w:val="006226E7"/>
    <w:rsid w:val="00622C52"/>
    <w:rsid w:val="0062361C"/>
    <w:rsid w:val="0062578B"/>
    <w:rsid w:val="00625AB1"/>
    <w:rsid w:val="00626E87"/>
    <w:rsid w:val="0062726C"/>
    <w:rsid w:val="00627CE5"/>
    <w:rsid w:val="00627F93"/>
    <w:rsid w:val="00630666"/>
    <w:rsid w:val="00631751"/>
    <w:rsid w:val="0063287B"/>
    <w:rsid w:val="00632901"/>
    <w:rsid w:val="00632944"/>
    <w:rsid w:val="00633341"/>
    <w:rsid w:val="006342C2"/>
    <w:rsid w:val="00635113"/>
    <w:rsid w:val="00635C29"/>
    <w:rsid w:val="00636C8F"/>
    <w:rsid w:val="006375BA"/>
    <w:rsid w:val="00641D07"/>
    <w:rsid w:val="00643597"/>
    <w:rsid w:val="00643660"/>
    <w:rsid w:val="00644991"/>
    <w:rsid w:val="00645148"/>
    <w:rsid w:val="006452B0"/>
    <w:rsid w:val="00645306"/>
    <w:rsid w:val="006477CD"/>
    <w:rsid w:val="00647CA1"/>
    <w:rsid w:val="00647FAF"/>
    <w:rsid w:val="00647FCD"/>
    <w:rsid w:val="00652B8D"/>
    <w:rsid w:val="0065473B"/>
    <w:rsid w:val="00654A8A"/>
    <w:rsid w:val="006561AA"/>
    <w:rsid w:val="0065671E"/>
    <w:rsid w:val="00656AB7"/>
    <w:rsid w:val="00657814"/>
    <w:rsid w:val="0066038A"/>
    <w:rsid w:val="00660D0C"/>
    <w:rsid w:val="00660FF6"/>
    <w:rsid w:val="00661575"/>
    <w:rsid w:val="0066160E"/>
    <w:rsid w:val="00661F9E"/>
    <w:rsid w:val="0066343A"/>
    <w:rsid w:val="00663A77"/>
    <w:rsid w:val="0066429D"/>
    <w:rsid w:val="00664962"/>
    <w:rsid w:val="00664B50"/>
    <w:rsid w:val="006658E7"/>
    <w:rsid w:val="00665B07"/>
    <w:rsid w:val="00665F27"/>
    <w:rsid w:val="00667963"/>
    <w:rsid w:val="00667ECE"/>
    <w:rsid w:val="00671D8A"/>
    <w:rsid w:val="00672E9E"/>
    <w:rsid w:val="00672FCC"/>
    <w:rsid w:val="00674CBB"/>
    <w:rsid w:val="0067544D"/>
    <w:rsid w:val="00675881"/>
    <w:rsid w:val="00675F26"/>
    <w:rsid w:val="00681269"/>
    <w:rsid w:val="006812EB"/>
    <w:rsid w:val="00682274"/>
    <w:rsid w:val="006823A7"/>
    <w:rsid w:val="00682592"/>
    <w:rsid w:val="00684866"/>
    <w:rsid w:val="006857FA"/>
    <w:rsid w:val="00685BAB"/>
    <w:rsid w:val="00687381"/>
    <w:rsid w:val="0068759E"/>
    <w:rsid w:val="00690168"/>
    <w:rsid w:val="0069049A"/>
    <w:rsid w:val="00690E8D"/>
    <w:rsid w:val="00690EA2"/>
    <w:rsid w:val="00690FAD"/>
    <w:rsid w:val="00691FC8"/>
    <w:rsid w:val="00692C61"/>
    <w:rsid w:val="00693C31"/>
    <w:rsid w:val="00694E4B"/>
    <w:rsid w:val="00695ECA"/>
    <w:rsid w:val="00696216"/>
    <w:rsid w:val="00696638"/>
    <w:rsid w:val="006967BC"/>
    <w:rsid w:val="00697919"/>
    <w:rsid w:val="006A126F"/>
    <w:rsid w:val="006A13B5"/>
    <w:rsid w:val="006A1831"/>
    <w:rsid w:val="006A3559"/>
    <w:rsid w:val="006A3DEF"/>
    <w:rsid w:val="006A4382"/>
    <w:rsid w:val="006A5B72"/>
    <w:rsid w:val="006A61AF"/>
    <w:rsid w:val="006A61C9"/>
    <w:rsid w:val="006A719A"/>
    <w:rsid w:val="006A77F3"/>
    <w:rsid w:val="006A7B8A"/>
    <w:rsid w:val="006B1323"/>
    <w:rsid w:val="006B4354"/>
    <w:rsid w:val="006B483B"/>
    <w:rsid w:val="006B4F08"/>
    <w:rsid w:val="006B57F6"/>
    <w:rsid w:val="006B59C3"/>
    <w:rsid w:val="006B5B8B"/>
    <w:rsid w:val="006C06B0"/>
    <w:rsid w:val="006C4690"/>
    <w:rsid w:val="006C46A0"/>
    <w:rsid w:val="006C50FA"/>
    <w:rsid w:val="006C5758"/>
    <w:rsid w:val="006C610F"/>
    <w:rsid w:val="006C68A0"/>
    <w:rsid w:val="006C6A67"/>
    <w:rsid w:val="006D07CC"/>
    <w:rsid w:val="006D0C68"/>
    <w:rsid w:val="006D0F4A"/>
    <w:rsid w:val="006D1734"/>
    <w:rsid w:val="006D17F7"/>
    <w:rsid w:val="006D198F"/>
    <w:rsid w:val="006D3CD2"/>
    <w:rsid w:val="006D41B1"/>
    <w:rsid w:val="006D5E60"/>
    <w:rsid w:val="006D6844"/>
    <w:rsid w:val="006D7637"/>
    <w:rsid w:val="006D7C77"/>
    <w:rsid w:val="006E0469"/>
    <w:rsid w:val="006E0C48"/>
    <w:rsid w:val="006E0D69"/>
    <w:rsid w:val="006E193B"/>
    <w:rsid w:val="006E1A0A"/>
    <w:rsid w:val="006E21AA"/>
    <w:rsid w:val="006E3E26"/>
    <w:rsid w:val="006E48C8"/>
    <w:rsid w:val="006E5254"/>
    <w:rsid w:val="006E77FD"/>
    <w:rsid w:val="006F2C39"/>
    <w:rsid w:val="006F4491"/>
    <w:rsid w:val="006F456A"/>
    <w:rsid w:val="006F46A2"/>
    <w:rsid w:val="006F472E"/>
    <w:rsid w:val="006F6602"/>
    <w:rsid w:val="00700F4B"/>
    <w:rsid w:val="00701488"/>
    <w:rsid w:val="00701BC8"/>
    <w:rsid w:val="00701CCF"/>
    <w:rsid w:val="00701F11"/>
    <w:rsid w:val="00702A62"/>
    <w:rsid w:val="00702BF0"/>
    <w:rsid w:val="00703865"/>
    <w:rsid w:val="007045B0"/>
    <w:rsid w:val="00704AE2"/>
    <w:rsid w:val="0070579E"/>
    <w:rsid w:val="00706677"/>
    <w:rsid w:val="00707799"/>
    <w:rsid w:val="0071017B"/>
    <w:rsid w:val="0071126E"/>
    <w:rsid w:val="00711528"/>
    <w:rsid w:val="00714313"/>
    <w:rsid w:val="00714F57"/>
    <w:rsid w:val="0071511B"/>
    <w:rsid w:val="00716CDB"/>
    <w:rsid w:val="0071790B"/>
    <w:rsid w:val="007210E0"/>
    <w:rsid w:val="0072315A"/>
    <w:rsid w:val="007231B9"/>
    <w:rsid w:val="00723A4D"/>
    <w:rsid w:val="00723C57"/>
    <w:rsid w:val="00723E2B"/>
    <w:rsid w:val="00723EB9"/>
    <w:rsid w:val="00726447"/>
    <w:rsid w:val="007267FF"/>
    <w:rsid w:val="00726BA2"/>
    <w:rsid w:val="007271B2"/>
    <w:rsid w:val="0072796F"/>
    <w:rsid w:val="0073127C"/>
    <w:rsid w:val="007328F9"/>
    <w:rsid w:val="007340BD"/>
    <w:rsid w:val="00735363"/>
    <w:rsid w:val="00735BF8"/>
    <w:rsid w:val="00737B27"/>
    <w:rsid w:val="00740876"/>
    <w:rsid w:val="00741813"/>
    <w:rsid w:val="00742FD7"/>
    <w:rsid w:val="00743045"/>
    <w:rsid w:val="007436D9"/>
    <w:rsid w:val="00745231"/>
    <w:rsid w:val="0074577E"/>
    <w:rsid w:val="00745B75"/>
    <w:rsid w:val="00746AF0"/>
    <w:rsid w:val="00746BBC"/>
    <w:rsid w:val="00747A7C"/>
    <w:rsid w:val="00747E60"/>
    <w:rsid w:val="00750121"/>
    <w:rsid w:val="007516C5"/>
    <w:rsid w:val="007527DF"/>
    <w:rsid w:val="00753DD0"/>
    <w:rsid w:val="007546D3"/>
    <w:rsid w:val="007551C4"/>
    <w:rsid w:val="00755FA9"/>
    <w:rsid w:val="0075692C"/>
    <w:rsid w:val="007572E2"/>
    <w:rsid w:val="00757AE5"/>
    <w:rsid w:val="00757B9F"/>
    <w:rsid w:val="00760400"/>
    <w:rsid w:val="00761BE5"/>
    <w:rsid w:val="00761E4C"/>
    <w:rsid w:val="007657C5"/>
    <w:rsid w:val="0076654C"/>
    <w:rsid w:val="007670D7"/>
    <w:rsid w:val="00771F70"/>
    <w:rsid w:val="00773673"/>
    <w:rsid w:val="007743EF"/>
    <w:rsid w:val="007748FD"/>
    <w:rsid w:val="00780A8F"/>
    <w:rsid w:val="0078168D"/>
    <w:rsid w:val="00781A77"/>
    <w:rsid w:val="007820B1"/>
    <w:rsid w:val="0078279E"/>
    <w:rsid w:val="00782B2E"/>
    <w:rsid w:val="00782B6C"/>
    <w:rsid w:val="007832FD"/>
    <w:rsid w:val="007838C2"/>
    <w:rsid w:val="00784AA8"/>
    <w:rsid w:val="00785689"/>
    <w:rsid w:val="00785AC9"/>
    <w:rsid w:val="00785C2C"/>
    <w:rsid w:val="0078631F"/>
    <w:rsid w:val="0078720E"/>
    <w:rsid w:val="007878AC"/>
    <w:rsid w:val="007878D5"/>
    <w:rsid w:val="007908AF"/>
    <w:rsid w:val="00791A91"/>
    <w:rsid w:val="00791DF1"/>
    <w:rsid w:val="007926AC"/>
    <w:rsid w:val="00793D83"/>
    <w:rsid w:val="007954D1"/>
    <w:rsid w:val="00795998"/>
    <w:rsid w:val="00796C11"/>
    <w:rsid w:val="007975DA"/>
    <w:rsid w:val="007A1059"/>
    <w:rsid w:val="007A207A"/>
    <w:rsid w:val="007A23EF"/>
    <w:rsid w:val="007A367C"/>
    <w:rsid w:val="007A3FB1"/>
    <w:rsid w:val="007A44AE"/>
    <w:rsid w:val="007A60F7"/>
    <w:rsid w:val="007A6B44"/>
    <w:rsid w:val="007A715E"/>
    <w:rsid w:val="007A749D"/>
    <w:rsid w:val="007B0B97"/>
    <w:rsid w:val="007B0C07"/>
    <w:rsid w:val="007B1E68"/>
    <w:rsid w:val="007B2989"/>
    <w:rsid w:val="007B2E5E"/>
    <w:rsid w:val="007B331B"/>
    <w:rsid w:val="007B3597"/>
    <w:rsid w:val="007B3746"/>
    <w:rsid w:val="007B51E5"/>
    <w:rsid w:val="007B5287"/>
    <w:rsid w:val="007B6929"/>
    <w:rsid w:val="007B69F5"/>
    <w:rsid w:val="007B77BD"/>
    <w:rsid w:val="007B7CCF"/>
    <w:rsid w:val="007B7ED0"/>
    <w:rsid w:val="007C1F27"/>
    <w:rsid w:val="007C3DD0"/>
    <w:rsid w:val="007C3F70"/>
    <w:rsid w:val="007C4046"/>
    <w:rsid w:val="007C43A1"/>
    <w:rsid w:val="007C5229"/>
    <w:rsid w:val="007C58FB"/>
    <w:rsid w:val="007C6AF6"/>
    <w:rsid w:val="007C6DE5"/>
    <w:rsid w:val="007C7971"/>
    <w:rsid w:val="007D12F8"/>
    <w:rsid w:val="007D1EA4"/>
    <w:rsid w:val="007D43B9"/>
    <w:rsid w:val="007D4D4F"/>
    <w:rsid w:val="007D548C"/>
    <w:rsid w:val="007D71ED"/>
    <w:rsid w:val="007D7CAE"/>
    <w:rsid w:val="007E0810"/>
    <w:rsid w:val="007E150E"/>
    <w:rsid w:val="007E1E71"/>
    <w:rsid w:val="007E2296"/>
    <w:rsid w:val="007E344D"/>
    <w:rsid w:val="007E38EF"/>
    <w:rsid w:val="007E43F9"/>
    <w:rsid w:val="007E5AC0"/>
    <w:rsid w:val="007F0BA2"/>
    <w:rsid w:val="007F29F7"/>
    <w:rsid w:val="007F37A9"/>
    <w:rsid w:val="007F6152"/>
    <w:rsid w:val="007F7320"/>
    <w:rsid w:val="00802FFC"/>
    <w:rsid w:val="00803231"/>
    <w:rsid w:val="00803694"/>
    <w:rsid w:val="008046D0"/>
    <w:rsid w:val="008049BF"/>
    <w:rsid w:val="00805A9E"/>
    <w:rsid w:val="00806541"/>
    <w:rsid w:val="00806E0B"/>
    <w:rsid w:val="00810171"/>
    <w:rsid w:val="0081067F"/>
    <w:rsid w:val="00810F36"/>
    <w:rsid w:val="00812515"/>
    <w:rsid w:val="00812862"/>
    <w:rsid w:val="00812DFF"/>
    <w:rsid w:val="00813EC8"/>
    <w:rsid w:val="00814050"/>
    <w:rsid w:val="00814667"/>
    <w:rsid w:val="00814F9E"/>
    <w:rsid w:val="00816D5D"/>
    <w:rsid w:val="008173AC"/>
    <w:rsid w:val="00817F91"/>
    <w:rsid w:val="008219DF"/>
    <w:rsid w:val="00821E23"/>
    <w:rsid w:val="00824570"/>
    <w:rsid w:val="008246B8"/>
    <w:rsid w:val="00825E6B"/>
    <w:rsid w:val="00827336"/>
    <w:rsid w:val="00827FBC"/>
    <w:rsid w:val="0083119A"/>
    <w:rsid w:val="00832378"/>
    <w:rsid w:val="00832789"/>
    <w:rsid w:val="00832ADD"/>
    <w:rsid w:val="00833191"/>
    <w:rsid w:val="00834BF2"/>
    <w:rsid w:val="008369F3"/>
    <w:rsid w:val="008370D9"/>
    <w:rsid w:val="00837526"/>
    <w:rsid w:val="008401CD"/>
    <w:rsid w:val="008404B8"/>
    <w:rsid w:val="00841512"/>
    <w:rsid w:val="00841654"/>
    <w:rsid w:val="00841AF7"/>
    <w:rsid w:val="00842E99"/>
    <w:rsid w:val="0084329B"/>
    <w:rsid w:val="00843C6C"/>
    <w:rsid w:val="00844647"/>
    <w:rsid w:val="008462A5"/>
    <w:rsid w:val="0084670F"/>
    <w:rsid w:val="00847501"/>
    <w:rsid w:val="00847B35"/>
    <w:rsid w:val="008503F9"/>
    <w:rsid w:val="00850E95"/>
    <w:rsid w:val="00852252"/>
    <w:rsid w:val="00855720"/>
    <w:rsid w:val="00856092"/>
    <w:rsid w:val="00857617"/>
    <w:rsid w:val="008605B3"/>
    <w:rsid w:val="00861461"/>
    <w:rsid w:val="00861D30"/>
    <w:rsid w:val="00862432"/>
    <w:rsid w:val="00862F66"/>
    <w:rsid w:val="008630D7"/>
    <w:rsid w:val="008642F4"/>
    <w:rsid w:val="008646C4"/>
    <w:rsid w:val="00864CC0"/>
    <w:rsid w:val="008654C8"/>
    <w:rsid w:val="00865726"/>
    <w:rsid w:val="008702BD"/>
    <w:rsid w:val="00870AFC"/>
    <w:rsid w:val="00870E39"/>
    <w:rsid w:val="008724EB"/>
    <w:rsid w:val="00872B7C"/>
    <w:rsid w:val="00872BA4"/>
    <w:rsid w:val="00873C2C"/>
    <w:rsid w:val="00873CC6"/>
    <w:rsid w:val="00874874"/>
    <w:rsid w:val="00874A93"/>
    <w:rsid w:val="00875877"/>
    <w:rsid w:val="008764F0"/>
    <w:rsid w:val="00877580"/>
    <w:rsid w:val="00877ADF"/>
    <w:rsid w:val="008806C7"/>
    <w:rsid w:val="00880CEC"/>
    <w:rsid w:val="00880DE5"/>
    <w:rsid w:val="00880E8F"/>
    <w:rsid w:val="00882DC2"/>
    <w:rsid w:val="00883742"/>
    <w:rsid w:val="00884B37"/>
    <w:rsid w:val="00884F96"/>
    <w:rsid w:val="00885738"/>
    <w:rsid w:val="00886C0F"/>
    <w:rsid w:val="00886D59"/>
    <w:rsid w:val="00887FA2"/>
    <w:rsid w:val="008925C1"/>
    <w:rsid w:val="008931C4"/>
    <w:rsid w:val="00894AE4"/>
    <w:rsid w:val="008959E2"/>
    <w:rsid w:val="008967BC"/>
    <w:rsid w:val="00896B67"/>
    <w:rsid w:val="00896D1E"/>
    <w:rsid w:val="00897DFF"/>
    <w:rsid w:val="008A1084"/>
    <w:rsid w:val="008A1EA0"/>
    <w:rsid w:val="008A3FD0"/>
    <w:rsid w:val="008A40D8"/>
    <w:rsid w:val="008A6E6A"/>
    <w:rsid w:val="008A7E18"/>
    <w:rsid w:val="008B21E2"/>
    <w:rsid w:val="008B2A2B"/>
    <w:rsid w:val="008B40EA"/>
    <w:rsid w:val="008B4939"/>
    <w:rsid w:val="008B5CD2"/>
    <w:rsid w:val="008B622E"/>
    <w:rsid w:val="008C0606"/>
    <w:rsid w:val="008C251B"/>
    <w:rsid w:val="008C3A00"/>
    <w:rsid w:val="008C58DA"/>
    <w:rsid w:val="008C5CFE"/>
    <w:rsid w:val="008C656C"/>
    <w:rsid w:val="008C665B"/>
    <w:rsid w:val="008C69BA"/>
    <w:rsid w:val="008C6B14"/>
    <w:rsid w:val="008C7B22"/>
    <w:rsid w:val="008C7BEA"/>
    <w:rsid w:val="008C7FDE"/>
    <w:rsid w:val="008D0443"/>
    <w:rsid w:val="008D112E"/>
    <w:rsid w:val="008D1960"/>
    <w:rsid w:val="008D1D07"/>
    <w:rsid w:val="008D27C3"/>
    <w:rsid w:val="008D2F7B"/>
    <w:rsid w:val="008D408C"/>
    <w:rsid w:val="008D764D"/>
    <w:rsid w:val="008E0497"/>
    <w:rsid w:val="008E0F16"/>
    <w:rsid w:val="008E1C7A"/>
    <w:rsid w:val="008E27D5"/>
    <w:rsid w:val="008E2CE5"/>
    <w:rsid w:val="008E4231"/>
    <w:rsid w:val="008E469B"/>
    <w:rsid w:val="008E5006"/>
    <w:rsid w:val="008E593E"/>
    <w:rsid w:val="008E6C72"/>
    <w:rsid w:val="008F0063"/>
    <w:rsid w:val="008F03E1"/>
    <w:rsid w:val="008F040E"/>
    <w:rsid w:val="008F1670"/>
    <w:rsid w:val="008F16F8"/>
    <w:rsid w:val="008F18E9"/>
    <w:rsid w:val="008F2382"/>
    <w:rsid w:val="008F28DD"/>
    <w:rsid w:val="008F62A5"/>
    <w:rsid w:val="008F783E"/>
    <w:rsid w:val="008F7BC8"/>
    <w:rsid w:val="00900273"/>
    <w:rsid w:val="00900DF9"/>
    <w:rsid w:val="00901C04"/>
    <w:rsid w:val="00902E30"/>
    <w:rsid w:val="00905BDA"/>
    <w:rsid w:val="00906822"/>
    <w:rsid w:val="00906893"/>
    <w:rsid w:val="0090701B"/>
    <w:rsid w:val="00907215"/>
    <w:rsid w:val="00907547"/>
    <w:rsid w:val="009077FE"/>
    <w:rsid w:val="00910496"/>
    <w:rsid w:val="00911C68"/>
    <w:rsid w:val="00913A2B"/>
    <w:rsid w:val="00913BDE"/>
    <w:rsid w:val="00913C06"/>
    <w:rsid w:val="00914E56"/>
    <w:rsid w:val="00914F3D"/>
    <w:rsid w:val="009151F9"/>
    <w:rsid w:val="00915712"/>
    <w:rsid w:val="009162CA"/>
    <w:rsid w:val="00917069"/>
    <w:rsid w:val="009171B2"/>
    <w:rsid w:val="0091779D"/>
    <w:rsid w:val="00917F23"/>
    <w:rsid w:val="009219B8"/>
    <w:rsid w:val="00921E59"/>
    <w:rsid w:val="009225F0"/>
    <w:rsid w:val="00922605"/>
    <w:rsid w:val="00922817"/>
    <w:rsid w:val="009228EF"/>
    <w:rsid w:val="00923B05"/>
    <w:rsid w:val="00923E4B"/>
    <w:rsid w:val="00925AA6"/>
    <w:rsid w:val="00925C55"/>
    <w:rsid w:val="00927270"/>
    <w:rsid w:val="0093007F"/>
    <w:rsid w:val="009304C7"/>
    <w:rsid w:val="00930B3F"/>
    <w:rsid w:val="00930EDB"/>
    <w:rsid w:val="0093317A"/>
    <w:rsid w:val="00933D0E"/>
    <w:rsid w:val="009344EC"/>
    <w:rsid w:val="00934B71"/>
    <w:rsid w:val="00935C0F"/>
    <w:rsid w:val="00935FBF"/>
    <w:rsid w:val="0093756C"/>
    <w:rsid w:val="009375A7"/>
    <w:rsid w:val="0094064A"/>
    <w:rsid w:val="009414BE"/>
    <w:rsid w:val="00941CF8"/>
    <w:rsid w:val="00941D8A"/>
    <w:rsid w:val="00943482"/>
    <w:rsid w:val="00943B2E"/>
    <w:rsid w:val="00943F43"/>
    <w:rsid w:val="00944B76"/>
    <w:rsid w:val="00946EE7"/>
    <w:rsid w:val="00946F75"/>
    <w:rsid w:val="0094738E"/>
    <w:rsid w:val="00950D3C"/>
    <w:rsid w:val="009510C8"/>
    <w:rsid w:val="00952822"/>
    <w:rsid w:val="0095350E"/>
    <w:rsid w:val="009538B5"/>
    <w:rsid w:val="00954827"/>
    <w:rsid w:val="00955819"/>
    <w:rsid w:val="0095635E"/>
    <w:rsid w:val="00957A47"/>
    <w:rsid w:val="00957F39"/>
    <w:rsid w:val="00960993"/>
    <w:rsid w:val="00962264"/>
    <w:rsid w:val="00962555"/>
    <w:rsid w:val="00962AE7"/>
    <w:rsid w:val="00962B4A"/>
    <w:rsid w:val="00964260"/>
    <w:rsid w:val="009643E5"/>
    <w:rsid w:val="00964891"/>
    <w:rsid w:val="00964BD2"/>
    <w:rsid w:val="00964E95"/>
    <w:rsid w:val="00965985"/>
    <w:rsid w:val="00966543"/>
    <w:rsid w:val="0096665F"/>
    <w:rsid w:val="00966663"/>
    <w:rsid w:val="00966AB7"/>
    <w:rsid w:val="00967024"/>
    <w:rsid w:val="00970C87"/>
    <w:rsid w:val="009711AC"/>
    <w:rsid w:val="009717DF"/>
    <w:rsid w:val="00971A24"/>
    <w:rsid w:val="00972722"/>
    <w:rsid w:val="00972BC6"/>
    <w:rsid w:val="009731B9"/>
    <w:rsid w:val="00973A0E"/>
    <w:rsid w:val="00973FF1"/>
    <w:rsid w:val="0097619E"/>
    <w:rsid w:val="0097692E"/>
    <w:rsid w:val="00977C10"/>
    <w:rsid w:val="009816E0"/>
    <w:rsid w:val="00981780"/>
    <w:rsid w:val="009824C4"/>
    <w:rsid w:val="009827D9"/>
    <w:rsid w:val="00982A7A"/>
    <w:rsid w:val="009841E5"/>
    <w:rsid w:val="009846B3"/>
    <w:rsid w:val="0098573D"/>
    <w:rsid w:val="00985D38"/>
    <w:rsid w:val="00985DA0"/>
    <w:rsid w:val="00986F96"/>
    <w:rsid w:val="00991E77"/>
    <w:rsid w:val="00992389"/>
    <w:rsid w:val="00993BCB"/>
    <w:rsid w:val="009943A5"/>
    <w:rsid w:val="00994528"/>
    <w:rsid w:val="009950E4"/>
    <w:rsid w:val="00996447"/>
    <w:rsid w:val="00996468"/>
    <w:rsid w:val="00996CD0"/>
    <w:rsid w:val="009A01D6"/>
    <w:rsid w:val="009A297D"/>
    <w:rsid w:val="009A2B42"/>
    <w:rsid w:val="009A3B26"/>
    <w:rsid w:val="009A47F8"/>
    <w:rsid w:val="009A4AAD"/>
    <w:rsid w:val="009A7ABF"/>
    <w:rsid w:val="009B1619"/>
    <w:rsid w:val="009B1981"/>
    <w:rsid w:val="009B20AC"/>
    <w:rsid w:val="009B22E1"/>
    <w:rsid w:val="009B4775"/>
    <w:rsid w:val="009B478C"/>
    <w:rsid w:val="009B47A3"/>
    <w:rsid w:val="009B7951"/>
    <w:rsid w:val="009B7BE6"/>
    <w:rsid w:val="009C1156"/>
    <w:rsid w:val="009C15D3"/>
    <w:rsid w:val="009C23DD"/>
    <w:rsid w:val="009C26FB"/>
    <w:rsid w:val="009C3A61"/>
    <w:rsid w:val="009C5DE2"/>
    <w:rsid w:val="009C6681"/>
    <w:rsid w:val="009C6B07"/>
    <w:rsid w:val="009C6D60"/>
    <w:rsid w:val="009C7B86"/>
    <w:rsid w:val="009C7F85"/>
    <w:rsid w:val="009D0AE8"/>
    <w:rsid w:val="009D1011"/>
    <w:rsid w:val="009D198E"/>
    <w:rsid w:val="009D37B0"/>
    <w:rsid w:val="009D3CF6"/>
    <w:rsid w:val="009D4743"/>
    <w:rsid w:val="009D5166"/>
    <w:rsid w:val="009D60B5"/>
    <w:rsid w:val="009D700C"/>
    <w:rsid w:val="009D726E"/>
    <w:rsid w:val="009E07C3"/>
    <w:rsid w:val="009E13FA"/>
    <w:rsid w:val="009E1C53"/>
    <w:rsid w:val="009E2141"/>
    <w:rsid w:val="009E2D19"/>
    <w:rsid w:val="009E36D8"/>
    <w:rsid w:val="009E3A4F"/>
    <w:rsid w:val="009E3F0D"/>
    <w:rsid w:val="009E408B"/>
    <w:rsid w:val="009E4D31"/>
    <w:rsid w:val="009E5402"/>
    <w:rsid w:val="009E54DF"/>
    <w:rsid w:val="009E7B8E"/>
    <w:rsid w:val="009F01BE"/>
    <w:rsid w:val="009F0CC2"/>
    <w:rsid w:val="009F12A2"/>
    <w:rsid w:val="009F19E1"/>
    <w:rsid w:val="009F21DE"/>
    <w:rsid w:val="009F2453"/>
    <w:rsid w:val="009F3983"/>
    <w:rsid w:val="009F3A4D"/>
    <w:rsid w:val="009F4178"/>
    <w:rsid w:val="009F4EC8"/>
    <w:rsid w:val="009F725E"/>
    <w:rsid w:val="00A003C3"/>
    <w:rsid w:val="00A009C6"/>
    <w:rsid w:val="00A01124"/>
    <w:rsid w:val="00A0112C"/>
    <w:rsid w:val="00A01DB4"/>
    <w:rsid w:val="00A01DE9"/>
    <w:rsid w:val="00A03A8E"/>
    <w:rsid w:val="00A03F5B"/>
    <w:rsid w:val="00A04785"/>
    <w:rsid w:val="00A05468"/>
    <w:rsid w:val="00A05694"/>
    <w:rsid w:val="00A106C8"/>
    <w:rsid w:val="00A10760"/>
    <w:rsid w:val="00A10DC6"/>
    <w:rsid w:val="00A11404"/>
    <w:rsid w:val="00A12A0C"/>
    <w:rsid w:val="00A13D37"/>
    <w:rsid w:val="00A13EA9"/>
    <w:rsid w:val="00A143F7"/>
    <w:rsid w:val="00A146EE"/>
    <w:rsid w:val="00A14DC6"/>
    <w:rsid w:val="00A14F96"/>
    <w:rsid w:val="00A152C8"/>
    <w:rsid w:val="00A15503"/>
    <w:rsid w:val="00A155F9"/>
    <w:rsid w:val="00A169C6"/>
    <w:rsid w:val="00A1778D"/>
    <w:rsid w:val="00A17CA6"/>
    <w:rsid w:val="00A20EAC"/>
    <w:rsid w:val="00A21513"/>
    <w:rsid w:val="00A21F92"/>
    <w:rsid w:val="00A24F1F"/>
    <w:rsid w:val="00A25013"/>
    <w:rsid w:val="00A26195"/>
    <w:rsid w:val="00A26BE8"/>
    <w:rsid w:val="00A27EB6"/>
    <w:rsid w:val="00A27FC6"/>
    <w:rsid w:val="00A30274"/>
    <w:rsid w:val="00A33226"/>
    <w:rsid w:val="00A33B35"/>
    <w:rsid w:val="00A362B4"/>
    <w:rsid w:val="00A367BE"/>
    <w:rsid w:val="00A36F37"/>
    <w:rsid w:val="00A41396"/>
    <w:rsid w:val="00A429BC"/>
    <w:rsid w:val="00A43DC3"/>
    <w:rsid w:val="00A442A0"/>
    <w:rsid w:val="00A4648A"/>
    <w:rsid w:val="00A46625"/>
    <w:rsid w:val="00A539BF"/>
    <w:rsid w:val="00A55830"/>
    <w:rsid w:val="00A56463"/>
    <w:rsid w:val="00A56B41"/>
    <w:rsid w:val="00A577BE"/>
    <w:rsid w:val="00A57A27"/>
    <w:rsid w:val="00A6303B"/>
    <w:rsid w:val="00A640A1"/>
    <w:rsid w:val="00A64565"/>
    <w:rsid w:val="00A64842"/>
    <w:rsid w:val="00A65007"/>
    <w:rsid w:val="00A67335"/>
    <w:rsid w:val="00A674CB"/>
    <w:rsid w:val="00A67BCE"/>
    <w:rsid w:val="00A703E2"/>
    <w:rsid w:val="00A711AE"/>
    <w:rsid w:val="00A72999"/>
    <w:rsid w:val="00A73A59"/>
    <w:rsid w:val="00A73EAC"/>
    <w:rsid w:val="00A7606B"/>
    <w:rsid w:val="00A76EB5"/>
    <w:rsid w:val="00A76FE0"/>
    <w:rsid w:val="00A77A50"/>
    <w:rsid w:val="00A80372"/>
    <w:rsid w:val="00A8074E"/>
    <w:rsid w:val="00A818AC"/>
    <w:rsid w:val="00A81CFD"/>
    <w:rsid w:val="00A826E5"/>
    <w:rsid w:val="00A8272E"/>
    <w:rsid w:val="00A82F7B"/>
    <w:rsid w:val="00A83285"/>
    <w:rsid w:val="00A838FF"/>
    <w:rsid w:val="00A84C82"/>
    <w:rsid w:val="00A853B6"/>
    <w:rsid w:val="00A858C0"/>
    <w:rsid w:val="00A9085C"/>
    <w:rsid w:val="00A918FA"/>
    <w:rsid w:val="00A9271E"/>
    <w:rsid w:val="00A927F3"/>
    <w:rsid w:val="00A9281D"/>
    <w:rsid w:val="00A94028"/>
    <w:rsid w:val="00A9477F"/>
    <w:rsid w:val="00A94887"/>
    <w:rsid w:val="00A96E1A"/>
    <w:rsid w:val="00A976D4"/>
    <w:rsid w:val="00A979A7"/>
    <w:rsid w:val="00AA03BB"/>
    <w:rsid w:val="00AA086A"/>
    <w:rsid w:val="00AA0C41"/>
    <w:rsid w:val="00AA0DC5"/>
    <w:rsid w:val="00AA1D5E"/>
    <w:rsid w:val="00AA21AA"/>
    <w:rsid w:val="00AA3656"/>
    <w:rsid w:val="00AA3B1F"/>
    <w:rsid w:val="00AA53A7"/>
    <w:rsid w:val="00AA6980"/>
    <w:rsid w:val="00AA7118"/>
    <w:rsid w:val="00AB0855"/>
    <w:rsid w:val="00AB08E6"/>
    <w:rsid w:val="00AB0C8E"/>
    <w:rsid w:val="00AB0CE1"/>
    <w:rsid w:val="00AB13F1"/>
    <w:rsid w:val="00AB30C6"/>
    <w:rsid w:val="00AB34F8"/>
    <w:rsid w:val="00AB3BA7"/>
    <w:rsid w:val="00AB44E7"/>
    <w:rsid w:val="00AB49E8"/>
    <w:rsid w:val="00AB51D1"/>
    <w:rsid w:val="00AB5AB3"/>
    <w:rsid w:val="00AB6396"/>
    <w:rsid w:val="00AB7309"/>
    <w:rsid w:val="00AB7328"/>
    <w:rsid w:val="00AC0ACB"/>
    <w:rsid w:val="00AC10B5"/>
    <w:rsid w:val="00AC1AB3"/>
    <w:rsid w:val="00AC1BE8"/>
    <w:rsid w:val="00AC3432"/>
    <w:rsid w:val="00AC3577"/>
    <w:rsid w:val="00AC6CAE"/>
    <w:rsid w:val="00AC757C"/>
    <w:rsid w:val="00AC7F6B"/>
    <w:rsid w:val="00AD0CAF"/>
    <w:rsid w:val="00AD1F1F"/>
    <w:rsid w:val="00AD2A83"/>
    <w:rsid w:val="00AD3394"/>
    <w:rsid w:val="00AD3B2D"/>
    <w:rsid w:val="00AD41C8"/>
    <w:rsid w:val="00AD455A"/>
    <w:rsid w:val="00AD46FD"/>
    <w:rsid w:val="00AD577C"/>
    <w:rsid w:val="00AD591C"/>
    <w:rsid w:val="00AD61E2"/>
    <w:rsid w:val="00AD6F21"/>
    <w:rsid w:val="00AE0321"/>
    <w:rsid w:val="00AE03A2"/>
    <w:rsid w:val="00AE203C"/>
    <w:rsid w:val="00AE275C"/>
    <w:rsid w:val="00AE2E7A"/>
    <w:rsid w:val="00AE4294"/>
    <w:rsid w:val="00AE4CCE"/>
    <w:rsid w:val="00AE4DA4"/>
    <w:rsid w:val="00AE5290"/>
    <w:rsid w:val="00AE5864"/>
    <w:rsid w:val="00AE6C1A"/>
    <w:rsid w:val="00AE6E0B"/>
    <w:rsid w:val="00AF04EA"/>
    <w:rsid w:val="00AF0923"/>
    <w:rsid w:val="00AF0DD2"/>
    <w:rsid w:val="00AF1679"/>
    <w:rsid w:val="00AF2BC0"/>
    <w:rsid w:val="00AF3B8D"/>
    <w:rsid w:val="00AF3BDD"/>
    <w:rsid w:val="00AF478C"/>
    <w:rsid w:val="00AF591D"/>
    <w:rsid w:val="00AF6246"/>
    <w:rsid w:val="00B00353"/>
    <w:rsid w:val="00B0112B"/>
    <w:rsid w:val="00B01DFE"/>
    <w:rsid w:val="00B029AC"/>
    <w:rsid w:val="00B03C52"/>
    <w:rsid w:val="00B03FB9"/>
    <w:rsid w:val="00B0522C"/>
    <w:rsid w:val="00B056EF"/>
    <w:rsid w:val="00B063AB"/>
    <w:rsid w:val="00B0653E"/>
    <w:rsid w:val="00B069BF"/>
    <w:rsid w:val="00B06BD1"/>
    <w:rsid w:val="00B07748"/>
    <w:rsid w:val="00B07BEF"/>
    <w:rsid w:val="00B10287"/>
    <w:rsid w:val="00B134BA"/>
    <w:rsid w:val="00B136F5"/>
    <w:rsid w:val="00B1370E"/>
    <w:rsid w:val="00B1457E"/>
    <w:rsid w:val="00B1486A"/>
    <w:rsid w:val="00B15BEF"/>
    <w:rsid w:val="00B1749A"/>
    <w:rsid w:val="00B203A9"/>
    <w:rsid w:val="00B21424"/>
    <w:rsid w:val="00B21D75"/>
    <w:rsid w:val="00B22951"/>
    <w:rsid w:val="00B233B6"/>
    <w:rsid w:val="00B23474"/>
    <w:rsid w:val="00B23AF6"/>
    <w:rsid w:val="00B2468D"/>
    <w:rsid w:val="00B25961"/>
    <w:rsid w:val="00B259CE"/>
    <w:rsid w:val="00B2749C"/>
    <w:rsid w:val="00B30946"/>
    <w:rsid w:val="00B3244D"/>
    <w:rsid w:val="00B331A7"/>
    <w:rsid w:val="00B338D0"/>
    <w:rsid w:val="00B361B8"/>
    <w:rsid w:val="00B361D3"/>
    <w:rsid w:val="00B37B3D"/>
    <w:rsid w:val="00B402E7"/>
    <w:rsid w:val="00B40906"/>
    <w:rsid w:val="00B40FA1"/>
    <w:rsid w:val="00B41D1B"/>
    <w:rsid w:val="00B41E3A"/>
    <w:rsid w:val="00B43793"/>
    <w:rsid w:val="00B44771"/>
    <w:rsid w:val="00B4603E"/>
    <w:rsid w:val="00B465A5"/>
    <w:rsid w:val="00B46C3D"/>
    <w:rsid w:val="00B46C42"/>
    <w:rsid w:val="00B474C2"/>
    <w:rsid w:val="00B47A85"/>
    <w:rsid w:val="00B50290"/>
    <w:rsid w:val="00B5039A"/>
    <w:rsid w:val="00B51A1F"/>
    <w:rsid w:val="00B523A1"/>
    <w:rsid w:val="00B5307A"/>
    <w:rsid w:val="00B550F5"/>
    <w:rsid w:val="00B55E5D"/>
    <w:rsid w:val="00B570DB"/>
    <w:rsid w:val="00B60234"/>
    <w:rsid w:val="00B606DF"/>
    <w:rsid w:val="00B607C3"/>
    <w:rsid w:val="00B61C47"/>
    <w:rsid w:val="00B61EB5"/>
    <w:rsid w:val="00B61FD3"/>
    <w:rsid w:val="00B63AB7"/>
    <w:rsid w:val="00B63C33"/>
    <w:rsid w:val="00B64AED"/>
    <w:rsid w:val="00B65B95"/>
    <w:rsid w:val="00B660FA"/>
    <w:rsid w:val="00B66233"/>
    <w:rsid w:val="00B664BB"/>
    <w:rsid w:val="00B700C2"/>
    <w:rsid w:val="00B71215"/>
    <w:rsid w:val="00B72580"/>
    <w:rsid w:val="00B72659"/>
    <w:rsid w:val="00B72C62"/>
    <w:rsid w:val="00B72F74"/>
    <w:rsid w:val="00B74A87"/>
    <w:rsid w:val="00B75B9E"/>
    <w:rsid w:val="00B75C14"/>
    <w:rsid w:val="00B77BB6"/>
    <w:rsid w:val="00B80A62"/>
    <w:rsid w:val="00B811E6"/>
    <w:rsid w:val="00B81344"/>
    <w:rsid w:val="00B8290E"/>
    <w:rsid w:val="00B8344E"/>
    <w:rsid w:val="00B8423A"/>
    <w:rsid w:val="00B850D6"/>
    <w:rsid w:val="00B907C2"/>
    <w:rsid w:val="00B91202"/>
    <w:rsid w:val="00B92CE1"/>
    <w:rsid w:val="00B93234"/>
    <w:rsid w:val="00BA0203"/>
    <w:rsid w:val="00BA062E"/>
    <w:rsid w:val="00BA0B26"/>
    <w:rsid w:val="00BA1350"/>
    <w:rsid w:val="00BA142F"/>
    <w:rsid w:val="00BA20E4"/>
    <w:rsid w:val="00BA4561"/>
    <w:rsid w:val="00BA4AEE"/>
    <w:rsid w:val="00BA5CE6"/>
    <w:rsid w:val="00BA6098"/>
    <w:rsid w:val="00BA7123"/>
    <w:rsid w:val="00BA7145"/>
    <w:rsid w:val="00BA75BA"/>
    <w:rsid w:val="00BB1F53"/>
    <w:rsid w:val="00BB1F55"/>
    <w:rsid w:val="00BB246C"/>
    <w:rsid w:val="00BB257C"/>
    <w:rsid w:val="00BB40BB"/>
    <w:rsid w:val="00BB418B"/>
    <w:rsid w:val="00BB42D5"/>
    <w:rsid w:val="00BB4C45"/>
    <w:rsid w:val="00BB5D6E"/>
    <w:rsid w:val="00BB5DAB"/>
    <w:rsid w:val="00BB5F6A"/>
    <w:rsid w:val="00BB6291"/>
    <w:rsid w:val="00BB7D68"/>
    <w:rsid w:val="00BC13D7"/>
    <w:rsid w:val="00BC157A"/>
    <w:rsid w:val="00BC458D"/>
    <w:rsid w:val="00BC47C5"/>
    <w:rsid w:val="00BC4F80"/>
    <w:rsid w:val="00BC5068"/>
    <w:rsid w:val="00BC66B6"/>
    <w:rsid w:val="00BC6D85"/>
    <w:rsid w:val="00BC6F66"/>
    <w:rsid w:val="00BC73DF"/>
    <w:rsid w:val="00BD0956"/>
    <w:rsid w:val="00BD162E"/>
    <w:rsid w:val="00BD18C2"/>
    <w:rsid w:val="00BD63F9"/>
    <w:rsid w:val="00BD7989"/>
    <w:rsid w:val="00BD7FB4"/>
    <w:rsid w:val="00BE0C4E"/>
    <w:rsid w:val="00BE1095"/>
    <w:rsid w:val="00BE1276"/>
    <w:rsid w:val="00BE1EE3"/>
    <w:rsid w:val="00BE2BCC"/>
    <w:rsid w:val="00BE3AB9"/>
    <w:rsid w:val="00BE4600"/>
    <w:rsid w:val="00BE479C"/>
    <w:rsid w:val="00BE56F3"/>
    <w:rsid w:val="00BE59E5"/>
    <w:rsid w:val="00BE6053"/>
    <w:rsid w:val="00BF054B"/>
    <w:rsid w:val="00BF0B01"/>
    <w:rsid w:val="00BF2369"/>
    <w:rsid w:val="00BF2A76"/>
    <w:rsid w:val="00BF3FC9"/>
    <w:rsid w:val="00BF7716"/>
    <w:rsid w:val="00BF7F48"/>
    <w:rsid w:val="00C0018A"/>
    <w:rsid w:val="00C00578"/>
    <w:rsid w:val="00C01B42"/>
    <w:rsid w:val="00C01DA4"/>
    <w:rsid w:val="00C023B7"/>
    <w:rsid w:val="00C03C15"/>
    <w:rsid w:val="00C066DE"/>
    <w:rsid w:val="00C06E68"/>
    <w:rsid w:val="00C07E4D"/>
    <w:rsid w:val="00C07ED9"/>
    <w:rsid w:val="00C120DF"/>
    <w:rsid w:val="00C12CFD"/>
    <w:rsid w:val="00C150C0"/>
    <w:rsid w:val="00C152A3"/>
    <w:rsid w:val="00C16464"/>
    <w:rsid w:val="00C16B0C"/>
    <w:rsid w:val="00C175ED"/>
    <w:rsid w:val="00C20EC4"/>
    <w:rsid w:val="00C21005"/>
    <w:rsid w:val="00C22527"/>
    <w:rsid w:val="00C2312D"/>
    <w:rsid w:val="00C23A2B"/>
    <w:rsid w:val="00C23DCA"/>
    <w:rsid w:val="00C25445"/>
    <w:rsid w:val="00C25FF4"/>
    <w:rsid w:val="00C268A8"/>
    <w:rsid w:val="00C26A6A"/>
    <w:rsid w:val="00C278D1"/>
    <w:rsid w:val="00C30832"/>
    <w:rsid w:val="00C30A3D"/>
    <w:rsid w:val="00C31630"/>
    <w:rsid w:val="00C33984"/>
    <w:rsid w:val="00C34679"/>
    <w:rsid w:val="00C3539C"/>
    <w:rsid w:val="00C3557F"/>
    <w:rsid w:val="00C360D3"/>
    <w:rsid w:val="00C366D0"/>
    <w:rsid w:val="00C3722A"/>
    <w:rsid w:val="00C3764D"/>
    <w:rsid w:val="00C378DF"/>
    <w:rsid w:val="00C37B43"/>
    <w:rsid w:val="00C37D46"/>
    <w:rsid w:val="00C40FD6"/>
    <w:rsid w:val="00C413E8"/>
    <w:rsid w:val="00C4157D"/>
    <w:rsid w:val="00C428E0"/>
    <w:rsid w:val="00C42995"/>
    <w:rsid w:val="00C43005"/>
    <w:rsid w:val="00C43A74"/>
    <w:rsid w:val="00C44AB5"/>
    <w:rsid w:val="00C44E1A"/>
    <w:rsid w:val="00C45453"/>
    <w:rsid w:val="00C45806"/>
    <w:rsid w:val="00C45B12"/>
    <w:rsid w:val="00C46E61"/>
    <w:rsid w:val="00C4701D"/>
    <w:rsid w:val="00C4726D"/>
    <w:rsid w:val="00C4753C"/>
    <w:rsid w:val="00C478EB"/>
    <w:rsid w:val="00C5031E"/>
    <w:rsid w:val="00C50F78"/>
    <w:rsid w:val="00C51641"/>
    <w:rsid w:val="00C51994"/>
    <w:rsid w:val="00C52B6C"/>
    <w:rsid w:val="00C52EF6"/>
    <w:rsid w:val="00C53ABC"/>
    <w:rsid w:val="00C53E8B"/>
    <w:rsid w:val="00C55D1C"/>
    <w:rsid w:val="00C579C6"/>
    <w:rsid w:val="00C57AEF"/>
    <w:rsid w:val="00C57CD2"/>
    <w:rsid w:val="00C61C3B"/>
    <w:rsid w:val="00C633A9"/>
    <w:rsid w:val="00C63A8B"/>
    <w:rsid w:val="00C648EE"/>
    <w:rsid w:val="00C65322"/>
    <w:rsid w:val="00C6556B"/>
    <w:rsid w:val="00C65AD8"/>
    <w:rsid w:val="00C669A4"/>
    <w:rsid w:val="00C67724"/>
    <w:rsid w:val="00C71632"/>
    <w:rsid w:val="00C73F96"/>
    <w:rsid w:val="00C75C00"/>
    <w:rsid w:val="00C76451"/>
    <w:rsid w:val="00C768F8"/>
    <w:rsid w:val="00C77B40"/>
    <w:rsid w:val="00C800F6"/>
    <w:rsid w:val="00C80E68"/>
    <w:rsid w:val="00C80F4B"/>
    <w:rsid w:val="00C82464"/>
    <w:rsid w:val="00C830DB"/>
    <w:rsid w:val="00C8395D"/>
    <w:rsid w:val="00C83A12"/>
    <w:rsid w:val="00C84ABD"/>
    <w:rsid w:val="00C85605"/>
    <w:rsid w:val="00C85D9D"/>
    <w:rsid w:val="00C8674B"/>
    <w:rsid w:val="00C87685"/>
    <w:rsid w:val="00C90F3B"/>
    <w:rsid w:val="00C91A72"/>
    <w:rsid w:val="00C91E51"/>
    <w:rsid w:val="00C94DA7"/>
    <w:rsid w:val="00C94EFC"/>
    <w:rsid w:val="00C96196"/>
    <w:rsid w:val="00C978C2"/>
    <w:rsid w:val="00C97E63"/>
    <w:rsid w:val="00CA1018"/>
    <w:rsid w:val="00CA13A3"/>
    <w:rsid w:val="00CA1E64"/>
    <w:rsid w:val="00CA204E"/>
    <w:rsid w:val="00CA2106"/>
    <w:rsid w:val="00CA27D2"/>
    <w:rsid w:val="00CA2D95"/>
    <w:rsid w:val="00CA5120"/>
    <w:rsid w:val="00CA5742"/>
    <w:rsid w:val="00CA5770"/>
    <w:rsid w:val="00CA584F"/>
    <w:rsid w:val="00CA7B76"/>
    <w:rsid w:val="00CB03BA"/>
    <w:rsid w:val="00CB1CE1"/>
    <w:rsid w:val="00CB25F1"/>
    <w:rsid w:val="00CB4630"/>
    <w:rsid w:val="00CB4EE5"/>
    <w:rsid w:val="00CB574F"/>
    <w:rsid w:val="00CB6A07"/>
    <w:rsid w:val="00CB7382"/>
    <w:rsid w:val="00CC2B3E"/>
    <w:rsid w:val="00CC4A76"/>
    <w:rsid w:val="00CC4BA0"/>
    <w:rsid w:val="00CC5A9B"/>
    <w:rsid w:val="00CC639B"/>
    <w:rsid w:val="00CC6A74"/>
    <w:rsid w:val="00CC7295"/>
    <w:rsid w:val="00CC7991"/>
    <w:rsid w:val="00CD084C"/>
    <w:rsid w:val="00CD09CF"/>
    <w:rsid w:val="00CD0C05"/>
    <w:rsid w:val="00CD11EF"/>
    <w:rsid w:val="00CD13C6"/>
    <w:rsid w:val="00CD3A64"/>
    <w:rsid w:val="00CD6066"/>
    <w:rsid w:val="00CE0B30"/>
    <w:rsid w:val="00CE129F"/>
    <w:rsid w:val="00CE147F"/>
    <w:rsid w:val="00CE2844"/>
    <w:rsid w:val="00CE2A4C"/>
    <w:rsid w:val="00CE33D2"/>
    <w:rsid w:val="00CE61DD"/>
    <w:rsid w:val="00CE6234"/>
    <w:rsid w:val="00CE78F3"/>
    <w:rsid w:val="00CF07F9"/>
    <w:rsid w:val="00CF0BDE"/>
    <w:rsid w:val="00CF12BD"/>
    <w:rsid w:val="00CF26E0"/>
    <w:rsid w:val="00CF297F"/>
    <w:rsid w:val="00CF29FF"/>
    <w:rsid w:val="00CF491E"/>
    <w:rsid w:val="00CF5B1A"/>
    <w:rsid w:val="00CF6441"/>
    <w:rsid w:val="00D00616"/>
    <w:rsid w:val="00D00939"/>
    <w:rsid w:val="00D00A7E"/>
    <w:rsid w:val="00D01277"/>
    <w:rsid w:val="00D02333"/>
    <w:rsid w:val="00D02D28"/>
    <w:rsid w:val="00D05828"/>
    <w:rsid w:val="00D06100"/>
    <w:rsid w:val="00D06BCF"/>
    <w:rsid w:val="00D12646"/>
    <w:rsid w:val="00D14325"/>
    <w:rsid w:val="00D15850"/>
    <w:rsid w:val="00D15B63"/>
    <w:rsid w:val="00D16571"/>
    <w:rsid w:val="00D175DF"/>
    <w:rsid w:val="00D1760E"/>
    <w:rsid w:val="00D203D4"/>
    <w:rsid w:val="00D21169"/>
    <w:rsid w:val="00D2313B"/>
    <w:rsid w:val="00D2424A"/>
    <w:rsid w:val="00D246DF"/>
    <w:rsid w:val="00D24EFB"/>
    <w:rsid w:val="00D25158"/>
    <w:rsid w:val="00D25C84"/>
    <w:rsid w:val="00D26167"/>
    <w:rsid w:val="00D2650A"/>
    <w:rsid w:val="00D2650B"/>
    <w:rsid w:val="00D3123A"/>
    <w:rsid w:val="00D31838"/>
    <w:rsid w:val="00D3279B"/>
    <w:rsid w:val="00D335CC"/>
    <w:rsid w:val="00D35ABE"/>
    <w:rsid w:val="00D374F0"/>
    <w:rsid w:val="00D40319"/>
    <w:rsid w:val="00D414ED"/>
    <w:rsid w:val="00D431ED"/>
    <w:rsid w:val="00D43292"/>
    <w:rsid w:val="00D4359A"/>
    <w:rsid w:val="00D45500"/>
    <w:rsid w:val="00D50F12"/>
    <w:rsid w:val="00D523F7"/>
    <w:rsid w:val="00D52788"/>
    <w:rsid w:val="00D52E51"/>
    <w:rsid w:val="00D537C1"/>
    <w:rsid w:val="00D55F7A"/>
    <w:rsid w:val="00D5624F"/>
    <w:rsid w:val="00D56B19"/>
    <w:rsid w:val="00D5781E"/>
    <w:rsid w:val="00D609BA"/>
    <w:rsid w:val="00D61311"/>
    <w:rsid w:val="00D61745"/>
    <w:rsid w:val="00D618FF"/>
    <w:rsid w:val="00D62437"/>
    <w:rsid w:val="00D634A7"/>
    <w:rsid w:val="00D65042"/>
    <w:rsid w:val="00D6678E"/>
    <w:rsid w:val="00D670EC"/>
    <w:rsid w:val="00D71491"/>
    <w:rsid w:val="00D72522"/>
    <w:rsid w:val="00D729FA"/>
    <w:rsid w:val="00D73B66"/>
    <w:rsid w:val="00D7463E"/>
    <w:rsid w:val="00D74746"/>
    <w:rsid w:val="00D74C32"/>
    <w:rsid w:val="00D75015"/>
    <w:rsid w:val="00D75DEE"/>
    <w:rsid w:val="00D7631C"/>
    <w:rsid w:val="00D7643E"/>
    <w:rsid w:val="00D76640"/>
    <w:rsid w:val="00D76A24"/>
    <w:rsid w:val="00D771C1"/>
    <w:rsid w:val="00D775C1"/>
    <w:rsid w:val="00D8052E"/>
    <w:rsid w:val="00D8070E"/>
    <w:rsid w:val="00D81E8E"/>
    <w:rsid w:val="00D82912"/>
    <w:rsid w:val="00D83526"/>
    <w:rsid w:val="00D83EB5"/>
    <w:rsid w:val="00D857AA"/>
    <w:rsid w:val="00D85F6A"/>
    <w:rsid w:val="00D87633"/>
    <w:rsid w:val="00D90B32"/>
    <w:rsid w:val="00D91698"/>
    <w:rsid w:val="00D91AE0"/>
    <w:rsid w:val="00D91DB4"/>
    <w:rsid w:val="00D95A2C"/>
    <w:rsid w:val="00D95BC5"/>
    <w:rsid w:val="00D96135"/>
    <w:rsid w:val="00D9775F"/>
    <w:rsid w:val="00DA2100"/>
    <w:rsid w:val="00DA32F7"/>
    <w:rsid w:val="00DA4C1F"/>
    <w:rsid w:val="00DA4F2F"/>
    <w:rsid w:val="00DA5246"/>
    <w:rsid w:val="00DA659F"/>
    <w:rsid w:val="00DA6D8D"/>
    <w:rsid w:val="00DA718C"/>
    <w:rsid w:val="00DB2062"/>
    <w:rsid w:val="00DB3E48"/>
    <w:rsid w:val="00DB4C82"/>
    <w:rsid w:val="00DB5321"/>
    <w:rsid w:val="00DB608F"/>
    <w:rsid w:val="00DB7183"/>
    <w:rsid w:val="00DB776B"/>
    <w:rsid w:val="00DC1125"/>
    <w:rsid w:val="00DC19E2"/>
    <w:rsid w:val="00DC1CDA"/>
    <w:rsid w:val="00DC2BE1"/>
    <w:rsid w:val="00DC38E8"/>
    <w:rsid w:val="00DC400E"/>
    <w:rsid w:val="00DC69F1"/>
    <w:rsid w:val="00DC7DA7"/>
    <w:rsid w:val="00DD3779"/>
    <w:rsid w:val="00DD61DE"/>
    <w:rsid w:val="00DD642F"/>
    <w:rsid w:val="00DD6BE7"/>
    <w:rsid w:val="00DD6F90"/>
    <w:rsid w:val="00DD7805"/>
    <w:rsid w:val="00DD7D16"/>
    <w:rsid w:val="00DE149B"/>
    <w:rsid w:val="00DE28C2"/>
    <w:rsid w:val="00DE2935"/>
    <w:rsid w:val="00DE58E8"/>
    <w:rsid w:val="00DE6F54"/>
    <w:rsid w:val="00DF06A8"/>
    <w:rsid w:val="00DF0D83"/>
    <w:rsid w:val="00DF1164"/>
    <w:rsid w:val="00DF1AAF"/>
    <w:rsid w:val="00DF398F"/>
    <w:rsid w:val="00DF47D9"/>
    <w:rsid w:val="00DF51A2"/>
    <w:rsid w:val="00DF76D9"/>
    <w:rsid w:val="00E004C1"/>
    <w:rsid w:val="00E00AB6"/>
    <w:rsid w:val="00E00C4D"/>
    <w:rsid w:val="00E02DC9"/>
    <w:rsid w:val="00E05C15"/>
    <w:rsid w:val="00E060D2"/>
    <w:rsid w:val="00E062FC"/>
    <w:rsid w:val="00E06ECF"/>
    <w:rsid w:val="00E10060"/>
    <w:rsid w:val="00E11A62"/>
    <w:rsid w:val="00E123C4"/>
    <w:rsid w:val="00E1241D"/>
    <w:rsid w:val="00E12669"/>
    <w:rsid w:val="00E133D4"/>
    <w:rsid w:val="00E13E2D"/>
    <w:rsid w:val="00E15FFB"/>
    <w:rsid w:val="00E16278"/>
    <w:rsid w:val="00E168C5"/>
    <w:rsid w:val="00E20FFA"/>
    <w:rsid w:val="00E22D89"/>
    <w:rsid w:val="00E22ED8"/>
    <w:rsid w:val="00E23228"/>
    <w:rsid w:val="00E247E1"/>
    <w:rsid w:val="00E24882"/>
    <w:rsid w:val="00E254CB"/>
    <w:rsid w:val="00E26121"/>
    <w:rsid w:val="00E269C4"/>
    <w:rsid w:val="00E302BF"/>
    <w:rsid w:val="00E31D7E"/>
    <w:rsid w:val="00E33727"/>
    <w:rsid w:val="00E3466C"/>
    <w:rsid w:val="00E353AE"/>
    <w:rsid w:val="00E35ADC"/>
    <w:rsid w:val="00E35EE1"/>
    <w:rsid w:val="00E373BD"/>
    <w:rsid w:val="00E409DA"/>
    <w:rsid w:val="00E40DDA"/>
    <w:rsid w:val="00E41E6E"/>
    <w:rsid w:val="00E43B81"/>
    <w:rsid w:val="00E45C24"/>
    <w:rsid w:val="00E45CB6"/>
    <w:rsid w:val="00E45FFF"/>
    <w:rsid w:val="00E46B41"/>
    <w:rsid w:val="00E47D4B"/>
    <w:rsid w:val="00E47D56"/>
    <w:rsid w:val="00E510C8"/>
    <w:rsid w:val="00E52B60"/>
    <w:rsid w:val="00E53045"/>
    <w:rsid w:val="00E53664"/>
    <w:rsid w:val="00E544FA"/>
    <w:rsid w:val="00E551DD"/>
    <w:rsid w:val="00E56B4F"/>
    <w:rsid w:val="00E5767B"/>
    <w:rsid w:val="00E57918"/>
    <w:rsid w:val="00E60141"/>
    <w:rsid w:val="00E6083C"/>
    <w:rsid w:val="00E6092D"/>
    <w:rsid w:val="00E6433C"/>
    <w:rsid w:val="00E658BD"/>
    <w:rsid w:val="00E65DE8"/>
    <w:rsid w:val="00E66272"/>
    <w:rsid w:val="00E67E23"/>
    <w:rsid w:val="00E67F88"/>
    <w:rsid w:val="00E70A31"/>
    <w:rsid w:val="00E71214"/>
    <w:rsid w:val="00E71820"/>
    <w:rsid w:val="00E71FA4"/>
    <w:rsid w:val="00E73312"/>
    <w:rsid w:val="00E7345D"/>
    <w:rsid w:val="00E734E7"/>
    <w:rsid w:val="00E7383D"/>
    <w:rsid w:val="00E74333"/>
    <w:rsid w:val="00E75D16"/>
    <w:rsid w:val="00E77DFD"/>
    <w:rsid w:val="00E80B61"/>
    <w:rsid w:val="00E8179F"/>
    <w:rsid w:val="00E817AA"/>
    <w:rsid w:val="00E81FAB"/>
    <w:rsid w:val="00E821F4"/>
    <w:rsid w:val="00E82C8C"/>
    <w:rsid w:val="00E83548"/>
    <w:rsid w:val="00E83FBE"/>
    <w:rsid w:val="00E86F6E"/>
    <w:rsid w:val="00E90699"/>
    <w:rsid w:val="00E90B73"/>
    <w:rsid w:val="00E90E2A"/>
    <w:rsid w:val="00E90E72"/>
    <w:rsid w:val="00E92173"/>
    <w:rsid w:val="00E9316F"/>
    <w:rsid w:val="00E93724"/>
    <w:rsid w:val="00E949BF"/>
    <w:rsid w:val="00E94FC6"/>
    <w:rsid w:val="00E9529F"/>
    <w:rsid w:val="00E95E4F"/>
    <w:rsid w:val="00E96856"/>
    <w:rsid w:val="00E9695D"/>
    <w:rsid w:val="00E977BA"/>
    <w:rsid w:val="00E97E83"/>
    <w:rsid w:val="00EA0BEC"/>
    <w:rsid w:val="00EA193F"/>
    <w:rsid w:val="00EA3F73"/>
    <w:rsid w:val="00EA3FF0"/>
    <w:rsid w:val="00EA46DC"/>
    <w:rsid w:val="00EA484B"/>
    <w:rsid w:val="00EA4B4A"/>
    <w:rsid w:val="00EA5C2F"/>
    <w:rsid w:val="00EA5F44"/>
    <w:rsid w:val="00EA6FAE"/>
    <w:rsid w:val="00EA7AA7"/>
    <w:rsid w:val="00EA7CB1"/>
    <w:rsid w:val="00EB0890"/>
    <w:rsid w:val="00EB1229"/>
    <w:rsid w:val="00EB20C0"/>
    <w:rsid w:val="00EB2339"/>
    <w:rsid w:val="00EB2737"/>
    <w:rsid w:val="00EB2796"/>
    <w:rsid w:val="00EB37E9"/>
    <w:rsid w:val="00EB3E7F"/>
    <w:rsid w:val="00EB568D"/>
    <w:rsid w:val="00EB64AC"/>
    <w:rsid w:val="00EB67D4"/>
    <w:rsid w:val="00EB7AC6"/>
    <w:rsid w:val="00EB7CA5"/>
    <w:rsid w:val="00EC0280"/>
    <w:rsid w:val="00EC0A11"/>
    <w:rsid w:val="00EC13EE"/>
    <w:rsid w:val="00EC1974"/>
    <w:rsid w:val="00EC2DAC"/>
    <w:rsid w:val="00EC2DE1"/>
    <w:rsid w:val="00EC32B5"/>
    <w:rsid w:val="00EC3473"/>
    <w:rsid w:val="00EC3805"/>
    <w:rsid w:val="00EC3FED"/>
    <w:rsid w:val="00EC41DD"/>
    <w:rsid w:val="00EC5E86"/>
    <w:rsid w:val="00EC626F"/>
    <w:rsid w:val="00EC6FF7"/>
    <w:rsid w:val="00ED0050"/>
    <w:rsid w:val="00ED04F8"/>
    <w:rsid w:val="00ED163C"/>
    <w:rsid w:val="00ED2957"/>
    <w:rsid w:val="00ED4274"/>
    <w:rsid w:val="00ED4FC5"/>
    <w:rsid w:val="00ED56CB"/>
    <w:rsid w:val="00ED68D6"/>
    <w:rsid w:val="00ED6925"/>
    <w:rsid w:val="00ED6D26"/>
    <w:rsid w:val="00ED7673"/>
    <w:rsid w:val="00ED7A10"/>
    <w:rsid w:val="00ED7F59"/>
    <w:rsid w:val="00EE051F"/>
    <w:rsid w:val="00EE10FD"/>
    <w:rsid w:val="00EE1524"/>
    <w:rsid w:val="00EE3187"/>
    <w:rsid w:val="00EE32ED"/>
    <w:rsid w:val="00EE360F"/>
    <w:rsid w:val="00EE4581"/>
    <w:rsid w:val="00EE65E3"/>
    <w:rsid w:val="00EE6660"/>
    <w:rsid w:val="00EE697A"/>
    <w:rsid w:val="00EE6DA8"/>
    <w:rsid w:val="00EE7056"/>
    <w:rsid w:val="00EE7690"/>
    <w:rsid w:val="00EE7E39"/>
    <w:rsid w:val="00EF2B62"/>
    <w:rsid w:val="00EF3A95"/>
    <w:rsid w:val="00EF464C"/>
    <w:rsid w:val="00EF5D7B"/>
    <w:rsid w:val="00EF6038"/>
    <w:rsid w:val="00EF7521"/>
    <w:rsid w:val="00EF7744"/>
    <w:rsid w:val="00EF78A7"/>
    <w:rsid w:val="00F01673"/>
    <w:rsid w:val="00F01865"/>
    <w:rsid w:val="00F02C8F"/>
    <w:rsid w:val="00F02F46"/>
    <w:rsid w:val="00F035CC"/>
    <w:rsid w:val="00F03C7D"/>
    <w:rsid w:val="00F03CB8"/>
    <w:rsid w:val="00F03E24"/>
    <w:rsid w:val="00F04599"/>
    <w:rsid w:val="00F048D9"/>
    <w:rsid w:val="00F04A34"/>
    <w:rsid w:val="00F05973"/>
    <w:rsid w:val="00F05B35"/>
    <w:rsid w:val="00F065FE"/>
    <w:rsid w:val="00F06D3D"/>
    <w:rsid w:val="00F07C54"/>
    <w:rsid w:val="00F107E5"/>
    <w:rsid w:val="00F109ED"/>
    <w:rsid w:val="00F111FA"/>
    <w:rsid w:val="00F11B1C"/>
    <w:rsid w:val="00F120D4"/>
    <w:rsid w:val="00F12C52"/>
    <w:rsid w:val="00F13EA6"/>
    <w:rsid w:val="00F142C7"/>
    <w:rsid w:val="00F14608"/>
    <w:rsid w:val="00F15438"/>
    <w:rsid w:val="00F15548"/>
    <w:rsid w:val="00F16151"/>
    <w:rsid w:val="00F164A8"/>
    <w:rsid w:val="00F1699F"/>
    <w:rsid w:val="00F170F0"/>
    <w:rsid w:val="00F2154B"/>
    <w:rsid w:val="00F2178B"/>
    <w:rsid w:val="00F25255"/>
    <w:rsid w:val="00F257D7"/>
    <w:rsid w:val="00F266ED"/>
    <w:rsid w:val="00F26960"/>
    <w:rsid w:val="00F26AFA"/>
    <w:rsid w:val="00F2725D"/>
    <w:rsid w:val="00F27C36"/>
    <w:rsid w:val="00F30869"/>
    <w:rsid w:val="00F3242A"/>
    <w:rsid w:val="00F3290B"/>
    <w:rsid w:val="00F32FAA"/>
    <w:rsid w:val="00F3512E"/>
    <w:rsid w:val="00F36029"/>
    <w:rsid w:val="00F36204"/>
    <w:rsid w:val="00F3665E"/>
    <w:rsid w:val="00F36E5C"/>
    <w:rsid w:val="00F37238"/>
    <w:rsid w:val="00F3731A"/>
    <w:rsid w:val="00F404D4"/>
    <w:rsid w:val="00F40898"/>
    <w:rsid w:val="00F42572"/>
    <w:rsid w:val="00F44947"/>
    <w:rsid w:val="00F44967"/>
    <w:rsid w:val="00F44ED5"/>
    <w:rsid w:val="00F4618A"/>
    <w:rsid w:val="00F46F96"/>
    <w:rsid w:val="00F50572"/>
    <w:rsid w:val="00F50644"/>
    <w:rsid w:val="00F508A6"/>
    <w:rsid w:val="00F50945"/>
    <w:rsid w:val="00F51456"/>
    <w:rsid w:val="00F52125"/>
    <w:rsid w:val="00F53E33"/>
    <w:rsid w:val="00F547EF"/>
    <w:rsid w:val="00F57071"/>
    <w:rsid w:val="00F60F99"/>
    <w:rsid w:val="00F61DDC"/>
    <w:rsid w:val="00F62400"/>
    <w:rsid w:val="00F629A4"/>
    <w:rsid w:val="00F62AD4"/>
    <w:rsid w:val="00F62FFF"/>
    <w:rsid w:val="00F6391A"/>
    <w:rsid w:val="00F63A5E"/>
    <w:rsid w:val="00F63F39"/>
    <w:rsid w:val="00F66E3B"/>
    <w:rsid w:val="00F67762"/>
    <w:rsid w:val="00F71AF7"/>
    <w:rsid w:val="00F72384"/>
    <w:rsid w:val="00F741FD"/>
    <w:rsid w:val="00F756EF"/>
    <w:rsid w:val="00F75C9C"/>
    <w:rsid w:val="00F76E60"/>
    <w:rsid w:val="00F775DA"/>
    <w:rsid w:val="00F81D2D"/>
    <w:rsid w:val="00F81D6F"/>
    <w:rsid w:val="00F82468"/>
    <w:rsid w:val="00F82B71"/>
    <w:rsid w:val="00F83936"/>
    <w:rsid w:val="00F84C83"/>
    <w:rsid w:val="00F862E9"/>
    <w:rsid w:val="00F86D53"/>
    <w:rsid w:val="00F91ACF"/>
    <w:rsid w:val="00F9241A"/>
    <w:rsid w:val="00F95293"/>
    <w:rsid w:val="00F95CFE"/>
    <w:rsid w:val="00F962F7"/>
    <w:rsid w:val="00F96D81"/>
    <w:rsid w:val="00F97339"/>
    <w:rsid w:val="00F9735B"/>
    <w:rsid w:val="00F978C1"/>
    <w:rsid w:val="00FA02BD"/>
    <w:rsid w:val="00FA0419"/>
    <w:rsid w:val="00FA07A5"/>
    <w:rsid w:val="00FA18C3"/>
    <w:rsid w:val="00FA211D"/>
    <w:rsid w:val="00FA2430"/>
    <w:rsid w:val="00FA291D"/>
    <w:rsid w:val="00FA33DD"/>
    <w:rsid w:val="00FA3A1D"/>
    <w:rsid w:val="00FA4110"/>
    <w:rsid w:val="00FA482C"/>
    <w:rsid w:val="00FA6096"/>
    <w:rsid w:val="00FA7C98"/>
    <w:rsid w:val="00FB0CF5"/>
    <w:rsid w:val="00FB168B"/>
    <w:rsid w:val="00FB56C6"/>
    <w:rsid w:val="00FB5D60"/>
    <w:rsid w:val="00FB5E0A"/>
    <w:rsid w:val="00FC00BE"/>
    <w:rsid w:val="00FC0A44"/>
    <w:rsid w:val="00FC1D60"/>
    <w:rsid w:val="00FC253B"/>
    <w:rsid w:val="00FC2607"/>
    <w:rsid w:val="00FC3048"/>
    <w:rsid w:val="00FC3079"/>
    <w:rsid w:val="00FC3243"/>
    <w:rsid w:val="00FC3425"/>
    <w:rsid w:val="00FC4155"/>
    <w:rsid w:val="00FC4C23"/>
    <w:rsid w:val="00FC5C5E"/>
    <w:rsid w:val="00FC6B77"/>
    <w:rsid w:val="00FC6F4F"/>
    <w:rsid w:val="00FC7049"/>
    <w:rsid w:val="00FC7D64"/>
    <w:rsid w:val="00FC7DF8"/>
    <w:rsid w:val="00FD058A"/>
    <w:rsid w:val="00FD1744"/>
    <w:rsid w:val="00FD1FF7"/>
    <w:rsid w:val="00FD2061"/>
    <w:rsid w:val="00FD2157"/>
    <w:rsid w:val="00FD557D"/>
    <w:rsid w:val="00FD5699"/>
    <w:rsid w:val="00FD6227"/>
    <w:rsid w:val="00FE015C"/>
    <w:rsid w:val="00FE1109"/>
    <w:rsid w:val="00FE256A"/>
    <w:rsid w:val="00FE2C61"/>
    <w:rsid w:val="00FE3DA6"/>
    <w:rsid w:val="00FE4298"/>
    <w:rsid w:val="00FE74A7"/>
    <w:rsid w:val="00FF0D92"/>
    <w:rsid w:val="00FF1458"/>
    <w:rsid w:val="00FF14B0"/>
    <w:rsid w:val="00FF39B0"/>
    <w:rsid w:val="00FF43F9"/>
    <w:rsid w:val="00FF4860"/>
    <w:rsid w:val="00FF54FF"/>
    <w:rsid w:val="00FF6EF2"/>
    <w:rsid w:val="00FF78FC"/>
    <w:rsid w:val="01081ACC"/>
    <w:rsid w:val="01DE12A3"/>
    <w:rsid w:val="020338B0"/>
    <w:rsid w:val="022E0064"/>
    <w:rsid w:val="023A2154"/>
    <w:rsid w:val="026659F0"/>
    <w:rsid w:val="02CD1F13"/>
    <w:rsid w:val="03AB66EF"/>
    <w:rsid w:val="03BE7AAE"/>
    <w:rsid w:val="03C94B12"/>
    <w:rsid w:val="040B5B34"/>
    <w:rsid w:val="043B4C5B"/>
    <w:rsid w:val="04444EBE"/>
    <w:rsid w:val="046E3282"/>
    <w:rsid w:val="048C57B7"/>
    <w:rsid w:val="049F4DBC"/>
    <w:rsid w:val="05191440"/>
    <w:rsid w:val="062C65EA"/>
    <w:rsid w:val="066A4932"/>
    <w:rsid w:val="067A4160"/>
    <w:rsid w:val="068C6DFC"/>
    <w:rsid w:val="07353292"/>
    <w:rsid w:val="079B25E0"/>
    <w:rsid w:val="07A56FBB"/>
    <w:rsid w:val="07F677C1"/>
    <w:rsid w:val="07F82418"/>
    <w:rsid w:val="08AC1E12"/>
    <w:rsid w:val="091B0441"/>
    <w:rsid w:val="091F2D9D"/>
    <w:rsid w:val="096570B7"/>
    <w:rsid w:val="096B775C"/>
    <w:rsid w:val="097F55EA"/>
    <w:rsid w:val="09F7306D"/>
    <w:rsid w:val="0A8D0153"/>
    <w:rsid w:val="0AE44DD0"/>
    <w:rsid w:val="0B1E1A67"/>
    <w:rsid w:val="0B9C06D5"/>
    <w:rsid w:val="0BA457DB"/>
    <w:rsid w:val="0BE45BD8"/>
    <w:rsid w:val="0BED7182"/>
    <w:rsid w:val="0C1666D9"/>
    <w:rsid w:val="0C6A432F"/>
    <w:rsid w:val="0C7E602C"/>
    <w:rsid w:val="0CC43E24"/>
    <w:rsid w:val="0CD30126"/>
    <w:rsid w:val="0D0A78C0"/>
    <w:rsid w:val="0D724B7E"/>
    <w:rsid w:val="0D7551A2"/>
    <w:rsid w:val="0DA73361"/>
    <w:rsid w:val="0DDA1988"/>
    <w:rsid w:val="0E0D2904"/>
    <w:rsid w:val="0E2D71CC"/>
    <w:rsid w:val="0E2F405E"/>
    <w:rsid w:val="0E3F73C0"/>
    <w:rsid w:val="0E813BB2"/>
    <w:rsid w:val="0E8F2773"/>
    <w:rsid w:val="0EB2020F"/>
    <w:rsid w:val="0EBE0962"/>
    <w:rsid w:val="0F672DA8"/>
    <w:rsid w:val="0FED741D"/>
    <w:rsid w:val="0FF21D8D"/>
    <w:rsid w:val="1006196F"/>
    <w:rsid w:val="108D2888"/>
    <w:rsid w:val="108D4A90"/>
    <w:rsid w:val="10A57BB6"/>
    <w:rsid w:val="10D02934"/>
    <w:rsid w:val="10F55B22"/>
    <w:rsid w:val="10F90377"/>
    <w:rsid w:val="112532A0"/>
    <w:rsid w:val="11E5626B"/>
    <w:rsid w:val="12256F37"/>
    <w:rsid w:val="1257647E"/>
    <w:rsid w:val="12962A8F"/>
    <w:rsid w:val="12DE15D3"/>
    <w:rsid w:val="12DE5A77"/>
    <w:rsid w:val="13013A9E"/>
    <w:rsid w:val="134442A6"/>
    <w:rsid w:val="13472AF4"/>
    <w:rsid w:val="13BD38DE"/>
    <w:rsid w:val="13E675EB"/>
    <w:rsid w:val="13F94DB6"/>
    <w:rsid w:val="14AD61EE"/>
    <w:rsid w:val="150712B5"/>
    <w:rsid w:val="15AC4987"/>
    <w:rsid w:val="16096F64"/>
    <w:rsid w:val="1660788A"/>
    <w:rsid w:val="167E7FAD"/>
    <w:rsid w:val="17882BA0"/>
    <w:rsid w:val="17E94E21"/>
    <w:rsid w:val="181F06C4"/>
    <w:rsid w:val="182C0358"/>
    <w:rsid w:val="18360C1B"/>
    <w:rsid w:val="18C94AD3"/>
    <w:rsid w:val="18CB3BA9"/>
    <w:rsid w:val="18D01F80"/>
    <w:rsid w:val="18E66D77"/>
    <w:rsid w:val="197734BB"/>
    <w:rsid w:val="19933997"/>
    <w:rsid w:val="19D41982"/>
    <w:rsid w:val="19D66668"/>
    <w:rsid w:val="19F814DA"/>
    <w:rsid w:val="1A413BC8"/>
    <w:rsid w:val="1A7F18ED"/>
    <w:rsid w:val="1A8E7D82"/>
    <w:rsid w:val="1A9A796B"/>
    <w:rsid w:val="1B0032DD"/>
    <w:rsid w:val="1B3056B4"/>
    <w:rsid w:val="1B365BAF"/>
    <w:rsid w:val="1B882A24"/>
    <w:rsid w:val="1BAC5F55"/>
    <w:rsid w:val="1BB02483"/>
    <w:rsid w:val="1C2C0CB2"/>
    <w:rsid w:val="1C944BDC"/>
    <w:rsid w:val="1D17405F"/>
    <w:rsid w:val="1D33076D"/>
    <w:rsid w:val="1DA11E7E"/>
    <w:rsid w:val="1DD669A1"/>
    <w:rsid w:val="1DE01F9D"/>
    <w:rsid w:val="1E036392"/>
    <w:rsid w:val="1E19584F"/>
    <w:rsid w:val="1E2B4D65"/>
    <w:rsid w:val="1E4751DA"/>
    <w:rsid w:val="1F2513FD"/>
    <w:rsid w:val="1F5E479D"/>
    <w:rsid w:val="1F78690B"/>
    <w:rsid w:val="1F7E6248"/>
    <w:rsid w:val="1FF22B62"/>
    <w:rsid w:val="1FF868D8"/>
    <w:rsid w:val="205D223D"/>
    <w:rsid w:val="20693A8C"/>
    <w:rsid w:val="20B15BA7"/>
    <w:rsid w:val="20B47E17"/>
    <w:rsid w:val="21DB2344"/>
    <w:rsid w:val="220C0960"/>
    <w:rsid w:val="22180E56"/>
    <w:rsid w:val="229A1977"/>
    <w:rsid w:val="22F15211"/>
    <w:rsid w:val="233153D4"/>
    <w:rsid w:val="23733B39"/>
    <w:rsid w:val="237877B4"/>
    <w:rsid w:val="23CD6A45"/>
    <w:rsid w:val="240B1447"/>
    <w:rsid w:val="241217CA"/>
    <w:rsid w:val="246615F4"/>
    <w:rsid w:val="246B28E3"/>
    <w:rsid w:val="247D4CF8"/>
    <w:rsid w:val="24A1225A"/>
    <w:rsid w:val="24A26904"/>
    <w:rsid w:val="24E55779"/>
    <w:rsid w:val="257B5469"/>
    <w:rsid w:val="25C12DBA"/>
    <w:rsid w:val="26297825"/>
    <w:rsid w:val="26F3726F"/>
    <w:rsid w:val="272730F1"/>
    <w:rsid w:val="276205CD"/>
    <w:rsid w:val="2763381D"/>
    <w:rsid w:val="279D0DF3"/>
    <w:rsid w:val="27AE6F1C"/>
    <w:rsid w:val="27C22E19"/>
    <w:rsid w:val="27FA0D7D"/>
    <w:rsid w:val="283F4177"/>
    <w:rsid w:val="287B5AF8"/>
    <w:rsid w:val="287D0D43"/>
    <w:rsid w:val="28847A75"/>
    <w:rsid w:val="29004BDC"/>
    <w:rsid w:val="294A756A"/>
    <w:rsid w:val="297D10CF"/>
    <w:rsid w:val="299627B0"/>
    <w:rsid w:val="29B269F7"/>
    <w:rsid w:val="29EB48A9"/>
    <w:rsid w:val="29EE7EF6"/>
    <w:rsid w:val="29FF6BE5"/>
    <w:rsid w:val="2A031847"/>
    <w:rsid w:val="2A777809"/>
    <w:rsid w:val="2AAA43DE"/>
    <w:rsid w:val="2ACE34E8"/>
    <w:rsid w:val="2BA74800"/>
    <w:rsid w:val="2C182496"/>
    <w:rsid w:val="2C2E6CCF"/>
    <w:rsid w:val="2C945DCF"/>
    <w:rsid w:val="2CBF4454"/>
    <w:rsid w:val="2D094822"/>
    <w:rsid w:val="2D1265F1"/>
    <w:rsid w:val="2D60110A"/>
    <w:rsid w:val="2D656721"/>
    <w:rsid w:val="2D744BB6"/>
    <w:rsid w:val="2DB17BB8"/>
    <w:rsid w:val="2DDB2E87"/>
    <w:rsid w:val="2DDE216C"/>
    <w:rsid w:val="2DE53F0C"/>
    <w:rsid w:val="2DEF06E0"/>
    <w:rsid w:val="2E3305CD"/>
    <w:rsid w:val="2E50005F"/>
    <w:rsid w:val="2E830A37"/>
    <w:rsid w:val="2F5F42A5"/>
    <w:rsid w:val="2F7215C9"/>
    <w:rsid w:val="2FBC2844"/>
    <w:rsid w:val="2FD14541"/>
    <w:rsid w:val="2FF43D8C"/>
    <w:rsid w:val="30874C00"/>
    <w:rsid w:val="30BA3228"/>
    <w:rsid w:val="30DA7426"/>
    <w:rsid w:val="312D6024"/>
    <w:rsid w:val="31C10375"/>
    <w:rsid w:val="32957AA8"/>
    <w:rsid w:val="32B12408"/>
    <w:rsid w:val="332C1A8F"/>
    <w:rsid w:val="33DF717A"/>
    <w:rsid w:val="33EE1373"/>
    <w:rsid w:val="33F7394E"/>
    <w:rsid w:val="342E1940"/>
    <w:rsid w:val="34DF5B3D"/>
    <w:rsid w:val="34EC597A"/>
    <w:rsid w:val="34EE34A0"/>
    <w:rsid w:val="364E03AC"/>
    <w:rsid w:val="367B6FB5"/>
    <w:rsid w:val="368678EE"/>
    <w:rsid w:val="369C3F7E"/>
    <w:rsid w:val="36A24542"/>
    <w:rsid w:val="36D52D08"/>
    <w:rsid w:val="36E121AF"/>
    <w:rsid w:val="37476E97"/>
    <w:rsid w:val="37571E70"/>
    <w:rsid w:val="37873738"/>
    <w:rsid w:val="37A70E90"/>
    <w:rsid w:val="37C640CA"/>
    <w:rsid w:val="37E2066E"/>
    <w:rsid w:val="3802174C"/>
    <w:rsid w:val="380F260F"/>
    <w:rsid w:val="39074B30"/>
    <w:rsid w:val="39F33306"/>
    <w:rsid w:val="3A267B79"/>
    <w:rsid w:val="3A461688"/>
    <w:rsid w:val="3A886145"/>
    <w:rsid w:val="3A970136"/>
    <w:rsid w:val="3B036428"/>
    <w:rsid w:val="3B0752BB"/>
    <w:rsid w:val="3C0637C5"/>
    <w:rsid w:val="3C3420E0"/>
    <w:rsid w:val="3CE55188"/>
    <w:rsid w:val="3CF25AF7"/>
    <w:rsid w:val="3D2139CC"/>
    <w:rsid w:val="3D820C29"/>
    <w:rsid w:val="3DA07301"/>
    <w:rsid w:val="3E247F32"/>
    <w:rsid w:val="3E255738"/>
    <w:rsid w:val="3E312844"/>
    <w:rsid w:val="3E3B5F00"/>
    <w:rsid w:val="3E895FE7"/>
    <w:rsid w:val="3F152FAD"/>
    <w:rsid w:val="3F9115F7"/>
    <w:rsid w:val="3FAB187B"/>
    <w:rsid w:val="3FC419CD"/>
    <w:rsid w:val="4011165D"/>
    <w:rsid w:val="408F1FDB"/>
    <w:rsid w:val="40DE6ABE"/>
    <w:rsid w:val="410743E2"/>
    <w:rsid w:val="41287D39"/>
    <w:rsid w:val="41BA4D84"/>
    <w:rsid w:val="41C645C6"/>
    <w:rsid w:val="41CD3AD2"/>
    <w:rsid w:val="426A5D06"/>
    <w:rsid w:val="42C65A5C"/>
    <w:rsid w:val="42F535F3"/>
    <w:rsid w:val="432D3A9C"/>
    <w:rsid w:val="43346E69"/>
    <w:rsid w:val="433C5B2C"/>
    <w:rsid w:val="43511676"/>
    <w:rsid w:val="43860A3B"/>
    <w:rsid w:val="43E06BC0"/>
    <w:rsid w:val="44237492"/>
    <w:rsid w:val="44705C7F"/>
    <w:rsid w:val="448B259E"/>
    <w:rsid w:val="44E76F80"/>
    <w:rsid w:val="454553D0"/>
    <w:rsid w:val="45EE77A4"/>
    <w:rsid w:val="45F9284A"/>
    <w:rsid w:val="46565349"/>
    <w:rsid w:val="46B94C58"/>
    <w:rsid w:val="46F030A7"/>
    <w:rsid w:val="46F30DEA"/>
    <w:rsid w:val="479B4556"/>
    <w:rsid w:val="47C0222D"/>
    <w:rsid w:val="485E45E6"/>
    <w:rsid w:val="48A56114"/>
    <w:rsid w:val="48A759E8"/>
    <w:rsid w:val="48BD16AF"/>
    <w:rsid w:val="49682933"/>
    <w:rsid w:val="499E09AD"/>
    <w:rsid w:val="49A07007"/>
    <w:rsid w:val="4A123335"/>
    <w:rsid w:val="4A3820E9"/>
    <w:rsid w:val="4A534079"/>
    <w:rsid w:val="4A7956DA"/>
    <w:rsid w:val="4A963F66"/>
    <w:rsid w:val="4ADF76BB"/>
    <w:rsid w:val="4AFD3FE5"/>
    <w:rsid w:val="4B0E61F2"/>
    <w:rsid w:val="4BA07456"/>
    <w:rsid w:val="4C1B2975"/>
    <w:rsid w:val="4C431ECB"/>
    <w:rsid w:val="4C516B57"/>
    <w:rsid w:val="4C5D76E3"/>
    <w:rsid w:val="4C641AE7"/>
    <w:rsid w:val="4C765DFD"/>
    <w:rsid w:val="4CA02E7A"/>
    <w:rsid w:val="4CC052CA"/>
    <w:rsid w:val="4DAE072C"/>
    <w:rsid w:val="4DB0533F"/>
    <w:rsid w:val="4DC91F90"/>
    <w:rsid w:val="4DE2565B"/>
    <w:rsid w:val="4E094A4F"/>
    <w:rsid w:val="4E127DA7"/>
    <w:rsid w:val="4EA26B1C"/>
    <w:rsid w:val="4EAD5292"/>
    <w:rsid w:val="4EC866B8"/>
    <w:rsid w:val="4F002673"/>
    <w:rsid w:val="4F710AFD"/>
    <w:rsid w:val="4FBA06F6"/>
    <w:rsid w:val="50015AD5"/>
    <w:rsid w:val="502E2B4B"/>
    <w:rsid w:val="50670C63"/>
    <w:rsid w:val="50872FED"/>
    <w:rsid w:val="514A7858"/>
    <w:rsid w:val="52563854"/>
    <w:rsid w:val="528374C6"/>
    <w:rsid w:val="53231056"/>
    <w:rsid w:val="53356328"/>
    <w:rsid w:val="53393A13"/>
    <w:rsid w:val="53BF390A"/>
    <w:rsid w:val="540B725E"/>
    <w:rsid w:val="54220E8B"/>
    <w:rsid w:val="543A0058"/>
    <w:rsid w:val="543D17CB"/>
    <w:rsid w:val="54BC4D80"/>
    <w:rsid w:val="54D46F5D"/>
    <w:rsid w:val="55742C70"/>
    <w:rsid w:val="559C0A68"/>
    <w:rsid w:val="56167D3E"/>
    <w:rsid w:val="56171C7F"/>
    <w:rsid w:val="56C1236A"/>
    <w:rsid w:val="57087F99"/>
    <w:rsid w:val="571A2668"/>
    <w:rsid w:val="57301C7B"/>
    <w:rsid w:val="57CB7815"/>
    <w:rsid w:val="57D80DB6"/>
    <w:rsid w:val="57F549C2"/>
    <w:rsid w:val="57FC328C"/>
    <w:rsid w:val="58686785"/>
    <w:rsid w:val="588F68D3"/>
    <w:rsid w:val="5892605D"/>
    <w:rsid w:val="58975289"/>
    <w:rsid w:val="58AD3FE7"/>
    <w:rsid w:val="58DD720D"/>
    <w:rsid w:val="598F6750"/>
    <w:rsid w:val="599C0E6D"/>
    <w:rsid w:val="59D40607"/>
    <w:rsid w:val="5A701FF2"/>
    <w:rsid w:val="5A981634"/>
    <w:rsid w:val="5AE900E2"/>
    <w:rsid w:val="5B5B7588"/>
    <w:rsid w:val="5B950EA3"/>
    <w:rsid w:val="5BA6428C"/>
    <w:rsid w:val="5BEF797A"/>
    <w:rsid w:val="5C2E2250"/>
    <w:rsid w:val="5C3F26AF"/>
    <w:rsid w:val="5E1611EE"/>
    <w:rsid w:val="5E541D16"/>
    <w:rsid w:val="5E824F54"/>
    <w:rsid w:val="5EB6652D"/>
    <w:rsid w:val="5F0B7D28"/>
    <w:rsid w:val="5F8623A3"/>
    <w:rsid w:val="5FD4423A"/>
    <w:rsid w:val="5FE13A7D"/>
    <w:rsid w:val="5FEF335D"/>
    <w:rsid w:val="603D591F"/>
    <w:rsid w:val="60A302CD"/>
    <w:rsid w:val="60B17380"/>
    <w:rsid w:val="60C018E5"/>
    <w:rsid w:val="60C05441"/>
    <w:rsid w:val="60D96503"/>
    <w:rsid w:val="60F11A9E"/>
    <w:rsid w:val="611D53BA"/>
    <w:rsid w:val="612B47F1"/>
    <w:rsid w:val="620E53F5"/>
    <w:rsid w:val="622668B9"/>
    <w:rsid w:val="625E4788"/>
    <w:rsid w:val="62883C98"/>
    <w:rsid w:val="628D57F7"/>
    <w:rsid w:val="639D7CBB"/>
    <w:rsid w:val="63C4349A"/>
    <w:rsid w:val="63D00091"/>
    <w:rsid w:val="63D508CF"/>
    <w:rsid w:val="63E241AA"/>
    <w:rsid w:val="64561191"/>
    <w:rsid w:val="64A10B50"/>
    <w:rsid w:val="64A7606E"/>
    <w:rsid w:val="64A85F96"/>
    <w:rsid w:val="64BF60FC"/>
    <w:rsid w:val="6526484C"/>
    <w:rsid w:val="655748CB"/>
    <w:rsid w:val="65B76722"/>
    <w:rsid w:val="65D24B51"/>
    <w:rsid w:val="6618187B"/>
    <w:rsid w:val="661E1587"/>
    <w:rsid w:val="66417024"/>
    <w:rsid w:val="666024CC"/>
    <w:rsid w:val="66811B16"/>
    <w:rsid w:val="66C20165"/>
    <w:rsid w:val="66D60EA9"/>
    <w:rsid w:val="67051C91"/>
    <w:rsid w:val="673D4B92"/>
    <w:rsid w:val="67946C60"/>
    <w:rsid w:val="68834BBC"/>
    <w:rsid w:val="689720F1"/>
    <w:rsid w:val="68AA0EB0"/>
    <w:rsid w:val="6907588C"/>
    <w:rsid w:val="692B60C8"/>
    <w:rsid w:val="694D5CE0"/>
    <w:rsid w:val="696038C5"/>
    <w:rsid w:val="69D16428"/>
    <w:rsid w:val="69DA3A17"/>
    <w:rsid w:val="69FD6BFD"/>
    <w:rsid w:val="6A7E709E"/>
    <w:rsid w:val="6ADD1EE4"/>
    <w:rsid w:val="6B361121"/>
    <w:rsid w:val="6B637A3C"/>
    <w:rsid w:val="6B7457A6"/>
    <w:rsid w:val="6B7B28C4"/>
    <w:rsid w:val="6BC172F1"/>
    <w:rsid w:val="6BC73B27"/>
    <w:rsid w:val="6BD948CA"/>
    <w:rsid w:val="6C2C7E2E"/>
    <w:rsid w:val="6C7A3290"/>
    <w:rsid w:val="6D2A6A64"/>
    <w:rsid w:val="6DE75249"/>
    <w:rsid w:val="6E4679F8"/>
    <w:rsid w:val="6F26561D"/>
    <w:rsid w:val="6F327E52"/>
    <w:rsid w:val="6F525DFE"/>
    <w:rsid w:val="6F8561D3"/>
    <w:rsid w:val="6FE27182"/>
    <w:rsid w:val="6FF44B40"/>
    <w:rsid w:val="70000AA7"/>
    <w:rsid w:val="70340B20"/>
    <w:rsid w:val="70850625"/>
    <w:rsid w:val="70A332E7"/>
    <w:rsid w:val="70C71B7C"/>
    <w:rsid w:val="70D4154E"/>
    <w:rsid w:val="70E9209F"/>
    <w:rsid w:val="719646C8"/>
    <w:rsid w:val="71BD2B82"/>
    <w:rsid w:val="71C00B87"/>
    <w:rsid w:val="71D62D16"/>
    <w:rsid w:val="71D7083C"/>
    <w:rsid w:val="7201383B"/>
    <w:rsid w:val="72630EE2"/>
    <w:rsid w:val="733A6ECA"/>
    <w:rsid w:val="733D07E3"/>
    <w:rsid w:val="734C59DA"/>
    <w:rsid w:val="735008A6"/>
    <w:rsid w:val="735F409E"/>
    <w:rsid w:val="739263A6"/>
    <w:rsid w:val="73B9469D"/>
    <w:rsid w:val="740378EA"/>
    <w:rsid w:val="740E69C9"/>
    <w:rsid w:val="74357260"/>
    <w:rsid w:val="74452F75"/>
    <w:rsid w:val="744B2400"/>
    <w:rsid w:val="74706A4D"/>
    <w:rsid w:val="750C01C4"/>
    <w:rsid w:val="75571A59"/>
    <w:rsid w:val="757E1548"/>
    <w:rsid w:val="75C817BE"/>
    <w:rsid w:val="76A74C81"/>
    <w:rsid w:val="76BF1E64"/>
    <w:rsid w:val="76CF4942"/>
    <w:rsid w:val="77DC6BAC"/>
    <w:rsid w:val="77EB4899"/>
    <w:rsid w:val="781C7039"/>
    <w:rsid w:val="78282DC1"/>
    <w:rsid w:val="78654DF4"/>
    <w:rsid w:val="78660DE1"/>
    <w:rsid w:val="787768D5"/>
    <w:rsid w:val="78A646CC"/>
    <w:rsid w:val="78B6564F"/>
    <w:rsid w:val="78B9792E"/>
    <w:rsid w:val="78C93BB9"/>
    <w:rsid w:val="790C526F"/>
    <w:rsid w:val="79CF6ED7"/>
    <w:rsid w:val="79D86597"/>
    <w:rsid w:val="7A4822D7"/>
    <w:rsid w:val="7A7255A6"/>
    <w:rsid w:val="7A88628D"/>
    <w:rsid w:val="7ABA0707"/>
    <w:rsid w:val="7B7D06A6"/>
    <w:rsid w:val="7B8070B8"/>
    <w:rsid w:val="7BBB6FF6"/>
    <w:rsid w:val="7C395948"/>
    <w:rsid w:val="7C8056A2"/>
    <w:rsid w:val="7C8F0691"/>
    <w:rsid w:val="7CB00991"/>
    <w:rsid w:val="7CB92AFD"/>
    <w:rsid w:val="7CBE0F77"/>
    <w:rsid w:val="7CF77FE5"/>
    <w:rsid w:val="7D311748"/>
    <w:rsid w:val="7DA517E7"/>
    <w:rsid w:val="7E2412AD"/>
    <w:rsid w:val="7E68119A"/>
    <w:rsid w:val="7EE532A3"/>
    <w:rsid w:val="7EF22F62"/>
    <w:rsid w:val="7F2D2516"/>
    <w:rsid w:val="7F4036D7"/>
    <w:rsid w:val="7F752917"/>
    <w:rsid w:val="7FD34D39"/>
    <w:rsid w:val="7FDD0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nhideWhenUsed="0"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89"/>
    <w:qFormat/>
    <w:uiPriority w:val="9"/>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74"/>
    <w:qFormat/>
    <w:uiPriority w:val="0"/>
    <w:pPr>
      <w:keepNext/>
      <w:keepLines/>
      <w:spacing w:before="260" w:after="260" w:line="416" w:lineRule="auto"/>
      <w:jc w:val="center"/>
      <w:outlineLvl w:val="2"/>
    </w:pPr>
    <w:rPr>
      <w:rFonts w:eastAsia="楷体_GB2312"/>
      <w:b/>
      <w:bCs/>
      <w:kern w:val="0"/>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109"/>
    <w:qFormat/>
    <w:uiPriority w:val="9"/>
    <w:pPr>
      <w:keepNext/>
      <w:keepLines/>
      <w:spacing w:before="280" w:after="290" w:line="376" w:lineRule="auto"/>
      <w:outlineLvl w:val="4"/>
    </w:pPr>
    <w:rPr>
      <w:b/>
      <w:bCs/>
      <w:kern w:val="0"/>
      <w:sz w:val="28"/>
      <w:szCs w:val="28"/>
    </w:rPr>
  </w:style>
  <w:style w:type="paragraph" w:styleId="8">
    <w:name w:val="heading 6"/>
    <w:basedOn w:val="1"/>
    <w:next w:val="1"/>
    <w:link w:val="93"/>
    <w:qFormat/>
    <w:uiPriority w:val="0"/>
    <w:pPr>
      <w:keepNext/>
      <w:keepLines/>
      <w:spacing w:before="240" w:after="64" w:line="320" w:lineRule="auto"/>
      <w:outlineLvl w:val="5"/>
    </w:pPr>
    <w:rPr>
      <w:rFonts w:ascii="Arial" w:hAnsi="Arial" w:eastAsia="黑体"/>
      <w:b/>
      <w:bCs/>
      <w:kern w:val="0"/>
      <w:sz w:val="24"/>
    </w:rPr>
  </w:style>
  <w:style w:type="paragraph" w:styleId="9">
    <w:name w:val="heading 7"/>
    <w:basedOn w:val="1"/>
    <w:next w:val="1"/>
    <w:link w:val="213"/>
    <w:qFormat/>
    <w:uiPriority w:val="0"/>
    <w:pPr>
      <w:keepNext/>
      <w:keepLines/>
      <w:spacing w:before="240" w:after="64" w:line="320" w:lineRule="auto"/>
      <w:outlineLvl w:val="6"/>
    </w:pPr>
    <w:rPr>
      <w:b/>
      <w:bCs/>
      <w:kern w:val="0"/>
      <w:sz w:val="24"/>
    </w:rPr>
  </w:style>
  <w:style w:type="paragraph" w:styleId="10">
    <w:name w:val="heading 8"/>
    <w:basedOn w:val="1"/>
    <w:next w:val="1"/>
    <w:link w:val="223"/>
    <w:qFormat/>
    <w:uiPriority w:val="0"/>
    <w:pPr>
      <w:keepNext/>
      <w:keepLines/>
      <w:spacing w:before="240" w:after="64" w:line="320" w:lineRule="auto"/>
      <w:outlineLvl w:val="7"/>
    </w:pPr>
    <w:rPr>
      <w:rFonts w:ascii="Arial" w:hAnsi="Arial" w:eastAsia="黑体"/>
      <w:kern w:val="0"/>
      <w:sz w:val="24"/>
    </w:rPr>
  </w:style>
  <w:style w:type="paragraph" w:styleId="11">
    <w:name w:val="heading 9"/>
    <w:basedOn w:val="1"/>
    <w:next w:val="1"/>
    <w:link w:val="117"/>
    <w:qFormat/>
    <w:uiPriority w:val="0"/>
    <w:pPr>
      <w:keepNext/>
      <w:keepLines/>
      <w:spacing w:before="240" w:after="64" w:line="320" w:lineRule="auto"/>
      <w:outlineLvl w:val="8"/>
    </w:pPr>
    <w:rPr>
      <w:rFonts w:ascii="Arial" w:hAnsi="Arial" w:eastAsia="黑体"/>
      <w:kern w:val="0"/>
      <w:sz w:val="20"/>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2">
    <w:name w:val="toc 7"/>
    <w:basedOn w:val="1"/>
    <w:next w:val="1"/>
    <w:qFormat/>
    <w:uiPriority w:val="39"/>
    <w:pPr>
      <w:ind w:left="2520" w:leftChars="1200"/>
    </w:pPr>
  </w:style>
  <w:style w:type="paragraph" w:styleId="13">
    <w:name w:val="List Number"/>
    <w:basedOn w:val="1"/>
    <w:autoRedefine/>
    <w:qFormat/>
    <w:uiPriority w:val="0"/>
    <w:pPr>
      <w:widowControl/>
      <w:tabs>
        <w:tab w:val="left" w:pos="454"/>
        <w:tab w:val="left" w:pos="720"/>
        <w:tab w:val="left" w:pos="900"/>
      </w:tabs>
      <w:spacing w:afterLines="50"/>
      <w:ind w:left="908" w:hanging="284"/>
      <w:jc w:val="left"/>
    </w:pPr>
    <w:rPr>
      <w:kern w:val="0"/>
      <w:sz w:val="24"/>
      <w:szCs w:val="20"/>
    </w:rPr>
  </w:style>
  <w:style w:type="paragraph" w:styleId="14">
    <w:name w:val="Normal Indent"/>
    <w:basedOn w:val="1"/>
    <w:link w:val="103"/>
    <w:qFormat/>
    <w:uiPriority w:val="0"/>
    <w:pPr>
      <w:ind w:firstLine="420"/>
    </w:pPr>
    <w:rPr>
      <w:kern w:val="0"/>
      <w:sz w:val="20"/>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spacing w:line="360" w:lineRule="auto"/>
      <w:jc w:val="left"/>
    </w:pPr>
    <w:rPr>
      <w:rFonts w:ascii="宋体"/>
      <w:b/>
      <w:sz w:val="24"/>
    </w:rPr>
  </w:style>
  <w:style w:type="paragraph" w:styleId="17">
    <w:name w:val="Document Map"/>
    <w:basedOn w:val="1"/>
    <w:link w:val="112"/>
    <w:qFormat/>
    <w:uiPriority w:val="99"/>
    <w:pPr>
      <w:shd w:val="clear" w:color="auto" w:fill="000080"/>
    </w:pPr>
    <w:rPr>
      <w:kern w:val="0"/>
      <w:sz w:val="20"/>
    </w:rPr>
  </w:style>
  <w:style w:type="paragraph" w:styleId="18">
    <w:name w:val="toa heading"/>
    <w:basedOn w:val="1"/>
    <w:next w:val="1"/>
    <w:link w:val="162"/>
    <w:qFormat/>
    <w:uiPriority w:val="0"/>
    <w:pPr>
      <w:tabs>
        <w:tab w:val="left" w:pos="0"/>
      </w:tabs>
      <w:spacing w:before="120" w:line="360" w:lineRule="auto"/>
    </w:pPr>
    <w:rPr>
      <w:rFonts w:ascii="Arial" w:hAnsi="Arial"/>
      <w:kern w:val="0"/>
      <w:sz w:val="24"/>
      <w:szCs w:val="20"/>
    </w:rPr>
  </w:style>
  <w:style w:type="paragraph" w:styleId="19">
    <w:name w:val="annotation text"/>
    <w:basedOn w:val="1"/>
    <w:link w:val="168"/>
    <w:qFormat/>
    <w:uiPriority w:val="0"/>
    <w:pPr>
      <w:jc w:val="left"/>
    </w:pPr>
    <w:rPr>
      <w:kern w:val="0"/>
      <w:sz w:val="20"/>
    </w:rPr>
  </w:style>
  <w:style w:type="paragraph" w:styleId="20">
    <w:name w:val="Body Text 3"/>
    <w:basedOn w:val="1"/>
    <w:link w:val="75"/>
    <w:qFormat/>
    <w:uiPriority w:val="0"/>
    <w:pPr>
      <w:snapToGrid w:val="0"/>
      <w:spacing w:before="50" w:after="50"/>
    </w:pPr>
    <w:rPr>
      <w:rFonts w:hAnsi="宋体" w:eastAsia="仿宋_GB2312"/>
      <w:b/>
      <w:bCs/>
      <w:kern w:val="0"/>
      <w:sz w:val="24"/>
      <w:szCs w:val="20"/>
    </w:rPr>
  </w:style>
  <w:style w:type="paragraph" w:styleId="21">
    <w:name w:val="Body Text"/>
    <w:basedOn w:val="1"/>
    <w:next w:val="22"/>
    <w:link w:val="100"/>
    <w:qFormat/>
    <w:uiPriority w:val="0"/>
    <w:pPr>
      <w:spacing w:after="120"/>
    </w:pPr>
    <w:rPr>
      <w:kern w:val="0"/>
      <w:sz w:val="28"/>
    </w:rPr>
  </w:style>
  <w:style w:type="paragraph" w:styleId="22">
    <w:name w:val="Body Text First Indent"/>
    <w:basedOn w:val="21"/>
    <w:next w:val="1"/>
    <w:link w:val="165"/>
    <w:qFormat/>
    <w:uiPriority w:val="0"/>
    <w:pPr>
      <w:spacing w:beforeLines="50" w:afterLines="50" w:line="360" w:lineRule="auto"/>
      <w:ind w:firstLine="480" w:firstLineChars="200"/>
    </w:pPr>
    <w:rPr>
      <w:sz w:val="24"/>
    </w:rPr>
  </w:style>
  <w:style w:type="paragraph" w:styleId="23">
    <w:name w:val="Body Text Indent"/>
    <w:basedOn w:val="1"/>
    <w:next w:val="1"/>
    <w:link w:val="143"/>
    <w:qFormat/>
    <w:uiPriority w:val="0"/>
    <w:pPr>
      <w:spacing w:line="200" w:lineRule="exact"/>
      <w:ind w:firstLine="301"/>
    </w:pPr>
    <w:rPr>
      <w:rFonts w:ascii="宋体" w:hAnsi="Courier New"/>
      <w:spacing w:val="-4"/>
      <w:kern w:val="0"/>
      <w:sz w:val="18"/>
      <w:szCs w:val="20"/>
    </w:rPr>
  </w:style>
  <w:style w:type="paragraph" w:styleId="24">
    <w:name w:val="List Number 3"/>
    <w:basedOn w:val="1"/>
    <w:qFormat/>
    <w:uiPriority w:val="0"/>
    <w:pPr>
      <w:tabs>
        <w:tab w:val="left" w:pos="1200"/>
      </w:tabs>
      <w:ind w:left="1200" w:hanging="360"/>
    </w:pPr>
  </w:style>
  <w:style w:type="paragraph" w:styleId="25">
    <w:name w:val="List 2"/>
    <w:basedOn w:val="1"/>
    <w:qFormat/>
    <w:uiPriority w:val="0"/>
    <w:pPr>
      <w:ind w:left="100" w:leftChars="200" w:hanging="200" w:hangingChars="200"/>
    </w:pPr>
    <w:rPr>
      <w:sz w:val="28"/>
    </w:rPr>
  </w:style>
  <w:style w:type="paragraph" w:styleId="26">
    <w:name w:val="List Bullet 2"/>
    <w:basedOn w:val="1"/>
    <w:qFormat/>
    <w:uiPriority w:val="0"/>
    <w:pPr>
      <w:tabs>
        <w:tab w:val="left" w:pos="840"/>
      </w:tabs>
      <w:spacing w:line="360" w:lineRule="auto"/>
      <w:ind w:left="989" w:leftChars="471" w:firstLine="2" w:firstLineChars="1"/>
    </w:pPr>
    <w:rPr>
      <w:rFonts w:ascii="宋体"/>
      <w:sz w:val="24"/>
    </w:rPr>
  </w:style>
  <w:style w:type="paragraph" w:styleId="27">
    <w:name w:val="toc 5"/>
    <w:basedOn w:val="1"/>
    <w:next w:val="1"/>
    <w:qFormat/>
    <w:uiPriority w:val="39"/>
    <w:pPr>
      <w:ind w:left="1680" w:leftChars="800"/>
    </w:pPr>
  </w:style>
  <w:style w:type="paragraph" w:styleId="28">
    <w:name w:val="toc 3"/>
    <w:basedOn w:val="1"/>
    <w:next w:val="1"/>
    <w:qFormat/>
    <w:uiPriority w:val="39"/>
    <w:pPr>
      <w:ind w:left="840" w:leftChars="400"/>
    </w:pPr>
  </w:style>
  <w:style w:type="paragraph" w:styleId="29">
    <w:name w:val="Plain Text"/>
    <w:basedOn w:val="1"/>
    <w:next w:val="30"/>
    <w:link w:val="91"/>
    <w:qFormat/>
    <w:uiPriority w:val="0"/>
    <w:pPr>
      <w:spacing w:beforeLines="50" w:afterLines="50" w:line="400" w:lineRule="exact"/>
    </w:pPr>
    <w:rPr>
      <w:rFonts w:ascii="宋体" w:hAnsi="Courier New"/>
      <w:kern w:val="0"/>
      <w:sz w:val="24"/>
    </w:rPr>
  </w:style>
  <w:style w:type="paragraph" w:styleId="30">
    <w:name w:val="Date"/>
    <w:basedOn w:val="1"/>
    <w:next w:val="1"/>
    <w:link w:val="148"/>
    <w:qFormat/>
    <w:uiPriority w:val="0"/>
    <w:pPr>
      <w:ind w:left="2500" w:leftChars="2500"/>
    </w:pPr>
    <w:rPr>
      <w:rFonts w:eastAsia="楷体_GB2312"/>
      <w:kern w:val="0"/>
      <w:sz w:val="32"/>
      <w:szCs w:val="20"/>
    </w:rPr>
  </w:style>
  <w:style w:type="paragraph" w:styleId="31">
    <w:name w:val="toc 8"/>
    <w:basedOn w:val="1"/>
    <w:next w:val="1"/>
    <w:unhideWhenUsed/>
    <w:qFormat/>
    <w:uiPriority w:val="39"/>
    <w:pPr>
      <w:ind w:left="2940" w:leftChars="1400"/>
    </w:pPr>
    <w:rPr>
      <w:rFonts w:ascii="Calibri" w:hAnsi="Calibri"/>
      <w:szCs w:val="22"/>
    </w:rPr>
  </w:style>
  <w:style w:type="paragraph" w:styleId="32">
    <w:name w:val="Body Text Indent 2"/>
    <w:basedOn w:val="1"/>
    <w:link w:val="175"/>
    <w:qFormat/>
    <w:uiPriority w:val="0"/>
    <w:pPr>
      <w:snapToGrid w:val="0"/>
      <w:ind w:firstLine="542" w:firstLineChars="225"/>
    </w:pPr>
    <w:rPr>
      <w:rFonts w:ascii="仿宋_GB2312" w:hAnsi="宋体"/>
      <w:b/>
      <w:bCs/>
      <w:color w:val="000000"/>
      <w:kern w:val="0"/>
      <w:sz w:val="24"/>
    </w:rPr>
  </w:style>
  <w:style w:type="paragraph" w:styleId="33">
    <w:name w:val="Balloon Text"/>
    <w:basedOn w:val="1"/>
    <w:link w:val="113"/>
    <w:qFormat/>
    <w:uiPriority w:val="99"/>
    <w:rPr>
      <w:kern w:val="0"/>
      <w:sz w:val="18"/>
      <w:szCs w:val="18"/>
    </w:rPr>
  </w:style>
  <w:style w:type="paragraph" w:styleId="34">
    <w:name w:val="footer"/>
    <w:basedOn w:val="1"/>
    <w:link w:val="218"/>
    <w:qFormat/>
    <w:uiPriority w:val="99"/>
    <w:pPr>
      <w:tabs>
        <w:tab w:val="center" w:pos="4153"/>
        <w:tab w:val="right" w:pos="8306"/>
      </w:tabs>
      <w:snapToGrid w:val="0"/>
      <w:jc w:val="left"/>
    </w:pPr>
    <w:rPr>
      <w:rFonts w:eastAsia="黑体"/>
      <w:kern w:val="0"/>
      <w:sz w:val="18"/>
      <w:szCs w:val="18"/>
    </w:rPr>
  </w:style>
  <w:style w:type="paragraph" w:styleId="35">
    <w:name w:val="header"/>
    <w:basedOn w:val="1"/>
    <w:next w:val="36"/>
    <w:link w:val="225"/>
    <w:qFormat/>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customStyle="1" w:styleId="36">
    <w:name w:val="Quote1"/>
    <w:next w:val="1"/>
    <w:qFormat/>
    <w:uiPriority w:val="99"/>
    <w:pPr>
      <w:wordWrap w:val="0"/>
      <w:spacing w:before="200" w:after="160"/>
      <w:ind w:left="864" w:right="864"/>
      <w:jc w:val="center"/>
    </w:pPr>
    <w:rPr>
      <w:rFonts w:ascii="宋体" w:hAnsi="Times New Roman" w:eastAsia="宋体" w:cs="Times New Roman"/>
      <w:i/>
      <w:color w:val="404040"/>
      <w:kern w:val="2"/>
      <w:sz w:val="21"/>
      <w:szCs w:val="24"/>
      <w:lang w:val="en-US" w:eastAsia="zh-CN" w:bidi="ar-SA"/>
    </w:rPr>
  </w:style>
  <w:style w:type="paragraph" w:styleId="37">
    <w:name w:val="toc 1"/>
    <w:basedOn w:val="1"/>
    <w:next w:val="1"/>
    <w:qFormat/>
    <w:uiPriority w:val="39"/>
  </w:style>
  <w:style w:type="paragraph" w:styleId="38">
    <w:name w:val="toc 4"/>
    <w:basedOn w:val="1"/>
    <w:next w:val="1"/>
    <w:unhideWhenUsed/>
    <w:qFormat/>
    <w:uiPriority w:val="39"/>
    <w:pPr>
      <w:ind w:left="1260" w:leftChars="600"/>
    </w:pPr>
    <w:rPr>
      <w:rFonts w:ascii="Calibri" w:hAnsi="Calibri"/>
      <w:szCs w:val="22"/>
    </w:rPr>
  </w:style>
  <w:style w:type="paragraph" w:styleId="39">
    <w:name w:val="List"/>
    <w:basedOn w:val="1"/>
    <w:qFormat/>
    <w:uiPriority w:val="0"/>
    <w:pPr>
      <w:ind w:left="200" w:hanging="200" w:hangingChars="200"/>
    </w:pPr>
    <w:rPr>
      <w:sz w:val="28"/>
    </w:rPr>
  </w:style>
  <w:style w:type="paragraph" w:styleId="40">
    <w:name w:val="toc 6"/>
    <w:basedOn w:val="1"/>
    <w:next w:val="1"/>
    <w:unhideWhenUsed/>
    <w:qFormat/>
    <w:uiPriority w:val="39"/>
    <w:pPr>
      <w:ind w:left="2100" w:leftChars="1000"/>
    </w:pPr>
    <w:rPr>
      <w:rFonts w:ascii="Calibri" w:hAnsi="Calibri"/>
      <w:szCs w:val="22"/>
    </w:rPr>
  </w:style>
  <w:style w:type="paragraph" w:styleId="41">
    <w:name w:val="Body Text Indent 3"/>
    <w:basedOn w:val="1"/>
    <w:link w:val="170"/>
    <w:qFormat/>
    <w:uiPriority w:val="0"/>
    <w:pPr>
      <w:snapToGrid w:val="0"/>
      <w:ind w:firstLine="480" w:firstLineChars="200"/>
      <w:jc w:val="left"/>
    </w:pPr>
    <w:rPr>
      <w:rFonts w:ascii="仿宋_GB2312" w:hAnsi="宋体" w:eastAsia="仿宋_GB2312"/>
      <w:color w:val="000000"/>
      <w:kern w:val="0"/>
      <w:sz w:val="24"/>
    </w:rPr>
  </w:style>
  <w:style w:type="paragraph" w:styleId="42">
    <w:name w:val="table of figures"/>
    <w:basedOn w:val="1"/>
    <w:next w:val="1"/>
    <w:autoRedefine/>
    <w:unhideWhenUsed/>
    <w:qFormat/>
    <w:uiPriority w:val="0"/>
    <w:pPr>
      <w:spacing w:line="360" w:lineRule="auto"/>
      <w:ind w:left="480" w:hanging="480"/>
      <w:jc w:val="left"/>
    </w:pPr>
    <w:rPr>
      <w:rFonts w:ascii="Calibri" w:hAnsi="Calibri" w:cs="Calibri"/>
      <w:smallCaps/>
      <w:sz w:val="20"/>
      <w:szCs w:val="20"/>
    </w:rPr>
  </w:style>
  <w:style w:type="paragraph" w:styleId="43">
    <w:name w:val="toc 2"/>
    <w:basedOn w:val="1"/>
    <w:next w:val="1"/>
    <w:autoRedefine/>
    <w:qFormat/>
    <w:uiPriority w:val="39"/>
    <w:pPr>
      <w:ind w:left="420" w:leftChars="200"/>
    </w:pPr>
  </w:style>
  <w:style w:type="paragraph" w:styleId="44">
    <w:name w:val="toc 9"/>
    <w:basedOn w:val="1"/>
    <w:next w:val="1"/>
    <w:autoRedefine/>
    <w:unhideWhenUsed/>
    <w:qFormat/>
    <w:uiPriority w:val="39"/>
    <w:pPr>
      <w:ind w:left="3360" w:leftChars="1600"/>
    </w:pPr>
    <w:rPr>
      <w:rFonts w:ascii="Calibri" w:hAnsi="Calibri"/>
      <w:szCs w:val="22"/>
    </w:rPr>
  </w:style>
  <w:style w:type="paragraph" w:styleId="45">
    <w:name w:val="Body Text 2"/>
    <w:basedOn w:val="1"/>
    <w:link w:val="104"/>
    <w:autoRedefine/>
    <w:qFormat/>
    <w:uiPriority w:val="99"/>
    <w:pPr>
      <w:widowControl/>
      <w:snapToGrid w:val="0"/>
      <w:spacing w:before="50" w:afterLines="50" w:line="400" w:lineRule="exact"/>
      <w:jc w:val="left"/>
    </w:pPr>
    <w:rPr>
      <w:rFonts w:ascii="宋体" w:hAnsi="宋体"/>
      <w:color w:val="000000"/>
      <w:kern w:val="0"/>
      <w:sz w:val="24"/>
    </w:rPr>
  </w:style>
  <w:style w:type="paragraph" w:styleId="46">
    <w:name w:val="Normal (Web)"/>
    <w:basedOn w:val="1"/>
    <w:next w:val="43"/>
    <w:link w:val="79"/>
    <w:autoRedefine/>
    <w:qFormat/>
    <w:uiPriority w:val="0"/>
    <w:pPr>
      <w:widowControl/>
      <w:spacing w:before="100" w:beforeAutospacing="1" w:after="100" w:afterAutospacing="1"/>
      <w:jc w:val="left"/>
    </w:pPr>
    <w:rPr>
      <w:rFonts w:ascii="宋体" w:hAnsi="宋体"/>
      <w:kern w:val="0"/>
      <w:sz w:val="24"/>
    </w:rPr>
  </w:style>
  <w:style w:type="paragraph" w:styleId="47">
    <w:name w:val="index 1"/>
    <w:basedOn w:val="1"/>
    <w:next w:val="1"/>
    <w:autoRedefine/>
    <w:qFormat/>
    <w:uiPriority w:val="0"/>
    <w:pPr>
      <w:spacing w:line="360" w:lineRule="auto"/>
      <w:jc w:val="center"/>
    </w:pPr>
    <w:rPr>
      <w:rFonts w:ascii="宋体" w:hAnsi="宋体"/>
      <w:bCs/>
    </w:rPr>
  </w:style>
  <w:style w:type="paragraph" w:styleId="48">
    <w:name w:val="Title"/>
    <w:basedOn w:val="1"/>
    <w:next w:val="1"/>
    <w:link w:val="193"/>
    <w:autoRedefine/>
    <w:qFormat/>
    <w:uiPriority w:val="0"/>
    <w:pPr>
      <w:spacing w:before="240" w:after="60"/>
      <w:jc w:val="center"/>
      <w:outlineLvl w:val="0"/>
    </w:pPr>
    <w:rPr>
      <w:rFonts w:ascii="Cambria" w:hAnsi="Cambria"/>
      <w:b/>
      <w:bCs/>
      <w:kern w:val="0"/>
      <w:sz w:val="32"/>
      <w:szCs w:val="32"/>
    </w:rPr>
  </w:style>
  <w:style w:type="paragraph" w:styleId="49">
    <w:name w:val="annotation subject"/>
    <w:basedOn w:val="19"/>
    <w:next w:val="19"/>
    <w:link w:val="172"/>
    <w:autoRedefine/>
    <w:qFormat/>
    <w:uiPriority w:val="99"/>
    <w:rPr>
      <w:b/>
      <w:bCs/>
    </w:rPr>
  </w:style>
  <w:style w:type="paragraph" w:styleId="50">
    <w:name w:val="Body Text First Indent 2"/>
    <w:basedOn w:val="23"/>
    <w:autoRedefine/>
    <w:qFormat/>
    <w:uiPriority w:val="0"/>
    <w:pPr>
      <w:ind w:firstLine="420"/>
    </w:pPr>
  </w:style>
  <w:style w:type="table" w:styleId="52">
    <w:name w:val="Table Grid"/>
    <w:basedOn w:val="5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autoRedefine/>
    <w:qFormat/>
    <w:uiPriority w:val="0"/>
    <w:rPr>
      <w:b/>
      <w:bCs/>
      <w:color w:val="000000"/>
    </w:rPr>
  </w:style>
  <w:style w:type="character" w:styleId="55">
    <w:name w:val="page number"/>
    <w:autoRedefine/>
    <w:qFormat/>
    <w:uiPriority w:val="0"/>
  </w:style>
  <w:style w:type="character" w:styleId="56">
    <w:name w:val="FollowedHyperlink"/>
    <w:autoRedefine/>
    <w:qFormat/>
    <w:uiPriority w:val="99"/>
    <w:rPr>
      <w:color w:val="800080"/>
      <w:u w:val="single"/>
    </w:rPr>
  </w:style>
  <w:style w:type="character" w:styleId="57">
    <w:name w:val="Emphasis"/>
    <w:autoRedefine/>
    <w:qFormat/>
    <w:uiPriority w:val="0"/>
  </w:style>
  <w:style w:type="character" w:styleId="58">
    <w:name w:val="Hyperlink"/>
    <w:autoRedefine/>
    <w:qFormat/>
    <w:uiPriority w:val="99"/>
    <w:rPr>
      <w:color w:val="0000FF"/>
      <w:u w:val="single"/>
    </w:rPr>
  </w:style>
  <w:style w:type="character" w:styleId="59">
    <w:name w:val="annotation reference"/>
    <w:autoRedefine/>
    <w:qFormat/>
    <w:uiPriority w:val="0"/>
    <w:rPr>
      <w:sz w:val="21"/>
      <w:szCs w:val="21"/>
    </w:rPr>
  </w:style>
  <w:style w:type="paragraph" w:customStyle="1" w:styleId="60">
    <w:name w:val="Heading1"/>
    <w:basedOn w:val="1"/>
    <w:next w:val="1"/>
    <w:autoRedefine/>
    <w:qFormat/>
    <w:uiPriority w:val="0"/>
    <w:pPr>
      <w:keepNext/>
      <w:keepLines/>
      <w:numPr>
        <w:ilvl w:val="0"/>
        <w:numId w:val="1"/>
      </w:numPr>
      <w:spacing w:before="340" w:after="330" w:line="578" w:lineRule="auto"/>
      <w:jc w:val="both"/>
      <w:textAlignment w:val="baseline"/>
    </w:pPr>
    <w:rPr>
      <w:b/>
      <w:kern w:val="44"/>
      <w:sz w:val="44"/>
      <w:szCs w:val="24"/>
      <w:lang w:val="en-US" w:eastAsia="zh-CN" w:bidi="ar-SA"/>
    </w:rPr>
  </w:style>
  <w:style w:type="character" w:customStyle="1" w:styleId="61">
    <w:name w:val="Plain Text Char"/>
    <w:autoRedefine/>
    <w:semiHidden/>
    <w:qFormat/>
    <w:locked/>
    <w:uiPriority w:val="0"/>
    <w:rPr>
      <w:rFonts w:ascii="宋体" w:hAnsi="Courier New" w:cs="Courier New"/>
      <w:kern w:val="0"/>
      <w:sz w:val="21"/>
      <w:szCs w:val="21"/>
    </w:rPr>
  </w:style>
  <w:style w:type="character" w:customStyle="1" w:styleId="62">
    <w:name w:val="Char Char1111"/>
    <w:autoRedefine/>
    <w:qFormat/>
    <w:uiPriority w:val="0"/>
    <w:rPr>
      <w:kern w:val="2"/>
      <w:sz w:val="28"/>
      <w:szCs w:val="24"/>
    </w:rPr>
  </w:style>
  <w:style w:type="character" w:customStyle="1" w:styleId="63">
    <w:name w:val="标题 4 字符"/>
    <w:link w:val="6"/>
    <w:autoRedefine/>
    <w:qFormat/>
    <w:uiPriority w:val="0"/>
    <w:rPr>
      <w:rFonts w:ascii="Arial" w:hAnsi="Arial" w:eastAsia="黑体" w:cs="Times New Roman"/>
      <w:b/>
      <w:bCs/>
      <w:kern w:val="0"/>
      <w:sz w:val="28"/>
      <w:szCs w:val="28"/>
    </w:rPr>
  </w:style>
  <w:style w:type="character" w:customStyle="1" w:styleId="64">
    <w:name w:val="Heading 8 Char"/>
    <w:autoRedefine/>
    <w:semiHidden/>
    <w:qFormat/>
    <w:locked/>
    <w:uiPriority w:val="0"/>
    <w:rPr>
      <w:rFonts w:ascii="Cambria" w:hAnsi="Cambria" w:eastAsia="宋体" w:cs="Times New Roman"/>
      <w:kern w:val="0"/>
      <w:sz w:val="24"/>
      <w:szCs w:val="24"/>
    </w:rPr>
  </w:style>
  <w:style w:type="character" w:customStyle="1" w:styleId="65">
    <w:name w:val="Body Text Char"/>
    <w:autoRedefine/>
    <w:semiHidden/>
    <w:qFormat/>
    <w:locked/>
    <w:uiPriority w:val="0"/>
    <w:rPr>
      <w:rFonts w:cs="Times New Roman"/>
      <w:kern w:val="0"/>
      <w:sz w:val="21"/>
      <w:szCs w:val="21"/>
    </w:rPr>
  </w:style>
  <w:style w:type="character" w:customStyle="1" w:styleId="66">
    <w:name w:val="font11"/>
    <w:autoRedefine/>
    <w:qFormat/>
    <w:uiPriority w:val="0"/>
    <w:rPr>
      <w:rFonts w:hint="default" w:ascii="Times New Roman" w:hAnsi="Times New Roman" w:cs="Times New Roman"/>
      <w:color w:val="000000"/>
      <w:sz w:val="20"/>
      <w:szCs w:val="20"/>
      <w:u w:val="none"/>
    </w:rPr>
  </w:style>
  <w:style w:type="character" w:customStyle="1" w:styleId="67">
    <w:name w:val="wj1"/>
    <w:autoRedefine/>
    <w:qFormat/>
    <w:uiPriority w:val="0"/>
    <w:rPr>
      <w:color w:val="000000"/>
      <w:sz w:val="18"/>
      <w:szCs w:val="18"/>
      <w:u w:val="none"/>
    </w:rPr>
  </w:style>
  <w:style w:type="character" w:customStyle="1" w:styleId="68">
    <w:name w:val="!标题3 Ctrl+3 Char"/>
    <w:link w:val="69"/>
    <w:autoRedefine/>
    <w:qFormat/>
    <w:locked/>
    <w:uiPriority w:val="0"/>
    <w:rPr>
      <w:rFonts w:ascii="Arial" w:hAnsi="Arial" w:eastAsia="黑体"/>
      <w:b/>
      <w:kern w:val="2"/>
      <w:sz w:val="32"/>
      <w:szCs w:val="32"/>
    </w:rPr>
  </w:style>
  <w:style w:type="paragraph" w:customStyle="1" w:styleId="69">
    <w:name w:val="!标题3 Ctrl+3"/>
    <w:basedOn w:val="5"/>
    <w:next w:val="1"/>
    <w:link w:val="68"/>
    <w:autoRedefine/>
    <w:qFormat/>
    <w:uiPriority w:val="0"/>
    <w:pPr>
      <w:keepNext w:val="0"/>
      <w:keepLines w:val="0"/>
      <w:tabs>
        <w:tab w:val="left" w:pos="709"/>
      </w:tabs>
      <w:adjustRightInd w:val="0"/>
      <w:snapToGrid w:val="0"/>
      <w:spacing w:beforeLines="75" w:afterLines="25" w:line="360" w:lineRule="auto"/>
      <w:ind w:left="709" w:hanging="709"/>
      <w:jc w:val="both"/>
    </w:pPr>
    <w:rPr>
      <w:rFonts w:ascii="Arial" w:hAnsi="Arial" w:eastAsia="黑体"/>
      <w:bCs w:val="0"/>
      <w:kern w:val="2"/>
    </w:rPr>
  </w:style>
  <w:style w:type="character" w:customStyle="1" w:styleId="70">
    <w:name w:val="H4 Char"/>
    <w:autoRedefine/>
    <w:qFormat/>
    <w:uiPriority w:val="0"/>
    <w:rPr>
      <w:rFonts w:ascii="Arial" w:hAnsi="Arial" w:eastAsia="黑体" w:cs="Times New Roman"/>
      <w:b/>
      <w:bCs/>
      <w:sz w:val="28"/>
      <w:szCs w:val="28"/>
    </w:rPr>
  </w:style>
  <w:style w:type="character" w:customStyle="1" w:styleId="71">
    <w:name w:val="Char Char15"/>
    <w:autoRedefine/>
    <w:qFormat/>
    <w:uiPriority w:val="0"/>
    <w:rPr>
      <w:rFonts w:hAnsi="宋体" w:eastAsia="仿宋_GB2312"/>
      <w:b/>
      <w:bCs/>
      <w:kern w:val="2"/>
      <w:sz w:val="24"/>
    </w:rPr>
  </w:style>
  <w:style w:type="character" w:customStyle="1" w:styleId="72">
    <w:name w:val="Char Char18"/>
    <w:autoRedefine/>
    <w:qFormat/>
    <w:uiPriority w:val="0"/>
    <w:rPr>
      <w:rFonts w:eastAsia="黑体"/>
      <w:sz w:val="18"/>
      <w:szCs w:val="18"/>
    </w:rPr>
  </w:style>
  <w:style w:type="character" w:customStyle="1" w:styleId="73">
    <w:name w:val="Char Char12"/>
    <w:autoRedefine/>
    <w:qFormat/>
    <w:uiPriority w:val="0"/>
    <w:rPr>
      <w:rFonts w:ascii="仿宋_GB2312" w:hAnsi="宋体" w:eastAsia="仿宋_GB2312"/>
      <w:color w:val="000000"/>
      <w:kern w:val="2"/>
      <w:sz w:val="24"/>
      <w:szCs w:val="24"/>
    </w:rPr>
  </w:style>
  <w:style w:type="character" w:customStyle="1" w:styleId="74">
    <w:name w:val="标题 3 字符"/>
    <w:link w:val="5"/>
    <w:autoRedefine/>
    <w:qFormat/>
    <w:uiPriority w:val="0"/>
    <w:rPr>
      <w:rFonts w:ascii="Times New Roman" w:hAnsi="Times New Roman" w:eastAsia="楷体_GB2312" w:cs="Times New Roman"/>
      <w:b/>
      <w:bCs/>
      <w:kern w:val="0"/>
      <w:sz w:val="32"/>
      <w:szCs w:val="32"/>
    </w:rPr>
  </w:style>
  <w:style w:type="character" w:customStyle="1" w:styleId="75">
    <w:name w:val="正文文本 3 字符"/>
    <w:link w:val="20"/>
    <w:autoRedefine/>
    <w:qFormat/>
    <w:uiPriority w:val="0"/>
    <w:rPr>
      <w:rFonts w:hAnsi="宋体" w:eastAsia="仿宋_GB2312"/>
      <w:b/>
      <w:bCs/>
      <w:sz w:val="24"/>
    </w:rPr>
  </w:style>
  <w:style w:type="character" w:customStyle="1" w:styleId="76">
    <w:name w:val="Char Char3"/>
    <w:autoRedefine/>
    <w:qFormat/>
    <w:uiPriority w:val="0"/>
    <w:rPr>
      <w:kern w:val="2"/>
      <w:sz w:val="24"/>
      <w:szCs w:val="24"/>
    </w:rPr>
  </w:style>
  <w:style w:type="character" w:customStyle="1" w:styleId="77">
    <w:name w:val="Char Char7"/>
    <w:autoRedefine/>
    <w:qFormat/>
    <w:uiPriority w:val="0"/>
    <w:rPr>
      <w:rFonts w:eastAsia="宋体"/>
      <w:kern w:val="2"/>
      <w:sz w:val="21"/>
      <w:lang w:val="en-US" w:eastAsia="zh-CN" w:bidi="ar-SA"/>
    </w:rPr>
  </w:style>
  <w:style w:type="character" w:customStyle="1" w:styleId="78">
    <w:name w:val="样式7 Char"/>
    <w:autoRedefine/>
    <w:qFormat/>
    <w:uiPriority w:val="0"/>
    <w:rPr>
      <w:rFonts w:eastAsia="宋体" w:cs="宋体"/>
      <w:kern w:val="2"/>
      <w:sz w:val="24"/>
      <w:szCs w:val="24"/>
      <w:lang w:val="en-US" w:eastAsia="zh-CN" w:bidi="ar-SA"/>
    </w:rPr>
  </w:style>
  <w:style w:type="character" w:customStyle="1" w:styleId="79">
    <w:name w:val="普通(网站) 字符"/>
    <w:link w:val="46"/>
    <w:autoRedefine/>
    <w:qFormat/>
    <w:uiPriority w:val="0"/>
    <w:rPr>
      <w:rFonts w:ascii="宋体" w:hAnsi="宋体"/>
      <w:sz w:val="24"/>
      <w:szCs w:val="24"/>
    </w:rPr>
  </w:style>
  <w:style w:type="character" w:customStyle="1" w:styleId="80">
    <w:name w:val="Char Char13"/>
    <w:autoRedefine/>
    <w:qFormat/>
    <w:uiPriority w:val="0"/>
    <w:rPr>
      <w:b/>
      <w:bCs/>
      <w:kern w:val="2"/>
      <w:sz w:val="21"/>
      <w:szCs w:val="24"/>
    </w:rPr>
  </w:style>
  <w:style w:type="character" w:customStyle="1" w:styleId="81">
    <w:name w:val="￥正文 Char Char"/>
    <w:autoRedefine/>
    <w:qFormat/>
    <w:uiPriority w:val="0"/>
    <w:rPr>
      <w:rFonts w:ascii="Calibri" w:hAnsi="Calibri"/>
      <w:sz w:val="24"/>
    </w:rPr>
  </w:style>
  <w:style w:type="character" w:customStyle="1" w:styleId="82">
    <w:name w:val="newscontent1"/>
    <w:autoRedefine/>
    <w:qFormat/>
    <w:uiPriority w:val="0"/>
    <w:rPr>
      <w:rFonts w:hint="default" w:ascii="Verdana" w:hAnsi="Verdana"/>
      <w:color w:val="333333"/>
      <w:sz w:val="18"/>
      <w:szCs w:val="18"/>
    </w:rPr>
  </w:style>
  <w:style w:type="character" w:customStyle="1" w:styleId="83">
    <w:name w:val="Heading 6 Char"/>
    <w:autoRedefine/>
    <w:semiHidden/>
    <w:qFormat/>
    <w:locked/>
    <w:uiPriority w:val="0"/>
    <w:rPr>
      <w:rFonts w:ascii="Cambria" w:hAnsi="Cambria" w:eastAsia="宋体" w:cs="Times New Roman"/>
      <w:b/>
      <w:bCs/>
      <w:kern w:val="0"/>
      <w:sz w:val="24"/>
      <w:szCs w:val="24"/>
    </w:rPr>
  </w:style>
  <w:style w:type="character" w:customStyle="1" w:styleId="84">
    <w:name w:val="中等深浅网格 2 字符"/>
    <w:link w:val="85"/>
    <w:autoRedefine/>
    <w:qFormat/>
    <w:uiPriority w:val="1"/>
    <w:rPr>
      <w:kern w:val="2"/>
      <w:sz w:val="21"/>
      <w:szCs w:val="24"/>
      <w:lang w:val="en-US" w:eastAsia="zh-CN" w:bidi="ar-SA"/>
    </w:rPr>
  </w:style>
  <w:style w:type="paragraph" w:customStyle="1" w:styleId="85">
    <w:name w:val="中等深浅网格 21"/>
    <w:link w:val="84"/>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6">
    <w:name w:val="H2 Char"/>
    <w:autoRedefine/>
    <w:qFormat/>
    <w:uiPriority w:val="0"/>
    <w:rPr>
      <w:rFonts w:ascii="Cambria" w:hAnsi="Cambria" w:eastAsia="宋体" w:cs="Times New Roman"/>
      <w:b/>
      <w:bCs/>
      <w:sz w:val="32"/>
      <w:szCs w:val="32"/>
    </w:rPr>
  </w:style>
  <w:style w:type="character" w:customStyle="1" w:styleId="87">
    <w:name w:val="正文文字缩进4字符 Char"/>
    <w:autoRedefine/>
    <w:qFormat/>
    <w:uiPriority w:val="0"/>
    <w:rPr>
      <w:rFonts w:ascii="Times New Roman" w:hAnsi="Times New Roman" w:eastAsia="宋体" w:cs="Times New Roman"/>
      <w:sz w:val="24"/>
      <w:szCs w:val="24"/>
    </w:rPr>
  </w:style>
  <w:style w:type="character" w:customStyle="1" w:styleId="88">
    <w:name w:val="Balloon Text Char"/>
    <w:autoRedefine/>
    <w:qFormat/>
    <w:locked/>
    <w:uiPriority w:val="0"/>
    <w:rPr>
      <w:rFonts w:cs="Times New Roman"/>
      <w:sz w:val="18"/>
      <w:szCs w:val="18"/>
    </w:rPr>
  </w:style>
  <w:style w:type="character" w:customStyle="1" w:styleId="89">
    <w:name w:val="标题 2 字符"/>
    <w:link w:val="4"/>
    <w:autoRedefine/>
    <w:qFormat/>
    <w:uiPriority w:val="9"/>
    <w:rPr>
      <w:rFonts w:ascii="Arial" w:hAnsi="Arial" w:eastAsia="黑体" w:cs="Times New Roman"/>
      <w:b/>
      <w:bCs/>
      <w:kern w:val="0"/>
      <w:sz w:val="32"/>
      <w:szCs w:val="32"/>
    </w:rPr>
  </w:style>
  <w:style w:type="character" w:customStyle="1" w:styleId="90">
    <w:name w:val="表正文 Char"/>
    <w:autoRedefine/>
    <w:qFormat/>
    <w:uiPriority w:val="0"/>
    <w:rPr>
      <w:rFonts w:ascii="Times New Roman" w:hAnsi="Times New Roman" w:eastAsia="宋体" w:cs="Times New Roman"/>
      <w:szCs w:val="24"/>
    </w:rPr>
  </w:style>
  <w:style w:type="character" w:customStyle="1" w:styleId="91">
    <w:name w:val="纯文本 字符2"/>
    <w:link w:val="29"/>
    <w:autoRedefine/>
    <w:qFormat/>
    <w:uiPriority w:val="0"/>
    <w:rPr>
      <w:rFonts w:ascii="宋体" w:hAnsi="Courier New" w:eastAsia="宋体"/>
      <w:sz w:val="24"/>
      <w:szCs w:val="24"/>
    </w:rPr>
  </w:style>
  <w:style w:type="character" w:customStyle="1" w:styleId="92">
    <w:name w:val="正文文本 3 Char1"/>
    <w:autoRedefine/>
    <w:semiHidden/>
    <w:qFormat/>
    <w:uiPriority w:val="99"/>
    <w:rPr>
      <w:rFonts w:ascii="Times New Roman" w:hAnsi="Times New Roman" w:eastAsia="宋体" w:cs="Times New Roman"/>
      <w:sz w:val="16"/>
      <w:szCs w:val="16"/>
    </w:rPr>
  </w:style>
  <w:style w:type="character" w:customStyle="1" w:styleId="93">
    <w:name w:val="标题 6 字符"/>
    <w:link w:val="8"/>
    <w:autoRedefine/>
    <w:qFormat/>
    <w:uiPriority w:val="0"/>
    <w:rPr>
      <w:rFonts w:ascii="Arial" w:hAnsi="Arial" w:eastAsia="黑体" w:cs="Times New Roman"/>
      <w:b/>
      <w:bCs/>
      <w:kern w:val="0"/>
      <w:sz w:val="24"/>
      <w:szCs w:val="24"/>
    </w:rPr>
  </w:style>
  <w:style w:type="character" w:customStyle="1" w:styleId="94">
    <w:name w:val="彩色列表 - 着色 1 字符"/>
    <w:link w:val="95"/>
    <w:autoRedefine/>
    <w:qFormat/>
    <w:locked/>
    <w:uiPriority w:val="34"/>
    <w:rPr>
      <w:rFonts w:ascii="Times New Roman" w:hAnsi="Times New Roman"/>
      <w:kern w:val="2"/>
      <w:sz w:val="21"/>
      <w:szCs w:val="24"/>
    </w:rPr>
  </w:style>
  <w:style w:type="paragraph" w:customStyle="1" w:styleId="95">
    <w:name w:val="彩色列表 - 着色 11"/>
    <w:basedOn w:val="1"/>
    <w:link w:val="94"/>
    <w:autoRedefine/>
    <w:qFormat/>
    <w:uiPriority w:val="34"/>
    <w:pPr>
      <w:ind w:firstLine="420" w:firstLineChars="200"/>
    </w:pPr>
  </w:style>
  <w:style w:type="character" w:customStyle="1" w:styleId="96">
    <w:name w:val="Item List Char"/>
    <w:link w:val="97"/>
    <w:autoRedefine/>
    <w:qFormat/>
    <w:uiPriority w:val="0"/>
    <w:rPr>
      <w:rFonts w:cs="Arial"/>
      <w:kern w:val="2"/>
      <w:sz w:val="21"/>
      <w:szCs w:val="21"/>
      <w:lang w:val="en-US" w:eastAsia="zh-CN" w:bidi="ar-SA"/>
    </w:rPr>
  </w:style>
  <w:style w:type="paragraph" w:customStyle="1" w:styleId="97">
    <w:name w:val="Item List"/>
    <w:link w:val="96"/>
    <w:autoRedefine/>
    <w:qFormat/>
    <w:uiPriority w:val="0"/>
    <w:pPr>
      <w:tabs>
        <w:tab w:val="left" w:pos="0"/>
        <w:tab w:val="left" w:pos="2126"/>
      </w:tabs>
      <w:adjustRightInd w:val="0"/>
      <w:snapToGrid w:val="0"/>
      <w:spacing w:before="80" w:after="80" w:line="240" w:lineRule="atLeast"/>
      <w:ind w:left="1134" w:hanging="1134"/>
    </w:pPr>
    <w:rPr>
      <w:rFonts w:ascii="Times New Roman" w:hAnsi="Times New Roman" w:eastAsia="宋体" w:cs="Arial"/>
      <w:kern w:val="2"/>
      <w:sz w:val="21"/>
      <w:szCs w:val="21"/>
      <w:lang w:val="en-US" w:eastAsia="zh-CN" w:bidi="ar-SA"/>
    </w:rPr>
  </w:style>
  <w:style w:type="character" w:customStyle="1" w:styleId="98">
    <w:name w:val="样式 (中文) 放宋 小四号"/>
    <w:autoRedefine/>
    <w:qFormat/>
    <w:uiPriority w:val="0"/>
    <w:rPr>
      <w:rFonts w:eastAsia="仿宋_GB2312"/>
      <w:sz w:val="24"/>
    </w:rPr>
  </w:style>
  <w:style w:type="character" w:customStyle="1" w:styleId="99">
    <w:name w:val="纯文本 Char1"/>
    <w:autoRedefine/>
    <w:qFormat/>
    <w:uiPriority w:val="0"/>
    <w:rPr>
      <w:rFonts w:ascii="宋体" w:hAnsi="Courier New" w:eastAsia="宋体"/>
      <w:kern w:val="2"/>
      <w:sz w:val="24"/>
      <w:szCs w:val="24"/>
      <w:lang w:val="en-US" w:eastAsia="zh-CN" w:bidi="ar-SA"/>
    </w:rPr>
  </w:style>
  <w:style w:type="character" w:customStyle="1" w:styleId="100">
    <w:name w:val="正文文本 字符"/>
    <w:link w:val="21"/>
    <w:qFormat/>
    <w:uiPriority w:val="0"/>
    <w:rPr>
      <w:rFonts w:ascii="Times New Roman" w:hAnsi="Times New Roman" w:eastAsia="宋体" w:cs="Times New Roman"/>
      <w:kern w:val="0"/>
      <w:sz w:val="28"/>
      <w:szCs w:val="24"/>
    </w:rPr>
  </w:style>
  <w:style w:type="character" w:customStyle="1" w:styleId="101">
    <w:name w:val="Char Char4"/>
    <w:autoRedefine/>
    <w:qFormat/>
    <w:uiPriority w:val="0"/>
    <w:rPr>
      <w:rFonts w:ascii="宋体" w:hAnsi="Courier New" w:eastAsia="宋体"/>
      <w:kern w:val="2"/>
      <w:sz w:val="24"/>
      <w:szCs w:val="24"/>
      <w:lang w:val="en-US" w:eastAsia="zh-CN" w:bidi="ar-SA"/>
    </w:rPr>
  </w:style>
  <w:style w:type="character" w:customStyle="1" w:styleId="102">
    <w:name w:val="文档结构图 Char1"/>
    <w:autoRedefine/>
    <w:semiHidden/>
    <w:qFormat/>
    <w:uiPriority w:val="99"/>
    <w:rPr>
      <w:rFonts w:ascii="宋体" w:hAnsi="Times New Roman" w:eastAsia="宋体" w:cs="Times New Roman"/>
      <w:sz w:val="18"/>
      <w:szCs w:val="18"/>
    </w:rPr>
  </w:style>
  <w:style w:type="character" w:customStyle="1" w:styleId="103">
    <w:name w:val="正文缩进 字符"/>
    <w:link w:val="14"/>
    <w:autoRedefine/>
    <w:qFormat/>
    <w:uiPriority w:val="0"/>
    <w:rPr>
      <w:rFonts w:eastAsia="宋体"/>
    </w:rPr>
  </w:style>
  <w:style w:type="character" w:customStyle="1" w:styleId="104">
    <w:name w:val="正文文本 2 字符"/>
    <w:link w:val="45"/>
    <w:qFormat/>
    <w:uiPriority w:val="99"/>
    <w:rPr>
      <w:rFonts w:ascii="宋体" w:hAnsi="宋体"/>
      <w:color w:val="000000"/>
      <w:sz w:val="24"/>
      <w:szCs w:val="24"/>
    </w:rPr>
  </w:style>
  <w:style w:type="character" w:customStyle="1" w:styleId="105">
    <w:name w:val="body1"/>
    <w:qFormat/>
    <w:uiPriority w:val="0"/>
    <w:rPr>
      <w:rFonts w:hint="default"/>
      <w:sz w:val="18"/>
    </w:rPr>
  </w:style>
  <w:style w:type="character" w:customStyle="1" w:styleId="106">
    <w:name w:val="font71"/>
    <w:qFormat/>
    <w:uiPriority w:val="0"/>
    <w:rPr>
      <w:rFonts w:hint="default" w:ascii="Arial" w:hAnsi="Arial" w:cs="Arial"/>
      <w:color w:val="auto"/>
      <w:sz w:val="20"/>
      <w:szCs w:val="20"/>
      <w:u w:val="none"/>
    </w:rPr>
  </w:style>
  <w:style w:type="character" w:customStyle="1" w:styleId="107">
    <w:name w:val="正文文本 Char"/>
    <w:autoRedefine/>
    <w:qFormat/>
    <w:uiPriority w:val="0"/>
    <w:rPr>
      <w:rFonts w:ascii="Times New Roman" w:hAnsi="Times New Roman" w:eastAsia="宋体" w:cs="Times New Roman"/>
      <w:szCs w:val="24"/>
    </w:rPr>
  </w:style>
  <w:style w:type="character" w:customStyle="1" w:styleId="108">
    <w:name w:val="Body Text Indent 3 Char"/>
    <w:autoRedefine/>
    <w:qFormat/>
    <w:locked/>
    <w:uiPriority w:val="0"/>
    <w:rPr>
      <w:rFonts w:cs="Times New Roman"/>
      <w:kern w:val="2"/>
      <w:sz w:val="16"/>
      <w:szCs w:val="16"/>
    </w:rPr>
  </w:style>
  <w:style w:type="character" w:customStyle="1" w:styleId="109">
    <w:name w:val="标题 5 字符"/>
    <w:link w:val="7"/>
    <w:autoRedefine/>
    <w:qFormat/>
    <w:uiPriority w:val="9"/>
    <w:rPr>
      <w:rFonts w:ascii="Times New Roman" w:hAnsi="Times New Roman" w:eastAsia="宋体" w:cs="Times New Roman"/>
      <w:b/>
      <w:bCs/>
      <w:kern w:val="0"/>
      <w:sz w:val="28"/>
      <w:szCs w:val="28"/>
    </w:rPr>
  </w:style>
  <w:style w:type="character" w:customStyle="1" w:styleId="110">
    <w:name w:val="文章正文 Char Char"/>
    <w:link w:val="111"/>
    <w:autoRedefine/>
    <w:qFormat/>
    <w:uiPriority w:val="0"/>
    <w:rPr>
      <w:rFonts w:ascii="宋体" w:hAnsi="宋体"/>
      <w:sz w:val="24"/>
      <w:szCs w:val="24"/>
    </w:rPr>
  </w:style>
  <w:style w:type="paragraph" w:customStyle="1" w:styleId="111">
    <w:name w:val="文章正文"/>
    <w:basedOn w:val="1"/>
    <w:link w:val="110"/>
    <w:qFormat/>
    <w:uiPriority w:val="0"/>
    <w:pPr>
      <w:spacing w:line="360" w:lineRule="auto"/>
      <w:ind w:firstLine="200" w:firstLineChars="200"/>
      <w:jc w:val="left"/>
    </w:pPr>
    <w:rPr>
      <w:rFonts w:ascii="宋体" w:hAnsi="宋体"/>
      <w:kern w:val="0"/>
      <w:sz w:val="24"/>
    </w:rPr>
  </w:style>
  <w:style w:type="character" w:customStyle="1" w:styleId="112">
    <w:name w:val="文档结构图 字符"/>
    <w:link w:val="17"/>
    <w:autoRedefine/>
    <w:qFormat/>
    <w:uiPriority w:val="99"/>
    <w:rPr>
      <w:szCs w:val="24"/>
      <w:shd w:val="clear" w:color="auto" w:fill="000080"/>
    </w:rPr>
  </w:style>
  <w:style w:type="character" w:customStyle="1" w:styleId="113">
    <w:name w:val="批注框文本 字符"/>
    <w:link w:val="33"/>
    <w:autoRedefine/>
    <w:qFormat/>
    <w:uiPriority w:val="99"/>
    <w:rPr>
      <w:sz w:val="18"/>
      <w:szCs w:val="18"/>
    </w:rPr>
  </w:style>
  <w:style w:type="character" w:customStyle="1" w:styleId="114">
    <w:name w:val="con-all2"/>
    <w:autoRedefine/>
    <w:qFormat/>
    <w:uiPriority w:val="0"/>
  </w:style>
  <w:style w:type="character" w:customStyle="1" w:styleId="115">
    <w:name w:val="正文1 Char Char"/>
    <w:link w:val="116"/>
    <w:autoRedefine/>
    <w:qFormat/>
    <w:uiPriority w:val="0"/>
    <w:rPr>
      <w:rFonts w:ascii="宋体" w:hAnsi="宋体" w:eastAsia="宋体"/>
      <w:color w:val="000000"/>
      <w:sz w:val="24"/>
    </w:rPr>
  </w:style>
  <w:style w:type="paragraph" w:customStyle="1" w:styleId="116">
    <w:name w:val="正文1"/>
    <w:basedOn w:val="1"/>
    <w:link w:val="115"/>
    <w:autoRedefine/>
    <w:qFormat/>
    <w:uiPriority w:val="0"/>
    <w:pPr>
      <w:spacing w:line="360" w:lineRule="auto"/>
      <w:ind w:firstLine="200" w:firstLineChars="200"/>
      <w:jc w:val="left"/>
    </w:pPr>
    <w:rPr>
      <w:rFonts w:ascii="宋体" w:hAnsi="宋体"/>
      <w:color w:val="000000"/>
      <w:kern w:val="0"/>
      <w:sz w:val="24"/>
      <w:szCs w:val="20"/>
    </w:rPr>
  </w:style>
  <w:style w:type="character" w:customStyle="1" w:styleId="117">
    <w:name w:val="标题 9 字符"/>
    <w:link w:val="11"/>
    <w:qFormat/>
    <w:uiPriority w:val="0"/>
    <w:rPr>
      <w:rFonts w:ascii="Arial" w:hAnsi="Arial" w:eastAsia="黑体" w:cs="Times New Roman"/>
      <w:kern w:val="0"/>
      <w:sz w:val="20"/>
      <w:szCs w:val="21"/>
    </w:rPr>
  </w:style>
  <w:style w:type="character" w:customStyle="1" w:styleId="118">
    <w:name w:val="Heading 2 Char"/>
    <w:autoRedefine/>
    <w:semiHidden/>
    <w:qFormat/>
    <w:locked/>
    <w:uiPriority w:val="0"/>
    <w:rPr>
      <w:rFonts w:ascii="Cambria" w:hAnsi="Cambria" w:eastAsia="宋体" w:cs="Times New Roman"/>
      <w:b/>
      <w:bCs/>
      <w:kern w:val="0"/>
      <w:sz w:val="32"/>
      <w:szCs w:val="32"/>
    </w:rPr>
  </w:style>
  <w:style w:type="character" w:customStyle="1" w:styleId="119">
    <w:name w:val="粘贴正文 Char"/>
    <w:link w:val="120"/>
    <w:qFormat/>
    <w:uiPriority w:val="0"/>
    <w:rPr>
      <w:kern w:val="2"/>
      <w:sz w:val="24"/>
      <w:szCs w:val="21"/>
      <w:lang w:val="en-US" w:eastAsia="zh-CN" w:bidi="ar-SA"/>
    </w:rPr>
  </w:style>
  <w:style w:type="paragraph" w:customStyle="1" w:styleId="120">
    <w:name w:val="粘贴正文"/>
    <w:link w:val="119"/>
    <w:autoRedefine/>
    <w:qFormat/>
    <w:uiPriority w:val="0"/>
    <w:pPr>
      <w:spacing w:before="260" w:after="260" w:line="360" w:lineRule="auto"/>
      <w:ind w:left="578" w:right="210" w:firstLine="480"/>
      <w:jc w:val="both"/>
    </w:pPr>
    <w:rPr>
      <w:rFonts w:ascii="Times New Roman" w:hAnsi="Times New Roman" w:eastAsia="宋体" w:cs="Times New Roman"/>
      <w:kern w:val="2"/>
      <w:sz w:val="24"/>
      <w:szCs w:val="21"/>
      <w:lang w:val="en-US" w:eastAsia="zh-CN" w:bidi="ar-SA"/>
    </w:rPr>
  </w:style>
  <w:style w:type="character" w:customStyle="1" w:styleId="121">
    <w:name w:val="txt1"/>
    <w:autoRedefine/>
    <w:qFormat/>
    <w:uiPriority w:val="0"/>
    <w:rPr>
      <w:rFonts w:hint="default" w:ascii="ˎ̥" w:hAnsi="ˎ̥"/>
      <w:sz w:val="18"/>
      <w:szCs w:val="18"/>
    </w:rPr>
  </w:style>
  <w:style w:type="character" w:customStyle="1" w:styleId="122">
    <w:name w:val="font41"/>
    <w:qFormat/>
    <w:uiPriority w:val="0"/>
    <w:rPr>
      <w:rFonts w:hint="eastAsia" w:ascii="宋体" w:hAnsi="宋体" w:eastAsia="宋体" w:cs="宋体"/>
      <w:color w:val="000000"/>
      <w:sz w:val="20"/>
      <w:szCs w:val="20"/>
      <w:u w:val="none"/>
    </w:rPr>
  </w:style>
  <w:style w:type="character" w:customStyle="1" w:styleId="123">
    <w:name w:val="Char Char20"/>
    <w:autoRedefine/>
    <w:qFormat/>
    <w:uiPriority w:val="0"/>
    <w:rPr>
      <w:rFonts w:ascii="Arial" w:hAnsi="Arial" w:eastAsia="黑体"/>
      <w:kern w:val="2"/>
      <w:sz w:val="24"/>
      <w:szCs w:val="24"/>
    </w:rPr>
  </w:style>
  <w:style w:type="character" w:customStyle="1" w:styleId="124">
    <w:name w:val="Char Char27"/>
    <w:autoRedefine/>
    <w:qFormat/>
    <w:uiPriority w:val="0"/>
    <w:rPr>
      <w:b/>
      <w:bCs/>
      <w:kern w:val="44"/>
      <w:sz w:val="44"/>
      <w:szCs w:val="44"/>
    </w:rPr>
  </w:style>
  <w:style w:type="character" w:customStyle="1" w:styleId="125">
    <w:name w:val="font51"/>
    <w:qFormat/>
    <w:uiPriority w:val="0"/>
    <w:rPr>
      <w:rFonts w:hint="eastAsia" w:ascii="宋体" w:hAnsi="宋体" w:eastAsia="宋体" w:cs="宋体"/>
      <w:color w:val="auto"/>
      <w:sz w:val="18"/>
      <w:szCs w:val="18"/>
      <w:u w:val="none"/>
    </w:rPr>
  </w:style>
  <w:style w:type="character" w:customStyle="1" w:styleId="126">
    <w:name w:val="Heading 7 Char"/>
    <w:autoRedefine/>
    <w:semiHidden/>
    <w:qFormat/>
    <w:locked/>
    <w:uiPriority w:val="0"/>
    <w:rPr>
      <w:rFonts w:cs="Times New Roman"/>
      <w:b/>
      <w:bCs/>
      <w:kern w:val="0"/>
      <w:sz w:val="24"/>
      <w:szCs w:val="24"/>
    </w:rPr>
  </w:style>
  <w:style w:type="character" w:customStyle="1" w:styleId="127">
    <w:name w:val="正文样式 Char"/>
    <w:link w:val="128"/>
    <w:autoRedefine/>
    <w:qFormat/>
    <w:uiPriority w:val="0"/>
    <w:rPr>
      <w:rFonts w:ascii="宋体" w:hAnsi="Calibri" w:eastAsia="宋体" w:cs="宋体"/>
      <w:sz w:val="24"/>
      <w:szCs w:val="24"/>
      <w:lang w:val="zh-CN" w:eastAsia="en-US" w:bidi="he-IL"/>
    </w:rPr>
  </w:style>
  <w:style w:type="paragraph" w:customStyle="1" w:styleId="128">
    <w:name w:val="正文样式"/>
    <w:basedOn w:val="1"/>
    <w:link w:val="127"/>
    <w:qFormat/>
    <w:uiPriority w:val="0"/>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129">
    <w:name w:val="Heading 3 Char"/>
    <w:semiHidden/>
    <w:qFormat/>
    <w:locked/>
    <w:uiPriority w:val="0"/>
    <w:rPr>
      <w:rFonts w:cs="Times New Roman"/>
      <w:b/>
      <w:bCs/>
      <w:kern w:val="0"/>
      <w:sz w:val="32"/>
      <w:szCs w:val="32"/>
    </w:rPr>
  </w:style>
  <w:style w:type="character" w:customStyle="1" w:styleId="130">
    <w:name w:val="标书正文格式 Char"/>
    <w:link w:val="131"/>
    <w:qFormat/>
    <w:uiPriority w:val="0"/>
    <w:rPr>
      <w:rFonts w:eastAsia="楷体_GB2312"/>
      <w:kern w:val="2"/>
      <w:sz w:val="24"/>
      <w:szCs w:val="24"/>
      <w:lang w:val="en-US" w:eastAsia="zh-CN" w:bidi="ar-SA"/>
    </w:rPr>
  </w:style>
  <w:style w:type="paragraph" w:customStyle="1" w:styleId="131">
    <w:name w:val="标书正文格式"/>
    <w:link w:val="130"/>
    <w:autoRedefine/>
    <w:qFormat/>
    <w:uiPriority w:val="0"/>
    <w:pPr>
      <w:spacing w:line="360" w:lineRule="auto"/>
      <w:ind w:firstLine="200" w:firstLineChars="200"/>
      <w:jc w:val="both"/>
    </w:pPr>
    <w:rPr>
      <w:rFonts w:ascii="Times New Roman" w:hAnsi="Times New Roman" w:eastAsia="楷体_GB2312" w:cs="Times New Roman"/>
      <w:kern w:val="2"/>
      <w:sz w:val="24"/>
      <w:szCs w:val="24"/>
      <w:lang w:val="en-US" w:eastAsia="zh-CN" w:bidi="ar-SA"/>
    </w:rPr>
  </w:style>
  <w:style w:type="character" w:customStyle="1" w:styleId="132">
    <w:name w:val="BOD 4 Char Char"/>
    <w:autoRedefine/>
    <w:qFormat/>
    <w:uiPriority w:val="0"/>
    <w:rPr>
      <w:rFonts w:ascii="Arial" w:hAnsi="Arial" w:eastAsia="黑体" w:cs="Times New Roman"/>
      <w:b/>
      <w:bCs/>
      <w:sz w:val="24"/>
      <w:szCs w:val="24"/>
    </w:rPr>
  </w:style>
  <w:style w:type="character" w:customStyle="1" w:styleId="133">
    <w:name w:val="中等深浅网格 1 - 强调文字颜色 2 Char"/>
    <w:link w:val="134"/>
    <w:qFormat/>
    <w:uiPriority w:val="0"/>
    <w:rPr>
      <w:rFonts w:ascii="Calibri" w:hAnsi="Calibri" w:eastAsia="宋体"/>
      <w:sz w:val="24"/>
      <w:lang w:bidi="ar-SA"/>
    </w:rPr>
  </w:style>
  <w:style w:type="paragraph" w:customStyle="1" w:styleId="134">
    <w:name w:val="中等深浅网格 1 - 强调文字颜色 21"/>
    <w:basedOn w:val="1"/>
    <w:link w:val="133"/>
    <w:autoRedefine/>
    <w:qFormat/>
    <w:uiPriority w:val="0"/>
    <w:pPr>
      <w:spacing w:line="360" w:lineRule="auto"/>
      <w:ind w:firstLine="420" w:firstLineChars="200"/>
    </w:pPr>
    <w:rPr>
      <w:rFonts w:ascii="Calibri" w:hAnsi="Calibri"/>
      <w:kern w:val="0"/>
      <w:sz w:val="24"/>
      <w:szCs w:val="20"/>
    </w:rPr>
  </w:style>
  <w:style w:type="character" w:customStyle="1" w:styleId="135">
    <w:name w:val="Char Char26"/>
    <w:qFormat/>
    <w:uiPriority w:val="0"/>
    <w:rPr>
      <w:rFonts w:ascii="Arial" w:hAnsi="Arial" w:eastAsia="黑体"/>
      <w:b/>
      <w:bCs/>
      <w:kern w:val="2"/>
      <w:sz w:val="32"/>
      <w:szCs w:val="32"/>
    </w:rPr>
  </w:style>
  <w:style w:type="character" w:customStyle="1" w:styleId="136">
    <w:name w:val="Char Char17"/>
    <w:autoRedefine/>
    <w:qFormat/>
    <w:uiPriority w:val="0"/>
    <w:rPr>
      <w:rFonts w:ascii="仿宋_GB2312" w:hAnsi="宋体" w:cs="Arial"/>
      <w:b/>
      <w:bCs/>
      <w:color w:val="000000"/>
      <w:kern w:val="2"/>
      <w:sz w:val="24"/>
      <w:szCs w:val="24"/>
    </w:rPr>
  </w:style>
  <w:style w:type="character" w:customStyle="1" w:styleId="137">
    <w:name w:val="Char Char22"/>
    <w:autoRedefine/>
    <w:qFormat/>
    <w:uiPriority w:val="0"/>
    <w:rPr>
      <w:rFonts w:ascii="Arial" w:hAnsi="Arial" w:eastAsia="黑体"/>
      <w:b/>
      <w:bCs/>
      <w:kern w:val="2"/>
      <w:sz w:val="24"/>
      <w:szCs w:val="24"/>
    </w:rPr>
  </w:style>
  <w:style w:type="character" w:customStyle="1" w:styleId="138">
    <w:name w:val="正文文本缩进 Char1"/>
    <w:autoRedefine/>
    <w:semiHidden/>
    <w:qFormat/>
    <w:uiPriority w:val="99"/>
    <w:rPr>
      <w:rFonts w:ascii="Times New Roman" w:hAnsi="Times New Roman" w:eastAsia="宋体" w:cs="Times New Roman"/>
      <w:szCs w:val="24"/>
    </w:rPr>
  </w:style>
  <w:style w:type="character" w:customStyle="1" w:styleId="139">
    <w:name w:val="Heading 4 Char"/>
    <w:qFormat/>
    <w:locked/>
    <w:uiPriority w:val="0"/>
    <w:rPr>
      <w:rFonts w:cs="Times New Roman"/>
      <w:b/>
      <w:sz w:val="21"/>
    </w:rPr>
  </w:style>
  <w:style w:type="character" w:customStyle="1" w:styleId="140">
    <w:name w:val="Char Char14"/>
    <w:autoRedefine/>
    <w:qFormat/>
    <w:uiPriority w:val="0"/>
    <w:rPr>
      <w:kern w:val="2"/>
      <w:sz w:val="18"/>
      <w:szCs w:val="18"/>
    </w:rPr>
  </w:style>
  <w:style w:type="character" w:customStyle="1" w:styleId="141">
    <w:name w:val="批注主题 Char1"/>
    <w:semiHidden/>
    <w:qFormat/>
    <w:uiPriority w:val="99"/>
    <w:rPr>
      <w:rFonts w:ascii="Times New Roman" w:hAnsi="Times New Roman" w:eastAsia="宋体" w:cs="Times New Roman"/>
      <w:b/>
      <w:bCs/>
      <w:szCs w:val="24"/>
    </w:rPr>
  </w:style>
  <w:style w:type="character" w:customStyle="1" w:styleId="142">
    <w:name w:val="批注文字 Char1"/>
    <w:autoRedefine/>
    <w:semiHidden/>
    <w:qFormat/>
    <w:uiPriority w:val="99"/>
    <w:rPr>
      <w:rFonts w:ascii="Times New Roman" w:hAnsi="Times New Roman" w:eastAsia="宋体" w:cs="Times New Roman"/>
      <w:szCs w:val="24"/>
    </w:rPr>
  </w:style>
  <w:style w:type="character" w:customStyle="1" w:styleId="143">
    <w:name w:val="正文文本缩进 字符1"/>
    <w:link w:val="23"/>
    <w:qFormat/>
    <w:uiPriority w:val="0"/>
    <w:rPr>
      <w:rFonts w:ascii="宋体" w:hAnsi="Courier New"/>
      <w:spacing w:val="-4"/>
      <w:sz w:val="18"/>
    </w:rPr>
  </w:style>
  <w:style w:type="character" w:customStyle="1" w:styleId="144">
    <w:name w:val="常规 Char"/>
    <w:link w:val="145"/>
    <w:autoRedefine/>
    <w:qFormat/>
    <w:uiPriority w:val="0"/>
    <w:rPr>
      <w:rFonts w:eastAsia="宋体"/>
      <w:szCs w:val="21"/>
      <w:lang w:bidi="ar-SA"/>
    </w:rPr>
  </w:style>
  <w:style w:type="paragraph" w:customStyle="1" w:styleId="145">
    <w:name w:val="常规"/>
    <w:basedOn w:val="1"/>
    <w:link w:val="144"/>
    <w:autoRedefine/>
    <w:qFormat/>
    <w:uiPriority w:val="0"/>
    <w:pPr>
      <w:spacing w:beforeLines="100" w:afterLines="100"/>
      <w:ind w:left="1134"/>
    </w:pPr>
    <w:rPr>
      <w:kern w:val="0"/>
      <w:sz w:val="20"/>
      <w:szCs w:val="21"/>
    </w:rPr>
  </w:style>
  <w:style w:type="character" w:customStyle="1" w:styleId="146">
    <w:name w:val="Char Char6"/>
    <w:autoRedefine/>
    <w:qFormat/>
    <w:uiPriority w:val="0"/>
    <w:rPr>
      <w:rFonts w:ascii="Cambria" w:hAnsi="Cambria"/>
      <w:b/>
      <w:bCs/>
      <w:kern w:val="2"/>
      <w:sz w:val="32"/>
      <w:szCs w:val="32"/>
    </w:rPr>
  </w:style>
  <w:style w:type="character" w:customStyle="1" w:styleId="147">
    <w:name w:val="Char Char24"/>
    <w:autoRedefine/>
    <w:qFormat/>
    <w:uiPriority w:val="0"/>
    <w:rPr>
      <w:rFonts w:ascii="Arial" w:hAnsi="Arial" w:eastAsia="黑体"/>
      <w:b/>
      <w:bCs/>
      <w:kern w:val="2"/>
      <w:sz w:val="28"/>
      <w:szCs w:val="28"/>
    </w:rPr>
  </w:style>
  <w:style w:type="character" w:customStyle="1" w:styleId="148">
    <w:name w:val="日期 字符"/>
    <w:link w:val="30"/>
    <w:qFormat/>
    <w:uiPriority w:val="0"/>
    <w:rPr>
      <w:rFonts w:eastAsia="楷体_GB2312"/>
      <w:sz w:val="32"/>
    </w:rPr>
  </w:style>
  <w:style w:type="character" w:customStyle="1" w:styleId="149">
    <w:name w:val="无格式标题 Char"/>
    <w:link w:val="150"/>
    <w:autoRedefine/>
    <w:qFormat/>
    <w:uiPriority w:val="0"/>
    <w:rPr>
      <w:rFonts w:ascii="微软雅黑" w:hAnsi="微软雅黑" w:eastAsia="微软雅黑"/>
      <w:b/>
      <w:szCs w:val="24"/>
      <w:lang w:bidi="ar-SA"/>
    </w:rPr>
  </w:style>
  <w:style w:type="paragraph" w:customStyle="1" w:styleId="150">
    <w:name w:val="无格式标题"/>
    <w:basedOn w:val="1"/>
    <w:link w:val="149"/>
    <w:autoRedefine/>
    <w:qFormat/>
    <w:uiPriority w:val="0"/>
    <w:pPr>
      <w:spacing w:line="360" w:lineRule="auto"/>
    </w:pPr>
    <w:rPr>
      <w:rFonts w:ascii="微软雅黑" w:hAnsi="微软雅黑" w:eastAsia="微软雅黑"/>
      <w:b/>
      <w:kern w:val="0"/>
      <w:sz w:val="20"/>
    </w:rPr>
  </w:style>
  <w:style w:type="character" w:customStyle="1" w:styleId="151">
    <w:name w:val="Char Char19"/>
    <w:autoRedefine/>
    <w:qFormat/>
    <w:uiPriority w:val="0"/>
    <w:rPr>
      <w:rFonts w:ascii="Arial" w:hAnsi="Arial" w:eastAsia="黑体"/>
      <w:kern w:val="2"/>
      <w:sz w:val="21"/>
      <w:szCs w:val="21"/>
    </w:rPr>
  </w:style>
  <w:style w:type="character" w:customStyle="1" w:styleId="152">
    <w:name w:val="Char Char8"/>
    <w:qFormat/>
    <w:uiPriority w:val="0"/>
    <w:rPr>
      <w:rFonts w:eastAsia="楷体_GB2312"/>
      <w:kern w:val="2"/>
      <w:sz w:val="32"/>
    </w:rPr>
  </w:style>
  <w:style w:type="character" w:customStyle="1" w:styleId="153">
    <w:name w:val="正文文本缩进 3 Char1"/>
    <w:autoRedefine/>
    <w:semiHidden/>
    <w:qFormat/>
    <w:uiPriority w:val="99"/>
    <w:rPr>
      <w:rFonts w:ascii="Times New Roman" w:hAnsi="Times New Roman" w:eastAsia="宋体" w:cs="Times New Roman"/>
      <w:sz w:val="16"/>
      <w:szCs w:val="16"/>
    </w:rPr>
  </w:style>
  <w:style w:type="character" w:customStyle="1" w:styleId="154">
    <w:name w:val="Heading 9 Char"/>
    <w:semiHidden/>
    <w:qFormat/>
    <w:locked/>
    <w:uiPriority w:val="0"/>
    <w:rPr>
      <w:rFonts w:ascii="Cambria" w:hAnsi="Cambria" w:eastAsia="宋体" w:cs="Times New Roman"/>
      <w:kern w:val="0"/>
      <w:sz w:val="21"/>
      <w:szCs w:val="21"/>
    </w:rPr>
  </w:style>
  <w:style w:type="character" w:customStyle="1" w:styleId="155">
    <w:name w:val="页眉 Char1"/>
    <w:autoRedefine/>
    <w:semiHidden/>
    <w:qFormat/>
    <w:uiPriority w:val="99"/>
    <w:rPr>
      <w:rFonts w:ascii="Times New Roman" w:hAnsi="Times New Roman" w:eastAsia="宋体" w:cs="Times New Roman"/>
      <w:sz w:val="18"/>
      <w:szCs w:val="18"/>
    </w:rPr>
  </w:style>
  <w:style w:type="character" w:customStyle="1" w:styleId="156">
    <w:name w:val="批注框文本 Char1"/>
    <w:semiHidden/>
    <w:qFormat/>
    <w:uiPriority w:val="99"/>
    <w:rPr>
      <w:rFonts w:ascii="Times New Roman" w:hAnsi="Times New Roman" w:eastAsia="宋体" w:cs="Times New Roman"/>
      <w:sz w:val="18"/>
      <w:szCs w:val="18"/>
    </w:rPr>
  </w:style>
  <w:style w:type="character" w:customStyle="1" w:styleId="157">
    <w:name w:val="Char Char9"/>
    <w:autoRedefine/>
    <w:qFormat/>
    <w:uiPriority w:val="0"/>
    <w:rPr>
      <w:rFonts w:eastAsia="仿宋_GB2312"/>
      <w:kern w:val="2"/>
      <w:sz w:val="18"/>
    </w:rPr>
  </w:style>
  <w:style w:type="character" w:customStyle="1" w:styleId="158">
    <w:name w:val="A7"/>
    <w:qFormat/>
    <w:uiPriority w:val="0"/>
    <w:rPr>
      <w:rFonts w:ascii="HelveticaNeueLT Std Lt" w:eastAsia="HelveticaNeueLT Std Lt" w:cs="HelveticaNeueLT Std Lt"/>
      <w:color w:val="000000"/>
      <w:sz w:val="20"/>
      <w:szCs w:val="20"/>
    </w:rPr>
  </w:style>
  <w:style w:type="character" w:customStyle="1" w:styleId="159">
    <w:name w:val="普通段落 Char"/>
    <w:link w:val="160"/>
    <w:autoRedefine/>
    <w:qFormat/>
    <w:uiPriority w:val="0"/>
    <w:rPr>
      <w:rFonts w:ascii="Arial" w:hAnsi="Arial" w:eastAsia="宋体"/>
      <w:lang w:bidi="ar-SA"/>
    </w:rPr>
  </w:style>
  <w:style w:type="paragraph" w:customStyle="1" w:styleId="160">
    <w:name w:val="普通段落"/>
    <w:basedOn w:val="1"/>
    <w:link w:val="159"/>
    <w:qFormat/>
    <w:uiPriority w:val="0"/>
    <w:pPr>
      <w:spacing w:after="240" w:line="276" w:lineRule="auto"/>
    </w:pPr>
    <w:rPr>
      <w:rFonts w:ascii="Arial" w:hAnsi="Arial"/>
      <w:kern w:val="0"/>
      <w:sz w:val="20"/>
      <w:szCs w:val="20"/>
    </w:rPr>
  </w:style>
  <w:style w:type="character" w:customStyle="1" w:styleId="161">
    <w:name w:val="Char Char10"/>
    <w:qFormat/>
    <w:uiPriority w:val="0"/>
    <w:rPr>
      <w:kern w:val="2"/>
      <w:sz w:val="21"/>
      <w:szCs w:val="24"/>
      <w:shd w:val="clear" w:color="auto" w:fill="000080"/>
    </w:rPr>
  </w:style>
  <w:style w:type="character" w:customStyle="1" w:styleId="162">
    <w:name w:val="引文目录标题 字符"/>
    <w:link w:val="18"/>
    <w:qFormat/>
    <w:uiPriority w:val="0"/>
    <w:rPr>
      <w:rFonts w:ascii="Arial" w:hAnsi="Arial" w:eastAsia="宋体" w:cs="Times New Roman"/>
      <w:kern w:val="0"/>
      <w:sz w:val="24"/>
      <w:szCs w:val="20"/>
    </w:rPr>
  </w:style>
  <w:style w:type="character" w:customStyle="1" w:styleId="163">
    <w:name w:val="正文首行缩进1 Char"/>
    <w:qFormat/>
    <w:uiPriority w:val="0"/>
    <w:rPr>
      <w:rFonts w:ascii="Arial" w:hAnsi="Arial" w:eastAsia="宋体"/>
      <w:sz w:val="24"/>
      <w:szCs w:val="21"/>
      <w:lang w:bidi="ar-SA"/>
    </w:rPr>
  </w:style>
  <w:style w:type="character" w:customStyle="1" w:styleId="164">
    <w:name w:val="cn1"/>
    <w:qFormat/>
    <w:uiPriority w:val="0"/>
  </w:style>
  <w:style w:type="character" w:customStyle="1" w:styleId="165">
    <w:name w:val="正文首行缩进 字符"/>
    <w:link w:val="22"/>
    <w:qFormat/>
    <w:uiPriority w:val="0"/>
    <w:rPr>
      <w:sz w:val="24"/>
      <w:szCs w:val="24"/>
    </w:rPr>
  </w:style>
  <w:style w:type="character" w:customStyle="1" w:styleId="166">
    <w:name w:val="H1 Char"/>
    <w:qFormat/>
    <w:uiPriority w:val="0"/>
    <w:rPr>
      <w:rFonts w:ascii="Times New Roman" w:hAnsi="Times New Roman" w:eastAsia="宋体" w:cs="Times New Roman"/>
      <w:b/>
      <w:bCs/>
      <w:kern w:val="44"/>
      <w:sz w:val="44"/>
      <w:szCs w:val="44"/>
    </w:rPr>
  </w:style>
  <w:style w:type="character" w:customStyle="1" w:styleId="167">
    <w:name w:val="Heading 3 - old Char"/>
    <w:qFormat/>
    <w:uiPriority w:val="0"/>
    <w:rPr>
      <w:rFonts w:ascii="Times New Roman" w:hAnsi="Times New Roman" w:eastAsia="宋体" w:cs="Times New Roman"/>
      <w:b/>
      <w:bCs/>
      <w:sz w:val="32"/>
      <w:szCs w:val="32"/>
    </w:rPr>
  </w:style>
  <w:style w:type="character" w:customStyle="1" w:styleId="168">
    <w:name w:val="批注文字 字符"/>
    <w:link w:val="19"/>
    <w:qFormat/>
    <w:uiPriority w:val="0"/>
    <w:rPr>
      <w:szCs w:val="24"/>
    </w:rPr>
  </w:style>
  <w:style w:type="character" w:customStyle="1" w:styleId="169">
    <w:name w:val="font31"/>
    <w:qFormat/>
    <w:uiPriority w:val="0"/>
    <w:rPr>
      <w:rFonts w:hint="default" w:ascii="Times New Roman" w:hAnsi="Times New Roman" w:cs="Times New Roman"/>
      <w:color w:val="000000"/>
      <w:sz w:val="20"/>
      <w:szCs w:val="20"/>
      <w:u w:val="none"/>
    </w:rPr>
  </w:style>
  <w:style w:type="character" w:customStyle="1" w:styleId="170">
    <w:name w:val="正文文本缩进 3 字符"/>
    <w:link w:val="41"/>
    <w:qFormat/>
    <w:uiPriority w:val="0"/>
    <w:rPr>
      <w:rFonts w:ascii="仿宋_GB2312" w:hAnsi="宋体" w:eastAsia="仿宋_GB2312"/>
      <w:color w:val="000000"/>
      <w:sz w:val="24"/>
      <w:szCs w:val="24"/>
    </w:rPr>
  </w:style>
  <w:style w:type="character" w:customStyle="1" w:styleId="171">
    <w:name w:val="Char Char16"/>
    <w:qFormat/>
    <w:uiPriority w:val="0"/>
    <w:rPr>
      <w:rFonts w:ascii="宋体" w:hAnsi="Courier New"/>
      <w:spacing w:val="-4"/>
      <w:kern w:val="2"/>
      <w:sz w:val="18"/>
    </w:rPr>
  </w:style>
  <w:style w:type="character" w:customStyle="1" w:styleId="172">
    <w:name w:val="批注主题 字符"/>
    <w:link w:val="49"/>
    <w:qFormat/>
    <w:uiPriority w:val="99"/>
    <w:rPr>
      <w:b/>
      <w:bCs/>
      <w:szCs w:val="24"/>
    </w:rPr>
  </w:style>
  <w:style w:type="character" w:customStyle="1" w:styleId="173">
    <w:name w:val="标题 1 字符"/>
    <w:link w:val="3"/>
    <w:qFormat/>
    <w:uiPriority w:val="9"/>
    <w:rPr>
      <w:rFonts w:ascii="Times New Roman" w:hAnsi="Times New Roman" w:eastAsia="宋体" w:cs="Times New Roman"/>
      <w:b/>
      <w:bCs/>
      <w:kern w:val="44"/>
      <w:sz w:val="44"/>
      <w:szCs w:val="44"/>
    </w:rPr>
  </w:style>
  <w:style w:type="character" w:customStyle="1" w:styleId="174">
    <w:name w:val="正文首行缩进 Char1"/>
    <w:semiHidden/>
    <w:qFormat/>
    <w:uiPriority w:val="99"/>
    <w:rPr>
      <w:rFonts w:ascii="Times New Roman" w:hAnsi="Times New Roman" w:eastAsia="宋体" w:cs="Times New Roman"/>
      <w:szCs w:val="24"/>
    </w:rPr>
  </w:style>
  <w:style w:type="character" w:customStyle="1" w:styleId="175">
    <w:name w:val="正文文本缩进 2 字符"/>
    <w:link w:val="32"/>
    <w:qFormat/>
    <w:uiPriority w:val="0"/>
    <w:rPr>
      <w:rFonts w:ascii="仿宋_GB2312" w:hAnsi="宋体" w:cs="Arial"/>
      <w:b/>
      <w:bCs/>
      <w:color w:val="000000"/>
      <w:sz w:val="24"/>
      <w:szCs w:val="24"/>
    </w:rPr>
  </w:style>
  <w:style w:type="character" w:customStyle="1" w:styleId="176">
    <w:name w:val="普通 (Web) Char"/>
    <w:qFormat/>
    <w:uiPriority w:val="0"/>
    <w:rPr>
      <w:rFonts w:ascii="宋体" w:hAnsi="宋体" w:eastAsia="宋体" w:cs="Times New Roman"/>
      <w:kern w:val="0"/>
      <w:sz w:val="24"/>
      <w:szCs w:val="24"/>
    </w:rPr>
  </w:style>
  <w:style w:type="character" w:customStyle="1" w:styleId="177">
    <w:name w:val="zhenwen14"/>
    <w:qFormat/>
    <w:uiPriority w:val="0"/>
    <w:rPr>
      <w:color w:val="085994"/>
      <w:sz w:val="18"/>
      <w:szCs w:val="18"/>
    </w:rPr>
  </w:style>
  <w:style w:type="character" w:customStyle="1" w:styleId="178">
    <w:name w:val="font81"/>
    <w:qFormat/>
    <w:uiPriority w:val="0"/>
    <w:rPr>
      <w:rFonts w:hint="eastAsia" w:ascii="宋体" w:hAnsi="宋体" w:eastAsia="宋体" w:cs="宋体"/>
      <w:color w:val="000000"/>
      <w:sz w:val="20"/>
      <w:szCs w:val="20"/>
      <w:u w:val="none"/>
      <w:vertAlign w:val="superscript"/>
    </w:rPr>
  </w:style>
  <w:style w:type="character" w:customStyle="1" w:styleId="179">
    <w:name w:val="Heading 5 Char"/>
    <w:semiHidden/>
    <w:qFormat/>
    <w:locked/>
    <w:uiPriority w:val="0"/>
    <w:rPr>
      <w:rFonts w:cs="Times New Roman"/>
      <w:b/>
      <w:bCs/>
      <w:kern w:val="0"/>
      <w:sz w:val="28"/>
      <w:szCs w:val="28"/>
    </w:rPr>
  </w:style>
  <w:style w:type="character" w:customStyle="1" w:styleId="180">
    <w:name w:val="日期 Char1"/>
    <w:semiHidden/>
    <w:qFormat/>
    <w:uiPriority w:val="99"/>
    <w:rPr>
      <w:rFonts w:ascii="Times New Roman" w:hAnsi="Times New Roman" w:eastAsia="宋体" w:cs="Times New Roman"/>
      <w:szCs w:val="24"/>
    </w:rPr>
  </w:style>
  <w:style w:type="character" w:customStyle="1" w:styleId="181">
    <w:name w:val="缺省文本 Char"/>
    <w:link w:val="182"/>
    <w:qFormat/>
    <w:uiPriority w:val="0"/>
    <w:rPr>
      <w:rFonts w:ascii="Arial" w:hAnsi="Arial"/>
      <w:szCs w:val="21"/>
    </w:rPr>
  </w:style>
  <w:style w:type="paragraph" w:customStyle="1" w:styleId="182">
    <w:name w:val="缺省文本"/>
    <w:basedOn w:val="1"/>
    <w:link w:val="181"/>
    <w:qFormat/>
    <w:uiPriority w:val="0"/>
    <w:pPr>
      <w:autoSpaceDE w:val="0"/>
      <w:autoSpaceDN w:val="0"/>
      <w:adjustRightInd w:val="0"/>
      <w:spacing w:line="360" w:lineRule="auto"/>
      <w:jc w:val="left"/>
    </w:pPr>
    <w:rPr>
      <w:rFonts w:ascii="Arial" w:hAnsi="Arial"/>
      <w:kern w:val="0"/>
      <w:sz w:val="20"/>
      <w:szCs w:val="21"/>
    </w:rPr>
  </w:style>
  <w:style w:type="character" w:customStyle="1" w:styleId="183">
    <w:name w:val="A正文 Char"/>
    <w:link w:val="184"/>
    <w:qFormat/>
    <w:uiPriority w:val="0"/>
    <w:rPr>
      <w:szCs w:val="24"/>
    </w:rPr>
  </w:style>
  <w:style w:type="paragraph" w:customStyle="1" w:styleId="184">
    <w:name w:val="A正文"/>
    <w:basedOn w:val="1"/>
    <w:link w:val="183"/>
    <w:qFormat/>
    <w:uiPriority w:val="0"/>
    <w:pPr>
      <w:spacing w:line="360" w:lineRule="auto"/>
      <w:ind w:firstLine="200" w:firstLineChars="200"/>
    </w:pPr>
    <w:rPr>
      <w:kern w:val="0"/>
      <w:sz w:val="20"/>
    </w:rPr>
  </w:style>
  <w:style w:type="character" w:customStyle="1" w:styleId="185">
    <w:name w:val="style211"/>
    <w:qFormat/>
    <w:uiPriority w:val="0"/>
    <w:rPr>
      <w:color w:val="0000FF"/>
    </w:rPr>
  </w:style>
  <w:style w:type="character" w:customStyle="1" w:styleId="186">
    <w:name w:val="def正文 Char Char"/>
    <w:link w:val="187"/>
    <w:qFormat/>
    <w:uiPriority w:val="0"/>
    <w:rPr>
      <w:sz w:val="24"/>
      <w:szCs w:val="24"/>
    </w:rPr>
  </w:style>
  <w:style w:type="paragraph" w:customStyle="1" w:styleId="187">
    <w:name w:val="def正文"/>
    <w:basedOn w:val="21"/>
    <w:link w:val="186"/>
    <w:qFormat/>
    <w:uiPriority w:val="0"/>
    <w:pPr>
      <w:widowControl/>
      <w:spacing w:after="0" w:line="360" w:lineRule="auto"/>
      <w:ind w:firstLine="510"/>
      <w:jc w:val="left"/>
    </w:pPr>
    <w:rPr>
      <w:sz w:val="24"/>
    </w:rPr>
  </w:style>
  <w:style w:type="character" w:customStyle="1" w:styleId="188">
    <w:name w:val="￥正文 Char"/>
    <w:link w:val="189"/>
    <w:qFormat/>
    <w:uiPriority w:val="0"/>
    <w:rPr>
      <w:rFonts w:ascii="Calibri" w:hAnsi="Calibri" w:eastAsia="宋体"/>
      <w:sz w:val="24"/>
      <w:lang w:bidi="ar-SA"/>
    </w:rPr>
  </w:style>
  <w:style w:type="paragraph" w:customStyle="1" w:styleId="189">
    <w:name w:val="￥正文"/>
    <w:basedOn w:val="1"/>
    <w:link w:val="188"/>
    <w:qFormat/>
    <w:uiPriority w:val="0"/>
    <w:pPr>
      <w:spacing w:line="360" w:lineRule="auto"/>
      <w:ind w:firstLine="200" w:firstLineChars="200"/>
    </w:pPr>
    <w:rPr>
      <w:rFonts w:ascii="Calibri" w:hAnsi="Calibri"/>
      <w:kern w:val="0"/>
      <w:sz w:val="24"/>
      <w:szCs w:val="20"/>
    </w:rPr>
  </w:style>
  <w:style w:type="character" w:customStyle="1" w:styleId="190">
    <w:name w:val="Char Char21"/>
    <w:qFormat/>
    <w:uiPriority w:val="0"/>
    <w:rPr>
      <w:b/>
      <w:bCs/>
      <w:kern w:val="2"/>
      <w:sz w:val="24"/>
      <w:szCs w:val="24"/>
    </w:rPr>
  </w:style>
  <w:style w:type="character" w:customStyle="1" w:styleId="191">
    <w:name w:val="页脚 Char1"/>
    <w:semiHidden/>
    <w:qFormat/>
    <w:uiPriority w:val="99"/>
    <w:rPr>
      <w:rFonts w:ascii="Times New Roman" w:hAnsi="Times New Roman" w:eastAsia="宋体" w:cs="Times New Roman"/>
      <w:sz w:val="18"/>
      <w:szCs w:val="18"/>
    </w:rPr>
  </w:style>
  <w:style w:type="character" w:customStyle="1" w:styleId="192">
    <w:name w:val="Char Char25"/>
    <w:qFormat/>
    <w:uiPriority w:val="0"/>
    <w:rPr>
      <w:rFonts w:eastAsia="楷体_GB2312"/>
      <w:b/>
      <w:bCs/>
      <w:kern w:val="2"/>
      <w:sz w:val="32"/>
      <w:szCs w:val="32"/>
    </w:rPr>
  </w:style>
  <w:style w:type="character" w:customStyle="1" w:styleId="193">
    <w:name w:val="标题 字符"/>
    <w:link w:val="48"/>
    <w:qFormat/>
    <w:uiPriority w:val="0"/>
    <w:rPr>
      <w:rFonts w:ascii="Cambria" w:hAnsi="Cambria"/>
      <w:b/>
      <w:bCs/>
      <w:sz w:val="32"/>
      <w:szCs w:val="32"/>
    </w:rPr>
  </w:style>
  <w:style w:type="character" w:customStyle="1" w:styleId="194">
    <w:name w:val="h Char"/>
    <w:qFormat/>
    <w:uiPriority w:val="0"/>
    <w:rPr>
      <w:rFonts w:ascii="Times New Roman" w:hAnsi="Times New Roman" w:eastAsia="宋体" w:cs="Times New Roman"/>
      <w:sz w:val="18"/>
      <w:szCs w:val="18"/>
    </w:rPr>
  </w:style>
  <w:style w:type="character" w:customStyle="1" w:styleId="195">
    <w:name w:val="标题 Char1"/>
    <w:qFormat/>
    <w:uiPriority w:val="10"/>
    <w:rPr>
      <w:rFonts w:ascii="Cambria" w:hAnsi="Cambria" w:eastAsia="宋体" w:cs="Times New Roman"/>
      <w:b/>
      <w:bCs/>
      <w:sz w:val="32"/>
      <w:szCs w:val="32"/>
    </w:rPr>
  </w:style>
  <w:style w:type="character" w:customStyle="1" w:styleId="196">
    <w:name w:val="表格文本 Char Char"/>
    <w:link w:val="197"/>
    <w:qFormat/>
    <w:uiPriority w:val="0"/>
    <w:rPr>
      <w:rFonts w:ascii="Arial" w:hAnsi="Arial"/>
      <w:kern w:val="2"/>
      <w:sz w:val="21"/>
      <w:szCs w:val="21"/>
      <w:lang w:val="en-US" w:eastAsia="zh-CN" w:bidi="ar-SA"/>
    </w:rPr>
  </w:style>
  <w:style w:type="paragraph" w:customStyle="1" w:styleId="197">
    <w:name w:val="表格文本 Char"/>
    <w:link w:val="196"/>
    <w:qFormat/>
    <w:uiPriority w:val="0"/>
    <w:pPr>
      <w:tabs>
        <w:tab w:val="decimal" w:pos="0"/>
      </w:tabs>
    </w:pPr>
    <w:rPr>
      <w:rFonts w:ascii="Arial" w:hAnsi="Arial" w:eastAsia="宋体" w:cs="Times New Roman"/>
      <w:kern w:val="2"/>
      <w:sz w:val="21"/>
      <w:szCs w:val="21"/>
      <w:lang w:val="en-US" w:eastAsia="zh-CN" w:bidi="ar-SA"/>
    </w:rPr>
  </w:style>
  <w:style w:type="character" w:customStyle="1" w:styleId="198">
    <w:name w:val="Char Char23"/>
    <w:qFormat/>
    <w:uiPriority w:val="0"/>
    <w:rPr>
      <w:b/>
      <w:bCs/>
      <w:kern w:val="2"/>
      <w:sz w:val="28"/>
      <w:szCs w:val="28"/>
    </w:rPr>
  </w:style>
  <w:style w:type="character" w:customStyle="1" w:styleId="199">
    <w:name w:val="style551"/>
    <w:qFormat/>
    <w:uiPriority w:val="0"/>
    <w:rPr>
      <w:rFonts w:hint="default" w:ascii="Arial" w:hAnsi="Arial" w:cs="Arial"/>
      <w:color w:val="333333"/>
      <w:sz w:val="18"/>
      <w:szCs w:val="18"/>
    </w:rPr>
  </w:style>
  <w:style w:type="character" w:customStyle="1" w:styleId="200">
    <w:name w:val="unnamed21"/>
    <w:qFormat/>
    <w:uiPriority w:val="0"/>
    <w:rPr>
      <w:b/>
      <w:bCs/>
      <w:spacing w:val="330"/>
      <w:sz w:val="21"/>
      <w:szCs w:val="21"/>
    </w:rPr>
  </w:style>
  <w:style w:type="character" w:customStyle="1" w:styleId="201">
    <w:name w:val="标题 1 Char Char"/>
    <w:qFormat/>
    <w:uiPriority w:val="0"/>
    <w:rPr>
      <w:rFonts w:eastAsia="宋体"/>
      <w:b/>
      <w:spacing w:val="-2"/>
      <w:sz w:val="24"/>
      <w:lang w:val="en-US" w:eastAsia="zh-CN" w:bidi="ar-SA"/>
    </w:rPr>
  </w:style>
  <w:style w:type="character" w:customStyle="1" w:styleId="202">
    <w:name w:val="Char Char5"/>
    <w:qFormat/>
    <w:uiPriority w:val="0"/>
    <w:rPr>
      <w:rFonts w:ascii="宋体" w:hAnsi="宋体"/>
      <w:sz w:val="24"/>
      <w:szCs w:val="24"/>
    </w:rPr>
  </w:style>
  <w:style w:type="character" w:customStyle="1" w:styleId="203">
    <w:name w:val="正文文本 2 Char1"/>
    <w:semiHidden/>
    <w:qFormat/>
    <w:uiPriority w:val="99"/>
    <w:rPr>
      <w:rFonts w:ascii="Times New Roman" w:hAnsi="Times New Roman" w:eastAsia="宋体" w:cs="Times New Roman"/>
      <w:szCs w:val="24"/>
    </w:rPr>
  </w:style>
  <w:style w:type="character" w:customStyle="1" w:styleId="204">
    <w:name w:val="Char Char111"/>
    <w:qFormat/>
    <w:uiPriority w:val="0"/>
    <w:rPr>
      <w:kern w:val="2"/>
      <w:sz w:val="28"/>
      <w:szCs w:val="24"/>
    </w:rPr>
  </w:style>
  <w:style w:type="character" w:customStyle="1" w:styleId="205">
    <w:name w:val="font91"/>
    <w:qFormat/>
    <w:uiPriority w:val="0"/>
    <w:rPr>
      <w:rFonts w:hint="default" w:ascii="Arial" w:hAnsi="Arial" w:cs="Arial"/>
      <w:b/>
      <w:color w:val="auto"/>
      <w:sz w:val="20"/>
      <w:szCs w:val="20"/>
      <w:u w:val="none"/>
    </w:rPr>
  </w:style>
  <w:style w:type="character" w:customStyle="1" w:styleId="206">
    <w:name w:val="普通文字 Char Char"/>
    <w:qFormat/>
    <w:uiPriority w:val="0"/>
    <w:rPr>
      <w:rFonts w:ascii="宋体" w:hAnsi="Courier New" w:eastAsia="宋体" w:cs="Times New Roman"/>
      <w:szCs w:val="20"/>
    </w:rPr>
  </w:style>
  <w:style w:type="character" w:customStyle="1" w:styleId="207">
    <w:name w:val="3zw"/>
    <w:qFormat/>
    <w:uiPriority w:val="0"/>
  </w:style>
  <w:style w:type="character" w:customStyle="1" w:styleId="208">
    <w:name w:val="普通 (Web) Char1"/>
    <w:qFormat/>
    <w:locked/>
    <w:uiPriority w:val="0"/>
    <w:rPr>
      <w:rFonts w:ascii="宋体" w:hAnsi="宋体" w:eastAsia="宋体"/>
      <w:sz w:val="24"/>
      <w:szCs w:val="24"/>
      <w:lang w:val="en-US" w:eastAsia="zh-CN" w:bidi="ar-SA"/>
    </w:rPr>
  </w:style>
  <w:style w:type="character" w:customStyle="1" w:styleId="209">
    <w:name w:val="Heading 1 Char"/>
    <w:qFormat/>
    <w:locked/>
    <w:uiPriority w:val="0"/>
    <w:rPr>
      <w:rFonts w:cs="Times New Roman"/>
      <w:b/>
      <w:bCs/>
      <w:kern w:val="44"/>
      <w:sz w:val="44"/>
      <w:szCs w:val="44"/>
    </w:rPr>
  </w:style>
  <w:style w:type="character" w:customStyle="1" w:styleId="210">
    <w:name w:val="Footer Char"/>
    <w:qFormat/>
    <w:locked/>
    <w:uiPriority w:val="0"/>
    <w:rPr>
      <w:rFonts w:ascii="Calibri" w:hAnsi="Calibri" w:eastAsia="宋体" w:cs="Times New Roman"/>
      <w:sz w:val="18"/>
      <w:szCs w:val="18"/>
    </w:rPr>
  </w:style>
  <w:style w:type="character" w:customStyle="1" w:styleId="211">
    <w:name w:val="Char Char1"/>
    <w:qFormat/>
    <w:uiPriority w:val="0"/>
    <w:rPr>
      <w:kern w:val="2"/>
      <w:sz w:val="21"/>
      <w:szCs w:val="24"/>
    </w:rPr>
  </w:style>
  <w:style w:type="character" w:customStyle="1" w:styleId="212">
    <w:name w:val="font61"/>
    <w:qFormat/>
    <w:uiPriority w:val="0"/>
    <w:rPr>
      <w:rFonts w:hint="eastAsia" w:ascii="宋体" w:hAnsi="宋体" w:eastAsia="宋体" w:cs="宋体"/>
      <w:color w:val="000000"/>
      <w:sz w:val="24"/>
      <w:szCs w:val="24"/>
      <w:u w:val="none"/>
    </w:rPr>
  </w:style>
  <w:style w:type="character" w:customStyle="1" w:styleId="213">
    <w:name w:val="标题 7 字符"/>
    <w:link w:val="9"/>
    <w:qFormat/>
    <w:uiPriority w:val="0"/>
    <w:rPr>
      <w:rFonts w:ascii="Times New Roman" w:hAnsi="Times New Roman" w:eastAsia="宋体" w:cs="Times New Roman"/>
      <w:b/>
      <w:bCs/>
      <w:kern w:val="0"/>
      <w:sz w:val="24"/>
      <w:szCs w:val="24"/>
    </w:rPr>
  </w:style>
  <w:style w:type="character" w:customStyle="1" w:styleId="214">
    <w:name w:val="font21"/>
    <w:qFormat/>
    <w:uiPriority w:val="0"/>
    <w:rPr>
      <w:rFonts w:hint="eastAsia" w:ascii="宋体" w:hAnsi="宋体" w:eastAsia="宋体" w:cs="宋体"/>
      <w:color w:val="000000"/>
      <w:sz w:val="20"/>
      <w:szCs w:val="20"/>
      <w:u w:val="none"/>
    </w:rPr>
  </w:style>
  <w:style w:type="character" w:customStyle="1" w:styleId="215">
    <w:name w:val="页脚 Char"/>
    <w:qFormat/>
    <w:uiPriority w:val="99"/>
    <w:rPr>
      <w:rFonts w:eastAsia="Calibri"/>
      <w:sz w:val="21"/>
    </w:rPr>
  </w:style>
  <w:style w:type="character" w:customStyle="1" w:styleId="216">
    <w:name w:val="标题 3 Char1"/>
    <w:qFormat/>
    <w:uiPriority w:val="0"/>
    <w:rPr>
      <w:rFonts w:ascii="Times New Roman" w:hAnsi="Times New Roman" w:eastAsia="宋体" w:cs="Times New Roman"/>
      <w:b/>
      <w:bCs/>
      <w:sz w:val="32"/>
      <w:szCs w:val="32"/>
    </w:rPr>
  </w:style>
  <w:style w:type="character" w:customStyle="1" w:styleId="217">
    <w:name w:val="纯文本 Char2"/>
    <w:semiHidden/>
    <w:qFormat/>
    <w:uiPriority w:val="99"/>
    <w:rPr>
      <w:rFonts w:ascii="宋体" w:hAnsi="Courier New" w:eastAsia="宋体" w:cs="Courier New"/>
      <w:szCs w:val="21"/>
    </w:rPr>
  </w:style>
  <w:style w:type="character" w:customStyle="1" w:styleId="218">
    <w:name w:val="页脚 字符"/>
    <w:link w:val="34"/>
    <w:qFormat/>
    <w:uiPriority w:val="99"/>
    <w:rPr>
      <w:rFonts w:eastAsia="黑体"/>
      <w:sz w:val="18"/>
      <w:szCs w:val="18"/>
    </w:rPr>
  </w:style>
  <w:style w:type="character" w:customStyle="1" w:styleId="219">
    <w:name w:val="段落文本 Char"/>
    <w:link w:val="220"/>
    <w:qFormat/>
    <w:uiPriority w:val="0"/>
    <w:rPr>
      <w:rFonts w:eastAsia="宋体"/>
      <w:szCs w:val="21"/>
      <w:lang w:bidi="ar-SA"/>
    </w:rPr>
  </w:style>
  <w:style w:type="paragraph" w:customStyle="1" w:styleId="220">
    <w:name w:val="段落文本"/>
    <w:basedOn w:val="1"/>
    <w:link w:val="219"/>
    <w:qFormat/>
    <w:uiPriority w:val="0"/>
    <w:pPr>
      <w:spacing w:line="360" w:lineRule="auto"/>
      <w:ind w:firstLine="420"/>
    </w:pPr>
    <w:rPr>
      <w:kern w:val="0"/>
      <w:sz w:val="20"/>
      <w:szCs w:val="21"/>
    </w:rPr>
  </w:style>
  <w:style w:type="character" w:customStyle="1" w:styleId="221">
    <w:name w:val="彩色列表 - 强调文字颜色 1 Char"/>
    <w:link w:val="222"/>
    <w:qFormat/>
    <w:uiPriority w:val="0"/>
    <w:rPr>
      <w:rFonts w:ascii="微软雅黑" w:hAnsi="微软雅黑" w:eastAsia="微软雅黑" w:cs="宋体"/>
      <w:kern w:val="2"/>
      <w:sz w:val="24"/>
      <w:szCs w:val="21"/>
      <w:lang w:val="en-US" w:eastAsia="zh-CN" w:bidi="ar-SA"/>
    </w:rPr>
  </w:style>
  <w:style w:type="paragraph" w:customStyle="1" w:styleId="222">
    <w:name w:val="列出段落22"/>
    <w:basedOn w:val="1"/>
    <w:link w:val="221"/>
    <w:qFormat/>
    <w:uiPriority w:val="0"/>
    <w:pPr>
      <w:widowControl/>
      <w:adjustRightInd w:val="0"/>
      <w:snapToGrid w:val="0"/>
      <w:spacing w:line="360" w:lineRule="auto"/>
      <w:ind w:firstLine="420" w:firstLineChars="200"/>
      <w:jc w:val="left"/>
    </w:pPr>
    <w:rPr>
      <w:rFonts w:ascii="微软雅黑" w:hAnsi="微软雅黑" w:eastAsia="微软雅黑" w:cs="宋体"/>
      <w:sz w:val="24"/>
      <w:szCs w:val="21"/>
    </w:rPr>
  </w:style>
  <w:style w:type="character" w:customStyle="1" w:styleId="223">
    <w:name w:val="标题 8 字符"/>
    <w:link w:val="10"/>
    <w:qFormat/>
    <w:uiPriority w:val="0"/>
    <w:rPr>
      <w:rFonts w:ascii="Arial" w:hAnsi="Arial" w:eastAsia="黑体" w:cs="Times New Roman"/>
      <w:kern w:val="0"/>
      <w:sz w:val="24"/>
      <w:szCs w:val="24"/>
    </w:rPr>
  </w:style>
  <w:style w:type="character" w:customStyle="1" w:styleId="224">
    <w:name w:val="Normal Indent Char"/>
    <w:qFormat/>
    <w:locked/>
    <w:uiPriority w:val="0"/>
    <w:rPr>
      <w:sz w:val="20"/>
    </w:rPr>
  </w:style>
  <w:style w:type="character" w:customStyle="1" w:styleId="225">
    <w:name w:val="页眉 字符"/>
    <w:link w:val="35"/>
    <w:qFormat/>
    <w:uiPriority w:val="99"/>
    <w:rPr>
      <w:rFonts w:eastAsia="仿宋_GB2312"/>
      <w:sz w:val="18"/>
    </w:rPr>
  </w:style>
  <w:style w:type="character" w:customStyle="1" w:styleId="226">
    <w:name w:val="内容文本 Char"/>
    <w:link w:val="227"/>
    <w:qFormat/>
    <w:uiPriority w:val="0"/>
    <w:rPr>
      <w:rFonts w:ascii="宋体" w:hAnsi="宋体" w:eastAsia="宋体"/>
      <w:kern w:val="2"/>
      <w:sz w:val="24"/>
      <w:szCs w:val="24"/>
      <w:lang w:bidi="ar-SA"/>
    </w:rPr>
  </w:style>
  <w:style w:type="paragraph" w:customStyle="1" w:styleId="227">
    <w:name w:val="内容文本"/>
    <w:basedOn w:val="1"/>
    <w:link w:val="226"/>
    <w:qFormat/>
    <w:uiPriority w:val="0"/>
    <w:pPr>
      <w:spacing w:line="360" w:lineRule="auto"/>
      <w:ind w:firstLine="480" w:firstLineChars="200"/>
    </w:pPr>
    <w:rPr>
      <w:rFonts w:ascii="宋体" w:hAnsi="宋体"/>
      <w:sz w:val="24"/>
    </w:rPr>
  </w:style>
  <w:style w:type="character" w:customStyle="1" w:styleId="228">
    <w:name w:val="style171"/>
    <w:qFormat/>
    <w:uiPriority w:val="0"/>
    <w:rPr>
      <w:sz w:val="20"/>
      <w:szCs w:val="20"/>
    </w:rPr>
  </w:style>
  <w:style w:type="character" w:customStyle="1" w:styleId="229">
    <w:name w:val="Char Char2"/>
    <w:qFormat/>
    <w:uiPriority w:val="0"/>
    <w:rPr>
      <w:rFonts w:ascii="宋体" w:hAnsi="宋体"/>
      <w:color w:val="000000"/>
      <w:kern w:val="2"/>
      <w:sz w:val="24"/>
      <w:szCs w:val="24"/>
    </w:rPr>
  </w:style>
  <w:style w:type="character" w:customStyle="1" w:styleId="230">
    <w:name w:val="正文文本缩进 2 Char1"/>
    <w:semiHidden/>
    <w:qFormat/>
    <w:uiPriority w:val="99"/>
    <w:rPr>
      <w:rFonts w:ascii="Times New Roman" w:hAnsi="Times New Roman" w:eastAsia="宋体" w:cs="Times New Roman"/>
      <w:szCs w:val="24"/>
    </w:rPr>
  </w:style>
  <w:style w:type="character" w:customStyle="1" w:styleId="231">
    <w:name w:val="* table text Char"/>
    <w:link w:val="232"/>
    <w:qFormat/>
    <w:locked/>
    <w:uiPriority w:val="0"/>
    <w:rPr>
      <w:rFonts w:ascii="Arial" w:hAnsi="Arial" w:eastAsia="宋体"/>
      <w:color w:val="333333"/>
      <w:sz w:val="18"/>
      <w:szCs w:val="18"/>
      <w:lang w:bidi="ar-SA"/>
    </w:rPr>
  </w:style>
  <w:style w:type="paragraph" w:customStyle="1" w:styleId="232">
    <w:name w:val="* table text"/>
    <w:basedOn w:val="1"/>
    <w:link w:val="231"/>
    <w:qFormat/>
    <w:uiPriority w:val="0"/>
    <w:pPr>
      <w:widowControl/>
    </w:pPr>
    <w:rPr>
      <w:rFonts w:ascii="Arial" w:hAnsi="Arial"/>
      <w:color w:val="333333"/>
      <w:kern w:val="0"/>
      <w:sz w:val="18"/>
      <w:szCs w:val="18"/>
    </w:rPr>
  </w:style>
  <w:style w:type="character" w:customStyle="1" w:styleId="233">
    <w:name w:val="样式 加粗"/>
    <w:qFormat/>
    <w:uiPriority w:val="0"/>
    <w:rPr>
      <w:rFonts w:eastAsia="仿宋_GB2312"/>
      <w:b/>
      <w:bCs/>
      <w:sz w:val="24"/>
    </w:rPr>
  </w:style>
  <w:style w:type="character" w:customStyle="1" w:styleId="234">
    <w:name w:val="Header Char"/>
    <w:qFormat/>
    <w:locked/>
    <w:uiPriority w:val="0"/>
    <w:rPr>
      <w:rFonts w:ascii="Calibri" w:hAnsi="Calibri" w:eastAsia="宋体" w:cs="Times New Roman"/>
      <w:sz w:val="18"/>
      <w:szCs w:val="18"/>
    </w:rPr>
  </w:style>
  <w:style w:type="paragraph" w:customStyle="1" w:styleId="23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36">
    <w:name w:val="网格表 3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7">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8">
    <w:name w:val="Char Char1 Char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39">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0">
    <w:name w:val="Char11"/>
    <w:basedOn w:val="1"/>
    <w:qFormat/>
    <w:uiPriority w:val="0"/>
    <w:rPr>
      <w:rFonts w:ascii="仿宋_GB2312" w:hAnsi="宋体" w:eastAsia="仿宋_GB2312" w:cs="宋体"/>
      <w:b/>
      <w:sz w:val="32"/>
      <w:szCs w:val="32"/>
    </w:rPr>
  </w:style>
  <w:style w:type="paragraph" w:customStyle="1" w:styleId="241">
    <w:name w:val="简单回函地址"/>
    <w:basedOn w:val="1"/>
    <w:qFormat/>
    <w:uiPriority w:val="0"/>
    <w:rPr>
      <w:szCs w:val="20"/>
    </w:rPr>
  </w:style>
  <w:style w:type="paragraph" w:customStyle="1" w:styleId="242">
    <w:name w:val="正文段"/>
    <w:basedOn w:val="1"/>
    <w:qFormat/>
    <w:uiPriority w:val="0"/>
    <w:pPr>
      <w:widowControl/>
      <w:snapToGrid w:val="0"/>
      <w:spacing w:afterLines="50"/>
      <w:ind w:firstLine="200" w:firstLineChars="200"/>
    </w:pPr>
    <w:rPr>
      <w:kern w:val="0"/>
      <w:sz w:val="24"/>
      <w:szCs w:val="20"/>
    </w:rPr>
  </w:style>
  <w:style w:type="paragraph" w:customStyle="1" w:styleId="24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44">
    <w:name w:val="p0"/>
    <w:basedOn w:val="1"/>
    <w:qFormat/>
    <w:uiPriority w:val="0"/>
    <w:pPr>
      <w:widowControl/>
      <w:jc w:val="left"/>
    </w:pPr>
    <w:rPr>
      <w:rFonts w:ascii="宋体" w:hAnsi="宋体"/>
      <w:kern w:val="0"/>
      <w:sz w:val="20"/>
      <w:szCs w:val="20"/>
    </w:rPr>
  </w:style>
  <w:style w:type="paragraph" w:customStyle="1" w:styleId="245">
    <w:name w:val="contentnoteheader"/>
    <w:basedOn w:val="1"/>
    <w:qFormat/>
    <w:uiPriority w:val="0"/>
    <w:pPr>
      <w:widowControl/>
      <w:spacing w:before="30" w:after="100" w:afterAutospacing="1"/>
      <w:ind w:left="90"/>
      <w:jc w:val="left"/>
    </w:pPr>
    <w:rPr>
      <w:rFonts w:ascii="宋体" w:hAnsi="宋体"/>
      <w:b/>
      <w:bCs/>
      <w:color w:val="990000"/>
      <w:kern w:val="0"/>
      <w:sz w:val="18"/>
      <w:szCs w:val="18"/>
    </w:rPr>
  </w:style>
  <w:style w:type="paragraph" w:customStyle="1" w:styleId="246">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Char Char Char Char Char Char11"/>
    <w:basedOn w:val="1"/>
    <w:qFormat/>
    <w:uiPriority w:val="0"/>
    <w:pPr>
      <w:spacing w:line="360" w:lineRule="auto"/>
      <w:ind w:firstLine="200" w:firstLineChars="200"/>
    </w:pPr>
    <w:rPr>
      <w:rFonts w:ascii="Tahoma" w:hAnsi="Tahoma" w:cs="Tahoma"/>
      <w:sz w:val="24"/>
    </w:rPr>
  </w:style>
  <w:style w:type="paragraph" w:customStyle="1" w:styleId="248">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50">
    <w:name w:val="Char Char Char Char Char Char"/>
    <w:basedOn w:val="1"/>
    <w:qFormat/>
    <w:uiPriority w:val="0"/>
    <w:pPr>
      <w:ind w:firstLine="200" w:firstLineChars="200"/>
    </w:pPr>
    <w:rPr>
      <w:szCs w:val="20"/>
    </w:rPr>
  </w:style>
  <w:style w:type="paragraph" w:customStyle="1" w:styleId="251">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52">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53">
    <w:name w:val="首行缩进"/>
    <w:basedOn w:val="1"/>
    <w:qFormat/>
    <w:uiPriority w:val="0"/>
    <w:pPr>
      <w:spacing w:line="360" w:lineRule="auto"/>
      <w:ind w:firstLine="720"/>
    </w:pPr>
    <w:rPr>
      <w:szCs w:val="21"/>
    </w:rPr>
  </w:style>
  <w:style w:type="paragraph" w:customStyle="1" w:styleId="254">
    <w:name w:val="样式7"/>
    <w:basedOn w:val="1"/>
    <w:qFormat/>
    <w:uiPriority w:val="0"/>
    <w:pPr>
      <w:spacing w:beforeLines="30" w:afterLines="30" w:line="480" w:lineRule="exact"/>
      <w:ind w:left="840" w:leftChars="400" w:firstLine="480" w:firstLineChars="200"/>
    </w:pPr>
    <w:rPr>
      <w:rFonts w:cs="宋体"/>
      <w:sz w:val="24"/>
    </w:rPr>
  </w:style>
  <w:style w:type="paragraph" w:customStyle="1" w:styleId="25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56">
    <w:name w:val="Char Char1 Char1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57">
    <w:name w:val="列出段落1"/>
    <w:basedOn w:val="1"/>
    <w:qFormat/>
    <w:uiPriority w:val="0"/>
    <w:pPr>
      <w:spacing w:line="360" w:lineRule="auto"/>
      <w:ind w:firstLine="420" w:firstLineChars="200"/>
    </w:pPr>
    <w:rPr>
      <w:rFonts w:ascii="宋体" w:hAnsi="宋体"/>
      <w:sz w:val="24"/>
    </w:rPr>
  </w:style>
  <w:style w:type="paragraph" w:customStyle="1" w:styleId="258">
    <w:name w:val="xl77"/>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59">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260">
    <w:name w:val="Char Char Char Char Char Char1"/>
    <w:basedOn w:val="1"/>
    <w:qFormat/>
    <w:uiPriority w:val="0"/>
    <w:pPr>
      <w:spacing w:line="360" w:lineRule="auto"/>
      <w:ind w:firstLine="200" w:firstLineChars="200"/>
    </w:pPr>
    <w:rPr>
      <w:rFonts w:ascii="Tahoma" w:hAnsi="Tahoma" w:cs="Tahoma"/>
      <w:sz w:val="24"/>
    </w:rPr>
  </w:style>
  <w:style w:type="paragraph" w:customStyle="1" w:styleId="261">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62">
    <w:name w:val="正文首行缩进11"/>
    <w:basedOn w:val="21"/>
    <w:qFormat/>
    <w:uiPriority w:val="0"/>
    <w:pPr>
      <w:spacing w:line="360" w:lineRule="auto"/>
      <w:ind w:firstLine="420" w:firstLineChars="100"/>
    </w:pPr>
    <w:rPr>
      <w:rFonts w:ascii="Courier New" w:hAnsi="Courier New" w:eastAsia="仿宋_GB2312"/>
      <w:szCs w:val="22"/>
    </w:rPr>
  </w:style>
  <w:style w:type="paragraph" w:customStyle="1" w:styleId="263">
    <w:name w:val="样式 楷体_GB2312 小四 Char Char Char Char Char Char Char Char Char Char Char Char"/>
    <w:basedOn w:val="1"/>
    <w:next w:val="1"/>
    <w:qFormat/>
    <w:uiPriority w:val="0"/>
    <w:pPr>
      <w:spacing w:line="360" w:lineRule="auto"/>
    </w:pPr>
    <w:rPr>
      <w:rFonts w:ascii="楷体_GB2312" w:eastAsia="楷体_GB2312"/>
      <w:sz w:val="24"/>
    </w:rPr>
  </w:style>
  <w:style w:type="paragraph" w:customStyle="1" w:styleId="264">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26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66">
    <w:name w:val="±íÏî"/>
    <w:basedOn w:val="1"/>
    <w:qFormat/>
    <w:uiPriority w:val="0"/>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26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6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9">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70">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71">
    <w:name w:val="È±Ê¡ÎÄ±¾"/>
    <w:basedOn w:val="1"/>
    <w:qFormat/>
    <w:uiPriority w:val="0"/>
    <w:pPr>
      <w:widowControl/>
      <w:overflowPunct w:val="0"/>
      <w:autoSpaceDE w:val="0"/>
      <w:autoSpaceDN w:val="0"/>
      <w:adjustRightInd w:val="0"/>
      <w:snapToGrid w:val="0"/>
      <w:spacing w:line="360" w:lineRule="auto"/>
      <w:textAlignment w:val="baseline"/>
    </w:pPr>
    <w:rPr>
      <w:kern w:val="0"/>
      <w:szCs w:val="20"/>
    </w:rPr>
  </w:style>
  <w:style w:type="paragraph" w:customStyle="1" w:styleId="272">
    <w:name w:val="Item Step in Table"/>
    <w:basedOn w:val="1"/>
    <w:qFormat/>
    <w:uiPriority w:val="0"/>
    <w:pPr>
      <w:tabs>
        <w:tab w:val="left" w:pos="420"/>
      </w:tabs>
      <w:ind w:left="420" w:hanging="420"/>
      <w:jc w:val="left"/>
    </w:pPr>
  </w:style>
  <w:style w:type="paragraph" w:customStyle="1" w:styleId="273">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74">
    <w:name w:val="样式22"/>
    <w:basedOn w:val="5"/>
    <w:qFormat/>
    <w:uiPriority w:val="0"/>
    <w:pPr>
      <w:tabs>
        <w:tab w:val="left" w:pos="1080"/>
      </w:tabs>
      <w:spacing w:before="0" w:after="0" w:line="240" w:lineRule="auto"/>
      <w:ind w:left="1260" w:hanging="420"/>
      <w:jc w:val="both"/>
    </w:pPr>
    <w:rPr>
      <w:rFonts w:eastAsia="宋体"/>
      <w:sz w:val="28"/>
    </w:rPr>
  </w:style>
  <w:style w:type="paragraph" w:customStyle="1" w:styleId="275">
    <w:name w:val="首行缩进:  2 字符"/>
    <w:basedOn w:val="1"/>
    <w:qFormat/>
    <w:uiPriority w:val="0"/>
    <w:pPr>
      <w:kinsoku w:val="0"/>
      <w:overflowPunct w:val="0"/>
      <w:snapToGrid w:val="0"/>
      <w:spacing w:line="360" w:lineRule="auto"/>
      <w:ind w:firstLine="200" w:firstLineChars="200"/>
      <w:jc w:val="left"/>
    </w:pPr>
    <w:rPr>
      <w:rFonts w:cs="宋体"/>
      <w:kern w:val="0"/>
      <w:szCs w:val="21"/>
    </w:rPr>
  </w:style>
  <w:style w:type="paragraph" w:customStyle="1" w:styleId="276">
    <w:name w:val="Pa5"/>
    <w:basedOn w:val="1"/>
    <w:next w:val="1"/>
    <w:qFormat/>
    <w:uiPriority w:val="0"/>
    <w:pPr>
      <w:spacing w:line="241" w:lineRule="auto"/>
      <w:ind w:firstLine="1680" w:firstLineChars="200"/>
    </w:pPr>
    <w:rPr>
      <w:rFonts w:ascii="EtGsHeiBold" w:eastAsia="EtGsHeiBold"/>
      <w:sz w:val="24"/>
    </w:rPr>
  </w:style>
  <w:style w:type="paragraph" w:customStyle="1" w:styleId="27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9">
    <w:name w:val="style1"/>
    <w:basedOn w:val="1"/>
    <w:qFormat/>
    <w:uiPriority w:val="0"/>
    <w:pPr>
      <w:widowControl/>
      <w:spacing w:before="100" w:beforeAutospacing="1" w:after="100" w:afterAutospacing="1" w:line="255" w:lineRule="atLeast"/>
      <w:jc w:val="left"/>
    </w:pPr>
    <w:rPr>
      <w:rFonts w:ascii="宋体" w:hAnsi="宋体" w:cs="宋体"/>
      <w:kern w:val="0"/>
      <w:sz w:val="18"/>
      <w:szCs w:val="18"/>
    </w:rPr>
  </w:style>
  <w:style w:type="paragraph" w:customStyle="1" w:styleId="280">
    <w:name w:val="Item List in Table"/>
    <w:basedOn w:val="1"/>
    <w:qFormat/>
    <w:uiPriority w:val="0"/>
    <w:pPr>
      <w:numPr>
        <w:ilvl w:val="0"/>
        <w:numId w:val="2"/>
      </w:numPr>
      <w:jc w:val="left"/>
    </w:pPr>
  </w:style>
  <w:style w:type="paragraph" w:customStyle="1" w:styleId="28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8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83">
    <w:name w:val="_Style 3"/>
    <w:basedOn w:val="1"/>
    <w:qFormat/>
    <w:uiPriority w:val="34"/>
    <w:pPr>
      <w:spacing w:line="360" w:lineRule="auto"/>
      <w:ind w:firstLine="420" w:firstLineChars="200"/>
    </w:pPr>
    <w:rPr>
      <w:rFonts w:ascii="Calibri" w:hAnsi="Calibri"/>
      <w:szCs w:val="22"/>
    </w:rPr>
  </w:style>
  <w:style w:type="paragraph" w:customStyle="1" w:styleId="284">
    <w:name w:val="次小点说明"/>
    <w:basedOn w:val="14"/>
    <w:autoRedefine/>
    <w:qFormat/>
    <w:uiPriority w:val="0"/>
    <w:pPr>
      <w:tabs>
        <w:tab w:val="left" w:pos="720"/>
      </w:tabs>
      <w:spacing w:line="360" w:lineRule="auto"/>
      <w:ind w:left="777" w:hanging="417"/>
    </w:pPr>
    <w:rPr>
      <w:sz w:val="24"/>
    </w:rPr>
  </w:style>
  <w:style w:type="paragraph" w:customStyle="1" w:styleId="285">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86">
    <w:name w:val="彩色底纹 - 着色 11"/>
    <w:semiHidden/>
    <w:qFormat/>
    <w:uiPriority w:val="99"/>
    <w:rPr>
      <w:rFonts w:ascii="Times New Roman" w:hAnsi="Times New Roman" w:eastAsia="宋体" w:cs="Times New Roman"/>
      <w:kern w:val="2"/>
      <w:sz w:val="21"/>
      <w:szCs w:val="24"/>
      <w:lang w:val="en-US" w:eastAsia="zh-CN" w:bidi="ar-SA"/>
    </w:rPr>
  </w:style>
  <w:style w:type="paragraph" w:customStyle="1" w:styleId="287">
    <w:name w:val="Char Char"/>
    <w:basedOn w:val="1"/>
    <w:qFormat/>
    <w:uiPriority w:val="0"/>
    <w:pPr>
      <w:jc w:val="center"/>
    </w:pPr>
    <w:rPr>
      <w:rFonts w:ascii="仿宋_GB2312" w:eastAsia="仿宋_GB2312"/>
      <w:b/>
      <w:kern w:val="0"/>
      <w:sz w:val="32"/>
      <w:szCs w:val="32"/>
      <w:lang w:val="en-GB"/>
    </w:rPr>
  </w:style>
  <w:style w:type="paragraph" w:customStyle="1" w:styleId="288">
    <w:name w:val="此正文"/>
    <w:basedOn w:val="1"/>
    <w:qFormat/>
    <w:uiPriority w:val="0"/>
    <w:pPr>
      <w:spacing w:line="360" w:lineRule="auto"/>
      <w:ind w:firstLine="200" w:firstLineChars="200"/>
    </w:pPr>
    <w:rPr>
      <w:sz w:val="24"/>
    </w:rPr>
  </w:style>
  <w:style w:type="paragraph" w:customStyle="1" w:styleId="289">
    <w:name w:val="Ê×ÐÐËõ½ø"/>
    <w:basedOn w:val="1"/>
    <w:qFormat/>
    <w:uiPriority w:val="0"/>
    <w:pPr>
      <w:widowControl/>
      <w:overflowPunct w:val="0"/>
      <w:autoSpaceDE w:val="0"/>
      <w:autoSpaceDN w:val="0"/>
      <w:adjustRightInd w:val="0"/>
      <w:textAlignment w:val="baseline"/>
    </w:pPr>
    <w:rPr>
      <w:kern w:val="0"/>
      <w:sz w:val="28"/>
      <w:szCs w:val="20"/>
    </w:rPr>
  </w:style>
  <w:style w:type="paragraph" w:customStyle="1" w:styleId="290">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291">
    <w:name w:val="È±Ê¡ÎÄ±¾:1"/>
    <w:basedOn w:val="1"/>
    <w:qFormat/>
    <w:uiPriority w:val="0"/>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292">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93">
    <w:name w:val="正文符号1"/>
    <w:basedOn w:val="294"/>
    <w:qFormat/>
    <w:uiPriority w:val="0"/>
    <w:pPr>
      <w:tabs>
        <w:tab w:val="left" w:pos="1080"/>
      </w:tabs>
      <w:ind w:left="1134" w:firstLine="0" w:firstLineChars="0"/>
    </w:pPr>
  </w:style>
  <w:style w:type="paragraph" w:customStyle="1" w:styleId="294">
    <w:name w:val="正文首行缩进2字"/>
    <w:basedOn w:val="1"/>
    <w:qFormat/>
    <w:uiPriority w:val="0"/>
    <w:pPr>
      <w:spacing w:line="360" w:lineRule="auto"/>
      <w:ind w:firstLine="412" w:firstLineChars="196"/>
    </w:pPr>
    <w:rPr>
      <w:rFonts w:ascii="宋体" w:hAnsi="宋体"/>
      <w:kern w:val="0"/>
      <w:szCs w:val="21"/>
    </w:rPr>
  </w:style>
  <w:style w:type="paragraph" w:customStyle="1" w:styleId="295">
    <w:name w:val="图片"/>
    <w:basedOn w:val="1"/>
    <w:next w:val="1"/>
    <w:qFormat/>
    <w:uiPriority w:val="0"/>
    <w:pPr>
      <w:jc w:val="center"/>
    </w:pPr>
  </w:style>
  <w:style w:type="paragraph" w:customStyle="1" w:styleId="296">
    <w:name w:val="xl80"/>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97">
    <w:name w:val="样式 Swis721 Lt BT 左 行距: 固定值 12.5 磅"/>
    <w:basedOn w:val="1"/>
    <w:qFormat/>
    <w:uiPriority w:val="0"/>
    <w:pPr>
      <w:kinsoku w:val="0"/>
      <w:overflowPunct w:val="0"/>
      <w:snapToGrid w:val="0"/>
      <w:spacing w:line="250" w:lineRule="exact"/>
      <w:ind w:firstLine="420" w:firstLineChars="200"/>
      <w:jc w:val="left"/>
    </w:pPr>
    <w:rPr>
      <w:rFonts w:ascii="Swis721 Lt BT" w:hAnsi="Swis721 Lt BT" w:cs="宋体"/>
      <w:kern w:val="0"/>
      <w:szCs w:val="21"/>
    </w:rPr>
  </w:style>
  <w:style w:type="paragraph" w:customStyle="1" w:styleId="298">
    <w:name w:val="正文文本缩进 21"/>
    <w:basedOn w:val="1"/>
    <w:qFormat/>
    <w:uiPriority w:val="0"/>
    <w:pPr>
      <w:autoSpaceDE w:val="0"/>
      <w:autoSpaceDN w:val="0"/>
      <w:adjustRightInd w:val="0"/>
      <w:spacing w:line="360" w:lineRule="auto"/>
      <w:ind w:firstLine="540" w:firstLineChars="200"/>
      <w:textAlignment w:val="baseline"/>
    </w:pPr>
    <w:rPr>
      <w:sz w:val="24"/>
      <w:szCs w:val="20"/>
    </w:rPr>
  </w:style>
  <w:style w:type="paragraph" w:customStyle="1" w:styleId="299">
    <w:name w:val="font8"/>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00">
    <w:name w:val="Char"/>
    <w:basedOn w:val="1"/>
    <w:qFormat/>
    <w:uiPriority w:val="0"/>
    <w:rPr>
      <w:rFonts w:ascii="仿宋_GB2312" w:eastAsia="仿宋_GB2312"/>
      <w:b/>
      <w:sz w:val="32"/>
      <w:szCs w:val="32"/>
    </w:rPr>
  </w:style>
  <w:style w:type="paragraph" w:customStyle="1" w:styleId="301">
    <w:name w:val="项目正文"/>
    <w:basedOn w:val="1"/>
    <w:qFormat/>
    <w:uiPriority w:val="0"/>
    <w:pPr>
      <w:ind w:left="420" w:hanging="420"/>
    </w:pPr>
    <w:rPr>
      <w:sz w:val="28"/>
      <w:szCs w:val="20"/>
    </w:rPr>
  </w:style>
  <w:style w:type="paragraph" w:customStyle="1" w:styleId="302">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04">
    <w:name w:val="样式26"/>
    <w:basedOn w:val="305"/>
    <w:qFormat/>
    <w:uiPriority w:val="0"/>
    <w:pPr>
      <w:tabs>
        <w:tab w:val="left" w:pos="180"/>
        <w:tab w:val="left" w:pos="1580"/>
      </w:tabs>
      <w:ind w:left="1603" w:hanging="363"/>
    </w:pPr>
  </w:style>
  <w:style w:type="paragraph" w:customStyle="1" w:styleId="305">
    <w:name w:val="样式25"/>
    <w:basedOn w:val="1"/>
    <w:qFormat/>
    <w:uiPriority w:val="0"/>
    <w:pPr>
      <w:tabs>
        <w:tab w:val="left" w:pos="180"/>
      </w:tabs>
      <w:ind w:left="1260" w:hanging="720"/>
    </w:pPr>
    <w:rPr>
      <w:sz w:val="24"/>
      <w:szCs w:val="20"/>
    </w:rPr>
  </w:style>
  <w:style w:type="paragraph" w:customStyle="1" w:styleId="306">
    <w:name w:val="Block"/>
    <w:basedOn w:val="1"/>
    <w:next w:val="145"/>
    <w:qFormat/>
    <w:uiPriority w:val="0"/>
    <w:pPr>
      <w:tabs>
        <w:tab w:val="left" w:pos="0"/>
      </w:tabs>
    </w:pPr>
    <w:rPr>
      <w:rFonts w:ascii="Arial" w:hAnsi="Arial" w:eastAsia="楷体_GB2312"/>
      <w:color w:val="000080"/>
      <w:sz w:val="28"/>
      <w:szCs w:val="28"/>
    </w:rPr>
  </w:style>
  <w:style w:type="paragraph" w:customStyle="1" w:styleId="30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8">
    <w:name w:val="标题1"/>
    <w:basedOn w:val="3"/>
    <w:next w:val="1"/>
    <w:qFormat/>
    <w:uiPriority w:val="0"/>
    <w:pPr>
      <w:numPr>
        <w:ilvl w:val="0"/>
        <w:numId w:val="3"/>
      </w:numPr>
      <w:spacing w:before="0" w:after="0" w:line="360" w:lineRule="auto"/>
      <w:jc w:val="left"/>
    </w:pPr>
    <w:rPr>
      <w:rFonts w:ascii="华文中宋" w:hAnsi="华文中宋" w:eastAsia="华文中宋"/>
      <w:szCs w:val="36"/>
    </w:rPr>
  </w:style>
  <w:style w:type="paragraph" w:customStyle="1" w:styleId="30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0">
    <w:name w:val="正文2 Char Char Char Char Char Char Char Char Char Char Char Char1 Char Char Char Char Char Char Char 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311">
    <w:name w:val="列出段落211"/>
    <w:basedOn w:val="1"/>
    <w:qFormat/>
    <w:uiPriority w:val="0"/>
    <w:pPr>
      <w:kinsoku w:val="0"/>
      <w:overflowPunct w:val="0"/>
      <w:snapToGrid w:val="0"/>
      <w:spacing w:line="360" w:lineRule="auto"/>
      <w:ind w:firstLine="420" w:firstLineChars="200"/>
      <w:jc w:val="left"/>
    </w:pPr>
    <w:rPr>
      <w:kern w:val="0"/>
      <w:szCs w:val="21"/>
    </w:rPr>
  </w:style>
  <w:style w:type="paragraph" w:customStyle="1" w:styleId="312">
    <w:name w:val="Item Step"/>
    <w:basedOn w:val="1"/>
    <w:qFormat/>
    <w:uiPriority w:val="0"/>
    <w:pPr>
      <w:widowControl/>
      <w:numPr>
        <w:ilvl w:val="0"/>
        <w:numId w:val="4"/>
      </w:numPr>
      <w:spacing w:afterLines="50"/>
      <w:jc w:val="left"/>
    </w:p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14">
    <w:name w:val="正文文本1"/>
    <w:basedOn w:val="1"/>
    <w:qFormat/>
    <w:uiPriority w:val="0"/>
    <w:pPr>
      <w:snapToGrid w:val="0"/>
      <w:spacing w:before="120" w:line="440" w:lineRule="atLeast"/>
      <w:ind w:firstLine="1680" w:firstLineChars="200"/>
      <w:textAlignment w:val="baseline"/>
    </w:pPr>
    <w:rPr>
      <w:rFonts w:hint="eastAsia" w:ascii="宋体" w:hAnsi="宋体"/>
      <w:spacing w:val="2"/>
      <w:sz w:val="28"/>
      <w:szCs w:val="20"/>
    </w:rPr>
  </w:style>
  <w:style w:type="paragraph" w:customStyle="1" w:styleId="315">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316">
    <w:name w:val="样式 正文文本正文文字 + 首行缩进:  2 字符"/>
    <w:basedOn w:val="21"/>
    <w:qFormat/>
    <w:uiPriority w:val="0"/>
    <w:pPr>
      <w:widowControl/>
      <w:autoSpaceDE w:val="0"/>
      <w:autoSpaceDN w:val="0"/>
      <w:adjustRightInd w:val="0"/>
      <w:spacing w:before="60" w:after="60" w:line="460" w:lineRule="exact"/>
      <w:ind w:firstLine="200" w:firstLineChars="200"/>
      <w:jc w:val="left"/>
      <w:textAlignment w:val="baseline"/>
    </w:pPr>
    <w:rPr>
      <w:rFonts w:ascii="宋体" w:hAnsi="Garamond"/>
      <w:sz w:val="24"/>
      <w:szCs w:val="20"/>
      <w:lang w:val="en-GB" w:bidi="he-IL"/>
    </w:rPr>
  </w:style>
  <w:style w:type="paragraph" w:customStyle="1" w:styleId="31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8">
    <w:name w:val="小点说明"/>
    <w:basedOn w:val="1"/>
    <w:qFormat/>
    <w:uiPriority w:val="0"/>
    <w:pPr>
      <w:tabs>
        <w:tab w:val="left" w:pos="420"/>
      </w:tabs>
      <w:spacing w:after="80" w:line="360" w:lineRule="auto"/>
      <w:ind w:left="420" w:hanging="420"/>
    </w:pPr>
    <w:rPr>
      <w:sz w:val="24"/>
    </w:rPr>
  </w:style>
  <w:style w:type="paragraph" w:customStyle="1" w:styleId="31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Char Char Char Char"/>
    <w:basedOn w:val="1"/>
    <w:qFormat/>
    <w:uiPriority w:val="0"/>
    <w:pPr>
      <w:widowControl/>
      <w:spacing w:line="400" w:lineRule="exact"/>
      <w:jc w:val="center"/>
    </w:pPr>
    <w:rPr>
      <w:rFonts w:ascii="Verdana" w:hAnsi="Verdana"/>
      <w:kern w:val="0"/>
      <w:szCs w:val="20"/>
      <w:lang w:eastAsia="en-US"/>
    </w:rPr>
  </w:style>
  <w:style w:type="paragraph" w:customStyle="1" w:styleId="32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22">
    <w:name w:val="样式 标题 2H2子系统子系统1子系统2子系统3子系统4子系统11子系统21子系统31子系统5子系统12...1"/>
    <w:basedOn w:val="4"/>
    <w:qFormat/>
    <w:uiPriority w:val="0"/>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rPr>
  </w:style>
  <w:style w:type="paragraph" w:customStyle="1" w:styleId="323">
    <w:name w:val="段落正文 Char Char"/>
    <w:basedOn w:val="1"/>
    <w:qFormat/>
    <w:uiPriority w:val="0"/>
    <w:pPr>
      <w:spacing w:line="360" w:lineRule="auto"/>
      <w:ind w:firstLine="461" w:firstLineChars="192"/>
    </w:pPr>
    <w:rPr>
      <w:rFonts w:ascii="宋体" w:hAnsi="宋体"/>
      <w:sz w:val="24"/>
    </w:rPr>
  </w:style>
  <w:style w:type="paragraph" w:customStyle="1" w:styleId="324">
    <w:name w:val="Figure Description"/>
    <w:basedOn w:val="325"/>
    <w:next w:val="145"/>
    <w:qFormat/>
    <w:uiPriority w:val="0"/>
    <w:pPr>
      <w:tabs>
        <w:tab w:val="left" w:pos="680"/>
      </w:tabs>
      <w:spacing w:afterLines="100"/>
    </w:pPr>
    <w:rPr>
      <w:sz w:val="18"/>
    </w:rPr>
  </w:style>
  <w:style w:type="paragraph" w:customStyle="1" w:styleId="325">
    <w:name w:val="Figure"/>
    <w:basedOn w:val="1"/>
    <w:next w:val="324"/>
    <w:qFormat/>
    <w:uiPriority w:val="0"/>
    <w:pPr>
      <w:keepNext/>
      <w:keepLines/>
      <w:ind w:left="1134"/>
      <w:jc w:val="center"/>
    </w:pPr>
  </w:style>
  <w:style w:type="paragraph" w:customStyle="1" w:styleId="326">
    <w:name w:val="列出段落2"/>
    <w:basedOn w:val="1"/>
    <w:qFormat/>
    <w:uiPriority w:val="0"/>
    <w:pPr>
      <w:ind w:firstLine="420" w:firstLineChars="200"/>
    </w:pPr>
  </w:style>
  <w:style w:type="paragraph" w:customStyle="1" w:styleId="32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28">
    <w:name w:val="默认段落字体 Para Char Char Char Char"/>
    <w:basedOn w:val="1"/>
    <w:qFormat/>
    <w:uiPriority w:val="0"/>
    <w:pPr>
      <w:adjustRightInd w:val="0"/>
      <w:spacing w:line="360" w:lineRule="auto"/>
      <w:ind w:firstLine="1680" w:firstLineChars="200"/>
    </w:pPr>
    <w:rPr>
      <w:kern w:val="0"/>
      <w:sz w:val="24"/>
      <w:szCs w:val="20"/>
    </w:rPr>
  </w:style>
  <w:style w:type="paragraph" w:customStyle="1" w:styleId="329">
    <w:name w:val="列出段落21"/>
    <w:basedOn w:val="1"/>
    <w:qFormat/>
    <w:uiPriority w:val="0"/>
    <w:pPr>
      <w:kinsoku w:val="0"/>
      <w:overflowPunct w:val="0"/>
      <w:snapToGrid w:val="0"/>
      <w:spacing w:line="360" w:lineRule="auto"/>
      <w:ind w:firstLine="420" w:firstLineChars="200"/>
      <w:jc w:val="left"/>
    </w:pPr>
    <w:rPr>
      <w:kern w:val="0"/>
      <w:szCs w:val="21"/>
    </w:rPr>
  </w:style>
  <w:style w:type="paragraph" w:customStyle="1" w:styleId="330">
    <w:name w:val="正文缩进2"/>
    <w:basedOn w:val="1"/>
    <w:qFormat/>
    <w:uiPriority w:val="0"/>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331">
    <w:name w:val="Table Text"/>
    <w:basedOn w:val="1"/>
    <w:qFormat/>
    <w:uiPriority w:val="0"/>
    <w:rPr>
      <w:sz w:val="18"/>
    </w:rPr>
  </w:style>
  <w:style w:type="paragraph" w:customStyle="1" w:styleId="332">
    <w:name w:val="默认段落字体 Para Char Char Char Char Char Char Char Char Char1 Char Char Char Char"/>
    <w:basedOn w:val="1"/>
    <w:qFormat/>
    <w:uiPriority w:val="0"/>
    <w:rPr>
      <w:rFonts w:ascii="Tahoma" w:hAnsi="Tahoma"/>
      <w:sz w:val="24"/>
      <w:szCs w:val="20"/>
    </w:rPr>
  </w:style>
  <w:style w:type="paragraph" w:customStyle="1" w:styleId="333">
    <w:name w:val="p18"/>
    <w:basedOn w:val="1"/>
    <w:qFormat/>
    <w:uiPriority w:val="0"/>
    <w:pPr>
      <w:widowControl/>
      <w:spacing w:afterLines="100"/>
      <w:ind w:left="1134"/>
      <w:jc w:val="center"/>
    </w:pPr>
    <w:rPr>
      <w:kern w:val="0"/>
      <w:sz w:val="18"/>
      <w:szCs w:val="18"/>
    </w:rPr>
  </w:style>
  <w:style w:type="paragraph" w:customStyle="1" w:styleId="334">
    <w:name w:val="p16"/>
    <w:basedOn w:val="1"/>
    <w:qFormat/>
    <w:uiPriority w:val="0"/>
    <w:pPr>
      <w:widowControl/>
    </w:pPr>
    <w:rPr>
      <w:rFonts w:ascii="Arial" w:hAnsi="Arial" w:cs="Arial"/>
      <w:color w:val="333333"/>
      <w:kern w:val="0"/>
      <w:sz w:val="18"/>
      <w:szCs w:val="18"/>
    </w:rPr>
  </w:style>
  <w:style w:type="paragraph" w:customStyle="1" w:styleId="33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336">
    <w:name w:val="xl78"/>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37">
    <w:name w:val="±íÌâ"/>
    <w:basedOn w:val="1"/>
    <w:qFormat/>
    <w:uiPriority w:val="0"/>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338">
    <w:name w:val="正文首行缩进1"/>
    <w:qFormat/>
    <w:uiPriority w:val="0"/>
    <w:pPr>
      <w:spacing w:after="120"/>
      <w:ind w:firstLine="420" w:firstLineChars="100"/>
    </w:pPr>
    <w:rPr>
      <w:rFonts w:ascii="Times New Roman" w:hAnsi="Times New Roman" w:eastAsia="宋体" w:cs="Times New Roman"/>
      <w:lang w:val="en-US" w:eastAsia="zh-CN" w:bidi="ar-SA"/>
    </w:rPr>
  </w:style>
  <w:style w:type="paragraph" w:customStyle="1" w:styleId="339">
    <w:name w:val="ÕýÎÄ 1"/>
    <w:basedOn w:val="1"/>
    <w:qFormat/>
    <w:uiPriority w:val="0"/>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340">
    <w:name w:val="标题4"/>
    <w:basedOn w:val="1"/>
    <w:qFormat/>
    <w:uiPriority w:val="0"/>
    <w:pPr>
      <w:autoSpaceDE w:val="0"/>
      <w:autoSpaceDN w:val="0"/>
      <w:adjustRightInd w:val="0"/>
      <w:snapToGrid w:val="0"/>
      <w:spacing w:line="300" w:lineRule="auto"/>
      <w:jc w:val="left"/>
      <w:textAlignment w:val="baseline"/>
      <w:outlineLvl w:val="0"/>
    </w:pPr>
    <w:rPr>
      <w:rFonts w:ascii="黑体" w:hAnsi="Arial" w:eastAsia="黑体"/>
      <w:spacing w:val="30"/>
      <w:kern w:val="0"/>
      <w:sz w:val="28"/>
    </w:rPr>
  </w:style>
  <w:style w:type="paragraph" w:customStyle="1" w:styleId="341">
    <w:name w:val="列表1"/>
    <w:basedOn w:val="1"/>
    <w:qFormat/>
    <w:uiPriority w:val="0"/>
    <w:pPr>
      <w:adjustRightInd w:val="0"/>
      <w:spacing w:line="360" w:lineRule="auto"/>
      <w:ind w:left="902" w:hanging="482"/>
      <w:textAlignment w:val="baseline"/>
    </w:pPr>
    <w:rPr>
      <w:rFonts w:ascii="昆仑仿宋" w:eastAsia="昆仑仿宋"/>
      <w:kern w:val="0"/>
      <w:szCs w:val="20"/>
    </w:rPr>
  </w:style>
  <w:style w:type="paragraph" w:customStyle="1" w:styleId="342">
    <w:name w:val="Char Char11"/>
    <w:basedOn w:val="1"/>
    <w:qFormat/>
    <w:uiPriority w:val="0"/>
    <w:pPr>
      <w:widowControl/>
      <w:jc w:val="left"/>
    </w:pPr>
    <w:rPr>
      <w:sz w:val="36"/>
    </w:rPr>
  </w:style>
  <w:style w:type="paragraph" w:customStyle="1" w:styleId="343">
    <w:name w:val="正文文本2"/>
    <w:basedOn w:val="1"/>
    <w:qFormat/>
    <w:uiPriority w:val="0"/>
    <w:pPr>
      <w:autoSpaceDE w:val="0"/>
      <w:autoSpaceDN w:val="0"/>
      <w:adjustRightInd w:val="0"/>
      <w:spacing w:before="60" w:after="60" w:line="360" w:lineRule="auto"/>
      <w:ind w:firstLine="425" w:firstLineChars="200"/>
      <w:textAlignment w:val="baseline"/>
    </w:pPr>
    <w:rPr>
      <w:rFonts w:ascii="宋体" w:hAnsi="Tms Rmn"/>
      <w:kern w:val="0"/>
      <w:sz w:val="24"/>
      <w:szCs w:val="20"/>
    </w:rPr>
  </w:style>
  <w:style w:type="paragraph" w:customStyle="1" w:styleId="344">
    <w:name w:val="Char2"/>
    <w:basedOn w:val="1"/>
    <w:qFormat/>
    <w:uiPriority w:val="0"/>
    <w:pPr>
      <w:spacing w:line="240" w:lineRule="atLeast"/>
      <w:ind w:left="420" w:firstLine="420"/>
    </w:pPr>
  </w:style>
  <w:style w:type="paragraph" w:customStyle="1" w:styleId="345">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6">
    <w:name w:val="默认段落字体 Para Char"/>
    <w:basedOn w:val="1"/>
    <w:qFormat/>
    <w:uiPriority w:val="0"/>
    <w:rPr>
      <w:szCs w:val="20"/>
    </w:rPr>
  </w:style>
  <w:style w:type="paragraph" w:customStyle="1" w:styleId="347">
    <w:name w:val="二级编号"/>
    <w:basedOn w:val="1"/>
    <w:qFormat/>
    <w:uiPriority w:val="0"/>
    <w:pPr>
      <w:tabs>
        <w:tab w:val="left" w:pos="851"/>
      </w:tabs>
      <w:spacing w:line="360" w:lineRule="auto"/>
      <w:jc w:val="left"/>
    </w:pPr>
    <w:rPr>
      <w:rFonts w:cs="宋体"/>
      <w:sz w:val="24"/>
      <w:szCs w:val="20"/>
    </w:rPr>
  </w:style>
  <w:style w:type="paragraph" w:customStyle="1" w:styleId="34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50">
    <w:name w:val="样式1"/>
    <w:basedOn w:val="1"/>
    <w:qFormat/>
    <w:uiPriority w:val="0"/>
    <w:pPr>
      <w:adjustRightInd w:val="0"/>
      <w:snapToGrid w:val="0"/>
      <w:spacing w:line="360" w:lineRule="auto"/>
      <w:ind w:left="315" w:leftChars="150" w:firstLine="480" w:firstLineChars="200"/>
      <w:textAlignment w:val="baseline"/>
    </w:pPr>
    <w:rPr>
      <w:sz w:val="24"/>
      <w:szCs w:val="20"/>
    </w:rPr>
  </w:style>
  <w:style w:type="paragraph" w:customStyle="1" w:styleId="351">
    <w:name w:val="方案标题4"/>
    <w:basedOn w:val="6"/>
    <w:qFormat/>
    <w:uiPriority w:val="0"/>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352">
    <w:name w:val="样式 正文缩进 + 首行缩进:  2 字符"/>
    <w:basedOn w:val="14"/>
    <w:qFormat/>
    <w:uiPriority w:val="0"/>
    <w:pPr>
      <w:spacing w:after="80" w:line="360" w:lineRule="auto"/>
      <w:ind w:firstLine="480" w:firstLineChars="200"/>
    </w:pPr>
    <w:rPr>
      <w:sz w:val="24"/>
    </w:rPr>
  </w:style>
  <w:style w:type="paragraph" w:customStyle="1" w:styleId="353">
    <w:name w:val="Char111"/>
    <w:basedOn w:val="1"/>
    <w:qFormat/>
    <w:uiPriority w:val="0"/>
    <w:rPr>
      <w:rFonts w:ascii="仿宋_GB2312" w:hAnsi="宋体" w:eastAsia="仿宋_GB2312" w:cs="宋体"/>
      <w:b/>
      <w:sz w:val="32"/>
      <w:szCs w:val="32"/>
    </w:rPr>
  </w:style>
  <w:style w:type="paragraph" w:customStyle="1" w:styleId="35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55">
    <w:name w:val="TOC 标题1"/>
    <w:basedOn w:val="3"/>
    <w:next w:val="1"/>
    <w:qFormat/>
    <w:uiPriority w:val="0"/>
    <w:pPr>
      <w:widowControl/>
      <w:spacing w:before="0" w:after="0" w:line="276" w:lineRule="auto"/>
      <w:jc w:val="left"/>
      <w:outlineLvl w:val="9"/>
    </w:pPr>
    <w:rPr>
      <w:rFonts w:ascii="Calibri Light" w:hAnsi="Calibri Light"/>
      <w:color w:val="2E74B5"/>
      <w:kern w:val="0"/>
      <w:sz w:val="28"/>
      <w:szCs w:val="28"/>
    </w:rPr>
  </w:style>
  <w:style w:type="paragraph" w:customStyle="1" w:styleId="356">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58">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59">
    <w:name w:val="xl26"/>
    <w:basedOn w:val="1"/>
    <w:qFormat/>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360">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36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2">
    <w:name w:val="p19"/>
    <w:basedOn w:val="1"/>
    <w:qFormat/>
    <w:uiPriority w:val="0"/>
    <w:pPr>
      <w:widowControl/>
      <w:spacing w:beforeLines="100" w:afterLines="100"/>
      <w:ind w:left="1134"/>
    </w:pPr>
    <w:rPr>
      <w:kern w:val="0"/>
      <w:szCs w:val="21"/>
    </w:rPr>
  </w:style>
  <w:style w:type="paragraph" w:customStyle="1" w:styleId="36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64">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5">
    <w:name w:val="样式23"/>
    <w:basedOn w:val="318"/>
    <w:qFormat/>
    <w:uiPriority w:val="0"/>
    <w:pPr>
      <w:adjustRightInd w:val="0"/>
      <w:snapToGrid w:val="0"/>
      <w:spacing w:after="0" w:line="240" w:lineRule="auto"/>
    </w:pPr>
    <w:rPr>
      <w:szCs w:val="20"/>
    </w:rPr>
  </w:style>
  <w:style w:type="paragraph" w:customStyle="1" w:styleId="366">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367">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69">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70">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71">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72">
    <w:name w:val="样式 宋体 小四 段前: 7.8 磅 段后: 7.8 磅 行距: 1.5 倍行距"/>
    <w:basedOn w:val="1"/>
    <w:qFormat/>
    <w:uiPriority w:val="0"/>
    <w:pPr>
      <w:kinsoku w:val="0"/>
      <w:overflowPunct w:val="0"/>
      <w:snapToGrid w:val="0"/>
      <w:spacing w:beforeLines="50" w:afterLines="50" w:line="360" w:lineRule="auto"/>
      <w:ind w:firstLine="200" w:firstLineChars="200"/>
      <w:jc w:val="left"/>
    </w:pPr>
    <w:rPr>
      <w:rFonts w:ascii="宋体"/>
      <w:kern w:val="0"/>
      <w:sz w:val="24"/>
      <w:szCs w:val="20"/>
      <w:lang w:val="zh-CN"/>
    </w:rPr>
  </w:style>
  <w:style w:type="paragraph" w:customStyle="1" w:styleId="373">
    <w:name w:val="itemlistintab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74">
    <w:name w:val="xl79"/>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375">
    <w:name w:val="样式 A正文 + 首行缩进:  0 字符"/>
    <w:basedOn w:val="184"/>
    <w:qFormat/>
    <w:uiPriority w:val="0"/>
    <w:pPr>
      <w:spacing w:line="240" w:lineRule="auto"/>
      <w:ind w:firstLine="0" w:firstLineChars="0"/>
    </w:pPr>
    <w:rPr>
      <w:rFonts w:cs="宋体"/>
      <w:szCs w:val="20"/>
    </w:rPr>
  </w:style>
  <w:style w:type="paragraph" w:customStyle="1" w:styleId="376">
    <w:name w:val="方案正文"/>
    <w:basedOn w:val="1"/>
    <w:qFormat/>
    <w:uiPriority w:val="0"/>
    <w:pPr>
      <w:adjustRightInd w:val="0"/>
      <w:snapToGrid w:val="0"/>
      <w:spacing w:beforeLines="30" w:line="420" w:lineRule="exact"/>
      <w:ind w:firstLine="567"/>
      <w:textAlignment w:val="baseline"/>
    </w:pPr>
    <w:rPr>
      <w:rFonts w:ascii="Arial" w:hAnsi="Arial" w:eastAsia="仿宋_GB2312"/>
      <w:bCs/>
      <w:snapToGrid w:val="0"/>
      <w:spacing w:val="14"/>
      <w:kern w:val="0"/>
      <w:sz w:val="24"/>
      <w:szCs w:val="20"/>
      <w:lang w:eastAsia="zh-TW"/>
    </w:rPr>
  </w:style>
  <w:style w:type="paragraph" w:customStyle="1" w:styleId="377">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78">
    <w:name w:val="5"/>
    <w:qFormat/>
    <w:uiPriority w:val="0"/>
    <w:rPr>
      <w:rFonts w:ascii="Times New Roman" w:hAnsi="Times New Roman" w:eastAsia="宋体" w:cs="Times New Roman"/>
      <w:kern w:val="2"/>
      <w:sz w:val="21"/>
      <w:szCs w:val="22"/>
      <w:lang w:val="en-US" w:eastAsia="zh-CN" w:bidi="ar-SA"/>
    </w:rPr>
  </w:style>
  <w:style w:type="paragraph" w:customStyle="1" w:styleId="37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380">
    <w:name w:val="xl76"/>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81">
    <w:name w:val="样式 标题 3列表编号3h33rd level + 段前: 1 行"/>
    <w:basedOn w:val="5"/>
    <w:qFormat/>
    <w:uiPriority w:val="0"/>
    <w:pPr>
      <w:keepNext w:val="0"/>
      <w:keepLines w:val="0"/>
      <w:adjustRightInd w:val="0"/>
      <w:spacing w:before="312" w:afterLines="50" w:line="360" w:lineRule="auto"/>
      <w:jc w:val="both"/>
    </w:pPr>
    <w:rPr>
      <w:rFonts w:ascii="宋体" w:eastAsia="宋体"/>
      <w:bCs w:val="0"/>
      <w:sz w:val="21"/>
      <w:szCs w:val="20"/>
    </w:rPr>
  </w:style>
  <w:style w:type="paragraph" w:customStyle="1" w:styleId="382">
    <w:name w:val="Table Heading"/>
    <w:basedOn w:val="1"/>
    <w:qFormat/>
    <w:uiPriority w:val="0"/>
    <w:pPr>
      <w:jc w:val="center"/>
    </w:pPr>
    <w:rPr>
      <w:rFonts w:ascii="Arial" w:hAnsi="Arial" w:eastAsia="黑体"/>
      <w:b/>
    </w:rPr>
  </w:style>
  <w:style w:type="paragraph" w:customStyle="1" w:styleId="3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84">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385">
    <w:name w:val="纯文本 Char3"/>
    <w:qFormat/>
    <w:uiPriority w:val="0"/>
    <w:rPr>
      <w:rFonts w:ascii="宋体" w:hAnsi="Courier New" w:eastAsia="宋体"/>
      <w:sz w:val="24"/>
      <w:szCs w:val="24"/>
    </w:rPr>
  </w:style>
  <w:style w:type="character" w:customStyle="1" w:styleId="386">
    <w:name w:val="纯文本 字符"/>
    <w:qFormat/>
    <w:uiPriority w:val="0"/>
    <w:rPr>
      <w:rFonts w:ascii="宋体" w:hAnsi="Courier New"/>
      <w:sz w:val="24"/>
      <w:szCs w:val="24"/>
    </w:rPr>
  </w:style>
  <w:style w:type="character" w:customStyle="1" w:styleId="387">
    <w:name w:val="正文文本缩进 字符"/>
    <w:qFormat/>
    <w:uiPriority w:val="0"/>
    <w:rPr>
      <w:rFonts w:ascii="宋体" w:hAnsi="Courier New"/>
      <w:spacing w:val="-4"/>
      <w:sz w:val="18"/>
    </w:rPr>
  </w:style>
  <w:style w:type="character" w:customStyle="1" w:styleId="388">
    <w:name w:val="纯文本 字符1"/>
    <w:qFormat/>
    <w:locked/>
    <w:uiPriority w:val="0"/>
    <w:rPr>
      <w:rFonts w:ascii="宋体" w:hAnsi="Courier New"/>
      <w:sz w:val="24"/>
      <w:szCs w:val="24"/>
    </w:rPr>
  </w:style>
  <w:style w:type="paragraph" w:customStyle="1" w:styleId="38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90">
    <w:name w:val="正文文本缩进 Char"/>
    <w:qFormat/>
    <w:uiPriority w:val="0"/>
    <w:rPr>
      <w:rFonts w:ascii="宋体" w:hAnsi="Courier New"/>
      <w:spacing w:val="-4"/>
      <w:sz w:val="18"/>
    </w:rPr>
  </w:style>
  <w:style w:type="character" w:customStyle="1" w:styleId="391">
    <w:name w:val="纯文本 Char"/>
    <w:qFormat/>
    <w:uiPriority w:val="0"/>
    <w:rPr>
      <w:rFonts w:ascii="宋体" w:hAnsi="Courier New" w:eastAsia="宋体"/>
      <w:sz w:val="24"/>
      <w:szCs w:val="24"/>
    </w:rPr>
  </w:style>
  <w:style w:type="character" w:customStyle="1" w:styleId="392">
    <w:name w:val="Unresolved Mention"/>
    <w:basedOn w:val="53"/>
    <w:semiHidden/>
    <w:unhideWhenUsed/>
    <w:qFormat/>
    <w:uiPriority w:val="99"/>
    <w:rPr>
      <w:color w:val="605E5C"/>
      <w:shd w:val="clear" w:color="auto" w:fill="E1DFDD"/>
    </w:rPr>
  </w:style>
  <w:style w:type="character" w:customStyle="1" w:styleId="393">
    <w:name w:val="页脚 Char2"/>
    <w:qFormat/>
    <w:uiPriority w:val="99"/>
    <w:rPr>
      <w:rFonts w:eastAsia="黑体"/>
      <w:sz w:val="18"/>
      <w:szCs w:val="18"/>
    </w:rPr>
  </w:style>
  <w:style w:type="character" w:customStyle="1" w:styleId="394">
    <w:name w:val="页眉 Char"/>
    <w:qFormat/>
    <w:uiPriority w:val="99"/>
    <w:rPr>
      <w:rFonts w:eastAsia="仿宋_GB2312"/>
      <w:sz w:val="18"/>
    </w:rPr>
  </w:style>
  <w:style w:type="paragraph" w:styleId="395">
    <w:name w:val="List Paragraph"/>
    <w:basedOn w:val="1"/>
    <w:qFormat/>
    <w:uiPriority w:val="99"/>
    <w:pPr>
      <w:ind w:firstLine="420" w:firstLineChars="200"/>
    </w:pPr>
  </w:style>
  <w:style w:type="character" w:customStyle="1" w:styleId="396">
    <w:name w:val="日期 Char"/>
    <w:qFormat/>
    <w:uiPriority w:val="0"/>
    <w:rPr>
      <w:rFonts w:eastAsia="楷体_GB2312"/>
      <w:sz w:val="32"/>
    </w:rPr>
  </w:style>
  <w:style w:type="character" w:customStyle="1" w:styleId="397">
    <w:name w:val="标题 4 Char"/>
    <w:qFormat/>
    <w:uiPriority w:val="0"/>
    <w:rPr>
      <w:rFonts w:ascii="Arial" w:hAnsi="Arial" w:eastAsia="黑体" w:cs="Times New Roman"/>
      <w:b/>
      <w:bCs/>
      <w:kern w:val="0"/>
      <w:sz w:val="28"/>
      <w:szCs w:val="28"/>
    </w:rPr>
  </w:style>
  <w:style w:type="paragraph" w:customStyle="1" w:styleId="398">
    <w:name w:val="_Style 394"/>
    <w:basedOn w:val="1"/>
    <w:next w:val="1"/>
    <w:link w:val="412"/>
    <w:unhideWhenUsed/>
    <w:qFormat/>
    <w:uiPriority w:val="0"/>
    <w:pPr>
      <w:ind w:left="2940" w:leftChars="1400"/>
    </w:pPr>
    <w:rPr>
      <w:kern w:val="0"/>
      <w:sz w:val="24"/>
    </w:rPr>
  </w:style>
  <w:style w:type="character" w:customStyle="1" w:styleId="399">
    <w:name w:val="标题 3 Char"/>
    <w:qFormat/>
    <w:uiPriority w:val="0"/>
    <w:rPr>
      <w:rFonts w:ascii="Times New Roman" w:hAnsi="Times New Roman" w:eastAsia="楷体_GB2312" w:cs="Times New Roman"/>
      <w:b/>
      <w:bCs/>
      <w:kern w:val="0"/>
      <w:sz w:val="32"/>
      <w:szCs w:val="32"/>
    </w:rPr>
  </w:style>
  <w:style w:type="character" w:customStyle="1" w:styleId="400">
    <w:name w:val="正文文本 3 Char"/>
    <w:qFormat/>
    <w:uiPriority w:val="0"/>
    <w:rPr>
      <w:rFonts w:hAnsi="宋体" w:eastAsia="仿宋_GB2312"/>
      <w:b/>
      <w:bCs/>
      <w:sz w:val="24"/>
    </w:rPr>
  </w:style>
  <w:style w:type="character" w:customStyle="1" w:styleId="401">
    <w:name w:val="普通(网站) Char"/>
    <w:qFormat/>
    <w:uiPriority w:val="0"/>
    <w:rPr>
      <w:rFonts w:ascii="宋体" w:hAnsi="宋体"/>
      <w:sz w:val="24"/>
      <w:szCs w:val="24"/>
    </w:rPr>
  </w:style>
  <w:style w:type="character" w:customStyle="1" w:styleId="402">
    <w:name w:val="标题 2 Char"/>
    <w:qFormat/>
    <w:uiPriority w:val="9"/>
    <w:rPr>
      <w:rFonts w:ascii="Arial" w:hAnsi="Arial" w:eastAsia="黑体" w:cs="Times New Roman"/>
      <w:b/>
      <w:bCs/>
      <w:kern w:val="0"/>
      <w:sz w:val="32"/>
      <w:szCs w:val="32"/>
    </w:rPr>
  </w:style>
  <w:style w:type="character" w:customStyle="1" w:styleId="403">
    <w:name w:val="标题 6 Char"/>
    <w:qFormat/>
    <w:uiPriority w:val="0"/>
    <w:rPr>
      <w:rFonts w:ascii="Arial" w:hAnsi="Arial" w:eastAsia="黑体" w:cs="Times New Roman"/>
      <w:b/>
      <w:bCs/>
      <w:kern w:val="0"/>
      <w:sz w:val="24"/>
      <w:szCs w:val="24"/>
    </w:rPr>
  </w:style>
  <w:style w:type="character" w:customStyle="1" w:styleId="404">
    <w:name w:val="正文文本 Char1"/>
    <w:qFormat/>
    <w:uiPriority w:val="0"/>
    <w:rPr>
      <w:rFonts w:ascii="Times New Roman" w:hAnsi="Times New Roman" w:eastAsia="宋体" w:cs="Times New Roman"/>
      <w:kern w:val="0"/>
      <w:sz w:val="28"/>
      <w:szCs w:val="24"/>
    </w:rPr>
  </w:style>
  <w:style w:type="character" w:customStyle="1" w:styleId="405">
    <w:name w:val="正文缩进 Char"/>
    <w:qFormat/>
    <w:uiPriority w:val="0"/>
    <w:rPr>
      <w:rFonts w:eastAsia="宋体"/>
    </w:rPr>
  </w:style>
  <w:style w:type="character" w:customStyle="1" w:styleId="406">
    <w:name w:val="正文文本 2 Char"/>
    <w:qFormat/>
    <w:uiPriority w:val="99"/>
    <w:rPr>
      <w:rFonts w:ascii="宋体" w:hAnsi="宋体"/>
      <w:color w:val="000000"/>
      <w:sz w:val="24"/>
      <w:szCs w:val="24"/>
    </w:rPr>
  </w:style>
  <w:style w:type="character" w:customStyle="1" w:styleId="407">
    <w:name w:val="标题 5 Char"/>
    <w:qFormat/>
    <w:uiPriority w:val="9"/>
    <w:rPr>
      <w:rFonts w:ascii="Times New Roman" w:hAnsi="Times New Roman" w:eastAsia="宋体" w:cs="Times New Roman"/>
      <w:b/>
      <w:bCs/>
      <w:kern w:val="0"/>
      <w:sz w:val="28"/>
      <w:szCs w:val="28"/>
    </w:rPr>
  </w:style>
  <w:style w:type="character" w:customStyle="1" w:styleId="408">
    <w:name w:val="文档结构图 Char"/>
    <w:qFormat/>
    <w:uiPriority w:val="99"/>
    <w:rPr>
      <w:szCs w:val="24"/>
      <w:shd w:val="clear" w:color="auto" w:fill="000080"/>
    </w:rPr>
  </w:style>
  <w:style w:type="character" w:customStyle="1" w:styleId="409">
    <w:name w:val="批注框文本 Char"/>
    <w:qFormat/>
    <w:uiPriority w:val="99"/>
    <w:rPr>
      <w:sz w:val="18"/>
      <w:szCs w:val="18"/>
    </w:rPr>
  </w:style>
  <w:style w:type="character" w:customStyle="1" w:styleId="410">
    <w:name w:val="标题 9 Char"/>
    <w:qFormat/>
    <w:uiPriority w:val="0"/>
    <w:rPr>
      <w:rFonts w:ascii="Arial" w:hAnsi="Arial" w:eastAsia="黑体" w:cs="Times New Roman"/>
      <w:kern w:val="0"/>
      <w:sz w:val="20"/>
      <w:szCs w:val="21"/>
    </w:rPr>
  </w:style>
  <w:style w:type="character" w:customStyle="1" w:styleId="411">
    <w:name w:val="引文目录标题 Char"/>
    <w:qFormat/>
    <w:uiPriority w:val="0"/>
    <w:rPr>
      <w:rFonts w:ascii="Arial" w:hAnsi="Arial" w:eastAsia="宋体" w:cs="Times New Roman"/>
      <w:kern w:val="0"/>
      <w:sz w:val="24"/>
      <w:szCs w:val="20"/>
    </w:rPr>
  </w:style>
  <w:style w:type="character" w:customStyle="1" w:styleId="412">
    <w:name w:val="正文首行缩进 Char"/>
    <w:link w:val="398"/>
    <w:qFormat/>
    <w:uiPriority w:val="0"/>
    <w:rPr>
      <w:sz w:val="24"/>
      <w:szCs w:val="24"/>
    </w:rPr>
  </w:style>
  <w:style w:type="character" w:customStyle="1" w:styleId="413">
    <w:name w:val="批注文字 Char"/>
    <w:qFormat/>
    <w:uiPriority w:val="0"/>
    <w:rPr>
      <w:szCs w:val="24"/>
    </w:rPr>
  </w:style>
  <w:style w:type="character" w:customStyle="1" w:styleId="414">
    <w:name w:val="正文文本缩进 3 Char"/>
    <w:qFormat/>
    <w:uiPriority w:val="0"/>
    <w:rPr>
      <w:rFonts w:ascii="仿宋_GB2312" w:hAnsi="宋体" w:eastAsia="仿宋_GB2312"/>
      <w:color w:val="000000"/>
      <w:sz w:val="24"/>
      <w:szCs w:val="24"/>
    </w:rPr>
  </w:style>
  <w:style w:type="character" w:customStyle="1" w:styleId="415">
    <w:name w:val="批注主题 Char"/>
    <w:qFormat/>
    <w:uiPriority w:val="99"/>
    <w:rPr>
      <w:b/>
      <w:bCs/>
      <w:szCs w:val="24"/>
    </w:rPr>
  </w:style>
  <w:style w:type="character" w:customStyle="1" w:styleId="416">
    <w:name w:val="标题 1 Char"/>
    <w:qFormat/>
    <w:uiPriority w:val="9"/>
    <w:rPr>
      <w:rFonts w:ascii="Times New Roman" w:hAnsi="Times New Roman" w:eastAsia="宋体" w:cs="Times New Roman"/>
      <w:b/>
      <w:bCs/>
      <w:kern w:val="44"/>
      <w:sz w:val="44"/>
      <w:szCs w:val="44"/>
    </w:rPr>
  </w:style>
  <w:style w:type="character" w:customStyle="1" w:styleId="417">
    <w:name w:val="正文文本缩进 2 Char"/>
    <w:qFormat/>
    <w:uiPriority w:val="0"/>
    <w:rPr>
      <w:rFonts w:ascii="仿宋_GB2312" w:hAnsi="宋体" w:cs="Arial"/>
      <w:b/>
      <w:bCs/>
      <w:color w:val="000000"/>
      <w:sz w:val="24"/>
      <w:szCs w:val="24"/>
    </w:rPr>
  </w:style>
  <w:style w:type="character" w:customStyle="1" w:styleId="418">
    <w:name w:val="标题 Char"/>
    <w:qFormat/>
    <w:uiPriority w:val="0"/>
    <w:rPr>
      <w:rFonts w:ascii="Cambria" w:hAnsi="Cambria"/>
      <w:b/>
      <w:bCs/>
      <w:sz w:val="32"/>
      <w:szCs w:val="32"/>
    </w:rPr>
  </w:style>
  <w:style w:type="character" w:customStyle="1" w:styleId="419">
    <w:name w:val="标题 7 Char"/>
    <w:qFormat/>
    <w:uiPriority w:val="0"/>
    <w:rPr>
      <w:rFonts w:ascii="Times New Roman" w:hAnsi="Times New Roman" w:eastAsia="宋体" w:cs="Times New Roman"/>
      <w:b/>
      <w:bCs/>
      <w:kern w:val="0"/>
      <w:sz w:val="24"/>
      <w:szCs w:val="24"/>
    </w:rPr>
  </w:style>
  <w:style w:type="character" w:customStyle="1" w:styleId="420">
    <w:name w:val="标题 8 Char"/>
    <w:qFormat/>
    <w:uiPriority w:val="0"/>
    <w:rPr>
      <w:rFonts w:ascii="Arial" w:hAnsi="Arial" w:eastAsia="黑体" w:cs="Times New Roman"/>
      <w:kern w:val="0"/>
      <w:sz w:val="24"/>
      <w:szCs w:val="24"/>
    </w:rPr>
  </w:style>
  <w:style w:type="paragraph" w:customStyle="1" w:styleId="421">
    <w:name w:val="列表段落1"/>
    <w:basedOn w:val="1"/>
    <w:next w:val="422"/>
    <w:qFormat/>
    <w:uiPriority w:val="34"/>
    <w:pPr>
      <w:ind w:firstLine="420" w:firstLineChars="200"/>
    </w:pPr>
  </w:style>
  <w:style w:type="paragraph" w:customStyle="1" w:styleId="422">
    <w:name w:val="目录 21"/>
    <w:next w:val="1"/>
    <w:qFormat/>
    <w:uiPriority w:val="0"/>
    <w:pPr>
      <w:wordWrap w:val="0"/>
      <w:jc w:val="both"/>
    </w:pPr>
    <w:rPr>
      <w:rFonts w:ascii="Calibri" w:hAnsi="Calibri" w:eastAsia="宋体" w:cs="Times New Roman"/>
      <w:sz w:val="21"/>
      <w:lang w:val="en-US" w:eastAsia="zh-CN" w:bidi="ar-SA"/>
    </w:rPr>
  </w:style>
  <w:style w:type="table" w:customStyle="1" w:styleId="423">
    <w:name w:val="网格型1"/>
    <w:basedOn w:val="5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4">
    <w:name w:val="[Normal]"/>
    <w:qFormat/>
    <w:uiPriority w:val="0"/>
    <w:rPr>
      <w:rFonts w:ascii="宋体" w:hAnsi="宋体" w:eastAsia="宋体" w:cs="Times New Roman"/>
      <w:sz w:val="24"/>
      <w:szCs w:val="22"/>
      <w:lang w:val="zh-CN" w:eastAsia="zh-CN" w:bidi="ar-SA"/>
    </w:rPr>
  </w:style>
  <w:style w:type="paragraph" w:customStyle="1" w:styleId="42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2"/>
      <w:sz w:val="28"/>
      <w:szCs w:val="20"/>
    </w:rPr>
  </w:style>
  <w:style w:type="paragraph" w:customStyle="1" w:styleId="426">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427">
    <w:name w:val="4、正文"/>
    <w:basedOn w:val="1"/>
    <w:qFormat/>
    <w:uiPriority w:val="99"/>
    <w:pPr>
      <w:ind w:firstLine="200" w:firstLineChars="200"/>
    </w:pPr>
    <w:rPr>
      <w:rFonts w:ascii="宋体"/>
      <w:sz w:val="24"/>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8302B-6C9F-4914-B6F7-125A931A17B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70</Pages>
  <Words>46436</Words>
  <Characters>48780</Characters>
  <Lines>221</Lines>
  <Paragraphs>62</Paragraphs>
  <TotalTime>1</TotalTime>
  <ScaleCrop>false</ScaleCrop>
  <LinksUpToDate>false</LinksUpToDate>
  <CharactersWithSpaces>53213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2020-10-07T09:58:00Z</dcterms:created>
  <dc:creator>Sky123.Org</dc:creator>
  <cp:lastModifiedBy>四海为家的人</cp:lastModifiedBy>
  <cp:lastPrinted>2024-04-18T07:31:00Z</cp:lastPrinted>
  <dcterms:modified xsi:type="dcterms:W3CDTF">2024-04-24T06:59:10Z</dcterms:modified>
  <dc:title>临海市政府采购</dc:title>
  <cp:revision>390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3C83BD7099954A0E8020C8AE342A0040_13</vt:lpwstr>
  </property>
</Properties>
</file>