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rPr>
      </w:pPr>
      <w:r>
        <w:rPr>
          <w:rFonts w:hint="eastAsia" w:ascii="宋体" w:hAnsi="宋体" w:cs="宋体"/>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hint="eastAsia" w:ascii="宋体" w:hAnsi="宋体" w:cs="宋体"/>
          <w:b/>
          <w:kern w:val="0"/>
          <w:sz w:val="52"/>
        </w:rPr>
        <w:t>政府采购</w:t>
      </w:r>
      <w:r>
        <w:rPr>
          <w:rFonts w:hint="eastAsia" w:ascii="宋体" w:hAnsi="宋体" w:cs="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rPr>
      </w:pPr>
      <w:r>
        <w:rPr>
          <w:rFonts w:hint="eastAsia" w:ascii="宋体" w:hAnsi="宋体" w:cs="宋体"/>
          <w:kern w:val="0"/>
          <w:sz w:val="28"/>
        </w:rPr>
        <w:t>项目编号： tzzy-2023007号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0"/>
          <w:szCs w:val="30"/>
        </w:rPr>
      </w:pPr>
      <w:r>
        <w:rPr>
          <w:rFonts w:hint="eastAsia" w:ascii="宋体" w:hAnsi="宋体" w:cs="宋体"/>
          <w:b/>
          <w:sz w:val="36"/>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rPr>
          <w:rFonts w:ascii="宋体" w:hAnsi="宋体" w:cs="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采购项目：洪家街道鸿源社区“邻距里”综合体建设项目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采购人：台州市椒江区人民政府洪家街道办事处（盖章）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kern w:val="0"/>
          <w:sz w:val="30"/>
          <w:szCs w:val="30"/>
        </w:rPr>
      </w:pPr>
      <w:r>
        <w:rPr>
          <w:rFonts w:hint="eastAsia" w:ascii="宋体" w:hAnsi="宋体" w:cs="宋体"/>
          <w:kern w:val="0"/>
          <w:sz w:val="30"/>
          <w:szCs w:val="30"/>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hint="eastAsia" w:ascii="宋体" w:hAnsi="宋体" w:cs="宋体"/>
          <w:kern w:val="0"/>
          <w:sz w:val="28"/>
          <w:szCs w:val="28"/>
        </w:rPr>
        <w:t xml:space="preserve"> 台州中亿工程管理有限公司（盖章）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sz w:val="28"/>
          <w:szCs w:val="28"/>
        </w:rPr>
        <w:t>2023</w:t>
      </w:r>
      <w:r>
        <w:rPr>
          <w:rFonts w:hint="eastAsia" w:ascii="宋体" w:hAnsi="宋体" w:cs="宋体"/>
          <w:kern w:val="0"/>
          <w:sz w:val="28"/>
          <w:szCs w:val="28"/>
        </w:rPr>
        <w:t>年03月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目    录</w:t>
      </w:r>
    </w:p>
    <w:p>
      <w:pPr>
        <w:spacing w:line="360" w:lineRule="auto"/>
        <w:ind w:left="960"/>
        <w:rPr>
          <w:rFonts w:ascii="宋体" w:hAnsi="宋体" w:cs="宋体"/>
          <w:sz w:val="10"/>
        </w:rPr>
      </w:pPr>
    </w:p>
    <w:p>
      <w:pPr>
        <w:spacing w:line="360" w:lineRule="auto"/>
        <w:ind w:left="960"/>
        <w:rPr>
          <w:rFonts w:ascii="宋体" w:hAnsi="宋体" w:cs="宋体"/>
          <w:sz w:val="10"/>
        </w:rPr>
      </w:pPr>
    </w:p>
    <w:p>
      <w:pPr>
        <w:spacing w:line="360" w:lineRule="auto"/>
        <w:ind w:left="960"/>
        <w:rPr>
          <w:rFonts w:ascii="宋体" w:hAnsi="宋体" w:cs="宋体"/>
          <w:sz w:val="10"/>
        </w:rPr>
      </w:pPr>
    </w:p>
    <w:p>
      <w:pPr>
        <w:spacing w:line="360" w:lineRule="auto"/>
        <w:ind w:left="359" w:leftChars="171" w:firstLine="481" w:firstLineChars="171"/>
        <w:rPr>
          <w:rFonts w:ascii="宋体" w:hAnsi="宋体" w:cs="宋体"/>
          <w:b/>
          <w:sz w:val="28"/>
          <w:szCs w:val="28"/>
        </w:rPr>
      </w:pPr>
      <w:r>
        <w:rPr>
          <w:rFonts w:hint="eastAsia" w:ascii="宋体" w:hAnsi="宋体" w:cs="宋体"/>
          <w:b/>
          <w:sz w:val="28"/>
          <w:szCs w:val="28"/>
        </w:rPr>
        <w:t>一、竞争性磋商公告</w:t>
      </w:r>
    </w:p>
    <w:p>
      <w:pPr>
        <w:spacing w:line="360" w:lineRule="auto"/>
        <w:ind w:left="359" w:leftChars="171" w:firstLine="481" w:firstLineChars="171"/>
        <w:rPr>
          <w:rFonts w:ascii="宋体" w:hAnsi="宋体" w:cs="宋体"/>
          <w:b/>
          <w:sz w:val="28"/>
          <w:szCs w:val="28"/>
        </w:rPr>
      </w:pPr>
      <w:r>
        <w:rPr>
          <w:rFonts w:hint="eastAsia" w:ascii="宋体" w:hAnsi="宋体" w:cs="宋体"/>
          <w:b/>
          <w:sz w:val="28"/>
          <w:szCs w:val="28"/>
        </w:rPr>
        <w:t>二、供应商须知</w:t>
      </w:r>
    </w:p>
    <w:p>
      <w:pPr>
        <w:spacing w:line="360" w:lineRule="auto"/>
        <w:ind w:left="359" w:leftChars="171" w:firstLine="481" w:firstLineChars="171"/>
        <w:rPr>
          <w:rFonts w:ascii="宋体" w:hAnsi="宋体" w:cs="宋体"/>
          <w:b/>
          <w:sz w:val="28"/>
          <w:szCs w:val="28"/>
        </w:rPr>
      </w:pPr>
      <w:r>
        <w:rPr>
          <w:rFonts w:hint="eastAsia" w:ascii="宋体" w:hAnsi="宋体" w:cs="宋体"/>
          <w:b/>
          <w:sz w:val="28"/>
          <w:szCs w:val="28"/>
        </w:rPr>
        <w:t xml:space="preserve">三、评审办法及评审标准  </w:t>
      </w:r>
    </w:p>
    <w:p>
      <w:pPr>
        <w:spacing w:line="360" w:lineRule="auto"/>
        <w:ind w:left="359" w:leftChars="171" w:firstLine="481" w:firstLineChars="171"/>
        <w:rPr>
          <w:rFonts w:ascii="宋体" w:hAnsi="宋体" w:cs="宋体"/>
          <w:b/>
          <w:sz w:val="28"/>
          <w:szCs w:val="28"/>
        </w:rPr>
      </w:pPr>
      <w:r>
        <w:rPr>
          <w:rFonts w:hint="eastAsia" w:ascii="宋体" w:hAnsi="宋体" w:cs="宋体"/>
          <w:b/>
          <w:sz w:val="28"/>
          <w:szCs w:val="28"/>
        </w:rPr>
        <w:t>四、</w:t>
      </w:r>
      <w:r>
        <w:rPr>
          <w:rFonts w:hint="eastAsia" w:ascii="宋体" w:hAnsi="宋体" w:cs="宋体"/>
          <w:b/>
          <w:kern w:val="0"/>
          <w:sz w:val="28"/>
          <w:szCs w:val="28"/>
        </w:rPr>
        <w:t>项目需求</w:t>
      </w:r>
    </w:p>
    <w:p>
      <w:pPr>
        <w:spacing w:line="360" w:lineRule="auto"/>
        <w:ind w:firstLine="703" w:firstLineChars="250"/>
        <w:jc w:val="left"/>
        <w:rPr>
          <w:rFonts w:ascii="宋体" w:hAnsi="宋体" w:cs="宋体"/>
          <w:b/>
          <w:sz w:val="28"/>
          <w:szCs w:val="28"/>
        </w:rPr>
      </w:pPr>
      <w:r>
        <w:rPr>
          <w:rFonts w:hint="eastAsia" w:ascii="宋体" w:hAnsi="宋体" w:cs="宋体"/>
          <w:b/>
          <w:sz w:val="28"/>
          <w:szCs w:val="28"/>
        </w:rPr>
        <w:t xml:space="preserve"> 五、政府采购合同主要条款指引       </w:t>
      </w:r>
    </w:p>
    <w:p>
      <w:pPr>
        <w:spacing w:line="360" w:lineRule="auto"/>
        <w:ind w:left="359" w:leftChars="171" w:firstLine="481" w:firstLineChars="171"/>
        <w:rPr>
          <w:rFonts w:ascii="宋体" w:hAnsi="宋体" w:cs="宋体"/>
          <w:b/>
          <w:sz w:val="28"/>
          <w:szCs w:val="28"/>
        </w:rPr>
      </w:pPr>
      <w:r>
        <w:rPr>
          <w:rFonts w:hint="eastAsia" w:ascii="宋体" w:hAnsi="宋体" w:cs="宋体"/>
          <w:b/>
          <w:sz w:val="28"/>
          <w:szCs w:val="28"/>
        </w:rPr>
        <w:t>六、响应文件格式附件</w:t>
      </w:r>
    </w:p>
    <w:p>
      <w:pPr>
        <w:spacing w:line="360" w:lineRule="auto"/>
        <w:rPr>
          <w:rFonts w:ascii="宋体" w:hAnsi="宋体" w:cs="宋体"/>
          <w:b/>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hint="eastAsia" w:ascii="宋体" w:hAnsi="宋体" w:cs="宋体"/>
          <w:b/>
          <w:sz w:val="36"/>
          <w:szCs w:val="36"/>
        </w:rPr>
        <w:t xml:space="preserve">第一章  竞争性磋商公告 </w:t>
      </w:r>
    </w:p>
    <w:p>
      <w:pPr>
        <w:spacing w:line="360" w:lineRule="auto"/>
        <w:ind w:right="-197" w:rightChars="-94"/>
        <w:jc w:val="left"/>
        <w:rPr>
          <w:rFonts w:ascii="宋体" w:hAnsi="宋体" w:cs="宋体"/>
          <w:kern w:val="0"/>
          <w:sz w:val="24"/>
        </w:rPr>
      </w:pPr>
      <w:r>
        <w:rPr>
          <w:rFonts w:hint="eastAsia" w:ascii="宋体" w:hAnsi="宋体" w:cs="宋体"/>
          <w:kern w:val="0"/>
          <w:sz w:val="30"/>
          <w:szCs w:val="30"/>
        </w:rPr>
        <w:t xml:space="preserve">   </w:t>
      </w:r>
      <w:r>
        <w:rPr>
          <w:rFonts w:hint="eastAsia" w:ascii="宋体" w:hAnsi="宋体" w:cs="宋体"/>
          <w:kern w:val="0"/>
          <w:sz w:val="24"/>
        </w:rPr>
        <w:t xml:space="preserve"> 根据《中华人民共和国政府采购法》</w:t>
      </w:r>
      <w:r>
        <w:rPr>
          <w:rFonts w:hint="eastAsia" w:ascii="宋体"/>
          <w:kern w:val="0"/>
          <w:sz w:val="24"/>
        </w:rPr>
        <w:t>、《中华人民共和国政府采购法实施条例》、</w:t>
      </w:r>
      <w:r>
        <w:rPr>
          <w:rFonts w:hint="eastAsia" w:ascii="宋体" w:hAnsi="宋体" w:cs="宋体"/>
          <w:sz w:val="24"/>
        </w:rPr>
        <w:t>《政府采购竞争性磋商采购方式管理暂行办法》等</w:t>
      </w:r>
      <w:r>
        <w:rPr>
          <w:rFonts w:hint="eastAsia" w:ascii="宋体" w:hAnsi="宋体" w:cs="宋体"/>
          <w:kern w:val="0"/>
          <w:sz w:val="24"/>
        </w:rPr>
        <w:t>有关规定, 受采购人的委托，现就</w:t>
      </w:r>
      <w:r>
        <w:rPr>
          <w:rFonts w:hint="eastAsia" w:ascii="宋体" w:hAnsi="宋体" w:cs="宋体"/>
          <w:sz w:val="24"/>
          <w:u w:val="single"/>
        </w:rPr>
        <w:t>台州市椒江区人民政府洪家街道办事处</w:t>
      </w:r>
      <w:r>
        <w:rPr>
          <w:rFonts w:hint="eastAsia" w:ascii="宋体" w:hAnsi="宋体" w:cs="宋体"/>
          <w:sz w:val="24"/>
        </w:rPr>
        <w:t>（单</w:t>
      </w:r>
      <w:r>
        <w:rPr>
          <w:rFonts w:hint="eastAsia" w:ascii="宋体" w:hAnsi="宋体" w:cs="宋体"/>
          <w:kern w:val="0"/>
          <w:sz w:val="24"/>
        </w:rPr>
        <w:t>位）的</w:t>
      </w:r>
      <w:r>
        <w:rPr>
          <w:rFonts w:hint="eastAsia" w:ascii="宋体" w:hAnsi="宋体" w:cs="宋体"/>
          <w:sz w:val="24"/>
          <w:u w:val="single"/>
        </w:rPr>
        <w:t>洪家街道鸿源社区“邻距里”综合体建设项</w:t>
      </w:r>
      <w:r>
        <w:rPr>
          <w:rFonts w:hint="eastAsia" w:ascii="宋体" w:hAnsi="宋体" w:cs="宋体"/>
          <w:sz w:val="24"/>
          <w:highlight w:val="none"/>
          <w:u w:val="single"/>
        </w:rPr>
        <w:t>目（</w:t>
      </w:r>
      <w:r>
        <w:rPr>
          <w:rFonts w:hint="eastAsia" w:ascii="宋体" w:hAnsi="宋体" w:cs="宋体"/>
          <w:sz w:val="24"/>
          <w:highlight w:val="none"/>
          <w:u w:val="single"/>
          <w:lang w:val="en-US" w:eastAsia="zh-CN"/>
        </w:rPr>
        <w:t>椒财采确临[2023]179号</w:t>
      </w:r>
      <w:r>
        <w:rPr>
          <w:rFonts w:hint="eastAsia" w:ascii="宋体" w:hAnsi="宋体" w:cs="宋体"/>
          <w:sz w:val="24"/>
          <w:highlight w:val="none"/>
          <w:u w:val="single"/>
        </w:rPr>
        <w:t>）</w:t>
      </w:r>
      <w:r>
        <w:rPr>
          <w:rFonts w:hint="eastAsia" w:ascii="宋体" w:hAnsi="宋体" w:cs="宋体"/>
          <w:kern w:val="0"/>
          <w:sz w:val="24"/>
        </w:rPr>
        <w:t>进行竞争性磋商采购，欢迎合格供应商前来磋商。</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s="宋体"/>
          <w:b/>
          <w:kern w:val="0"/>
          <w:sz w:val="24"/>
        </w:rPr>
      </w:pPr>
      <w:r>
        <w:rPr>
          <w:rFonts w:hint="eastAsia" w:ascii="宋体" w:hAnsi="宋体" w:cs="宋体"/>
          <w:b/>
          <w:kern w:val="0"/>
          <w:sz w:val="24"/>
        </w:rPr>
        <w:t>一、项目编号: tzzy-2023007号</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kern w:val="0"/>
          <w:sz w:val="24"/>
        </w:rPr>
      </w:pPr>
      <w:r>
        <w:rPr>
          <w:rFonts w:hint="eastAsia" w:ascii="宋体" w:hAnsi="宋体" w:cs="宋体"/>
          <w:b/>
          <w:kern w:val="0"/>
          <w:sz w:val="24"/>
        </w:rPr>
        <w:t>二、磋商内容：</w:t>
      </w:r>
    </w:p>
    <w:tbl>
      <w:tblPr>
        <w:tblStyle w:val="32"/>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02"/>
        <w:gridCol w:w="789"/>
        <w:gridCol w:w="532"/>
        <w:gridCol w:w="576"/>
        <w:gridCol w:w="1309"/>
        <w:gridCol w:w="1282"/>
        <w:gridCol w:w="1660"/>
        <w:gridCol w:w="82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60"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标段号</w:t>
            </w:r>
          </w:p>
        </w:tc>
        <w:tc>
          <w:tcPr>
            <w:tcW w:w="1802" w:type="dxa"/>
            <w:vAlign w:val="center"/>
          </w:tcPr>
          <w:p>
            <w:pPr>
              <w:tabs>
                <w:tab w:val="left" w:pos="8280"/>
              </w:tabs>
              <w:autoSpaceDE w:val="0"/>
              <w:autoSpaceDN w:val="0"/>
              <w:adjustRightInd w:val="0"/>
              <w:ind w:right="25" w:firstLine="120" w:firstLineChars="50"/>
              <w:jc w:val="center"/>
              <w:rPr>
                <w:rFonts w:ascii="宋体" w:hAnsi="宋体" w:cs="宋体"/>
                <w:b/>
                <w:sz w:val="24"/>
              </w:rPr>
            </w:pPr>
            <w:r>
              <w:rPr>
                <w:rFonts w:hint="eastAsia" w:ascii="宋体" w:hAnsi="宋体" w:cs="宋体"/>
                <w:b/>
                <w:sz w:val="24"/>
              </w:rPr>
              <w:t>项目名称</w:t>
            </w:r>
          </w:p>
        </w:tc>
        <w:tc>
          <w:tcPr>
            <w:tcW w:w="789"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kern w:val="0"/>
                <w:sz w:val="24"/>
              </w:rPr>
              <w:t>简要要求</w:t>
            </w:r>
          </w:p>
        </w:tc>
        <w:tc>
          <w:tcPr>
            <w:tcW w:w="532"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数量</w:t>
            </w:r>
          </w:p>
        </w:tc>
        <w:tc>
          <w:tcPr>
            <w:tcW w:w="576"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单位</w:t>
            </w:r>
          </w:p>
        </w:tc>
        <w:tc>
          <w:tcPr>
            <w:tcW w:w="1309" w:type="dxa"/>
            <w:vAlign w:val="center"/>
          </w:tcPr>
          <w:p>
            <w:pPr>
              <w:tabs>
                <w:tab w:val="left" w:pos="8280"/>
              </w:tabs>
              <w:autoSpaceDE w:val="0"/>
              <w:autoSpaceDN w:val="0"/>
              <w:adjustRightInd w:val="0"/>
              <w:ind w:right="25"/>
              <w:jc w:val="center"/>
              <w:rPr>
                <w:rFonts w:ascii="宋体" w:hAnsi="宋体" w:cs="宋体"/>
                <w:b/>
                <w:sz w:val="24"/>
                <w:highlight w:val="yellow"/>
              </w:rPr>
            </w:pPr>
            <w:r>
              <w:rPr>
                <w:rFonts w:hint="eastAsia" w:ascii="宋体" w:hAnsi="宋体" w:cs="宋体"/>
                <w:b/>
                <w:sz w:val="24"/>
              </w:rPr>
              <w:t>预算价（元）</w:t>
            </w:r>
          </w:p>
        </w:tc>
        <w:tc>
          <w:tcPr>
            <w:tcW w:w="1282" w:type="dxa"/>
            <w:vAlign w:val="center"/>
          </w:tcPr>
          <w:p>
            <w:pPr>
              <w:tabs>
                <w:tab w:val="left" w:pos="8280"/>
              </w:tabs>
              <w:autoSpaceDE w:val="0"/>
              <w:autoSpaceDN w:val="0"/>
              <w:adjustRightInd w:val="0"/>
              <w:ind w:right="25"/>
              <w:jc w:val="center"/>
              <w:rPr>
                <w:rFonts w:ascii="宋体" w:hAnsi="宋体" w:cs="宋体"/>
                <w:b/>
                <w:sz w:val="24"/>
                <w:highlight w:val="yellow"/>
              </w:rPr>
            </w:pPr>
            <w:r>
              <w:rPr>
                <w:rFonts w:hint="eastAsia" w:ascii="宋体" w:hAnsi="宋体" w:cs="宋体"/>
                <w:b/>
                <w:sz w:val="24"/>
              </w:rPr>
              <w:t>最高限价（元）</w:t>
            </w:r>
          </w:p>
        </w:tc>
        <w:tc>
          <w:tcPr>
            <w:tcW w:w="1660"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Cs w:val="21"/>
              </w:rPr>
              <w:t>工期</w:t>
            </w:r>
          </w:p>
        </w:tc>
        <w:tc>
          <w:tcPr>
            <w:tcW w:w="821" w:type="dxa"/>
            <w:vAlign w:val="center"/>
          </w:tcPr>
          <w:p>
            <w:pPr>
              <w:widowControl/>
              <w:jc w:val="center"/>
              <w:rPr>
                <w:rFonts w:ascii="宋体" w:hAnsi="宋体" w:cs="宋体"/>
                <w:b/>
                <w:sz w:val="24"/>
              </w:rPr>
            </w:pPr>
            <w:r>
              <w:rPr>
                <w:rFonts w:hint="eastAsia" w:ascii="宋体" w:hAnsi="宋体" w:cs="宋体"/>
                <w:b/>
                <w:sz w:val="24"/>
              </w:rPr>
              <w:t>质量</w:t>
            </w:r>
          </w:p>
        </w:tc>
        <w:tc>
          <w:tcPr>
            <w:tcW w:w="1227" w:type="dxa"/>
            <w:vAlign w:val="center"/>
          </w:tcPr>
          <w:p>
            <w:pPr>
              <w:widowControl/>
              <w:jc w:val="center"/>
              <w:rPr>
                <w:rFonts w:ascii="宋体" w:hAnsi="宋体" w:cs="宋体"/>
                <w:b/>
                <w:sz w:val="24"/>
              </w:rPr>
            </w:pPr>
            <w:r>
              <w:rPr>
                <w:rFonts w:hint="eastAsia" w:ascii="宋体" w:hAnsi="宋体" w:cs="宋体"/>
                <w:b/>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vAlign w:val="center"/>
          </w:tcPr>
          <w:p>
            <w:pPr>
              <w:jc w:val="center"/>
              <w:rPr>
                <w:rFonts w:ascii="宋体" w:hAnsi="宋体" w:cs="宋体"/>
                <w:szCs w:val="21"/>
              </w:rPr>
            </w:pPr>
            <w:r>
              <w:rPr>
                <w:rFonts w:hint="eastAsia" w:ascii="宋体" w:hAnsi="宋体" w:cs="宋体"/>
                <w:szCs w:val="21"/>
              </w:rPr>
              <w:t>1</w:t>
            </w:r>
          </w:p>
        </w:tc>
        <w:tc>
          <w:tcPr>
            <w:tcW w:w="1802" w:type="dxa"/>
            <w:vAlign w:val="center"/>
          </w:tcPr>
          <w:p>
            <w:pPr>
              <w:jc w:val="center"/>
              <w:rPr>
                <w:rFonts w:ascii="宋体" w:hAnsi="宋体" w:cs="宋体"/>
                <w:szCs w:val="21"/>
              </w:rPr>
            </w:pPr>
            <w:r>
              <w:rPr>
                <w:rFonts w:hint="eastAsia" w:ascii="宋体" w:hAnsi="宋体" w:cs="宋体"/>
                <w:szCs w:val="21"/>
              </w:rPr>
              <w:t>洪家街道鸿源社区“邻距里”综合体建设项目</w:t>
            </w:r>
          </w:p>
        </w:tc>
        <w:tc>
          <w:tcPr>
            <w:tcW w:w="789" w:type="dxa"/>
            <w:vAlign w:val="center"/>
          </w:tcPr>
          <w:p>
            <w:pPr>
              <w:jc w:val="center"/>
              <w:rPr>
                <w:rFonts w:ascii="宋体" w:hAnsi="宋体" w:cs="宋体"/>
                <w:szCs w:val="21"/>
              </w:rPr>
            </w:pPr>
            <w:r>
              <w:rPr>
                <w:rFonts w:hint="eastAsia" w:ascii="宋体" w:hAnsi="宋体" w:cs="宋体"/>
                <w:szCs w:val="21"/>
              </w:rPr>
              <w:t>详见采购需求</w:t>
            </w:r>
          </w:p>
        </w:tc>
        <w:tc>
          <w:tcPr>
            <w:tcW w:w="532" w:type="dxa"/>
            <w:vAlign w:val="center"/>
          </w:tcPr>
          <w:p>
            <w:pPr>
              <w:jc w:val="center"/>
              <w:rPr>
                <w:rFonts w:ascii="宋体" w:hAnsi="宋体" w:cs="宋体"/>
                <w:szCs w:val="21"/>
              </w:rPr>
            </w:pPr>
            <w:r>
              <w:rPr>
                <w:rFonts w:hint="eastAsia" w:ascii="宋体" w:hAnsi="宋体" w:cs="宋体"/>
                <w:szCs w:val="21"/>
              </w:rPr>
              <w:t>1</w:t>
            </w:r>
          </w:p>
        </w:tc>
        <w:tc>
          <w:tcPr>
            <w:tcW w:w="576" w:type="dxa"/>
            <w:vAlign w:val="center"/>
          </w:tcPr>
          <w:p>
            <w:pPr>
              <w:jc w:val="center"/>
              <w:rPr>
                <w:rFonts w:ascii="宋体" w:hAnsi="宋体" w:cs="宋体"/>
                <w:szCs w:val="21"/>
              </w:rPr>
            </w:pPr>
            <w:r>
              <w:rPr>
                <w:rFonts w:hint="eastAsia" w:ascii="宋体" w:hAnsi="宋体" w:cs="宋体"/>
                <w:szCs w:val="21"/>
              </w:rPr>
              <w:t>项</w:t>
            </w:r>
          </w:p>
        </w:tc>
        <w:tc>
          <w:tcPr>
            <w:tcW w:w="1309" w:type="dxa"/>
            <w:vAlign w:val="center"/>
          </w:tcPr>
          <w:p>
            <w:pPr>
              <w:jc w:val="center"/>
              <w:rPr>
                <w:rFonts w:ascii="宋体" w:hAnsi="宋体" w:cs="宋体"/>
                <w:szCs w:val="21"/>
              </w:rPr>
            </w:pPr>
            <w:r>
              <w:rPr>
                <w:rFonts w:hint="eastAsia" w:ascii="宋体" w:hAnsi="宋体" w:cs="宋体"/>
                <w:szCs w:val="21"/>
              </w:rPr>
              <w:t>1206155</w:t>
            </w:r>
          </w:p>
        </w:tc>
        <w:tc>
          <w:tcPr>
            <w:tcW w:w="1282" w:type="dxa"/>
            <w:vAlign w:val="center"/>
          </w:tcPr>
          <w:p>
            <w:pPr>
              <w:jc w:val="center"/>
              <w:rPr>
                <w:rFonts w:hint="eastAsia" w:ascii="宋体" w:hAnsi="宋体" w:eastAsia="宋体" w:cs="宋体"/>
                <w:szCs w:val="21"/>
                <w:lang w:eastAsia="zh-CN"/>
              </w:rPr>
            </w:pPr>
            <w:r>
              <w:rPr>
                <w:rFonts w:hint="eastAsia" w:ascii="宋体" w:hAnsi="宋体" w:cs="宋体"/>
                <w:szCs w:val="21"/>
              </w:rPr>
              <w:t>1079416</w:t>
            </w:r>
            <w:r>
              <w:rPr>
                <w:rFonts w:hint="eastAsia" w:ascii="宋体" w:hAnsi="宋体" w:cs="宋体"/>
                <w:szCs w:val="21"/>
                <w:lang w:eastAsia="zh-CN"/>
              </w:rPr>
              <w:t>（</w:t>
            </w:r>
            <w:r>
              <w:rPr>
                <w:rFonts w:hint="eastAsia" w:ascii="宋体" w:hAnsi="宋体" w:cs="宋体"/>
                <w:szCs w:val="21"/>
                <w:lang w:val="en-US" w:eastAsia="zh-CN"/>
              </w:rPr>
              <w:t>装修部分上限价929416元，文化上墙部分150000元</w:t>
            </w:r>
            <w:r>
              <w:rPr>
                <w:rFonts w:hint="eastAsia" w:ascii="宋体" w:hAnsi="宋体" w:cs="宋体"/>
                <w:szCs w:val="21"/>
                <w:lang w:eastAsia="zh-CN"/>
              </w:rPr>
              <w:t>）</w:t>
            </w:r>
          </w:p>
        </w:tc>
        <w:tc>
          <w:tcPr>
            <w:tcW w:w="1660" w:type="dxa"/>
            <w:vAlign w:val="center"/>
          </w:tcPr>
          <w:p>
            <w:pPr>
              <w:jc w:val="center"/>
              <w:rPr>
                <w:rFonts w:ascii="宋体" w:hAnsi="宋体" w:cs="宋体"/>
                <w:szCs w:val="21"/>
              </w:rPr>
            </w:pPr>
            <w:r>
              <w:rPr>
                <w:rFonts w:hint="eastAsia" w:ascii="宋体" w:hAnsi="宋体" w:cs="宋体"/>
                <w:szCs w:val="21"/>
              </w:rPr>
              <w:t xml:space="preserve">2023年5月20日前完工  </w:t>
            </w:r>
          </w:p>
        </w:tc>
        <w:tc>
          <w:tcPr>
            <w:tcW w:w="821" w:type="dxa"/>
            <w:vAlign w:val="center"/>
          </w:tcPr>
          <w:p>
            <w:pPr>
              <w:jc w:val="center"/>
              <w:rPr>
                <w:rFonts w:ascii="宋体" w:hAnsi="宋体" w:cs="宋体"/>
                <w:szCs w:val="21"/>
              </w:rPr>
            </w:pPr>
            <w:r>
              <w:rPr>
                <w:rFonts w:hint="eastAsia" w:ascii="宋体" w:hAnsi="宋体" w:cs="宋体"/>
                <w:szCs w:val="21"/>
              </w:rPr>
              <w:t>合格</w:t>
            </w:r>
          </w:p>
        </w:tc>
        <w:tc>
          <w:tcPr>
            <w:tcW w:w="1227" w:type="dxa"/>
            <w:vAlign w:val="center"/>
          </w:tcPr>
          <w:p>
            <w:pPr>
              <w:widowControl/>
              <w:jc w:val="center"/>
              <w:rPr>
                <w:rFonts w:ascii="宋体" w:hAnsi="宋体" w:cs="宋体"/>
                <w:szCs w:val="21"/>
              </w:rPr>
            </w:pPr>
            <w:bookmarkStart w:id="0" w:name="B17_备注"/>
            <w:bookmarkEnd w:id="0"/>
            <w:r>
              <w:rPr>
                <w:rFonts w:hint="eastAsia" w:ascii="宋体" w:hAnsi="宋体" w:cs="宋体"/>
                <w:szCs w:val="21"/>
              </w:rPr>
              <w:t>洪家街道鸿源社区</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b/>
          <w:sz w:val="24"/>
        </w:rPr>
      </w:pPr>
      <w:r>
        <w:rPr>
          <w:rFonts w:hint="eastAsia" w:ascii="宋体" w:hAnsi="宋体" w:cs="宋体"/>
          <w:b/>
          <w:sz w:val="24"/>
        </w:rPr>
        <w:t>三、合格磋商供应商的资格条件：</w:t>
      </w:r>
    </w:p>
    <w:p>
      <w:pPr>
        <w:pStyle w:val="63"/>
        <w:adjustRightInd w:val="0"/>
        <w:snapToGrid w:val="0"/>
        <w:spacing w:before="0" w:line="360" w:lineRule="auto"/>
        <w:ind w:left="0" w:right="102"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（一）符合《中华人民共和国政府采购法》第二十二条规定的磋商供应商资格条件。</w:t>
      </w:r>
    </w:p>
    <w:p>
      <w:pPr>
        <w:pStyle w:val="63"/>
        <w:adjustRightInd w:val="0"/>
        <w:snapToGrid w:val="0"/>
        <w:spacing w:before="0" w:line="360" w:lineRule="auto"/>
        <w:ind w:left="0" w:right="102"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（二）未被“信用中国”（www.creditchina.gov.cn）、中国政府采购网（www.ccgp.gov.cn）列入失信被执行人、重大税收违法案件当事人名单、政府采购严重违法失信行为记录名单。</w:t>
      </w:r>
    </w:p>
    <w:p>
      <w:pPr>
        <w:pStyle w:val="63"/>
        <w:adjustRightInd w:val="0"/>
        <w:snapToGrid w:val="0"/>
        <w:spacing w:before="0" w:line="360" w:lineRule="auto"/>
        <w:ind w:left="0" w:right="102" w:firstLine="480" w:firstLineChars="200"/>
        <w:rPr>
          <w:rFonts w:ascii="宋体" w:hAnsi="宋体" w:cs="宋体"/>
          <w:color w:val="auto"/>
          <w:sz w:val="24"/>
          <w:szCs w:val="24"/>
        </w:rPr>
      </w:pPr>
      <w:r>
        <w:rPr>
          <w:rFonts w:hint="eastAsia" w:ascii="宋体" w:hAnsi="宋体" w:cs="宋体"/>
          <w:sz w:val="24"/>
          <w:szCs w:val="24"/>
        </w:rPr>
        <w:t>（三）落实政府采购政策需满足的资格要求：</w:t>
      </w:r>
      <w:r>
        <w:rPr>
          <w:rFonts w:hint="eastAsia" w:ascii="宋体" w:hAnsi="宋体" w:cs="宋体"/>
          <w:b/>
          <w:bCs/>
          <w:sz w:val="24"/>
          <w:szCs w:val="24"/>
          <w:u w:val="single"/>
        </w:rPr>
        <w:t>本项目按照规定：专门面向中小企业采购。</w:t>
      </w:r>
    </w:p>
    <w:p>
      <w:pPr>
        <w:pStyle w:val="63"/>
        <w:adjustRightInd w:val="0"/>
        <w:snapToGrid w:val="0"/>
        <w:spacing w:before="0" w:line="360" w:lineRule="auto"/>
        <w:ind w:left="0" w:right="102"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（四）本项目供应商特定条件：</w:t>
      </w:r>
    </w:p>
    <w:p>
      <w:pPr>
        <w:tabs>
          <w:tab w:val="left" w:pos="180"/>
          <w:tab w:val="left" w:pos="360"/>
          <w:tab w:val="left" w:pos="540"/>
          <w:tab w:val="left" w:pos="8280"/>
        </w:tabs>
        <w:autoSpaceDE w:val="0"/>
        <w:autoSpaceDN w:val="0"/>
        <w:adjustRightInd w:val="0"/>
        <w:snapToGrid w:val="0"/>
        <w:spacing w:line="360" w:lineRule="auto"/>
        <w:ind w:right="23" w:firstLine="480" w:firstLineChars="200"/>
        <w:jc w:val="left"/>
        <w:rPr>
          <w:rFonts w:ascii="宋体" w:hAnsi="宋体"/>
          <w:kern w:val="0"/>
          <w:sz w:val="24"/>
        </w:rPr>
      </w:pPr>
      <w:r>
        <w:rPr>
          <w:rFonts w:hint="eastAsia" w:ascii="宋体" w:hAnsi="宋体"/>
          <w:kern w:val="0"/>
          <w:sz w:val="24"/>
        </w:rPr>
        <w:t>1、具有有效的建筑装修装饰工程专业承包二级及以上资质；</w:t>
      </w:r>
    </w:p>
    <w:p>
      <w:pPr>
        <w:tabs>
          <w:tab w:val="left" w:pos="180"/>
          <w:tab w:val="left" w:pos="360"/>
          <w:tab w:val="left" w:pos="540"/>
          <w:tab w:val="left" w:pos="8280"/>
        </w:tabs>
        <w:autoSpaceDE w:val="0"/>
        <w:autoSpaceDN w:val="0"/>
        <w:adjustRightInd w:val="0"/>
        <w:snapToGrid w:val="0"/>
        <w:spacing w:line="360" w:lineRule="auto"/>
        <w:ind w:right="23" w:firstLine="480" w:firstLineChars="200"/>
        <w:jc w:val="left"/>
        <w:rPr>
          <w:rFonts w:ascii="宋体" w:hAnsi="宋体"/>
          <w:kern w:val="0"/>
          <w:sz w:val="24"/>
        </w:rPr>
      </w:pPr>
      <w:r>
        <w:rPr>
          <w:rFonts w:hint="eastAsia" w:ascii="宋体" w:hAnsi="宋体"/>
          <w:kern w:val="0"/>
          <w:sz w:val="24"/>
        </w:rPr>
        <w:t>2、具有有效的安全生产许可证；</w:t>
      </w:r>
    </w:p>
    <w:p>
      <w:pPr>
        <w:tabs>
          <w:tab w:val="left" w:pos="180"/>
          <w:tab w:val="left" w:pos="360"/>
          <w:tab w:val="left" w:pos="540"/>
          <w:tab w:val="left" w:pos="8280"/>
        </w:tabs>
        <w:autoSpaceDE w:val="0"/>
        <w:autoSpaceDN w:val="0"/>
        <w:adjustRightInd w:val="0"/>
        <w:snapToGrid w:val="0"/>
        <w:spacing w:line="360" w:lineRule="auto"/>
        <w:ind w:right="23" w:firstLine="480" w:firstLineChars="200"/>
        <w:jc w:val="left"/>
        <w:rPr>
          <w:rFonts w:ascii="宋体" w:hAnsi="宋体"/>
          <w:sz w:val="24"/>
        </w:rPr>
      </w:pPr>
      <w:r>
        <w:rPr>
          <w:rFonts w:hint="eastAsia" w:ascii="宋体" w:hAnsi="宋体"/>
          <w:kern w:val="0"/>
          <w:sz w:val="24"/>
        </w:rPr>
        <w:t>3、项目负责人具有有效的建筑工程专业注册建造师二级及以上资格（建造师临时执业证书无效）</w:t>
      </w:r>
      <w:r>
        <w:rPr>
          <w:rFonts w:hint="eastAsia" w:ascii="宋体" w:hAnsi="宋体"/>
          <w:sz w:val="24"/>
        </w:rPr>
        <w:t>和</w:t>
      </w:r>
      <w:r>
        <w:rPr>
          <w:rFonts w:hint="eastAsia" w:ascii="宋体" w:hAnsi="宋体"/>
          <w:kern w:val="0"/>
          <w:sz w:val="24"/>
        </w:rPr>
        <w:t>三类人员B类证书；</w:t>
      </w:r>
    </w:p>
    <w:p>
      <w:pPr>
        <w:pStyle w:val="63"/>
        <w:adjustRightInd w:val="0"/>
        <w:snapToGrid w:val="0"/>
        <w:spacing w:before="0" w:line="360" w:lineRule="auto"/>
        <w:ind w:right="102" w:firstLine="480" w:firstLineChars="200"/>
        <w:rPr>
          <w:rFonts w:ascii="宋体" w:hAnsi="宋体" w:eastAsia="宋体" w:cs="宋体"/>
          <w:color w:val="auto"/>
          <w:sz w:val="24"/>
          <w:szCs w:val="24"/>
        </w:rPr>
      </w:pPr>
      <w:r>
        <w:rPr>
          <w:rFonts w:hint="eastAsia" w:ascii="宋体" w:hAnsi="宋体" w:eastAsia="宋体"/>
          <w:color w:val="auto"/>
          <w:sz w:val="24"/>
          <w:szCs w:val="24"/>
        </w:rPr>
        <w:t>4、</w:t>
      </w:r>
      <w:r>
        <w:rPr>
          <w:rFonts w:hint="eastAsia" w:ascii="宋体" w:hAnsi="宋体"/>
          <w:sz w:val="24"/>
        </w:rPr>
        <w:t>《省外企业进浙承接业务备案证明》或“浙江省建筑市场监管公共服务系统”对外发布的通过审核形成的备案信息网页截图（仅指浙江省省外企业）</w:t>
      </w:r>
    </w:p>
    <w:p>
      <w:pPr>
        <w:pStyle w:val="63"/>
        <w:adjustRightInd w:val="0"/>
        <w:snapToGrid w:val="0"/>
        <w:spacing w:before="0" w:line="360" w:lineRule="auto"/>
        <w:ind w:right="102"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5、本项目不接受联合体磋商；</w:t>
      </w:r>
    </w:p>
    <w:p>
      <w:pPr>
        <w:pStyle w:val="63"/>
        <w:adjustRightInd w:val="0"/>
        <w:snapToGrid w:val="0"/>
        <w:spacing w:before="0" w:line="360" w:lineRule="auto"/>
        <w:ind w:right="102"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单位负责人为同一人或者存在直接控股、管理关系的不同供应商，不得参加同一合同项下的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2" w:firstLineChars="200"/>
        <w:rPr>
          <w:rFonts w:ascii="宋体" w:hAnsi="宋体" w:cs="宋体"/>
          <w:b/>
          <w:sz w:val="24"/>
        </w:rPr>
      </w:pPr>
      <w:r>
        <w:rPr>
          <w:rFonts w:hint="eastAsia" w:ascii="宋体" w:hAnsi="宋体" w:cs="宋体"/>
          <w:b/>
          <w:sz w:val="24"/>
        </w:rPr>
        <w:t>四、磋商文件获取的方式、时间：</w:t>
      </w:r>
    </w:p>
    <w:p>
      <w:pPr>
        <w:spacing w:line="360" w:lineRule="auto"/>
        <w:ind w:firstLine="480" w:firstLineChars="200"/>
        <w:rPr>
          <w:rFonts w:ascii="宋体" w:hAnsi="宋体" w:cs="宋体"/>
          <w:sz w:val="24"/>
          <w:szCs w:val="32"/>
        </w:rPr>
      </w:pPr>
      <w:r>
        <w:rPr>
          <w:rFonts w:hint="eastAsia" w:ascii="宋体" w:hAnsi="宋体" w:cs="宋体"/>
          <w:sz w:val="24"/>
          <w:szCs w:val="32"/>
        </w:rPr>
        <w:t>本项目磋商文件实行“政府采购云平台”在线获取，不提供磋商文件纸质版。供应商获取磋商文件前应先完成“政府采购云平台”的账号注册；</w:t>
      </w:r>
    </w:p>
    <w:p>
      <w:pPr>
        <w:spacing w:line="360" w:lineRule="auto"/>
        <w:ind w:firstLine="600" w:firstLineChars="250"/>
        <w:rPr>
          <w:rFonts w:ascii="宋体" w:hAnsi="宋体" w:cs="宋体"/>
          <w:sz w:val="24"/>
          <w:szCs w:val="32"/>
        </w:rPr>
      </w:pPr>
      <w:r>
        <w:rPr>
          <w:rFonts w:hint="eastAsia" w:ascii="宋体" w:hAnsi="宋体" w:cs="宋体"/>
          <w:sz w:val="24"/>
          <w:szCs w:val="32"/>
        </w:rPr>
        <w:t>1、获取地址：</w:t>
      </w:r>
    </w:p>
    <w:p>
      <w:pPr>
        <w:spacing w:line="360" w:lineRule="auto"/>
        <w:ind w:firstLine="480" w:firstLineChars="200"/>
        <w:rPr>
          <w:rFonts w:ascii="宋体" w:hAnsi="宋体" w:cs="宋体"/>
          <w:sz w:val="24"/>
          <w:szCs w:val="32"/>
        </w:rPr>
      </w:pPr>
      <w:r>
        <w:rPr>
          <w:rFonts w:hint="eastAsia" w:ascii="宋体" w:hAnsi="宋体" w:cs="宋体"/>
          <w:sz w:val="24"/>
          <w:szCs w:val="32"/>
        </w:rPr>
        <w:t>（1）政采云平台（http://zfcg.czt.zj.gov.cn）；</w:t>
      </w:r>
    </w:p>
    <w:p>
      <w:pPr>
        <w:spacing w:line="360" w:lineRule="auto"/>
        <w:ind w:firstLine="480" w:firstLineChars="200"/>
        <w:rPr>
          <w:rFonts w:ascii="宋体" w:hAnsi="宋体" w:cs="宋体"/>
          <w:sz w:val="24"/>
          <w:szCs w:val="32"/>
        </w:rPr>
      </w:pPr>
      <w:r>
        <w:rPr>
          <w:rFonts w:hint="eastAsia" w:ascii="宋体" w:hAnsi="宋体" w:cs="宋体"/>
          <w:sz w:val="24"/>
          <w:szCs w:val="32"/>
        </w:rPr>
        <w:t>（2）供应商网上报名操作指南：“浙江政府采购网-办事指南-省采中心-网上报名”（http://zfcg.czt.zj.gov.cn/bs_other/2018-03-30/12002.html）。</w:t>
      </w:r>
    </w:p>
    <w:p>
      <w:pPr>
        <w:spacing w:line="360" w:lineRule="auto"/>
        <w:ind w:firstLine="480" w:firstLineChars="200"/>
        <w:rPr>
          <w:rFonts w:ascii="宋体" w:hAnsi="宋体" w:cs="宋体"/>
          <w:sz w:val="24"/>
          <w:szCs w:val="32"/>
        </w:rPr>
      </w:pPr>
      <w:r>
        <w:rPr>
          <w:rFonts w:hint="eastAsia" w:ascii="宋体" w:hAnsi="宋体" w:cs="宋体"/>
          <w:sz w:val="24"/>
          <w:szCs w:val="32"/>
        </w:rPr>
        <w:t>2、获取方式：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pPr>
        <w:spacing w:line="360" w:lineRule="auto"/>
        <w:ind w:firstLine="480" w:firstLineChars="200"/>
        <w:rPr>
          <w:rFonts w:ascii="宋体" w:hAnsi="宋体" w:cs="宋体"/>
          <w:sz w:val="24"/>
          <w:szCs w:val="32"/>
        </w:rPr>
      </w:pPr>
      <w:r>
        <w:rPr>
          <w:rFonts w:hint="eastAsia" w:ascii="宋体" w:hAnsi="宋体" w:cs="宋体"/>
          <w:sz w:val="24"/>
          <w:szCs w:val="32"/>
        </w:rPr>
        <w:t>3、供应商获取采购文件时须提交的文件资料：无，按政釆云系统要求进行获取。</w:t>
      </w:r>
    </w:p>
    <w:p>
      <w:pPr>
        <w:spacing w:line="360" w:lineRule="auto"/>
        <w:ind w:firstLine="480" w:firstLineChars="200"/>
        <w:rPr>
          <w:rFonts w:ascii="宋体" w:hAnsi="宋体" w:cs="宋体"/>
          <w:sz w:val="24"/>
          <w:szCs w:val="32"/>
        </w:rPr>
      </w:pPr>
      <w:r>
        <w:rPr>
          <w:rFonts w:hint="eastAsia" w:ascii="宋体" w:hAnsi="宋体" w:cs="宋体"/>
          <w:sz w:val="24"/>
          <w:szCs w:val="32"/>
        </w:rPr>
        <w:t>4、获取时间：公告发布时间至投标截止时间。</w:t>
      </w:r>
    </w:p>
    <w:p>
      <w:pPr>
        <w:spacing w:line="360" w:lineRule="auto"/>
        <w:rPr>
          <w:rFonts w:ascii="宋体" w:hAnsi="宋体" w:cs="宋体"/>
          <w:sz w:val="24"/>
          <w:szCs w:val="32"/>
        </w:rPr>
      </w:pPr>
      <w:r>
        <w:rPr>
          <w:rFonts w:hint="eastAsia" w:ascii="宋体" w:hAnsi="宋体" w:cs="宋体"/>
          <w:sz w:val="24"/>
          <w:szCs w:val="32"/>
        </w:rPr>
        <w:t>备注：招标公告附件内的磋商文件（或磋商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pPr>
        <w:pStyle w:val="82"/>
        <w:spacing w:line="360" w:lineRule="auto"/>
        <w:ind w:firstLine="482" w:firstLineChars="200"/>
        <w:rPr>
          <w:rStyle w:val="35"/>
          <w:rFonts w:ascii="宋体" w:hAnsi="宋体" w:cs="宋体"/>
          <w:sz w:val="24"/>
        </w:rPr>
      </w:pPr>
      <w:bookmarkStart w:id="1" w:name="_Hlk37939045"/>
      <w:r>
        <w:rPr>
          <w:rStyle w:val="35"/>
          <w:rFonts w:hint="eastAsia" w:ascii="宋体" w:hAnsi="宋体" w:cs="宋体"/>
          <w:sz w:val="24"/>
        </w:rPr>
        <w:t>五、投标说明：</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本项目实行电子磋商，投标人应按照本项目磋商文件和政采云平台的要求编制、加密并递交磋商响应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2.投标人通过政采云平台电子投标工具制作磋商响应文件，电子投标工具请供应商自行前往浙江政府采购网下载并安装，（下载网址：</w:t>
      </w:r>
      <w:r>
        <w:fldChar w:fldCharType="begin"/>
      </w:r>
      <w:r>
        <w:instrText xml:space="preserve"> HYPERLINK "http://www.zjzfcg.gov.cn/bidClientTemplate/2019-05-27/12946.html）" </w:instrText>
      </w:r>
      <w:r>
        <w:fldChar w:fldCharType="separate"/>
      </w:r>
      <w:r>
        <w:rPr>
          <w:rFonts w:hint="eastAsia" w:ascii="宋体" w:hAnsi="宋体" w:cs="宋体"/>
          <w:kern w:val="0"/>
          <w:sz w:val="24"/>
          <w:u w:val="single"/>
        </w:rPr>
        <w:t>http://zfcg.czt.zj.gov.cn/bidClientTemplate/2019-05-27/12946.html）</w:t>
      </w:r>
      <w:r>
        <w:rPr>
          <w:rFonts w:hint="eastAsia" w:ascii="宋体" w:hAnsi="宋体" w:cs="宋体"/>
          <w:kern w:val="0"/>
          <w:sz w:val="24"/>
          <w:u w:val="single"/>
        </w:rPr>
        <w:fldChar w:fldCharType="end"/>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3.投标人应在开标前完成CA数字证书办理。（办理流程详见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kern w:val="0"/>
          <w:sz w:val="24"/>
          <w:u w:val="single"/>
        </w:rPr>
        <w:t>http://zfcg.czt.zj.gov.cn/bidClientTemplate/2019-05-27/12945.html</w:t>
      </w:r>
      <w:r>
        <w:rPr>
          <w:rFonts w:hint="eastAsia" w:ascii="宋体" w:hAnsi="宋体" w:cs="宋体"/>
          <w:kern w:val="0"/>
          <w:sz w:val="24"/>
          <w:u w:val="single"/>
        </w:rPr>
        <w:fldChar w:fldCharType="end"/>
      </w:r>
      <w:r>
        <w:rPr>
          <w:rFonts w:hint="eastAsia" w:ascii="宋体" w:hAnsi="宋体" w:cs="宋体"/>
          <w:kern w:val="0"/>
          <w:sz w:val="24"/>
          <w:u w:val="single"/>
        </w:rPr>
        <w:t>，完成CA数字证书办理预计一周左右，请各投标人自行把握时间）</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4.</w:t>
      </w:r>
      <w:r>
        <w:rPr>
          <w:rFonts w:hint="eastAsia" w:ascii="宋体" w:hAnsi="宋体" w:cs="宋体"/>
          <w:sz w:val="24"/>
          <w:u w:val="singl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w:t>
      </w:r>
    </w:p>
    <w:p>
      <w:pPr>
        <w:spacing w:line="360" w:lineRule="auto"/>
        <w:ind w:firstLine="480" w:firstLineChars="200"/>
        <w:rPr>
          <w:rFonts w:ascii="宋体" w:hAnsi="宋体" w:cs="宋体"/>
          <w:bCs/>
          <w:sz w:val="24"/>
          <w:u w:val="single"/>
        </w:rPr>
      </w:pPr>
      <w:r>
        <w:rPr>
          <w:rFonts w:hint="eastAsia" w:ascii="宋体" w:hAnsi="宋体" w:cs="宋体"/>
          <w:bCs/>
          <w:sz w:val="24"/>
          <w:u w:val="single"/>
        </w:rPr>
        <w:t>5.响应文件的组成、份数、密封、效力</w:t>
      </w:r>
    </w:p>
    <w:p>
      <w:pPr>
        <w:spacing w:line="360" w:lineRule="auto"/>
        <w:ind w:firstLine="480" w:firstLineChars="200"/>
        <w:rPr>
          <w:rFonts w:ascii="宋体" w:hAnsi="宋体" w:cs="宋体"/>
          <w:sz w:val="24"/>
          <w:u w:val="single"/>
        </w:rPr>
      </w:pPr>
      <w:r>
        <w:rPr>
          <w:rFonts w:hint="eastAsia" w:ascii="宋体" w:hAnsi="宋体" w:cs="宋体"/>
          <w:sz w:val="24"/>
          <w:u w:val="single"/>
        </w:rPr>
        <w:t>本项目实行电子投标，供应商应按要求编制、密封、提交电子加密响应文件。</w:t>
      </w:r>
    </w:p>
    <w:p>
      <w:pPr>
        <w:spacing w:line="360" w:lineRule="auto"/>
        <w:ind w:firstLine="480" w:firstLineChars="200"/>
        <w:rPr>
          <w:rFonts w:ascii="宋体" w:hAnsi="宋体" w:cs="宋体"/>
          <w:sz w:val="24"/>
          <w:u w:val="single"/>
        </w:rPr>
      </w:pPr>
      <w:r>
        <w:rPr>
          <w:rFonts w:hint="eastAsia" w:ascii="宋体" w:hAnsi="宋体" w:cs="宋体"/>
          <w:sz w:val="24"/>
          <w:u w:val="single"/>
        </w:rPr>
        <w:t>5.1电子磋商响应文件，按政采云平台项目采购--电子招投标操作指南及本磋商文件要求编制。</w:t>
      </w:r>
    </w:p>
    <w:p>
      <w:pPr>
        <w:spacing w:line="360" w:lineRule="auto"/>
        <w:ind w:firstLine="480" w:firstLineChars="200"/>
        <w:rPr>
          <w:rFonts w:ascii="宋体" w:hAnsi="宋体" w:cs="宋体"/>
          <w:sz w:val="24"/>
        </w:rPr>
      </w:pPr>
      <w:bookmarkStart w:id="2" w:name="_Hlk34639647"/>
      <w:r>
        <w:rPr>
          <w:rFonts w:hint="eastAsia" w:ascii="宋体" w:hAnsi="宋体" w:cs="宋体"/>
          <w:sz w:val="24"/>
        </w:rPr>
        <w:t>5.2</w:t>
      </w:r>
      <w:r>
        <w:rPr>
          <w:rFonts w:hint="eastAsia" w:ascii="宋体" w:hAnsi="宋体" w:cs="宋体"/>
          <w:sz w:val="24"/>
          <w:u w:val="single"/>
        </w:rPr>
        <w:t>投标供应商在“政府采购云平台”完成“电子加密磋商响应文件”的上传递交后，还可以在投标截止时间前递交（发送至采购代理机构指定邮箱）经政采云平台加密处理的、以数据电文形式的 “备份磋商响应文件”，可采用以下方式（逾期递交将被视为未递交）：</w:t>
      </w:r>
      <w:r>
        <w:rPr>
          <w:rFonts w:hint="eastAsia" w:ascii="宋体" w:hAnsi="宋体" w:cs="宋体"/>
          <w:b/>
          <w:bCs/>
          <w:sz w:val="24"/>
          <w:u w:val="single"/>
        </w:rPr>
        <w:t>在磋商截止时间前递交（以邮箱收到时间为准）到采购代理机构指定邮箱（投递邮箱：907539667@qq.com，邮件标题注明投标项目名称、投标单位名称）。</w:t>
      </w:r>
    </w:p>
    <w:p>
      <w:pPr>
        <w:spacing w:line="360" w:lineRule="auto"/>
        <w:ind w:firstLine="480" w:firstLineChars="200"/>
        <w:rPr>
          <w:rFonts w:ascii="宋体" w:hAnsi="宋体" w:cs="宋体"/>
          <w:sz w:val="24"/>
        </w:rPr>
      </w:pPr>
      <w:r>
        <w:rPr>
          <w:rFonts w:hint="eastAsia" w:ascii="宋体" w:hAnsi="宋体" w:cs="宋体"/>
          <w:sz w:val="24"/>
        </w:rPr>
        <w:t>5.3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投标供应商仅递交备份磋商响应文件的，投标无效。</w:t>
      </w:r>
    </w:p>
    <w:bookmarkEnd w:id="2"/>
    <w:p>
      <w:pPr>
        <w:snapToGrid w:val="0"/>
        <w:spacing w:line="360" w:lineRule="auto"/>
        <w:ind w:firstLine="482" w:firstLineChars="200"/>
        <w:rPr>
          <w:rFonts w:ascii="宋体" w:hAnsi="宋体" w:cs="宋体"/>
          <w:b/>
          <w:bCs/>
          <w:kern w:val="0"/>
          <w:sz w:val="24"/>
        </w:rPr>
      </w:pPr>
      <w:r>
        <w:rPr>
          <w:rStyle w:val="83"/>
          <w:rFonts w:hint="eastAsia" w:ascii="宋体" w:hAnsi="宋体" w:cs="宋体"/>
          <w:b/>
          <w:bCs/>
          <w:sz w:val="24"/>
        </w:rPr>
        <w:t>六、</w:t>
      </w:r>
      <w:r>
        <w:rPr>
          <w:rFonts w:hint="eastAsia" w:ascii="宋体" w:hAnsi="宋体" w:cs="宋体"/>
          <w:b/>
          <w:bCs/>
          <w:kern w:val="0"/>
          <w:sz w:val="24"/>
        </w:rPr>
        <w:t>招</w:t>
      </w:r>
      <w:r>
        <w:rPr>
          <w:rFonts w:hint="eastAsia" w:ascii="宋体" w:hAnsi="宋体" w:cs="宋体"/>
          <w:b/>
          <w:kern w:val="0"/>
          <w:sz w:val="24"/>
        </w:rPr>
        <w:t>标答疑会：无。</w:t>
      </w:r>
    </w:p>
    <w:p>
      <w:pPr>
        <w:snapToGrid w:val="0"/>
        <w:spacing w:line="360" w:lineRule="auto"/>
        <w:ind w:firstLine="482" w:firstLineChars="200"/>
        <w:rPr>
          <w:rFonts w:ascii="宋体" w:hAnsi="宋体" w:cs="宋体"/>
          <w:b/>
          <w:bCs/>
          <w:kern w:val="0"/>
          <w:sz w:val="24"/>
        </w:rPr>
      </w:pPr>
      <w:r>
        <w:rPr>
          <w:rFonts w:hint="eastAsia" w:ascii="宋体" w:hAnsi="宋体" w:cs="宋体"/>
          <w:b/>
          <w:sz w:val="24"/>
        </w:rPr>
        <w:t>七、</w:t>
      </w:r>
      <w:r>
        <w:rPr>
          <w:rFonts w:hint="eastAsia" w:ascii="宋体" w:hAnsi="宋体" w:cs="宋体"/>
          <w:b/>
          <w:kern w:val="0"/>
          <w:sz w:val="24"/>
        </w:rPr>
        <w:t>响应文件递交截止时间及开标时间、地点：</w:t>
      </w:r>
    </w:p>
    <w:p>
      <w:pPr>
        <w:snapToGrid w:val="0"/>
        <w:spacing w:line="360" w:lineRule="auto"/>
        <w:ind w:firstLine="480" w:firstLineChars="200"/>
        <w:rPr>
          <w:rFonts w:ascii="宋体" w:hAnsi="宋体" w:cs="宋体"/>
        </w:rPr>
      </w:pPr>
      <w:r>
        <w:rPr>
          <w:rFonts w:hint="eastAsia" w:ascii="宋体" w:hAnsi="宋体" w:cs="宋体"/>
          <w:sz w:val="24"/>
        </w:rPr>
        <w:t>1、投标截止时间：详见本项目竞争性磋商公告</w:t>
      </w:r>
    </w:p>
    <w:p>
      <w:pPr>
        <w:snapToGrid w:val="0"/>
        <w:spacing w:line="360" w:lineRule="auto"/>
        <w:ind w:firstLine="480" w:firstLineChars="200"/>
        <w:rPr>
          <w:rFonts w:ascii="宋体" w:hAnsi="宋体" w:cs="宋体"/>
          <w:sz w:val="24"/>
        </w:rPr>
      </w:pPr>
      <w:r>
        <w:rPr>
          <w:rFonts w:hint="eastAsia" w:ascii="宋体" w:hAnsi="宋体" w:cs="宋体"/>
          <w:sz w:val="24"/>
        </w:rPr>
        <w:t xml:space="preserve">2、开标时间：详见本项目竞争性磋商公告    </w:t>
      </w:r>
    </w:p>
    <w:p>
      <w:pPr>
        <w:pStyle w:val="61"/>
        <w:rPr>
          <w:rFonts w:ascii="宋体" w:hAnsi="宋体" w:cs="宋体"/>
        </w:rPr>
      </w:pPr>
      <w:r>
        <w:rPr>
          <w:rFonts w:hint="eastAsia" w:ascii="宋体" w:hAnsi="宋体" w:cs="宋体"/>
          <w:sz w:val="24"/>
        </w:rPr>
        <w:t xml:space="preserve">    3、开标地点：详见本项目竞争性磋商公告</w:t>
      </w:r>
    </w:p>
    <w:p>
      <w:pPr>
        <w:widowControl/>
        <w:spacing w:line="360" w:lineRule="auto"/>
        <w:ind w:firstLine="482" w:firstLineChars="200"/>
        <w:jc w:val="left"/>
        <w:rPr>
          <w:rFonts w:ascii="宋体" w:hAnsi="宋体" w:cs="宋体"/>
          <w:sz w:val="24"/>
        </w:rPr>
      </w:pPr>
      <w:r>
        <w:rPr>
          <w:rFonts w:hint="eastAsia" w:ascii="宋体" w:hAnsi="宋体" w:cs="宋体"/>
          <w:b/>
          <w:bCs/>
          <w:sz w:val="24"/>
        </w:rPr>
        <w:t>八、</w:t>
      </w:r>
      <w:r>
        <w:rPr>
          <w:rFonts w:hint="eastAsia" w:ascii="宋体" w:hAnsi="宋体" w:cs="宋体"/>
          <w:b/>
          <w:kern w:val="0"/>
          <w:sz w:val="24"/>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sz w:val="24"/>
          <w:szCs w:val="32"/>
        </w:rPr>
      </w:pPr>
      <w:r>
        <w:rPr>
          <w:rFonts w:hint="eastAsia" w:ascii="宋体" w:hAnsi="宋体" w:cs="宋体"/>
          <w:sz w:val="24"/>
          <w:szCs w:val="32"/>
        </w:rPr>
        <w:t>1）信用信息查询的截止时点：开标后评标前；</w:t>
      </w:r>
    </w:p>
    <w:p>
      <w:pPr>
        <w:widowControl/>
        <w:spacing w:line="360" w:lineRule="auto"/>
        <w:ind w:firstLine="480" w:firstLineChars="200"/>
        <w:jc w:val="left"/>
        <w:rPr>
          <w:rFonts w:ascii="宋体" w:hAnsi="宋体" w:cs="宋体"/>
          <w:sz w:val="24"/>
        </w:rPr>
      </w:pPr>
      <w:r>
        <w:rPr>
          <w:rFonts w:hint="eastAsia" w:ascii="宋体" w:hAnsi="宋体" w:cs="宋体"/>
          <w:sz w:val="24"/>
          <w:szCs w:val="32"/>
        </w:rPr>
        <w:t>2）</w:t>
      </w:r>
      <w:r>
        <w:rPr>
          <w:rFonts w:hint="eastAsia" w:ascii="宋体" w:hAnsi="宋体" w:cs="宋体"/>
          <w:kern w:val="0"/>
          <w:sz w:val="24"/>
        </w:rPr>
        <w:t>查询渠道：“信用中国”（www.creditchina.gov.cn）、“中国政府采购网”（www.ccgp.gov.cn）、浙江省政府采购（</w:t>
      </w:r>
      <w:r>
        <w:fldChar w:fldCharType="begin"/>
      </w:r>
      <w:r>
        <w:instrText xml:space="preserve"> HYPERLINK "https://zfcg.czt.zj.gov.cn/" </w:instrText>
      </w:r>
      <w:r>
        <w:fldChar w:fldCharType="separate"/>
      </w:r>
      <w:r>
        <w:rPr>
          <w:rFonts w:hint="eastAsia" w:ascii="宋体" w:hAnsi="宋体" w:cs="宋体"/>
          <w:kern w:val="0"/>
          <w:sz w:val="24"/>
        </w:rPr>
        <w:t>https://zfcg.czt.zj.gov.cn/</w:t>
      </w:r>
      <w:r>
        <w:rPr>
          <w:rFonts w:hint="eastAsia" w:ascii="宋体" w:hAnsi="宋体" w:cs="宋体"/>
          <w:kern w:val="0"/>
          <w:sz w:val="24"/>
        </w:rPr>
        <w:fldChar w:fldCharType="end"/>
      </w:r>
      <w:r>
        <w:rPr>
          <w:rFonts w:hint="eastAsia" w:ascii="宋体" w:hAnsi="宋体" w:cs="宋体"/>
          <w:kern w:val="0"/>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szCs w:val="32"/>
        </w:rPr>
        <w:t>3）信用信息查询记录和证据留存具体方式：采购代理机构经办人将查询网页打印与其他项目相关文件文件一并保存；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sz w:val="24"/>
        </w:rPr>
      </w:pPr>
      <w:r>
        <w:rPr>
          <w:rFonts w:hint="eastAsia" w:ascii="宋体" w:hAnsi="宋体" w:cs="宋体"/>
          <w:sz w:val="24"/>
          <w:szCs w:val="32"/>
        </w:rPr>
        <w:t>4）信用信息的使用规则：投标人存在不良信用记录的，其投标将被作为无效投标被拒绝</w:t>
      </w:r>
      <w:r>
        <w:rPr>
          <w:rFonts w:hint="eastAsia" w:ascii="宋体" w:hAnsi="宋体" w:cs="宋体"/>
          <w:sz w:val="24"/>
        </w:rPr>
        <w:t xml:space="preserve">； </w:t>
      </w:r>
    </w:p>
    <w:p>
      <w:pPr>
        <w:snapToGrid w:val="0"/>
        <w:spacing w:line="360" w:lineRule="auto"/>
        <w:ind w:firstLine="480" w:firstLineChars="200"/>
        <w:rPr>
          <w:rFonts w:ascii="宋体" w:hAnsi="宋体" w:cs="宋体"/>
          <w:b/>
          <w:bCs/>
          <w:sz w:val="24"/>
        </w:rPr>
      </w:pPr>
      <w:r>
        <w:rPr>
          <w:rFonts w:hint="eastAsia" w:ascii="宋体" w:hAnsi="宋体" w:cs="宋体"/>
          <w:sz w:val="24"/>
          <w:szCs w:val="32"/>
        </w:rPr>
        <w:t>5）不良信用记录指：被列入失信被执行人、重大税收违法案件当事人名单、政府采购严重违法失信行为记录名单中尚在行政处罚期内的。</w:t>
      </w:r>
    </w:p>
    <w:p>
      <w:pPr>
        <w:snapToGrid w:val="0"/>
        <w:spacing w:line="360" w:lineRule="auto"/>
        <w:ind w:firstLine="482" w:firstLineChars="200"/>
        <w:rPr>
          <w:rFonts w:ascii="宋体" w:hAnsi="宋体" w:cs="宋体"/>
          <w:b/>
          <w:bCs/>
          <w:sz w:val="24"/>
        </w:rPr>
      </w:pPr>
      <w:r>
        <w:rPr>
          <w:rFonts w:hint="eastAsia" w:ascii="宋体" w:hAnsi="宋体" w:cs="宋体"/>
          <w:b/>
          <w:sz w:val="24"/>
        </w:rPr>
        <w:t>九、相关注意事项</w:t>
      </w:r>
      <w:r>
        <w:rPr>
          <w:rFonts w:hint="eastAsia" w:ascii="宋体" w:hAnsi="宋体" w:cs="宋体"/>
          <w:sz w:val="24"/>
        </w:rPr>
        <w:t>：</w:t>
      </w:r>
    </w:p>
    <w:p>
      <w:pPr>
        <w:snapToGrid w:val="0"/>
        <w:spacing w:line="360" w:lineRule="auto"/>
        <w:ind w:firstLine="480" w:firstLineChars="200"/>
        <w:rPr>
          <w:rFonts w:ascii="宋体" w:hAnsi="宋体" w:cs="宋体"/>
          <w:sz w:val="24"/>
        </w:rPr>
      </w:pPr>
      <w:bookmarkStart w:id="3" w:name="_Hlk68701840"/>
      <w:r>
        <w:rPr>
          <w:rFonts w:hint="eastAsia" w:ascii="宋体" w:hAnsi="宋体" w:cs="宋体"/>
          <w:kern w:val="0"/>
          <w:sz w:val="24"/>
        </w:rPr>
        <w:t>1、</w:t>
      </w:r>
      <w:r>
        <w:rPr>
          <w:rFonts w:hint="eastAsia" w:ascii="宋体" w:hAnsi="宋体" w:cs="宋体"/>
          <w:sz w:val="24"/>
        </w:rPr>
        <w:t>本项目公告期限为3个工作日。</w:t>
      </w:r>
    </w:p>
    <w:p>
      <w:pPr>
        <w:snapToGrid w:val="0"/>
        <w:spacing w:line="360" w:lineRule="auto"/>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供应商认为采购文件使自己的权益受到损害的，可以自获取采购文件之日或者采购文件公告期限届满之日起7个工作日内，以书面形式一次性针对同一环节(包括采购过程、中标结果等也应一次性在同一环节提出)向采购人或采购代理机构提出质疑。否则，被质疑人可不予接受。质疑供应商对采购人、</w:t>
      </w:r>
      <w:r>
        <w:rPr>
          <w:rFonts w:hint="eastAsia" w:ascii="宋体" w:hAnsi="宋体" w:cs="宋体"/>
          <w:sz w:val="24"/>
        </w:rPr>
        <w:t>采购代理机构</w:t>
      </w:r>
      <w:r>
        <w:rPr>
          <w:rFonts w:hint="eastAsia" w:ascii="宋体" w:hAnsi="宋体" w:cs="宋体"/>
          <w:kern w:val="0"/>
          <w:sz w:val="24"/>
        </w:rPr>
        <w:t>的答复不满意或者采购人、</w:t>
      </w:r>
      <w:r>
        <w:rPr>
          <w:rFonts w:hint="eastAsia" w:ascii="宋体" w:hAnsi="宋体" w:cs="宋体"/>
          <w:sz w:val="24"/>
        </w:rPr>
        <w:t>采购代理机构</w:t>
      </w:r>
      <w:r>
        <w:rPr>
          <w:rFonts w:hint="eastAsia" w:ascii="宋体" w:hAnsi="宋体" w:cs="宋体"/>
          <w:kern w:val="0"/>
          <w:sz w:val="24"/>
        </w:rPr>
        <w:t>未在规定的时间内作出答复的，可以在答复期满后十五个工作日内向同级政府采购监督管理部门投诉。</w:t>
      </w:r>
      <w:bookmarkEnd w:id="3"/>
    </w:p>
    <w:p>
      <w:pPr>
        <w:snapToGrid w:val="0"/>
        <w:spacing w:line="360" w:lineRule="auto"/>
        <w:ind w:firstLine="480" w:firstLineChars="200"/>
        <w:rPr>
          <w:rFonts w:ascii="宋体" w:hAnsi="宋体" w:cs="宋体"/>
          <w:sz w:val="24"/>
        </w:rPr>
      </w:pPr>
      <w:r>
        <w:rPr>
          <w:rFonts w:hint="eastAsia" w:ascii="宋体" w:hAnsi="宋体" w:cs="宋体"/>
          <w:sz w:val="24"/>
        </w:rPr>
        <w:t>3、根据《浙江省政府采购供应商注册及诚信管理暂行办法》浙财采监【2009】28号文件，请各投标供应商及时办理浙江政府采购网“政府采购供应商注册”手续。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ascii="宋体" w:hAnsi="宋体" w:cs="宋体"/>
          <w:sz w:val="24"/>
        </w:rPr>
      </w:pPr>
      <w:r>
        <w:rPr>
          <w:rFonts w:hint="eastAsia" w:ascii="宋体" w:hAnsi="宋体" w:cs="宋体"/>
          <w:sz w:val="24"/>
        </w:rPr>
        <w:t>4、参与政府采购活动的注册供应商，需登录浙江政府采购网（</w:t>
      </w:r>
      <w:r>
        <w:fldChar w:fldCharType="begin"/>
      </w:r>
      <w:r>
        <w:instrText xml:space="preserve"> HYPERLINK "http://zfcg.czt.zj.gov.cn/" </w:instrText>
      </w:r>
      <w:r>
        <w:fldChar w:fldCharType="separate"/>
      </w:r>
      <w:r>
        <w:rPr>
          <w:rStyle w:val="37"/>
          <w:rFonts w:hint="eastAsia" w:ascii="宋体" w:hAnsi="宋体" w:cs="宋体"/>
          <w:color w:val="auto"/>
          <w:sz w:val="24"/>
        </w:rPr>
        <w:t>http：//zfcg.czt.zj.gov.cn/</w:t>
      </w:r>
      <w:r>
        <w:rPr>
          <w:rStyle w:val="37"/>
          <w:rFonts w:hint="eastAsia" w:ascii="宋体" w:hAnsi="宋体" w:cs="宋体"/>
          <w:color w:val="auto"/>
          <w:sz w:val="24"/>
        </w:rPr>
        <w:fldChar w:fldCharType="end"/>
      </w:r>
      <w:r>
        <w:rPr>
          <w:rFonts w:hint="eastAsia" w:ascii="宋体" w:hAnsi="宋体" w:cs="宋体"/>
          <w:sz w:val="24"/>
        </w:rPr>
        <w:t>）进行网上报名；尚未注册的供应商应当先在浙江政府采购网上申请注册，注册终审通过后再进行网上报名。</w:t>
      </w:r>
    </w:p>
    <w:p>
      <w:pPr>
        <w:snapToGrid w:val="0"/>
        <w:spacing w:line="360" w:lineRule="auto"/>
        <w:ind w:firstLine="480" w:firstLineChars="200"/>
      </w:pPr>
      <w:r>
        <w:rPr>
          <w:rFonts w:hint="eastAsia" w:ascii="宋体" w:hAnsi="宋体" w:cs="宋体"/>
          <w:sz w:val="24"/>
        </w:rPr>
        <w:t>5、本项目所有公告发布网站：“浙江政府采购网”（</w:t>
      </w:r>
      <w:r>
        <w:fldChar w:fldCharType="begin"/>
      </w:r>
      <w:r>
        <w:instrText xml:space="preserve"> HYPERLINK "http://zfcg.czt.zj.gov.cn/" </w:instrText>
      </w:r>
      <w:r>
        <w:fldChar w:fldCharType="separate"/>
      </w:r>
      <w:r>
        <w:rPr>
          <w:rStyle w:val="37"/>
          <w:rFonts w:hint="eastAsia" w:ascii="宋体" w:hAnsi="宋体" w:cs="宋体"/>
          <w:color w:val="auto"/>
          <w:sz w:val="24"/>
        </w:rPr>
        <w:t>http：//zfcg.czt.zj.gov</w:t>
      </w:r>
      <w:bookmarkStart w:id="4" w:name="_Hlt40273497"/>
      <w:bookmarkStart w:id="5" w:name="_Hlt40273496"/>
      <w:r>
        <w:rPr>
          <w:rStyle w:val="37"/>
          <w:rFonts w:hint="eastAsia" w:ascii="宋体" w:hAnsi="宋体" w:cs="宋体"/>
          <w:color w:val="auto"/>
          <w:sz w:val="24"/>
        </w:rPr>
        <w:t>.</w:t>
      </w:r>
      <w:bookmarkEnd w:id="4"/>
      <w:bookmarkEnd w:id="5"/>
      <w:r>
        <w:rPr>
          <w:rStyle w:val="37"/>
          <w:rFonts w:hint="eastAsia" w:ascii="宋体" w:hAnsi="宋体" w:cs="宋体"/>
          <w:color w:val="auto"/>
          <w:sz w:val="24"/>
        </w:rPr>
        <w:t>cn/</w:t>
      </w:r>
      <w:r>
        <w:rPr>
          <w:rStyle w:val="37"/>
          <w:rFonts w:hint="eastAsia" w:ascii="宋体" w:hAnsi="宋体" w:cs="宋体"/>
          <w:color w:val="auto"/>
          <w:sz w:val="24"/>
        </w:rPr>
        <w:fldChar w:fldCharType="end"/>
      </w:r>
      <w:r>
        <w:rPr>
          <w:rFonts w:hint="eastAsia" w:ascii="宋体" w:hAnsi="宋体" w:cs="宋体"/>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招标代理机构书面质疑接收人：戴林平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联系电话：13736686963</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书面质疑接收地址：</w:t>
      </w:r>
      <w:bookmarkStart w:id="6" w:name="_Hlk55978710"/>
      <w:r>
        <w:rPr>
          <w:rFonts w:hint="eastAsia" w:ascii="宋体" w:hAnsi="宋体" w:cs="宋体"/>
          <w:kern w:val="0"/>
          <w:sz w:val="24"/>
        </w:rPr>
        <w:t>台州市椒江区亿嘉路华中大厦1-701</w:t>
      </w:r>
      <w:bookmarkEnd w:id="6"/>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采购人书面质疑接收人：曾义平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联系电话：13738619688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书面质疑接收地址：台州市椒江区人民政府洪家街道办事处 </w:t>
      </w:r>
    </w:p>
    <w:p>
      <w:pPr>
        <w:spacing w:line="360" w:lineRule="auto"/>
        <w:rPr>
          <w:rFonts w:ascii="宋体" w:hAnsi="宋体" w:cs="宋体"/>
          <w:kern w:val="0"/>
          <w:sz w:val="24"/>
        </w:rPr>
      </w:pPr>
      <w:r>
        <w:rPr>
          <w:rFonts w:hint="eastAsia" w:ascii="宋体" w:hAnsi="宋体" w:cs="宋体"/>
          <w:b/>
          <w:bCs/>
          <w:sz w:val="24"/>
        </w:rPr>
        <w:t>十、</w:t>
      </w:r>
      <w:r>
        <w:rPr>
          <w:rFonts w:hint="eastAsia" w:ascii="宋体" w:hAnsi="宋体" w:cs="宋体"/>
          <w:b/>
          <w:sz w:val="24"/>
        </w:rPr>
        <w:t>联系方式：</w:t>
      </w:r>
    </w:p>
    <w:p>
      <w:pPr>
        <w:spacing w:line="360" w:lineRule="auto"/>
        <w:ind w:firstLine="480"/>
        <w:rPr>
          <w:rFonts w:ascii="宋体" w:hAnsi="宋体" w:cs="宋体"/>
          <w:b/>
          <w:sz w:val="24"/>
        </w:rPr>
      </w:pPr>
      <w:r>
        <w:rPr>
          <w:rFonts w:hint="eastAsia" w:ascii="宋体" w:hAnsi="宋体" w:cs="宋体"/>
          <w:b/>
          <w:sz w:val="24"/>
        </w:rPr>
        <w:t>（一）采购代理机构</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名称：台州中亿工程管理有限公司</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项目联系人： 蔡女士</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 xml:space="preserve">联系电话：0576-88832068     </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地址：台州市椒江区亿嘉路华中大厦1-701</w:t>
      </w:r>
    </w:p>
    <w:p>
      <w:pPr>
        <w:snapToGrid w:val="0"/>
        <w:spacing w:line="360" w:lineRule="auto"/>
        <w:ind w:firstLine="482" w:firstLineChars="200"/>
        <w:rPr>
          <w:rFonts w:ascii="宋体" w:hAnsi="宋体" w:cs="宋体"/>
          <w:b/>
          <w:sz w:val="24"/>
        </w:rPr>
      </w:pPr>
      <w:r>
        <w:rPr>
          <w:rFonts w:hint="eastAsia" w:ascii="宋体" w:hAnsi="宋体" w:cs="宋体"/>
          <w:b/>
          <w:sz w:val="24"/>
        </w:rPr>
        <w:t>（二）采购人</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名称：台州市椒江区人民政府洪家街道办事处</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 xml:space="preserve">联系人：肖璐璐             联系电话：13989626169           </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 xml:space="preserve">采购人地址：台州市椒江区人民政府洪家街道办事处  </w:t>
      </w:r>
    </w:p>
    <w:p>
      <w:pPr>
        <w:spacing w:line="360" w:lineRule="auto"/>
        <w:ind w:firstLine="472" w:firstLineChars="196"/>
        <w:rPr>
          <w:rFonts w:ascii="宋体" w:hAnsi="宋体" w:cs="宋体"/>
          <w:b/>
          <w:sz w:val="24"/>
        </w:rPr>
      </w:pPr>
      <w:r>
        <w:rPr>
          <w:rFonts w:hint="eastAsia" w:ascii="宋体" w:hAnsi="宋体" w:cs="宋体"/>
          <w:b/>
          <w:sz w:val="24"/>
        </w:rPr>
        <w:t>（三）同级政府采购监督管理部门</w:t>
      </w:r>
    </w:p>
    <w:bookmarkEnd w:id="1"/>
    <w:p>
      <w:pPr>
        <w:snapToGrid w:val="0"/>
        <w:spacing w:line="360" w:lineRule="auto"/>
        <w:ind w:firstLine="600" w:firstLineChars="250"/>
        <w:rPr>
          <w:rFonts w:ascii="宋体" w:hAnsi="宋体" w:cs="宋体"/>
          <w:kern w:val="0"/>
          <w:sz w:val="24"/>
        </w:rPr>
      </w:pPr>
      <w:r>
        <w:rPr>
          <w:rFonts w:hint="eastAsia" w:ascii="宋体" w:hAnsi="宋体" w:cs="宋体"/>
          <w:kern w:val="0"/>
          <w:sz w:val="24"/>
        </w:rPr>
        <w:t>名称：台州市椒江区财政局政府采购监管科</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 xml:space="preserve">联系人：王女士                  </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地址：台州市椒江区建设路6号</w:t>
      </w:r>
    </w:p>
    <w:p>
      <w:pPr>
        <w:snapToGrid w:val="0"/>
        <w:spacing w:line="360" w:lineRule="auto"/>
        <w:ind w:firstLine="600" w:firstLineChars="250"/>
        <w:rPr>
          <w:rFonts w:ascii="宋体" w:hAnsi="宋体" w:cs="宋体"/>
          <w:kern w:val="0"/>
          <w:sz w:val="24"/>
        </w:rPr>
      </w:pPr>
      <w:r>
        <w:rPr>
          <w:rFonts w:hint="eastAsia" w:ascii="宋体" w:hAnsi="宋体" w:cs="宋体"/>
          <w:kern w:val="0"/>
          <w:sz w:val="24"/>
        </w:rPr>
        <w:t>监督投诉电话：0576-89069286</w:t>
      </w:r>
    </w:p>
    <w:p>
      <w:pPr>
        <w:snapToGrid w:val="0"/>
        <w:spacing w:line="440" w:lineRule="exact"/>
        <w:ind w:firstLine="480" w:firstLineChars="200"/>
        <w:rPr>
          <w:rFonts w:ascii="宋体" w:hAnsi="宋体" w:cs="宋体"/>
          <w:b/>
          <w:sz w:val="24"/>
        </w:rPr>
      </w:pPr>
      <w:r>
        <w:rPr>
          <w:rFonts w:hint="eastAsia" w:ascii="宋体" w:hAnsi="宋体" w:cs="宋体"/>
          <w:kern w:val="0"/>
          <w:sz w:val="24"/>
        </w:rPr>
        <w:t xml:space="preserve"> </w:t>
      </w:r>
      <w:r>
        <w:rPr>
          <w:rFonts w:hint="eastAsia" w:ascii="宋体" w:hAnsi="宋体" w:cs="宋体"/>
          <w:b/>
          <w:sz w:val="24"/>
        </w:rPr>
        <w:t>（四）其余事项</w:t>
      </w:r>
    </w:p>
    <w:p>
      <w:pPr>
        <w:snapToGrid w:val="0"/>
        <w:spacing w:line="440" w:lineRule="exact"/>
        <w:ind w:firstLine="480" w:firstLineChars="200"/>
        <w:rPr>
          <w:rFonts w:ascii="宋体" w:hAnsi="宋体" w:cs="宋体"/>
          <w:b/>
          <w:sz w:val="24"/>
        </w:rPr>
      </w:pPr>
      <w:r>
        <w:rPr>
          <w:rFonts w:hint="eastAsia" w:ascii="宋体" w:hAnsi="宋体" w:cs="宋体"/>
          <w:sz w:val="24"/>
        </w:rPr>
        <w:t>中标人可根据项目情况及自身需求向以下银行申请企业贷款，利率从优。</w:t>
      </w:r>
      <w:r>
        <w:rPr>
          <w:rFonts w:hint="eastAsia" w:ascii="宋体" w:hAnsi="宋体" w:cs="宋体"/>
          <w:kern w:val="0"/>
          <w:sz w:val="23"/>
          <w:szCs w:val="23"/>
        </w:rPr>
        <w:t> </w:t>
      </w:r>
    </w:p>
    <w:tbl>
      <w:tblPr>
        <w:tblStyle w:val="32"/>
        <w:tblpPr w:leftFromText="180" w:rightFromText="180" w:vertAnchor="text" w:horzAnchor="page" w:tblpXSpec="center" w:tblpY="458"/>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贷款年利率</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联系人</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中国工商银行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3.8%起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王霖</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中国农业银行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3.8%起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龚盛</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中国建设银行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3.8%起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梅晶晶</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中国银行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3.75%起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任茜</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浦发银行台州分行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4.05%起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王渊</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浦发银行椒江分行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4.05%起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孙瑞华</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交通银行台州分行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3.75%起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周翔宇</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4.32%起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王海玲</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浙商银行台州分行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5.01%起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章涉漪</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中信银行台州分行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陈金园</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华夏银行台州分行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邱明达</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泰隆银行开发区支行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5.6%起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梁宛莉</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民泰银行椒江支行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5.8%起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陈慧珠</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绍兴银行台州分行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郭庭斌</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温州银行台州分行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4.55%起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王晓波</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平安银行台州分行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6.53%起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李俊丽</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宁波银行台州分行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4.35%起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戴莉丽</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金华银行台州分行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4.05%起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金雪婷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台州银行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5.6%起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洪婷</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邮储银行台州分行</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3.85%起</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董庆</w:t>
            </w:r>
          </w:p>
        </w:tc>
        <w:tc>
          <w:tcPr>
            <w:tcW w:w="2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81888982、18957683735</w:t>
            </w:r>
          </w:p>
        </w:tc>
      </w:tr>
    </w:tbl>
    <w:p>
      <w:pPr>
        <w:ind w:firstLine="2880" w:firstLineChars="900"/>
        <w:rPr>
          <w:rFonts w:ascii="宋体" w:hAnsi="宋体" w:cs="宋体"/>
          <w:sz w:val="32"/>
          <w:szCs w:val="32"/>
        </w:rPr>
      </w:pPr>
      <w:r>
        <w:rPr>
          <w:rFonts w:hint="eastAsia" w:ascii="宋体" w:hAnsi="宋体" w:cs="宋体"/>
          <w:sz w:val="32"/>
          <w:szCs w:val="32"/>
        </w:rPr>
        <w:t>合同履约保函联系方式</w:t>
      </w:r>
    </w:p>
    <w:tbl>
      <w:tblPr>
        <w:tblStyle w:val="32"/>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sz w:val="24"/>
              </w:rPr>
              <w:t>保险公司名称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sz w:val="24"/>
              </w:rPr>
              <w:t>保费率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sz w:val="24"/>
              </w:rPr>
              <w:t>联系人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中国人寿财产保险股份有限公司台州中心支公司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徐凌</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永诚财产保险股份有限公司台州分公司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年费率1%，最低保费1000元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尹刚强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华泰财产保险有限公司台州中心支公司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年费率0.5%，最低保费1000元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王灵芳</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中国大地财产保险股份有限公司台州中心支公司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年费率1.5%，最低保费1000元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徐小明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阳光保险台州中心支公司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林高明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中华联合财产保险股份有限公司台州中心支公司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年费率2%，最低保费500元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王仙高</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中国人民财产保险股份有限公司台州中心支公司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年费率0.3%，最低保费1000元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王仙春</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永安财产保险股份有限公司台州中心支公司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年费率0.3%，最低保费1000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王春宇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center"/>
              <w:rPr>
                <w:rFonts w:ascii="宋体" w:hAnsi="宋体" w:cs="宋体"/>
                <w:szCs w:val="21"/>
              </w:rPr>
            </w:pPr>
            <w:r>
              <w:rPr>
                <w:rFonts w:hint="eastAsia" w:ascii="宋体" w:hAnsi="宋体" w:cs="宋体"/>
                <w:szCs w:val="21"/>
              </w:rPr>
              <w:t>13676675331</w:t>
            </w:r>
          </w:p>
        </w:tc>
      </w:tr>
    </w:tbl>
    <w:p>
      <w:pPr>
        <w:ind w:firstLine="2720" w:firstLineChars="850"/>
        <w:rPr>
          <w:rFonts w:ascii="宋体" w:hAnsi="宋体" w:cs="宋体"/>
          <w:sz w:val="32"/>
          <w:szCs w:val="32"/>
        </w:rPr>
      </w:pPr>
      <w:r>
        <w:rPr>
          <w:rFonts w:hint="eastAsia" w:ascii="宋体" w:hAnsi="宋体" w:cs="宋体"/>
          <w:sz w:val="32"/>
          <w:szCs w:val="32"/>
        </w:rPr>
        <w:t>预付款保函联系方式</w:t>
      </w:r>
    </w:p>
    <w:tbl>
      <w:tblPr>
        <w:tblStyle w:val="32"/>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2"/>
        <w:gridCol w:w="1808"/>
        <w:gridCol w:w="853"/>
        <w:gridCol w:w="1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sz w:val="24"/>
              </w:rPr>
              <w:t>保险公司名称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保费率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联系人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中国人寿财产保险股份有限公司台州中心支公司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年费率3%，最低保费500元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徐凌</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阳光保险台州中心支公司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年费率1%，最低保费500元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林高明</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天安财产保险股份有限公司台州中心支公司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年费率1%-2%，最低保费500元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罗赛</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rPr>
            </w:pPr>
            <w:r>
              <w:rPr>
                <w:rFonts w:hint="eastAsia" w:ascii="宋体" w:hAnsi="宋体" w:cs="宋体"/>
              </w:rPr>
              <w:t>13736605643</w:t>
            </w:r>
          </w:p>
        </w:tc>
      </w:tr>
    </w:tbl>
    <w:p>
      <w:pPr>
        <w:pStyle w:val="29"/>
        <w:jc w:val="right"/>
        <w:rPr>
          <w:rFonts w:ascii="宋体" w:hAnsi="Times New Roman" w:cs="宋体"/>
          <w:b w:val="0"/>
          <w:bCs w:val="0"/>
          <w:sz w:val="24"/>
          <w:szCs w:val="24"/>
        </w:rPr>
      </w:pPr>
      <w:r>
        <w:rPr>
          <w:rFonts w:hint="eastAsia" w:ascii="宋体" w:hAnsi="Times New Roman" w:cs="宋体"/>
          <w:b w:val="0"/>
          <w:bCs w:val="0"/>
          <w:sz w:val="24"/>
          <w:szCs w:val="24"/>
        </w:rPr>
        <w:t>台州中亿工程管理有限公司</w:t>
      </w:r>
    </w:p>
    <w:p>
      <w:pPr>
        <w:pStyle w:val="29"/>
        <w:rPr>
          <w:rFonts w:ascii="宋体" w:hAnsi="宋体" w:cs="宋体"/>
          <w:b w:val="0"/>
          <w:bCs w:val="0"/>
          <w:sz w:val="24"/>
          <w:szCs w:val="24"/>
        </w:rPr>
      </w:pPr>
      <w:r>
        <w:rPr>
          <w:rFonts w:hint="eastAsia" w:ascii="宋体" w:cs="宋体"/>
          <w:sz w:val="24"/>
        </w:rPr>
        <w:t xml:space="preserve">                                              </w:t>
      </w:r>
      <w:r>
        <w:rPr>
          <w:rFonts w:hint="eastAsia" w:ascii="宋体" w:hAnsi="Times New Roman" w:cs="宋体"/>
          <w:b w:val="0"/>
          <w:bCs w:val="0"/>
          <w:sz w:val="24"/>
          <w:szCs w:val="24"/>
        </w:rPr>
        <w:t xml:space="preserve">    2023年03月</w:t>
      </w:r>
    </w:p>
    <w:p>
      <w:pPr>
        <w:widowControl/>
        <w:spacing w:before="60" w:after="60" w:line="360" w:lineRule="auto"/>
        <w:ind w:left="60" w:right="60" w:firstLine="540"/>
        <w:jc w:val="left"/>
        <w:rPr>
          <w:rFonts w:ascii="宋体" w:hAnsi="宋体" w:cs="宋体"/>
          <w:b/>
          <w:sz w:val="36"/>
          <w:szCs w:val="36"/>
        </w:rPr>
        <w:sectPr>
          <w:pgSz w:w="11906" w:h="16838"/>
          <w:pgMar w:top="1440" w:right="1800" w:bottom="1440" w:left="1800" w:header="851" w:footer="992" w:gutter="0"/>
          <w:cols w:space="720" w:num="1"/>
          <w:docGrid w:type="lines" w:linePitch="312" w:charSpace="0"/>
        </w:sectPr>
      </w:pPr>
      <w:r>
        <w:rPr>
          <w:rFonts w:hint="eastAsia" w:ascii="宋体" w:hAnsi="宋体" w:cs="宋体"/>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第二章  供应商须知</w:t>
      </w:r>
    </w:p>
    <w:p>
      <w:pPr>
        <w:spacing w:line="360" w:lineRule="auto"/>
        <w:jc w:val="center"/>
        <w:rPr>
          <w:rFonts w:ascii="宋体" w:hAnsi="宋体" w:cs="宋体"/>
          <w:b/>
          <w:sz w:val="24"/>
        </w:rPr>
      </w:pPr>
      <w:r>
        <w:rPr>
          <w:rFonts w:hint="eastAsia" w:ascii="宋体" w:hAnsi="宋体" w:cs="宋体"/>
          <w:b/>
          <w:sz w:val="24"/>
        </w:rPr>
        <w:t>前附表</w:t>
      </w:r>
    </w:p>
    <w:tbl>
      <w:tblPr>
        <w:tblStyle w:val="32"/>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38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    目</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供应商特定资格要求</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本次采购招标不组织现场勘察。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3</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磋商响应文件（即磋商响应文件）的编制</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供应商应先安装“政采云电子交易客户端”，并按照本磋商文件和“政府采购云平台”的要求，通过“政采云电子交易客户端”编制并加密磋商响应文件。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4</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磋商文件的签章</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5</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磋商文件的形式</w:t>
            </w: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☑电子磋商响应文件（包括“电子加密磋商响应文件”和“备份磋商响应文件”，在磋商响应文件编制完成后同时生成）；</w:t>
            </w:r>
          </w:p>
          <w:p>
            <w:pPr>
              <w:spacing w:line="360" w:lineRule="auto"/>
              <w:rPr>
                <w:rFonts w:ascii="宋体" w:hAnsi="宋体" w:cs="宋体"/>
                <w:sz w:val="24"/>
              </w:rPr>
            </w:pPr>
            <w:r>
              <w:rPr>
                <w:rFonts w:hint="eastAsia" w:ascii="宋体" w:hAnsi="宋体" w:cs="宋体"/>
                <w:sz w:val="24"/>
              </w:rPr>
              <w:t>（1）“电子加密磋商响应文件”是指通过“政采云电子交易客户端”完成磋商响应文件编制后生成并加密的数据电文形式的磋商响应文件。</w:t>
            </w:r>
          </w:p>
          <w:p>
            <w:pPr>
              <w:spacing w:line="360" w:lineRule="auto"/>
              <w:rPr>
                <w:rFonts w:ascii="宋体" w:hAnsi="宋体" w:cs="宋体"/>
                <w:sz w:val="24"/>
              </w:rPr>
            </w:pPr>
            <w:r>
              <w:rPr>
                <w:rFonts w:hint="eastAsia" w:ascii="宋体" w:hAnsi="宋体" w:cs="宋体"/>
                <w:sz w:val="24"/>
              </w:rPr>
              <w:t>（2）“备份磋商响应文件”是指与“电子加密磋商响应文件”同时生成的数据电文形式的电子文件（备份标书），其他方式编制的备份磋商响应文件视为无效备份磋商响应文件。</w:t>
            </w:r>
          </w:p>
          <w:p>
            <w:pPr>
              <w:spacing w:line="360" w:lineRule="auto"/>
              <w:rPr>
                <w:rFonts w:ascii="宋体" w:hAnsi="宋体" w:cs="宋体"/>
                <w:sz w:val="24"/>
              </w:rPr>
            </w:pPr>
            <w:r>
              <w:rPr>
                <w:rFonts w:hint="eastAsia" w:ascii="宋体" w:hAnsi="宋体" w:cs="宋体"/>
                <w:b/>
                <w:bCs/>
                <w:kern w:val="0"/>
                <w:sz w:val="24"/>
                <w:szCs w:val="22"/>
              </w:rPr>
              <w:t>（3）中标供应商中标后需提供纸质磋商响应文件给招标代理机构作为备案存档，纸质磋商响应文件系电子磋商响应文件纸质版，两者内容应一致，若提供的纸质不一致导致发生的所有法律责任由中标供应商承担；数量为：资格证明文件6份；资格及商务技术文件6份；报价文件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6</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磋商响应文件份数</w:t>
            </w: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（1）“电子加密磋商响应文件”：在线上传递交、一份。</w:t>
            </w:r>
          </w:p>
          <w:p>
            <w:pPr>
              <w:spacing w:line="400" w:lineRule="exact"/>
              <w:rPr>
                <w:rFonts w:ascii="宋体" w:hAnsi="宋体" w:cs="宋体"/>
                <w:sz w:val="24"/>
              </w:rPr>
            </w:pPr>
            <w:r>
              <w:rPr>
                <w:rFonts w:hint="eastAsia" w:ascii="宋体" w:hAnsi="宋体" w:cs="宋体"/>
                <w:sz w:val="24"/>
              </w:rPr>
              <w:t>（2）“备份磋商响应文件”：于投标截止时间前递交至采购代理机构指定邮箱。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7</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磋商响应文件的上传和递交</w:t>
            </w: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（1）“电子加密磋商响应文件”的上传、递交：</w:t>
            </w:r>
          </w:p>
          <w:p>
            <w:pPr>
              <w:spacing w:line="360" w:lineRule="auto"/>
              <w:rPr>
                <w:rFonts w:ascii="宋体" w:hAnsi="宋体" w:cs="宋体"/>
                <w:sz w:val="24"/>
              </w:rPr>
            </w:pPr>
            <w:r>
              <w:rPr>
                <w:rFonts w:hint="eastAsia" w:ascii="宋体" w:hAnsi="宋体" w:cs="宋体"/>
                <w:b/>
                <w:sz w:val="24"/>
              </w:rPr>
              <w:t>▲</w:t>
            </w:r>
            <w:r>
              <w:rPr>
                <w:rFonts w:hint="eastAsia" w:ascii="宋体" w:hAnsi="宋体" w:cs="宋体"/>
                <w:sz w:val="24"/>
              </w:rPr>
              <w:t>a.投标供应商应在投标截止时间前将“电子加密磋商响应文件”成功上传递交至“政府采购云平台”，否则投标无效。</w:t>
            </w:r>
          </w:p>
          <w:p>
            <w:pPr>
              <w:spacing w:line="360" w:lineRule="auto"/>
              <w:rPr>
                <w:rFonts w:ascii="宋体" w:hAnsi="宋体" w:cs="宋体"/>
                <w:sz w:val="24"/>
              </w:rPr>
            </w:pPr>
            <w:r>
              <w:rPr>
                <w:rFonts w:hint="eastAsia" w:ascii="宋体" w:hAnsi="宋体" w:cs="宋体"/>
                <w:sz w:val="24"/>
              </w:rPr>
              <w:t>b.“电子加密磋商响应文件”成功上传递交后，供应商可自行打印磋商响应文件接收回执。</w:t>
            </w:r>
          </w:p>
          <w:p>
            <w:pPr>
              <w:spacing w:line="360" w:lineRule="auto"/>
              <w:rPr>
                <w:rFonts w:ascii="宋体" w:hAnsi="宋体" w:cs="宋体"/>
                <w:sz w:val="24"/>
              </w:rPr>
            </w:pPr>
            <w:r>
              <w:rPr>
                <w:rFonts w:hint="eastAsia" w:ascii="宋体" w:hAnsi="宋体" w:cs="宋体"/>
                <w:sz w:val="24"/>
              </w:rPr>
              <w:t>（2）“备份磋商响应文件”的递交：</w:t>
            </w:r>
          </w:p>
          <w:p>
            <w:pPr>
              <w:spacing w:line="360" w:lineRule="auto"/>
              <w:rPr>
                <w:rFonts w:ascii="宋体" w:hAnsi="宋体" w:cs="宋体"/>
                <w:sz w:val="24"/>
              </w:rPr>
            </w:pPr>
            <w:r>
              <w:rPr>
                <w:rFonts w:hint="eastAsia" w:ascii="宋体" w:hAnsi="宋体" w:cs="宋体"/>
                <w:sz w:val="24"/>
              </w:rPr>
              <w:t>a.投标供应商在“政府采购云平台”完成“电子加密磋商响应文件”的上传递交后，还可以在投标截止时间前以邮件方式递交 “备份磋商响应文件”（一份）（投递邮箱：907539667@qq.com</w:t>
            </w:r>
            <w:r>
              <w:rPr>
                <w:rFonts w:ascii="宋体" w:hAnsi="宋体" w:cs="宋体"/>
                <w:sz w:val="24"/>
              </w:rPr>
              <w:t>，</w:t>
            </w:r>
            <w:r>
              <w:rPr>
                <w:rFonts w:hint="eastAsia" w:ascii="宋体" w:hAnsi="宋体" w:cs="宋体"/>
                <w:sz w:val="24"/>
              </w:rPr>
              <w:t>邮件标题注明投标项目名称、投标单位名称）；</w:t>
            </w:r>
          </w:p>
          <w:p>
            <w:pPr>
              <w:spacing w:line="360" w:lineRule="auto"/>
              <w:rPr>
                <w:rFonts w:ascii="宋体" w:hAnsi="宋体" w:cs="宋体"/>
              </w:rPr>
            </w:pPr>
            <w:r>
              <w:rPr>
                <w:rFonts w:hint="eastAsia" w:ascii="宋体" w:hAnsi="宋体" w:cs="宋体"/>
                <w:sz w:val="24"/>
              </w:rPr>
              <w:t>b.“备份磋商响应文件”逾期递交将被视为未递交；</w:t>
            </w:r>
          </w:p>
          <w:p>
            <w:pPr>
              <w:spacing w:line="360" w:lineRule="auto"/>
              <w:rPr>
                <w:rFonts w:ascii="宋体" w:hAnsi="宋体" w:cs="宋体"/>
                <w:sz w:val="24"/>
              </w:rPr>
            </w:pPr>
            <w:r>
              <w:rPr>
                <w:rFonts w:hint="eastAsia" w:ascii="宋体" w:hAnsi="宋体" w:cs="宋体"/>
                <w:b/>
                <w:sz w:val="24"/>
              </w:rPr>
              <w:t>▲</w:t>
            </w:r>
            <w:r>
              <w:rPr>
                <w:rFonts w:hint="eastAsia" w:ascii="宋体" w:hAnsi="宋体" w:cs="宋体"/>
                <w:sz w:val="24"/>
              </w:rPr>
              <w:t>c.通过“政府采购云平台”成功上传递交的“电子加密磋商响应文件”已按时解密的，“备份磋商响应文件”自动失效。投标截止时间前，投标供应商仅递交了“备份磋商响应文件”而未将“电子加密磋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8</w:t>
            </w:r>
          </w:p>
        </w:tc>
        <w:tc>
          <w:tcPr>
            <w:tcW w:w="2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电子加密磋商响应文件的解密和异常情况处理</w:t>
            </w:r>
          </w:p>
          <w:p>
            <w:pPr>
              <w:spacing w:line="400" w:lineRule="exact"/>
              <w:jc w:val="center"/>
              <w:rPr>
                <w:rFonts w:ascii="宋体" w:hAnsi="宋体" w:cs="宋体"/>
                <w:sz w:val="24"/>
              </w:rPr>
            </w:pP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b/>
                <w:sz w:val="24"/>
              </w:rPr>
              <w:t>▲</w:t>
            </w:r>
            <w:r>
              <w:rPr>
                <w:rFonts w:hint="eastAsia" w:ascii="宋体" w:hAnsi="宋体" w:cs="宋体"/>
                <w:sz w:val="24"/>
              </w:rPr>
              <w:t>（1）开标后，采购组织机构将向各投标供应商发出“电子加密磋商响应文件”的解密通知，各投标供应商代表应当在接到解密通知后30分钟内自行完成“电子加密磋商响应文件”的在线解密。</w:t>
            </w:r>
          </w:p>
          <w:p>
            <w:pPr>
              <w:spacing w:line="360" w:lineRule="auto"/>
              <w:rPr>
                <w:rFonts w:ascii="宋体" w:hAnsi="宋体" w:cs="宋体"/>
                <w:sz w:val="24"/>
              </w:rPr>
            </w:pPr>
            <w:r>
              <w:rPr>
                <w:rFonts w:hint="eastAsia" w:ascii="宋体" w:hAnsi="宋体" w:cs="宋体"/>
                <w:sz w:val="24"/>
              </w:rPr>
              <w:t>（2）通过“政府采购云平台”成功上传递交的“电子加密磋商响应文件”无法按时解密，投标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pPr>
              <w:spacing w:line="400" w:lineRule="exact"/>
              <w:rPr>
                <w:rFonts w:ascii="宋体" w:hAnsi="宋体" w:cs="宋体"/>
                <w:sz w:val="24"/>
              </w:rPr>
            </w:pPr>
            <w:r>
              <w:rPr>
                <w:rFonts w:hint="eastAsia" w:ascii="宋体" w:hAnsi="宋体" w:cs="宋体"/>
                <w:b/>
                <w:sz w:val="24"/>
              </w:rPr>
              <w:t>▲</w:t>
            </w:r>
            <w:r>
              <w:rPr>
                <w:rFonts w:hint="eastAsia" w:ascii="宋体" w:hAnsi="宋体" w:cs="宋体"/>
                <w:sz w:val="24"/>
              </w:rPr>
              <w:t>（3）投标截止时间前，投标供应商仅递交了“备份磋商响应文件”而未将电子加密磋商响应文件上传至“政府采购云平台”的，投标无效。</w:t>
            </w:r>
          </w:p>
          <w:p>
            <w:pPr>
              <w:spacing w:line="400" w:lineRule="exact"/>
              <w:rPr>
                <w:rFonts w:ascii="宋体" w:hAnsi="宋体" w:cs="宋体"/>
                <w:sz w:val="24"/>
              </w:rPr>
            </w:pPr>
            <w:r>
              <w:rPr>
                <w:rFonts w:hint="eastAsia" w:ascii="宋体" w:hAnsi="宋体" w:cs="宋体"/>
                <w:b/>
                <w:bCs/>
                <w:sz w:val="24"/>
              </w:rPr>
              <w:t>注：供应商在使用系统进行投标的过程中遇到涉及平台使用的任何问题，可致电政采云平台技术支持热线咨询，联系方式：400-881-7190。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9</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磋商响应文件有效期</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磋商响应有效期为90天，磋商响应</w:t>
            </w:r>
            <w:r>
              <w:rPr>
                <w:rFonts w:hint="eastAsia" w:ascii="宋体" w:hAnsi="宋体" w:cs="宋体"/>
                <w:kern w:val="0"/>
                <w:sz w:val="24"/>
              </w:rPr>
              <w:t>有效期从提交</w:t>
            </w:r>
            <w:r>
              <w:rPr>
                <w:rFonts w:hint="eastAsia" w:ascii="宋体" w:hAnsi="宋体" w:cs="宋体"/>
                <w:sz w:val="24"/>
              </w:rPr>
              <w:t>磋商响应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10</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磋商响应文件递交截止时间及地点</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11</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磋商时间及地点</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12</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磋商保证金</w:t>
            </w:r>
          </w:p>
        </w:tc>
        <w:tc>
          <w:tcPr>
            <w:tcW w:w="59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13</w:t>
            </w:r>
          </w:p>
        </w:tc>
        <w:tc>
          <w:tcPr>
            <w:tcW w:w="2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履约保证金</w:t>
            </w:r>
          </w:p>
        </w:tc>
        <w:tc>
          <w:tcPr>
            <w:tcW w:w="5950"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left="0" w:leftChars="0"/>
              <w:rPr>
                <w:rFonts w:ascii="宋体" w:hAnsi="宋体" w:eastAsia="宋体" w:cs="宋体"/>
                <w:sz w:val="24"/>
                <w:szCs w:val="24"/>
              </w:rPr>
            </w:pPr>
            <w:r>
              <w:rPr>
                <w:rFonts w:hint="eastAsia" w:ascii="宋体" w:hAnsi="宋体" w:eastAsia="宋体" w:cs="宋体"/>
                <w:sz w:val="24"/>
                <w:szCs w:val="24"/>
              </w:rPr>
              <w:t>合同价的1%，可采用现金、银行独立保函、保险机构独立保函、保兑支票、银行汇票或现金支票（履约保证金如为现金的，在项目通过竣工验收合格且扣除相应的违约责任后，28天内无息退还。采用保函的，应保证其有效期超过项目履行期届满之日28日</w:t>
            </w:r>
            <w:r>
              <w:rPr>
                <w:rFonts w:hint="eastAsia" w:ascii="宋体" w:hAnsi="宋体" w:eastAsia="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14</w:t>
            </w:r>
          </w:p>
        </w:tc>
        <w:tc>
          <w:tcPr>
            <w:tcW w:w="23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lang w:val="zh-CN"/>
              </w:rPr>
            </w:pPr>
            <w:r>
              <w:rPr>
                <w:rFonts w:hint="eastAsia" w:ascii="宋体" w:hAnsi="宋体" w:cs="宋体"/>
                <w:sz w:val="24"/>
                <w:lang w:val="zh-CN"/>
              </w:rPr>
              <w:t>实质性条款</w:t>
            </w:r>
          </w:p>
        </w:tc>
        <w:tc>
          <w:tcPr>
            <w:tcW w:w="5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ascii="宋体" w:hAnsi="宋体" w:cs="宋体"/>
                <w:kern w:val="0"/>
                <w:sz w:val="24"/>
                <w:lang w:val="zh-CN"/>
              </w:rPr>
            </w:pPr>
            <w:r>
              <w:rPr>
                <w:rFonts w:hint="eastAsia" w:ascii="宋体" w:hAnsi="宋体" w:cs="宋体"/>
                <w:kern w:val="0"/>
                <w:sz w:val="24"/>
                <w:lang w:val="zh-CN"/>
              </w:rPr>
              <w:t>带“</w:t>
            </w:r>
            <w:r>
              <w:rPr>
                <w:rFonts w:hint="eastAsia" w:ascii="宋体" w:hAnsi="宋体" w:cs="宋体"/>
                <w:bCs/>
                <w:sz w:val="24"/>
              </w:rPr>
              <w:t>▲”的条款是实质性条款，磋商</w:t>
            </w:r>
            <w:r>
              <w:rPr>
                <w:rFonts w:hint="eastAsia" w:ascii="宋体" w:hAnsi="宋体" w:cs="宋体"/>
                <w:sz w:val="24"/>
              </w:rPr>
              <w:t>响应</w:t>
            </w:r>
            <w:r>
              <w:rPr>
                <w:rFonts w:hint="eastAsia" w:ascii="宋体" w:hAnsi="宋体" w:cs="宋体"/>
                <w:bCs/>
                <w:sz w:val="24"/>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15</w:t>
            </w:r>
          </w:p>
        </w:tc>
        <w:tc>
          <w:tcPr>
            <w:tcW w:w="23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4"/>
              </w:rPr>
            </w:pPr>
            <w:r>
              <w:rPr>
                <w:rFonts w:hint="eastAsia" w:ascii="宋体" w:hAnsi="宋体" w:cs="宋体"/>
                <w:sz w:val="24"/>
              </w:rPr>
              <w:t>解释权</w:t>
            </w:r>
          </w:p>
        </w:tc>
        <w:tc>
          <w:tcPr>
            <w:tcW w:w="5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sz w:val="24"/>
              </w:rPr>
            </w:pPr>
            <w:r>
              <w:rPr>
                <w:rFonts w:hint="eastAsia" w:ascii="宋体" w:hAnsi="宋体" w:cs="宋体"/>
                <w:sz w:val="24"/>
              </w:rPr>
              <w:t>本磋商文件解释权属于采购人和采购代理机构。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16</w:t>
            </w:r>
          </w:p>
        </w:tc>
        <w:tc>
          <w:tcPr>
            <w:tcW w:w="23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rPr>
            </w:pPr>
            <w:r>
              <w:rPr>
                <w:rFonts w:hint="eastAsia" w:ascii="宋体" w:cs="宋体"/>
                <w:sz w:val="24"/>
              </w:rPr>
              <w:t>其它事项</w:t>
            </w: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bCs/>
                <w:sz w:val="24"/>
              </w:rPr>
            </w:pPr>
            <w:r>
              <w:rPr>
                <w:rFonts w:hint="eastAsia" w:ascii="宋体" w:cs="宋体"/>
                <w:bCs/>
                <w:sz w:val="24"/>
              </w:rPr>
              <w:t>中标供应商如有融资需求，可使用政采贷服务。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17</w:t>
            </w:r>
          </w:p>
        </w:tc>
        <w:tc>
          <w:tcPr>
            <w:tcW w:w="23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r>
              <w:rPr>
                <w:rFonts w:hint="eastAsia" w:ascii="宋体" w:cs="宋体"/>
                <w:sz w:val="24"/>
              </w:rPr>
              <w:t>本项目所属行业</w:t>
            </w:r>
          </w:p>
        </w:tc>
        <w:tc>
          <w:tcPr>
            <w:tcW w:w="5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sz w:val="24"/>
              </w:rPr>
            </w:pPr>
            <w:r>
              <w:rPr>
                <w:rFonts w:hint="eastAsia" w:ascii="宋体" w:cs="宋体"/>
                <w:b/>
                <w:bCs/>
                <w:sz w:val="24"/>
              </w:rPr>
              <w:t>中小企业划型标准规定（工信部联企业[2011]300号）：建筑业</w:t>
            </w:r>
          </w:p>
        </w:tc>
      </w:tr>
    </w:tbl>
    <w:p>
      <w:pPr>
        <w:pStyle w:val="18"/>
        <w:snapToGrid w:val="0"/>
        <w:spacing w:before="120" w:after="120" w:line="360" w:lineRule="auto"/>
        <w:jc w:val="left"/>
        <w:rPr>
          <w:rFonts w:ascii="宋体" w:hAnsi="宋体" w:eastAsia="宋体" w:cs="宋体"/>
          <w:b/>
          <w:sz w:val="24"/>
        </w:rPr>
        <w:sectPr>
          <w:pgSz w:w="11906" w:h="16838"/>
          <w:pgMar w:top="1440" w:right="1800" w:bottom="1440" w:left="1800" w:header="851" w:footer="992" w:gutter="0"/>
          <w:cols w:space="720" w:num="1"/>
          <w:docGrid w:type="lines" w:linePitch="312" w:charSpace="0"/>
        </w:sectPr>
      </w:pPr>
    </w:p>
    <w:p>
      <w:pPr>
        <w:pStyle w:val="18"/>
        <w:snapToGrid w:val="0"/>
        <w:spacing w:before="120" w:after="120" w:line="360" w:lineRule="auto"/>
        <w:jc w:val="left"/>
        <w:rPr>
          <w:rFonts w:ascii="宋体" w:hAnsi="宋体" w:eastAsia="宋体" w:cs="宋体"/>
          <w:b/>
          <w:sz w:val="24"/>
        </w:rPr>
      </w:pPr>
      <w:r>
        <w:rPr>
          <w:rFonts w:hint="eastAsia" w:ascii="宋体" w:hAnsi="宋体" w:eastAsia="宋体" w:cs="宋体"/>
          <w:b/>
          <w:sz w:val="24"/>
        </w:rPr>
        <w:t>一 、总  则</w:t>
      </w:r>
    </w:p>
    <w:p>
      <w:pPr>
        <w:pStyle w:val="18"/>
        <w:snapToGrid w:val="0"/>
        <w:spacing w:before="120" w:after="120" w:line="360" w:lineRule="auto"/>
        <w:ind w:firstLine="361" w:firstLineChars="150"/>
        <w:jc w:val="left"/>
        <w:rPr>
          <w:rFonts w:ascii="宋体" w:hAnsi="宋体" w:eastAsia="宋体" w:cs="宋体"/>
          <w:b/>
          <w:sz w:val="24"/>
        </w:rPr>
      </w:pPr>
      <w:r>
        <w:rPr>
          <w:rFonts w:hint="eastAsia" w:ascii="宋体" w:hAnsi="宋体" w:eastAsia="宋体" w:cs="宋体"/>
          <w:b/>
          <w:sz w:val="24"/>
        </w:rPr>
        <w:t>（一）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w:t>
      </w:r>
      <w:r>
        <w:rPr>
          <w:rFonts w:hint="eastAsia" w:ascii="宋体" w:hAnsi="宋体" w:cs="宋体"/>
          <w:bCs/>
          <w:sz w:val="24"/>
        </w:rPr>
        <w:t>磋商文件</w:t>
      </w:r>
      <w:r>
        <w:rPr>
          <w:rFonts w:hint="eastAsia" w:ascii="宋体" w:hAnsi="宋体" w:cs="宋体"/>
          <w:sz w:val="24"/>
        </w:rPr>
        <w:t>适用于</w:t>
      </w:r>
      <w:r>
        <w:rPr>
          <w:rFonts w:hint="eastAsia" w:ascii="宋体" w:hAnsi="宋体" w:cs="宋体"/>
          <w:bCs/>
          <w:sz w:val="24"/>
        </w:rPr>
        <w:t>本次</w:t>
      </w:r>
      <w:r>
        <w:rPr>
          <w:rFonts w:hint="eastAsia" w:ascii="宋体" w:hAnsi="宋体" w:cs="宋体"/>
          <w:sz w:val="24"/>
        </w:rPr>
        <w:t>项目的磋商、</w:t>
      </w:r>
      <w:r>
        <w:rPr>
          <w:rFonts w:hint="eastAsia" w:ascii="宋体" w:hAnsi="宋体" w:cs="宋体"/>
          <w:bCs/>
          <w:sz w:val="24"/>
        </w:rPr>
        <w:t>评审、确定成交供应商</w:t>
      </w:r>
      <w:r>
        <w:rPr>
          <w:rFonts w:hint="eastAsia" w:ascii="宋体" w:hAnsi="宋体" w:cs="宋体"/>
          <w:sz w:val="24"/>
        </w:rPr>
        <w:t>、验收、合同履约、付款等行为（法律、法规另有规定的，从其规定）。</w:t>
      </w:r>
    </w:p>
    <w:p>
      <w:pPr>
        <w:snapToGrid w:val="0"/>
        <w:spacing w:line="360" w:lineRule="auto"/>
        <w:ind w:firstLine="482" w:firstLineChars="200"/>
        <w:jc w:val="left"/>
        <w:rPr>
          <w:rFonts w:ascii="宋体" w:hAnsi="宋体" w:cs="宋体"/>
          <w:sz w:val="24"/>
        </w:rPr>
      </w:pPr>
      <w:r>
        <w:rPr>
          <w:rFonts w:hint="eastAsia" w:ascii="宋体" w:hAnsi="宋体" w:cs="宋体"/>
          <w:b/>
          <w:sz w:val="24"/>
        </w:rPr>
        <w:t>（二）定义</w:t>
      </w:r>
    </w:p>
    <w:p>
      <w:pPr>
        <w:snapToGrid w:val="0"/>
        <w:spacing w:line="360" w:lineRule="auto"/>
        <w:ind w:firstLine="566" w:firstLineChars="236"/>
        <w:rPr>
          <w:rFonts w:ascii="宋体" w:hAnsi="宋体" w:cs="宋体"/>
          <w:sz w:val="24"/>
        </w:rPr>
      </w:pPr>
      <w:r>
        <w:rPr>
          <w:rFonts w:hint="eastAsia" w:ascii="宋体" w:hAnsi="宋体" w:cs="宋体"/>
          <w:sz w:val="24"/>
        </w:rPr>
        <w:t>1、采购组织机构：指采购人委托组织磋商的集中采购机构或采购代理机构。</w:t>
      </w:r>
    </w:p>
    <w:p>
      <w:pPr>
        <w:snapToGrid w:val="0"/>
        <w:spacing w:line="360" w:lineRule="auto"/>
        <w:ind w:firstLine="566" w:firstLineChars="236"/>
        <w:rPr>
          <w:rFonts w:ascii="宋体" w:hAnsi="宋体" w:cs="宋体"/>
          <w:sz w:val="24"/>
        </w:rPr>
      </w:pPr>
      <w:r>
        <w:rPr>
          <w:rFonts w:hint="eastAsia" w:ascii="宋体" w:hAnsi="宋体" w:cs="宋体"/>
          <w:sz w:val="24"/>
        </w:rPr>
        <w:t>2、采购人：是指委托集中采购机构或采购代理机构采购本次项目的国家机关、事业单位和团体组织。</w:t>
      </w:r>
    </w:p>
    <w:p>
      <w:pPr>
        <w:snapToGrid w:val="0"/>
        <w:spacing w:line="360" w:lineRule="auto"/>
        <w:ind w:firstLine="566" w:firstLineChars="236"/>
        <w:rPr>
          <w:rFonts w:ascii="宋体" w:hAnsi="宋体" w:cs="宋体"/>
          <w:sz w:val="24"/>
        </w:rPr>
      </w:pPr>
      <w:r>
        <w:rPr>
          <w:rFonts w:hint="eastAsia" w:ascii="宋体" w:hAnsi="宋体" w:cs="宋体"/>
          <w:sz w:val="24"/>
        </w:rPr>
        <w:t>3、磋商供应商：是指向采购组织机构提交磋商响应文件的单位或个人。</w:t>
      </w:r>
    </w:p>
    <w:p>
      <w:pPr>
        <w:snapToGrid w:val="0"/>
        <w:spacing w:line="360" w:lineRule="auto"/>
        <w:ind w:firstLine="566" w:firstLineChars="236"/>
        <w:rPr>
          <w:rFonts w:ascii="宋体" w:hAnsi="宋体" w:cs="宋体"/>
          <w:sz w:val="24"/>
        </w:rPr>
      </w:pPr>
      <w:r>
        <w:rPr>
          <w:rFonts w:hint="eastAsia" w:ascii="宋体" w:hAnsi="宋体" w:cs="宋体"/>
          <w:sz w:val="24"/>
        </w:rPr>
        <w:t>4、货物：是指各种形态和种类的物品，包括原材料、燃料、设备、产品等。</w:t>
      </w:r>
    </w:p>
    <w:p>
      <w:pPr>
        <w:snapToGrid w:val="0"/>
        <w:spacing w:line="360" w:lineRule="auto"/>
        <w:ind w:firstLine="566" w:firstLineChars="236"/>
        <w:rPr>
          <w:rFonts w:ascii="宋体" w:hAnsi="宋体" w:cs="宋体"/>
          <w:sz w:val="24"/>
        </w:rPr>
      </w:pPr>
      <w:r>
        <w:rPr>
          <w:rFonts w:hint="eastAsia" w:ascii="宋体" w:hAnsi="宋体" w:cs="宋体"/>
          <w:sz w:val="24"/>
        </w:rPr>
        <w:t>5、工程：是指建设工程，包括建筑物和构筑物的新建、改建、扩建、 装修、拆除、修缮等。</w:t>
      </w:r>
    </w:p>
    <w:p>
      <w:pPr>
        <w:snapToGrid w:val="0"/>
        <w:spacing w:line="360" w:lineRule="auto"/>
        <w:ind w:firstLine="566" w:firstLineChars="236"/>
        <w:rPr>
          <w:rFonts w:ascii="宋体" w:hAnsi="宋体" w:cs="宋体"/>
          <w:sz w:val="24"/>
        </w:rPr>
      </w:pPr>
      <w:r>
        <w:rPr>
          <w:rFonts w:hint="eastAsia" w:ascii="宋体" w:hAnsi="宋体" w:cs="宋体"/>
          <w:sz w:val="24"/>
        </w:rPr>
        <w:t>6、服务：是指除货物和工程以外的政府采购对象，包括各类专业服务、信息网络开发服务、金融保险服务、运输服务，以及维修与维护服务等。</w:t>
      </w:r>
    </w:p>
    <w:p>
      <w:pPr>
        <w:snapToGrid w:val="0"/>
        <w:spacing w:line="360" w:lineRule="auto"/>
        <w:ind w:firstLine="566" w:firstLineChars="236"/>
        <w:rPr>
          <w:rFonts w:ascii="宋体" w:hAnsi="宋体" w:cs="宋体"/>
          <w:sz w:val="24"/>
        </w:rPr>
      </w:pPr>
      <w:r>
        <w:rPr>
          <w:rFonts w:hint="eastAsia" w:ascii="宋体" w:hAnsi="宋体" w:cs="宋体"/>
          <w:sz w:val="24"/>
        </w:rPr>
        <w:t>7、“书面形式”包括信函、传真等。</w:t>
      </w:r>
    </w:p>
    <w:p>
      <w:pPr>
        <w:snapToGrid w:val="0"/>
        <w:spacing w:line="360" w:lineRule="auto"/>
        <w:ind w:firstLine="566" w:firstLineChars="236"/>
        <w:rPr>
          <w:rFonts w:ascii="宋体" w:hAnsi="宋体" w:cs="宋体"/>
          <w:sz w:val="24"/>
        </w:rPr>
      </w:pPr>
      <w:r>
        <w:rPr>
          <w:rFonts w:hint="eastAsia" w:ascii="宋体" w:hAnsi="宋体" w:cs="宋体"/>
          <w:sz w:val="24"/>
        </w:rPr>
        <w:t>8、“▲”系指实质性要求条款。</w:t>
      </w:r>
    </w:p>
    <w:p>
      <w:pPr>
        <w:snapToGrid w:val="0"/>
        <w:spacing w:beforeLines="50" w:line="360" w:lineRule="auto"/>
        <w:ind w:firstLine="472" w:firstLineChars="196"/>
        <w:jc w:val="left"/>
        <w:outlineLvl w:val="1"/>
        <w:rPr>
          <w:rFonts w:ascii="宋体" w:hAnsi="宋体" w:cs="宋体"/>
          <w:b/>
          <w:sz w:val="24"/>
        </w:rPr>
      </w:pPr>
      <w:r>
        <w:rPr>
          <w:rFonts w:hint="eastAsia" w:ascii="宋体" w:hAnsi="宋体" w:cs="宋体"/>
          <w:b/>
          <w:sz w:val="24"/>
        </w:rPr>
        <w:t>（三）磋商费用</w:t>
      </w:r>
    </w:p>
    <w:p>
      <w:pPr>
        <w:snapToGrid w:val="0"/>
        <w:spacing w:line="360" w:lineRule="auto"/>
        <w:ind w:firstLine="480" w:firstLineChars="200"/>
        <w:jc w:val="left"/>
        <w:rPr>
          <w:rFonts w:ascii="宋体" w:hAnsi="宋体" w:cs="宋体"/>
          <w:sz w:val="24"/>
        </w:rPr>
      </w:pPr>
      <w:r>
        <w:rPr>
          <w:rFonts w:hint="eastAsia" w:ascii="宋体" w:hAnsi="宋体" w:cs="宋体"/>
          <w:sz w:val="24"/>
        </w:rPr>
        <w:t>不论磋商结果如何，供应商均应自行承担所有与磋商有关的全部费用（</w:t>
      </w:r>
      <w:r>
        <w:rPr>
          <w:rFonts w:hint="eastAsia" w:ascii="宋体" w:hAnsi="宋体" w:cs="宋体"/>
          <w:bCs/>
          <w:sz w:val="24"/>
        </w:rPr>
        <w:t>磋商文件</w:t>
      </w:r>
      <w:r>
        <w:rPr>
          <w:rFonts w:hint="eastAsia" w:ascii="宋体" w:hAnsi="宋体" w:cs="宋体"/>
          <w:sz w:val="24"/>
        </w:rPr>
        <w:t>有相关规定除外）。</w:t>
      </w:r>
    </w:p>
    <w:p>
      <w:pPr>
        <w:pStyle w:val="18"/>
        <w:spacing w:line="360" w:lineRule="auto"/>
        <w:ind w:firstLine="480" w:firstLineChars="200"/>
        <w:rPr>
          <w:rFonts w:ascii="宋体" w:hAnsi="宋体" w:eastAsia="宋体" w:cs="宋体"/>
          <w:sz w:val="24"/>
        </w:rPr>
      </w:pPr>
      <w:r>
        <w:rPr>
          <w:rFonts w:hint="eastAsia" w:ascii="宋体" w:hAnsi="宋体" w:eastAsia="宋体" w:cs="宋体"/>
          <w:sz w:val="24"/>
        </w:rPr>
        <w:t>招标代理服务费：根据中标价计取，参照国家计委印发的《招标代理服务收费管理暂行办法》计价格[2002]1980号和发改办价格[2003]857号文件（工程招标）计取，不足8000元的按8000元收取。由中标人在领取中标通知书时一次性支付给招标代理机构。</w:t>
      </w:r>
    </w:p>
    <w:p>
      <w:pPr>
        <w:pStyle w:val="18"/>
        <w:snapToGrid w:val="0"/>
        <w:spacing w:line="360" w:lineRule="auto"/>
        <w:ind w:left="2" w:leftChars="1" w:firstLine="480" w:firstLineChars="200"/>
        <w:rPr>
          <w:rFonts w:ascii="宋体" w:hAnsi="宋体" w:eastAsia="宋体" w:cs="宋体"/>
          <w:b/>
          <w:sz w:val="24"/>
        </w:rPr>
      </w:pPr>
      <w:r>
        <w:rPr>
          <w:rFonts w:hint="eastAsia" w:ascii="宋体" w:hAnsi="宋体" w:cs="宋体"/>
          <w:sz w:val="24"/>
        </w:rPr>
        <w:t>▲</w:t>
      </w:r>
      <w:r>
        <w:rPr>
          <w:rFonts w:hint="eastAsia" w:ascii="宋体" w:hAnsi="宋体" w:eastAsia="宋体" w:cs="宋体"/>
          <w:b/>
          <w:sz w:val="24"/>
        </w:rPr>
        <w:t>（四）特别说明</w:t>
      </w:r>
    </w:p>
    <w:p>
      <w:pPr>
        <w:pStyle w:val="18"/>
        <w:snapToGrid w:val="0"/>
        <w:spacing w:line="360" w:lineRule="auto"/>
        <w:ind w:left="2" w:leftChars="1" w:firstLine="480" w:firstLineChars="200"/>
        <w:rPr>
          <w:rFonts w:ascii="宋体" w:hAnsi="宋体" w:eastAsia="宋体" w:cs="宋体"/>
          <w:sz w:val="24"/>
        </w:rPr>
      </w:pPr>
      <w:r>
        <w:rPr>
          <w:rFonts w:hint="eastAsia" w:ascii="宋体" w:hAnsi="宋体" w:eastAsia="宋体" w:cs="宋体"/>
          <w:sz w:val="24"/>
        </w:rPr>
        <w:t>1、供应商磋商所使用的资格、信誉、荣誉、业绩与企业认证必须为本法人所拥有。供应商磋商所使用的采购项目实施人员必须为本法人员工。</w:t>
      </w:r>
    </w:p>
    <w:p>
      <w:pPr>
        <w:spacing w:line="360" w:lineRule="auto"/>
        <w:ind w:firstLine="480" w:firstLineChars="200"/>
        <w:rPr>
          <w:rFonts w:ascii="宋体" w:hAnsi="宋体" w:cs="宋体"/>
          <w:sz w:val="24"/>
        </w:rPr>
      </w:pPr>
      <w:r>
        <w:rPr>
          <w:rFonts w:hint="eastAsia" w:ascii="宋体" w:hAnsi="宋体" w:cs="宋体"/>
          <w:sz w:val="24"/>
        </w:rPr>
        <w:t>2、供应商所标产品除</w:t>
      </w:r>
      <w:r>
        <w:rPr>
          <w:rFonts w:hint="eastAsia" w:ascii="宋体" w:hAnsi="宋体" w:cs="宋体"/>
          <w:bCs/>
          <w:sz w:val="24"/>
        </w:rPr>
        <w:t>磋商文件</w:t>
      </w:r>
      <w:r>
        <w:rPr>
          <w:rFonts w:hint="eastAsia" w:ascii="宋体" w:hAnsi="宋体" w:cs="宋体"/>
          <w:sz w:val="24"/>
        </w:rPr>
        <w:t>中明确规定要求“提供官网截图或相应检测报告的证明材料”以外，所有技术参数描述均以磋商响应文件为准。</w:t>
      </w:r>
      <w:r>
        <w:rPr>
          <w:rFonts w:hint="eastAsia" w:ascii="宋体" w:hAnsi="宋体" w:cs="宋体"/>
          <w:b/>
          <w:sz w:val="24"/>
        </w:rPr>
        <w:t>磋商供应商对所标产品技术参数的真实性承担法律责任。</w:t>
      </w:r>
      <w:r>
        <w:rPr>
          <w:rFonts w:hint="eastAsia" w:ascii="宋体" w:hAnsi="宋体" w:cs="宋体"/>
          <w:sz w:val="24"/>
        </w:rPr>
        <w:t>项目</w:t>
      </w:r>
      <w:r>
        <w:rPr>
          <w:rFonts w:hint="eastAsia" w:ascii="宋体" w:hAnsi="宋体" w:cs="宋体"/>
          <w:bCs/>
          <w:sz w:val="24"/>
        </w:rPr>
        <w:t>磋商</w:t>
      </w:r>
      <w:r>
        <w:rPr>
          <w:rFonts w:hint="eastAsia" w:ascii="宋体" w:hAnsi="宋体" w:cs="宋体"/>
          <w:sz w:val="24"/>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sz w:val="24"/>
        </w:rPr>
        <w:tab/>
      </w:r>
    </w:p>
    <w:p>
      <w:pPr>
        <w:pStyle w:val="52"/>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3、供应商在</w:t>
      </w:r>
      <w:r>
        <w:rPr>
          <w:rFonts w:hint="eastAsia" w:ascii="宋体" w:hAnsi="宋体" w:eastAsia="宋体" w:cs="宋体"/>
          <w:bCs/>
          <w:sz w:val="24"/>
          <w:szCs w:val="24"/>
        </w:rPr>
        <w:t>磋商</w:t>
      </w:r>
      <w:r>
        <w:rPr>
          <w:rFonts w:hint="eastAsia" w:ascii="宋体" w:hAnsi="宋体" w:eastAsia="宋体" w:cs="宋体"/>
          <w:sz w:val="24"/>
          <w:szCs w:val="24"/>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2"/>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52"/>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5、为采购项目提供整体设计、规范编制或者项目管理、监理、检测等服务的供应商，不得再参加该采购项目的其他采购活动。</w:t>
      </w:r>
    </w:p>
    <w:p>
      <w:pPr>
        <w:pStyle w:val="52"/>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6、磋商响应文件格式中的表格式样可以根据项目差别做适当调整,但应当保持表格样式基本形态不变。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ind w:firstLine="480"/>
        <w:rPr>
          <w:rFonts w:ascii="宋体" w:hAnsi="宋体" w:eastAsia="宋体" w:cs="宋体"/>
          <w:b w:val="0"/>
          <w:bCs w:val="0"/>
          <w:sz w:val="24"/>
          <w:szCs w:val="24"/>
        </w:rPr>
      </w:pPr>
      <w:r>
        <w:rPr>
          <w:rFonts w:hint="eastAsia" w:ascii="宋体" w:hAnsi="宋体" w:eastAsia="宋体" w:cs="宋体"/>
          <w:b w:val="0"/>
          <w:bCs w:val="0"/>
          <w:sz w:val="24"/>
          <w:szCs w:val="24"/>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pStyle w:val="5"/>
        <w:keepNext w:val="0"/>
        <w:keepLines w:val="0"/>
        <w:tabs>
          <w:tab w:val="left" w:pos="851"/>
        </w:tabs>
        <w:autoSpaceDE w:val="0"/>
        <w:autoSpaceDN w:val="0"/>
        <w:adjustRightInd w:val="0"/>
        <w:snapToGrid w:val="0"/>
        <w:spacing w:before="0" w:after="0"/>
        <w:ind w:firstLine="480"/>
        <w:rPr>
          <w:rFonts w:ascii="宋体" w:hAnsi="宋体" w:eastAsia="宋体" w:cs="宋体"/>
          <w:b w:val="0"/>
          <w:bCs w:val="0"/>
          <w:sz w:val="24"/>
          <w:szCs w:val="24"/>
        </w:rPr>
      </w:pPr>
      <w:r>
        <w:rPr>
          <w:rFonts w:hint="eastAsia" w:ascii="宋体" w:hAnsi="宋体" w:eastAsia="宋体" w:cs="宋体"/>
          <w:b w:val="0"/>
          <w:bCs w:val="0"/>
          <w:sz w:val="24"/>
          <w:szCs w:val="24"/>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pPr>
        <w:pStyle w:val="52"/>
        <w:autoSpaceDE w:val="0"/>
        <w:autoSpaceDN w:val="0"/>
        <w:adjustRightInd w:val="0"/>
        <w:snapToGrid w:val="0"/>
        <w:spacing w:line="360" w:lineRule="auto"/>
        <w:ind w:firstLine="723" w:firstLineChars="300"/>
        <w:rPr>
          <w:rFonts w:ascii="宋体" w:hAnsi="宋体" w:eastAsia="宋体"/>
          <w:b/>
          <w:bCs/>
          <w:sz w:val="24"/>
          <w:szCs w:val="24"/>
        </w:rPr>
      </w:pPr>
      <w:r>
        <w:rPr>
          <w:rFonts w:hint="eastAsia" w:ascii="宋体" w:hAnsi="宋体" w:eastAsia="宋体"/>
          <w:b/>
          <w:bCs/>
          <w:sz w:val="24"/>
          <w:szCs w:val="24"/>
        </w:rPr>
        <w:t>9、</w:t>
      </w:r>
      <w:r>
        <w:rPr>
          <w:rFonts w:ascii="宋体" w:hAnsi="宋体" w:eastAsia="宋体"/>
          <w:b/>
          <w:bCs/>
          <w:sz w:val="24"/>
          <w:szCs w:val="24"/>
        </w:rPr>
        <w:t>项目负责人在建项目要求：</w:t>
      </w:r>
    </w:p>
    <w:p>
      <w:pPr>
        <w:pStyle w:val="52"/>
        <w:autoSpaceDE w:val="0"/>
        <w:autoSpaceDN w:val="0"/>
        <w:adjustRightInd w:val="0"/>
        <w:snapToGrid w:val="0"/>
        <w:spacing w:line="360" w:lineRule="auto"/>
        <w:ind w:firstLine="482"/>
        <w:rPr>
          <w:rFonts w:ascii="宋体" w:hAnsi="宋体" w:eastAsia="宋体"/>
          <w:b/>
          <w:bCs/>
          <w:sz w:val="24"/>
          <w:szCs w:val="24"/>
        </w:rPr>
      </w:pPr>
      <w:r>
        <w:rPr>
          <w:rFonts w:ascii="宋体" w:hAnsi="宋体" w:eastAsia="宋体"/>
          <w:b/>
          <w:bCs/>
          <w:sz w:val="24"/>
          <w:szCs w:val="24"/>
        </w:rPr>
        <w:t>项目负责人承接项目按照《注册建造师执业管理办法（试行）》（建市[2008]48号）第九条执行，同时在本工程</w:t>
      </w:r>
      <w:r>
        <w:rPr>
          <w:rFonts w:hint="eastAsia" w:ascii="宋体" w:hAnsi="宋体" w:eastAsia="宋体"/>
          <w:b/>
          <w:bCs/>
          <w:sz w:val="24"/>
          <w:szCs w:val="24"/>
        </w:rPr>
        <w:t>磋商响应文件</w:t>
      </w:r>
      <w:r>
        <w:rPr>
          <w:rFonts w:ascii="宋体" w:hAnsi="宋体" w:eastAsia="宋体"/>
          <w:b/>
          <w:bCs/>
          <w:sz w:val="24"/>
          <w:szCs w:val="24"/>
        </w:rPr>
        <w:t>提交截止日前，原承接（包括已办理项目经理变更手续）的工程项目未通过竣工（交工）验收的（以竣工或交工验收记录为准），项目负责人不得参加投标。发生下列情形之一的除外：</w:t>
      </w:r>
    </w:p>
    <w:p>
      <w:pPr>
        <w:pStyle w:val="52"/>
        <w:autoSpaceDE w:val="0"/>
        <w:autoSpaceDN w:val="0"/>
        <w:adjustRightInd w:val="0"/>
        <w:snapToGrid w:val="0"/>
        <w:spacing w:line="360" w:lineRule="auto"/>
        <w:ind w:firstLine="482"/>
        <w:rPr>
          <w:rFonts w:ascii="宋体" w:hAnsi="宋体" w:eastAsia="宋体"/>
          <w:b/>
          <w:bCs/>
          <w:sz w:val="24"/>
          <w:szCs w:val="24"/>
        </w:rPr>
      </w:pPr>
      <w:r>
        <w:rPr>
          <w:rFonts w:ascii="宋体" w:hAnsi="宋体" w:eastAsia="宋体"/>
          <w:b/>
          <w:bCs/>
          <w:sz w:val="24"/>
          <w:szCs w:val="24"/>
        </w:rPr>
        <w:t>1）原承接的项目与本工程属于同一工程相邻分段发包或分期施工的；</w:t>
      </w:r>
    </w:p>
    <w:p>
      <w:pPr>
        <w:pStyle w:val="52"/>
        <w:autoSpaceDE w:val="0"/>
        <w:autoSpaceDN w:val="0"/>
        <w:adjustRightInd w:val="0"/>
        <w:snapToGrid w:val="0"/>
        <w:spacing w:line="360" w:lineRule="auto"/>
        <w:ind w:firstLine="482"/>
        <w:rPr>
          <w:rFonts w:ascii="宋体" w:hAnsi="宋体" w:eastAsia="宋体"/>
          <w:b/>
          <w:bCs/>
          <w:sz w:val="24"/>
          <w:szCs w:val="24"/>
        </w:rPr>
      </w:pPr>
      <w:r>
        <w:rPr>
          <w:rFonts w:ascii="宋体" w:hAnsi="宋体" w:eastAsia="宋体"/>
          <w:b/>
          <w:bCs/>
          <w:sz w:val="24"/>
          <w:szCs w:val="24"/>
        </w:rPr>
        <w:t>2）因非承包方原因致使工程项目停工超过20天（含），经建设单位同意的（并须提供经工程所在地建设（建筑业）行政主管部门同意停工的书面证明）。</w:t>
      </w:r>
    </w:p>
    <w:p>
      <w:pPr>
        <w:pStyle w:val="52"/>
        <w:autoSpaceDE w:val="0"/>
        <w:autoSpaceDN w:val="0"/>
        <w:adjustRightInd w:val="0"/>
        <w:snapToGrid w:val="0"/>
        <w:spacing w:line="360" w:lineRule="auto"/>
        <w:ind w:firstLine="482"/>
        <w:rPr>
          <w:rFonts w:ascii="宋体" w:hAnsi="宋体" w:eastAsia="宋体"/>
          <w:b/>
          <w:bCs/>
          <w:sz w:val="24"/>
          <w:szCs w:val="24"/>
        </w:rPr>
      </w:pPr>
      <w:r>
        <w:rPr>
          <w:rFonts w:ascii="宋体" w:hAnsi="宋体" w:eastAsia="宋体"/>
          <w:b/>
          <w:bCs/>
          <w:sz w:val="24"/>
          <w:szCs w:val="24"/>
        </w:rPr>
        <w:t>3）合同约定的工程已完工，承包方向建设单位提交竣工（交工）报告时间已超过20天（含），且经建设单位同意可承接其他项目的（并须提供经工程所在地建设（建筑业）行政主管部门书面证明和竣工（交工）报告）。</w:t>
      </w:r>
    </w:p>
    <w:p>
      <w:pPr>
        <w:pStyle w:val="52"/>
        <w:autoSpaceDE w:val="0"/>
        <w:autoSpaceDN w:val="0"/>
        <w:adjustRightInd w:val="0"/>
        <w:snapToGrid w:val="0"/>
        <w:spacing w:line="360" w:lineRule="auto"/>
        <w:ind w:firstLine="482"/>
        <w:rPr>
          <w:rFonts w:ascii="宋体" w:hAnsi="宋体" w:eastAsia="宋体"/>
          <w:b/>
          <w:bCs/>
          <w:sz w:val="24"/>
          <w:szCs w:val="24"/>
        </w:rPr>
      </w:pPr>
      <w:r>
        <w:rPr>
          <w:rFonts w:ascii="宋体" w:hAnsi="宋体" w:eastAsia="宋体"/>
          <w:b/>
          <w:bCs/>
          <w:sz w:val="24"/>
          <w:szCs w:val="24"/>
        </w:rPr>
        <w:t>如发生以上情形，投标人应在递交</w:t>
      </w:r>
      <w:r>
        <w:rPr>
          <w:rFonts w:hint="eastAsia" w:ascii="宋体" w:hAnsi="宋体" w:eastAsia="宋体"/>
          <w:b/>
          <w:bCs/>
          <w:sz w:val="24"/>
          <w:szCs w:val="24"/>
        </w:rPr>
        <w:t>磋商响应文件</w:t>
      </w:r>
      <w:r>
        <w:rPr>
          <w:rFonts w:ascii="宋体" w:hAnsi="宋体" w:eastAsia="宋体"/>
          <w:b/>
          <w:bCs/>
          <w:sz w:val="24"/>
          <w:szCs w:val="24"/>
        </w:rPr>
        <w:t>的同时将有关书面证明材料（以电子文档形式在资格证明文件中上传）提交，投标截止日后提供的证明材料视为瞒报、漏报，将不予认可。</w:t>
      </w:r>
    </w:p>
    <w:p>
      <w:pPr>
        <w:pStyle w:val="52"/>
        <w:autoSpaceDE w:val="0"/>
        <w:autoSpaceDN w:val="0"/>
        <w:adjustRightInd w:val="0"/>
        <w:snapToGrid w:val="0"/>
        <w:spacing w:line="360" w:lineRule="auto"/>
        <w:ind w:firstLine="482"/>
      </w:pPr>
      <w:r>
        <w:rPr>
          <w:rFonts w:ascii="宋体" w:hAnsi="宋体" w:eastAsia="宋体"/>
          <w:b/>
          <w:bCs/>
          <w:sz w:val="24"/>
          <w:szCs w:val="24"/>
        </w:rPr>
        <w:t>项目负责人在原承接项目的中标候选人公示、中标公示、中标通知书、合同、施工许可证、现场公告牌、管理部门的网站或文件中载明担任项目负责人岗位的，均视为已承接该项目。</w:t>
      </w:r>
    </w:p>
    <w:p>
      <w:pPr>
        <w:numPr>
          <w:ilvl w:val="0"/>
          <w:numId w:val="2"/>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2" w:firstLineChars="147"/>
        <w:jc w:val="left"/>
        <w:rPr>
          <w:rFonts w:ascii="宋体" w:hAnsi="宋体"/>
          <w:sz w:val="24"/>
        </w:rPr>
      </w:pPr>
      <w:r>
        <w:rPr>
          <w:rFonts w:hint="eastAsia" w:ascii="宋体" w:hAnsi="宋体"/>
          <w:sz w:val="24"/>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b/>
          <w:kern w:val="0"/>
          <w:sz w:val="24"/>
        </w:rPr>
      </w:pPr>
      <w:r>
        <w:rPr>
          <w:rFonts w:hint="eastAsia" w:ascii="宋体" w:hAnsi="宋体" w:cs="宋体"/>
          <w:b/>
          <w:kern w:val="0"/>
          <w:sz w:val="24"/>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cs="宋体"/>
          <w:b/>
          <w:kern w:val="0"/>
          <w:sz w:val="24"/>
        </w:rPr>
      </w:pPr>
      <w:r>
        <w:rPr>
          <w:rFonts w:hint="eastAsia" w:ascii="宋体" w:hAnsi="宋体" w:cs="宋体"/>
          <w:b/>
          <w:kern w:val="0"/>
          <w:sz w:val="24"/>
        </w:rPr>
        <w:t>（一）磋商响应文件的组成</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供应商应仔细阅读磋商采购文件的所有内容，按磋商采购文件的要求，详细编制磋商响应文件</w:t>
      </w:r>
      <w:r>
        <w:rPr>
          <w:rFonts w:hint="eastAsia" w:ascii="宋体" w:hAnsi="宋体" w:cs="宋体"/>
          <w:sz w:val="24"/>
        </w:rPr>
        <w:t>。</w:t>
      </w:r>
      <w:r>
        <w:rPr>
          <w:rFonts w:hint="eastAsia" w:ascii="宋体" w:hAnsi="宋体" w:cs="宋体"/>
          <w:b/>
          <w:bCs/>
          <w:sz w:val="24"/>
        </w:rPr>
        <w:t>具体包含的内容及组成以政采云电子交易客户端为准。</w:t>
      </w:r>
    </w:p>
    <w:p>
      <w:pPr>
        <w:snapToGrid w:val="0"/>
        <w:spacing w:line="360" w:lineRule="auto"/>
        <w:ind w:firstLine="482" w:firstLineChars="200"/>
        <w:rPr>
          <w:rFonts w:ascii="宋体" w:hAnsi="宋体" w:cs="宋体"/>
          <w:kern w:val="0"/>
          <w:sz w:val="24"/>
        </w:rPr>
      </w:pPr>
      <w:r>
        <w:rPr>
          <w:rFonts w:hint="eastAsia" w:ascii="宋体" w:hAnsi="宋体" w:cs="宋体"/>
          <w:b/>
          <w:sz w:val="24"/>
        </w:rPr>
        <w:t>▲1、资格证明内容的组成：</w:t>
      </w:r>
    </w:p>
    <w:p>
      <w:pPr>
        <w:snapToGrid w:val="0"/>
        <w:spacing w:line="360" w:lineRule="auto"/>
        <w:ind w:firstLine="480" w:firstLineChars="200"/>
        <w:rPr>
          <w:rFonts w:ascii="宋体" w:hAnsi="宋体" w:cs="宋体"/>
          <w:sz w:val="24"/>
        </w:rPr>
      </w:pPr>
      <w:r>
        <w:rPr>
          <w:rFonts w:hint="eastAsia" w:ascii="宋体" w:hAnsi="宋体" w:cs="宋体"/>
          <w:sz w:val="24"/>
        </w:rPr>
        <w:t>（1）磋商声明书</w:t>
      </w:r>
      <w:r>
        <w:rPr>
          <w:rFonts w:hint="eastAsia" w:ascii="宋体" w:hAnsi="宋体"/>
          <w:sz w:val="24"/>
        </w:rPr>
        <w:t>（详见附件）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w:t>
      </w:r>
    </w:p>
    <w:p>
      <w:pPr>
        <w:snapToGrid w:val="0"/>
        <w:spacing w:line="360" w:lineRule="auto"/>
        <w:ind w:firstLine="480" w:firstLineChars="200"/>
        <w:rPr>
          <w:rFonts w:ascii="宋体" w:hAnsi="宋体" w:cs="宋体"/>
          <w:sz w:val="24"/>
        </w:rPr>
      </w:pPr>
      <w:r>
        <w:rPr>
          <w:rFonts w:hint="eastAsia" w:ascii="宋体" w:hAnsi="宋体" w:cs="宋体"/>
          <w:sz w:val="24"/>
        </w:rPr>
        <w:t xml:space="preserve">（3）法人或者其他组织的营业执照等证明文件； </w:t>
      </w:r>
    </w:p>
    <w:p>
      <w:pPr>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sz w:val="24"/>
        </w:rPr>
        <w:t>具有良好的商业信誉和健全的财务会计制度的承诺函（详见附件）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sz w:val="24"/>
          <w:lang w:val="zh-CN"/>
        </w:rPr>
        <w:t>具有依法缴纳税收和社会保障资金证明的承诺函（详见附件）</w:t>
      </w:r>
      <w:r>
        <w:rPr>
          <w:rFonts w:hint="eastAsia" w:ascii="宋体" w:hAnsi="宋体" w:cs="宋体"/>
          <w:sz w:val="24"/>
        </w:rPr>
        <w:t>；</w:t>
      </w:r>
    </w:p>
    <w:p>
      <w:pPr>
        <w:snapToGrid w:val="0"/>
        <w:spacing w:line="360" w:lineRule="auto"/>
        <w:ind w:right="-197" w:rightChars="-94" w:firstLine="480" w:firstLineChars="200"/>
        <w:rPr>
          <w:rFonts w:ascii="宋体" w:hAnsi="宋体" w:cs="宋体"/>
          <w:sz w:val="24"/>
        </w:rPr>
      </w:pPr>
      <w:r>
        <w:rPr>
          <w:rFonts w:hint="eastAsia" w:ascii="宋体" w:hAnsi="宋体" w:cs="宋体"/>
          <w:sz w:val="24"/>
        </w:rPr>
        <w:t>（6）具有履行合同所必需的场地、设备和专业技术能力的承诺函（详见附件）；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（7）磋商供应商没有失信记录承诺函（详见附件）；</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（8）项目负责人无在建工程承诺函</w:t>
      </w:r>
      <w:r>
        <w:rPr>
          <w:rFonts w:hint="eastAsia" w:ascii="宋体" w:hAnsi="宋体" w:cs="宋体"/>
          <w:sz w:val="24"/>
        </w:rPr>
        <w:t>（详见附件）；</w:t>
      </w:r>
    </w:p>
    <w:p>
      <w:pPr>
        <w:snapToGrid w:val="0"/>
        <w:spacing w:line="360" w:lineRule="auto"/>
        <w:ind w:firstLine="480" w:firstLineChars="200"/>
        <w:rPr>
          <w:rFonts w:ascii="宋体" w:hAnsi="宋体" w:cs="宋体"/>
          <w:sz w:val="24"/>
        </w:rPr>
      </w:pPr>
      <w:r>
        <w:rPr>
          <w:rFonts w:hint="eastAsia" w:ascii="宋体" w:hAnsi="宋体" w:cs="宋体"/>
          <w:kern w:val="0"/>
          <w:sz w:val="24"/>
        </w:rPr>
        <w:t>（9）中小企业等声明函以及投标人认为其他需要说明的内容组成（详见附件）；</w:t>
      </w:r>
    </w:p>
    <w:p>
      <w:pPr>
        <w:snapToGrid w:val="0"/>
        <w:spacing w:line="360" w:lineRule="auto"/>
        <w:ind w:firstLine="480" w:firstLineChars="200"/>
        <w:rPr>
          <w:rFonts w:ascii="宋体" w:hAnsi="宋体" w:cs="宋体"/>
          <w:sz w:val="24"/>
        </w:rPr>
      </w:pPr>
      <w:r>
        <w:rPr>
          <w:rFonts w:hint="eastAsia" w:ascii="宋体" w:hAnsi="宋体" w:cs="宋体"/>
          <w:sz w:val="24"/>
        </w:rPr>
        <w:t>（10）提供采购公告中符合供应商特定条件的有效证书或证明资料扫描件（投标供应商特定条件中有要求的必须提供），以及需要说明的其他资料；</w:t>
      </w:r>
    </w:p>
    <w:p>
      <w:pPr>
        <w:pStyle w:val="48"/>
        <w:ind w:left="0" w:leftChars="0" w:firstLine="593" w:firstLineChars="246"/>
        <w:rPr>
          <w:rFonts w:ascii="宋体" w:hAnsi="宋体" w:cs="宋体"/>
        </w:rPr>
      </w:pPr>
      <w:r>
        <w:rPr>
          <w:rFonts w:hint="eastAsia" w:ascii="宋体" w:hAnsi="宋体" w:cs="宋体"/>
        </w:rPr>
        <w:t>2、商务与技术内容的组成：</w:t>
      </w:r>
    </w:p>
    <w:p>
      <w:pPr>
        <w:snapToGrid w:val="0"/>
        <w:spacing w:line="360" w:lineRule="auto"/>
        <w:ind w:firstLine="480" w:firstLineChars="200"/>
        <w:rPr>
          <w:rFonts w:ascii="宋体" w:hAnsi="宋体" w:cs="宋体"/>
          <w:sz w:val="24"/>
        </w:rPr>
      </w:pPr>
      <w:r>
        <w:rPr>
          <w:rFonts w:hint="eastAsia" w:ascii="宋体" w:hAnsi="宋体" w:cs="宋体"/>
          <w:sz w:val="24"/>
        </w:rPr>
        <w:t>（1）供应商基本情况表（详见附件）；</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kern w:val="0"/>
          <w:sz w:val="24"/>
        </w:rPr>
        <w:t>商务及技术需求响应表（详见附件）</w:t>
      </w:r>
    </w:p>
    <w:p>
      <w:pPr>
        <w:snapToGrid w:val="0"/>
        <w:spacing w:line="360" w:lineRule="auto"/>
        <w:ind w:firstLine="480" w:firstLineChars="200"/>
        <w:rPr>
          <w:rFonts w:ascii="宋体" w:hAnsi="宋体" w:cs="宋体"/>
          <w:kern w:val="0"/>
          <w:sz w:val="24"/>
        </w:rPr>
      </w:pPr>
      <w:r>
        <w:rPr>
          <w:rFonts w:hint="eastAsia" w:ascii="宋体" w:hAnsi="宋体" w:cs="宋体"/>
          <w:sz w:val="24"/>
        </w:rPr>
        <w:t>（3）其余内容根据评标办法自拟（详见附件）</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sz w:val="24"/>
          <w:szCs w:val="21"/>
        </w:rPr>
        <w:t>（4）投标人认为需要提供的其他资料</w:t>
      </w:r>
      <w:r>
        <w:rPr>
          <w:rFonts w:hint="eastAsia" w:ascii="宋体" w:hAnsi="宋体" w:cs="宋体"/>
          <w:kern w:val="0"/>
          <w:sz w:val="24"/>
        </w:rPr>
        <w:t>。</w:t>
      </w:r>
    </w:p>
    <w:p>
      <w:pPr>
        <w:pStyle w:val="9"/>
        <w:widowControl/>
        <w:adjustRightInd w:val="0"/>
        <w:snapToGrid w:val="0"/>
        <w:spacing w:line="360" w:lineRule="auto"/>
        <w:ind w:left="218" w:leftChars="104" w:firstLine="482" w:firstLineChars="200"/>
        <w:rPr>
          <w:rFonts w:ascii="宋体" w:hAnsi="宋体" w:cs="宋体"/>
          <w:sz w:val="24"/>
          <w:szCs w:val="24"/>
        </w:rPr>
      </w:pPr>
      <w:r>
        <w:rPr>
          <w:rFonts w:hint="eastAsia" w:ascii="宋体" w:hAnsi="宋体" w:cs="宋体"/>
          <w:b/>
          <w:kern w:val="0"/>
          <w:sz w:val="24"/>
        </w:rPr>
        <w:t>招标需求中要求提供的相关证明材料及根据评标办法提供的证明材料均需在磋商响应文件中提供扫描件。</w:t>
      </w:r>
    </w:p>
    <w:p>
      <w:pPr>
        <w:autoSpaceDE w:val="0"/>
        <w:autoSpaceDN w:val="0"/>
        <w:adjustRightInd w:val="0"/>
        <w:spacing w:line="360" w:lineRule="auto"/>
        <w:ind w:left="426" w:firstLine="65" w:firstLineChars="27"/>
        <w:rPr>
          <w:rFonts w:ascii="宋体" w:hAnsi="宋体" w:cs="宋体"/>
          <w:b/>
          <w:kern w:val="0"/>
          <w:sz w:val="24"/>
        </w:rPr>
      </w:pPr>
      <w:r>
        <w:rPr>
          <w:rFonts w:hint="eastAsia" w:ascii="宋体" w:hAnsi="宋体" w:cs="宋体"/>
          <w:b/>
          <w:kern w:val="0"/>
          <w:sz w:val="24"/>
        </w:rPr>
        <w:t>3、报价内容的组成</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（1）首次报价一览表；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（2）报价明细表</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sz w:val="24"/>
        </w:rPr>
        <w:t>▲</w:t>
      </w:r>
      <w:r>
        <w:rPr>
          <w:rFonts w:hint="eastAsia" w:ascii="宋体" w:hAnsi="宋体" w:cs="宋体"/>
          <w:kern w:val="0"/>
          <w:sz w:val="24"/>
        </w:rPr>
        <w:t>注：①此报价为供应商针对本项目报出的唯一的首次报价，包含其它一切所要涉及到的费用，有选择的报价将被拒绝。</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②总报价应当是完全履行磋商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③磋商响应报价表不得涂改和增删，如有错漏必须修改，修改处须由同一签署人签字或盖章。由于字迹模糊或表达不清引起的后果由供应商负责。</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④报价有关表格应按磋商采购文件中相关附表格式填写。</w:t>
      </w:r>
    </w:p>
    <w:p>
      <w:pPr>
        <w:spacing w:line="360" w:lineRule="auto"/>
        <w:ind w:firstLine="482" w:firstLineChars="200"/>
        <w:rPr>
          <w:rFonts w:ascii="宋体" w:hAnsi="宋体" w:cs="宋体"/>
          <w:b/>
          <w:kern w:val="0"/>
          <w:sz w:val="24"/>
        </w:rPr>
      </w:pPr>
      <w:r>
        <w:rPr>
          <w:rFonts w:hint="eastAsia" w:ascii="宋体" w:hAnsi="宋体" w:cs="宋体"/>
          <w:b/>
          <w:kern w:val="0"/>
          <w:sz w:val="24"/>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pPr>
        <w:numPr>
          <w:ilvl w:val="0"/>
          <w:numId w:val="3"/>
        </w:numPr>
        <w:snapToGrid w:val="0"/>
        <w:spacing w:line="360" w:lineRule="auto"/>
        <w:rPr>
          <w:rFonts w:ascii="宋体" w:hAnsi="宋体" w:cs="宋体"/>
          <w:sz w:val="24"/>
          <w:lang w:val="zh-CN"/>
        </w:rPr>
      </w:pPr>
      <w:r>
        <w:rPr>
          <w:rFonts w:hint="eastAsia" w:ascii="宋体" w:hAnsi="宋体" w:cs="宋体"/>
          <w:b/>
          <w:bCs/>
          <w:kern w:val="0"/>
          <w:sz w:val="24"/>
        </w:rPr>
        <w:t>磋商响应文件的制作及递交要求</w:t>
      </w:r>
    </w:p>
    <w:p>
      <w:pPr>
        <w:autoSpaceDE w:val="0"/>
        <w:autoSpaceDN w:val="0"/>
        <w:adjustRightInd w:val="0"/>
        <w:spacing w:line="360" w:lineRule="auto"/>
        <w:ind w:firstLine="480"/>
        <w:rPr>
          <w:rFonts w:ascii="宋体" w:hAnsi="宋体" w:cs="宋体"/>
          <w:b/>
          <w:sz w:val="24"/>
        </w:rPr>
      </w:pPr>
      <w:r>
        <w:rPr>
          <w:rFonts w:hint="eastAsia" w:ascii="宋体" w:hAnsi="宋体" w:cs="宋体"/>
          <w:b/>
          <w:sz w:val="24"/>
        </w:rPr>
        <w:t>1、磋商响应文件的制作要求</w:t>
      </w:r>
    </w:p>
    <w:p>
      <w:pPr>
        <w:spacing w:line="360" w:lineRule="auto"/>
        <w:ind w:firstLine="480" w:firstLineChars="200"/>
        <w:rPr>
          <w:rFonts w:ascii="宋体" w:hAnsi="宋体" w:cs="宋体"/>
          <w:sz w:val="24"/>
        </w:rPr>
      </w:pPr>
      <w:r>
        <w:rPr>
          <w:rFonts w:hint="eastAsia" w:ascii="宋体" w:hAnsi="宋体" w:cs="宋体"/>
          <w:sz w:val="24"/>
        </w:rPr>
        <w:t>（1）本项目通过“政府采购云平台（www.zcygov.cn）”实行在线投标响应（电子投标）。供应商应通过“政采云电子交易客户端”，并按照本磋商文件和“政府采购云平台”的要求编制并加密磋商响应文件。</w:t>
      </w:r>
    </w:p>
    <w:p>
      <w:pPr>
        <w:spacing w:line="360" w:lineRule="auto"/>
        <w:ind w:firstLine="420" w:firstLineChars="175"/>
        <w:rPr>
          <w:rFonts w:ascii="宋体" w:hAnsi="宋体" w:cs="宋体"/>
          <w:kern w:val="0"/>
          <w:sz w:val="24"/>
        </w:rPr>
      </w:pPr>
      <w:r>
        <w:rPr>
          <w:rFonts w:hint="eastAsia" w:ascii="宋体" w:hAnsi="宋体" w:cs="宋体"/>
          <w:kern w:val="0"/>
          <w:sz w:val="24"/>
        </w:rPr>
        <w:t>（2）投标供应商应当按照本章节 “磋商响应文件组成”规定的内容及顺序在“政采云电子交易客户端”编制磋商响应文件。</w:t>
      </w:r>
    </w:p>
    <w:p>
      <w:pPr>
        <w:autoSpaceDE w:val="0"/>
        <w:autoSpaceDN w:val="0"/>
        <w:adjustRightInd w:val="0"/>
        <w:spacing w:line="360" w:lineRule="auto"/>
        <w:ind w:firstLine="480"/>
        <w:rPr>
          <w:rFonts w:ascii="宋体" w:hAnsi="宋体" w:cs="宋体"/>
          <w:sz w:val="24"/>
        </w:rPr>
      </w:pPr>
      <w:r>
        <w:rPr>
          <w:rFonts w:hint="eastAsia" w:ascii="宋体" w:hAnsi="宋体" w:cs="宋体"/>
          <w:bCs/>
          <w:sz w:val="24"/>
        </w:rPr>
        <w:t>（3）本文件《第六部分  应提交的有关格式范例》中有提供格式的，投标供应商须参照格式进行编制（格式中要求提供相关证明材料的还需后附相关证明材料），并按格式要求在指定位置根据要求进行电子签章，否则视为未提供；本文件《第六部分  应提交的有关格式范例》未提供格式的，请各投标单位自行拟定格式</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sz w:val="24"/>
        </w:rPr>
        <w:t>（4）供应商应对所提供的全部资料的真实性承担法律责任。</w:t>
      </w:r>
    </w:p>
    <w:p>
      <w:pPr>
        <w:snapToGrid w:val="0"/>
        <w:spacing w:line="360" w:lineRule="auto"/>
        <w:ind w:firstLine="480" w:firstLineChars="200"/>
        <w:jc w:val="left"/>
        <w:rPr>
          <w:rFonts w:ascii="宋体" w:hAnsi="宋体" w:cs="宋体"/>
          <w:sz w:val="24"/>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w:t>
      </w:r>
      <w:r>
        <w:rPr>
          <w:rFonts w:hint="eastAsia" w:ascii="宋体" w:hAnsi="宋体" w:cs="宋体"/>
          <w:sz w:val="24"/>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cs="宋体"/>
          <w:sz w:val="24"/>
        </w:rPr>
      </w:pPr>
      <w:r>
        <w:rPr>
          <w:rFonts w:hint="eastAsia" w:ascii="宋体" w:hAnsi="宋体" w:cs="宋体"/>
          <w:sz w:val="24"/>
        </w:rPr>
        <w:t>（6）磋商计量单位，</w:t>
      </w:r>
      <w:r>
        <w:rPr>
          <w:rFonts w:hint="eastAsia" w:ascii="宋体" w:hAnsi="宋体" w:cs="宋体"/>
          <w:bCs/>
          <w:sz w:val="24"/>
        </w:rPr>
        <w:t>磋商采购文件</w:t>
      </w:r>
      <w:r>
        <w:rPr>
          <w:rFonts w:hint="eastAsia" w:ascii="宋体" w:hAnsi="宋体" w:cs="宋体"/>
          <w:sz w:val="24"/>
        </w:rPr>
        <w:t>已有明确规定的，使用</w:t>
      </w:r>
      <w:r>
        <w:rPr>
          <w:rFonts w:hint="eastAsia" w:ascii="宋体" w:hAnsi="宋体" w:cs="宋体"/>
          <w:bCs/>
          <w:sz w:val="24"/>
        </w:rPr>
        <w:t>磋商采购文件</w:t>
      </w:r>
      <w:r>
        <w:rPr>
          <w:rFonts w:hint="eastAsia" w:ascii="宋体" w:hAnsi="宋体" w:cs="宋体"/>
          <w:sz w:val="24"/>
        </w:rPr>
        <w:t>规定的计量单位；</w:t>
      </w:r>
      <w:r>
        <w:rPr>
          <w:rFonts w:hint="eastAsia" w:ascii="宋体" w:hAnsi="宋体" w:cs="宋体"/>
          <w:bCs/>
          <w:sz w:val="24"/>
        </w:rPr>
        <w:t>磋商采购文件</w:t>
      </w:r>
      <w:r>
        <w:rPr>
          <w:rFonts w:hint="eastAsia" w:ascii="宋体" w:hAnsi="宋体" w:cs="宋体"/>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（7）若磋商供应商不按采购文件的要求提供资格审查材料，其风险由磋商供应商自行承担。</w:t>
      </w:r>
    </w:p>
    <w:p>
      <w:pPr>
        <w:autoSpaceDE w:val="0"/>
        <w:autoSpaceDN w:val="0"/>
        <w:adjustRightInd w:val="0"/>
        <w:spacing w:line="360" w:lineRule="auto"/>
        <w:ind w:firstLine="480"/>
        <w:rPr>
          <w:rFonts w:ascii="宋体" w:hAnsi="宋体" w:cs="宋体"/>
          <w:sz w:val="24"/>
        </w:rPr>
      </w:pPr>
      <w:r>
        <w:rPr>
          <w:rFonts w:hint="eastAsia" w:ascii="宋体" w:hAnsi="宋体" w:cs="宋体"/>
          <w:kern w:val="0"/>
          <w:sz w:val="24"/>
        </w:rPr>
        <w:t>（8）</w:t>
      </w:r>
      <w:r>
        <w:rPr>
          <w:rFonts w:hint="eastAsia" w:ascii="宋体" w:hAnsi="宋体" w:cs="宋体"/>
          <w:sz w:val="24"/>
        </w:rPr>
        <w:t>与本次磋商无关的内容请不要制作在内，确保磋商响应文件有针对性、简洁明了。</w:t>
      </w:r>
    </w:p>
    <w:p>
      <w:pPr>
        <w:autoSpaceDE w:val="0"/>
        <w:autoSpaceDN w:val="0"/>
        <w:adjustRightInd w:val="0"/>
        <w:spacing w:line="360" w:lineRule="auto"/>
        <w:ind w:firstLine="480"/>
        <w:rPr>
          <w:rFonts w:ascii="宋体" w:hAnsi="宋体" w:cs="宋体"/>
          <w:sz w:val="24"/>
        </w:rPr>
      </w:pPr>
      <w:r>
        <w:rPr>
          <w:rFonts w:hint="eastAsia" w:ascii="宋体" w:hAnsi="宋体" w:cs="宋体"/>
          <w:b/>
          <w:bCs/>
          <w:sz w:val="24"/>
        </w:rPr>
        <w:t>2、磋商响应文件的签章</w:t>
      </w:r>
    </w:p>
    <w:p>
      <w:pPr>
        <w:spacing w:line="360" w:lineRule="auto"/>
        <w:ind w:firstLine="460" w:firstLineChars="192"/>
        <w:rPr>
          <w:rFonts w:ascii="宋体" w:hAnsi="宋体" w:cs="宋体"/>
          <w:bCs/>
          <w:kern w:val="0"/>
          <w:sz w:val="24"/>
        </w:rPr>
      </w:pPr>
      <w:r>
        <w:rPr>
          <w:rFonts w:hint="eastAsia" w:ascii="宋体" w:hAnsi="宋体" w:cs="宋体"/>
          <w:bCs/>
          <w:kern w:val="0"/>
          <w:sz w:val="24"/>
        </w:rPr>
        <w:t>（1）《磋商响应文件》的签章：</w:t>
      </w:r>
      <w:r>
        <w:rPr>
          <w:rFonts w:hint="eastAsia" w:ascii="宋体" w:hAnsi="宋体" w:cs="宋体"/>
          <w:bCs/>
          <w:sz w:val="24"/>
        </w:rPr>
        <w:t>见《前附表》；</w:t>
      </w:r>
    </w:p>
    <w:p>
      <w:pPr>
        <w:spacing w:line="360" w:lineRule="auto"/>
        <w:ind w:firstLine="403" w:firstLineChars="192"/>
        <w:rPr>
          <w:rFonts w:ascii="宋体" w:hAnsi="宋体" w:cs="宋体"/>
          <w:bCs/>
          <w:kern w:val="0"/>
          <w:sz w:val="24"/>
        </w:rPr>
      </w:pPr>
      <w:r>
        <w:rPr>
          <w:rFonts w:hint="eastAsia" w:ascii="宋体" w:hAnsi="宋体" w:cs="宋体"/>
        </w:rPr>
        <w:t>▲</w:t>
      </w:r>
      <w:r>
        <w:rPr>
          <w:rFonts w:hint="eastAsia" w:ascii="宋体" w:hAnsi="宋体" w:cs="宋体"/>
          <w:bCs/>
          <w:kern w:val="0"/>
          <w:sz w:val="24"/>
        </w:rPr>
        <w:t>（2）《磋商响应文件》应由投标供应商法定代表人或其授权代表签字（或签章），并同时加盖投标供应商公章。</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bCs/>
          <w:kern w:val="0"/>
          <w:sz w:val="24"/>
        </w:rPr>
        <w:t>（3）电子签章操作指南详见</w:t>
      </w:r>
      <w:r>
        <w:rPr>
          <w:rFonts w:hint="eastAsia" w:ascii="宋体" w:hAnsi="宋体" w:cs="宋体"/>
          <w:bCs/>
          <w:sz w:val="24"/>
        </w:rPr>
        <w:t>《供应商项目采购-电子招投标操作指南》。</w:t>
      </w:r>
    </w:p>
    <w:p>
      <w:pPr>
        <w:autoSpaceDE w:val="0"/>
        <w:autoSpaceDN w:val="0"/>
        <w:adjustRightInd w:val="0"/>
        <w:spacing w:line="360" w:lineRule="auto"/>
        <w:ind w:firstLine="480"/>
        <w:rPr>
          <w:rFonts w:ascii="宋体" w:hAnsi="宋体" w:cs="宋体"/>
          <w:b/>
          <w:kern w:val="0"/>
          <w:sz w:val="24"/>
        </w:rPr>
      </w:pPr>
      <w:r>
        <w:rPr>
          <w:rFonts w:hint="eastAsia" w:ascii="宋体" w:hAnsi="宋体" w:cs="宋体"/>
          <w:b/>
          <w:kern w:val="0"/>
          <w:sz w:val="24"/>
        </w:rPr>
        <w:t>3、磋商响应文件的形式</w:t>
      </w:r>
    </w:p>
    <w:p>
      <w:pPr>
        <w:spacing w:line="360" w:lineRule="auto"/>
        <w:ind w:firstLine="422" w:firstLineChars="176"/>
        <w:rPr>
          <w:rFonts w:ascii="宋体" w:hAnsi="宋体" w:cs="宋体"/>
          <w:bCs/>
          <w:sz w:val="24"/>
        </w:rPr>
      </w:pPr>
      <w:r>
        <w:rPr>
          <w:rFonts w:hint="eastAsia" w:ascii="宋体" w:hAnsi="宋体" w:cs="宋体"/>
          <w:bCs/>
          <w:sz w:val="24"/>
        </w:rPr>
        <w:t>（1）磋商响应文件的形式：见《前附表》；</w:t>
      </w:r>
    </w:p>
    <w:p>
      <w:pPr>
        <w:spacing w:line="360" w:lineRule="auto"/>
        <w:ind w:firstLine="422" w:firstLineChars="176"/>
        <w:rPr>
          <w:rFonts w:ascii="宋体" w:hAnsi="宋体" w:cs="宋体"/>
          <w:bCs/>
          <w:sz w:val="24"/>
        </w:rPr>
      </w:pPr>
      <w:r>
        <w:rPr>
          <w:rFonts w:hint="eastAsia" w:ascii="宋体" w:hAnsi="宋体" w:cs="宋体"/>
          <w:bCs/>
          <w:sz w:val="24"/>
        </w:rPr>
        <w:t>（2）“电子加密磋商响应文件”：“电子加密磋商响应文件”是指通过“政采云电子交易客户端”完成磋商响应文件编制后生成并加密的数据电文形式的磋商响应文件。</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3）“备份磋商响应文件”：“备份磋商响应文件”是指与“电子加密磋商响应文件”同时生成的数据电文形式的电子文件（备份标书），其他方式编制的“备份磋商响应文件”视为无效的“备份磋商响应文件”。</w:t>
      </w:r>
    </w:p>
    <w:p>
      <w:pPr>
        <w:autoSpaceDE w:val="0"/>
        <w:autoSpaceDN w:val="0"/>
        <w:adjustRightInd w:val="0"/>
        <w:spacing w:line="360" w:lineRule="auto"/>
        <w:ind w:firstLine="480"/>
        <w:rPr>
          <w:rFonts w:ascii="宋体" w:hAnsi="宋体" w:cs="宋体"/>
          <w:b/>
          <w:kern w:val="0"/>
          <w:sz w:val="24"/>
        </w:rPr>
      </w:pPr>
      <w:r>
        <w:rPr>
          <w:rFonts w:hint="eastAsia" w:ascii="宋体" w:hAnsi="宋体" w:cs="宋体"/>
          <w:b/>
          <w:kern w:val="0"/>
          <w:sz w:val="24"/>
        </w:rPr>
        <w:t>4、磋商响应文件的份数</w:t>
      </w:r>
    </w:p>
    <w:p>
      <w:pPr>
        <w:autoSpaceDE w:val="0"/>
        <w:autoSpaceDN w:val="0"/>
        <w:adjustRightInd w:val="0"/>
        <w:spacing w:line="360" w:lineRule="auto"/>
        <w:ind w:firstLine="480"/>
        <w:rPr>
          <w:rFonts w:ascii="宋体" w:hAnsi="宋体" w:cs="宋体"/>
          <w:bCs/>
          <w:kern w:val="0"/>
          <w:sz w:val="24"/>
        </w:rPr>
      </w:pPr>
      <w:r>
        <w:rPr>
          <w:rFonts w:hint="eastAsia" w:ascii="宋体" w:hAnsi="宋体" w:cs="宋体"/>
          <w:bCs/>
          <w:kern w:val="0"/>
          <w:sz w:val="24"/>
        </w:rPr>
        <w:t>（1）磋商响应文件的份数：见《前附表》。</w:t>
      </w:r>
    </w:p>
    <w:p>
      <w:pPr>
        <w:tabs>
          <w:tab w:val="left" w:pos="1898"/>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5、磋商响应文件的补充、修改和撤回。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供应商应当在投标截止时间前完成磋商响应文件的上传、递交，并可以补充、修改或者撤回磋商响应文件。补充或者修改磋商响应文件的，应当先行撤回原文件，补充、修改后重新上传、递交。投标截止时间前未完成上传、递交的，视为撤回磋商响应文件。投标截止时间后递交的磋商响应文件，“政府采购云平台”将予以拒收。</w:t>
      </w:r>
    </w:p>
    <w:p>
      <w:pPr>
        <w:numPr>
          <w:ilvl w:val="0"/>
          <w:numId w:val="4"/>
        </w:numPr>
        <w:tabs>
          <w:tab w:val="left" w:pos="1418"/>
        </w:tabs>
        <w:autoSpaceDE w:val="0"/>
        <w:autoSpaceDN w:val="0"/>
        <w:adjustRightInd w:val="0"/>
        <w:spacing w:line="360" w:lineRule="auto"/>
        <w:ind w:firstLine="480"/>
        <w:rPr>
          <w:rFonts w:ascii="宋体" w:hAnsi="宋体" w:cs="宋体"/>
          <w:kern w:val="0"/>
          <w:sz w:val="24"/>
        </w:rPr>
      </w:pPr>
      <w:r>
        <w:rPr>
          <w:rFonts w:hint="eastAsia" w:ascii="宋体" w:hAnsi="宋体" w:cs="宋体"/>
          <w:kern w:val="0"/>
          <w:sz w:val="24"/>
        </w:rPr>
        <w:t>投标截止时间后，投标供应商不得撤回、修改《磋商响应文件》。</w:t>
      </w:r>
    </w:p>
    <w:p>
      <w:pPr>
        <w:tabs>
          <w:tab w:val="left" w:pos="1418"/>
        </w:tabs>
        <w:autoSpaceDE w:val="0"/>
        <w:autoSpaceDN w:val="0"/>
        <w:adjustRightInd w:val="0"/>
        <w:spacing w:line="360" w:lineRule="auto"/>
        <w:ind w:left="480"/>
        <w:rPr>
          <w:rFonts w:ascii="宋体" w:hAnsi="宋体" w:cs="宋体"/>
          <w:kern w:val="0"/>
          <w:sz w:val="24"/>
        </w:rPr>
      </w:pPr>
      <w:r>
        <w:rPr>
          <w:rFonts w:hint="eastAsia" w:ascii="宋体" w:hAnsi="宋体" w:cs="宋体"/>
          <w:b/>
          <w:kern w:val="0"/>
          <w:sz w:val="24"/>
        </w:rPr>
        <w:t>（三）磋商响应文件的有效期</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s="宋体"/>
          <w:szCs w:val="24"/>
          <w:lang w:val="en-GB"/>
        </w:rPr>
      </w:pPr>
      <w:r>
        <w:rPr>
          <w:rFonts w:hint="eastAsia" w:ascii="宋体" w:hAnsi="宋体" w:cs="宋体"/>
          <w:szCs w:val="24"/>
        </w:rPr>
        <w:t>1、</w:t>
      </w:r>
      <w:r>
        <w:rPr>
          <w:rFonts w:hint="eastAsia" w:ascii="宋体" w:hAnsi="宋体" w:cs="宋体"/>
          <w:szCs w:val="24"/>
          <w:lang w:val="en-GB"/>
        </w:rPr>
        <w:t>自磋商响应截止日起90天磋商响应文件应保持有效。有效期不足的磋商响应文件将被拒绝。</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s="宋体"/>
          <w:szCs w:val="24"/>
        </w:rPr>
      </w:pPr>
      <w:r>
        <w:rPr>
          <w:rFonts w:hint="eastAsia" w:ascii="宋体" w:hAnsi="宋体" w:cs="宋体"/>
          <w:szCs w:val="24"/>
        </w:rPr>
        <w:t>2、在特殊情况下，采购人可与磋商供应商协商延长磋商响应文件的有效期，这种要求和答复均以书面形式进行。</w:t>
      </w:r>
    </w:p>
    <w:p>
      <w:pPr>
        <w:pStyle w:val="8"/>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s="宋体"/>
          <w:szCs w:val="24"/>
        </w:rPr>
      </w:pPr>
      <w:r>
        <w:rPr>
          <w:rFonts w:hint="eastAsia" w:ascii="宋体" w:hAnsi="宋体" w:cs="宋体"/>
          <w:szCs w:val="24"/>
        </w:rPr>
        <w:t xml:space="preserve">3、磋商供应商可拒绝接受延期要求。同意延长有效期的磋商供应商不能修改磋商响应文件。 </w:t>
      </w:r>
    </w:p>
    <w:p>
      <w:pPr>
        <w:snapToGrid w:val="0"/>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4.成交供应商的</w:t>
      </w:r>
      <w:r>
        <w:rPr>
          <w:rFonts w:hint="eastAsia" w:ascii="宋体" w:hAnsi="宋体" w:cs="宋体"/>
          <w:sz w:val="24"/>
        </w:rPr>
        <w:t>磋商响应文件</w:t>
      </w:r>
      <w:r>
        <w:rPr>
          <w:rFonts w:hint="eastAsia" w:ascii="宋体" w:hAnsi="宋体" w:cs="宋体"/>
          <w:kern w:val="0"/>
          <w:sz w:val="24"/>
        </w:rPr>
        <w:t>自磋商之日起至合同履行完毕均应保持有效。</w:t>
      </w:r>
    </w:p>
    <w:p>
      <w:pPr>
        <w:snapToGrid w:val="0"/>
        <w:spacing w:line="360" w:lineRule="auto"/>
        <w:ind w:firstLine="482" w:firstLineChars="200"/>
        <w:jc w:val="left"/>
        <w:outlineLvl w:val="0"/>
        <w:rPr>
          <w:rFonts w:ascii="宋体" w:hAnsi="宋体" w:cs="宋体"/>
          <w:b/>
          <w:kern w:val="0"/>
          <w:sz w:val="24"/>
        </w:rPr>
      </w:pPr>
      <w:r>
        <w:rPr>
          <w:rFonts w:hint="eastAsia" w:ascii="宋体" w:hAnsi="宋体" w:cs="宋体"/>
          <w:b/>
          <w:kern w:val="0"/>
          <w:sz w:val="24"/>
        </w:rPr>
        <w:t>（四）磋商响应文件的备选方案</w:t>
      </w:r>
    </w:p>
    <w:p>
      <w:pPr>
        <w:snapToGrid w:val="0"/>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1、投标供应商不得递交任何的投标备选（替代）方案，否则其磋商响应文件将作无效标处理。</w:t>
      </w:r>
      <w:r>
        <w:rPr>
          <w:rFonts w:hint="eastAsia" w:ascii="宋体" w:hAnsi="宋体" w:cs="宋体"/>
          <w:b/>
          <w:bCs/>
          <w:kern w:val="0"/>
          <w:sz w:val="24"/>
        </w:rPr>
        <w:t>与“电子加密磋商响应文件”同时生成的“备份磋商响应文件”不是投标备选（替代）方案。</w:t>
      </w:r>
    </w:p>
    <w:p>
      <w:pPr>
        <w:tabs>
          <w:tab w:val="left" w:pos="1418"/>
        </w:tabs>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三、磋商保证金</w:t>
      </w:r>
    </w:p>
    <w:p>
      <w:pPr>
        <w:snapToGrid w:val="0"/>
        <w:spacing w:line="360" w:lineRule="auto"/>
        <w:ind w:firstLine="470" w:firstLineChars="196"/>
        <w:rPr>
          <w:rFonts w:ascii="宋体" w:hAnsi="宋体" w:cs="宋体"/>
          <w:bCs/>
          <w:sz w:val="24"/>
        </w:rPr>
      </w:pPr>
      <w:r>
        <w:rPr>
          <w:rFonts w:hint="eastAsia" w:ascii="宋体" w:hAnsi="宋体" w:cs="宋体"/>
          <w:kern w:val="0"/>
          <w:sz w:val="24"/>
        </w:rPr>
        <w:t>无</w:t>
      </w:r>
    </w:p>
    <w:p>
      <w:pPr>
        <w:tabs>
          <w:tab w:val="left" w:pos="1418"/>
        </w:tabs>
        <w:autoSpaceDE w:val="0"/>
        <w:autoSpaceDN w:val="0"/>
        <w:adjustRightInd w:val="0"/>
        <w:spacing w:line="360" w:lineRule="auto"/>
        <w:ind w:firstLine="364" w:firstLineChars="151"/>
        <w:rPr>
          <w:rFonts w:ascii="宋体" w:hAnsi="宋体" w:cs="宋体"/>
          <w:b/>
          <w:kern w:val="0"/>
          <w:sz w:val="24"/>
        </w:rPr>
      </w:pPr>
      <w:r>
        <w:rPr>
          <w:rFonts w:hint="eastAsia" w:ascii="宋体" w:hAnsi="宋体" w:cs="宋体"/>
          <w:b/>
          <w:kern w:val="0"/>
          <w:sz w:val="24"/>
        </w:rPr>
        <w:t>四、磋商</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b/>
          <w:sz w:val="24"/>
        </w:rPr>
        <w:t>（一）磋商说明</w:t>
      </w:r>
    </w:p>
    <w:p>
      <w:pPr>
        <w:autoSpaceDE w:val="0"/>
        <w:autoSpaceDN w:val="0"/>
        <w:adjustRightInd w:val="0"/>
        <w:spacing w:line="360" w:lineRule="auto"/>
        <w:ind w:firstLine="475" w:firstLineChars="198"/>
        <w:rPr>
          <w:rFonts w:ascii="宋体" w:hAnsi="宋体" w:cs="宋体"/>
          <w:sz w:val="24"/>
        </w:rPr>
      </w:pPr>
      <w:r>
        <w:rPr>
          <w:rFonts w:hint="eastAsia" w:ascii="宋体" w:hAnsi="宋体" w:cs="宋体"/>
          <w:sz w:val="24"/>
        </w:rPr>
        <w:t>采购组织机构将按照磋商文件规定的时间通过“政府采购云平台”组织开标、开启磋商响应文件，所有供应商均应当准时在线参加。投标供应商如不参加开标大会的，视同认可开标结果，事后不得对采购相关人员、开标过程和开标结果提出异议，同时投标供应商因未在线参加开标而导致磋商响应文件无法按时解密等一切后果由供应商自己承担。因电子交易平台故障无法登录、无法正常操作等导致平台无法正常运行，或者无法保证电子交易的公平、公正和安全时，采购组织机构可中止电子交易活动。</w:t>
      </w:r>
    </w:p>
    <w:p>
      <w:pPr>
        <w:autoSpaceDE w:val="0"/>
        <w:autoSpaceDN w:val="0"/>
        <w:adjustRightInd w:val="0"/>
        <w:spacing w:line="360" w:lineRule="auto"/>
        <w:ind w:firstLine="477" w:firstLineChars="198"/>
        <w:rPr>
          <w:rFonts w:ascii="宋体" w:hAnsi="宋体" w:cs="宋体"/>
          <w:b/>
          <w:bCs/>
          <w:sz w:val="24"/>
        </w:rPr>
      </w:pPr>
      <w:r>
        <w:rPr>
          <w:rFonts w:hint="eastAsia" w:ascii="宋体" w:hAnsi="宋体" w:cs="宋体"/>
          <w:b/>
          <w:bCs/>
          <w:sz w:val="24"/>
        </w:rPr>
        <w:t>（二）磋商流程</w:t>
      </w:r>
    </w:p>
    <w:p>
      <w:pPr>
        <w:spacing w:line="360" w:lineRule="auto"/>
        <w:ind w:firstLine="424" w:firstLineChars="177"/>
        <w:jc w:val="left"/>
        <w:rPr>
          <w:rFonts w:ascii="宋体" w:hAnsi="宋体" w:cs="宋体"/>
          <w:kern w:val="0"/>
          <w:sz w:val="24"/>
        </w:rPr>
      </w:pPr>
      <w:r>
        <w:rPr>
          <w:rFonts w:hint="eastAsia" w:ascii="宋体" w:hAnsi="宋体" w:cs="宋体"/>
          <w:kern w:val="0"/>
          <w:sz w:val="24"/>
        </w:rPr>
        <w:t>（1）向各投标供应商发出电子加密磋商响应文件【开始解密】通知，由供应商按磋商文件规定的时间内自行进行磋商响应文件解密。投标供应商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spacing w:line="360" w:lineRule="auto"/>
        <w:ind w:firstLine="426" w:firstLineChars="177"/>
        <w:jc w:val="left"/>
        <w:rPr>
          <w:rFonts w:ascii="宋体" w:hAnsi="宋体" w:cs="宋体"/>
          <w:kern w:val="0"/>
          <w:sz w:val="24"/>
        </w:rPr>
      </w:pPr>
      <w:r>
        <w:rPr>
          <w:rFonts w:hint="eastAsia" w:ascii="宋体" w:hAnsi="宋体" w:cs="宋体"/>
          <w:b/>
          <w:bCs/>
          <w:kern w:val="0"/>
          <w:sz w:val="24"/>
        </w:rPr>
        <w:t>（2）磋商响应文件解密结束，投标供应商签署《政府采购活动现场确认声明书》，将扫描件发送至邮箱：907539667@qq.com；《政府采购活动现场确认声明书》格式详见附件。如没有发送的，视为对采购代理机构和采购人之间、投标人与其他供应商均不存在利害关系。</w:t>
      </w:r>
    </w:p>
    <w:p>
      <w:pPr>
        <w:spacing w:line="360" w:lineRule="auto"/>
        <w:ind w:firstLine="424" w:firstLineChars="177"/>
        <w:jc w:val="left"/>
        <w:rPr>
          <w:rFonts w:ascii="宋体" w:hAnsi="宋体" w:cs="宋体"/>
          <w:kern w:val="0"/>
          <w:sz w:val="24"/>
        </w:rPr>
      </w:pPr>
      <w:r>
        <w:rPr>
          <w:rFonts w:hint="eastAsia" w:ascii="宋体" w:hAnsi="宋体" w:cs="宋体"/>
          <w:kern w:val="0"/>
          <w:sz w:val="24"/>
        </w:rPr>
        <w:t>（3）开启磋商响应文件，首先进行资格审查；如发现投标供应商所提交的资格证明材料不合法或与事实不符，可取消其中标资格并追究投标供应商的法律责任。如资格证明材料无法证明其符合磋商文件规定的“投标供应商资格要求”的，将对其作资格审查不通过处理（无效投标），并不进入后续磋商小组评审。</w:t>
      </w:r>
    </w:p>
    <w:p>
      <w:pPr>
        <w:spacing w:line="360" w:lineRule="auto"/>
        <w:ind w:firstLine="424" w:firstLineChars="177"/>
        <w:jc w:val="left"/>
        <w:rPr>
          <w:rFonts w:ascii="宋体" w:hAnsi="宋体" w:cs="宋体"/>
          <w:kern w:val="0"/>
          <w:sz w:val="24"/>
        </w:rPr>
      </w:pPr>
      <w:r>
        <w:rPr>
          <w:rFonts w:hint="eastAsia" w:ascii="宋体" w:hAnsi="宋体" w:cs="宋体"/>
          <w:kern w:val="0"/>
          <w:sz w:val="24"/>
        </w:rPr>
        <w:t>（4）资格审查通过的投标供应商的进入商务与技术的符合性审查、评审；</w:t>
      </w:r>
    </w:p>
    <w:p>
      <w:pPr>
        <w:spacing w:line="360" w:lineRule="auto"/>
        <w:ind w:firstLine="424" w:firstLineChars="177"/>
        <w:jc w:val="left"/>
        <w:rPr>
          <w:rFonts w:ascii="宋体" w:hAnsi="宋体" w:cs="宋体"/>
          <w:kern w:val="0"/>
          <w:sz w:val="24"/>
        </w:rPr>
      </w:pPr>
      <w:r>
        <w:rPr>
          <w:rFonts w:hint="eastAsia" w:ascii="宋体" w:hAnsi="宋体" w:cs="宋体"/>
          <w:kern w:val="0"/>
          <w:sz w:val="24"/>
        </w:rPr>
        <w:t>（5）公布资格审查、符合性审查、商务技术文件评审无效供应商名称及理由；公布有效磋商供应商的名单。</w:t>
      </w:r>
    </w:p>
    <w:p>
      <w:pPr>
        <w:spacing w:line="360" w:lineRule="auto"/>
        <w:ind w:firstLine="424" w:firstLineChars="177"/>
        <w:jc w:val="left"/>
        <w:rPr>
          <w:rFonts w:ascii="宋体" w:hAnsi="宋体" w:cs="宋体"/>
          <w:kern w:val="0"/>
          <w:sz w:val="24"/>
        </w:rPr>
      </w:pPr>
      <w:r>
        <w:rPr>
          <w:rFonts w:hint="eastAsia" w:ascii="宋体" w:hAnsi="宋体" w:cs="宋体"/>
          <w:kern w:val="0"/>
          <w:sz w:val="24"/>
        </w:rPr>
        <w:t>（6）磋商小组所有成员集中与单一供应商分别进行磋商，并给予所有参加磋商的供应商平等的磋商机会。</w:t>
      </w:r>
    </w:p>
    <w:p>
      <w:pPr>
        <w:spacing w:line="360" w:lineRule="auto"/>
        <w:ind w:firstLine="424" w:firstLineChars="177"/>
        <w:jc w:val="left"/>
        <w:rPr>
          <w:rFonts w:ascii="宋体" w:hAnsi="宋体" w:cs="宋体"/>
          <w:kern w:val="0"/>
          <w:sz w:val="24"/>
        </w:rPr>
      </w:pPr>
      <w:r>
        <w:rPr>
          <w:rFonts w:hint="eastAsia" w:ascii="宋体" w:hAnsi="宋体" w:cs="宋体"/>
          <w:kern w:val="0"/>
          <w:sz w:val="24"/>
        </w:rPr>
        <w:t xml:space="preserve">（7）磋商文件能够详细列明采购标的的技术、服务要求的，磋商结束后，磋商小组将要求所有实质性响应的供应商在规定时间内在“政采云平台”上提交最后报价，最后报价是供应商响应文件的有效组成部分。 </w:t>
      </w:r>
    </w:p>
    <w:p>
      <w:pPr>
        <w:spacing w:line="360" w:lineRule="auto"/>
        <w:ind w:firstLine="426" w:firstLineChars="177"/>
        <w:jc w:val="left"/>
        <w:rPr>
          <w:rFonts w:ascii="宋体" w:hAnsi="宋体" w:cs="宋体"/>
          <w:b/>
          <w:bCs/>
          <w:kern w:val="0"/>
          <w:sz w:val="24"/>
        </w:rPr>
      </w:pPr>
      <w:r>
        <w:rPr>
          <w:rFonts w:hint="eastAsia" w:ascii="宋体" w:hAnsi="宋体" w:cs="宋体"/>
          <w:b/>
          <w:bCs/>
          <w:kern w:val="0"/>
          <w:sz w:val="24"/>
        </w:rPr>
        <w:t>若在规定报价时间内，供应商未完成最终报价的，则该供应商作无效处理，由此引起的后果由供应商自行承担。</w:t>
      </w:r>
    </w:p>
    <w:p>
      <w:pPr>
        <w:spacing w:line="360" w:lineRule="auto"/>
        <w:ind w:firstLine="424" w:firstLineChars="177"/>
        <w:jc w:val="left"/>
        <w:rPr>
          <w:rFonts w:ascii="宋体" w:hAnsi="宋体" w:cs="宋体"/>
          <w:kern w:val="0"/>
          <w:sz w:val="24"/>
        </w:rPr>
      </w:pPr>
      <w:r>
        <w:rPr>
          <w:rFonts w:hint="eastAsia" w:ascii="宋体" w:hAnsi="宋体" w:cs="宋体"/>
          <w:kern w:val="0"/>
          <w:sz w:val="24"/>
        </w:rPr>
        <w:t>（8）经磋商确定最终采购需求和提交最后报价的供应商后，由磋商小组采用综合评分法对提交最后报价的供应商的响应文件和最后报价进行综合评分。</w:t>
      </w:r>
    </w:p>
    <w:p>
      <w:pPr>
        <w:spacing w:line="360" w:lineRule="auto"/>
        <w:ind w:firstLine="424" w:firstLineChars="177"/>
        <w:jc w:val="left"/>
        <w:rPr>
          <w:rFonts w:ascii="宋体" w:hAnsi="宋体" w:cs="宋体"/>
          <w:kern w:val="0"/>
          <w:sz w:val="24"/>
        </w:rPr>
      </w:pPr>
      <w:r>
        <w:rPr>
          <w:rFonts w:hint="eastAsia" w:ascii="宋体" w:hAnsi="宋体" w:cs="宋体"/>
          <w:kern w:val="0"/>
          <w:sz w:val="24"/>
        </w:rPr>
        <w:t>（9）磋商小组根据综合评分情况，按照评审得分由高到低顺序确定预成交供应商，编写评审报告。</w:t>
      </w:r>
    </w:p>
    <w:p>
      <w:pPr>
        <w:spacing w:line="360" w:lineRule="auto"/>
        <w:ind w:firstLine="424" w:firstLineChars="177"/>
        <w:jc w:val="left"/>
        <w:rPr>
          <w:rFonts w:ascii="宋体" w:hAnsi="宋体" w:cs="宋体"/>
          <w:kern w:val="0"/>
          <w:sz w:val="24"/>
        </w:rPr>
      </w:pPr>
      <w:r>
        <w:rPr>
          <w:rFonts w:hint="eastAsia" w:ascii="宋体" w:hAnsi="宋体" w:cs="宋体"/>
          <w:kern w:val="0"/>
          <w:sz w:val="24"/>
        </w:rPr>
        <w:t>（10）评审结束后，公布中标（成交）候选供应商名单，或在政釆云平台上进行公布结果。</w:t>
      </w:r>
    </w:p>
    <w:p>
      <w:pPr>
        <w:spacing w:line="360" w:lineRule="auto"/>
        <w:ind w:firstLine="426" w:firstLineChars="177"/>
        <w:jc w:val="left"/>
        <w:rPr>
          <w:rFonts w:ascii="宋体" w:hAnsi="宋体" w:cs="宋体"/>
          <w:b/>
          <w:kern w:val="0"/>
          <w:sz w:val="24"/>
        </w:rPr>
      </w:pPr>
      <w:r>
        <w:rPr>
          <w:rFonts w:hint="eastAsia" w:ascii="宋体" w:hAnsi="宋体" w:cs="宋体"/>
          <w:b/>
          <w:kern w:val="0"/>
          <w:sz w:val="24"/>
        </w:rPr>
        <w:t>特别说明：1、如遇“政府采购云平台”电子化开标或评审程序调整的，按调整后程序执行。</w:t>
      </w:r>
    </w:p>
    <w:p>
      <w:pPr>
        <w:spacing w:line="360" w:lineRule="auto"/>
        <w:ind w:firstLine="480" w:firstLineChars="200"/>
        <w:rPr>
          <w:rFonts w:ascii="宋体" w:hAnsi="宋体" w:cs="宋体"/>
          <w:sz w:val="24"/>
        </w:rPr>
      </w:pPr>
      <w:r>
        <w:rPr>
          <w:rFonts w:hint="eastAsia" w:ascii="宋体" w:hAnsi="宋体" w:cs="宋体"/>
          <w:sz w:val="24"/>
        </w:rPr>
        <w:t>2、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18"/>
        <w:snapToGrid w:val="0"/>
        <w:spacing w:line="360" w:lineRule="auto"/>
        <w:ind w:left="720" w:leftChars="228" w:hanging="241" w:hangingChars="100"/>
        <w:rPr>
          <w:rFonts w:ascii="宋体" w:hAnsi="宋体" w:eastAsia="宋体" w:cs="宋体"/>
          <w:sz w:val="24"/>
        </w:rPr>
      </w:pPr>
      <w:r>
        <w:rPr>
          <w:rFonts w:hint="eastAsia" w:ascii="宋体" w:hAnsi="宋体" w:eastAsia="宋体" w:cs="宋体"/>
          <w:b/>
          <w:sz w:val="24"/>
        </w:rPr>
        <w:t>（三）澄清问题的形式</w:t>
      </w:r>
    </w:p>
    <w:p>
      <w:pPr>
        <w:snapToGrid w:val="0"/>
        <w:spacing w:line="360" w:lineRule="auto"/>
        <w:ind w:firstLine="480" w:firstLineChars="200"/>
        <w:rPr>
          <w:rFonts w:ascii="宋体" w:hAnsi="宋体" w:cs="宋体"/>
          <w:sz w:val="24"/>
        </w:rPr>
      </w:pPr>
      <w:r>
        <w:rPr>
          <w:rFonts w:hint="eastAsia" w:ascii="宋体" w:hAnsi="宋体" w:cs="宋体"/>
          <w:sz w:val="24"/>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s="宋体"/>
          <w:sz w:val="24"/>
        </w:rPr>
      </w:pPr>
      <w:r>
        <w:rPr>
          <w:rFonts w:hint="eastAsia" w:ascii="宋体" w:hAnsi="宋体" w:cs="宋体"/>
          <w:b/>
          <w:sz w:val="24"/>
        </w:rPr>
        <w:t>（四）错误修正</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磋商响应文件报价出现前后不一致的，除</w:t>
      </w:r>
      <w:r>
        <w:rPr>
          <w:rFonts w:ascii="宋体" w:hAnsi="宋体" w:cs="宋体"/>
          <w:bCs/>
        </w:rPr>
        <w:t>磋商采购文件</w:t>
      </w:r>
      <w:r>
        <w:rPr>
          <w:rFonts w:ascii="宋体" w:hAnsi="宋体" w:cs="宋体"/>
        </w:rPr>
        <w:t>另有规定外，按照下列规定修正：</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1、磋商响应文件中首次报价一览表内容与磋商响应文件中相应内容不一致的，以首次报价一览表为准；</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2、政采云平台上开启的投标报价与电子磋商响应文件中报价一览表内容不一致的，以电子磋商响应文件中报价一览表为准；</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3、大写金额和小写金额不一致的，以大写金额为准；</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4、单价金额小数点或者百分比有明显错位的，以首次报价一览表的总价为准，并修改单价；</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5、总价金额与按单价汇总金额不一致的，以单价金额计算结果为准。</w:t>
      </w:r>
    </w:p>
    <w:p>
      <w:pPr>
        <w:pStyle w:val="28"/>
        <w:spacing w:before="0" w:beforeAutospacing="0" w:after="0" w:afterAutospacing="0" w:line="360" w:lineRule="auto"/>
        <w:ind w:firstLine="480"/>
        <w:jc w:val="both"/>
        <w:rPr>
          <w:rFonts w:hint="default" w:ascii="宋体" w:hAnsi="宋体" w:cs="宋体"/>
        </w:rPr>
      </w:pPr>
      <w:r>
        <w:rPr>
          <w:rFonts w:ascii="宋体" w:hAnsi="宋体" w:cs="宋体"/>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pPr>
        <w:pStyle w:val="28"/>
        <w:spacing w:before="0" w:beforeAutospacing="0" w:after="0" w:afterAutospacing="0" w:line="360" w:lineRule="auto"/>
        <w:ind w:firstLine="480"/>
        <w:rPr>
          <w:rFonts w:hint="default" w:ascii="宋体" w:hAnsi="宋体" w:cs="宋体"/>
        </w:rPr>
      </w:pPr>
      <w:r>
        <w:rPr>
          <w:rFonts w:ascii="宋体" w:hAnsi="宋体" w:cs="宋体"/>
          <w:b/>
          <w:bCs/>
        </w:rPr>
        <w:t>（五）</w:t>
      </w:r>
      <w:r>
        <w:rPr>
          <w:rFonts w:ascii="宋体" w:hAnsi="宋体" w:cs="宋体"/>
          <w:b/>
        </w:rPr>
        <w:t>磋商供应商存在下列情况之一的，响应无效，终止磋商</w:t>
      </w:r>
    </w:p>
    <w:p>
      <w:pPr>
        <w:adjustRightInd w:val="0"/>
        <w:snapToGrid w:val="0"/>
        <w:spacing w:line="360" w:lineRule="auto"/>
        <w:ind w:firstLine="480" w:firstLineChars="200"/>
        <w:jc w:val="left"/>
        <w:rPr>
          <w:rFonts w:ascii="宋体" w:hAnsi="宋体" w:cs="宋体"/>
          <w:b/>
          <w:bCs/>
          <w:sz w:val="24"/>
        </w:rPr>
      </w:pPr>
      <w:r>
        <w:rPr>
          <w:rFonts w:hint="eastAsia" w:ascii="宋体" w:hAnsi="宋体" w:cs="宋体"/>
          <w:kern w:val="0"/>
          <w:sz w:val="24"/>
        </w:rPr>
        <w:t>1、磋商响应文件中的报价服务跟商务与技术内容中的服务出现重大偏差的；</w:t>
      </w:r>
    </w:p>
    <w:p>
      <w:pPr>
        <w:pStyle w:val="28"/>
        <w:tabs>
          <w:tab w:val="left" w:pos="7380"/>
        </w:tabs>
        <w:adjustRightInd w:val="0"/>
        <w:snapToGrid w:val="0"/>
        <w:spacing w:before="0" w:beforeAutospacing="0" w:after="0" w:afterAutospacing="0" w:line="360" w:lineRule="auto"/>
        <w:ind w:firstLine="480" w:firstLineChars="200"/>
        <w:rPr>
          <w:rFonts w:hint="default" w:ascii="宋体" w:hAnsi="宋体" w:cs="宋体"/>
        </w:rPr>
      </w:pPr>
      <w:r>
        <w:rPr>
          <w:rFonts w:ascii="宋体" w:hAnsi="宋体" w:cs="宋体"/>
        </w:rPr>
        <w:t>2、不具备磋商采购文件中规定的资格要求的。</w:t>
      </w:r>
    </w:p>
    <w:p>
      <w:pPr>
        <w:pStyle w:val="28"/>
        <w:adjustRightInd w:val="0"/>
        <w:snapToGrid w:val="0"/>
        <w:spacing w:before="0" w:beforeAutospacing="0" w:after="0" w:afterAutospacing="0" w:line="360" w:lineRule="auto"/>
        <w:ind w:firstLine="480" w:firstLineChars="200"/>
        <w:rPr>
          <w:rFonts w:hint="default" w:ascii="宋体" w:hAnsi="宋体" w:cs="宋体"/>
        </w:rPr>
      </w:pPr>
      <w:r>
        <w:rPr>
          <w:rFonts w:ascii="宋体" w:hAnsi="宋体" w:cs="宋体"/>
        </w:rPr>
        <w:t>3、磋商响应文件含有采购人不能接受的附加条件的。</w:t>
      </w:r>
    </w:p>
    <w:p>
      <w:pPr>
        <w:adjustRightInd w:val="0"/>
        <w:snapToGrid w:val="0"/>
        <w:spacing w:line="360" w:lineRule="auto"/>
        <w:ind w:right="-340" w:rightChars="-162" w:firstLine="480" w:firstLineChars="200"/>
        <w:jc w:val="left"/>
        <w:rPr>
          <w:rFonts w:ascii="宋体" w:hAnsi="宋体" w:cs="宋体"/>
          <w:bCs/>
          <w:kern w:val="0"/>
          <w:sz w:val="24"/>
        </w:rPr>
      </w:pPr>
      <w:r>
        <w:rPr>
          <w:rFonts w:hint="eastAsia" w:ascii="宋体" w:hAnsi="宋体" w:cs="宋体"/>
          <w:kern w:val="0"/>
          <w:sz w:val="24"/>
        </w:rPr>
        <w:t>4</w:t>
      </w:r>
      <w:r>
        <w:rPr>
          <w:rFonts w:hint="eastAsia" w:ascii="宋体" w:hAnsi="宋体" w:cs="宋体"/>
          <w:sz w:val="24"/>
        </w:rPr>
        <w:t>、供应商代表人未能出具身份证明或与法定代表人授权委托人身份不符的；</w:t>
      </w:r>
    </w:p>
    <w:p>
      <w:pPr>
        <w:pStyle w:val="28"/>
        <w:adjustRightInd w:val="0"/>
        <w:snapToGrid w:val="0"/>
        <w:spacing w:before="0" w:beforeAutospacing="0" w:after="0" w:afterAutospacing="0" w:line="360" w:lineRule="auto"/>
        <w:ind w:firstLine="480" w:firstLineChars="200"/>
        <w:rPr>
          <w:rFonts w:hint="default" w:ascii="宋体" w:hAnsi="宋体" w:cs="宋体"/>
        </w:rPr>
      </w:pPr>
      <w:r>
        <w:rPr>
          <w:rFonts w:ascii="宋体" w:hAnsi="宋体" w:cs="宋体"/>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8"/>
        <w:adjustRightInd w:val="0"/>
        <w:snapToGrid w:val="0"/>
        <w:spacing w:before="0" w:beforeAutospacing="0" w:after="0" w:afterAutospacing="0" w:line="360" w:lineRule="auto"/>
        <w:ind w:firstLine="480" w:firstLineChars="200"/>
        <w:rPr>
          <w:rFonts w:hint="default" w:ascii="宋体" w:hAnsi="宋体" w:cs="宋体"/>
        </w:rPr>
      </w:pPr>
      <w:r>
        <w:rPr>
          <w:rFonts w:ascii="宋体" w:hAnsi="宋体" w:cs="宋体"/>
        </w:rPr>
        <w:t>6、报价超过磋商采购文件中规定的预算金额/最高限（单）价。</w:t>
      </w:r>
    </w:p>
    <w:p>
      <w:pPr>
        <w:tabs>
          <w:tab w:val="left" w:pos="1898"/>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7、磋商参数未如实填写的。</w:t>
      </w:r>
    </w:p>
    <w:p>
      <w:pPr>
        <w:tabs>
          <w:tab w:val="left" w:pos="1898"/>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kern w:val="0"/>
          <w:sz w:val="24"/>
        </w:rPr>
        <w:t>9、</w:t>
      </w:r>
      <w:r>
        <w:rPr>
          <w:rFonts w:hint="eastAsia" w:ascii="宋体" w:hAnsi="宋体" w:cs="宋体"/>
          <w:sz w:val="24"/>
        </w:rPr>
        <w:t>不同供应商的磋商响应文件由同一单位或者个人编制；</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10、不同供应商委托同一单位或者个人办理磋商事宜；</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11、不同供应商的磋商响应文件载明的项目管理成员或者联系人员为同一人；</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12、不同供应商的磋商响应文件异常一致或者报价呈规律性差异；</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13、不同供应商的磋商响应文件相互混装；</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14、不符合法律、法规和磋商采购文件中规定的其他实质性要求的（磋商采购文件中打“▲”内容及被拒绝的条款）。</w:t>
      </w:r>
    </w:p>
    <w:p>
      <w:pPr>
        <w:pStyle w:val="28"/>
        <w:spacing w:before="0" w:beforeAutospacing="0" w:after="0" w:afterAutospacing="0" w:line="360" w:lineRule="auto"/>
        <w:ind w:firstLine="480" w:firstLineChars="200"/>
        <w:rPr>
          <w:rFonts w:hint="default" w:ascii="宋体" w:hAnsi="宋体" w:cs="宋体"/>
        </w:rPr>
      </w:pPr>
      <w:r>
        <w:rPr>
          <w:rFonts w:ascii="宋体" w:hAnsi="宋体" w:cs="宋体"/>
        </w:rPr>
        <w:t>15、</w:t>
      </w:r>
      <w:r>
        <w:rPr>
          <w:rFonts w:ascii="宋体" w:hAnsi="宋体" w:cs="宋体"/>
          <w:b/>
          <w:bCs/>
        </w:rPr>
        <w:t>仅提交“备份磋商响应文件”或电子磋商响应文件未按时完成解密，又未提供备份电子磋商响应文件的；</w:t>
      </w:r>
    </w:p>
    <w:p>
      <w:pPr>
        <w:autoSpaceDE w:val="0"/>
        <w:autoSpaceDN w:val="0"/>
        <w:adjustRightInd w:val="0"/>
        <w:spacing w:line="360" w:lineRule="auto"/>
        <w:ind w:firstLine="482" w:firstLineChars="200"/>
        <w:jc w:val="left"/>
        <w:rPr>
          <w:rFonts w:ascii="宋体" w:hAnsi="宋体" w:cs="宋体"/>
          <w:kern w:val="0"/>
          <w:sz w:val="24"/>
        </w:rPr>
      </w:pPr>
      <w:r>
        <w:rPr>
          <w:rFonts w:hint="eastAsia" w:ascii="宋体" w:hAnsi="宋体" w:cs="宋体"/>
          <w:b/>
          <w:kern w:val="0"/>
          <w:sz w:val="24"/>
        </w:rPr>
        <w:t>（六）有下列情况之一的，本次磋商终止。</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1、出现影响采购公正的违法、违规行为的；</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 xml:space="preserve">2、磋商小组发现磋商文件存在歧义、重大缺陷导致评审工作无法进行，或者磋商文件内容违反国家有关强制性规定的； </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3、因重大变故，采购任务取消的；</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4、法律、法规和磋商文件规定的其他导致评审结果无效的。</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5、因电子交易平台故障无法登录、无法正常操作等导致平台无法正常运行，或者无法保证电子交易的公平、公正和安全时，采购组织机构可中止电子交易活动。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kern w:val="0"/>
          <w:sz w:val="24"/>
        </w:rPr>
      </w:pPr>
      <w:r>
        <w:rPr>
          <w:rFonts w:hint="eastAsia" w:ascii="宋体" w:hAnsi="宋体" w:cs="宋体"/>
          <w:b/>
          <w:kern w:val="0"/>
          <w:sz w:val="24"/>
        </w:rPr>
        <w:t>（七）磋商原则和方法</w:t>
      </w:r>
    </w:p>
    <w:p>
      <w:pPr>
        <w:pStyle w:val="18"/>
        <w:snapToGrid w:val="0"/>
        <w:spacing w:line="360" w:lineRule="auto"/>
        <w:ind w:firstLine="600" w:firstLineChars="250"/>
        <w:rPr>
          <w:rFonts w:ascii="宋体" w:hAnsi="宋体" w:eastAsia="宋体" w:cs="宋体"/>
          <w:sz w:val="24"/>
        </w:rPr>
      </w:pPr>
      <w:r>
        <w:rPr>
          <w:rFonts w:hint="eastAsia" w:ascii="宋体" w:hAnsi="宋体" w:eastAsia="宋体" w:cs="宋体"/>
          <w:sz w:val="24"/>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18"/>
        <w:snapToGrid w:val="0"/>
        <w:spacing w:line="360" w:lineRule="auto"/>
        <w:ind w:firstLine="600" w:firstLineChars="250"/>
        <w:rPr>
          <w:rFonts w:ascii="宋体" w:hAnsi="宋体" w:eastAsia="宋体" w:cs="宋体"/>
          <w:sz w:val="24"/>
        </w:rPr>
      </w:pPr>
      <w:r>
        <w:rPr>
          <w:rFonts w:hint="eastAsia" w:ascii="宋体" w:hAnsi="宋体" w:eastAsia="宋体" w:cs="宋体"/>
          <w:sz w:val="24"/>
        </w:rPr>
        <w:t>2、磋商办法。具体磋商内容及评分标准等详见《第三章：评审方法及评分标准》。</w:t>
      </w:r>
    </w:p>
    <w:p>
      <w:pPr>
        <w:pStyle w:val="18"/>
        <w:snapToGrid w:val="0"/>
        <w:spacing w:line="360" w:lineRule="auto"/>
        <w:ind w:firstLine="602" w:firstLineChars="250"/>
        <w:rPr>
          <w:rFonts w:ascii="宋体" w:hAnsi="宋体" w:eastAsia="宋体" w:cs="宋体"/>
          <w:sz w:val="24"/>
        </w:rPr>
      </w:pPr>
      <w:r>
        <w:rPr>
          <w:rFonts w:hint="eastAsia" w:ascii="宋体" w:hAnsi="宋体" w:eastAsia="宋体" w:cs="宋体"/>
          <w:b/>
          <w:sz w:val="24"/>
        </w:rPr>
        <w:t>（八）评审过程的监控</w:t>
      </w:r>
    </w:p>
    <w:p>
      <w:pPr>
        <w:pStyle w:val="28"/>
        <w:spacing w:before="0" w:beforeAutospacing="0" w:after="0" w:afterAutospacing="0" w:line="360" w:lineRule="auto"/>
        <w:ind w:firstLine="480" w:firstLineChars="200"/>
        <w:jc w:val="both"/>
        <w:rPr>
          <w:rFonts w:hint="default" w:ascii="宋体" w:hAnsi="宋体" w:cs="宋体"/>
        </w:rPr>
      </w:pPr>
      <w:r>
        <w:rPr>
          <w:rFonts w:ascii="宋体" w:hAnsi="宋体" w:cs="宋体"/>
        </w:rPr>
        <w:t>本项目评审过程实行全程录音、录像监控，政府采购监管部门视情进行现场监督，供应商在评审过程中所进行的试图影响评审结果的不公正活动，可能导致其被拒绝磋商。</w:t>
      </w:r>
    </w:p>
    <w:p>
      <w:pPr>
        <w:pStyle w:val="28"/>
        <w:spacing w:before="0" w:beforeAutospacing="0" w:after="0" w:afterAutospacing="0" w:line="360" w:lineRule="auto"/>
        <w:ind w:firstLine="482" w:firstLineChars="200"/>
        <w:jc w:val="both"/>
        <w:rPr>
          <w:rFonts w:hint="default" w:ascii="宋体" w:hAnsi="宋体" w:cs="宋体"/>
          <w:b/>
          <w:kern w:val="2"/>
        </w:rPr>
      </w:pPr>
      <w:r>
        <w:rPr>
          <w:rFonts w:ascii="宋体" w:hAnsi="宋体" w:cs="宋体"/>
          <w:b/>
          <w:kern w:val="2"/>
        </w:rPr>
        <w:t>五、磋商结果确定</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s="宋体"/>
          <w:kern w:val="0"/>
          <w:sz w:val="24"/>
        </w:rPr>
      </w:pPr>
      <w:r>
        <w:rPr>
          <w:rFonts w:hint="eastAsia" w:ascii="宋体" w:hAnsi="宋体" w:cs="宋体"/>
          <w:kern w:val="0"/>
          <w:sz w:val="24"/>
        </w:rPr>
        <w:t>2、发布成交结果公告。采购组织机构应当在成交供应商确定后2个工作日内，在省级以上财政部门指定的政府采购信息发布媒体及相关网站上公告成交结果，并将磋商文件随同公告。</w:t>
      </w:r>
    </w:p>
    <w:p>
      <w:pPr>
        <w:spacing w:line="360" w:lineRule="auto"/>
        <w:ind w:firstLine="480" w:firstLineChars="200"/>
        <w:rPr>
          <w:rFonts w:ascii="宋体" w:hAnsi="宋体" w:cs="宋体"/>
          <w:kern w:val="0"/>
          <w:sz w:val="24"/>
        </w:rPr>
      </w:pPr>
      <w:r>
        <w:rPr>
          <w:rFonts w:hint="eastAsia" w:ascii="宋体" w:hAnsi="宋体" w:cs="宋体"/>
          <w:kern w:val="0"/>
          <w:sz w:val="24"/>
        </w:rPr>
        <w:t>3、发出成交通知书。采购组织机构在发布成交结果同时，向成交供应商发出成交通知书。</w:t>
      </w:r>
    </w:p>
    <w:p>
      <w:pPr>
        <w:spacing w:line="360" w:lineRule="auto"/>
        <w:ind w:firstLine="482" w:firstLineChars="200"/>
        <w:rPr>
          <w:rFonts w:ascii="宋体" w:hAnsi="宋体" w:cs="宋体"/>
          <w:b/>
          <w:kern w:val="0"/>
          <w:sz w:val="24"/>
        </w:rPr>
      </w:pPr>
      <w:r>
        <w:rPr>
          <w:rFonts w:hint="eastAsia" w:ascii="宋体" w:hAnsi="宋体" w:cs="宋体"/>
          <w:b/>
          <w:kern w:val="0"/>
          <w:sz w:val="24"/>
        </w:rPr>
        <w:t>六、合同签订及公告</w:t>
      </w:r>
    </w:p>
    <w:p>
      <w:pPr>
        <w:pStyle w:val="16"/>
        <w:ind w:firstLine="482" w:firstLineChars="200"/>
        <w:rPr>
          <w:rFonts w:ascii="宋体" w:hAnsi="宋体" w:cs="宋体"/>
          <w:b/>
          <w:color w:val="auto"/>
          <w:szCs w:val="24"/>
        </w:rPr>
      </w:pPr>
      <w:r>
        <w:rPr>
          <w:rFonts w:hint="eastAsia" w:ascii="宋体" w:hAnsi="宋体" w:cs="宋体"/>
          <w:b/>
          <w:color w:val="auto"/>
          <w:szCs w:val="24"/>
        </w:rPr>
        <w:t>（一）签订合同</w:t>
      </w:r>
    </w:p>
    <w:p>
      <w:pPr>
        <w:pStyle w:val="16"/>
        <w:ind w:firstLine="480" w:firstLineChars="200"/>
        <w:rPr>
          <w:rFonts w:ascii="宋体" w:hAnsi="宋体" w:cs="宋体"/>
          <w:color w:val="auto"/>
          <w:szCs w:val="24"/>
        </w:rPr>
      </w:pPr>
      <w:r>
        <w:rPr>
          <w:rFonts w:hint="eastAsia" w:ascii="宋体" w:hAnsi="宋体" w:cs="宋体"/>
          <w:color w:val="auto"/>
          <w:szCs w:val="24"/>
        </w:rPr>
        <w:t>1、采购人应当自成交通知书发出之日起30日内，按照磋商采购文件确定的合同文本以及采购标的、规格型号、采购金额、采购数量和服务要求等事项签订政府采购合同。</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3、成交供应商无故拖延、拒签合同的,取消成交资格。</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4、成交供应商拒绝与采购人签订合同或因成交供应商原因造成采购人无法与成交供应商签订合同的，采购人可以按照评审报告名单排序，确定下一候选人为成交供应商，也可以重新开展政府采购活动。同时，拒绝与采购人签订合同的供应商，由同级财政部门依法作出处理。</w:t>
      </w:r>
    </w:p>
    <w:p>
      <w:pPr>
        <w:pStyle w:val="28"/>
        <w:spacing w:before="0" w:beforeAutospacing="0" w:after="0" w:afterAutospacing="0" w:line="360" w:lineRule="auto"/>
        <w:ind w:firstLine="600" w:firstLineChars="250"/>
        <w:jc w:val="both"/>
        <w:rPr>
          <w:rFonts w:hint="default" w:ascii="宋体" w:hAnsi="宋体" w:cs="宋体"/>
        </w:rPr>
      </w:pPr>
      <w:r>
        <w:rPr>
          <w:rFonts w:ascii="宋体" w:hAnsi="宋体" w:cs="宋体"/>
        </w:rPr>
        <w:t>5、询问或者质疑事项可能影响成交结果的，采购人应当暂停签订合同，已经签订合同的，应当中止履行合同（成交结果的质疑期为成交结果公告期限届满之日起七个工作日）。</w:t>
      </w:r>
    </w:p>
    <w:p>
      <w:pPr>
        <w:pStyle w:val="28"/>
        <w:spacing w:line="360" w:lineRule="auto"/>
        <w:ind w:firstLine="602" w:firstLineChars="250"/>
        <w:rPr>
          <w:rFonts w:hint="default" w:ascii="宋体" w:hAnsi="宋体" w:cs="宋体"/>
          <w:b/>
        </w:rPr>
      </w:pPr>
      <w:r>
        <w:rPr>
          <w:rFonts w:ascii="宋体" w:hAnsi="宋体" w:cs="宋体"/>
          <w:b/>
        </w:rPr>
        <w:t>（二）合同公告及备案</w:t>
      </w:r>
    </w:p>
    <w:p>
      <w:pPr>
        <w:pStyle w:val="16"/>
        <w:ind w:firstLine="480" w:firstLineChars="200"/>
        <w:rPr>
          <w:rFonts w:ascii="宋体" w:hAnsi="宋体" w:cs="宋体"/>
          <w:color w:val="auto"/>
          <w:szCs w:val="24"/>
        </w:rPr>
      </w:pPr>
      <w:r>
        <w:rPr>
          <w:rFonts w:hint="eastAsia" w:ascii="宋体" w:hAnsi="宋体" w:cs="宋体"/>
          <w:color w:val="auto"/>
          <w:szCs w:val="24"/>
        </w:rPr>
        <w:t>1、采购人应当自政府采购合同签订之日起2个工作日内，在省级以上财政部门指定的政府采购信息发布媒体及相关网站上公告。</w:t>
      </w:r>
    </w:p>
    <w:p>
      <w:pPr>
        <w:pStyle w:val="16"/>
        <w:ind w:firstLine="480" w:firstLineChars="200"/>
        <w:rPr>
          <w:rFonts w:ascii="宋体" w:hAnsi="宋体" w:cs="宋体"/>
          <w:color w:val="auto"/>
          <w:szCs w:val="24"/>
        </w:rPr>
      </w:pPr>
      <w:r>
        <w:rPr>
          <w:rFonts w:hint="eastAsia" w:ascii="宋体" w:hAnsi="宋体" w:cs="宋体"/>
          <w:color w:val="auto"/>
          <w:szCs w:val="24"/>
        </w:rPr>
        <w:t>2、采购人应当自政府采购合同签订之日起7个工作日内，将政府采购合同副本报同级人民政府财政部门备案以及采购组织机构存档。</w:t>
      </w:r>
    </w:p>
    <w:p>
      <w:pPr>
        <w:pStyle w:val="16"/>
        <w:ind w:firstLine="480" w:firstLineChars="200"/>
        <w:rPr>
          <w:rFonts w:ascii="宋体" w:hAnsi="宋体" w:cs="宋体"/>
          <w:color w:val="auto"/>
        </w:rPr>
      </w:pPr>
    </w:p>
    <w:p>
      <w:pPr>
        <w:pStyle w:val="16"/>
        <w:ind w:firstLine="480" w:firstLineChars="200"/>
        <w:rPr>
          <w:rFonts w:ascii="宋体" w:hAnsi="宋体" w:cs="宋体"/>
          <w:color w:val="auto"/>
        </w:rPr>
      </w:pPr>
    </w:p>
    <w:p>
      <w:pPr>
        <w:pStyle w:val="16"/>
        <w:ind w:firstLine="480" w:firstLineChars="200"/>
        <w:rPr>
          <w:rFonts w:ascii="宋体" w:hAnsi="宋体" w:cs="宋体"/>
          <w:color w:val="auto"/>
        </w:rPr>
      </w:pPr>
    </w:p>
    <w:p>
      <w:pPr>
        <w:pStyle w:val="16"/>
        <w:ind w:firstLine="480" w:firstLineChars="200"/>
        <w:rPr>
          <w:rFonts w:ascii="宋体" w:hAnsi="宋体" w:cs="宋体"/>
          <w:color w:val="auto"/>
        </w:rPr>
      </w:pPr>
    </w:p>
    <w:p>
      <w:pPr>
        <w:spacing w:line="360" w:lineRule="auto"/>
        <w:jc w:val="center"/>
        <w:rPr>
          <w:rFonts w:ascii="宋体" w:hAnsi="宋体" w:cs="宋体"/>
          <w:b/>
          <w:sz w:val="36"/>
          <w:szCs w:val="36"/>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kern w:val="0"/>
          <w:sz w:val="36"/>
          <w:szCs w:val="36"/>
        </w:rPr>
      </w:pPr>
      <w:r>
        <w:rPr>
          <w:rFonts w:hint="eastAsia" w:ascii="宋体" w:hAnsi="宋体" w:cs="宋体"/>
          <w:b/>
          <w:sz w:val="36"/>
          <w:szCs w:val="36"/>
        </w:rPr>
        <w:t>第三章　评审办法及评审标准</w:t>
      </w:r>
    </w:p>
    <w:p>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w:t>
      </w:r>
      <w:r>
        <w:rPr>
          <w:rFonts w:hint="eastAsia" w:ascii="宋体" w:hAnsi="宋体" w:cs="宋体"/>
          <w:sz w:val="24"/>
        </w:rPr>
        <w:t>磋商小组</w:t>
      </w:r>
      <w:r>
        <w:rPr>
          <w:rFonts w:hint="eastAsia" w:ascii="宋体" w:hAnsi="宋体" w:cs="宋体"/>
          <w:kern w:val="0"/>
          <w:sz w:val="24"/>
        </w:rPr>
        <w:t>，对</w:t>
      </w:r>
      <w:r>
        <w:rPr>
          <w:rFonts w:hint="eastAsia" w:ascii="宋体" w:hAnsi="宋体" w:cs="宋体"/>
          <w:sz w:val="24"/>
        </w:rPr>
        <w:t>供应商</w:t>
      </w:r>
      <w:r>
        <w:rPr>
          <w:rFonts w:hint="eastAsia" w:ascii="宋体" w:hAnsi="宋体" w:cs="宋体"/>
          <w:kern w:val="0"/>
          <w:sz w:val="24"/>
        </w:rPr>
        <w:t>提供的</w:t>
      </w:r>
      <w:r>
        <w:rPr>
          <w:rFonts w:hint="eastAsia" w:ascii="宋体" w:hAnsi="宋体" w:cs="宋体"/>
          <w:sz w:val="24"/>
        </w:rPr>
        <w:t>磋商响应文件</w:t>
      </w:r>
      <w:r>
        <w:rPr>
          <w:rFonts w:hint="eastAsia" w:ascii="宋体" w:hAnsi="宋体" w:cs="宋体"/>
          <w:kern w:val="0"/>
          <w:sz w:val="24"/>
        </w:rPr>
        <w:t xml:space="preserve">进行综合评审。   </w:t>
      </w:r>
    </w:p>
    <w:p>
      <w:pPr>
        <w:autoSpaceDE w:val="0"/>
        <w:autoSpaceDN w:val="0"/>
        <w:adjustRightInd w:val="0"/>
        <w:spacing w:line="360" w:lineRule="auto"/>
        <w:ind w:left="359" w:leftChars="171" w:firstLine="120" w:firstLineChars="50"/>
        <w:jc w:val="left"/>
        <w:rPr>
          <w:rFonts w:ascii="宋体" w:hAnsi="宋体" w:cs="宋体"/>
          <w:kern w:val="0"/>
          <w:sz w:val="24"/>
        </w:rPr>
      </w:pPr>
      <w:r>
        <w:rPr>
          <w:rFonts w:hint="eastAsia" w:ascii="宋体" w:hAnsi="宋体" w:cs="宋体"/>
          <w:kern w:val="0"/>
          <w:sz w:val="24"/>
        </w:rPr>
        <w:t>二、本次磋商项目的评审方法为</w:t>
      </w:r>
      <w:r>
        <w:rPr>
          <w:rFonts w:hint="eastAsia" w:ascii="宋体" w:hAnsi="宋体" w:cs="宋体"/>
          <w:b/>
          <w:kern w:val="0"/>
          <w:sz w:val="24"/>
        </w:rPr>
        <w:t>综合评分法</w:t>
      </w:r>
      <w:r>
        <w:rPr>
          <w:rFonts w:hint="eastAsia" w:ascii="宋体" w:hAnsi="宋体" w:cs="宋体"/>
          <w:kern w:val="0"/>
          <w:sz w:val="24"/>
        </w:rPr>
        <w:t>，总计100分。评审标准按以下2项内容及分值进行评审。</w:t>
      </w:r>
    </w:p>
    <w:tbl>
      <w:tblPr>
        <w:tblStyle w:val="3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02" w:type="dxa"/>
            <w:tcBorders>
              <w:tl2br w:val="single" w:color="auto" w:sz="4" w:space="0"/>
            </w:tcBorders>
          </w:tcPr>
          <w:p>
            <w:pPr>
              <w:autoSpaceDE w:val="0"/>
              <w:autoSpaceDN w:val="0"/>
              <w:adjustRightInd w:val="0"/>
              <w:jc w:val="left"/>
              <w:rPr>
                <w:rFonts w:ascii="宋体" w:hAnsi="宋体" w:cs="宋体"/>
                <w:sz w:val="24"/>
              </w:rPr>
            </w:pPr>
            <w:r>
              <w:rPr>
                <w:rFonts w:hint="eastAsia" w:ascii="宋体" w:hAnsi="宋体" w:cs="宋体"/>
                <w:sz w:val="24"/>
              </w:rPr>
              <w:t xml:space="preserve">                   标段</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类别</w:t>
            </w:r>
          </w:p>
        </w:tc>
        <w:tc>
          <w:tcPr>
            <w:tcW w:w="4305" w:type="dxa"/>
            <w:vAlign w:val="center"/>
          </w:tcPr>
          <w:p>
            <w:pPr>
              <w:autoSpaceDE w:val="0"/>
              <w:autoSpaceDN w:val="0"/>
              <w:adjustRightInd w:val="0"/>
              <w:spacing w:line="480" w:lineRule="auto"/>
              <w:jc w:val="cente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1 \* CHINESENUM3</w:instrText>
            </w:r>
            <w:r>
              <w:rPr>
                <w:rFonts w:hint="eastAsia" w:ascii="宋体" w:hAnsi="宋体" w:cs="宋体"/>
                <w:sz w:val="24"/>
              </w:rPr>
              <w:fldChar w:fldCharType="separate"/>
            </w:r>
            <w:r>
              <w:rPr>
                <w:rFonts w:hint="eastAsia" w:ascii="宋体" w:hAnsi="宋体" w:cs="宋体"/>
                <w:sz w:val="24"/>
              </w:rPr>
              <w:t>一</w:t>
            </w:r>
            <w:r>
              <w:rPr>
                <w:rFonts w:hint="eastAsia" w:ascii="宋体" w:hAnsi="宋体" w:cs="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02" w:type="dxa"/>
            <w:vAlign w:val="center"/>
          </w:tcPr>
          <w:p>
            <w:pPr>
              <w:autoSpaceDE w:val="0"/>
              <w:autoSpaceDN w:val="0"/>
              <w:adjustRightInd w:val="0"/>
              <w:jc w:val="center"/>
              <w:rPr>
                <w:rFonts w:ascii="宋体" w:hAnsi="宋体" w:cs="宋体"/>
                <w:sz w:val="24"/>
              </w:rPr>
            </w:pPr>
            <w:r>
              <w:rPr>
                <w:rFonts w:hint="eastAsia" w:ascii="宋体" w:hAnsi="宋体" w:cs="宋体"/>
                <w:kern w:val="0"/>
                <w:sz w:val="24"/>
              </w:rPr>
              <w:t>商务与技术分值</w:t>
            </w:r>
          </w:p>
        </w:tc>
        <w:tc>
          <w:tcPr>
            <w:tcW w:w="4305" w:type="dxa"/>
            <w:vAlign w:val="center"/>
          </w:tcPr>
          <w:p>
            <w:pPr>
              <w:autoSpaceDE w:val="0"/>
              <w:autoSpaceDN w:val="0"/>
              <w:adjustRightInd w:val="0"/>
              <w:jc w:val="center"/>
              <w:rPr>
                <w:rFonts w:ascii="宋体" w:hAnsi="宋体" w:cs="宋体"/>
                <w:sz w:val="24"/>
              </w:rPr>
            </w:pPr>
            <w:r>
              <w:rPr>
                <w:rFonts w:hint="eastAsia" w:ascii="宋体" w:hAnsi="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02" w:type="dxa"/>
            <w:vAlign w:val="center"/>
          </w:tcPr>
          <w:p>
            <w:pPr>
              <w:autoSpaceDE w:val="0"/>
              <w:autoSpaceDN w:val="0"/>
              <w:adjustRightInd w:val="0"/>
              <w:jc w:val="center"/>
              <w:rPr>
                <w:rFonts w:ascii="宋体" w:hAnsi="宋体" w:cs="宋体"/>
                <w:sz w:val="24"/>
              </w:rPr>
            </w:pPr>
            <w:r>
              <w:rPr>
                <w:rFonts w:hint="eastAsia" w:ascii="宋体" w:hAnsi="宋体" w:cs="宋体"/>
                <w:kern w:val="0"/>
                <w:sz w:val="24"/>
              </w:rPr>
              <w:t>价格分</w:t>
            </w:r>
          </w:p>
        </w:tc>
        <w:tc>
          <w:tcPr>
            <w:tcW w:w="4305" w:type="dxa"/>
            <w:vAlign w:val="center"/>
          </w:tcPr>
          <w:p>
            <w:pPr>
              <w:autoSpaceDE w:val="0"/>
              <w:autoSpaceDN w:val="0"/>
              <w:adjustRightInd w:val="0"/>
              <w:jc w:val="center"/>
              <w:rPr>
                <w:rFonts w:ascii="宋体" w:hAnsi="宋体" w:cs="宋体"/>
                <w:sz w:val="24"/>
              </w:rPr>
            </w:pPr>
            <w:r>
              <w:rPr>
                <w:rFonts w:hint="eastAsia" w:ascii="宋体" w:hAnsi="宋体" w:cs="宋体"/>
                <w:sz w:val="24"/>
              </w:rPr>
              <w:t>20</w:t>
            </w:r>
          </w:p>
        </w:tc>
      </w:tr>
    </w:tbl>
    <w:p>
      <w:pPr>
        <w:autoSpaceDE w:val="0"/>
        <w:autoSpaceDN w:val="0"/>
        <w:adjustRightInd w:val="0"/>
        <w:spacing w:line="360" w:lineRule="auto"/>
        <w:ind w:right="84" w:firstLine="472"/>
        <w:rPr>
          <w:rFonts w:ascii="宋体" w:hAnsi="宋体" w:cs="宋体"/>
          <w:bCs/>
          <w:sz w:val="24"/>
          <w:lang w:val="zh-CN"/>
        </w:rPr>
      </w:pPr>
      <w:r>
        <w:rPr>
          <w:rFonts w:hint="eastAsia" w:ascii="宋体" w:hAnsi="宋体" w:cs="宋体"/>
          <w:bCs/>
          <w:sz w:val="24"/>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pPr>
        <w:autoSpaceDE w:val="0"/>
        <w:autoSpaceDN w:val="0"/>
        <w:adjustRightInd w:val="0"/>
        <w:spacing w:line="360" w:lineRule="auto"/>
        <w:ind w:right="84" w:firstLine="472"/>
        <w:rPr>
          <w:rFonts w:ascii="宋体" w:hAnsi="宋体" w:cs="宋体"/>
          <w:bCs/>
          <w:sz w:val="24"/>
          <w:shd w:val="clear" w:color="FFFFFF" w:fill="D9D9D9"/>
          <w:lang w:val="zh-CN"/>
        </w:rPr>
      </w:pPr>
      <w:r>
        <w:rPr>
          <w:rFonts w:hint="eastAsia" w:ascii="宋体" w:hAnsi="宋体" w:cs="宋体"/>
          <w:bCs/>
          <w:sz w:val="24"/>
          <w:lang w:val="zh-CN"/>
        </w:rPr>
        <w:t>（二）各磋商供应商商务与技术文件</w:t>
      </w:r>
      <w:r>
        <w:rPr>
          <w:rFonts w:hint="eastAsia" w:ascii="宋体" w:hAnsi="宋体" w:cs="宋体"/>
          <w:kern w:val="0"/>
          <w:sz w:val="24"/>
          <w:lang w:val="zh-CN"/>
        </w:rPr>
        <w:t>得分按照</w:t>
      </w:r>
      <w:r>
        <w:rPr>
          <w:rFonts w:hint="eastAsia" w:ascii="宋体" w:hAnsi="宋体" w:cs="宋体"/>
          <w:sz w:val="24"/>
        </w:rPr>
        <w:t>磋商小组</w:t>
      </w:r>
      <w:r>
        <w:rPr>
          <w:rFonts w:hint="eastAsia" w:ascii="宋体" w:hAnsi="宋体" w:cs="宋体"/>
          <w:kern w:val="0"/>
          <w:sz w:val="24"/>
          <w:lang w:val="zh-CN"/>
        </w:rPr>
        <w:t>成</w:t>
      </w:r>
      <w:r>
        <w:rPr>
          <w:rFonts w:hint="eastAsia" w:ascii="宋体" w:hAnsi="宋体" w:cs="宋体"/>
          <w:bCs/>
          <w:sz w:val="24"/>
          <w:lang w:val="zh-CN"/>
        </w:rPr>
        <w:t>员的独立评分结果汇总后的算术平均分计算，计算公式为：</w:t>
      </w:r>
    </w:p>
    <w:p>
      <w:pPr>
        <w:autoSpaceDE w:val="0"/>
        <w:autoSpaceDN w:val="0"/>
        <w:adjustRightInd w:val="0"/>
        <w:spacing w:line="360" w:lineRule="auto"/>
        <w:ind w:right="84" w:firstLine="240" w:firstLineChars="100"/>
        <w:rPr>
          <w:rFonts w:ascii="宋体" w:hAnsi="宋体" w:cs="宋体"/>
          <w:bCs/>
          <w:sz w:val="24"/>
          <w:shd w:val="clear" w:color="FFFFFF" w:fill="D9D9D9"/>
          <w:lang w:val="zh-CN"/>
        </w:rPr>
      </w:pPr>
      <w:r>
        <w:rPr>
          <w:rFonts w:hint="eastAsia" w:ascii="宋体" w:hAnsi="宋体" w:cs="宋体"/>
          <w:sz w:val="24"/>
        </w:rPr>
        <w:t>商务与技术文件得分</w:t>
      </w:r>
      <w:r>
        <w:rPr>
          <w:rFonts w:hint="eastAsia" w:ascii="宋体" w:hAnsi="宋体" w:cs="宋体"/>
          <w:bCs/>
          <w:sz w:val="24"/>
          <w:lang w:val="zh-CN"/>
        </w:rPr>
        <w:t>=</w:t>
      </w:r>
      <w:r>
        <w:rPr>
          <w:rFonts w:hint="eastAsia" w:ascii="宋体" w:hAnsi="宋体" w:cs="宋体"/>
          <w:sz w:val="24"/>
        </w:rPr>
        <w:t>磋商小组</w:t>
      </w:r>
      <w:r>
        <w:rPr>
          <w:rFonts w:hint="eastAsia" w:ascii="宋体" w:hAnsi="宋体" w:cs="宋体"/>
          <w:bCs/>
          <w:sz w:val="24"/>
          <w:lang w:val="zh-CN"/>
        </w:rPr>
        <w:t>所有成员评分合计数/</w:t>
      </w:r>
      <w:r>
        <w:rPr>
          <w:rFonts w:hint="eastAsia" w:ascii="宋体" w:hAnsi="宋体" w:cs="宋体"/>
          <w:sz w:val="24"/>
        </w:rPr>
        <w:t>磋商小组</w:t>
      </w:r>
      <w:r>
        <w:rPr>
          <w:rFonts w:hint="eastAsia" w:ascii="宋体" w:hAnsi="宋体" w:cs="宋体"/>
          <w:bCs/>
          <w:sz w:val="24"/>
          <w:lang w:val="zh-CN"/>
        </w:rPr>
        <w:t>组成人员数。</w:t>
      </w:r>
    </w:p>
    <w:p>
      <w:pPr>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bCs/>
          <w:sz w:val="24"/>
          <w:lang w:val="zh-CN"/>
        </w:rPr>
        <w:t>（三）</w:t>
      </w:r>
      <w:r>
        <w:rPr>
          <w:rFonts w:hint="eastAsia" w:ascii="宋体" w:hAnsi="宋体" w:cs="宋体"/>
          <w:sz w:val="24"/>
        </w:rPr>
        <w:t>综合评分法中的价格分统一</w:t>
      </w:r>
      <w:r>
        <w:rPr>
          <w:rFonts w:hint="eastAsia" w:ascii="宋体" w:hAnsi="宋体" w:cs="宋体"/>
          <w:sz w:val="24"/>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s="宋体"/>
          <w:sz w:val="24"/>
        </w:rPr>
      </w:pPr>
      <w:r>
        <w:rPr>
          <w:rFonts w:hint="eastAsia" w:ascii="宋体" w:hAnsi="宋体" w:cs="宋体"/>
          <w:sz w:val="24"/>
          <w:u w:val="single"/>
        </w:rPr>
        <w:t>磋商报价得分=(</w:t>
      </w:r>
      <w:r>
        <w:rPr>
          <w:rFonts w:hint="eastAsia" w:ascii="宋体" w:hAnsi="宋体" w:cs="宋体"/>
          <w:sz w:val="24"/>
          <w:u w:val="single"/>
          <w:lang w:val="zh-CN"/>
        </w:rPr>
        <w:t>磋商基准价</w:t>
      </w:r>
      <w:r>
        <w:rPr>
          <w:rFonts w:hint="eastAsia" w:ascii="宋体" w:hAnsi="宋体" w:cs="宋体"/>
          <w:sz w:val="24"/>
          <w:u w:val="single"/>
        </w:rPr>
        <w:t>／最后磋商报价)×20%×100 。</w:t>
      </w:r>
    </w:p>
    <w:p>
      <w:pPr>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sz w:val="24"/>
          <w:lang w:val="zh-CN"/>
        </w:rPr>
        <w:t>三、在最大限度地满足磋商文件实质性要求前提下，</w:t>
      </w:r>
      <w:r>
        <w:rPr>
          <w:rFonts w:hint="eastAsia" w:ascii="宋体" w:hAnsi="宋体" w:cs="宋体"/>
          <w:sz w:val="24"/>
        </w:rPr>
        <w:t>磋商小组</w:t>
      </w:r>
      <w:r>
        <w:rPr>
          <w:rFonts w:hint="eastAsia" w:ascii="宋体" w:hAnsi="宋体" w:cs="宋体"/>
          <w:sz w:val="24"/>
          <w:lang w:val="zh-CN"/>
        </w:rPr>
        <w:t>按照磋商文件中规定的各项因素进行综合评审后，以评审总得分最高的供应商为第一中标候选人，评审总得分次高的供应商为第二中标候选人。</w:t>
      </w:r>
    </w:p>
    <w:p>
      <w:pPr>
        <w:autoSpaceDE w:val="0"/>
        <w:autoSpaceDN w:val="0"/>
        <w:adjustRightInd w:val="0"/>
        <w:spacing w:line="360" w:lineRule="auto"/>
        <w:ind w:right="85" w:firstLine="480" w:firstLineChars="200"/>
        <w:rPr>
          <w:rFonts w:ascii="宋体" w:hAnsi="宋体" w:cs="宋体"/>
          <w:sz w:val="24"/>
          <w:lang w:val="zh-CN"/>
        </w:rPr>
      </w:pPr>
      <w:r>
        <w:rPr>
          <w:rFonts w:hint="eastAsia" w:ascii="宋体" w:hAnsi="宋体" w:cs="宋体"/>
          <w:sz w:val="24"/>
          <w:lang w:val="zh-CN"/>
        </w:rPr>
        <w:t>四、如综合得分相同，最后报价低者为先；如综合得分且最后报价相同的，以项目实施人员分较高者为先，均相同的抽签确定。</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五、本次评分具体分值细化条款如下表：</w:t>
      </w:r>
    </w:p>
    <w:p>
      <w:pPr>
        <w:spacing w:line="460" w:lineRule="exact"/>
        <w:jc w:val="left"/>
        <w:rPr>
          <w:rFonts w:ascii="宋体" w:hAnsi="宋体" w:cs="宋体"/>
          <w:b/>
          <w:sz w:val="24"/>
        </w:rPr>
      </w:pPr>
    </w:p>
    <w:p>
      <w:pPr>
        <w:spacing w:line="460" w:lineRule="exact"/>
        <w:jc w:val="left"/>
        <w:rPr>
          <w:rFonts w:ascii="宋体" w:hAnsi="宋体" w:cs="宋体"/>
          <w:b/>
          <w:sz w:val="24"/>
        </w:rPr>
      </w:pPr>
    </w:p>
    <w:p>
      <w:pPr>
        <w:pStyle w:val="31"/>
        <w:ind w:left="0" w:leftChars="0" w:firstLine="0" w:firstLineChars="0"/>
      </w:pPr>
    </w:p>
    <w:p/>
    <w:p>
      <w:pPr>
        <w:spacing w:line="460" w:lineRule="exact"/>
        <w:jc w:val="center"/>
        <w:rPr>
          <w:rFonts w:ascii="宋体" w:hAnsi="宋体" w:cs="宋体"/>
          <w:b/>
          <w:sz w:val="24"/>
        </w:rPr>
      </w:pPr>
      <w:r>
        <w:rPr>
          <w:rFonts w:hint="eastAsia" w:ascii="宋体" w:hAnsi="宋体" w:cs="宋体"/>
          <w:b/>
          <w:sz w:val="24"/>
        </w:rPr>
        <w:t>评分表格式（商务与技术，共80分）</w:t>
      </w:r>
    </w:p>
    <w:tbl>
      <w:tblPr>
        <w:tblStyle w:val="3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14"/>
        <w:gridCol w:w="652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6" w:type="dxa"/>
            <w:vAlign w:val="center"/>
          </w:tcPr>
          <w:p>
            <w:pPr>
              <w:jc w:val="center"/>
              <w:rPr>
                <w:rFonts w:ascii="宋体" w:hAnsi="宋体" w:cs="宋体"/>
                <w:b/>
                <w:bCs/>
                <w:szCs w:val="21"/>
              </w:rPr>
            </w:pPr>
            <w:r>
              <w:rPr>
                <w:rFonts w:hint="eastAsia" w:ascii="宋体" w:hAnsi="宋体" w:cs="宋体"/>
                <w:b/>
                <w:bCs/>
                <w:szCs w:val="21"/>
              </w:rPr>
              <w:t>序号</w:t>
            </w:r>
          </w:p>
        </w:tc>
        <w:tc>
          <w:tcPr>
            <w:tcW w:w="1514" w:type="dxa"/>
            <w:vAlign w:val="center"/>
          </w:tcPr>
          <w:p>
            <w:pPr>
              <w:pStyle w:val="27"/>
              <w:ind w:left="0" w:leftChars="0"/>
              <w:jc w:val="center"/>
              <w:rPr>
                <w:rFonts w:ascii="宋体" w:hAnsi="宋体" w:cs="宋体"/>
                <w:b/>
                <w:bCs/>
                <w:sz w:val="21"/>
                <w:szCs w:val="21"/>
              </w:rPr>
            </w:pPr>
            <w:r>
              <w:rPr>
                <w:rFonts w:hint="eastAsia" w:ascii="宋体" w:hAnsi="宋体" w:cs="宋体"/>
                <w:b/>
                <w:bCs/>
                <w:sz w:val="21"/>
                <w:szCs w:val="21"/>
              </w:rPr>
              <w:t>评审内容</w:t>
            </w:r>
          </w:p>
        </w:tc>
        <w:tc>
          <w:tcPr>
            <w:tcW w:w="6521" w:type="dxa"/>
            <w:vAlign w:val="center"/>
          </w:tcPr>
          <w:p>
            <w:pPr>
              <w:pStyle w:val="27"/>
              <w:ind w:firstLine="482"/>
              <w:jc w:val="center"/>
              <w:rPr>
                <w:rFonts w:ascii="宋体" w:hAnsi="宋体" w:cs="宋体"/>
                <w:b/>
                <w:bCs/>
                <w:sz w:val="21"/>
                <w:szCs w:val="21"/>
              </w:rPr>
            </w:pPr>
            <w:r>
              <w:rPr>
                <w:rFonts w:hint="eastAsia" w:ascii="宋体" w:hAnsi="宋体" w:cs="宋体"/>
                <w:b/>
                <w:bCs/>
                <w:sz w:val="21"/>
                <w:szCs w:val="21"/>
              </w:rPr>
              <w:t>评分标准</w:t>
            </w:r>
          </w:p>
        </w:tc>
        <w:tc>
          <w:tcPr>
            <w:tcW w:w="698" w:type="dxa"/>
            <w:vAlign w:val="center"/>
          </w:tcPr>
          <w:p>
            <w:pPr>
              <w:pStyle w:val="27"/>
              <w:ind w:left="0" w:leftChars="0"/>
              <w:jc w:val="center"/>
              <w:rPr>
                <w:rFonts w:ascii="宋体" w:hAnsi="宋体" w:cs="宋体"/>
                <w:b/>
                <w:bCs/>
                <w:sz w:val="21"/>
                <w:szCs w:val="21"/>
              </w:rPr>
            </w:pPr>
            <w:r>
              <w:rPr>
                <w:rFonts w:hint="eastAsia" w:ascii="宋体" w:hAnsi="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514" w:type="dxa"/>
            <w:vAlign w:val="center"/>
          </w:tcPr>
          <w:p>
            <w:pPr>
              <w:jc w:val="center"/>
              <w:rPr>
                <w:rFonts w:ascii="宋体" w:hAnsi="宋体" w:cs="宋体"/>
                <w:szCs w:val="21"/>
              </w:rPr>
            </w:pPr>
            <w:r>
              <w:rPr>
                <w:rFonts w:hint="eastAsia" w:ascii="宋体" w:hAnsi="宋体" w:cs="宋体"/>
                <w:szCs w:val="21"/>
              </w:rPr>
              <w:t>类似项目业绩</w:t>
            </w:r>
          </w:p>
        </w:tc>
        <w:tc>
          <w:tcPr>
            <w:tcW w:w="6521" w:type="dxa"/>
            <w:vAlign w:val="center"/>
          </w:tcPr>
          <w:p>
            <w:r>
              <w:rPr>
                <w:rFonts w:hint="eastAsia" w:ascii="宋体" w:hAnsi="宋体" w:cs="宋体"/>
                <w:szCs w:val="21"/>
              </w:rPr>
              <w:t>自2019年1月1日（以合同签订时间为准）以来，供应商完成过类似项目施工业绩（装修工程）的，每项得1分，最高得2分。</w:t>
            </w:r>
          </w:p>
          <w:p>
            <w:pPr>
              <w:rPr>
                <w:rFonts w:ascii="宋体" w:hAnsi="宋体" w:cs="宋体"/>
                <w:b/>
                <w:bCs/>
                <w:szCs w:val="21"/>
              </w:rPr>
            </w:pPr>
            <w:r>
              <w:rPr>
                <w:rFonts w:hint="eastAsia" w:ascii="宋体" w:hAnsi="宋体" w:cs="宋体"/>
                <w:b/>
                <w:bCs/>
                <w:szCs w:val="21"/>
              </w:rPr>
              <w:t>注：提供合同和完（竣）工验收资料的扫描件。未按要求提供的不得分。</w:t>
            </w:r>
          </w:p>
        </w:tc>
        <w:tc>
          <w:tcPr>
            <w:tcW w:w="698" w:type="dxa"/>
            <w:vAlign w:val="center"/>
          </w:tcPr>
          <w:p>
            <w:pPr>
              <w:pStyle w:val="27"/>
              <w:ind w:left="0" w:leftChars="0"/>
              <w:jc w:val="center"/>
              <w:rPr>
                <w:rFonts w:ascii="宋体" w:hAnsi="宋体" w:cs="宋体"/>
                <w:sz w:val="21"/>
                <w:szCs w:val="21"/>
              </w:rPr>
            </w:pPr>
            <w:r>
              <w:rPr>
                <w:rFonts w:hint="eastAsia"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514" w:type="dxa"/>
            <w:vAlign w:val="center"/>
          </w:tcPr>
          <w:p>
            <w:pPr>
              <w:jc w:val="center"/>
              <w:rPr>
                <w:rFonts w:ascii="宋体" w:hAnsi="宋体" w:cs="宋体"/>
                <w:szCs w:val="21"/>
              </w:rPr>
            </w:pPr>
            <w:r>
              <w:rPr>
                <w:rFonts w:hint="eastAsia" w:ascii="宋体" w:hAnsi="宋体" w:cs="宋体"/>
                <w:kern w:val="0"/>
                <w:szCs w:val="21"/>
              </w:rPr>
              <w:t>项目实施人员</w:t>
            </w:r>
          </w:p>
        </w:tc>
        <w:tc>
          <w:tcPr>
            <w:tcW w:w="6521" w:type="dxa"/>
            <w:vAlign w:val="center"/>
          </w:tcPr>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、具有质量员（质检员）的得2分。</w:t>
            </w:r>
          </w:p>
          <w:p>
            <w:p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、具有安全员三类人员C类证书的得2分。</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、具有施工员的得2分。</w:t>
            </w:r>
          </w:p>
          <w:p>
            <w:pPr>
              <w:rPr>
                <w:rFonts w:ascii="宋体" w:hAnsi="宋体" w:cs="宋体"/>
                <w:b/>
                <w:bCs/>
                <w:szCs w:val="21"/>
              </w:rPr>
            </w:pPr>
            <w:r>
              <w:rPr>
                <w:rFonts w:hint="eastAsia" w:ascii="宋体" w:hAnsi="宋体" w:cs="宋体"/>
                <w:b/>
                <w:bCs/>
                <w:szCs w:val="21"/>
              </w:rPr>
              <w:t>注：1、以上人员不可重复得分，1人只能计算1次。</w:t>
            </w:r>
          </w:p>
          <w:p>
            <w:pPr>
              <w:rPr>
                <w:rFonts w:ascii="宋体" w:hAnsi="宋体" w:cs="宋体"/>
              </w:rPr>
            </w:pPr>
            <w:r>
              <w:rPr>
                <w:rFonts w:hint="eastAsia" w:ascii="宋体" w:hAnsi="宋体" w:cs="宋体"/>
                <w:b/>
                <w:bCs/>
                <w:szCs w:val="21"/>
              </w:rPr>
              <w:t>2、提供相关项目人员对应的证书的扫描件及在本单位交纳的2023年1月或2月的社保证明，未按要求提供的不得分。</w:t>
            </w:r>
          </w:p>
        </w:tc>
        <w:tc>
          <w:tcPr>
            <w:tcW w:w="698" w:type="dxa"/>
            <w:vAlign w:val="center"/>
          </w:tcPr>
          <w:p>
            <w:pPr>
              <w:pStyle w:val="27"/>
              <w:ind w:left="0" w:leftChars="0"/>
              <w:jc w:val="center"/>
              <w:rPr>
                <w:rFonts w:hint="eastAsia" w:ascii="宋体" w:hAnsi="宋体" w:eastAsia="宋体" w:cs="宋体"/>
                <w:sz w:val="21"/>
                <w:szCs w:val="21"/>
                <w:lang w:eastAsia="zh-CN"/>
              </w:rPr>
            </w:pPr>
            <w:r>
              <w:rPr>
                <w:rFonts w:hint="eastAsia" w:ascii="宋体" w:hAnsi="宋体" w:cs="宋体"/>
                <w:sz w:val="21"/>
                <w:szCs w:val="21"/>
              </w:rPr>
              <w:t>0-</w:t>
            </w:r>
            <w:r>
              <w:rPr>
                <w:rFonts w:hint="eastAsia" w:ascii="宋体" w:hAnsi="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514" w:type="dxa"/>
            <w:vAlign w:val="center"/>
          </w:tcPr>
          <w:p>
            <w:pPr>
              <w:jc w:val="center"/>
              <w:rPr>
                <w:rFonts w:ascii="宋体" w:hAnsi="宋体" w:cs="宋体"/>
                <w:kern w:val="0"/>
                <w:szCs w:val="21"/>
              </w:rPr>
            </w:pPr>
            <w:r>
              <w:rPr>
                <w:rFonts w:hint="eastAsia" w:ascii="宋体" w:hAnsi="宋体" w:cs="宋体"/>
              </w:rPr>
              <w:t>项目负责人</w:t>
            </w:r>
          </w:p>
        </w:tc>
        <w:tc>
          <w:tcPr>
            <w:tcW w:w="6521" w:type="dxa"/>
            <w:vAlign w:val="center"/>
          </w:tcPr>
          <w:p>
            <w:pPr>
              <w:snapToGrid w:val="0"/>
            </w:pPr>
            <w:r>
              <w:rPr>
                <w:rFonts w:hint="eastAsia"/>
              </w:rPr>
              <w:t>根据项目负责人承诺每月到位率进行打分。</w:t>
            </w:r>
          </w:p>
          <w:p>
            <w:pPr>
              <w:snapToGrid w:val="0"/>
            </w:pPr>
            <w:r>
              <w:rPr>
                <w:rFonts w:hint="eastAsia"/>
              </w:rPr>
              <w:t>1、每月到位率≥95%，得4分；</w:t>
            </w:r>
          </w:p>
          <w:p>
            <w:pPr>
              <w:snapToGrid w:val="0"/>
            </w:pPr>
            <w:r>
              <w:rPr>
                <w:rFonts w:hint="eastAsia"/>
              </w:rPr>
              <w:t>2、95%＞每月到位率≥90%，得3分；</w:t>
            </w:r>
          </w:p>
          <w:p>
            <w:pPr>
              <w:snapToGrid w:val="0"/>
            </w:pPr>
            <w:r>
              <w:rPr>
                <w:rFonts w:hint="eastAsia"/>
              </w:rPr>
              <w:t>3、90%＞每月到位率≥85%，得2分；</w:t>
            </w:r>
          </w:p>
          <w:p>
            <w:r>
              <w:rPr>
                <w:rFonts w:hint="eastAsia"/>
              </w:rPr>
              <w:t>4、85%＞每月到位率≥80%，得1分。</w:t>
            </w:r>
          </w:p>
          <w:p>
            <w:pPr>
              <w:pStyle w:val="40"/>
            </w:pPr>
            <w:r>
              <w:rPr>
                <w:rFonts w:hint="eastAsia" w:cs="宋体"/>
                <w:b/>
                <w:bCs/>
                <w:kern w:val="2"/>
                <w:sz w:val="21"/>
                <w:szCs w:val="21"/>
                <w:lang w:val="en-US"/>
              </w:rPr>
              <w:t>注：提供承诺函</w:t>
            </w:r>
            <w:bookmarkStart w:id="602" w:name="_GoBack"/>
            <w:r>
              <w:rPr>
                <w:rFonts w:hint="eastAsia" w:cs="宋体"/>
                <w:b/>
                <w:bCs/>
                <w:kern w:val="2"/>
                <w:sz w:val="21"/>
                <w:szCs w:val="21"/>
                <w:lang w:val="en-US" w:eastAsia="zh-CN"/>
              </w:rPr>
              <w:t>并加盖公章</w:t>
            </w:r>
            <w:bookmarkEnd w:id="602"/>
            <w:r>
              <w:rPr>
                <w:rFonts w:hint="eastAsia" w:cs="宋体"/>
                <w:b/>
                <w:bCs/>
                <w:kern w:val="2"/>
                <w:sz w:val="21"/>
                <w:szCs w:val="21"/>
                <w:lang w:val="en-US"/>
              </w:rPr>
              <w:t>，格式自拟。</w:t>
            </w:r>
          </w:p>
        </w:tc>
        <w:tc>
          <w:tcPr>
            <w:tcW w:w="698" w:type="dxa"/>
            <w:vAlign w:val="center"/>
          </w:tcPr>
          <w:p>
            <w:pPr>
              <w:pStyle w:val="27"/>
              <w:ind w:left="0" w:leftChars="0"/>
              <w:jc w:val="center"/>
              <w:rPr>
                <w:rFonts w:ascii="宋体" w:hAnsi="宋体" w:cs="宋体"/>
                <w:sz w:val="21"/>
                <w:szCs w:val="21"/>
              </w:rPr>
            </w:pPr>
            <w:r>
              <w:rPr>
                <w:rFonts w:hint="eastAsia" w:ascii="宋体" w:hAnsi="宋体" w:cs="宋体"/>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514" w:type="dxa"/>
            <w:vAlign w:val="center"/>
          </w:tcPr>
          <w:p>
            <w:pPr>
              <w:jc w:val="center"/>
              <w:rPr>
                <w:rFonts w:ascii="宋体" w:hAnsi="宋体" w:cs="宋体"/>
                <w:szCs w:val="21"/>
              </w:rPr>
            </w:pPr>
            <w:r>
              <w:rPr>
                <w:rFonts w:hint="eastAsia" w:ascii="宋体" w:hAnsi="宋体" w:cs="宋体"/>
                <w:szCs w:val="21"/>
              </w:rPr>
              <w:t>质保期维修响应时间的承诺</w:t>
            </w:r>
          </w:p>
        </w:tc>
        <w:tc>
          <w:tcPr>
            <w:tcW w:w="6521" w:type="dxa"/>
            <w:vAlign w:val="center"/>
          </w:tcPr>
          <w:p>
            <w:r>
              <w:rPr>
                <w:rFonts w:hint="eastAsia"/>
              </w:rPr>
              <w:t>根据供应商质保期维修响应时间的承诺进行打分。</w:t>
            </w:r>
          </w:p>
          <w:p>
            <w:r>
              <w:rPr>
                <w:rFonts w:hint="eastAsia"/>
              </w:rPr>
              <w:t>1、响应时间＜12小时，得4分。</w:t>
            </w:r>
          </w:p>
          <w:p>
            <w:pPr>
              <w:numPr>
                <w:ilvl w:val="255"/>
                <w:numId w:val="0"/>
              </w:numPr>
              <w:snapToGrid w:val="0"/>
              <w:jc w:val="left"/>
            </w:pPr>
            <w:r>
              <w:rPr>
                <w:rFonts w:hint="eastAsia"/>
              </w:rPr>
              <w:t>2、24小时＞响应时间≥12小时，得3分</w:t>
            </w:r>
            <w:r>
              <w:rPr>
                <w:rFonts w:hint="eastAsia"/>
                <w:lang w:eastAsia="zh-CN"/>
              </w:rPr>
              <w:t>；</w:t>
            </w:r>
          </w:p>
          <w:p>
            <w:pPr>
              <w:numPr>
                <w:ilvl w:val="255"/>
                <w:numId w:val="0"/>
              </w:numPr>
              <w:snapToGrid w:val="0"/>
              <w:jc w:val="left"/>
            </w:pPr>
            <w:r>
              <w:rPr>
                <w:rFonts w:hint="eastAsia"/>
              </w:rPr>
              <w:t>3、48小时＞响应时间≥24小时，得2分；</w:t>
            </w:r>
          </w:p>
          <w:p>
            <w:pPr>
              <w:numPr>
                <w:ilvl w:val="0"/>
                <w:numId w:val="5"/>
              </w:numPr>
            </w:pPr>
            <w:r>
              <w:rPr>
                <w:rFonts w:hint="eastAsia"/>
              </w:rPr>
              <w:t>响应时间≥48小时，得1分</w:t>
            </w:r>
            <w:r>
              <w:rPr>
                <w:rFonts w:hint="eastAsia"/>
                <w:lang w:eastAsia="zh-CN"/>
              </w:rPr>
              <w:t>；</w:t>
            </w:r>
          </w:p>
          <w:p>
            <w:pPr>
              <w:pStyle w:val="40"/>
              <w:rPr>
                <w:lang w:val="en-US"/>
              </w:rPr>
            </w:pPr>
            <w:r>
              <w:rPr>
                <w:rFonts w:hint="eastAsia" w:cs="宋体"/>
                <w:b/>
                <w:bCs/>
                <w:kern w:val="2"/>
                <w:sz w:val="21"/>
                <w:szCs w:val="21"/>
                <w:lang w:val="en-US"/>
              </w:rPr>
              <w:t>注：提供承诺函</w:t>
            </w:r>
            <w:r>
              <w:rPr>
                <w:rFonts w:hint="eastAsia" w:cs="宋体"/>
                <w:b/>
                <w:bCs/>
                <w:kern w:val="2"/>
                <w:sz w:val="21"/>
                <w:szCs w:val="21"/>
                <w:lang w:val="en-US" w:eastAsia="zh-CN"/>
              </w:rPr>
              <w:t>并加盖公章</w:t>
            </w:r>
            <w:r>
              <w:rPr>
                <w:rFonts w:hint="eastAsia" w:cs="宋体"/>
                <w:b/>
                <w:bCs/>
                <w:kern w:val="2"/>
                <w:sz w:val="21"/>
                <w:szCs w:val="21"/>
                <w:lang w:val="en-US"/>
              </w:rPr>
              <w:t>，格式自拟。</w:t>
            </w:r>
          </w:p>
        </w:tc>
        <w:tc>
          <w:tcPr>
            <w:tcW w:w="698" w:type="dxa"/>
            <w:vAlign w:val="center"/>
          </w:tcPr>
          <w:p>
            <w:pPr>
              <w:pStyle w:val="27"/>
              <w:ind w:left="0" w:leftChars="0"/>
              <w:jc w:val="center"/>
              <w:rPr>
                <w:rFonts w:ascii="宋体" w:hAnsi="宋体" w:cs="宋体"/>
                <w:sz w:val="21"/>
                <w:szCs w:val="21"/>
              </w:rPr>
            </w:pPr>
            <w:r>
              <w:rPr>
                <w:rFonts w:hint="eastAsia" w:ascii="宋体" w:hAnsi="宋体" w:cs="宋体"/>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514" w:type="dxa"/>
            <w:vAlign w:val="center"/>
          </w:tcPr>
          <w:p>
            <w:pPr>
              <w:jc w:val="center"/>
              <w:rPr>
                <w:rFonts w:ascii="宋体" w:hAnsi="宋体" w:cs="宋体"/>
                <w:szCs w:val="21"/>
              </w:rPr>
            </w:pPr>
            <w:r>
              <w:rPr>
                <w:rFonts w:hint="eastAsia" w:ascii="宋体" w:hAnsi="宋体" w:cs="宋体"/>
                <w:szCs w:val="21"/>
              </w:rPr>
              <w:t>文化上墙设计方案</w:t>
            </w:r>
          </w:p>
        </w:tc>
        <w:tc>
          <w:tcPr>
            <w:tcW w:w="6521" w:type="dxa"/>
            <w:vAlign w:val="center"/>
          </w:tcPr>
          <w:p>
            <w:pPr>
              <w:pStyle w:val="40"/>
              <w:rPr>
                <w:rFonts w:ascii="Calibri" w:hAnsi="Calibri"/>
                <w:kern w:val="2"/>
                <w:sz w:val="21"/>
                <w:szCs w:val="24"/>
                <w:lang w:val="en-US"/>
              </w:rPr>
            </w:pPr>
            <w:r>
              <w:rPr>
                <w:rFonts w:hint="eastAsia" w:ascii="Calibri" w:hAnsi="Calibri"/>
                <w:kern w:val="2"/>
                <w:sz w:val="21"/>
                <w:szCs w:val="24"/>
                <w:lang w:val="en-US"/>
              </w:rPr>
              <w:t>根据供应商提供的文化上墙设计方案的包含元素、设计思路、功能划分、空间组织、感染力、创意性、材质用料等进行打分。</w:t>
            </w:r>
          </w:p>
          <w:p>
            <w:pPr>
              <w:pStyle w:val="40"/>
              <w:rPr>
                <w:rFonts w:ascii="Calibri" w:hAnsi="Calibri"/>
                <w:kern w:val="2"/>
                <w:sz w:val="21"/>
                <w:szCs w:val="24"/>
                <w:lang w:val="en-US"/>
              </w:rPr>
            </w:pPr>
            <w:r>
              <w:rPr>
                <w:rFonts w:hint="eastAsia" w:ascii="Calibri" w:hAnsi="Calibri"/>
                <w:kern w:val="2"/>
                <w:sz w:val="21"/>
                <w:szCs w:val="24"/>
                <w:lang w:val="en-US"/>
              </w:rPr>
              <w:t>1.包含元素丰富，功能划分、空间组织合理，感染力强，创意新颖，材质用料好的</w:t>
            </w:r>
            <w:r>
              <w:rPr>
                <w:rFonts w:hint="eastAsia" w:ascii="Calibri" w:hAnsi="Calibri"/>
                <w:kern w:val="2"/>
                <w:sz w:val="21"/>
                <w:szCs w:val="24"/>
                <w:lang w:val="en-US" w:eastAsia="zh-CN"/>
              </w:rPr>
              <w:t>下得10.8分，中得12.6分，上得15.0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40"/>
              <w:rPr>
                <w:rFonts w:ascii="Calibri" w:hAnsi="Calibri"/>
                <w:kern w:val="2"/>
                <w:sz w:val="21"/>
                <w:szCs w:val="24"/>
                <w:lang w:val="en-US"/>
              </w:rPr>
            </w:pPr>
            <w:r>
              <w:rPr>
                <w:rFonts w:hint="eastAsia" w:ascii="Calibri" w:hAnsi="Calibri"/>
                <w:kern w:val="2"/>
                <w:sz w:val="21"/>
                <w:szCs w:val="24"/>
                <w:lang w:val="en-US"/>
              </w:rPr>
              <w:t>2.包含元素一般，功能划分、空间组织一般，感染力一般，创意一般，材质用料一般的</w:t>
            </w:r>
            <w:r>
              <w:rPr>
                <w:rFonts w:hint="eastAsia" w:ascii="Calibri" w:hAnsi="Calibri"/>
                <w:kern w:val="2"/>
                <w:sz w:val="21"/>
                <w:szCs w:val="24"/>
                <w:lang w:val="en-US" w:eastAsia="zh-CN"/>
              </w:rPr>
              <w:t>下得5.4分，中得7.2分，上得9.0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40"/>
              <w:rPr>
                <w:rFonts w:hint="eastAsia" w:ascii="Calibri" w:hAnsi="Calibri" w:eastAsia="宋体"/>
                <w:kern w:val="2"/>
                <w:sz w:val="21"/>
                <w:szCs w:val="24"/>
                <w:lang w:val="en-US" w:eastAsia="zh-CN"/>
              </w:rPr>
            </w:pPr>
            <w:r>
              <w:rPr>
                <w:rFonts w:hint="eastAsia" w:ascii="Calibri" w:hAnsi="Calibri"/>
                <w:kern w:val="2"/>
                <w:sz w:val="21"/>
                <w:szCs w:val="24"/>
                <w:lang w:val="en-US"/>
              </w:rPr>
              <w:t>3.包含元素少，功能划分、空间组织欠合理，感染力欠缺，创意少，材质用料差的</w:t>
            </w:r>
            <w:r>
              <w:rPr>
                <w:rFonts w:hint="eastAsia" w:ascii="Calibri" w:hAnsi="Calibri"/>
                <w:kern w:val="2"/>
                <w:sz w:val="21"/>
                <w:szCs w:val="24"/>
                <w:lang w:val="en-US" w:eastAsia="zh-CN"/>
              </w:rPr>
              <w:t>下得0分，中得1.8分，上得3.6</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pStyle w:val="27"/>
              <w:ind w:left="0" w:leftChars="0"/>
              <w:jc w:val="center"/>
              <w:rPr>
                <w:rFonts w:ascii="宋体" w:hAnsi="宋体" w:cs="宋体"/>
                <w:color w:val="FF0000"/>
                <w:sz w:val="21"/>
                <w:szCs w:val="21"/>
              </w:rPr>
            </w:pPr>
            <w:r>
              <w:rPr>
                <w:rFonts w:ascii="宋体" w:hAnsi="宋体" w:cs="宋体"/>
                <w:color w:val="000000" w:themeColor="text1"/>
                <w:sz w:val="21"/>
                <w:szCs w:val="21"/>
              </w:rPr>
              <w:t>0-</w:t>
            </w:r>
            <w:r>
              <w:rPr>
                <w:rFonts w:hint="eastAsia" w:ascii="宋体" w:hAnsi="宋体" w:cs="宋体"/>
                <w:color w:val="000000" w:themeColor="text1"/>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686" w:type="dxa"/>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514" w:type="dxa"/>
            <w:vAlign w:val="center"/>
          </w:tcPr>
          <w:p>
            <w:pPr>
              <w:jc w:val="center"/>
              <w:rPr>
                <w:rFonts w:ascii="宋体" w:hAnsi="宋体" w:cs="宋体"/>
                <w:szCs w:val="21"/>
              </w:rPr>
            </w:pPr>
            <w:r>
              <w:rPr>
                <w:rFonts w:hint="eastAsia" w:ascii="宋体" w:hAnsi="宋体" w:cs="宋体"/>
                <w:szCs w:val="21"/>
              </w:rPr>
              <w:t>深化发包人提供的图纸（含节点）</w:t>
            </w:r>
          </w:p>
        </w:tc>
        <w:tc>
          <w:tcPr>
            <w:tcW w:w="6521" w:type="dxa"/>
            <w:vAlign w:val="center"/>
          </w:tcPr>
          <w:p>
            <w:pPr>
              <w:pStyle w:val="40"/>
              <w:rPr>
                <w:rFonts w:ascii="Calibri" w:hAnsi="Calibri"/>
                <w:kern w:val="2"/>
                <w:sz w:val="21"/>
                <w:szCs w:val="24"/>
                <w:lang w:val="en-US"/>
              </w:rPr>
            </w:pPr>
            <w:r>
              <w:rPr>
                <w:rFonts w:hint="eastAsia" w:ascii="Calibri" w:hAnsi="Calibri"/>
                <w:kern w:val="2"/>
                <w:sz w:val="21"/>
                <w:szCs w:val="24"/>
                <w:lang w:val="en-US"/>
              </w:rPr>
              <w:t>根据供应商提供的深化图纸（含节点）的完善性，合理性等进行打分。</w:t>
            </w:r>
          </w:p>
          <w:p>
            <w:pPr>
              <w:pStyle w:val="40"/>
              <w:rPr>
                <w:rFonts w:ascii="Calibri" w:hAnsi="Calibri"/>
                <w:kern w:val="2"/>
                <w:sz w:val="21"/>
                <w:szCs w:val="24"/>
                <w:lang w:val="en-US"/>
              </w:rPr>
            </w:pPr>
            <w:r>
              <w:rPr>
                <w:rFonts w:hint="eastAsia" w:ascii="Calibri" w:hAnsi="Calibri"/>
                <w:kern w:val="2"/>
                <w:sz w:val="21"/>
                <w:szCs w:val="24"/>
                <w:lang w:val="en-US"/>
              </w:rPr>
              <w:t>1.深化完善、合理的</w:t>
            </w:r>
            <w:r>
              <w:rPr>
                <w:rFonts w:hint="eastAsia" w:ascii="Calibri" w:hAnsi="Calibri"/>
                <w:kern w:val="2"/>
                <w:sz w:val="21"/>
                <w:szCs w:val="24"/>
                <w:lang w:val="en-US" w:eastAsia="zh-CN"/>
              </w:rPr>
              <w:t>下得2.4分，中得2.8分，上得3.0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40"/>
              <w:rPr>
                <w:rFonts w:ascii="Calibri" w:hAnsi="Calibri"/>
                <w:kern w:val="2"/>
                <w:sz w:val="21"/>
                <w:szCs w:val="24"/>
                <w:lang w:val="en-US"/>
              </w:rPr>
            </w:pPr>
            <w:r>
              <w:rPr>
                <w:rFonts w:hint="eastAsia" w:ascii="Calibri" w:hAnsi="Calibri"/>
                <w:kern w:val="2"/>
                <w:sz w:val="21"/>
                <w:szCs w:val="24"/>
                <w:lang w:val="en-US"/>
              </w:rPr>
              <w:t>2.深化比较完善、合理的</w:t>
            </w:r>
            <w:r>
              <w:rPr>
                <w:rFonts w:hint="eastAsia" w:ascii="Calibri" w:hAnsi="Calibri"/>
                <w:kern w:val="2"/>
                <w:sz w:val="21"/>
                <w:szCs w:val="24"/>
                <w:lang w:val="en-US" w:eastAsia="zh-CN"/>
              </w:rPr>
              <w:t>下得1.2分，中得1.6分，上得2.0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40"/>
              <w:rPr>
                <w:rFonts w:hint="eastAsia" w:ascii="Calibri" w:hAnsi="Calibri" w:eastAsia="宋体"/>
                <w:kern w:val="2"/>
                <w:sz w:val="21"/>
                <w:szCs w:val="24"/>
                <w:lang w:val="en-US" w:eastAsia="zh-CN"/>
              </w:rPr>
            </w:pPr>
            <w:r>
              <w:rPr>
                <w:rFonts w:hint="eastAsia" w:ascii="Calibri" w:hAnsi="Calibri"/>
                <w:kern w:val="2"/>
                <w:sz w:val="21"/>
                <w:szCs w:val="24"/>
                <w:lang w:val="en-US"/>
              </w:rPr>
              <w:t>3.深化的不完善，不合理的</w:t>
            </w:r>
            <w:r>
              <w:rPr>
                <w:rFonts w:hint="eastAsia" w:ascii="Calibri" w:hAnsi="Calibri"/>
                <w:kern w:val="2"/>
                <w:sz w:val="21"/>
                <w:szCs w:val="24"/>
                <w:lang w:val="en-US" w:eastAsia="zh-CN"/>
              </w:rPr>
              <w:t>下得0分，中得0.4分，上得0.8</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pStyle w:val="27"/>
              <w:ind w:left="0" w:leftChars="0"/>
              <w:jc w:val="center"/>
              <w:rPr>
                <w:rFonts w:ascii="宋体" w:hAnsi="宋体" w:cs="宋体"/>
                <w:color w:val="000000" w:themeColor="text1"/>
                <w:sz w:val="21"/>
                <w:szCs w:val="21"/>
              </w:rPr>
            </w:pPr>
            <w:r>
              <w:rPr>
                <w:rFonts w:hint="eastAsia" w:ascii="宋体" w:hAnsi="宋体" w:cs="宋体"/>
                <w:color w:val="000000" w:themeColor="text1"/>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686"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14" w:type="dxa"/>
            <w:vAlign w:val="center"/>
          </w:tcPr>
          <w:p>
            <w:pPr>
              <w:pStyle w:val="27"/>
              <w:ind w:left="0" w:leftChars="0"/>
              <w:jc w:val="center"/>
              <w:rPr>
                <w:rFonts w:ascii="宋体" w:hAnsi="宋体" w:cs="宋体"/>
                <w:sz w:val="21"/>
                <w:szCs w:val="21"/>
              </w:rPr>
            </w:pPr>
            <w:r>
              <w:rPr>
                <w:rFonts w:hint="eastAsia" w:ascii="宋体" w:hAnsi="宋体" w:cs="宋体"/>
                <w:kern w:val="0"/>
                <w:sz w:val="21"/>
                <w:szCs w:val="21"/>
              </w:rPr>
              <w:t>施工方案</w:t>
            </w:r>
          </w:p>
        </w:tc>
        <w:tc>
          <w:tcPr>
            <w:tcW w:w="6521" w:type="dxa"/>
            <w:vAlign w:val="center"/>
          </w:tcPr>
          <w:p>
            <w:pPr>
              <w:rPr>
                <w:rFonts w:ascii="宋体" w:hAnsi="宋体" w:cs="宋体"/>
              </w:rPr>
            </w:pPr>
            <w:r>
              <w:rPr>
                <w:rFonts w:hint="eastAsia" w:ascii="宋体" w:hAnsi="宋体" w:cs="宋体"/>
              </w:rPr>
              <w:t>根据供应商施工方案的科学性、严密性、合理性进行打分（包括但不限于施工准备充足，投入人力、材料和机械设备齐全，施工顺序明确，各阶段衔接到位）。</w:t>
            </w:r>
          </w:p>
          <w:p>
            <w:pPr>
              <w:rPr>
                <w:rFonts w:ascii="宋体" w:hAnsi="宋体" w:cs="宋体"/>
              </w:rPr>
            </w:pPr>
            <w:r>
              <w:rPr>
                <w:rFonts w:hint="eastAsia" w:ascii="宋体" w:hAnsi="宋体" w:cs="宋体"/>
              </w:rPr>
              <w:t>1、施工方案根据项目实际情况编制完善，投入人力、材料和机械设备齐全，施工顺序明确，各阶段衔接到位的</w:t>
            </w:r>
            <w:r>
              <w:rPr>
                <w:rFonts w:hint="eastAsia" w:ascii="Calibri" w:hAnsi="Calibri"/>
                <w:kern w:val="2"/>
                <w:sz w:val="21"/>
                <w:szCs w:val="24"/>
                <w:lang w:val="en-US" w:eastAsia="zh-CN"/>
              </w:rPr>
              <w:t>下得</w:t>
            </w:r>
            <w:r>
              <w:rPr>
                <w:rFonts w:hint="eastAsia"/>
                <w:kern w:val="2"/>
                <w:sz w:val="21"/>
                <w:szCs w:val="24"/>
                <w:lang w:val="en-US" w:eastAsia="zh-CN"/>
              </w:rPr>
              <w:t>9.0</w:t>
            </w:r>
            <w:r>
              <w:rPr>
                <w:rFonts w:hint="eastAsia" w:ascii="Calibri" w:hAnsi="Calibri"/>
                <w:kern w:val="2"/>
                <w:sz w:val="21"/>
                <w:szCs w:val="24"/>
                <w:lang w:val="en-US" w:eastAsia="zh-CN"/>
              </w:rPr>
              <w:t>分，中得</w:t>
            </w:r>
            <w:r>
              <w:rPr>
                <w:rFonts w:hint="eastAsia"/>
                <w:kern w:val="2"/>
                <w:sz w:val="21"/>
                <w:szCs w:val="24"/>
                <w:lang w:val="en-US" w:eastAsia="zh-CN"/>
              </w:rPr>
              <w:t>10.5</w:t>
            </w:r>
            <w:r>
              <w:rPr>
                <w:rFonts w:hint="eastAsia" w:ascii="Calibri" w:hAnsi="Calibri"/>
                <w:kern w:val="2"/>
                <w:sz w:val="21"/>
                <w:szCs w:val="24"/>
                <w:lang w:val="en-US" w:eastAsia="zh-CN"/>
              </w:rPr>
              <w:t>分，上得</w:t>
            </w:r>
            <w:r>
              <w:rPr>
                <w:rFonts w:hint="eastAsia"/>
                <w:kern w:val="2"/>
                <w:sz w:val="21"/>
                <w:szCs w:val="24"/>
                <w:lang w:val="en-US" w:eastAsia="zh-CN"/>
              </w:rPr>
              <w:t>12.0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rPr>
            </w:pPr>
            <w:r>
              <w:rPr>
                <w:rFonts w:hint="eastAsia" w:ascii="宋体" w:hAnsi="宋体" w:cs="宋体"/>
              </w:rPr>
              <w:t>2、施工方案根据项目实际情况编制较为完善，投入人力、材料和机械设备较为齐全，施工顺序较为明确，各阶段衔接较为到位的</w:t>
            </w:r>
            <w:r>
              <w:rPr>
                <w:rFonts w:hint="eastAsia" w:ascii="Calibri" w:hAnsi="Calibri"/>
                <w:kern w:val="2"/>
                <w:sz w:val="21"/>
                <w:szCs w:val="24"/>
                <w:lang w:val="en-US" w:eastAsia="zh-CN"/>
              </w:rPr>
              <w:t>下得</w:t>
            </w:r>
            <w:r>
              <w:rPr>
                <w:rFonts w:hint="eastAsia"/>
                <w:kern w:val="2"/>
                <w:sz w:val="21"/>
                <w:szCs w:val="24"/>
                <w:lang w:val="en-US" w:eastAsia="zh-CN"/>
              </w:rPr>
              <w:t>4.5</w:t>
            </w:r>
            <w:r>
              <w:rPr>
                <w:rFonts w:hint="eastAsia" w:ascii="Calibri" w:hAnsi="Calibri"/>
                <w:kern w:val="2"/>
                <w:sz w:val="21"/>
                <w:szCs w:val="24"/>
                <w:lang w:val="en-US" w:eastAsia="zh-CN"/>
              </w:rPr>
              <w:t>分，中得</w:t>
            </w:r>
            <w:r>
              <w:rPr>
                <w:rFonts w:hint="eastAsia"/>
                <w:kern w:val="2"/>
                <w:sz w:val="21"/>
                <w:szCs w:val="24"/>
                <w:lang w:val="en-US" w:eastAsia="zh-CN"/>
              </w:rPr>
              <w:t>6.0</w:t>
            </w:r>
            <w:r>
              <w:rPr>
                <w:rFonts w:hint="eastAsia" w:ascii="Calibri" w:hAnsi="Calibri"/>
                <w:kern w:val="2"/>
                <w:sz w:val="21"/>
                <w:szCs w:val="24"/>
                <w:lang w:val="en-US" w:eastAsia="zh-CN"/>
              </w:rPr>
              <w:t>分，上得</w:t>
            </w:r>
            <w:r>
              <w:rPr>
                <w:rFonts w:hint="eastAsia"/>
                <w:kern w:val="2"/>
                <w:sz w:val="21"/>
                <w:szCs w:val="24"/>
                <w:lang w:val="en-US" w:eastAsia="zh-CN"/>
              </w:rPr>
              <w:t>7.5</w:t>
            </w:r>
            <w:r>
              <w:rPr>
                <w:rFonts w:hint="eastAsia" w:ascii="Calibri" w:hAnsi="Calibri"/>
                <w:kern w:val="2"/>
                <w:sz w:val="21"/>
                <w:szCs w:val="24"/>
                <w:lang w:val="en-US"/>
              </w:rPr>
              <w:t>分</w:t>
            </w:r>
            <w:r>
              <w:rPr>
                <w:rFonts w:hint="eastAsia" w:ascii="Calibri" w:hAnsi="Calibri"/>
                <w:kern w:val="2"/>
                <w:sz w:val="21"/>
                <w:szCs w:val="24"/>
                <w:lang w:val="en-US" w:eastAsia="zh-CN"/>
              </w:rPr>
              <w:t>；</w:t>
            </w:r>
            <w:r>
              <w:rPr>
                <w:rFonts w:hint="eastAsia" w:ascii="宋体" w:hAnsi="宋体" w:cs="宋体"/>
              </w:rPr>
              <w:t>；</w:t>
            </w:r>
          </w:p>
          <w:p>
            <w:pPr>
              <w:rPr>
                <w:rFonts w:ascii="宋体" w:hAnsi="宋体" w:cs="宋体"/>
              </w:rPr>
            </w:pPr>
            <w:r>
              <w:rPr>
                <w:rFonts w:hint="eastAsia" w:ascii="宋体" w:hAnsi="宋体" w:cs="宋体"/>
              </w:rPr>
              <w:t>3、施工方案根据项目实际情况编制不完善，投入人力、材料和机械设备不齐全，施工顺序不明确，各阶段衔接不到位的</w:t>
            </w:r>
            <w:r>
              <w:rPr>
                <w:rFonts w:hint="eastAsia" w:ascii="Calibri" w:hAnsi="Calibri"/>
                <w:kern w:val="2"/>
                <w:sz w:val="21"/>
                <w:szCs w:val="24"/>
                <w:lang w:val="en-US" w:eastAsia="zh-CN"/>
              </w:rPr>
              <w:t>下得0分，中得</w:t>
            </w:r>
            <w:r>
              <w:rPr>
                <w:rFonts w:hint="eastAsia"/>
                <w:kern w:val="2"/>
                <w:sz w:val="21"/>
                <w:szCs w:val="24"/>
                <w:lang w:val="en-US" w:eastAsia="zh-CN"/>
              </w:rPr>
              <w:t>1.5</w:t>
            </w:r>
            <w:r>
              <w:rPr>
                <w:rFonts w:hint="eastAsia" w:ascii="Calibri" w:hAnsi="Calibri"/>
                <w:kern w:val="2"/>
                <w:sz w:val="21"/>
                <w:szCs w:val="24"/>
                <w:lang w:val="en-US" w:eastAsia="zh-CN"/>
              </w:rPr>
              <w:t>分，上得</w:t>
            </w:r>
            <w:r>
              <w:rPr>
                <w:rFonts w:hint="eastAsia"/>
                <w:kern w:val="2"/>
                <w:sz w:val="21"/>
                <w:szCs w:val="24"/>
                <w:lang w:val="en-US" w:eastAsia="zh-CN"/>
              </w:rPr>
              <w:t>3.0</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86"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14" w:type="dxa"/>
            <w:vAlign w:val="center"/>
          </w:tcPr>
          <w:p>
            <w:pPr>
              <w:pStyle w:val="27"/>
              <w:ind w:left="0" w:leftChars="0"/>
              <w:jc w:val="center"/>
              <w:rPr>
                <w:rFonts w:ascii="宋体" w:hAnsi="宋体" w:cs="宋体"/>
                <w:sz w:val="21"/>
                <w:szCs w:val="24"/>
              </w:rPr>
            </w:pPr>
            <w:r>
              <w:rPr>
                <w:rFonts w:hint="eastAsia" w:ascii="宋体" w:hAnsi="宋体" w:cs="宋体"/>
                <w:sz w:val="21"/>
                <w:szCs w:val="24"/>
              </w:rPr>
              <w:t>施工总平面</w:t>
            </w:r>
          </w:p>
          <w:p>
            <w:pPr>
              <w:pStyle w:val="27"/>
              <w:ind w:left="0" w:leftChars="0"/>
              <w:jc w:val="center"/>
              <w:rPr>
                <w:rFonts w:ascii="宋体" w:hAnsi="宋体" w:cs="宋体"/>
                <w:sz w:val="21"/>
                <w:szCs w:val="24"/>
              </w:rPr>
            </w:pPr>
            <w:r>
              <w:rPr>
                <w:rFonts w:hint="eastAsia" w:ascii="宋体" w:hAnsi="宋体" w:cs="宋体"/>
                <w:sz w:val="21"/>
                <w:szCs w:val="24"/>
              </w:rPr>
              <w:t>布置情况</w:t>
            </w:r>
          </w:p>
        </w:tc>
        <w:tc>
          <w:tcPr>
            <w:tcW w:w="6521" w:type="dxa"/>
            <w:vAlign w:val="center"/>
          </w:tcPr>
          <w:p>
            <w:pPr>
              <w:rPr>
                <w:rFonts w:ascii="宋体" w:hAnsi="宋体" w:cs="宋体"/>
              </w:rPr>
            </w:pPr>
            <w:r>
              <w:rPr>
                <w:rFonts w:hint="eastAsia" w:ascii="宋体" w:hAnsi="宋体" w:cs="宋体"/>
              </w:rPr>
              <w:t>根据符合施工现场实际情况，施工总平面安排科学合理性进行打分。</w:t>
            </w:r>
          </w:p>
          <w:p>
            <w:pPr>
              <w:numPr>
                <w:ilvl w:val="0"/>
                <w:numId w:val="6"/>
              </w:numPr>
              <w:rPr>
                <w:rFonts w:ascii="宋体" w:hAnsi="宋体" w:cs="宋体"/>
              </w:rPr>
            </w:pPr>
            <w:r>
              <w:rPr>
                <w:rFonts w:hint="eastAsia" w:ascii="宋体" w:hAnsi="宋体" w:cs="宋体"/>
              </w:rPr>
              <w:t>符合本项目施工实际要求，材料堆场、施工通道的安排和施工人员住宿安排计划具有科学性、合理性的</w:t>
            </w:r>
            <w:r>
              <w:rPr>
                <w:rFonts w:hint="eastAsia" w:ascii="Calibri" w:hAnsi="Calibri"/>
                <w:kern w:val="2"/>
                <w:sz w:val="21"/>
                <w:szCs w:val="24"/>
                <w:lang w:val="en-US" w:eastAsia="zh-CN"/>
              </w:rPr>
              <w:t>下得</w:t>
            </w:r>
            <w:r>
              <w:rPr>
                <w:rFonts w:hint="eastAsia"/>
                <w:kern w:val="2"/>
                <w:sz w:val="21"/>
                <w:szCs w:val="24"/>
                <w:lang w:val="en-US" w:eastAsia="zh-CN"/>
              </w:rPr>
              <w:t>6.0</w:t>
            </w:r>
            <w:r>
              <w:rPr>
                <w:rFonts w:hint="eastAsia" w:ascii="Calibri" w:hAnsi="Calibri"/>
                <w:kern w:val="2"/>
                <w:sz w:val="21"/>
                <w:szCs w:val="24"/>
                <w:lang w:val="en-US" w:eastAsia="zh-CN"/>
              </w:rPr>
              <w:t>分，中得</w:t>
            </w:r>
            <w:r>
              <w:rPr>
                <w:rFonts w:hint="eastAsia"/>
                <w:kern w:val="2"/>
                <w:sz w:val="21"/>
                <w:szCs w:val="24"/>
                <w:lang w:val="en-US" w:eastAsia="zh-CN"/>
              </w:rPr>
              <w:t>7.0</w:t>
            </w:r>
            <w:r>
              <w:rPr>
                <w:rFonts w:hint="eastAsia" w:ascii="Calibri" w:hAnsi="Calibri"/>
                <w:kern w:val="2"/>
                <w:sz w:val="21"/>
                <w:szCs w:val="24"/>
                <w:lang w:val="en-US" w:eastAsia="zh-CN"/>
              </w:rPr>
              <w:t>分，上得</w:t>
            </w:r>
            <w:r>
              <w:rPr>
                <w:rFonts w:hint="eastAsia"/>
                <w:kern w:val="2"/>
                <w:sz w:val="21"/>
                <w:szCs w:val="24"/>
                <w:lang w:val="en-US" w:eastAsia="zh-CN"/>
              </w:rPr>
              <w:t>8.0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14"/>
              <w:numPr>
                <w:ilvl w:val="0"/>
                <w:numId w:val="6"/>
              </w:numPr>
              <w:spacing w:after="0"/>
              <w:ind w:firstLine="0" w:firstLineChars="0"/>
              <w:rPr>
                <w:rFonts w:ascii="宋体" w:hAnsi="宋体" w:cs="宋体"/>
              </w:rPr>
            </w:pPr>
            <w:r>
              <w:rPr>
                <w:rFonts w:hint="eastAsia" w:ascii="宋体" w:hAnsi="宋体" w:cs="宋体"/>
              </w:rPr>
              <w:t>较为符合本项目施工实际要求，材料堆场、施工通道的安排和施工人员住宿安排计划的科学性、合理性一般的</w:t>
            </w:r>
            <w:r>
              <w:rPr>
                <w:rFonts w:hint="eastAsia" w:ascii="Calibri" w:hAnsi="Calibri"/>
                <w:kern w:val="2"/>
                <w:sz w:val="21"/>
                <w:szCs w:val="24"/>
                <w:lang w:val="en-US" w:eastAsia="zh-CN"/>
              </w:rPr>
              <w:t>下得</w:t>
            </w:r>
            <w:r>
              <w:rPr>
                <w:rFonts w:hint="eastAsia"/>
                <w:kern w:val="2"/>
                <w:sz w:val="21"/>
                <w:szCs w:val="24"/>
                <w:lang w:val="en-US" w:eastAsia="zh-CN"/>
              </w:rPr>
              <w:t>3.0</w:t>
            </w:r>
            <w:r>
              <w:rPr>
                <w:rFonts w:hint="eastAsia" w:ascii="Calibri" w:hAnsi="Calibri"/>
                <w:kern w:val="2"/>
                <w:sz w:val="21"/>
                <w:szCs w:val="24"/>
                <w:lang w:val="en-US" w:eastAsia="zh-CN"/>
              </w:rPr>
              <w:t>分，中得</w:t>
            </w:r>
            <w:r>
              <w:rPr>
                <w:rFonts w:hint="eastAsia"/>
                <w:kern w:val="2"/>
                <w:sz w:val="21"/>
                <w:szCs w:val="24"/>
                <w:lang w:val="en-US" w:eastAsia="zh-CN"/>
              </w:rPr>
              <w:t>4.0</w:t>
            </w:r>
            <w:r>
              <w:rPr>
                <w:rFonts w:hint="eastAsia" w:ascii="Calibri" w:hAnsi="Calibri"/>
                <w:kern w:val="2"/>
                <w:sz w:val="21"/>
                <w:szCs w:val="24"/>
                <w:lang w:val="en-US" w:eastAsia="zh-CN"/>
              </w:rPr>
              <w:t>分，上得</w:t>
            </w:r>
            <w:r>
              <w:rPr>
                <w:rFonts w:hint="eastAsia"/>
                <w:kern w:val="2"/>
                <w:sz w:val="21"/>
                <w:szCs w:val="24"/>
                <w:lang w:val="en-US" w:eastAsia="zh-CN"/>
              </w:rPr>
              <w:t>5.0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15"/>
              <w:numPr>
                <w:ilvl w:val="0"/>
                <w:numId w:val="6"/>
              </w:numPr>
              <w:ind w:left="0"/>
              <w:rPr>
                <w:rFonts w:ascii="宋体" w:hAnsi="宋体" w:cs="宋体"/>
                <w:sz w:val="21"/>
                <w:szCs w:val="24"/>
              </w:rPr>
            </w:pPr>
            <w:r>
              <w:rPr>
                <w:rFonts w:hint="eastAsia" w:ascii="宋体" w:hAnsi="宋体" w:cs="宋体"/>
                <w:sz w:val="21"/>
                <w:szCs w:val="24"/>
              </w:rPr>
              <w:t>不符合本项目施工实际要求，材料堆场、施工通道的安排和施工人员住宿安排计划缺乏科学性、合理性的</w:t>
            </w:r>
            <w:r>
              <w:rPr>
                <w:rFonts w:hint="eastAsia" w:ascii="Calibri" w:hAnsi="Calibri"/>
                <w:kern w:val="2"/>
                <w:sz w:val="21"/>
                <w:szCs w:val="24"/>
                <w:lang w:val="en-US" w:eastAsia="zh-CN"/>
              </w:rPr>
              <w:t>下得0分，中得</w:t>
            </w:r>
            <w:r>
              <w:rPr>
                <w:rFonts w:hint="eastAsia"/>
                <w:kern w:val="2"/>
                <w:sz w:val="21"/>
                <w:szCs w:val="24"/>
                <w:lang w:val="en-US" w:eastAsia="zh-CN"/>
              </w:rPr>
              <w:t>1.0</w:t>
            </w:r>
            <w:r>
              <w:rPr>
                <w:rFonts w:hint="eastAsia" w:ascii="Calibri" w:hAnsi="Calibri"/>
                <w:kern w:val="2"/>
                <w:sz w:val="21"/>
                <w:szCs w:val="24"/>
                <w:lang w:val="en-US" w:eastAsia="zh-CN"/>
              </w:rPr>
              <w:t>分，上得</w:t>
            </w:r>
            <w:r>
              <w:rPr>
                <w:rFonts w:hint="eastAsia"/>
                <w:kern w:val="2"/>
                <w:sz w:val="21"/>
                <w:szCs w:val="24"/>
                <w:lang w:val="en-US" w:eastAsia="zh-CN"/>
              </w:rPr>
              <w:t>2.0</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0-</w:t>
            </w:r>
            <w:r>
              <w:rPr>
                <w:rFonts w:hint="eastAsia" w:ascii="宋体" w:hAnsi="宋体" w:cs="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686"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14" w:type="dxa"/>
            <w:vAlign w:val="center"/>
          </w:tcPr>
          <w:p>
            <w:pPr>
              <w:pStyle w:val="27"/>
              <w:ind w:left="0" w:leftChars="0"/>
              <w:jc w:val="center"/>
              <w:rPr>
                <w:rFonts w:ascii="宋体" w:hAnsi="宋体" w:cs="宋体"/>
                <w:kern w:val="0"/>
                <w:sz w:val="21"/>
                <w:szCs w:val="21"/>
              </w:rPr>
            </w:pPr>
            <w:r>
              <w:rPr>
                <w:rFonts w:hint="eastAsia" w:ascii="宋体" w:hAnsi="宋体" w:cs="宋体"/>
                <w:kern w:val="0"/>
                <w:sz w:val="21"/>
                <w:szCs w:val="21"/>
              </w:rPr>
              <w:t>项目重点、难点分析</w:t>
            </w:r>
          </w:p>
        </w:tc>
        <w:tc>
          <w:tcPr>
            <w:tcW w:w="6521" w:type="dxa"/>
            <w:vAlign w:val="center"/>
          </w:tcPr>
          <w:p>
            <w:pPr>
              <w:rPr>
                <w:rFonts w:ascii="宋体" w:hAnsi="宋体" w:cs="宋体"/>
                <w:szCs w:val="21"/>
                <w:lang w:val="zh-CN"/>
              </w:rPr>
            </w:pPr>
            <w:r>
              <w:rPr>
                <w:rFonts w:hint="eastAsia" w:ascii="宋体" w:hAnsi="宋体" w:cs="宋体"/>
                <w:szCs w:val="21"/>
                <w:lang w:val="zh-CN"/>
              </w:rPr>
              <w:t>根据本项目的采购需求，重点、难点分析是否全面、阐述合理、条理清晰、符合现状措施等进行打分。</w:t>
            </w:r>
          </w:p>
          <w:p>
            <w:pPr>
              <w:rPr>
                <w:rFonts w:ascii="宋体" w:hAnsi="宋体" w:cs="宋体"/>
                <w:szCs w:val="21"/>
                <w:lang w:val="zh-CN"/>
              </w:rPr>
            </w:pPr>
            <w:r>
              <w:rPr>
                <w:rFonts w:hint="eastAsia" w:ascii="宋体" w:hAnsi="宋体" w:cs="宋体"/>
                <w:szCs w:val="21"/>
                <w:lang w:val="zh-CN"/>
              </w:rPr>
              <w:t>1、重点、难点分析全面、到位、合理、准确的</w:t>
            </w:r>
            <w:r>
              <w:rPr>
                <w:rFonts w:hint="eastAsia" w:ascii="Calibri" w:hAnsi="Calibri"/>
                <w:kern w:val="2"/>
                <w:sz w:val="21"/>
                <w:szCs w:val="24"/>
                <w:lang w:val="en-US" w:eastAsia="zh-CN"/>
              </w:rPr>
              <w:t>下得</w:t>
            </w:r>
            <w:r>
              <w:rPr>
                <w:rFonts w:hint="eastAsia"/>
                <w:kern w:val="2"/>
                <w:sz w:val="21"/>
                <w:szCs w:val="24"/>
                <w:lang w:val="en-US" w:eastAsia="zh-CN"/>
              </w:rPr>
              <w:t>6.0</w:t>
            </w:r>
            <w:r>
              <w:rPr>
                <w:rFonts w:hint="eastAsia" w:ascii="Calibri" w:hAnsi="Calibri"/>
                <w:kern w:val="2"/>
                <w:sz w:val="21"/>
                <w:szCs w:val="24"/>
                <w:lang w:val="en-US" w:eastAsia="zh-CN"/>
              </w:rPr>
              <w:t>分，中得</w:t>
            </w:r>
            <w:r>
              <w:rPr>
                <w:rFonts w:hint="eastAsia"/>
                <w:kern w:val="2"/>
                <w:sz w:val="21"/>
                <w:szCs w:val="24"/>
                <w:lang w:val="en-US" w:eastAsia="zh-CN"/>
              </w:rPr>
              <w:t>7.0</w:t>
            </w:r>
            <w:r>
              <w:rPr>
                <w:rFonts w:hint="eastAsia" w:ascii="Calibri" w:hAnsi="Calibri"/>
                <w:kern w:val="2"/>
                <w:sz w:val="21"/>
                <w:szCs w:val="24"/>
                <w:lang w:val="en-US" w:eastAsia="zh-CN"/>
              </w:rPr>
              <w:t>分，上得</w:t>
            </w:r>
            <w:r>
              <w:rPr>
                <w:rFonts w:hint="eastAsia"/>
                <w:kern w:val="2"/>
                <w:sz w:val="21"/>
                <w:szCs w:val="24"/>
                <w:lang w:val="en-US" w:eastAsia="zh-CN"/>
              </w:rPr>
              <w:t>8.0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szCs w:val="21"/>
                <w:lang w:val="zh-CN"/>
              </w:rPr>
            </w:pPr>
            <w:r>
              <w:rPr>
                <w:rFonts w:hint="eastAsia" w:ascii="宋体" w:hAnsi="宋体" w:cs="宋体"/>
                <w:szCs w:val="21"/>
                <w:lang w:val="zh-CN"/>
              </w:rPr>
              <w:t>2、重点、难点分析基本全面、到位、合理、准确的</w:t>
            </w:r>
            <w:r>
              <w:rPr>
                <w:rFonts w:hint="eastAsia" w:ascii="Calibri" w:hAnsi="Calibri"/>
                <w:kern w:val="2"/>
                <w:sz w:val="21"/>
                <w:szCs w:val="24"/>
                <w:lang w:val="en-US" w:eastAsia="zh-CN"/>
              </w:rPr>
              <w:t>下得</w:t>
            </w:r>
            <w:r>
              <w:rPr>
                <w:rFonts w:hint="eastAsia"/>
                <w:kern w:val="2"/>
                <w:sz w:val="21"/>
                <w:szCs w:val="24"/>
                <w:lang w:val="en-US" w:eastAsia="zh-CN"/>
              </w:rPr>
              <w:t>3.0</w:t>
            </w:r>
            <w:r>
              <w:rPr>
                <w:rFonts w:hint="eastAsia" w:ascii="Calibri" w:hAnsi="Calibri"/>
                <w:kern w:val="2"/>
                <w:sz w:val="21"/>
                <w:szCs w:val="24"/>
                <w:lang w:val="en-US" w:eastAsia="zh-CN"/>
              </w:rPr>
              <w:t>分，中得</w:t>
            </w:r>
            <w:r>
              <w:rPr>
                <w:rFonts w:hint="eastAsia"/>
                <w:kern w:val="2"/>
                <w:sz w:val="21"/>
                <w:szCs w:val="24"/>
                <w:lang w:val="en-US" w:eastAsia="zh-CN"/>
              </w:rPr>
              <w:t>4.0</w:t>
            </w:r>
            <w:r>
              <w:rPr>
                <w:rFonts w:hint="eastAsia" w:ascii="Calibri" w:hAnsi="Calibri"/>
                <w:kern w:val="2"/>
                <w:sz w:val="21"/>
                <w:szCs w:val="24"/>
                <w:lang w:val="en-US" w:eastAsia="zh-CN"/>
              </w:rPr>
              <w:t>分，上得</w:t>
            </w:r>
            <w:r>
              <w:rPr>
                <w:rFonts w:hint="eastAsia"/>
                <w:kern w:val="2"/>
                <w:sz w:val="21"/>
                <w:szCs w:val="24"/>
                <w:lang w:val="en-US" w:eastAsia="zh-CN"/>
              </w:rPr>
              <w:t>5.0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rPr>
            </w:pPr>
            <w:r>
              <w:rPr>
                <w:rFonts w:hint="eastAsia" w:ascii="宋体" w:hAnsi="宋体" w:cs="宋体"/>
                <w:szCs w:val="21"/>
                <w:lang w:val="zh-CN"/>
              </w:rPr>
              <w:t>3、重点、难点分析有明显缺陷的</w:t>
            </w:r>
            <w:r>
              <w:rPr>
                <w:rFonts w:hint="eastAsia" w:ascii="Calibri" w:hAnsi="Calibri"/>
                <w:kern w:val="2"/>
                <w:sz w:val="21"/>
                <w:szCs w:val="24"/>
                <w:lang w:val="en-US" w:eastAsia="zh-CN"/>
              </w:rPr>
              <w:t>下得0分，中得</w:t>
            </w:r>
            <w:r>
              <w:rPr>
                <w:rFonts w:hint="eastAsia"/>
                <w:kern w:val="2"/>
                <w:sz w:val="21"/>
                <w:szCs w:val="24"/>
                <w:lang w:val="en-US" w:eastAsia="zh-CN"/>
              </w:rPr>
              <w:t>1.0</w:t>
            </w:r>
            <w:r>
              <w:rPr>
                <w:rFonts w:hint="eastAsia" w:ascii="Calibri" w:hAnsi="Calibri"/>
                <w:kern w:val="2"/>
                <w:sz w:val="21"/>
                <w:szCs w:val="24"/>
                <w:lang w:val="en-US" w:eastAsia="zh-CN"/>
              </w:rPr>
              <w:t>分，上得</w:t>
            </w:r>
            <w:r>
              <w:rPr>
                <w:rFonts w:hint="eastAsia"/>
                <w:kern w:val="2"/>
                <w:sz w:val="21"/>
                <w:szCs w:val="24"/>
                <w:lang w:val="en-US" w:eastAsia="zh-CN"/>
              </w:rPr>
              <w:t>2.0</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ascii="宋体" w:hAnsi="宋体" w:cs="宋体"/>
                <w:kern w:val="0"/>
                <w:szCs w:val="21"/>
              </w:rPr>
            </w:pPr>
            <w:r>
              <w:rPr>
                <w:rFonts w:hint="eastAsia" w:ascii="宋体" w:hAnsi="宋体" w:cs="宋体"/>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686"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14" w:type="dxa"/>
            <w:vAlign w:val="center"/>
          </w:tcPr>
          <w:p>
            <w:pPr>
              <w:pStyle w:val="27"/>
              <w:ind w:left="0" w:leftChars="0"/>
              <w:jc w:val="center"/>
              <w:rPr>
                <w:rFonts w:ascii="宋体" w:hAnsi="宋体" w:cs="宋体"/>
                <w:kern w:val="0"/>
                <w:sz w:val="21"/>
                <w:szCs w:val="21"/>
              </w:rPr>
            </w:pPr>
            <w:r>
              <w:rPr>
                <w:rFonts w:hint="eastAsia" w:ascii="宋体" w:hAnsi="宋体" w:cs="宋体"/>
                <w:kern w:val="0"/>
                <w:sz w:val="21"/>
                <w:szCs w:val="21"/>
              </w:rPr>
              <w:t>项目施工进</w:t>
            </w:r>
          </w:p>
          <w:p>
            <w:pPr>
              <w:pStyle w:val="27"/>
              <w:ind w:left="0" w:leftChars="0"/>
              <w:jc w:val="center"/>
              <w:rPr>
                <w:rFonts w:ascii="宋体" w:hAnsi="宋体" w:cs="宋体"/>
                <w:kern w:val="0"/>
                <w:sz w:val="21"/>
                <w:szCs w:val="21"/>
              </w:rPr>
            </w:pPr>
            <w:r>
              <w:rPr>
                <w:rFonts w:hint="eastAsia" w:ascii="宋体" w:hAnsi="宋体" w:cs="宋体"/>
                <w:kern w:val="0"/>
                <w:sz w:val="21"/>
                <w:szCs w:val="21"/>
              </w:rPr>
              <w:t>度保证措施</w:t>
            </w:r>
          </w:p>
        </w:tc>
        <w:tc>
          <w:tcPr>
            <w:tcW w:w="6521" w:type="dxa"/>
            <w:vAlign w:val="center"/>
          </w:tcPr>
          <w:p>
            <w:pPr>
              <w:rPr>
                <w:rFonts w:ascii="宋体" w:hAnsi="宋体" w:cs="宋体"/>
                <w:szCs w:val="21"/>
                <w:lang w:val="zh-CN"/>
              </w:rPr>
            </w:pPr>
            <w:r>
              <w:rPr>
                <w:rFonts w:hint="eastAsia" w:ascii="宋体" w:hAnsi="宋体" w:cs="宋体"/>
                <w:szCs w:val="21"/>
                <w:lang w:val="zh-CN"/>
              </w:rPr>
              <w:t>根据本项目整体工作阶段及任务划分、进度控制是否合理、关键时间节点把握是否科学准确进行打分。</w:t>
            </w:r>
          </w:p>
          <w:p>
            <w:pPr>
              <w:rPr>
                <w:rFonts w:ascii="宋体" w:hAnsi="宋体" w:cs="宋体"/>
                <w:szCs w:val="21"/>
                <w:lang w:val="zh-CN"/>
              </w:rPr>
            </w:pPr>
            <w:r>
              <w:rPr>
                <w:rFonts w:hint="eastAsia" w:ascii="宋体" w:hAnsi="宋体" w:cs="宋体"/>
                <w:szCs w:val="21"/>
                <w:lang w:val="zh-CN"/>
              </w:rPr>
              <w:t>1、进度控制合理节点把握科学准确的且具有针对性的，</w:t>
            </w:r>
            <w:r>
              <w:rPr>
                <w:rFonts w:hint="eastAsia" w:ascii="Calibri" w:hAnsi="Calibri"/>
                <w:kern w:val="2"/>
                <w:sz w:val="21"/>
                <w:szCs w:val="24"/>
                <w:lang w:val="en-US" w:eastAsia="zh-CN"/>
              </w:rPr>
              <w:t>下得</w:t>
            </w:r>
            <w:r>
              <w:rPr>
                <w:rFonts w:hint="eastAsia"/>
                <w:kern w:val="2"/>
                <w:sz w:val="21"/>
                <w:szCs w:val="24"/>
                <w:lang w:val="en-US" w:eastAsia="zh-CN"/>
              </w:rPr>
              <w:t>4.8</w:t>
            </w:r>
            <w:r>
              <w:rPr>
                <w:rFonts w:hint="eastAsia" w:ascii="Calibri" w:hAnsi="Calibri"/>
                <w:kern w:val="2"/>
                <w:sz w:val="21"/>
                <w:szCs w:val="24"/>
                <w:lang w:val="en-US" w:eastAsia="zh-CN"/>
              </w:rPr>
              <w:t>分，中得</w:t>
            </w:r>
            <w:r>
              <w:rPr>
                <w:rFonts w:hint="eastAsia"/>
                <w:kern w:val="2"/>
                <w:sz w:val="21"/>
                <w:szCs w:val="24"/>
                <w:lang w:val="en-US" w:eastAsia="zh-CN"/>
              </w:rPr>
              <w:t>5.6</w:t>
            </w:r>
            <w:r>
              <w:rPr>
                <w:rFonts w:hint="eastAsia" w:ascii="Calibri" w:hAnsi="Calibri"/>
                <w:kern w:val="2"/>
                <w:sz w:val="21"/>
                <w:szCs w:val="24"/>
                <w:lang w:val="en-US" w:eastAsia="zh-CN"/>
              </w:rPr>
              <w:t>分，上得</w:t>
            </w:r>
            <w:r>
              <w:rPr>
                <w:rFonts w:hint="eastAsia"/>
                <w:kern w:val="2"/>
                <w:sz w:val="21"/>
                <w:szCs w:val="24"/>
                <w:lang w:val="en-US" w:eastAsia="zh-CN"/>
              </w:rPr>
              <w:t>6.0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szCs w:val="21"/>
                <w:lang w:val="zh-CN"/>
              </w:rPr>
            </w:pPr>
            <w:r>
              <w:rPr>
                <w:rFonts w:hint="eastAsia" w:ascii="宋体" w:hAnsi="宋体" w:cs="宋体"/>
                <w:szCs w:val="21"/>
                <w:lang w:val="zh-CN"/>
              </w:rPr>
              <w:t>2、进度控制节点把握不够详细准确的，</w:t>
            </w:r>
            <w:r>
              <w:rPr>
                <w:rFonts w:hint="eastAsia" w:ascii="Calibri" w:hAnsi="Calibri"/>
                <w:kern w:val="2"/>
                <w:sz w:val="21"/>
                <w:szCs w:val="24"/>
                <w:lang w:val="en-US" w:eastAsia="zh-CN"/>
              </w:rPr>
              <w:t>下得</w:t>
            </w:r>
            <w:r>
              <w:rPr>
                <w:rFonts w:hint="eastAsia"/>
                <w:kern w:val="2"/>
                <w:sz w:val="21"/>
                <w:szCs w:val="24"/>
                <w:lang w:val="en-US" w:eastAsia="zh-CN"/>
              </w:rPr>
              <w:t>2.4</w:t>
            </w:r>
            <w:r>
              <w:rPr>
                <w:rFonts w:hint="eastAsia" w:ascii="Calibri" w:hAnsi="Calibri"/>
                <w:kern w:val="2"/>
                <w:sz w:val="21"/>
                <w:szCs w:val="24"/>
                <w:lang w:val="en-US" w:eastAsia="zh-CN"/>
              </w:rPr>
              <w:t>分，中得</w:t>
            </w:r>
            <w:r>
              <w:rPr>
                <w:rFonts w:hint="eastAsia"/>
                <w:kern w:val="2"/>
                <w:sz w:val="21"/>
                <w:szCs w:val="24"/>
                <w:lang w:val="en-US" w:eastAsia="zh-CN"/>
              </w:rPr>
              <w:t>3.2</w:t>
            </w:r>
            <w:r>
              <w:rPr>
                <w:rFonts w:hint="eastAsia" w:ascii="Calibri" w:hAnsi="Calibri"/>
                <w:kern w:val="2"/>
                <w:sz w:val="21"/>
                <w:szCs w:val="24"/>
                <w:lang w:val="en-US" w:eastAsia="zh-CN"/>
              </w:rPr>
              <w:t>分，上得</w:t>
            </w:r>
            <w:r>
              <w:rPr>
                <w:rFonts w:hint="eastAsia"/>
                <w:kern w:val="2"/>
                <w:sz w:val="21"/>
                <w:szCs w:val="24"/>
                <w:lang w:val="en-US" w:eastAsia="zh-CN"/>
              </w:rPr>
              <w:t>4.0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rPr>
            </w:pPr>
            <w:r>
              <w:rPr>
                <w:rFonts w:hint="eastAsia" w:ascii="宋体" w:hAnsi="宋体" w:cs="宋体"/>
                <w:szCs w:val="21"/>
                <w:lang w:val="zh-CN"/>
              </w:rPr>
              <w:t>3、进度控制节点把握一般的得</w:t>
            </w:r>
            <w:r>
              <w:rPr>
                <w:rFonts w:hint="eastAsia" w:ascii="Calibri" w:hAnsi="Calibri"/>
                <w:kern w:val="2"/>
                <w:sz w:val="21"/>
                <w:szCs w:val="24"/>
                <w:lang w:val="en-US" w:eastAsia="zh-CN"/>
              </w:rPr>
              <w:t>下得0分，中得</w:t>
            </w:r>
            <w:r>
              <w:rPr>
                <w:rFonts w:hint="eastAsia"/>
                <w:kern w:val="2"/>
                <w:sz w:val="21"/>
                <w:szCs w:val="24"/>
                <w:lang w:val="en-US" w:eastAsia="zh-CN"/>
              </w:rPr>
              <w:t>0.8</w:t>
            </w:r>
            <w:r>
              <w:rPr>
                <w:rFonts w:hint="eastAsia" w:ascii="Calibri" w:hAnsi="Calibri"/>
                <w:kern w:val="2"/>
                <w:sz w:val="21"/>
                <w:szCs w:val="24"/>
                <w:lang w:val="en-US" w:eastAsia="zh-CN"/>
              </w:rPr>
              <w:t>分，上得</w:t>
            </w:r>
            <w:r>
              <w:rPr>
                <w:rFonts w:hint="eastAsia"/>
                <w:kern w:val="2"/>
                <w:sz w:val="21"/>
                <w:szCs w:val="24"/>
                <w:lang w:val="en-US" w:eastAsia="zh-CN"/>
              </w:rPr>
              <w:t>1.6</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ascii="宋体" w:hAnsi="宋体" w:cs="宋体"/>
                <w:kern w:val="0"/>
                <w:szCs w:val="21"/>
              </w:rPr>
            </w:pPr>
            <w:r>
              <w:rPr>
                <w:rFonts w:hint="eastAsia" w:ascii="宋体" w:hAnsi="宋体"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686"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14" w:type="dxa"/>
            <w:vAlign w:val="center"/>
          </w:tcPr>
          <w:p>
            <w:pPr>
              <w:pStyle w:val="27"/>
              <w:ind w:left="0" w:leftChars="0"/>
              <w:jc w:val="center"/>
              <w:rPr>
                <w:rFonts w:ascii="宋体" w:hAnsi="宋体" w:cs="宋体"/>
                <w:kern w:val="0"/>
                <w:sz w:val="21"/>
                <w:szCs w:val="21"/>
              </w:rPr>
            </w:pPr>
            <w:r>
              <w:rPr>
                <w:rFonts w:hint="eastAsia" w:ascii="宋体" w:hAnsi="宋体" w:cs="宋体"/>
                <w:kern w:val="0"/>
                <w:sz w:val="21"/>
                <w:szCs w:val="21"/>
              </w:rPr>
              <w:t>项目施工质量保证</w:t>
            </w:r>
          </w:p>
        </w:tc>
        <w:tc>
          <w:tcPr>
            <w:tcW w:w="6521" w:type="dxa"/>
            <w:vAlign w:val="center"/>
          </w:tcPr>
          <w:p>
            <w:pPr>
              <w:rPr>
                <w:rFonts w:ascii="宋体" w:hAnsi="宋体" w:cs="宋体"/>
              </w:rPr>
            </w:pPr>
            <w:r>
              <w:rPr>
                <w:rFonts w:hint="eastAsia" w:ascii="宋体" w:hAnsi="宋体" w:cs="宋体"/>
              </w:rPr>
              <w:t>根据施工质量的控制和检验手段是否科学、可靠，原材料、半成品的质量保证措施是否可靠进行打分。</w:t>
            </w:r>
          </w:p>
          <w:p>
            <w:pPr>
              <w:rPr>
                <w:rFonts w:ascii="宋体" w:hAnsi="宋体" w:cs="宋体"/>
              </w:rPr>
            </w:pPr>
            <w:r>
              <w:rPr>
                <w:rFonts w:hint="eastAsia" w:ascii="宋体" w:hAnsi="宋体" w:cs="宋体"/>
              </w:rPr>
              <w:t>1、施工质量的控制和检验手段科学、可靠，原材料、半成品的质量保证措施可靠性好的</w:t>
            </w:r>
            <w:r>
              <w:rPr>
                <w:rFonts w:hint="eastAsia" w:ascii="Calibri" w:hAnsi="Calibri"/>
                <w:kern w:val="2"/>
                <w:sz w:val="21"/>
                <w:szCs w:val="24"/>
                <w:lang w:val="en-US" w:eastAsia="zh-CN"/>
              </w:rPr>
              <w:t>下得</w:t>
            </w:r>
            <w:r>
              <w:rPr>
                <w:rFonts w:hint="eastAsia"/>
                <w:kern w:val="2"/>
                <w:sz w:val="21"/>
                <w:szCs w:val="24"/>
                <w:lang w:val="en-US" w:eastAsia="zh-CN"/>
              </w:rPr>
              <w:t>6.0</w:t>
            </w:r>
            <w:r>
              <w:rPr>
                <w:rFonts w:hint="eastAsia" w:ascii="Calibri" w:hAnsi="Calibri"/>
                <w:kern w:val="2"/>
                <w:sz w:val="21"/>
                <w:szCs w:val="24"/>
                <w:lang w:val="en-US" w:eastAsia="zh-CN"/>
              </w:rPr>
              <w:t>分，中得</w:t>
            </w:r>
            <w:r>
              <w:rPr>
                <w:rFonts w:hint="eastAsia"/>
                <w:kern w:val="2"/>
                <w:sz w:val="21"/>
                <w:szCs w:val="24"/>
                <w:lang w:val="en-US" w:eastAsia="zh-CN"/>
              </w:rPr>
              <w:t>7.0</w:t>
            </w:r>
            <w:r>
              <w:rPr>
                <w:rFonts w:hint="eastAsia" w:ascii="Calibri" w:hAnsi="Calibri"/>
                <w:kern w:val="2"/>
                <w:sz w:val="21"/>
                <w:szCs w:val="24"/>
                <w:lang w:val="en-US" w:eastAsia="zh-CN"/>
              </w:rPr>
              <w:t>分，上得</w:t>
            </w:r>
            <w:r>
              <w:rPr>
                <w:rFonts w:hint="eastAsia"/>
                <w:kern w:val="2"/>
                <w:sz w:val="21"/>
                <w:szCs w:val="24"/>
                <w:lang w:val="en-US" w:eastAsia="zh-CN"/>
              </w:rPr>
              <w:t>8.0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rPr>
            </w:pPr>
            <w:r>
              <w:rPr>
                <w:rFonts w:hint="eastAsia" w:ascii="宋体" w:hAnsi="宋体" w:cs="宋体"/>
              </w:rPr>
              <w:t>2、施工质量的控制和检验手段较为科学、可靠，原材料、半成品的质量保证措施可靠性一般的</w:t>
            </w:r>
            <w:r>
              <w:rPr>
                <w:rFonts w:hint="eastAsia" w:ascii="Calibri" w:hAnsi="Calibri"/>
                <w:kern w:val="2"/>
                <w:sz w:val="21"/>
                <w:szCs w:val="24"/>
                <w:lang w:val="en-US" w:eastAsia="zh-CN"/>
              </w:rPr>
              <w:t>下得</w:t>
            </w:r>
            <w:r>
              <w:rPr>
                <w:rFonts w:hint="eastAsia"/>
                <w:kern w:val="2"/>
                <w:sz w:val="21"/>
                <w:szCs w:val="24"/>
                <w:lang w:val="en-US" w:eastAsia="zh-CN"/>
              </w:rPr>
              <w:t>3.0</w:t>
            </w:r>
            <w:r>
              <w:rPr>
                <w:rFonts w:hint="eastAsia" w:ascii="Calibri" w:hAnsi="Calibri"/>
                <w:kern w:val="2"/>
                <w:sz w:val="21"/>
                <w:szCs w:val="24"/>
                <w:lang w:val="en-US" w:eastAsia="zh-CN"/>
              </w:rPr>
              <w:t>分，中得</w:t>
            </w:r>
            <w:r>
              <w:rPr>
                <w:rFonts w:hint="eastAsia"/>
                <w:kern w:val="2"/>
                <w:sz w:val="21"/>
                <w:szCs w:val="24"/>
                <w:lang w:val="en-US" w:eastAsia="zh-CN"/>
              </w:rPr>
              <w:t>4.0</w:t>
            </w:r>
            <w:r>
              <w:rPr>
                <w:rFonts w:hint="eastAsia" w:ascii="Calibri" w:hAnsi="Calibri"/>
                <w:kern w:val="2"/>
                <w:sz w:val="21"/>
                <w:szCs w:val="24"/>
                <w:lang w:val="en-US" w:eastAsia="zh-CN"/>
              </w:rPr>
              <w:t>分，上得</w:t>
            </w:r>
            <w:r>
              <w:rPr>
                <w:rFonts w:hint="eastAsia"/>
                <w:kern w:val="2"/>
                <w:sz w:val="21"/>
                <w:szCs w:val="24"/>
                <w:lang w:val="en-US" w:eastAsia="zh-CN"/>
              </w:rPr>
              <w:t>5.0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rPr>
                <w:rFonts w:ascii="宋体" w:hAnsi="宋体" w:cs="宋体"/>
              </w:rPr>
            </w:pPr>
            <w:r>
              <w:rPr>
                <w:rFonts w:hint="eastAsia" w:ascii="宋体" w:hAnsi="宋体" w:cs="宋体"/>
              </w:rPr>
              <w:t>3、施工质量的控制和检验手段缺乏科学、可靠，原材料、半成品的质量保证措施可靠性差的</w:t>
            </w:r>
            <w:r>
              <w:rPr>
                <w:rFonts w:hint="eastAsia" w:ascii="Calibri" w:hAnsi="Calibri"/>
                <w:kern w:val="2"/>
                <w:sz w:val="21"/>
                <w:szCs w:val="24"/>
                <w:lang w:val="en-US" w:eastAsia="zh-CN"/>
              </w:rPr>
              <w:t>下得0分，中得</w:t>
            </w:r>
            <w:r>
              <w:rPr>
                <w:rFonts w:hint="eastAsia"/>
                <w:kern w:val="2"/>
                <w:sz w:val="21"/>
                <w:szCs w:val="24"/>
                <w:lang w:val="en-US" w:eastAsia="zh-CN"/>
              </w:rPr>
              <w:t>1.0</w:t>
            </w:r>
            <w:r>
              <w:rPr>
                <w:rFonts w:hint="eastAsia" w:ascii="Calibri" w:hAnsi="Calibri"/>
                <w:kern w:val="2"/>
                <w:sz w:val="21"/>
                <w:szCs w:val="24"/>
                <w:lang w:val="en-US" w:eastAsia="zh-CN"/>
              </w:rPr>
              <w:t>分，上得</w:t>
            </w:r>
            <w:r>
              <w:rPr>
                <w:rFonts w:hint="eastAsia"/>
                <w:kern w:val="2"/>
                <w:sz w:val="21"/>
                <w:szCs w:val="24"/>
                <w:lang w:val="en-US" w:eastAsia="zh-CN"/>
              </w:rPr>
              <w:t>2.0</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0-</w:t>
            </w:r>
            <w:r>
              <w:rPr>
                <w:rFonts w:hint="eastAsia" w:ascii="宋体" w:hAnsi="宋体" w:cs="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686" w:type="dxa"/>
            <w:vAlign w:val="center"/>
          </w:tcPr>
          <w:p>
            <w:pPr>
              <w:jc w:val="center"/>
              <w:rPr>
                <w:rFonts w:ascii="宋体" w:hAnsi="宋体" w:cs="宋体"/>
                <w:szCs w:val="21"/>
              </w:rPr>
            </w:pPr>
            <w:r>
              <w:rPr>
                <w:rFonts w:hint="eastAsia" w:ascii="宋体" w:hAnsi="宋体" w:cs="宋体"/>
                <w:szCs w:val="21"/>
              </w:rPr>
              <w:t>12</w:t>
            </w:r>
          </w:p>
        </w:tc>
        <w:tc>
          <w:tcPr>
            <w:tcW w:w="1514" w:type="dxa"/>
            <w:vAlign w:val="center"/>
          </w:tcPr>
          <w:p>
            <w:pPr>
              <w:pStyle w:val="27"/>
              <w:ind w:left="0" w:leftChars="0"/>
              <w:jc w:val="center"/>
              <w:rPr>
                <w:rFonts w:ascii="宋体" w:hAnsi="宋体" w:cs="宋体"/>
                <w:kern w:val="0"/>
                <w:sz w:val="21"/>
                <w:szCs w:val="21"/>
              </w:rPr>
            </w:pPr>
            <w:r>
              <w:rPr>
                <w:rFonts w:hint="eastAsia" w:ascii="宋体" w:hAnsi="宋体" w:cs="宋体"/>
                <w:kern w:val="0"/>
                <w:sz w:val="21"/>
                <w:szCs w:val="21"/>
              </w:rPr>
              <w:t>应急预案</w:t>
            </w:r>
          </w:p>
        </w:tc>
        <w:tc>
          <w:tcPr>
            <w:tcW w:w="6521" w:type="dxa"/>
            <w:vAlign w:val="center"/>
          </w:tcPr>
          <w:p>
            <w:pPr>
              <w:widowControl/>
              <w:snapToGrid w:val="0"/>
              <w:rPr>
                <w:rFonts w:ascii="宋体" w:hAnsi="宋体" w:cs="宋体"/>
                <w:szCs w:val="21"/>
              </w:rPr>
            </w:pPr>
            <w:r>
              <w:rPr>
                <w:rFonts w:hint="eastAsia" w:ascii="宋体" w:hAnsi="宋体" w:cs="宋体"/>
                <w:szCs w:val="21"/>
              </w:rPr>
              <w:t>根据针对本项目的应急预案进行打分。</w:t>
            </w:r>
          </w:p>
          <w:p>
            <w:pPr>
              <w:numPr>
                <w:ilvl w:val="255"/>
                <w:numId w:val="0"/>
              </w:numPr>
              <w:snapToGrid w:val="0"/>
              <w:rPr>
                <w:rFonts w:ascii="宋体" w:hAnsi="宋体" w:cs="宋体"/>
                <w:szCs w:val="21"/>
              </w:rPr>
            </w:pPr>
            <w:r>
              <w:rPr>
                <w:rFonts w:hint="eastAsia" w:ascii="宋体" w:hAnsi="宋体" w:cs="宋体"/>
                <w:szCs w:val="21"/>
              </w:rPr>
              <w:t>1、应急预案可操作性强、全面的</w:t>
            </w:r>
            <w:r>
              <w:rPr>
                <w:rFonts w:hint="eastAsia" w:ascii="Calibri" w:hAnsi="Calibri"/>
                <w:kern w:val="2"/>
                <w:sz w:val="21"/>
                <w:szCs w:val="24"/>
                <w:lang w:val="en-US" w:eastAsia="zh-CN"/>
              </w:rPr>
              <w:t>下得</w:t>
            </w:r>
            <w:r>
              <w:rPr>
                <w:rFonts w:hint="eastAsia"/>
                <w:kern w:val="2"/>
                <w:sz w:val="21"/>
                <w:szCs w:val="24"/>
                <w:lang w:val="en-US" w:eastAsia="zh-CN"/>
              </w:rPr>
              <w:t>3.0</w:t>
            </w:r>
            <w:r>
              <w:rPr>
                <w:rFonts w:hint="eastAsia" w:ascii="Calibri" w:hAnsi="Calibri"/>
                <w:kern w:val="2"/>
                <w:sz w:val="21"/>
                <w:szCs w:val="24"/>
                <w:lang w:val="en-US" w:eastAsia="zh-CN"/>
              </w:rPr>
              <w:t>分，中得</w:t>
            </w:r>
            <w:r>
              <w:rPr>
                <w:rFonts w:hint="eastAsia"/>
                <w:kern w:val="2"/>
                <w:sz w:val="21"/>
                <w:szCs w:val="24"/>
                <w:lang w:val="en-US" w:eastAsia="zh-CN"/>
              </w:rPr>
              <w:t>3.5</w:t>
            </w:r>
            <w:r>
              <w:rPr>
                <w:rFonts w:hint="eastAsia" w:ascii="Calibri" w:hAnsi="Calibri"/>
                <w:kern w:val="2"/>
                <w:sz w:val="21"/>
                <w:szCs w:val="24"/>
                <w:lang w:val="en-US" w:eastAsia="zh-CN"/>
              </w:rPr>
              <w:t>分，上得</w:t>
            </w:r>
            <w:r>
              <w:rPr>
                <w:rFonts w:hint="eastAsia"/>
                <w:kern w:val="2"/>
                <w:sz w:val="21"/>
                <w:szCs w:val="24"/>
                <w:lang w:val="en-US" w:eastAsia="zh-CN"/>
              </w:rPr>
              <w:t>4</w:t>
            </w:r>
            <w:r>
              <w:rPr>
                <w:rFonts w:hint="eastAsia" w:ascii="Calibri" w:hAnsi="Calibri"/>
                <w:kern w:val="2"/>
                <w:sz w:val="21"/>
                <w:szCs w:val="24"/>
                <w:lang w:val="en-US" w:eastAsia="zh-CN"/>
              </w:rPr>
              <w:t>.0</w:t>
            </w:r>
            <w:r>
              <w:rPr>
                <w:rFonts w:hint="eastAsia" w:ascii="Calibri" w:hAnsi="Calibri"/>
                <w:kern w:val="2"/>
                <w:sz w:val="21"/>
                <w:szCs w:val="24"/>
                <w:lang w:val="en-US"/>
              </w:rPr>
              <w:t>分</w:t>
            </w:r>
            <w:r>
              <w:rPr>
                <w:rFonts w:hint="eastAsia" w:ascii="Calibri" w:hAnsi="Calibri"/>
                <w:kern w:val="2"/>
                <w:sz w:val="21"/>
                <w:szCs w:val="24"/>
                <w:lang w:val="en-US" w:eastAsia="zh-CN"/>
              </w:rPr>
              <w:t>；</w:t>
            </w:r>
          </w:p>
          <w:p>
            <w:pPr>
              <w:numPr>
                <w:ilvl w:val="255"/>
                <w:numId w:val="0"/>
              </w:numPr>
              <w:snapToGrid w:val="0"/>
              <w:rPr>
                <w:rFonts w:ascii="宋体" w:hAnsi="宋体" w:cs="宋体"/>
                <w:szCs w:val="21"/>
              </w:rPr>
            </w:pPr>
            <w:r>
              <w:rPr>
                <w:rFonts w:hint="eastAsia" w:ascii="宋体" w:hAnsi="宋体" w:cs="宋体"/>
                <w:szCs w:val="21"/>
              </w:rPr>
              <w:t>2、应急预案可操作性一般、有待提高的</w:t>
            </w:r>
            <w:r>
              <w:rPr>
                <w:rFonts w:hint="eastAsia" w:ascii="Calibri" w:hAnsi="Calibri"/>
                <w:kern w:val="2"/>
                <w:sz w:val="21"/>
                <w:szCs w:val="24"/>
                <w:lang w:val="en-US" w:eastAsia="zh-CN"/>
              </w:rPr>
              <w:t>下得</w:t>
            </w:r>
            <w:r>
              <w:rPr>
                <w:rFonts w:hint="eastAsia"/>
                <w:kern w:val="2"/>
                <w:sz w:val="21"/>
                <w:szCs w:val="24"/>
                <w:lang w:val="en-US" w:eastAsia="zh-CN"/>
              </w:rPr>
              <w:t>1.5</w:t>
            </w:r>
            <w:r>
              <w:rPr>
                <w:rFonts w:hint="eastAsia" w:ascii="Calibri" w:hAnsi="Calibri"/>
                <w:kern w:val="2"/>
                <w:sz w:val="21"/>
                <w:szCs w:val="24"/>
                <w:lang w:val="en-US" w:eastAsia="zh-CN"/>
              </w:rPr>
              <w:t>分，中得</w:t>
            </w:r>
            <w:r>
              <w:rPr>
                <w:rFonts w:hint="eastAsia"/>
                <w:kern w:val="2"/>
                <w:sz w:val="21"/>
                <w:szCs w:val="24"/>
                <w:lang w:val="en-US" w:eastAsia="zh-CN"/>
              </w:rPr>
              <w:t>2.0</w:t>
            </w:r>
            <w:r>
              <w:rPr>
                <w:rFonts w:hint="eastAsia" w:ascii="Calibri" w:hAnsi="Calibri"/>
                <w:kern w:val="2"/>
                <w:sz w:val="21"/>
                <w:szCs w:val="24"/>
                <w:lang w:val="en-US" w:eastAsia="zh-CN"/>
              </w:rPr>
              <w:t>分，上得2</w:t>
            </w:r>
            <w:r>
              <w:rPr>
                <w:rFonts w:hint="eastAsia"/>
                <w:kern w:val="2"/>
                <w:sz w:val="21"/>
                <w:szCs w:val="24"/>
                <w:lang w:val="en-US" w:eastAsia="zh-CN"/>
              </w:rPr>
              <w:t>5</w:t>
            </w:r>
            <w:r>
              <w:rPr>
                <w:rFonts w:hint="eastAsia" w:ascii="Calibri" w:hAnsi="Calibri"/>
                <w:kern w:val="2"/>
                <w:sz w:val="21"/>
                <w:szCs w:val="24"/>
                <w:lang w:val="en-US"/>
              </w:rPr>
              <w:t>分</w:t>
            </w:r>
            <w:r>
              <w:rPr>
                <w:rFonts w:hint="eastAsia" w:ascii="Calibri" w:hAnsi="Calibri"/>
                <w:kern w:val="2"/>
                <w:sz w:val="21"/>
                <w:szCs w:val="24"/>
                <w:lang w:val="en-US" w:eastAsia="zh-CN"/>
              </w:rPr>
              <w:t>；</w:t>
            </w:r>
          </w:p>
          <w:p>
            <w:pPr>
              <w:pStyle w:val="14"/>
              <w:spacing w:after="0"/>
              <w:ind w:firstLine="0" w:firstLineChars="0"/>
              <w:rPr>
                <w:rFonts w:ascii="宋体" w:hAnsi="宋体" w:cs="宋体"/>
              </w:rPr>
            </w:pPr>
            <w:r>
              <w:rPr>
                <w:rFonts w:hint="eastAsia" w:ascii="宋体" w:hAnsi="宋体" w:cs="宋体"/>
                <w:szCs w:val="21"/>
              </w:rPr>
              <w:t>3、应急预案可操作性差，不全面的</w:t>
            </w:r>
            <w:r>
              <w:rPr>
                <w:rFonts w:hint="eastAsia" w:ascii="Calibri" w:hAnsi="Calibri"/>
                <w:kern w:val="2"/>
                <w:sz w:val="21"/>
                <w:szCs w:val="24"/>
                <w:lang w:val="en-US" w:eastAsia="zh-CN"/>
              </w:rPr>
              <w:t>下得0分，中得</w:t>
            </w:r>
            <w:r>
              <w:rPr>
                <w:rFonts w:hint="eastAsia"/>
                <w:kern w:val="2"/>
                <w:sz w:val="21"/>
                <w:szCs w:val="24"/>
                <w:lang w:val="en-US" w:eastAsia="zh-CN"/>
              </w:rPr>
              <w:t>0.5</w:t>
            </w:r>
            <w:r>
              <w:rPr>
                <w:rFonts w:hint="eastAsia" w:ascii="Calibri" w:hAnsi="Calibri"/>
                <w:kern w:val="2"/>
                <w:sz w:val="21"/>
                <w:szCs w:val="24"/>
                <w:lang w:val="en-US" w:eastAsia="zh-CN"/>
              </w:rPr>
              <w:t>分，上得</w:t>
            </w:r>
            <w:r>
              <w:rPr>
                <w:rFonts w:hint="eastAsia"/>
                <w:kern w:val="2"/>
                <w:sz w:val="21"/>
                <w:szCs w:val="24"/>
                <w:lang w:val="en-US" w:eastAsia="zh-CN"/>
              </w:rPr>
              <w:t>1.0</w:t>
            </w:r>
            <w:r>
              <w:rPr>
                <w:rFonts w:hint="eastAsia" w:ascii="Calibri" w:hAnsi="Calibri"/>
                <w:kern w:val="2"/>
                <w:sz w:val="21"/>
                <w:szCs w:val="24"/>
                <w:lang w:val="en-US"/>
              </w:rPr>
              <w:t>分</w:t>
            </w:r>
            <w:r>
              <w:rPr>
                <w:rFonts w:hint="eastAsia" w:ascii="Calibri" w:hAnsi="Calibri"/>
                <w:kern w:val="2"/>
                <w:sz w:val="21"/>
                <w:szCs w:val="24"/>
                <w:lang w:val="en-US" w:eastAsia="zh-CN"/>
              </w:rPr>
              <w:t>；</w:t>
            </w:r>
          </w:p>
        </w:tc>
        <w:tc>
          <w:tcPr>
            <w:tcW w:w="698" w:type="dxa"/>
            <w:vAlign w:val="center"/>
          </w:tcPr>
          <w:p>
            <w:pPr>
              <w:widowControl/>
              <w:jc w:val="center"/>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4</w:t>
            </w:r>
          </w:p>
        </w:tc>
      </w:tr>
    </w:tbl>
    <w:p>
      <w:pPr>
        <w:pStyle w:val="29"/>
      </w:pPr>
    </w:p>
    <w:p>
      <w:pPr>
        <w:spacing w:line="360" w:lineRule="auto"/>
        <w:jc w:val="center"/>
        <w:rPr>
          <w:rFonts w:ascii="宋体" w:hAnsi="宋体" w:cs="宋体"/>
          <w:b/>
          <w:sz w:val="36"/>
          <w:szCs w:val="36"/>
        </w:rPr>
        <w:sectPr>
          <w:pgSz w:w="11906" w:h="16838"/>
          <w:pgMar w:top="1440" w:right="1800" w:bottom="1440" w:left="1800" w:header="851" w:footer="992" w:gutter="0"/>
          <w:cols w:space="720" w:num="1"/>
          <w:docGrid w:type="lines" w:linePitch="312" w:charSpace="0"/>
        </w:sectPr>
      </w:pPr>
    </w:p>
    <w:p>
      <w:pPr>
        <w:pageBreakBefore/>
        <w:spacing w:line="360" w:lineRule="auto"/>
        <w:jc w:val="center"/>
        <w:rPr>
          <w:rFonts w:ascii="仿宋_GB2312" w:hAnsi="宋体" w:eastAsia="仿宋_GB2312"/>
          <w:b/>
          <w:bCs/>
          <w:sz w:val="44"/>
          <w:szCs w:val="44"/>
        </w:rPr>
      </w:pPr>
      <w:r>
        <w:rPr>
          <w:rFonts w:hint="eastAsia" w:ascii="宋体" w:hAnsi="宋体" w:cs="宋体"/>
          <w:b/>
          <w:sz w:val="36"/>
          <w:szCs w:val="36"/>
        </w:rPr>
        <w:t>第四章 采购需求</w:t>
      </w:r>
    </w:p>
    <w:p>
      <w:pPr>
        <w:pStyle w:val="99"/>
        <w:spacing w:before="0" w:line="360" w:lineRule="auto"/>
        <w:outlineLvl w:val="8"/>
        <w:rPr>
          <w:rFonts w:ascii="宋体" w:hAnsi="宋体" w:eastAsia="宋体"/>
          <w:b/>
          <w:sz w:val="24"/>
          <w:szCs w:val="24"/>
        </w:rPr>
      </w:pPr>
      <w:bookmarkStart w:id="7" w:name="_Toc534469174"/>
      <w:bookmarkStart w:id="8" w:name="_Toc38737758"/>
      <w:bookmarkStart w:id="9" w:name="_Toc531162037"/>
      <w:bookmarkStart w:id="10" w:name="_Toc31546"/>
      <w:bookmarkStart w:id="11" w:name="_Toc48637324"/>
      <w:bookmarkStart w:id="12" w:name="_Toc48637245"/>
      <w:bookmarkStart w:id="13" w:name="_Toc372899887"/>
      <w:bookmarkStart w:id="14" w:name="_Toc288556313"/>
      <w:bookmarkStart w:id="15" w:name="_Toc283886271"/>
      <w:bookmarkStart w:id="16" w:name="_Toc394573957"/>
      <w:bookmarkStart w:id="17" w:name="_Toc283976561"/>
      <w:bookmarkStart w:id="18" w:name="_Toc282596326"/>
      <w:r>
        <w:rPr>
          <w:rFonts w:hint="eastAsia" w:ascii="宋体" w:hAnsi="宋体" w:eastAsia="宋体"/>
          <w:sz w:val="24"/>
          <w:szCs w:val="24"/>
        </w:rPr>
        <w:t>一、</w:t>
      </w:r>
      <w:r>
        <w:rPr>
          <w:rFonts w:hint="eastAsia" w:ascii="宋体" w:hAnsi="宋体" w:eastAsia="宋体"/>
          <w:b/>
          <w:sz w:val="24"/>
          <w:szCs w:val="24"/>
        </w:rPr>
        <w:t>项目一览表</w:t>
      </w:r>
    </w:p>
    <w:p>
      <w:pPr>
        <w:pStyle w:val="99"/>
        <w:spacing w:before="0" w:line="360" w:lineRule="auto"/>
        <w:outlineLvl w:val="8"/>
        <w:rPr>
          <w:rFonts w:ascii="宋体" w:hAnsi="宋体" w:eastAsia="宋体"/>
          <w:b/>
          <w:sz w:val="24"/>
          <w:szCs w:val="24"/>
        </w:rPr>
      </w:pPr>
      <w:r>
        <w:rPr>
          <w:rFonts w:hint="eastAsia" w:ascii="宋体" w:hAnsi="宋体" w:eastAsia="宋体"/>
          <w:b/>
          <w:sz w:val="24"/>
          <w:szCs w:val="24"/>
        </w:rPr>
        <w:t>本次采购项目，具体内容如下表：</w:t>
      </w:r>
    </w:p>
    <w:tbl>
      <w:tblPr>
        <w:tblStyle w:val="32"/>
        <w:tblW w:w="10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36"/>
        <w:gridCol w:w="789"/>
        <w:gridCol w:w="532"/>
        <w:gridCol w:w="576"/>
        <w:gridCol w:w="1309"/>
        <w:gridCol w:w="1282"/>
        <w:gridCol w:w="1254"/>
        <w:gridCol w:w="122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35"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标段号</w:t>
            </w:r>
          </w:p>
        </w:tc>
        <w:tc>
          <w:tcPr>
            <w:tcW w:w="1736"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项目名称</w:t>
            </w:r>
          </w:p>
        </w:tc>
        <w:tc>
          <w:tcPr>
            <w:tcW w:w="789"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kern w:val="0"/>
                <w:sz w:val="24"/>
              </w:rPr>
              <w:t>简要要求</w:t>
            </w:r>
          </w:p>
        </w:tc>
        <w:tc>
          <w:tcPr>
            <w:tcW w:w="532"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数量</w:t>
            </w:r>
          </w:p>
        </w:tc>
        <w:tc>
          <w:tcPr>
            <w:tcW w:w="576" w:type="dxa"/>
            <w:vAlign w:val="center"/>
          </w:tcPr>
          <w:p>
            <w:pPr>
              <w:tabs>
                <w:tab w:val="left" w:pos="8280"/>
              </w:tabs>
              <w:autoSpaceDE w:val="0"/>
              <w:autoSpaceDN w:val="0"/>
              <w:adjustRightInd w:val="0"/>
              <w:ind w:right="25"/>
              <w:jc w:val="center"/>
              <w:rPr>
                <w:rFonts w:ascii="宋体" w:hAnsi="宋体" w:cs="宋体"/>
                <w:b/>
                <w:sz w:val="24"/>
              </w:rPr>
            </w:pPr>
            <w:r>
              <w:rPr>
                <w:rFonts w:hint="eastAsia" w:ascii="宋体" w:hAnsi="宋体" w:cs="宋体"/>
                <w:b/>
                <w:sz w:val="24"/>
              </w:rPr>
              <w:t>单位</w:t>
            </w:r>
          </w:p>
        </w:tc>
        <w:tc>
          <w:tcPr>
            <w:tcW w:w="1309" w:type="dxa"/>
            <w:vAlign w:val="center"/>
          </w:tcPr>
          <w:p>
            <w:pPr>
              <w:tabs>
                <w:tab w:val="left" w:pos="8280"/>
              </w:tabs>
              <w:autoSpaceDE w:val="0"/>
              <w:autoSpaceDN w:val="0"/>
              <w:adjustRightInd w:val="0"/>
              <w:ind w:right="25"/>
              <w:jc w:val="center"/>
              <w:rPr>
                <w:rFonts w:ascii="宋体" w:hAnsi="宋体" w:cs="宋体"/>
                <w:b/>
                <w:kern w:val="0"/>
                <w:sz w:val="24"/>
              </w:rPr>
            </w:pPr>
            <w:r>
              <w:rPr>
                <w:rFonts w:hint="eastAsia" w:ascii="宋体" w:hAnsi="宋体" w:cs="宋体"/>
                <w:b/>
                <w:kern w:val="0"/>
                <w:sz w:val="24"/>
              </w:rPr>
              <w:t>预算价（元）</w:t>
            </w:r>
          </w:p>
        </w:tc>
        <w:tc>
          <w:tcPr>
            <w:tcW w:w="1282" w:type="dxa"/>
            <w:vAlign w:val="center"/>
          </w:tcPr>
          <w:p>
            <w:pPr>
              <w:tabs>
                <w:tab w:val="left" w:pos="8280"/>
              </w:tabs>
              <w:autoSpaceDE w:val="0"/>
              <w:autoSpaceDN w:val="0"/>
              <w:adjustRightInd w:val="0"/>
              <w:ind w:right="25"/>
              <w:jc w:val="center"/>
              <w:rPr>
                <w:rFonts w:ascii="宋体" w:hAnsi="宋体" w:cs="宋体"/>
                <w:b/>
                <w:kern w:val="0"/>
                <w:sz w:val="24"/>
              </w:rPr>
            </w:pPr>
            <w:r>
              <w:rPr>
                <w:rFonts w:hint="eastAsia" w:ascii="宋体" w:hAnsi="宋体" w:cs="宋体"/>
                <w:b/>
                <w:kern w:val="0"/>
                <w:sz w:val="24"/>
              </w:rPr>
              <w:t>最高限价（元）</w:t>
            </w:r>
          </w:p>
        </w:tc>
        <w:tc>
          <w:tcPr>
            <w:tcW w:w="1254" w:type="dxa"/>
            <w:vAlign w:val="center"/>
          </w:tcPr>
          <w:p>
            <w:pPr>
              <w:tabs>
                <w:tab w:val="left" w:pos="8280"/>
              </w:tabs>
              <w:autoSpaceDE w:val="0"/>
              <w:autoSpaceDN w:val="0"/>
              <w:adjustRightInd w:val="0"/>
              <w:ind w:right="25"/>
              <w:jc w:val="center"/>
              <w:rPr>
                <w:rFonts w:ascii="宋体" w:hAnsi="宋体" w:cs="宋体"/>
                <w:b/>
                <w:kern w:val="0"/>
                <w:sz w:val="24"/>
              </w:rPr>
            </w:pPr>
            <w:r>
              <w:rPr>
                <w:rFonts w:hint="eastAsia" w:ascii="宋体" w:hAnsi="宋体" w:cs="宋体"/>
                <w:b/>
                <w:kern w:val="0"/>
                <w:sz w:val="24"/>
              </w:rPr>
              <w:t>工期</w:t>
            </w:r>
          </w:p>
        </w:tc>
        <w:tc>
          <w:tcPr>
            <w:tcW w:w="1227" w:type="dxa"/>
            <w:vAlign w:val="center"/>
          </w:tcPr>
          <w:p>
            <w:pPr>
              <w:tabs>
                <w:tab w:val="left" w:pos="8280"/>
              </w:tabs>
              <w:autoSpaceDE w:val="0"/>
              <w:autoSpaceDN w:val="0"/>
              <w:adjustRightInd w:val="0"/>
              <w:ind w:right="25"/>
              <w:jc w:val="center"/>
              <w:rPr>
                <w:rFonts w:ascii="宋体" w:hAnsi="宋体" w:cs="宋体"/>
                <w:b/>
                <w:kern w:val="0"/>
                <w:sz w:val="24"/>
              </w:rPr>
            </w:pPr>
            <w:r>
              <w:rPr>
                <w:rFonts w:hint="eastAsia" w:ascii="宋体" w:hAnsi="宋体" w:cs="宋体"/>
                <w:b/>
                <w:kern w:val="0"/>
                <w:sz w:val="24"/>
              </w:rPr>
              <w:t>质量</w:t>
            </w:r>
          </w:p>
        </w:tc>
        <w:tc>
          <w:tcPr>
            <w:tcW w:w="1227" w:type="dxa"/>
            <w:vAlign w:val="center"/>
          </w:tcPr>
          <w:p>
            <w:pPr>
              <w:widowControl/>
              <w:tabs>
                <w:tab w:val="left" w:pos="8280"/>
              </w:tabs>
              <w:autoSpaceDE w:val="0"/>
              <w:autoSpaceDN w:val="0"/>
              <w:adjustRightInd w:val="0"/>
              <w:ind w:right="25"/>
              <w:jc w:val="center"/>
              <w:rPr>
                <w:rFonts w:ascii="宋体" w:hAnsi="宋体" w:cs="宋体"/>
                <w:b/>
                <w:sz w:val="24"/>
              </w:rPr>
            </w:pPr>
            <w:r>
              <w:rPr>
                <w:rFonts w:hint="eastAsia" w:ascii="宋体" w:hAnsi="宋体" w:cs="宋体"/>
                <w:b/>
                <w:kern w:val="0"/>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35" w:type="dxa"/>
            <w:vAlign w:val="center"/>
          </w:tcPr>
          <w:p>
            <w:pPr>
              <w:jc w:val="center"/>
              <w:rPr>
                <w:rFonts w:ascii="宋体" w:hAnsi="宋体" w:cs="宋体"/>
                <w:sz w:val="24"/>
              </w:rPr>
            </w:pPr>
            <w:r>
              <w:rPr>
                <w:rFonts w:hint="eastAsia" w:ascii="宋体" w:hAnsi="宋体" w:cs="宋体"/>
                <w:sz w:val="24"/>
              </w:rPr>
              <w:t>1</w:t>
            </w:r>
          </w:p>
        </w:tc>
        <w:tc>
          <w:tcPr>
            <w:tcW w:w="1736" w:type="dxa"/>
            <w:vAlign w:val="center"/>
          </w:tcPr>
          <w:p>
            <w:pPr>
              <w:jc w:val="center"/>
              <w:rPr>
                <w:rFonts w:ascii="宋体" w:hAnsi="宋体" w:cs="宋体"/>
                <w:sz w:val="24"/>
              </w:rPr>
            </w:pPr>
            <w:r>
              <w:rPr>
                <w:rFonts w:hint="eastAsia" w:ascii="宋体" w:hAnsi="宋体" w:cs="宋体"/>
                <w:sz w:val="24"/>
              </w:rPr>
              <w:t>洪家街道鸿源社区“邻距里”综合体建设项目</w:t>
            </w:r>
          </w:p>
        </w:tc>
        <w:tc>
          <w:tcPr>
            <w:tcW w:w="789" w:type="dxa"/>
            <w:vAlign w:val="center"/>
          </w:tcPr>
          <w:p>
            <w:pPr>
              <w:jc w:val="center"/>
              <w:rPr>
                <w:rFonts w:ascii="宋体" w:hAnsi="宋体" w:cs="宋体"/>
                <w:sz w:val="24"/>
              </w:rPr>
            </w:pPr>
            <w:r>
              <w:rPr>
                <w:rFonts w:hint="eastAsia" w:ascii="宋体" w:hAnsi="宋体" w:cs="宋体"/>
                <w:sz w:val="24"/>
              </w:rPr>
              <w:t>详见采购需求</w:t>
            </w:r>
          </w:p>
        </w:tc>
        <w:tc>
          <w:tcPr>
            <w:tcW w:w="532" w:type="dxa"/>
            <w:vAlign w:val="center"/>
          </w:tcPr>
          <w:p>
            <w:pPr>
              <w:jc w:val="center"/>
              <w:rPr>
                <w:rFonts w:ascii="宋体" w:hAnsi="宋体" w:cs="宋体"/>
                <w:sz w:val="24"/>
              </w:rPr>
            </w:pPr>
            <w:r>
              <w:rPr>
                <w:rFonts w:hint="eastAsia" w:ascii="宋体" w:hAnsi="宋体" w:cs="宋体"/>
                <w:sz w:val="24"/>
              </w:rPr>
              <w:t>1</w:t>
            </w:r>
          </w:p>
        </w:tc>
        <w:tc>
          <w:tcPr>
            <w:tcW w:w="576" w:type="dxa"/>
            <w:vAlign w:val="center"/>
          </w:tcPr>
          <w:p>
            <w:pPr>
              <w:jc w:val="center"/>
              <w:rPr>
                <w:rFonts w:ascii="宋体" w:hAnsi="宋体" w:cs="宋体"/>
                <w:sz w:val="24"/>
              </w:rPr>
            </w:pPr>
            <w:r>
              <w:rPr>
                <w:rFonts w:hint="eastAsia" w:ascii="宋体" w:hAnsi="宋体" w:cs="宋体"/>
                <w:sz w:val="24"/>
              </w:rPr>
              <w:t>项</w:t>
            </w:r>
          </w:p>
        </w:tc>
        <w:tc>
          <w:tcPr>
            <w:tcW w:w="1309" w:type="dxa"/>
            <w:vAlign w:val="center"/>
          </w:tcPr>
          <w:p>
            <w:pPr>
              <w:jc w:val="center"/>
              <w:rPr>
                <w:rFonts w:ascii="宋体" w:hAnsi="宋体" w:cs="宋体"/>
                <w:sz w:val="24"/>
              </w:rPr>
            </w:pPr>
            <w:r>
              <w:rPr>
                <w:rFonts w:hint="eastAsia" w:ascii="宋体" w:hAnsi="宋体" w:cs="宋体"/>
                <w:sz w:val="24"/>
              </w:rPr>
              <w:t>1206155</w:t>
            </w:r>
          </w:p>
        </w:tc>
        <w:tc>
          <w:tcPr>
            <w:tcW w:w="1282" w:type="dxa"/>
            <w:vAlign w:val="center"/>
          </w:tcPr>
          <w:p>
            <w:pPr>
              <w:jc w:val="center"/>
              <w:rPr>
                <w:rFonts w:ascii="宋体" w:hAnsi="宋体" w:cs="宋体"/>
                <w:sz w:val="24"/>
              </w:rPr>
            </w:pPr>
            <w:r>
              <w:rPr>
                <w:rFonts w:hint="eastAsia" w:ascii="宋体" w:hAnsi="宋体" w:cs="宋体"/>
                <w:sz w:val="24"/>
              </w:rPr>
              <w:t>1079416</w:t>
            </w:r>
            <w:r>
              <w:rPr>
                <w:rFonts w:hint="eastAsia" w:ascii="宋体" w:hAnsi="宋体" w:cs="宋体"/>
                <w:szCs w:val="21"/>
                <w:lang w:eastAsia="zh-CN"/>
              </w:rPr>
              <w:t>（</w:t>
            </w:r>
            <w:r>
              <w:rPr>
                <w:rFonts w:hint="eastAsia" w:ascii="宋体" w:hAnsi="宋体" w:cs="宋体"/>
                <w:szCs w:val="21"/>
                <w:lang w:val="en-US" w:eastAsia="zh-CN"/>
              </w:rPr>
              <w:t>装修部分上限价929416元，文化上墙部分150000元</w:t>
            </w:r>
            <w:r>
              <w:rPr>
                <w:rFonts w:hint="eastAsia" w:ascii="宋体" w:hAnsi="宋体" w:cs="宋体"/>
                <w:szCs w:val="21"/>
                <w:lang w:eastAsia="zh-CN"/>
              </w:rPr>
              <w:t>）</w:t>
            </w:r>
          </w:p>
        </w:tc>
        <w:tc>
          <w:tcPr>
            <w:tcW w:w="1254" w:type="dxa"/>
            <w:vAlign w:val="center"/>
          </w:tcPr>
          <w:p>
            <w:pPr>
              <w:jc w:val="center"/>
              <w:rPr>
                <w:rFonts w:ascii="宋体" w:hAnsi="宋体" w:cs="宋体"/>
                <w:sz w:val="24"/>
              </w:rPr>
            </w:pPr>
            <w:r>
              <w:rPr>
                <w:rFonts w:hint="eastAsia" w:ascii="宋体" w:hAnsi="宋体" w:cs="宋体"/>
                <w:sz w:val="24"/>
              </w:rPr>
              <w:t xml:space="preserve">2023年5月20日前完工   </w:t>
            </w:r>
          </w:p>
        </w:tc>
        <w:tc>
          <w:tcPr>
            <w:tcW w:w="1227" w:type="dxa"/>
            <w:vAlign w:val="center"/>
          </w:tcPr>
          <w:p>
            <w:pPr>
              <w:jc w:val="center"/>
              <w:rPr>
                <w:rFonts w:ascii="宋体" w:hAnsi="宋体" w:cs="宋体"/>
                <w:sz w:val="24"/>
              </w:rPr>
            </w:pPr>
            <w:r>
              <w:rPr>
                <w:rFonts w:hint="eastAsia" w:ascii="宋体" w:hAnsi="宋体" w:cs="宋体"/>
                <w:sz w:val="24"/>
              </w:rPr>
              <w:t>合格</w:t>
            </w:r>
          </w:p>
        </w:tc>
        <w:tc>
          <w:tcPr>
            <w:tcW w:w="1227" w:type="dxa"/>
            <w:vAlign w:val="center"/>
          </w:tcPr>
          <w:p>
            <w:pPr>
              <w:widowControl/>
              <w:jc w:val="center"/>
              <w:rPr>
                <w:rFonts w:ascii="宋体" w:hAnsi="宋体" w:cs="宋体"/>
                <w:sz w:val="24"/>
              </w:rPr>
            </w:pPr>
            <w:r>
              <w:rPr>
                <w:rFonts w:hint="eastAsia" w:ascii="宋体" w:hAnsi="宋体" w:cs="宋体"/>
                <w:sz w:val="24"/>
              </w:rPr>
              <w:t>洪家街道鸿源社区</w:t>
            </w:r>
          </w:p>
        </w:tc>
      </w:tr>
    </w:tbl>
    <w:p>
      <w:pPr>
        <w:pStyle w:val="99"/>
        <w:spacing w:before="0" w:line="360" w:lineRule="auto"/>
        <w:outlineLvl w:val="8"/>
        <w:rPr>
          <w:rFonts w:ascii="宋体" w:hAnsi="宋体" w:eastAsia="宋体"/>
          <w:sz w:val="24"/>
          <w:szCs w:val="24"/>
        </w:rPr>
      </w:pPr>
      <w:r>
        <w:rPr>
          <w:rFonts w:hint="eastAsia" w:ascii="宋体" w:hAnsi="宋体" w:eastAsia="宋体"/>
          <w:b/>
          <w:bCs/>
          <w:sz w:val="24"/>
          <w:szCs w:val="24"/>
        </w:rPr>
        <w:t>二、项目概况</w:t>
      </w:r>
    </w:p>
    <w:bookmarkEnd w:id="7"/>
    <w:bookmarkEnd w:id="8"/>
    <w:bookmarkEnd w:id="9"/>
    <w:bookmarkEnd w:id="10"/>
    <w:bookmarkEnd w:id="11"/>
    <w:bookmarkEnd w:id="12"/>
    <w:p>
      <w:pPr>
        <w:pStyle w:val="100"/>
        <w:spacing w:line="360" w:lineRule="auto"/>
        <w:ind w:firstLine="480"/>
        <w:rPr>
          <w:rFonts w:ascii="宋体" w:hAnsi="宋体"/>
          <w:sz w:val="24"/>
          <w:szCs w:val="24"/>
        </w:rPr>
      </w:pPr>
      <w:r>
        <w:rPr>
          <w:rFonts w:hint="eastAsia" w:ascii="宋体" w:hAnsi="宋体"/>
          <w:sz w:val="24"/>
          <w:szCs w:val="24"/>
        </w:rPr>
        <w:t>1、采购项目名称：洪家街道鸿源社区“邻距里”综合体建设项目</w:t>
      </w:r>
    </w:p>
    <w:p>
      <w:pPr>
        <w:pStyle w:val="100"/>
        <w:spacing w:line="360" w:lineRule="auto"/>
        <w:ind w:firstLine="480"/>
        <w:rPr>
          <w:rFonts w:ascii="宋体" w:hAnsi="宋体"/>
          <w:sz w:val="24"/>
          <w:szCs w:val="24"/>
        </w:rPr>
      </w:pPr>
      <w:r>
        <w:rPr>
          <w:rFonts w:hint="eastAsia" w:ascii="宋体" w:hAnsi="宋体"/>
          <w:sz w:val="24"/>
          <w:szCs w:val="24"/>
        </w:rPr>
        <w:t>2、装修部分建设规模：建筑面积约960m</w:t>
      </w:r>
      <w:r>
        <w:rPr>
          <w:rFonts w:hint="eastAsia" w:ascii="宋体" w:hAnsi="宋体"/>
          <w:sz w:val="24"/>
          <w:szCs w:val="24"/>
          <w:vertAlign w:val="superscript"/>
        </w:rPr>
        <w:t>2</w:t>
      </w:r>
      <w:r>
        <w:rPr>
          <w:rFonts w:hint="eastAsia" w:ascii="宋体" w:hAnsi="宋体"/>
          <w:sz w:val="24"/>
          <w:szCs w:val="24"/>
        </w:rPr>
        <w:t>，主要内容包括建筑现浇混凝土楼板加层；轻质砖墙体、竹木纤维护墙板墙面、卫生间墙面贴瓷砖、地面铺地砖、卫生间铝扣板吊顶；电工管采用JDG管敷设、照明线采用铜芯BV系列；智能化配管采用JDG管敷设；室内给水支管采用PP-R管（热熔连接）、排水管道采用UPVC管（粘接）。具体详见图纸和预算书（</w:t>
      </w:r>
      <w:r>
        <w:rPr>
          <w:rFonts w:hint="eastAsia" w:ascii="宋体" w:hAnsi="宋体"/>
          <w:sz w:val="24"/>
        </w:rPr>
        <w:t>预算价1056155元，仅供参考</w:t>
      </w:r>
      <w:r>
        <w:rPr>
          <w:rFonts w:hint="eastAsia" w:ascii="宋体" w:hAnsi="宋体"/>
          <w:sz w:val="24"/>
          <w:lang w:eastAsia="zh-CN"/>
        </w:rPr>
        <w:t>，</w:t>
      </w:r>
      <w:r>
        <w:rPr>
          <w:rFonts w:hint="eastAsia" w:ascii="宋体" w:hAnsi="宋体"/>
          <w:sz w:val="24"/>
          <w:lang w:val="en-US" w:eastAsia="zh-CN"/>
        </w:rPr>
        <w:t>上限价929416元</w:t>
      </w:r>
      <w:r>
        <w:rPr>
          <w:rFonts w:hint="eastAsia" w:ascii="宋体" w:hAnsi="宋体"/>
          <w:sz w:val="24"/>
        </w:rPr>
        <w:t>）</w:t>
      </w:r>
      <w:r>
        <w:rPr>
          <w:rFonts w:hint="eastAsia" w:ascii="宋体" w:hAnsi="宋体"/>
          <w:sz w:val="24"/>
          <w:szCs w:val="24"/>
        </w:rPr>
        <w:t>。</w:t>
      </w:r>
    </w:p>
    <w:p>
      <w:pPr>
        <w:pStyle w:val="100"/>
        <w:spacing w:line="360" w:lineRule="auto"/>
        <w:ind w:firstLine="480"/>
        <w:rPr>
          <w:rFonts w:ascii="宋体" w:hAnsi="宋体"/>
          <w:sz w:val="24"/>
          <w:szCs w:val="24"/>
        </w:rPr>
      </w:pPr>
      <w:r>
        <w:rPr>
          <w:rFonts w:hint="eastAsia" w:ascii="宋体" w:hAnsi="宋体"/>
          <w:sz w:val="24"/>
          <w:szCs w:val="24"/>
        </w:rPr>
        <w:t>3.采购内容：发包人所提供的图纸中所包含的全部内容，其中图纸中“办公家具、窗帘、显示屏、电视机、投影设备、会议语音系统”，不在本次采购项目范围内</w:t>
      </w:r>
      <w:r>
        <w:rPr>
          <w:rFonts w:hint="eastAsia" w:ascii="宋体" w:hAnsi="宋体"/>
          <w:sz w:val="24"/>
        </w:rPr>
        <w:t>。</w:t>
      </w:r>
    </w:p>
    <w:p>
      <w:pPr>
        <w:pStyle w:val="100"/>
        <w:spacing w:line="360" w:lineRule="auto"/>
        <w:ind w:firstLine="480"/>
        <w:rPr>
          <w:rFonts w:ascii="宋体" w:hAnsi="宋体"/>
          <w:sz w:val="24"/>
          <w:szCs w:val="24"/>
        </w:rPr>
      </w:pPr>
      <w:r>
        <w:rPr>
          <w:rFonts w:hint="eastAsia" w:ascii="宋体" w:hAnsi="宋体"/>
          <w:sz w:val="24"/>
          <w:szCs w:val="24"/>
        </w:rPr>
        <w:t>4、在装修基础上增加文化上墙布展内容，</w:t>
      </w:r>
      <w:r>
        <w:rPr>
          <w:rFonts w:hint="eastAsia" w:ascii="宋体" w:hAnsi="宋体"/>
          <w:sz w:val="24"/>
          <w:szCs w:val="24"/>
          <w:lang w:val="en-US" w:eastAsia="zh-CN"/>
        </w:rPr>
        <w:t>包括文化上墙布展的设计、制作、安装</w:t>
      </w:r>
      <w:r>
        <w:rPr>
          <w:rFonts w:hint="eastAsia" w:ascii="宋体" w:hAnsi="宋体"/>
          <w:sz w:val="24"/>
          <w:szCs w:val="24"/>
        </w:rPr>
        <w:t>，上限价为</w:t>
      </w:r>
      <w:r>
        <w:rPr>
          <w:rFonts w:hint="eastAsia" w:ascii="宋体" w:hAnsi="宋体"/>
          <w:sz w:val="24"/>
          <w:szCs w:val="24"/>
          <w:u w:val="single"/>
        </w:rPr>
        <w:t>150000</w:t>
      </w:r>
      <w:r>
        <w:rPr>
          <w:rFonts w:hint="eastAsia" w:ascii="宋体" w:hAnsi="宋体"/>
          <w:sz w:val="24"/>
          <w:szCs w:val="24"/>
        </w:rPr>
        <w:t>元，具体内容包括：</w:t>
      </w:r>
    </w:p>
    <w:p>
      <w:pPr>
        <w:pStyle w:val="100"/>
        <w:spacing w:line="360" w:lineRule="auto"/>
        <w:ind w:firstLine="480"/>
        <w:rPr>
          <w:rFonts w:ascii="宋体" w:hAnsi="宋体"/>
          <w:sz w:val="24"/>
          <w:szCs w:val="24"/>
        </w:rPr>
      </w:pPr>
      <w:r>
        <w:rPr>
          <w:rFonts w:hint="eastAsia" w:ascii="宋体" w:hAnsi="宋体"/>
          <w:sz w:val="24"/>
          <w:szCs w:val="24"/>
        </w:rPr>
        <w:t>（1）一层设计施工内容包括（但不仅限于）以下元素：</w:t>
      </w:r>
      <w:r>
        <w:rPr>
          <w:rFonts w:hint="eastAsia" w:ascii="宋体" w:hAnsi="宋体"/>
          <w:sz w:val="24"/>
          <w:szCs w:val="24"/>
        </w:rPr>
        <w:fldChar w:fldCharType="begin"/>
      </w:r>
      <w:r>
        <w:rPr>
          <w:rFonts w:hint="eastAsia" w:ascii="宋体" w:hAnsi="宋体"/>
          <w:sz w:val="24"/>
          <w:szCs w:val="24"/>
        </w:rPr>
        <w:instrText xml:space="preserve"> EQ \o\ac(○,1)</w:instrText>
      </w:r>
      <w:r>
        <w:rPr>
          <w:rFonts w:hint="eastAsia" w:ascii="宋体" w:hAnsi="宋体"/>
          <w:sz w:val="24"/>
          <w:szCs w:val="24"/>
        </w:rPr>
        <w:fldChar w:fldCharType="end"/>
      </w:r>
      <w:r>
        <w:rPr>
          <w:rFonts w:hint="eastAsia" w:ascii="宋体" w:hAnsi="宋体"/>
          <w:sz w:val="24"/>
          <w:szCs w:val="24"/>
        </w:rPr>
        <w:t>社区主题口号；</w:t>
      </w:r>
      <w:r>
        <w:rPr>
          <w:rFonts w:hint="eastAsia" w:ascii="宋体" w:hAnsi="宋体"/>
          <w:sz w:val="24"/>
          <w:szCs w:val="24"/>
        </w:rPr>
        <w:fldChar w:fldCharType="begin"/>
      </w:r>
      <w:r>
        <w:rPr>
          <w:rFonts w:hint="eastAsia" w:ascii="宋体" w:hAnsi="宋体"/>
          <w:sz w:val="24"/>
          <w:szCs w:val="24"/>
        </w:rPr>
        <w:instrText xml:space="preserve"> EQ \o\ac(○,2)</w:instrText>
      </w:r>
      <w:r>
        <w:rPr>
          <w:rFonts w:hint="eastAsia" w:ascii="宋体" w:hAnsi="宋体"/>
          <w:sz w:val="24"/>
          <w:szCs w:val="24"/>
        </w:rPr>
        <w:fldChar w:fldCharType="end"/>
      </w:r>
      <w:r>
        <w:rPr>
          <w:rFonts w:hint="eastAsia" w:ascii="宋体" w:hAnsi="宋体"/>
          <w:sz w:val="24"/>
          <w:szCs w:val="24"/>
        </w:rPr>
        <w:t>党建引领主题文化；</w:t>
      </w:r>
      <w:r>
        <w:rPr>
          <w:rFonts w:hint="eastAsia" w:ascii="宋体" w:hAnsi="宋体"/>
          <w:sz w:val="24"/>
          <w:szCs w:val="24"/>
        </w:rPr>
        <w:fldChar w:fldCharType="begin"/>
      </w:r>
      <w:r>
        <w:rPr>
          <w:rFonts w:hint="eastAsia" w:ascii="宋体" w:hAnsi="宋体"/>
          <w:sz w:val="24"/>
          <w:szCs w:val="24"/>
        </w:rPr>
        <w:instrText xml:space="preserve"> EQ \o\ac(○,3)</w:instrText>
      </w:r>
      <w:r>
        <w:rPr>
          <w:rFonts w:hint="eastAsia" w:ascii="宋体" w:hAnsi="宋体"/>
          <w:sz w:val="24"/>
          <w:szCs w:val="24"/>
        </w:rPr>
        <w:fldChar w:fldCharType="end"/>
      </w:r>
      <w:r>
        <w:rPr>
          <w:rFonts w:hint="eastAsia" w:ascii="宋体" w:hAnsi="宋体"/>
          <w:sz w:val="24"/>
          <w:szCs w:val="24"/>
        </w:rPr>
        <w:t>社区规划、社区介绍、成就；</w:t>
      </w:r>
      <w:r>
        <w:rPr>
          <w:rFonts w:hint="eastAsia" w:ascii="宋体" w:hAnsi="宋体"/>
          <w:sz w:val="24"/>
          <w:szCs w:val="24"/>
        </w:rPr>
        <w:fldChar w:fldCharType="begin"/>
      </w:r>
      <w:r>
        <w:rPr>
          <w:rFonts w:hint="eastAsia" w:ascii="宋体" w:hAnsi="宋体"/>
          <w:sz w:val="24"/>
          <w:szCs w:val="24"/>
        </w:rPr>
        <w:instrText xml:space="preserve"> EQ \o\ac(○,4)</w:instrText>
      </w:r>
      <w:r>
        <w:rPr>
          <w:rFonts w:hint="eastAsia" w:ascii="宋体" w:hAnsi="宋体"/>
          <w:sz w:val="24"/>
          <w:szCs w:val="24"/>
        </w:rPr>
        <w:fldChar w:fldCharType="end"/>
      </w:r>
      <w:r>
        <w:rPr>
          <w:rFonts w:hint="eastAsia" w:ascii="宋体" w:hAnsi="宋体"/>
          <w:sz w:val="24"/>
          <w:szCs w:val="24"/>
        </w:rPr>
        <w:t>党的光辉历程。</w:t>
      </w:r>
    </w:p>
    <w:p>
      <w:pPr>
        <w:pStyle w:val="100"/>
        <w:spacing w:line="360" w:lineRule="auto"/>
        <w:ind w:firstLine="480"/>
        <w:rPr>
          <w:rFonts w:ascii="宋体" w:hAnsi="宋体"/>
          <w:sz w:val="24"/>
          <w:szCs w:val="24"/>
        </w:rPr>
      </w:pPr>
      <w:r>
        <w:rPr>
          <w:rFonts w:hint="eastAsia" w:ascii="宋体" w:hAnsi="宋体"/>
          <w:sz w:val="24"/>
          <w:szCs w:val="24"/>
        </w:rPr>
        <w:t>（2）二层设计施工内容包括（但不仅限于）以下元素：</w:t>
      </w:r>
      <w:r>
        <w:rPr>
          <w:rFonts w:hint="eastAsia" w:ascii="宋体" w:hAnsi="宋体"/>
          <w:sz w:val="24"/>
          <w:szCs w:val="24"/>
        </w:rPr>
        <w:fldChar w:fldCharType="begin"/>
      </w:r>
      <w:r>
        <w:rPr>
          <w:rFonts w:hint="eastAsia" w:ascii="宋体" w:hAnsi="宋体"/>
          <w:sz w:val="24"/>
          <w:szCs w:val="24"/>
        </w:rPr>
        <w:instrText xml:space="preserve"> EQ \o\ac(○,1)</w:instrText>
      </w:r>
      <w:r>
        <w:rPr>
          <w:rFonts w:hint="eastAsia" w:ascii="宋体" w:hAnsi="宋体"/>
          <w:sz w:val="24"/>
          <w:szCs w:val="24"/>
        </w:rPr>
        <w:fldChar w:fldCharType="end"/>
      </w:r>
      <w:r>
        <w:rPr>
          <w:rFonts w:hint="eastAsia" w:ascii="宋体" w:hAnsi="宋体"/>
          <w:sz w:val="24"/>
          <w:szCs w:val="24"/>
        </w:rPr>
        <w:t>青春社区；</w:t>
      </w:r>
      <w:r>
        <w:rPr>
          <w:rFonts w:hint="eastAsia" w:ascii="宋体" w:hAnsi="宋体"/>
          <w:sz w:val="24"/>
          <w:szCs w:val="24"/>
        </w:rPr>
        <w:fldChar w:fldCharType="begin"/>
      </w:r>
      <w:r>
        <w:rPr>
          <w:rFonts w:hint="eastAsia" w:ascii="宋体" w:hAnsi="宋体"/>
          <w:sz w:val="24"/>
          <w:szCs w:val="24"/>
        </w:rPr>
        <w:instrText xml:space="preserve"> EQ \o\ac(○,2)</w:instrText>
      </w:r>
      <w:r>
        <w:rPr>
          <w:rFonts w:hint="eastAsia" w:ascii="宋体" w:hAnsi="宋体"/>
          <w:sz w:val="24"/>
          <w:szCs w:val="24"/>
        </w:rPr>
        <w:fldChar w:fldCharType="end"/>
      </w:r>
      <w:r>
        <w:rPr>
          <w:rFonts w:hint="eastAsia" w:ascii="宋体" w:hAnsi="宋体"/>
          <w:sz w:val="24"/>
          <w:szCs w:val="24"/>
        </w:rPr>
        <w:t>建设美丽鸿源，社区风采集锦；</w:t>
      </w:r>
      <w:r>
        <w:rPr>
          <w:rFonts w:hint="eastAsia" w:ascii="宋体" w:hAnsi="宋体"/>
          <w:sz w:val="24"/>
          <w:szCs w:val="24"/>
        </w:rPr>
        <w:fldChar w:fldCharType="begin"/>
      </w:r>
      <w:r>
        <w:rPr>
          <w:rFonts w:hint="eastAsia" w:ascii="宋体" w:hAnsi="宋体"/>
          <w:sz w:val="24"/>
          <w:szCs w:val="24"/>
        </w:rPr>
        <w:instrText xml:space="preserve"> EQ \o\ac(○,3)</w:instrText>
      </w:r>
      <w:r>
        <w:rPr>
          <w:rFonts w:hint="eastAsia" w:ascii="宋体" w:hAnsi="宋体"/>
          <w:sz w:val="24"/>
          <w:szCs w:val="24"/>
        </w:rPr>
        <w:fldChar w:fldCharType="end"/>
      </w:r>
      <w:r>
        <w:rPr>
          <w:rFonts w:hint="eastAsia" w:ascii="宋体" w:hAnsi="宋体"/>
          <w:sz w:val="24"/>
          <w:szCs w:val="24"/>
        </w:rPr>
        <w:t>领导关怀，党建风采，时代先锋；</w:t>
      </w:r>
      <w:r>
        <w:rPr>
          <w:rFonts w:hint="eastAsia" w:ascii="宋体" w:hAnsi="宋体"/>
          <w:sz w:val="24"/>
          <w:szCs w:val="24"/>
        </w:rPr>
        <w:fldChar w:fldCharType="begin"/>
      </w:r>
      <w:r>
        <w:rPr>
          <w:rFonts w:hint="eastAsia" w:ascii="宋体" w:hAnsi="宋体"/>
          <w:sz w:val="24"/>
          <w:szCs w:val="24"/>
        </w:rPr>
        <w:instrText xml:space="preserve"> EQ \o\ac(○,4)</w:instrText>
      </w:r>
      <w:r>
        <w:rPr>
          <w:rFonts w:hint="eastAsia" w:ascii="宋体" w:hAnsi="宋体"/>
          <w:sz w:val="24"/>
          <w:szCs w:val="24"/>
        </w:rPr>
        <w:fldChar w:fldCharType="end"/>
      </w:r>
      <w:r>
        <w:rPr>
          <w:rFonts w:hint="eastAsia" w:ascii="宋体" w:hAnsi="宋体"/>
          <w:sz w:val="24"/>
          <w:szCs w:val="24"/>
        </w:rPr>
        <w:t>党建引领，党建品牌，党建文化；</w:t>
      </w:r>
      <w:r>
        <w:rPr>
          <w:rFonts w:hint="eastAsia" w:ascii="宋体" w:hAnsi="宋体"/>
          <w:sz w:val="24"/>
          <w:szCs w:val="24"/>
        </w:rPr>
        <w:fldChar w:fldCharType="begin"/>
      </w:r>
      <w:r>
        <w:rPr>
          <w:rFonts w:hint="eastAsia" w:ascii="宋体" w:hAnsi="宋体"/>
          <w:sz w:val="24"/>
          <w:szCs w:val="24"/>
        </w:rPr>
        <w:instrText xml:space="preserve"> EQ \o\ac(○,5)</w:instrText>
      </w:r>
      <w:r>
        <w:rPr>
          <w:rFonts w:hint="eastAsia" w:ascii="宋体" w:hAnsi="宋体"/>
          <w:sz w:val="24"/>
          <w:szCs w:val="24"/>
        </w:rPr>
        <w:fldChar w:fldCharType="end"/>
      </w:r>
      <w:r>
        <w:rPr>
          <w:rFonts w:hint="eastAsia" w:ascii="宋体" w:hAnsi="宋体"/>
          <w:sz w:val="24"/>
          <w:szCs w:val="24"/>
        </w:rPr>
        <w:t>道德建设，清廉文化；</w:t>
      </w:r>
      <w:r>
        <w:rPr>
          <w:rFonts w:hint="eastAsia" w:ascii="宋体" w:hAnsi="宋体"/>
          <w:sz w:val="24"/>
          <w:szCs w:val="24"/>
        </w:rPr>
        <w:fldChar w:fldCharType="begin"/>
      </w:r>
      <w:r>
        <w:rPr>
          <w:rFonts w:hint="eastAsia" w:ascii="宋体" w:hAnsi="宋体"/>
          <w:sz w:val="24"/>
          <w:szCs w:val="24"/>
        </w:rPr>
        <w:instrText xml:space="preserve"> EQ \o\ac(○,6)</w:instrText>
      </w:r>
      <w:r>
        <w:rPr>
          <w:rFonts w:hint="eastAsia" w:ascii="宋体" w:hAnsi="宋体"/>
          <w:sz w:val="24"/>
          <w:szCs w:val="24"/>
        </w:rPr>
        <w:fldChar w:fldCharType="end"/>
      </w:r>
      <w:r>
        <w:rPr>
          <w:rFonts w:hint="eastAsia" w:ascii="宋体" w:hAnsi="宋体"/>
          <w:sz w:val="24"/>
          <w:szCs w:val="24"/>
        </w:rPr>
        <w:t>书画作品展示；</w:t>
      </w:r>
      <w:r>
        <w:rPr>
          <w:rFonts w:hint="eastAsia" w:ascii="宋体" w:hAnsi="宋体"/>
          <w:sz w:val="24"/>
          <w:szCs w:val="24"/>
        </w:rPr>
        <w:fldChar w:fldCharType="begin"/>
      </w:r>
      <w:r>
        <w:rPr>
          <w:rFonts w:hint="eastAsia" w:ascii="宋体" w:hAnsi="宋体"/>
          <w:sz w:val="24"/>
          <w:szCs w:val="24"/>
        </w:rPr>
        <w:instrText xml:space="preserve"> EQ \o\ac(○,7)</w:instrText>
      </w:r>
      <w:r>
        <w:rPr>
          <w:rFonts w:hint="eastAsia" w:ascii="宋体" w:hAnsi="宋体"/>
          <w:sz w:val="24"/>
          <w:szCs w:val="24"/>
        </w:rPr>
        <w:fldChar w:fldCharType="end"/>
      </w:r>
      <w:r>
        <w:rPr>
          <w:rFonts w:hint="eastAsia" w:ascii="宋体" w:hAnsi="宋体"/>
          <w:sz w:val="24"/>
          <w:szCs w:val="24"/>
        </w:rPr>
        <w:t>共享阅读；</w:t>
      </w:r>
      <w:r>
        <w:rPr>
          <w:rFonts w:hint="eastAsia" w:ascii="宋体" w:hAnsi="宋体"/>
          <w:sz w:val="24"/>
          <w:szCs w:val="24"/>
        </w:rPr>
        <w:fldChar w:fldCharType="begin"/>
      </w:r>
      <w:r>
        <w:rPr>
          <w:rFonts w:hint="eastAsia" w:ascii="宋体" w:hAnsi="宋体"/>
          <w:sz w:val="24"/>
          <w:szCs w:val="24"/>
        </w:rPr>
        <w:instrText xml:space="preserve"> EQ \o\ac(○,8)</w:instrText>
      </w:r>
      <w:r>
        <w:rPr>
          <w:rFonts w:hint="eastAsia" w:ascii="宋体" w:hAnsi="宋体"/>
          <w:sz w:val="24"/>
          <w:szCs w:val="24"/>
        </w:rPr>
        <w:fldChar w:fldCharType="end"/>
      </w:r>
      <w:r>
        <w:rPr>
          <w:rFonts w:hint="eastAsia" w:ascii="宋体" w:hAnsi="宋体"/>
          <w:sz w:val="24"/>
          <w:szCs w:val="24"/>
        </w:rPr>
        <w:t>团委文化；</w:t>
      </w:r>
      <w:r>
        <w:rPr>
          <w:rFonts w:hint="eastAsia" w:ascii="宋体" w:hAnsi="宋体"/>
          <w:sz w:val="24"/>
          <w:szCs w:val="24"/>
        </w:rPr>
        <w:fldChar w:fldCharType="begin"/>
      </w:r>
      <w:r>
        <w:rPr>
          <w:rFonts w:hint="eastAsia" w:ascii="宋体" w:hAnsi="宋体"/>
          <w:sz w:val="24"/>
          <w:szCs w:val="24"/>
        </w:rPr>
        <w:instrText xml:space="preserve"> EQ \o\ac(○,9)</w:instrText>
      </w:r>
      <w:r>
        <w:rPr>
          <w:rFonts w:hint="eastAsia" w:ascii="宋体" w:hAnsi="宋体"/>
          <w:sz w:val="24"/>
          <w:szCs w:val="24"/>
        </w:rPr>
        <w:fldChar w:fldCharType="end"/>
      </w:r>
      <w:r>
        <w:rPr>
          <w:rFonts w:hint="eastAsia" w:ascii="宋体" w:hAnsi="宋体"/>
          <w:sz w:val="24"/>
          <w:szCs w:val="24"/>
        </w:rPr>
        <w:t>儿童关怀；</w:t>
      </w:r>
      <w:r>
        <w:rPr>
          <w:rFonts w:hint="eastAsia" w:ascii="宋体" w:hAnsi="宋体"/>
          <w:sz w:val="24"/>
          <w:szCs w:val="24"/>
        </w:rPr>
        <w:fldChar w:fldCharType="begin"/>
      </w:r>
      <w:r>
        <w:rPr>
          <w:rFonts w:hint="eastAsia" w:ascii="宋体" w:hAnsi="宋体"/>
          <w:sz w:val="24"/>
          <w:szCs w:val="24"/>
        </w:rPr>
        <w:instrText xml:space="preserve"> EQ \o\ac(○,10)</w:instrText>
      </w:r>
      <w:r>
        <w:rPr>
          <w:rFonts w:hint="eastAsia" w:ascii="宋体" w:hAnsi="宋体"/>
          <w:sz w:val="24"/>
          <w:szCs w:val="24"/>
        </w:rPr>
        <w:fldChar w:fldCharType="end"/>
      </w:r>
      <w:r>
        <w:rPr>
          <w:rFonts w:hint="eastAsia" w:ascii="宋体" w:hAnsi="宋体"/>
          <w:sz w:val="24"/>
          <w:szCs w:val="24"/>
        </w:rPr>
        <w:t>老年关怀；</w:t>
      </w:r>
      <w:r>
        <w:rPr>
          <w:rFonts w:hint="eastAsia" w:ascii="宋体" w:hAnsi="宋体"/>
          <w:sz w:val="24"/>
          <w:szCs w:val="24"/>
        </w:rPr>
        <w:fldChar w:fldCharType="begin"/>
      </w:r>
      <w:r>
        <w:rPr>
          <w:rFonts w:hint="eastAsia" w:ascii="宋体" w:hAnsi="宋体"/>
          <w:sz w:val="24"/>
          <w:szCs w:val="24"/>
        </w:rPr>
        <w:instrText xml:space="preserve"> EQ \o\ac(○, 11)</w:instrText>
      </w:r>
      <w:r>
        <w:rPr>
          <w:rFonts w:hint="eastAsia" w:ascii="宋体" w:hAnsi="宋体"/>
          <w:sz w:val="24"/>
          <w:szCs w:val="24"/>
        </w:rPr>
        <w:fldChar w:fldCharType="end"/>
      </w:r>
      <w:r>
        <w:rPr>
          <w:rFonts w:hint="eastAsia" w:ascii="宋体" w:hAnsi="宋体"/>
          <w:sz w:val="24"/>
          <w:szCs w:val="24"/>
        </w:rPr>
        <w:t>消防安全文化；</w:t>
      </w:r>
      <w:r>
        <w:rPr>
          <w:rFonts w:hint="eastAsia" w:ascii="宋体" w:hAnsi="宋体"/>
          <w:sz w:val="24"/>
          <w:szCs w:val="24"/>
        </w:rPr>
        <w:fldChar w:fldCharType="begin"/>
      </w:r>
      <w:r>
        <w:rPr>
          <w:rFonts w:hint="eastAsia" w:ascii="宋体" w:hAnsi="宋体"/>
          <w:sz w:val="24"/>
          <w:szCs w:val="24"/>
        </w:rPr>
        <w:instrText xml:space="preserve"> EQ \o\ac(○,12)</w:instrText>
      </w:r>
      <w:r>
        <w:rPr>
          <w:rFonts w:hint="eastAsia" w:ascii="宋体" w:hAnsi="宋体"/>
          <w:sz w:val="24"/>
          <w:szCs w:val="24"/>
        </w:rPr>
        <w:fldChar w:fldCharType="end"/>
      </w:r>
      <w:r>
        <w:rPr>
          <w:rFonts w:hint="eastAsia" w:ascii="宋体" w:hAnsi="宋体"/>
          <w:sz w:val="24"/>
          <w:szCs w:val="24"/>
        </w:rPr>
        <w:t>青年志愿者文化活动；</w:t>
      </w:r>
      <w:r>
        <w:rPr>
          <w:rFonts w:hint="eastAsia" w:ascii="宋体" w:hAnsi="宋体"/>
          <w:sz w:val="24"/>
          <w:szCs w:val="24"/>
        </w:rPr>
        <w:fldChar w:fldCharType="begin"/>
      </w:r>
      <w:r>
        <w:rPr>
          <w:rFonts w:hint="eastAsia" w:ascii="宋体" w:hAnsi="宋体"/>
          <w:sz w:val="24"/>
          <w:szCs w:val="24"/>
        </w:rPr>
        <w:instrText xml:space="preserve"> EQ \o\ac(○,13)</w:instrText>
      </w:r>
      <w:r>
        <w:rPr>
          <w:rFonts w:hint="eastAsia" w:ascii="宋体" w:hAnsi="宋体"/>
          <w:sz w:val="24"/>
          <w:szCs w:val="24"/>
        </w:rPr>
        <w:fldChar w:fldCharType="end"/>
      </w:r>
      <w:r>
        <w:rPr>
          <w:rFonts w:hint="eastAsia" w:ascii="宋体" w:hAnsi="宋体"/>
          <w:sz w:val="24"/>
          <w:szCs w:val="24"/>
        </w:rPr>
        <w:t>人大代表制度，联络站制度，居民议事议会规则；</w:t>
      </w:r>
      <w:r>
        <w:rPr>
          <w:rFonts w:hint="eastAsia" w:ascii="宋体" w:hAnsi="宋体"/>
          <w:sz w:val="24"/>
          <w:szCs w:val="24"/>
        </w:rPr>
        <w:fldChar w:fldCharType="begin"/>
      </w:r>
      <w:r>
        <w:rPr>
          <w:rFonts w:hint="eastAsia" w:ascii="宋体" w:hAnsi="宋体"/>
          <w:sz w:val="24"/>
          <w:szCs w:val="24"/>
        </w:rPr>
        <w:instrText xml:space="preserve"> EQ \o\ac(○,14)</w:instrText>
      </w:r>
      <w:r>
        <w:rPr>
          <w:rFonts w:hint="eastAsia" w:ascii="宋体" w:hAnsi="宋体"/>
          <w:sz w:val="24"/>
          <w:szCs w:val="24"/>
        </w:rPr>
        <w:fldChar w:fldCharType="end"/>
      </w:r>
      <w:r>
        <w:rPr>
          <w:rFonts w:hint="eastAsia" w:ascii="宋体" w:hAnsi="宋体"/>
          <w:sz w:val="24"/>
          <w:szCs w:val="24"/>
        </w:rPr>
        <w:t>员工文化，员工风采；</w:t>
      </w:r>
      <w:r>
        <w:rPr>
          <w:rFonts w:hint="eastAsia" w:ascii="宋体" w:hAnsi="宋体"/>
          <w:sz w:val="24"/>
          <w:szCs w:val="24"/>
        </w:rPr>
        <w:fldChar w:fldCharType="begin"/>
      </w:r>
      <w:r>
        <w:rPr>
          <w:rFonts w:hint="eastAsia" w:ascii="宋体" w:hAnsi="宋体"/>
          <w:sz w:val="24"/>
          <w:szCs w:val="24"/>
        </w:rPr>
        <w:instrText xml:space="preserve"> EQ \o\ac(○,15)</w:instrText>
      </w:r>
      <w:r>
        <w:rPr>
          <w:rFonts w:hint="eastAsia" w:ascii="宋体" w:hAnsi="宋体"/>
          <w:sz w:val="24"/>
          <w:szCs w:val="24"/>
        </w:rPr>
        <w:fldChar w:fldCharType="end"/>
      </w:r>
      <w:r>
        <w:rPr>
          <w:rFonts w:hint="eastAsia" w:ascii="宋体" w:hAnsi="宋体"/>
          <w:sz w:val="24"/>
          <w:szCs w:val="24"/>
        </w:rPr>
        <w:t>活力鸿源，青春不散，运动主题；</w:t>
      </w:r>
      <w:r>
        <w:rPr>
          <w:rFonts w:hint="eastAsia" w:ascii="宋体" w:hAnsi="宋体"/>
          <w:sz w:val="24"/>
          <w:szCs w:val="24"/>
        </w:rPr>
        <w:fldChar w:fldCharType="begin"/>
      </w:r>
      <w:r>
        <w:rPr>
          <w:rFonts w:hint="eastAsia" w:ascii="宋体" w:hAnsi="宋体"/>
          <w:sz w:val="24"/>
          <w:szCs w:val="24"/>
        </w:rPr>
        <w:instrText xml:space="preserve"> EQ \o\ac(○,16)</w:instrText>
      </w:r>
      <w:r>
        <w:rPr>
          <w:rFonts w:hint="eastAsia" w:ascii="宋体" w:hAnsi="宋体"/>
          <w:sz w:val="24"/>
          <w:szCs w:val="24"/>
        </w:rPr>
        <w:fldChar w:fldCharType="end"/>
      </w:r>
      <w:r>
        <w:rPr>
          <w:rFonts w:hint="eastAsia" w:ascii="宋体" w:hAnsi="宋体"/>
          <w:sz w:val="24"/>
          <w:szCs w:val="24"/>
        </w:rPr>
        <w:t xml:space="preserve">共享医疗。 </w:t>
      </w:r>
    </w:p>
    <w:p>
      <w:pPr>
        <w:pStyle w:val="100"/>
        <w:spacing w:line="360" w:lineRule="auto"/>
        <w:ind w:firstLine="480"/>
        <w:rPr>
          <w:rFonts w:ascii="宋体" w:hAnsi="宋体"/>
          <w:sz w:val="24"/>
          <w:szCs w:val="24"/>
        </w:rPr>
      </w:pPr>
      <w:r>
        <w:rPr>
          <w:rFonts w:hint="eastAsia" w:ascii="宋体" w:hAnsi="宋体"/>
          <w:sz w:val="24"/>
          <w:szCs w:val="24"/>
          <w:highlight w:val="none"/>
        </w:rPr>
        <w:t>（3）建议使用材料</w:t>
      </w:r>
      <w:r>
        <w:rPr>
          <w:rFonts w:hint="eastAsia" w:ascii="宋体" w:hAnsi="宋体"/>
          <w:sz w:val="24"/>
          <w:szCs w:val="24"/>
        </w:rPr>
        <w:t>（</w:t>
      </w:r>
      <w:r>
        <w:rPr>
          <w:rFonts w:hint="eastAsia" w:ascii="宋体" w:hAnsi="宋体"/>
          <w:sz w:val="24"/>
          <w:szCs w:val="24"/>
          <w:highlight w:val="none"/>
        </w:rPr>
        <w:t>等于或优于</w:t>
      </w:r>
      <w:r>
        <w:rPr>
          <w:rFonts w:hint="eastAsia" w:ascii="宋体" w:hAnsi="宋体"/>
          <w:sz w:val="24"/>
          <w:szCs w:val="24"/>
        </w:rPr>
        <w:t>）：</w:t>
      </w:r>
      <w:r>
        <w:rPr>
          <w:rFonts w:hint="eastAsia" w:ascii="宋体" w:hAnsi="宋体"/>
          <w:sz w:val="24"/>
          <w:szCs w:val="24"/>
          <w:highlight w:val="none"/>
        </w:rPr>
        <w:t xml:space="preserve">高精度亚克力UV、钛金拉丝精工折边字、背打灯发光字、不锈钢烤漆金属折边字 </w:t>
      </w:r>
      <w:r>
        <w:rPr>
          <w:rFonts w:hint="eastAsia" w:ascii="宋体" w:hAnsi="宋体"/>
          <w:sz w:val="24"/>
          <w:szCs w:val="24"/>
        </w:rPr>
        <w:t>。</w:t>
      </w:r>
      <w:r>
        <w:rPr>
          <w:rFonts w:hint="eastAsia" w:ascii="宋体" w:hAnsi="宋体"/>
          <w:sz w:val="24"/>
          <w:szCs w:val="24"/>
          <w:highlight w:val="none"/>
        </w:rPr>
        <w:t xml:space="preserve"> </w:t>
      </w:r>
      <w:r>
        <w:rPr>
          <w:rFonts w:hint="eastAsia" w:ascii="宋体" w:hAnsi="宋体"/>
          <w:sz w:val="24"/>
          <w:szCs w:val="24"/>
        </w:rPr>
        <w:t xml:space="preserve">   </w:t>
      </w:r>
    </w:p>
    <w:p>
      <w:pPr>
        <w:pStyle w:val="100"/>
        <w:spacing w:line="360" w:lineRule="auto"/>
        <w:ind w:firstLine="0" w:firstLineChars="0"/>
        <w:rPr>
          <w:rFonts w:ascii="宋体" w:hAnsi="宋体"/>
          <w:sz w:val="24"/>
          <w:szCs w:val="24"/>
        </w:rPr>
      </w:pPr>
      <w:r>
        <w:rPr>
          <w:rFonts w:hint="eastAsia" w:ascii="宋体" w:hAnsi="宋体"/>
          <w:sz w:val="24"/>
          <w:szCs w:val="24"/>
        </w:rPr>
        <w:t xml:space="preserve">      5、建设地点：洪家街道鸿源社区                 </w:t>
      </w:r>
    </w:p>
    <w:p>
      <w:pPr>
        <w:pStyle w:val="99"/>
        <w:spacing w:before="0" w:line="360" w:lineRule="auto"/>
        <w:outlineLvl w:val="8"/>
        <w:rPr>
          <w:rFonts w:ascii="宋体" w:hAnsi="宋体" w:eastAsia="宋体"/>
          <w:sz w:val="24"/>
          <w:szCs w:val="24"/>
        </w:rPr>
      </w:pPr>
      <w:bookmarkStart w:id="19" w:name="_Toc531162038"/>
      <w:bookmarkStart w:id="20" w:name="_Toc38737759"/>
      <w:bookmarkStart w:id="21" w:name="_Toc7860"/>
      <w:bookmarkStart w:id="22" w:name="_Toc48637325"/>
      <w:bookmarkStart w:id="23" w:name="_Toc534469175"/>
      <w:bookmarkStart w:id="24" w:name="_Toc48637246"/>
      <w:r>
        <w:rPr>
          <w:rFonts w:hint="eastAsia" w:ascii="宋体" w:hAnsi="宋体" w:eastAsia="宋体"/>
          <w:b/>
          <w:bCs/>
          <w:sz w:val="24"/>
          <w:szCs w:val="24"/>
        </w:rPr>
        <w:t>三、技术规范及标准</w:t>
      </w:r>
      <w:bookmarkEnd w:id="19"/>
      <w:bookmarkEnd w:id="20"/>
      <w:bookmarkEnd w:id="21"/>
      <w:bookmarkEnd w:id="22"/>
      <w:bookmarkEnd w:id="23"/>
      <w:bookmarkEnd w:id="24"/>
    </w:p>
    <w:p>
      <w:pPr>
        <w:pStyle w:val="100"/>
        <w:spacing w:line="360" w:lineRule="auto"/>
        <w:ind w:firstLine="480"/>
        <w:rPr>
          <w:rFonts w:ascii="宋体" w:hAnsi="宋体"/>
          <w:sz w:val="24"/>
          <w:szCs w:val="24"/>
        </w:rPr>
      </w:pPr>
      <w:r>
        <w:rPr>
          <w:rFonts w:hint="eastAsia" w:ascii="宋体" w:hAnsi="宋体"/>
          <w:sz w:val="24"/>
          <w:szCs w:val="24"/>
        </w:rPr>
        <w:t>1、依据设计施工图纸和技术文件要求，本工程项目的材料、设备、施工必须达到以下现行中华人民共和国及省、市、行业的一切有关法规、规范的要求，如下述标准及规范要求有出入则以较严格者为准。</w:t>
      </w:r>
    </w:p>
    <w:p>
      <w:pPr>
        <w:pStyle w:val="100"/>
        <w:spacing w:line="360" w:lineRule="auto"/>
        <w:ind w:firstLine="480"/>
        <w:rPr>
          <w:rFonts w:ascii="宋体" w:hAnsi="宋体"/>
          <w:sz w:val="24"/>
          <w:szCs w:val="24"/>
        </w:rPr>
      </w:pPr>
      <w:r>
        <w:rPr>
          <w:rFonts w:hint="eastAsia" w:ascii="宋体" w:hAnsi="宋体"/>
          <w:sz w:val="24"/>
          <w:szCs w:val="24"/>
        </w:rPr>
        <w:t>《工程测量规范》GB50026-2020</w:t>
      </w:r>
    </w:p>
    <w:p>
      <w:pPr>
        <w:pStyle w:val="100"/>
        <w:spacing w:line="360" w:lineRule="auto"/>
        <w:ind w:firstLine="480"/>
        <w:rPr>
          <w:rFonts w:ascii="宋体" w:hAnsi="宋体"/>
          <w:sz w:val="24"/>
          <w:szCs w:val="24"/>
        </w:rPr>
      </w:pPr>
      <w:r>
        <w:rPr>
          <w:rFonts w:hint="eastAsia" w:ascii="宋体" w:hAnsi="宋体"/>
          <w:sz w:val="24"/>
          <w:szCs w:val="24"/>
        </w:rPr>
        <w:t>《混凝土结构工程施工质量及验收规范》GB50204-2015</w:t>
      </w:r>
    </w:p>
    <w:p>
      <w:pPr>
        <w:pStyle w:val="100"/>
        <w:spacing w:line="360" w:lineRule="auto"/>
        <w:ind w:firstLine="480"/>
        <w:rPr>
          <w:rFonts w:ascii="宋体" w:hAnsi="宋体"/>
          <w:sz w:val="24"/>
          <w:szCs w:val="24"/>
        </w:rPr>
      </w:pPr>
      <w:r>
        <w:rPr>
          <w:rFonts w:hint="eastAsia" w:ascii="宋体" w:hAnsi="宋体"/>
          <w:sz w:val="24"/>
          <w:szCs w:val="24"/>
        </w:rPr>
        <w:t>《混凝土质量控制标准》GB50164-2011</w:t>
      </w:r>
    </w:p>
    <w:p>
      <w:pPr>
        <w:pStyle w:val="100"/>
        <w:spacing w:line="360" w:lineRule="auto"/>
        <w:ind w:firstLine="480"/>
        <w:rPr>
          <w:rFonts w:ascii="宋体" w:hAnsi="宋体"/>
          <w:sz w:val="24"/>
          <w:szCs w:val="24"/>
        </w:rPr>
      </w:pPr>
      <w:r>
        <w:rPr>
          <w:rFonts w:hint="eastAsia" w:ascii="宋体" w:hAnsi="宋体"/>
          <w:sz w:val="24"/>
          <w:szCs w:val="24"/>
        </w:rPr>
        <w:t>《普通混凝土用砂、石质量标准及检验方法》JGJ52-2006</w:t>
      </w:r>
    </w:p>
    <w:p>
      <w:pPr>
        <w:pStyle w:val="100"/>
        <w:spacing w:line="360" w:lineRule="auto"/>
        <w:ind w:firstLine="480"/>
        <w:rPr>
          <w:rFonts w:ascii="宋体" w:hAnsi="宋体"/>
          <w:sz w:val="24"/>
          <w:szCs w:val="24"/>
        </w:rPr>
      </w:pPr>
      <w:r>
        <w:rPr>
          <w:rFonts w:hint="eastAsia" w:ascii="宋体" w:hAnsi="宋体"/>
          <w:sz w:val="24"/>
          <w:szCs w:val="24"/>
        </w:rPr>
        <w:t>《混凝土外加剂应用技术规范》 GB50119-2003</w:t>
      </w:r>
    </w:p>
    <w:p>
      <w:pPr>
        <w:pStyle w:val="100"/>
        <w:spacing w:line="360" w:lineRule="auto"/>
        <w:ind w:firstLine="480"/>
        <w:rPr>
          <w:rFonts w:ascii="宋体" w:hAnsi="宋体"/>
          <w:sz w:val="24"/>
          <w:szCs w:val="24"/>
        </w:rPr>
      </w:pPr>
      <w:r>
        <w:rPr>
          <w:rFonts w:hint="eastAsia" w:ascii="宋体" w:hAnsi="宋体"/>
          <w:sz w:val="24"/>
          <w:szCs w:val="24"/>
        </w:rPr>
        <w:t>《钢筋机械连接技术规程》JGJ107-2010</w:t>
      </w:r>
    </w:p>
    <w:p>
      <w:pPr>
        <w:pStyle w:val="100"/>
        <w:spacing w:line="360" w:lineRule="auto"/>
        <w:ind w:firstLine="480"/>
        <w:rPr>
          <w:rFonts w:ascii="宋体" w:hAnsi="宋体"/>
          <w:sz w:val="24"/>
          <w:szCs w:val="24"/>
        </w:rPr>
      </w:pPr>
      <w:r>
        <w:rPr>
          <w:rFonts w:hint="eastAsia" w:ascii="宋体" w:hAnsi="宋体"/>
          <w:sz w:val="24"/>
          <w:szCs w:val="24"/>
        </w:rPr>
        <w:t xml:space="preserve">《混凝土结构设计规范》GB50010-2010     </w:t>
      </w:r>
    </w:p>
    <w:p>
      <w:pPr>
        <w:pStyle w:val="100"/>
        <w:spacing w:line="360" w:lineRule="auto"/>
        <w:ind w:firstLine="480"/>
        <w:rPr>
          <w:rFonts w:ascii="宋体" w:hAnsi="宋体"/>
          <w:sz w:val="24"/>
          <w:szCs w:val="24"/>
        </w:rPr>
      </w:pPr>
      <w:r>
        <w:rPr>
          <w:rFonts w:hint="eastAsia" w:ascii="宋体" w:hAnsi="宋体"/>
          <w:sz w:val="24"/>
          <w:szCs w:val="24"/>
        </w:rPr>
        <w:t>《施工现场临时用电安全技术规范》JGJ46-2005</w:t>
      </w:r>
    </w:p>
    <w:p>
      <w:pPr>
        <w:pStyle w:val="100"/>
        <w:spacing w:line="360" w:lineRule="auto"/>
        <w:ind w:firstLine="480"/>
        <w:rPr>
          <w:rFonts w:ascii="宋体" w:hAnsi="宋体"/>
          <w:sz w:val="24"/>
          <w:szCs w:val="24"/>
        </w:rPr>
      </w:pPr>
      <w:r>
        <w:rPr>
          <w:rFonts w:hint="eastAsia" w:ascii="宋体" w:hAnsi="宋体"/>
          <w:sz w:val="24"/>
          <w:szCs w:val="24"/>
        </w:rPr>
        <w:t>《建筑施工高处作业安全技术规范》JGJ80-2016</w:t>
      </w:r>
    </w:p>
    <w:p>
      <w:pPr>
        <w:pStyle w:val="100"/>
        <w:spacing w:line="360" w:lineRule="auto"/>
        <w:ind w:firstLine="480"/>
        <w:rPr>
          <w:rFonts w:ascii="宋体" w:hAnsi="宋体"/>
          <w:sz w:val="24"/>
          <w:szCs w:val="24"/>
        </w:rPr>
      </w:pPr>
      <w:r>
        <w:rPr>
          <w:rFonts w:hint="eastAsia" w:ascii="宋体" w:hAnsi="宋体"/>
          <w:sz w:val="24"/>
          <w:szCs w:val="24"/>
        </w:rPr>
        <w:t>《建筑机械使用安全技术规程》JGJ33-2013</w:t>
      </w:r>
    </w:p>
    <w:p>
      <w:pPr>
        <w:pStyle w:val="100"/>
        <w:spacing w:line="360" w:lineRule="auto"/>
        <w:ind w:firstLine="480"/>
        <w:rPr>
          <w:rFonts w:ascii="宋体" w:hAnsi="宋体"/>
          <w:sz w:val="24"/>
          <w:szCs w:val="24"/>
        </w:rPr>
      </w:pPr>
      <w:r>
        <w:rPr>
          <w:rFonts w:hint="eastAsia" w:ascii="宋体" w:hAnsi="宋体"/>
          <w:sz w:val="24"/>
          <w:szCs w:val="24"/>
        </w:rPr>
        <w:t>《民用建筑工程室内环境污染控制标准》GB 50325－2020</w:t>
      </w:r>
    </w:p>
    <w:p>
      <w:pPr>
        <w:pStyle w:val="100"/>
        <w:spacing w:line="360" w:lineRule="auto"/>
        <w:ind w:firstLine="480"/>
        <w:rPr>
          <w:rFonts w:ascii="宋体" w:hAnsi="宋体"/>
          <w:sz w:val="24"/>
          <w:szCs w:val="24"/>
        </w:rPr>
      </w:pPr>
      <w:r>
        <w:rPr>
          <w:rFonts w:hint="eastAsia" w:ascii="宋体" w:hAnsi="宋体"/>
          <w:sz w:val="24"/>
          <w:szCs w:val="24"/>
        </w:rPr>
        <w:t>《建筑电气工程施工质量验收规范》GB50303-2015</w:t>
      </w:r>
    </w:p>
    <w:p>
      <w:pPr>
        <w:pStyle w:val="100"/>
        <w:spacing w:line="360" w:lineRule="auto"/>
        <w:ind w:firstLine="480"/>
        <w:rPr>
          <w:rFonts w:ascii="宋体" w:hAnsi="宋体"/>
          <w:sz w:val="24"/>
          <w:szCs w:val="24"/>
        </w:rPr>
      </w:pPr>
      <w:r>
        <w:rPr>
          <w:rFonts w:hint="eastAsia" w:ascii="宋体" w:hAnsi="宋体"/>
          <w:sz w:val="24"/>
          <w:szCs w:val="24"/>
        </w:rPr>
        <w:t>《建筑给水排水及采暖工程施工质量验收规范》GB50242-2002</w:t>
      </w:r>
    </w:p>
    <w:p>
      <w:pPr>
        <w:pStyle w:val="100"/>
        <w:spacing w:line="360" w:lineRule="auto"/>
        <w:ind w:firstLine="480"/>
        <w:rPr>
          <w:rFonts w:ascii="宋体" w:hAnsi="宋体"/>
          <w:sz w:val="24"/>
          <w:szCs w:val="24"/>
        </w:rPr>
      </w:pPr>
      <w:r>
        <w:rPr>
          <w:rFonts w:hint="eastAsia" w:ascii="宋体" w:hAnsi="宋体"/>
          <w:sz w:val="24"/>
          <w:szCs w:val="24"/>
        </w:rPr>
        <w:t>《通风与空调工程施工质量验收规范》GB50243-2016</w:t>
      </w:r>
    </w:p>
    <w:p>
      <w:pPr>
        <w:pStyle w:val="100"/>
        <w:spacing w:line="360" w:lineRule="auto"/>
        <w:ind w:firstLine="480"/>
        <w:rPr>
          <w:rFonts w:ascii="宋体" w:hAnsi="宋体"/>
          <w:sz w:val="24"/>
          <w:szCs w:val="24"/>
        </w:rPr>
      </w:pPr>
      <w:r>
        <w:rPr>
          <w:rFonts w:hint="eastAsia" w:ascii="宋体" w:hAnsi="宋体"/>
          <w:sz w:val="24"/>
          <w:szCs w:val="24"/>
        </w:rPr>
        <w:t>《火灾自动报警系统设计规范》GB50116-2013</w:t>
      </w:r>
    </w:p>
    <w:p>
      <w:pPr>
        <w:pStyle w:val="100"/>
        <w:spacing w:line="360" w:lineRule="auto"/>
        <w:ind w:firstLine="480"/>
        <w:rPr>
          <w:rFonts w:ascii="宋体" w:hAnsi="宋体"/>
          <w:sz w:val="24"/>
          <w:szCs w:val="24"/>
        </w:rPr>
      </w:pPr>
      <w:r>
        <w:rPr>
          <w:rFonts w:hint="eastAsia" w:ascii="宋体" w:hAnsi="宋体"/>
          <w:sz w:val="24"/>
          <w:szCs w:val="24"/>
        </w:rPr>
        <w:t>《火灾自动报警系统施工及验收规范》GB 50166-2007</w:t>
      </w:r>
    </w:p>
    <w:p>
      <w:pPr>
        <w:pStyle w:val="100"/>
        <w:spacing w:line="360" w:lineRule="auto"/>
        <w:ind w:firstLine="480"/>
        <w:rPr>
          <w:rFonts w:ascii="宋体" w:hAnsi="宋体"/>
          <w:sz w:val="24"/>
          <w:szCs w:val="24"/>
        </w:rPr>
      </w:pPr>
      <w:r>
        <w:rPr>
          <w:rFonts w:hint="eastAsia" w:ascii="宋体" w:hAnsi="宋体"/>
          <w:sz w:val="24"/>
          <w:szCs w:val="24"/>
        </w:rPr>
        <w:t>《自动喷水灭火系统施工及验收规范》GB50261-2017</w:t>
      </w:r>
    </w:p>
    <w:p>
      <w:pPr>
        <w:pStyle w:val="100"/>
        <w:spacing w:line="360" w:lineRule="auto"/>
        <w:ind w:firstLine="720" w:firstLineChars="300"/>
        <w:rPr>
          <w:rFonts w:ascii="宋体" w:hAnsi="宋体"/>
          <w:sz w:val="24"/>
          <w:szCs w:val="24"/>
        </w:rPr>
      </w:pPr>
      <w:r>
        <w:rPr>
          <w:rFonts w:hint="eastAsia" w:ascii="宋体" w:hAnsi="宋体"/>
          <w:sz w:val="24"/>
          <w:szCs w:val="24"/>
        </w:rPr>
        <w:t>……</w:t>
      </w:r>
    </w:p>
    <w:p>
      <w:pPr>
        <w:pStyle w:val="100"/>
        <w:spacing w:line="360" w:lineRule="auto"/>
        <w:ind w:firstLine="480"/>
        <w:rPr>
          <w:rFonts w:ascii="宋体" w:hAnsi="宋体"/>
          <w:sz w:val="24"/>
          <w:szCs w:val="24"/>
        </w:rPr>
      </w:pPr>
      <w:r>
        <w:rPr>
          <w:rFonts w:hint="eastAsia" w:ascii="宋体" w:hAnsi="宋体"/>
          <w:sz w:val="24"/>
          <w:szCs w:val="24"/>
        </w:rPr>
        <w:t>2、以上技术规范由承包人自备，如有不足之处或未能达到国家最新标准的，承包人应使设计和施工及选用的设备和材料，符合最新版本的国家标准和规范。</w:t>
      </w:r>
    </w:p>
    <w:bookmarkEnd w:id="13"/>
    <w:bookmarkEnd w:id="14"/>
    <w:bookmarkEnd w:id="15"/>
    <w:bookmarkEnd w:id="16"/>
    <w:bookmarkEnd w:id="17"/>
    <w:bookmarkEnd w:id="18"/>
    <w:p>
      <w:pPr>
        <w:pStyle w:val="99"/>
        <w:tabs>
          <w:tab w:val="left" w:pos="2159"/>
        </w:tabs>
        <w:spacing w:before="0" w:line="360" w:lineRule="auto"/>
        <w:outlineLvl w:val="8"/>
        <w:rPr>
          <w:rFonts w:ascii="宋体" w:hAnsi="宋体" w:eastAsia="宋体"/>
          <w:sz w:val="24"/>
          <w:szCs w:val="24"/>
        </w:rPr>
      </w:pPr>
      <w:bookmarkStart w:id="25" w:name="_Toc48637247"/>
      <w:bookmarkStart w:id="26" w:name="_Toc11912141"/>
      <w:bookmarkStart w:id="27" w:name="_Toc38737760"/>
      <w:bookmarkStart w:id="28" w:name="_Toc530404549"/>
      <w:bookmarkStart w:id="29" w:name="_Toc48637326"/>
      <w:bookmarkStart w:id="30" w:name="_Toc25248"/>
      <w:r>
        <w:rPr>
          <w:rFonts w:hint="eastAsia" w:ascii="宋体" w:hAnsi="宋体" w:eastAsia="宋体"/>
          <w:b/>
          <w:bCs/>
          <w:sz w:val="24"/>
          <w:szCs w:val="24"/>
        </w:rPr>
        <w:t>四、工程管理的要求</w:t>
      </w:r>
      <w:bookmarkEnd w:id="25"/>
      <w:bookmarkEnd w:id="26"/>
      <w:bookmarkEnd w:id="27"/>
      <w:bookmarkEnd w:id="28"/>
      <w:bookmarkEnd w:id="29"/>
      <w:bookmarkEnd w:id="30"/>
    </w:p>
    <w:p>
      <w:pPr>
        <w:pStyle w:val="100"/>
        <w:spacing w:line="360" w:lineRule="auto"/>
        <w:ind w:firstLine="480"/>
        <w:rPr>
          <w:rFonts w:ascii="宋体" w:hAnsi="宋体"/>
          <w:sz w:val="24"/>
          <w:szCs w:val="24"/>
        </w:rPr>
      </w:pPr>
      <w:r>
        <w:rPr>
          <w:rFonts w:hint="eastAsia" w:ascii="宋体" w:hAnsi="宋体"/>
          <w:sz w:val="24"/>
          <w:szCs w:val="24"/>
        </w:rPr>
        <w:t>1、本工程发包范围内的工程项目，未经发包人同意一律不得分包。一经发现立即取消承包资格，作违约处理</w:t>
      </w:r>
      <w:r>
        <w:rPr>
          <w:rFonts w:hint="eastAsia" w:ascii="宋体" w:hAnsi="宋体"/>
          <w:sz w:val="24"/>
          <w:szCs w:val="24"/>
          <w:highlight w:val="none"/>
        </w:rPr>
        <w:t>，并承担由此引起的一切经济损失。</w:t>
      </w:r>
    </w:p>
    <w:p>
      <w:pPr>
        <w:pStyle w:val="100"/>
        <w:spacing w:line="360" w:lineRule="auto"/>
        <w:ind w:firstLine="480"/>
        <w:rPr>
          <w:rFonts w:ascii="宋体" w:hAnsi="宋体"/>
          <w:sz w:val="24"/>
          <w:szCs w:val="24"/>
        </w:rPr>
      </w:pPr>
      <w:bookmarkStart w:id="31" w:name="_Toc48637327"/>
      <w:bookmarkStart w:id="32" w:name="_Toc48637248"/>
      <w:r>
        <w:rPr>
          <w:rFonts w:hint="eastAsia" w:ascii="宋体" w:hAnsi="宋体"/>
          <w:sz w:val="24"/>
          <w:szCs w:val="24"/>
        </w:rPr>
        <w:t>2、承包人应严格按已确认设计图纸和施工技术方案组织施工，并无条件地接受发包人委托的监理单位对施工质量的监督和管理。</w:t>
      </w:r>
      <w:bookmarkEnd w:id="31"/>
      <w:bookmarkEnd w:id="32"/>
    </w:p>
    <w:p>
      <w:pPr>
        <w:pStyle w:val="99"/>
        <w:tabs>
          <w:tab w:val="left" w:pos="2159"/>
        </w:tabs>
        <w:spacing w:before="0" w:line="360" w:lineRule="auto"/>
        <w:outlineLvl w:val="8"/>
        <w:rPr>
          <w:rFonts w:ascii="宋体" w:hAnsi="宋体" w:eastAsia="宋体"/>
          <w:b/>
          <w:bCs/>
          <w:sz w:val="24"/>
          <w:szCs w:val="24"/>
        </w:rPr>
      </w:pPr>
      <w:r>
        <w:rPr>
          <w:rFonts w:hint="eastAsia" w:ascii="宋体" w:hAnsi="宋体"/>
        </w:rPr>
        <w:t>▲</w:t>
      </w:r>
      <w:r>
        <w:rPr>
          <w:rFonts w:hint="eastAsia" w:ascii="宋体" w:hAnsi="宋体" w:eastAsia="宋体"/>
          <w:b/>
          <w:bCs/>
          <w:sz w:val="24"/>
          <w:szCs w:val="24"/>
        </w:rPr>
        <w:t>五、商务要求</w:t>
      </w:r>
    </w:p>
    <w:p>
      <w:pPr>
        <w:pStyle w:val="100"/>
        <w:spacing w:line="360" w:lineRule="auto"/>
        <w:ind w:firstLine="482"/>
        <w:rPr>
          <w:rFonts w:ascii="宋体" w:hAnsi="宋体"/>
          <w:sz w:val="24"/>
          <w:szCs w:val="24"/>
        </w:rPr>
      </w:pPr>
      <w:r>
        <w:rPr>
          <w:rFonts w:hint="eastAsia" w:ascii="宋体" w:hAnsi="宋体"/>
          <w:b/>
          <w:bCs/>
          <w:sz w:val="24"/>
          <w:szCs w:val="24"/>
        </w:rPr>
        <w:t>1、工期：</w:t>
      </w:r>
      <w:r>
        <w:rPr>
          <w:rFonts w:hint="eastAsia" w:ascii="宋体" w:hAnsi="宋体"/>
          <w:sz w:val="24"/>
        </w:rPr>
        <w:t xml:space="preserve">2023年5月20日前完工。  </w:t>
      </w:r>
      <w:r>
        <w:rPr>
          <w:rFonts w:hint="eastAsia" w:ascii="宋体" w:hAnsi="宋体"/>
          <w:b/>
          <w:bCs/>
          <w:sz w:val="24"/>
          <w:szCs w:val="24"/>
        </w:rPr>
        <w:t xml:space="preserve"> </w:t>
      </w:r>
      <w:r>
        <w:rPr>
          <w:rFonts w:hint="eastAsia" w:ascii="宋体" w:hAnsi="宋体"/>
          <w:sz w:val="24"/>
          <w:szCs w:val="24"/>
        </w:rPr>
        <w:t xml:space="preserve">    </w:t>
      </w:r>
    </w:p>
    <w:p>
      <w:pPr>
        <w:pStyle w:val="100"/>
        <w:spacing w:line="360" w:lineRule="auto"/>
        <w:ind w:firstLine="482"/>
        <w:rPr>
          <w:rFonts w:ascii="宋体" w:hAnsi="宋体"/>
          <w:b/>
          <w:bCs/>
          <w:sz w:val="24"/>
          <w:szCs w:val="24"/>
        </w:rPr>
      </w:pPr>
      <w:r>
        <w:rPr>
          <w:rFonts w:hint="eastAsia" w:ascii="宋体" w:hAnsi="宋体"/>
          <w:b/>
          <w:bCs/>
          <w:sz w:val="24"/>
          <w:szCs w:val="24"/>
        </w:rPr>
        <w:t>2、付款方式：</w:t>
      </w:r>
    </w:p>
    <w:p>
      <w:pPr>
        <w:pStyle w:val="100"/>
        <w:spacing w:line="360" w:lineRule="auto"/>
        <w:ind w:firstLine="480"/>
        <w:rPr>
          <w:rFonts w:ascii="宋体" w:hAnsi="宋体"/>
          <w:sz w:val="24"/>
        </w:rPr>
      </w:pPr>
      <w:r>
        <w:rPr>
          <w:rFonts w:hint="eastAsia" w:ascii="宋体" w:hAnsi="宋体"/>
          <w:sz w:val="24"/>
          <w:szCs w:val="24"/>
        </w:rPr>
        <w:t>（1）</w:t>
      </w:r>
      <w:r>
        <w:rPr>
          <w:rFonts w:hint="eastAsia" w:ascii="宋体" w:hAnsi="宋体"/>
          <w:sz w:val="24"/>
        </w:rPr>
        <w:t>合同签订生效后承包人人员设备进场后7日内支付合同价的40%作为预付款。</w:t>
      </w:r>
    </w:p>
    <w:p>
      <w:pPr>
        <w:pStyle w:val="100"/>
        <w:spacing w:line="360" w:lineRule="auto"/>
        <w:ind w:firstLine="0" w:firstLineChars="0"/>
        <w:rPr>
          <w:rFonts w:ascii="宋体" w:hAnsi="宋体"/>
          <w:sz w:val="24"/>
          <w:szCs w:val="24"/>
        </w:rPr>
      </w:pPr>
      <w:r>
        <w:rPr>
          <w:rFonts w:hint="eastAsia" w:ascii="宋体" w:hAnsi="宋体"/>
          <w:sz w:val="24"/>
          <w:szCs w:val="24"/>
        </w:rPr>
        <w:t xml:space="preserve">    中标供应商提交预付款担保的期限：合同签订后，预付款支付前。</w:t>
      </w:r>
    </w:p>
    <w:p>
      <w:pPr>
        <w:pStyle w:val="100"/>
        <w:spacing w:line="360" w:lineRule="auto"/>
        <w:ind w:firstLine="0" w:firstLineChars="0"/>
        <w:rPr>
          <w:rFonts w:ascii="宋体" w:hAnsi="宋体"/>
          <w:sz w:val="24"/>
          <w:szCs w:val="24"/>
        </w:rPr>
      </w:pPr>
      <w:r>
        <w:rPr>
          <w:rFonts w:hint="eastAsia" w:ascii="宋体" w:hAnsi="宋体"/>
          <w:sz w:val="24"/>
          <w:szCs w:val="24"/>
        </w:rPr>
        <w:t xml:space="preserve">    预付款担保的形式为：提交银行、保险公司出具的预付款保函。</w:t>
      </w:r>
    </w:p>
    <w:p>
      <w:pPr>
        <w:pStyle w:val="100"/>
        <w:numPr>
          <w:ilvl w:val="0"/>
          <w:numId w:val="4"/>
        </w:numPr>
        <w:spacing w:line="360" w:lineRule="auto"/>
        <w:ind w:firstLine="480" w:firstLineChars="0"/>
        <w:rPr>
          <w:rFonts w:ascii="宋体" w:hAnsi="宋体"/>
          <w:sz w:val="24"/>
          <w:szCs w:val="24"/>
        </w:rPr>
      </w:pPr>
      <w:r>
        <w:rPr>
          <w:rFonts w:hint="eastAsia" w:ascii="宋体" w:hAnsi="宋体"/>
          <w:sz w:val="24"/>
          <w:szCs w:val="24"/>
        </w:rPr>
        <w:t>装修部分：按每月完成工程量的45%支付工程款，工程完工支付至不超过装修部分合同价的85%工程价款，工程验收合格且经有关部门审核后付至结算价款的100%，发包人支付完成最后工程结算付款前，承包人提供质量保证金保函，金额为1.5 %的工程结算价款。其余按合同通用条款执行。</w:t>
      </w:r>
    </w:p>
    <w:p>
      <w:pPr>
        <w:pStyle w:val="100"/>
        <w:numPr>
          <w:ilvl w:val="0"/>
          <w:numId w:val="4"/>
        </w:numPr>
        <w:spacing w:line="360" w:lineRule="auto"/>
        <w:ind w:firstLine="480" w:firstLineChars="0"/>
        <w:rPr>
          <w:rFonts w:ascii="宋体" w:hAnsi="宋体"/>
          <w:sz w:val="24"/>
          <w:szCs w:val="24"/>
        </w:rPr>
      </w:pPr>
      <w:r>
        <w:rPr>
          <w:rFonts w:hint="eastAsia" w:ascii="宋体" w:hAnsi="宋体"/>
          <w:sz w:val="24"/>
          <w:szCs w:val="24"/>
        </w:rPr>
        <w:t>文化上墙部分：工程完工支付至文化上墙部分合同价的85%工程价款，工程验收合格且经有关部门审核后付至结算审定价款的100%，发包人支付完成最后工程结算付款前，承包人提供质量保证金保函，金额为1.5 %的工程结算价款。其余按合同通用条款执行。</w:t>
      </w:r>
    </w:p>
    <w:p>
      <w:pPr>
        <w:pStyle w:val="100"/>
        <w:spacing w:line="360" w:lineRule="auto"/>
        <w:ind w:firstLine="482"/>
        <w:rPr>
          <w:rFonts w:ascii="宋体" w:hAnsi="宋体"/>
          <w:sz w:val="24"/>
          <w:szCs w:val="24"/>
          <w:lang w:val="zh-CN"/>
        </w:rPr>
      </w:pPr>
      <w:r>
        <w:rPr>
          <w:rFonts w:hint="eastAsia" w:ascii="宋体" w:hAnsi="宋体"/>
          <w:b/>
          <w:bCs/>
          <w:sz w:val="24"/>
          <w:szCs w:val="24"/>
        </w:rPr>
        <w:t>3、履约保证金：</w:t>
      </w:r>
    </w:p>
    <w:p>
      <w:pPr>
        <w:pStyle w:val="100"/>
        <w:spacing w:line="360" w:lineRule="auto"/>
        <w:ind w:firstLine="720" w:firstLineChars="300"/>
        <w:rPr>
          <w:rFonts w:ascii="宋体" w:hAnsi="宋体"/>
          <w:sz w:val="24"/>
          <w:szCs w:val="24"/>
        </w:rPr>
      </w:pPr>
      <w:r>
        <w:rPr>
          <w:rFonts w:hint="eastAsia" w:ascii="宋体" w:hAnsi="宋体"/>
          <w:sz w:val="24"/>
          <w:szCs w:val="24"/>
        </w:rPr>
        <w:t>合同价的1%，可采用现金、银行独立保函、保险机构独立保函、保兑支票、银行汇票或现金支票（履约保证金如为现金的，在项目通过竣工验收合格且扣除相应的违约责任后，28天内无息退还。采用保函的，应保证其有效期超过项目履行期届满之日28日</w:t>
      </w:r>
      <w:r>
        <w:rPr>
          <w:rFonts w:hint="eastAsia" w:ascii="宋体" w:hAnsi="宋体"/>
          <w:sz w:val="24"/>
          <w:szCs w:val="24"/>
          <w:lang w:val="zh-CN"/>
        </w:rPr>
        <w:t>）</w:t>
      </w:r>
    </w:p>
    <w:p>
      <w:pPr>
        <w:pageBreakBefore/>
        <w:spacing w:line="360" w:lineRule="auto"/>
        <w:jc w:val="center"/>
        <w:rPr>
          <w:rFonts w:ascii="宋体" w:hAnsi="宋体" w:cs="宋体"/>
          <w:b/>
          <w:sz w:val="24"/>
        </w:rPr>
      </w:pPr>
      <w:r>
        <w:rPr>
          <w:rFonts w:hint="eastAsia" w:ascii="宋体" w:hAnsi="宋体" w:cs="宋体"/>
          <w:b/>
          <w:sz w:val="44"/>
          <w:szCs w:val="44"/>
        </w:rPr>
        <w:t xml:space="preserve">第五章  </w:t>
      </w:r>
      <w:r>
        <w:rPr>
          <w:rFonts w:hint="eastAsia" w:ascii="宋体" w:hAnsi="宋体" w:cs="宋体"/>
          <w:b/>
          <w:bCs/>
          <w:sz w:val="44"/>
          <w:szCs w:val="44"/>
        </w:rPr>
        <w:t>合同主要条款</w:t>
      </w:r>
    </w:p>
    <w:p>
      <w:pPr>
        <w:spacing w:line="360" w:lineRule="exact"/>
        <w:rPr>
          <w:rFonts w:ascii="宋体" w:hAnsi="宋体"/>
          <w:szCs w:val="21"/>
        </w:rPr>
      </w:pPr>
      <w:r>
        <w:rPr>
          <w:rFonts w:hint="eastAsia" w:ascii="宋体" w:hAnsi="宋体"/>
          <w:szCs w:val="21"/>
        </w:rPr>
        <w:t>合同文本采用《建设工程施工合同（示范文本）》（GF-2017-0201）。</w:t>
      </w:r>
    </w:p>
    <w:p>
      <w:pPr>
        <w:spacing w:line="360" w:lineRule="exact"/>
        <w:rPr>
          <w:rFonts w:ascii="宋体" w:hAnsi="宋体"/>
          <w:szCs w:val="21"/>
        </w:rPr>
      </w:pPr>
      <w:r>
        <w:rPr>
          <w:rFonts w:hint="eastAsia" w:ascii="宋体" w:hAnsi="宋体"/>
          <w:szCs w:val="21"/>
        </w:rPr>
        <w:t>合同通用条款采用《建设工程施工合同（示范文本）》的通用条款（GF-2017-0201）。</w:t>
      </w:r>
    </w:p>
    <w:p>
      <w:pPr>
        <w:snapToGrid w:val="0"/>
        <w:spacing w:line="360" w:lineRule="exact"/>
        <w:rPr>
          <w:rFonts w:ascii="宋体" w:hAnsi="宋体" w:cs="宋体"/>
          <w:b/>
          <w:bCs/>
          <w:color w:val="000000"/>
          <w:sz w:val="32"/>
          <w:szCs w:val="32"/>
        </w:rPr>
      </w:pPr>
      <w:r>
        <w:rPr>
          <w:rFonts w:hint="eastAsia" w:ascii="宋体" w:hAnsi="宋体"/>
          <w:spacing w:val="-6"/>
          <w:szCs w:val="21"/>
        </w:rPr>
        <w:t>合同专用条款中的主要条款将由招标人(发包人)与中标人(承包人/</w:t>
      </w:r>
      <w:r>
        <w:rPr>
          <w:rFonts w:hint="eastAsia" w:ascii="宋体" w:hAnsi="宋体"/>
          <w:iCs/>
          <w:spacing w:val="-6"/>
          <w:szCs w:val="21"/>
        </w:rPr>
        <w:t>分包人</w:t>
      </w:r>
      <w:r>
        <w:rPr>
          <w:rFonts w:hint="eastAsia" w:ascii="宋体" w:hAnsi="宋体"/>
          <w:spacing w:val="-6"/>
          <w:szCs w:val="21"/>
        </w:rPr>
        <w:t>)根据磋商响应文件签订。</w:t>
      </w:r>
    </w:p>
    <w:p>
      <w:pPr>
        <w:snapToGrid w:val="0"/>
        <w:spacing w:beforeLines="50" w:afterLines="50"/>
        <w:jc w:val="center"/>
        <w:rPr>
          <w:szCs w:val="21"/>
        </w:rPr>
      </w:pPr>
      <w:r>
        <w:rPr>
          <w:rFonts w:hint="eastAsia" w:ascii="宋体" w:hAnsi="宋体" w:cs="宋体"/>
          <w:b/>
          <w:bCs/>
          <w:color w:val="000000"/>
          <w:sz w:val="32"/>
          <w:szCs w:val="32"/>
        </w:rPr>
        <w:t>第一部分　　合同协议书</w:t>
      </w:r>
    </w:p>
    <w:p>
      <w:pPr>
        <w:spacing w:line="360" w:lineRule="exact"/>
        <w:rPr>
          <w:rFonts w:ascii="宋体" w:hAnsi="宋体" w:cs="宋体"/>
          <w:b/>
          <w:szCs w:val="21"/>
          <w:u w:val="single"/>
        </w:rPr>
      </w:pPr>
      <w:r>
        <w:rPr>
          <w:rFonts w:hint="eastAsia" w:ascii="宋体" w:hAnsi="宋体" w:cs="宋体"/>
          <w:szCs w:val="21"/>
        </w:rPr>
        <w:t>发包人（全称）：</w:t>
      </w:r>
      <w:r>
        <w:rPr>
          <w:rFonts w:hint="eastAsia" w:ascii="宋体" w:hAnsi="宋体" w:cs="宋体"/>
          <w:szCs w:val="21"/>
          <w:u w:val="single"/>
        </w:rPr>
        <w:t xml:space="preserve">                                       </w:t>
      </w:r>
    </w:p>
    <w:p>
      <w:pPr>
        <w:spacing w:line="360" w:lineRule="exact"/>
        <w:rPr>
          <w:rFonts w:ascii="宋体" w:hAnsi="宋体" w:cs="宋体"/>
          <w:b/>
          <w:szCs w:val="21"/>
          <w:u w:val="single"/>
        </w:rPr>
      </w:pPr>
      <w:r>
        <w:rPr>
          <w:rFonts w:hint="eastAsia" w:ascii="宋体" w:hAnsi="宋体" w:cs="宋体"/>
          <w:szCs w:val="21"/>
        </w:rPr>
        <w:t>承包人（全称）：</w:t>
      </w:r>
      <w:r>
        <w:rPr>
          <w:rFonts w:hint="eastAsia" w:ascii="宋体" w:hAnsi="宋体" w:cs="宋体"/>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工程施工及有关事项协商一致，共同达成如下协议：</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33" w:name="_Toc351203481"/>
      <w:r>
        <w:rPr>
          <w:rFonts w:hint="eastAsia" w:ascii="宋体" w:hAnsi="宋体" w:eastAsia="宋体" w:cs="宋体"/>
          <w:bCs w:val="0"/>
          <w:sz w:val="21"/>
          <w:szCs w:val="21"/>
        </w:rPr>
        <w:t xml:space="preserve"> </w:t>
      </w:r>
      <w:r>
        <w:rPr>
          <w:rFonts w:hint="eastAsia" w:ascii="宋体" w:hAnsi="宋体" w:eastAsia="宋体" w:cs="宋体"/>
          <w:b w:val="0"/>
          <w:sz w:val="21"/>
          <w:szCs w:val="21"/>
        </w:rPr>
        <w:t>一、工程概况</w:t>
      </w:r>
      <w:bookmarkEnd w:id="33"/>
    </w:p>
    <w:p>
      <w:pPr>
        <w:spacing w:line="36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szCs w:val="21"/>
        </w:rPr>
        <w:t>群体工程应附《承包人承揽工程项目一览表》（附件1）。</w:t>
      </w:r>
    </w:p>
    <w:p>
      <w:pPr>
        <w:spacing w:line="360" w:lineRule="exact"/>
        <w:ind w:firstLine="420" w:firstLineChars="200"/>
        <w:rPr>
          <w:rFonts w:ascii="宋体" w:hAnsi="宋体" w:cs="宋体"/>
          <w:bCs/>
          <w:szCs w:val="21"/>
        </w:rPr>
      </w:pPr>
      <w:r>
        <w:rPr>
          <w:rFonts w:hint="eastAsia" w:ascii="宋体" w:hAnsi="宋体" w:cs="宋体"/>
          <w:bCs/>
          <w:szCs w:val="21"/>
        </w:rPr>
        <w:t>6．工程承包范围：</w:t>
      </w:r>
    </w:p>
    <w:p>
      <w:pPr>
        <w:spacing w:line="360" w:lineRule="exact"/>
        <w:ind w:firstLine="420" w:firstLineChars="200"/>
        <w:rPr>
          <w:rFonts w:ascii="宋体" w:hAnsi="宋体" w:cs="宋体"/>
          <w:szCs w:val="21"/>
        </w:rPr>
      </w:pPr>
      <w:r>
        <w:rPr>
          <w:rFonts w:hint="eastAsia" w:ascii="宋体" w:hAnsi="宋体" w:cs="宋体"/>
          <w:szCs w:val="21"/>
          <w:u w:val="single"/>
        </w:rPr>
        <w:t>发包人提供的施工图纸所包含的                 工程</w:t>
      </w:r>
      <w:r>
        <w:rPr>
          <w:rFonts w:hint="eastAsia" w:ascii="宋体" w:hAnsi="宋体" w:cs="宋体"/>
          <w:szCs w:val="21"/>
        </w:rPr>
        <w:t>。</w:t>
      </w:r>
    </w:p>
    <w:p>
      <w:pPr>
        <w:pStyle w:val="2"/>
        <w:spacing w:before="0" w:after="0" w:line="36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4" w:name="_Toc351203482"/>
      <w:r>
        <w:rPr>
          <w:rFonts w:hint="eastAsia" w:ascii="宋体" w:hAnsi="宋体" w:eastAsia="宋体" w:cs="宋体"/>
          <w:b w:val="0"/>
          <w:sz w:val="21"/>
          <w:szCs w:val="21"/>
        </w:rPr>
        <w:t xml:space="preserve"> 二、合同工期</w:t>
      </w:r>
      <w:bookmarkEnd w:id="34"/>
    </w:p>
    <w:p>
      <w:pPr>
        <w:spacing w:line="36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日。计划竣工日期：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cs="宋体"/>
          <w:szCs w:val="21"/>
        </w:rPr>
        <w:t>天。工期总日历天数与根据前述计划开、竣工日期计算的工期天数不一致的，以工期总日历天数为准。</w:t>
      </w:r>
    </w:p>
    <w:p>
      <w:pPr>
        <w:spacing w:line="360" w:lineRule="exact"/>
        <w:ind w:firstLine="420" w:firstLineChars="200"/>
        <w:rPr>
          <w:rFonts w:ascii="宋体" w:hAnsi="宋体" w:cs="宋体"/>
          <w:szCs w:val="21"/>
          <w:u w:val="single"/>
        </w:rPr>
      </w:pPr>
      <w:r>
        <w:rPr>
          <w:rFonts w:hint="eastAsia" w:ascii="宋体" w:hAnsi="宋体" w:cs="宋体"/>
          <w:szCs w:val="21"/>
        </w:rPr>
        <w:t xml:space="preserve">中间形象进度工期要求：  </w:t>
      </w:r>
      <w:r>
        <w:rPr>
          <w:rFonts w:hint="eastAsia" w:ascii="宋体" w:hAnsi="宋体" w:cs="宋体"/>
          <w:szCs w:val="21"/>
          <w:u w:val="single"/>
        </w:rPr>
        <w:t xml:space="preserve">                                      。</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35" w:name="_Toc351203483"/>
      <w:r>
        <w:rPr>
          <w:rFonts w:hint="eastAsia" w:ascii="宋体" w:hAnsi="宋体" w:eastAsia="宋体" w:cs="宋体"/>
          <w:b w:val="0"/>
          <w:sz w:val="21"/>
          <w:szCs w:val="21"/>
        </w:rPr>
        <w:t>三、质量标准</w:t>
      </w:r>
      <w:bookmarkEnd w:id="35"/>
    </w:p>
    <w:p>
      <w:pPr>
        <w:spacing w:line="360" w:lineRule="exact"/>
        <w:ind w:firstLine="459"/>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w:t>
      </w:r>
      <w:r>
        <w:rPr>
          <w:rFonts w:hint="eastAsia" w:ascii="宋体" w:hAnsi="宋体" w:cs="宋体"/>
          <w:szCs w:val="21"/>
        </w:rPr>
        <w:t>标准。</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36" w:name="_Toc351203484"/>
      <w:r>
        <w:rPr>
          <w:rFonts w:hint="eastAsia" w:ascii="宋体" w:hAnsi="宋体" w:eastAsia="宋体" w:cs="宋体"/>
          <w:b w:val="0"/>
          <w:sz w:val="21"/>
          <w:szCs w:val="21"/>
        </w:rPr>
        <w:t>四、签约合同价与合同价格形式</w:t>
      </w:r>
      <w:bookmarkEnd w:id="36"/>
      <w:r>
        <w:rPr>
          <w:rFonts w:hint="eastAsia" w:ascii="宋体" w:hAnsi="宋体" w:eastAsia="宋体" w:cs="宋体"/>
          <w:b w:val="0"/>
          <w:sz w:val="21"/>
          <w:szCs w:val="21"/>
        </w:rPr>
        <w:tab/>
      </w:r>
    </w:p>
    <w:p>
      <w:pPr>
        <w:spacing w:line="360" w:lineRule="exact"/>
        <w:ind w:firstLine="420" w:firstLineChars="200"/>
        <w:rPr>
          <w:rFonts w:ascii="宋体" w:hAnsi="宋体" w:cs="宋体"/>
          <w:szCs w:val="21"/>
        </w:rPr>
      </w:pPr>
      <w:r>
        <w:rPr>
          <w:rFonts w:hint="eastAsia" w:ascii="宋体" w:hAnsi="宋体" w:cs="宋体"/>
          <w:szCs w:val="21"/>
        </w:rPr>
        <w:t>1．签约合同价为：</w:t>
      </w:r>
    </w:p>
    <w:p>
      <w:pPr>
        <w:spacing w:line="3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3．发包人向承包人支付工程价款及其他应当支付的款项均须汇入承包人合同协议书中的银行账户，并开具增值税专用发票。</w:t>
      </w:r>
    </w:p>
    <w:p>
      <w:pPr>
        <w:spacing w:line="360" w:lineRule="exact"/>
        <w:ind w:firstLine="352" w:firstLineChars="168"/>
        <w:rPr>
          <w:rFonts w:ascii="宋体" w:hAnsi="宋体" w:cs="宋体"/>
          <w:szCs w:val="21"/>
        </w:rPr>
      </w:pPr>
      <w:r>
        <w:rPr>
          <w:rFonts w:hint="eastAsia" w:ascii="宋体" w:hAnsi="宋体" w:cs="宋体"/>
          <w:szCs w:val="21"/>
        </w:rPr>
        <w:t>根据《关于全面推开营业税改征增值税试点的通知》（</w:t>
      </w:r>
      <w:r>
        <w:rPr>
          <w:rFonts w:hint="eastAsia" w:ascii="宋体" w:hAnsi="宋体" w:cs="宋体"/>
          <w:bCs/>
          <w:szCs w:val="21"/>
          <w:shd w:val="clear" w:color="auto" w:fill="FFFFFF"/>
        </w:rPr>
        <w:t>财税〔2016〕36号</w:t>
      </w:r>
      <w:r>
        <w:rPr>
          <w:rFonts w:hint="eastAsia" w:ascii="宋体" w:hAnsi="宋体" w:cs="宋体"/>
          <w:szCs w:val="21"/>
          <w:shd w:val="clear" w:color="auto" w:fill="FFFFFF"/>
        </w:rPr>
        <w:t>）等有关规定，承包人完成本合同项下应税行为的计税方式按</w:t>
      </w:r>
      <w:r>
        <w:rPr>
          <w:rFonts w:hint="eastAsia" w:ascii="宋体" w:hAnsi="宋体" w:cs="宋体"/>
          <w:szCs w:val="21"/>
        </w:rPr>
        <w:t>以下第</w:t>
      </w:r>
      <w:r>
        <w:rPr>
          <w:rFonts w:hint="eastAsia" w:ascii="宋体" w:hAnsi="宋体" w:cs="宋体"/>
          <w:szCs w:val="21"/>
          <w:u w:val="single"/>
          <w:shd w:val="clear" w:color="auto" w:fill="FFFFFF"/>
        </w:rPr>
        <w:t>（1）</w:t>
      </w:r>
      <w:r>
        <w:rPr>
          <w:rFonts w:hint="eastAsia" w:ascii="宋体" w:hAnsi="宋体" w:cs="宋体"/>
          <w:szCs w:val="21"/>
          <w:shd w:val="clear" w:color="auto" w:fill="FFFFFF"/>
        </w:rPr>
        <w:t>种方法，并与</w:t>
      </w:r>
      <w:r>
        <w:rPr>
          <w:rFonts w:hint="eastAsia" w:ascii="宋体" w:hAnsi="宋体" w:cs="宋体"/>
          <w:szCs w:val="21"/>
        </w:rPr>
        <w:t>工程计价时采用的计税方法一致。</w:t>
      </w:r>
    </w:p>
    <w:p>
      <w:pPr>
        <w:spacing w:line="360" w:lineRule="exact"/>
        <w:ind w:firstLine="352" w:firstLineChars="168"/>
        <w:rPr>
          <w:rFonts w:ascii="宋体" w:hAnsi="宋体" w:cs="宋体"/>
          <w:szCs w:val="21"/>
        </w:rPr>
      </w:pPr>
      <w:r>
        <w:rPr>
          <w:rFonts w:hint="eastAsia" w:ascii="宋体" w:hAnsi="宋体" w:cs="宋体"/>
          <w:szCs w:val="21"/>
          <w:shd w:val="clear" w:color="auto" w:fill="FFFFFF"/>
        </w:rPr>
        <w:t>（1）一般计税方法。</w:t>
      </w:r>
    </w:p>
    <w:p>
      <w:pPr>
        <w:spacing w:line="360" w:lineRule="exact"/>
        <w:ind w:firstLine="352" w:firstLineChars="168"/>
        <w:rPr>
          <w:rFonts w:ascii="宋体" w:hAnsi="宋体" w:cs="宋体"/>
          <w:szCs w:val="21"/>
        </w:rPr>
      </w:pPr>
      <w:r>
        <w:rPr>
          <w:rFonts w:hint="eastAsia" w:ascii="宋体" w:hAnsi="宋体" w:cs="宋体"/>
          <w:szCs w:val="21"/>
        </w:rPr>
        <w:t>（2）本工程为</w:t>
      </w:r>
      <w:r>
        <w:rPr>
          <w:rFonts w:hint="eastAsia" w:ascii="宋体" w:hAnsi="宋体" w:cs="宋体"/>
          <w:szCs w:val="21"/>
          <w:u w:val="single"/>
        </w:rPr>
        <w:t xml:space="preserve">   甲供   </w:t>
      </w:r>
      <w:r>
        <w:rPr>
          <w:rFonts w:hint="eastAsia" w:ascii="宋体" w:hAnsi="宋体" w:cs="宋体"/>
          <w:szCs w:val="21"/>
        </w:rPr>
        <w:t>工程，</w:t>
      </w:r>
      <w:r>
        <w:rPr>
          <w:rFonts w:hint="eastAsia" w:ascii="宋体" w:hAnsi="宋体" w:cs="宋体"/>
          <w:szCs w:val="21"/>
          <w:shd w:val="clear" w:color="auto" w:fill="FFFFFF"/>
        </w:rPr>
        <w:t>按简易计税方法。</w:t>
      </w:r>
    </w:p>
    <w:p>
      <w:pPr>
        <w:pStyle w:val="2"/>
        <w:spacing w:before="0" w:after="0" w:line="360" w:lineRule="exact"/>
        <w:rPr>
          <w:rFonts w:ascii="宋体" w:hAnsi="宋体" w:eastAsia="宋体" w:cs="宋体"/>
          <w:b w:val="0"/>
          <w:sz w:val="21"/>
          <w:szCs w:val="21"/>
        </w:rPr>
      </w:pPr>
      <w:r>
        <w:rPr>
          <w:rFonts w:hint="eastAsia" w:ascii="宋体" w:hAnsi="宋体" w:eastAsia="宋体" w:cs="宋体"/>
          <w:bCs w:val="0"/>
          <w:sz w:val="21"/>
          <w:szCs w:val="21"/>
        </w:rPr>
        <w:t xml:space="preserve">    </w:t>
      </w:r>
      <w:bookmarkStart w:id="37" w:name="_Toc351203485"/>
      <w:r>
        <w:rPr>
          <w:rFonts w:hint="eastAsia" w:ascii="宋体" w:hAnsi="宋体" w:eastAsia="宋体" w:cs="宋体"/>
          <w:b w:val="0"/>
          <w:sz w:val="21"/>
          <w:szCs w:val="21"/>
        </w:rPr>
        <w:t>五、</w:t>
      </w:r>
      <w:bookmarkEnd w:id="37"/>
      <w:r>
        <w:rPr>
          <w:rFonts w:hint="eastAsia" w:ascii="宋体" w:hAnsi="宋体" w:eastAsia="宋体" w:cs="宋体"/>
          <w:b w:val="0"/>
          <w:sz w:val="21"/>
          <w:szCs w:val="21"/>
        </w:rPr>
        <w:t>项目经理</w:t>
      </w:r>
    </w:p>
    <w:p>
      <w:pPr>
        <w:spacing w:line="3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    </w:t>
      </w:r>
      <w:r>
        <w:rPr>
          <w:rFonts w:hint="eastAsia" w:ascii="宋体" w:hAnsi="宋体" w:cs="宋体"/>
          <w:szCs w:val="21"/>
        </w:rPr>
        <w:t>。</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38" w:name="_Toc351203486"/>
      <w:r>
        <w:rPr>
          <w:rFonts w:hint="eastAsia" w:ascii="宋体" w:hAnsi="宋体" w:eastAsia="宋体" w:cs="宋体"/>
          <w:b w:val="0"/>
          <w:sz w:val="21"/>
          <w:szCs w:val="21"/>
        </w:rPr>
        <w:t>六、合同文件构成</w:t>
      </w:r>
      <w:bookmarkEnd w:id="38"/>
    </w:p>
    <w:p>
      <w:pPr>
        <w:spacing w:line="3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（1）中标通知书（如果有）；</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（2）投标函及其附录（如果有）；</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（3）专用合同条款及其附件；</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（4）通用合同条款；</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（5）技术标准和要求；</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（6）图纸；</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（7）已标价工程量清单或预算书；</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（8）其他合同文件。</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2"/>
        <w:spacing w:before="0" w:after="0" w:line="360" w:lineRule="exact"/>
        <w:ind w:firstLine="315" w:firstLineChars="150"/>
        <w:rPr>
          <w:rFonts w:ascii="宋体" w:hAnsi="宋体" w:eastAsia="宋体" w:cs="宋体"/>
          <w:b w:val="0"/>
          <w:sz w:val="21"/>
          <w:szCs w:val="21"/>
        </w:rPr>
      </w:pPr>
      <w:r>
        <w:rPr>
          <w:rFonts w:hint="eastAsia" w:ascii="宋体" w:hAnsi="宋体" w:eastAsia="宋体" w:cs="宋体"/>
          <w:b w:val="0"/>
          <w:sz w:val="21"/>
          <w:szCs w:val="21"/>
        </w:rPr>
        <w:t>七、创优目标</w:t>
      </w:r>
    </w:p>
    <w:p>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工程质量创</w:t>
      </w:r>
      <w:r>
        <w:rPr>
          <w:rFonts w:hint="eastAsia" w:ascii="宋体" w:hAnsi="宋体" w:cs="宋体"/>
          <w:szCs w:val="21"/>
          <w:u w:val="single"/>
        </w:rPr>
        <w:t xml:space="preserve">    /     。</w:t>
      </w:r>
    </w:p>
    <w:p>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安全文明施工创</w:t>
      </w:r>
      <w:r>
        <w:rPr>
          <w:rFonts w:hint="eastAsia" w:ascii="宋体" w:hAnsi="宋体" w:cs="宋体"/>
          <w:szCs w:val="21"/>
          <w:u w:val="single"/>
        </w:rPr>
        <w:t xml:space="preserve">     /  。</w:t>
      </w:r>
    </w:p>
    <w:p>
      <w:pPr>
        <w:pStyle w:val="2"/>
        <w:spacing w:before="0" w:after="0" w:line="360" w:lineRule="exact"/>
        <w:rPr>
          <w:rFonts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 w:val="0"/>
          <w:sz w:val="21"/>
          <w:szCs w:val="21"/>
        </w:rPr>
        <w:t xml:space="preserve"> </w:t>
      </w:r>
      <w:bookmarkStart w:id="39" w:name="_Toc351203487"/>
      <w:r>
        <w:rPr>
          <w:rFonts w:hint="eastAsia" w:ascii="宋体" w:hAnsi="宋体" w:eastAsia="宋体" w:cs="宋体"/>
          <w:b w:val="0"/>
          <w:sz w:val="21"/>
          <w:szCs w:val="21"/>
        </w:rPr>
        <w:t>八、承诺</w:t>
      </w:r>
      <w:bookmarkEnd w:id="39"/>
    </w:p>
    <w:p>
      <w:pPr>
        <w:spacing w:line="3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3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20" w:firstLineChars="200"/>
        <w:rPr>
          <w:rFonts w:ascii="宋体" w:hAnsi="宋体" w:cs="宋体"/>
          <w:kern w:val="0"/>
          <w:szCs w:val="21"/>
        </w:rPr>
      </w:pPr>
      <w:r>
        <w:rPr>
          <w:rFonts w:hint="eastAsia" w:ascii="宋体" w:hAnsi="宋体" w:cs="宋体"/>
          <w:bCs/>
          <w:szCs w:val="21"/>
        </w:rPr>
        <w:t xml:space="preserve">3. </w:t>
      </w:r>
      <w:r>
        <w:rPr>
          <w:rFonts w:hint="eastAsia" w:ascii="宋体" w:hAnsi="宋体" w:cs="宋体"/>
          <w:kern w:val="0"/>
          <w:szCs w:val="21"/>
        </w:rPr>
        <w:t>承包人</w:t>
      </w:r>
      <w:r>
        <w:rPr>
          <w:rFonts w:hint="eastAsia" w:ascii="宋体" w:hAnsi="宋体" w:cs="宋体"/>
          <w:bCs/>
          <w:szCs w:val="21"/>
        </w:rPr>
        <w:t>承诺</w:t>
      </w:r>
      <w:r>
        <w:rPr>
          <w:rFonts w:hint="eastAsia" w:ascii="宋体" w:hAnsi="宋体" w:cs="宋体"/>
          <w:kern w:val="0"/>
          <w:szCs w:val="21"/>
        </w:rPr>
        <w:t>不拖欠工人工资，因拖欠工资造成的一切后果，均由承包人承担，发包人有权将应拔付的工程款，先代付工资。</w:t>
      </w:r>
    </w:p>
    <w:p>
      <w:pPr>
        <w:spacing w:line="3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4．发包人和承包人通过招投标形式签订合同的，双方理解并承诺不再就同一工程另行签订与合同实质性内容相背离的协议。另行签订的协议不能作为结算依据。</w:t>
      </w:r>
    </w:p>
    <w:p>
      <w:pPr>
        <w:spacing w:line="360" w:lineRule="exact"/>
        <w:rPr>
          <w:rFonts w:ascii="宋体" w:hAnsi="宋体" w:cs="宋体"/>
          <w:bCs/>
          <w:szCs w:val="21"/>
        </w:rPr>
      </w:pPr>
      <w:bookmarkStart w:id="40" w:name="_Toc351203488"/>
      <w:r>
        <w:rPr>
          <w:rFonts w:hint="eastAsia" w:ascii="宋体" w:hAnsi="宋体" w:cs="宋体"/>
          <w:szCs w:val="21"/>
        </w:rPr>
        <w:t xml:space="preserve">    九、词语含义</w:t>
      </w:r>
      <w:bookmarkEnd w:id="40"/>
    </w:p>
    <w:p>
      <w:pPr>
        <w:spacing w:line="3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41" w:name="_Toc351203489"/>
      <w:r>
        <w:rPr>
          <w:rFonts w:hint="eastAsia" w:ascii="宋体" w:hAnsi="宋体" w:eastAsia="宋体" w:cs="宋体"/>
          <w:b w:val="0"/>
          <w:sz w:val="21"/>
          <w:szCs w:val="21"/>
        </w:rPr>
        <w:t>十、签订时间</w:t>
      </w:r>
      <w:bookmarkEnd w:id="41"/>
    </w:p>
    <w:p>
      <w:pPr>
        <w:spacing w:line="3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42" w:name="_Toc351203490"/>
      <w:r>
        <w:rPr>
          <w:rFonts w:hint="eastAsia" w:ascii="宋体" w:hAnsi="宋体" w:eastAsia="宋体" w:cs="宋体"/>
          <w:b w:val="0"/>
          <w:sz w:val="21"/>
          <w:szCs w:val="21"/>
        </w:rPr>
        <w:t>十一、签订地点</w:t>
      </w:r>
      <w:bookmarkEnd w:id="42"/>
    </w:p>
    <w:p>
      <w:pPr>
        <w:spacing w:line="3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43" w:name="_Toc351203491"/>
      <w:r>
        <w:rPr>
          <w:rFonts w:hint="eastAsia" w:ascii="宋体" w:hAnsi="宋体" w:eastAsia="宋体" w:cs="宋体"/>
          <w:b w:val="0"/>
          <w:sz w:val="21"/>
          <w:szCs w:val="21"/>
        </w:rPr>
        <w:t>十二、补充协议</w:t>
      </w:r>
      <w:bookmarkEnd w:id="43"/>
    </w:p>
    <w:p>
      <w:pPr>
        <w:spacing w:line="3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44" w:name="_Toc351203492"/>
      <w:r>
        <w:rPr>
          <w:rFonts w:hint="eastAsia" w:ascii="宋体" w:hAnsi="宋体" w:eastAsia="宋体" w:cs="宋体"/>
          <w:b w:val="0"/>
          <w:sz w:val="21"/>
          <w:szCs w:val="21"/>
        </w:rPr>
        <w:t>十三、合同生效</w:t>
      </w:r>
      <w:bookmarkEnd w:id="44"/>
    </w:p>
    <w:p>
      <w:pPr>
        <w:spacing w:line="3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双方法定代表人或委托代理人签字并加盖公章后生效。</w:t>
      </w:r>
    </w:p>
    <w:p>
      <w:pPr>
        <w:pStyle w:val="2"/>
        <w:spacing w:before="0" w:after="0" w:line="360" w:lineRule="exact"/>
        <w:rPr>
          <w:rFonts w:ascii="宋体" w:hAnsi="宋体" w:eastAsia="宋体" w:cs="宋体"/>
          <w:bCs w:val="0"/>
          <w:sz w:val="21"/>
          <w:szCs w:val="21"/>
        </w:rPr>
      </w:pPr>
      <w:r>
        <w:rPr>
          <w:rFonts w:hint="eastAsia" w:ascii="宋体" w:hAnsi="宋体" w:eastAsia="宋体" w:cs="宋体"/>
          <w:bCs w:val="0"/>
          <w:sz w:val="21"/>
          <w:szCs w:val="21"/>
        </w:rPr>
        <w:t xml:space="preserve">    </w:t>
      </w:r>
      <w:bookmarkStart w:id="45" w:name="_Toc351203493"/>
      <w:r>
        <w:rPr>
          <w:rFonts w:hint="eastAsia" w:ascii="宋体" w:hAnsi="宋体" w:eastAsia="宋体" w:cs="宋体"/>
          <w:b w:val="0"/>
          <w:sz w:val="21"/>
          <w:szCs w:val="21"/>
        </w:rPr>
        <w:t>十四、合同份数</w:t>
      </w:r>
      <w:bookmarkEnd w:id="45"/>
    </w:p>
    <w:p>
      <w:pPr>
        <w:spacing w:line="360" w:lineRule="exact"/>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份。</w:t>
      </w:r>
    </w:p>
    <w:p>
      <w:pPr>
        <w:spacing w:line="360" w:lineRule="exact"/>
        <w:rPr>
          <w:rFonts w:ascii="宋体" w:hAnsi="宋体" w:cs="宋体"/>
          <w:bCs/>
          <w:szCs w:val="21"/>
        </w:rPr>
      </w:pPr>
    </w:p>
    <w:p>
      <w:pPr>
        <w:spacing w:line="360" w:lineRule="exact"/>
        <w:rPr>
          <w:rFonts w:ascii="宋体" w:hAnsi="宋体" w:cs="宋体"/>
          <w:szCs w:val="21"/>
          <w:u w:val="single"/>
        </w:rPr>
      </w:pPr>
      <w:r>
        <w:rPr>
          <w:rFonts w:hint="eastAsia" w:ascii="宋体" w:hAnsi="宋体" w:cs="宋体"/>
          <w:szCs w:val="21"/>
        </w:rPr>
        <w:t>发包人：  （公章）                     承包人：  （公章）</w:t>
      </w:r>
    </w:p>
    <w:p>
      <w:pPr>
        <w:spacing w:line="360" w:lineRule="exact"/>
        <w:rPr>
          <w:rFonts w:ascii="宋体" w:hAnsi="宋体" w:cs="宋体"/>
          <w:szCs w:val="21"/>
        </w:rPr>
      </w:pPr>
      <w:r>
        <w:rPr>
          <w:rFonts w:hint="eastAsia" w:ascii="宋体" w:hAnsi="宋体" w:cs="宋体"/>
          <w:szCs w:val="21"/>
        </w:rPr>
        <w:t>法定代表人或其委托代理人：             法定代表人或其委托代理人：</w:t>
      </w:r>
    </w:p>
    <w:p>
      <w:pPr>
        <w:spacing w:line="360" w:lineRule="exact"/>
        <w:rPr>
          <w:rFonts w:ascii="宋体" w:hAnsi="宋体" w:cs="宋体"/>
          <w:szCs w:val="21"/>
        </w:rPr>
      </w:pPr>
      <w:r>
        <w:rPr>
          <w:rFonts w:hint="eastAsia" w:ascii="宋体" w:hAnsi="宋体" w:cs="宋体"/>
          <w:szCs w:val="21"/>
        </w:rPr>
        <w:t>（签字）                              （签字）</w:t>
      </w:r>
    </w:p>
    <w:p>
      <w:pPr>
        <w:tabs>
          <w:tab w:val="left" w:pos="4410"/>
        </w:tabs>
        <w:spacing w:line="360" w:lineRule="exact"/>
        <w:rPr>
          <w:rFonts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                                 </w:t>
      </w:r>
    </w:p>
    <w:p>
      <w:pPr>
        <w:spacing w:line="360" w:lineRule="exact"/>
        <w:rPr>
          <w:rFonts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 xml:space="preserve"> </w:t>
      </w: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auto"/>
        <w:jc w:val="left"/>
        <w:rPr>
          <w:rFonts w:ascii="宋体" w:hAnsi="宋体"/>
          <w:szCs w:val="21"/>
        </w:rPr>
      </w:pPr>
      <w:r>
        <w:rPr>
          <w:rFonts w:hint="eastAsia" w:ascii="宋体" w:hAnsi="宋体"/>
          <w:szCs w:val="21"/>
        </w:rPr>
        <w:t>合同鉴证方（盖章）：</w:t>
      </w: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pStyle w:val="29"/>
        <w:rPr>
          <w:rFonts w:ascii="宋体" w:hAnsi="宋体" w:cs="宋体"/>
          <w:szCs w:val="21"/>
        </w:rPr>
      </w:pPr>
    </w:p>
    <w:p>
      <w:pPr>
        <w:rPr>
          <w:rFonts w:ascii="宋体" w:hAnsi="宋体" w:cs="宋体"/>
          <w:szCs w:val="21"/>
        </w:rPr>
      </w:pPr>
    </w:p>
    <w:p>
      <w:pPr>
        <w:pStyle w:val="29"/>
        <w:rPr>
          <w:rFonts w:ascii="宋体" w:hAnsi="宋体" w:cs="宋体"/>
        </w:rPr>
      </w:pPr>
    </w:p>
    <w:p>
      <w:pPr>
        <w:spacing w:line="360" w:lineRule="exact"/>
        <w:rPr>
          <w:rFonts w:ascii="宋体" w:hAnsi="宋体" w:cs="宋体"/>
          <w:szCs w:val="21"/>
        </w:rPr>
      </w:pPr>
    </w:p>
    <w:p>
      <w:pPr>
        <w:pStyle w:val="99"/>
        <w:jc w:val="center"/>
        <w:rPr>
          <w:rFonts w:ascii="宋体" w:hAnsi="宋体" w:eastAsia="宋体"/>
          <w:sz w:val="32"/>
          <w:szCs w:val="32"/>
        </w:rPr>
      </w:pPr>
      <w:bookmarkStart w:id="46" w:name="_Toc15472"/>
      <w:bookmarkStart w:id="47" w:name="_Toc9327"/>
      <w:r>
        <w:rPr>
          <w:rFonts w:hint="eastAsia" w:ascii="宋体" w:hAnsi="宋体" w:eastAsia="宋体"/>
          <w:b/>
          <w:bCs/>
          <w:sz w:val="32"/>
          <w:szCs w:val="32"/>
        </w:rPr>
        <w:t>第二部分   通用合同条款（略）</w:t>
      </w:r>
      <w:bookmarkEnd w:id="46"/>
      <w:bookmarkEnd w:id="47"/>
    </w:p>
    <w:p>
      <w:pPr>
        <w:rPr>
          <w:rFonts w:ascii="宋体" w:hAnsi="宋体" w:cs="宋体"/>
          <w:sz w:val="32"/>
          <w:szCs w:val="32"/>
        </w:rPr>
      </w:pPr>
      <w:bookmarkStart w:id="48" w:name="_Toc278377207"/>
      <w:bookmarkStart w:id="49" w:name="_Toc267919286"/>
      <w:bookmarkStart w:id="50" w:name="_Toc394573947"/>
      <w:bookmarkStart w:id="51" w:name="_Toc351203652"/>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4"/>
        <w:spacing w:before="0" w:after="0" w:line="400" w:lineRule="exact"/>
        <w:jc w:val="center"/>
        <w:rPr>
          <w:rFonts w:ascii="宋体" w:hAnsi="宋体" w:eastAsia="宋体" w:cs="宋体"/>
        </w:rPr>
      </w:pPr>
      <w:bookmarkStart w:id="52" w:name="_Toc14026"/>
      <w:bookmarkStart w:id="53" w:name="_Toc20068"/>
      <w:r>
        <w:rPr>
          <w:rFonts w:hint="eastAsia" w:ascii="宋体" w:hAnsi="宋体" w:eastAsia="宋体" w:cs="宋体"/>
        </w:rPr>
        <w:t>第三部分　　专用合同条款</w:t>
      </w:r>
      <w:bookmarkEnd w:id="48"/>
      <w:bookmarkEnd w:id="49"/>
      <w:bookmarkEnd w:id="50"/>
      <w:bookmarkEnd w:id="52"/>
      <w:bookmarkEnd w:id="53"/>
    </w:p>
    <w:p>
      <w:pPr>
        <w:pStyle w:val="2"/>
        <w:spacing w:before="0" w:after="0" w:line="360" w:lineRule="exact"/>
        <w:rPr>
          <w:rFonts w:ascii="宋体" w:hAnsi="宋体" w:eastAsia="宋体" w:cs="宋体"/>
          <w:b w:val="0"/>
          <w:sz w:val="21"/>
          <w:szCs w:val="21"/>
        </w:rPr>
      </w:pPr>
      <w:bookmarkStart w:id="54" w:name="_Toc351203633"/>
      <w:r>
        <w:rPr>
          <w:rFonts w:hint="eastAsia" w:ascii="宋体" w:hAnsi="宋体" w:eastAsia="宋体" w:cs="宋体"/>
          <w:b w:val="0"/>
          <w:sz w:val="21"/>
          <w:szCs w:val="21"/>
        </w:rPr>
        <w:t>1</w:t>
      </w:r>
      <w:bookmarkStart w:id="55" w:name="_Toc296944495"/>
      <w:bookmarkStart w:id="56" w:name="_Toc296503156"/>
      <w:bookmarkStart w:id="57" w:name="_Toc296347155"/>
      <w:bookmarkStart w:id="58" w:name="_Toc297120456"/>
      <w:bookmarkStart w:id="59" w:name="_Toc297048342"/>
      <w:bookmarkStart w:id="60" w:name="_Toc292559866"/>
      <w:bookmarkStart w:id="61" w:name="_Toc296890984"/>
      <w:bookmarkStart w:id="62" w:name="_Toc296346657"/>
      <w:bookmarkStart w:id="63" w:name="_Toc296891196"/>
      <w:bookmarkStart w:id="64" w:name="_Toc292559361"/>
      <w:r>
        <w:rPr>
          <w:rFonts w:hint="eastAsia" w:ascii="宋体" w:hAnsi="宋体" w:eastAsia="宋体" w:cs="宋体"/>
          <w:b w:val="0"/>
          <w:sz w:val="21"/>
          <w:szCs w:val="21"/>
        </w:rPr>
        <w:t>. 一般约定</w:t>
      </w:r>
      <w:bookmarkEnd w:id="54"/>
    </w:p>
    <w:bookmarkEnd w:id="55"/>
    <w:bookmarkEnd w:id="56"/>
    <w:bookmarkEnd w:id="57"/>
    <w:bookmarkEnd w:id="58"/>
    <w:bookmarkEnd w:id="59"/>
    <w:bookmarkEnd w:id="60"/>
    <w:bookmarkEnd w:id="61"/>
    <w:bookmarkEnd w:id="62"/>
    <w:bookmarkEnd w:id="63"/>
    <w:bookmarkEnd w:id="64"/>
    <w:p>
      <w:pPr>
        <w:spacing w:line="360" w:lineRule="exact"/>
        <w:ind w:firstLine="420" w:firstLineChars="200"/>
        <w:rPr>
          <w:rFonts w:ascii="宋体" w:hAnsi="宋体" w:cs="宋体"/>
          <w:szCs w:val="21"/>
        </w:rPr>
      </w:pPr>
      <w:r>
        <w:rPr>
          <w:rFonts w:hint="eastAsia" w:ascii="宋体" w:hAnsi="宋体" w:cs="宋体"/>
          <w:szCs w:val="21"/>
        </w:rPr>
        <w:t>1.1 词语定义</w:t>
      </w:r>
    </w:p>
    <w:p>
      <w:pPr>
        <w:spacing w:line="360" w:lineRule="exact"/>
        <w:ind w:firstLine="420" w:firstLineChars="200"/>
        <w:rPr>
          <w:rFonts w:ascii="宋体" w:hAnsi="宋体" w:cs="宋体"/>
          <w:kern w:val="0"/>
          <w:szCs w:val="21"/>
        </w:rPr>
      </w:pPr>
      <w:r>
        <w:rPr>
          <w:rFonts w:hint="eastAsia" w:ascii="宋体" w:hAnsi="宋体" w:cs="宋体"/>
          <w:kern w:val="0"/>
          <w:szCs w:val="21"/>
        </w:rPr>
        <w:t>1.1.1合同</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1.1.1.10其他合同文件包括：</w:t>
      </w:r>
      <w:r>
        <w:rPr>
          <w:rFonts w:hint="eastAsia" w:ascii="宋体" w:hAnsi="宋体" w:cs="宋体"/>
          <w:kern w:val="0"/>
          <w:szCs w:val="21"/>
          <w:u w:val="single"/>
        </w:rPr>
        <w:t>工程磋商文件、除投标函及其附录和已标价工程量清单或预算书外的其它磋商响应文件。</w:t>
      </w:r>
    </w:p>
    <w:p>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pPr>
        <w:spacing w:line="360" w:lineRule="exact"/>
        <w:ind w:firstLine="420" w:firstLineChars="200"/>
        <w:rPr>
          <w:rFonts w:ascii="宋体" w:hAnsi="宋体" w:cs="宋体"/>
          <w:szCs w:val="21"/>
        </w:rPr>
      </w:pPr>
      <w:r>
        <w:rPr>
          <w:rFonts w:hint="eastAsia" w:ascii="宋体" w:hAnsi="宋体" w:cs="宋体"/>
          <w:szCs w:val="21"/>
        </w:rPr>
        <w:t>1.1.2.4监理人：</w:t>
      </w:r>
    </w:p>
    <w:p>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1.1.2.5 设计人：</w:t>
      </w:r>
    </w:p>
    <w:p>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1.1.3 工程和设备</w:t>
      </w:r>
    </w:p>
    <w:p>
      <w:pPr>
        <w:spacing w:line="360" w:lineRule="exact"/>
        <w:ind w:firstLine="420" w:firstLineChars="200"/>
        <w:rPr>
          <w:rFonts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            </w:t>
      </w:r>
    </w:p>
    <w:p>
      <w:pPr>
        <w:spacing w:line="360" w:lineRule="exact"/>
        <w:ind w:firstLine="420" w:firstLineChars="200"/>
        <w:rPr>
          <w:rFonts w:ascii="宋体" w:hAnsi="宋体" w:cs="宋体"/>
          <w:szCs w:val="21"/>
          <w:u w:val="single"/>
        </w:rPr>
      </w:pPr>
      <w:r>
        <w:rPr>
          <w:rFonts w:hint="eastAsia" w:ascii="宋体" w:hAnsi="宋体" w:cs="宋体"/>
          <w:szCs w:val="21"/>
        </w:rPr>
        <w:t>1.1.3.10 临时占地包括：</w:t>
      </w:r>
      <w:r>
        <w:rPr>
          <w:rFonts w:hint="eastAsia" w:ascii="宋体" w:hAnsi="宋体" w:cs="宋体"/>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1.3法律</w:t>
      </w:r>
    </w:p>
    <w:p>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按照《浙江省房屋建筑与装饰工程预算定额》（2018版）、《浙江省通用安装工程预算定额》（2018版）、《浙江省建设工程计价规则》（2018版）、《浙江省建设工程施工费用定额》（2018版）、《浙江省施工机械台班费用定额》（2018版）、浙建建发〔2019〕92号关于增值税调整以及其它工程造价补充规定和技术规范、浙建建发〔2019〕92号关于增值税调整以及其它工程造价补充规定和技术规范及其他相关补充定额、解释、文件等规定原则进行计量和计价。以上规定的工程量计算规则中没有的子目，其工程量按照有合同约束力的图纸所标示尺寸的理论净量计算。计量采用中华人民共和国法定的基本计量单位</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1.4 标准和规范</w:t>
      </w:r>
    </w:p>
    <w:p>
      <w:pPr>
        <w:spacing w:line="360" w:lineRule="exact"/>
        <w:ind w:firstLine="42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按现行的国家、省、市施工验收规范、质量评定标准及有关规定。合同工期内的标准、规范，磋商文件中的技术要求等</w:t>
      </w:r>
      <w:r>
        <w:rPr>
          <w:rFonts w:hint="eastAsia" w:ascii="宋体" w:hAnsi="宋体" w:cs="宋体"/>
          <w:szCs w:val="21"/>
        </w:rPr>
        <w:t>。</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 合同文件的优先顺序</w:t>
      </w:r>
    </w:p>
    <w:p>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p>
    <w:p>
      <w:pPr>
        <w:spacing w:line="360" w:lineRule="exact"/>
        <w:ind w:firstLine="420" w:firstLineChars="200"/>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pPr>
        <w:spacing w:line="360" w:lineRule="exact"/>
        <w:ind w:firstLine="420" w:firstLineChars="200"/>
        <w:rPr>
          <w:rFonts w:ascii="宋体" w:hAnsi="宋体" w:cs="宋体"/>
          <w:szCs w:val="21"/>
        </w:rPr>
      </w:pPr>
      <w:r>
        <w:rPr>
          <w:rFonts w:hint="eastAsia" w:ascii="宋体" w:hAnsi="宋体" w:cs="宋体"/>
          <w:szCs w:val="21"/>
        </w:rPr>
        <w:t>1.6.1 图纸的提供</w:t>
      </w:r>
    </w:p>
    <w:p>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开工日期14天前</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纸质施工图3套并附目录清单及与其一致的电子版施工图。</w:t>
      </w:r>
    </w:p>
    <w:p>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1.6.4 承包人文件</w:t>
      </w:r>
    </w:p>
    <w:p>
      <w:pPr>
        <w:spacing w:line="36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施工组织设计、专项施工方案(含危大工程,下同)、工程总进度计划、工程月进度计划表等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p>
    <w:p>
      <w:pPr>
        <w:spacing w:line="36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纸质及电子版本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收到相应文件后7天内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1.6.5 现场图纸准备</w:t>
      </w:r>
    </w:p>
    <w:p>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1.7 联络</w:t>
      </w:r>
    </w:p>
    <w:p>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（2人以上及联系电话）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1.10 交通运输</w:t>
      </w:r>
    </w:p>
    <w:p>
      <w:pPr>
        <w:spacing w:line="360" w:lineRule="exact"/>
        <w:ind w:firstLine="420" w:firstLineChars="200"/>
        <w:rPr>
          <w:rFonts w:ascii="宋体" w:hAnsi="宋体" w:cs="宋体"/>
          <w:szCs w:val="21"/>
        </w:rPr>
      </w:pPr>
      <w:r>
        <w:rPr>
          <w:rFonts w:hint="eastAsia" w:ascii="宋体" w:hAnsi="宋体" w:cs="宋体"/>
          <w:szCs w:val="21"/>
        </w:rPr>
        <w:t>1</w:t>
      </w:r>
      <w:bookmarkStart w:id="65" w:name="_Toc303539100"/>
      <w:bookmarkStart w:id="66" w:name="_Toc318581155"/>
      <w:bookmarkStart w:id="67" w:name="_Toc300934943"/>
      <w:bookmarkStart w:id="68" w:name="_Toc304295521"/>
      <w:bookmarkStart w:id="69" w:name="_Toc312677986"/>
      <w:r>
        <w:rPr>
          <w:rFonts w:hint="eastAsia" w:ascii="宋体" w:hAnsi="宋体" w:cs="宋体"/>
          <w:szCs w:val="21"/>
        </w:rPr>
        <w:t>.10.1 出入现场的权利</w:t>
      </w:r>
    </w:p>
    <w:p>
      <w:pPr>
        <w:spacing w:line="360" w:lineRule="exact"/>
        <w:ind w:firstLine="420" w:firstLineChars="200"/>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按合同通用条款，可视工程实际双方再补充约定</w:t>
      </w:r>
      <w:r>
        <w:rPr>
          <w:rFonts w:hint="eastAsia" w:ascii="宋体" w:hAnsi="宋体" w:cs="宋体"/>
          <w:szCs w:val="21"/>
        </w:rPr>
        <w:t>。</w:t>
      </w:r>
    </w:p>
    <w:bookmarkEnd w:id="65"/>
    <w:bookmarkEnd w:id="66"/>
    <w:bookmarkEnd w:id="67"/>
    <w:bookmarkEnd w:id="68"/>
    <w:bookmarkEnd w:id="69"/>
    <w:p>
      <w:pPr>
        <w:spacing w:line="360" w:lineRule="exact"/>
        <w:ind w:firstLine="420" w:firstLineChars="200"/>
        <w:rPr>
          <w:rFonts w:ascii="宋体" w:hAnsi="宋体" w:cs="宋体"/>
          <w:szCs w:val="21"/>
        </w:rPr>
      </w:pPr>
      <w:r>
        <w:rPr>
          <w:rFonts w:hint="eastAsia" w:ascii="宋体" w:hAnsi="宋体" w:cs="宋体"/>
          <w:szCs w:val="21"/>
        </w:rPr>
        <w:t>1</w:t>
      </w:r>
      <w:bookmarkStart w:id="70" w:name="_Toc300934944"/>
      <w:bookmarkStart w:id="71" w:name="_Toc318581156"/>
      <w:bookmarkStart w:id="72" w:name="_Toc303539101"/>
      <w:bookmarkStart w:id="73" w:name="_Toc312677987"/>
      <w:bookmarkStart w:id="74" w:name="_Toc304295522"/>
      <w:r>
        <w:rPr>
          <w:rFonts w:hint="eastAsia" w:ascii="宋体" w:hAnsi="宋体" w:cs="宋体"/>
          <w:szCs w:val="21"/>
        </w:rPr>
        <w:t>.10.3 场内交通</w:t>
      </w:r>
    </w:p>
    <w:p>
      <w:pPr>
        <w:spacing w:line="360" w:lineRule="exact"/>
        <w:ind w:firstLine="420" w:firstLineChars="200"/>
        <w:rPr>
          <w:rFonts w:ascii="宋体" w:hAnsi="宋体" w:cs="宋体"/>
          <w:szCs w:val="21"/>
        </w:rPr>
      </w:pPr>
      <w:r>
        <w:rPr>
          <w:rFonts w:hint="eastAsia" w:ascii="宋体" w:hAnsi="宋体" w:cs="宋体"/>
          <w:kern w:val="0"/>
          <w:szCs w:val="21"/>
        </w:rPr>
        <w:t>关于场外交通和场内交通的边界的约定：</w:t>
      </w:r>
      <w:r>
        <w:rPr>
          <w:rFonts w:hint="eastAsia" w:ascii="宋体" w:hAnsi="宋体" w:cs="宋体"/>
          <w:i/>
          <w:kern w:val="0"/>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hAnsi="宋体" w:cs="宋体"/>
          <w:kern w:val="0"/>
          <w:szCs w:val="21"/>
          <w:u w:val="single"/>
        </w:rPr>
        <w:t>发包人提供的场内交通条件为现状，承包人自行组织现场踏勘</w:t>
      </w:r>
      <w:r>
        <w:rPr>
          <w:rFonts w:hint="eastAsia" w:ascii="宋体" w:hAnsi="宋体" w:cs="宋体"/>
          <w:szCs w:val="21"/>
        </w:rPr>
        <w:t>。</w:t>
      </w:r>
      <w:bookmarkEnd w:id="70"/>
      <w:bookmarkEnd w:id="71"/>
      <w:bookmarkEnd w:id="72"/>
      <w:bookmarkEnd w:id="73"/>
      <w:bookmarkEnd w:id="74"/>
      <w:bookmarkStart w:id="75" w:name="_Toc318581157"/>
    </w:p>
    <w:p>
      <w:pPr>
        <w:spacing w:line="360" w:lineRule="exact"/>
        <w:ind w:firstLine="420" w:firstLineChars="200"/>
        <w:rPr>
          <w:rFonts w:ascii="宋体" w:hAnsi="宋体" w:cs="宋体"/>
          <w:szCs w:val="21"/>
        </w:rPr>
      </w:pPr>
      <w:r>
        <w:rPr>
          <w:rFonts w:hint="eastAsia" w:ascii="宋体" w:hAnsi="宋体" w:cs="宋体"/>
          <w:szCs w:val="21"/>
        </w:rPr>
        <w:t>1.10.4超大件和超重件的运输</w:t>
      </w:r>
    </w:p>
    <w:p>
      <w:pPr>
        <w:spacing w:line="360" w:lineRule="exact"/>
        <w:ind w:firstLine="420" w:firstLineChars="200"/>
        <w:rPr>
          <w:rFonts w:ascii="宋体" w:hAnsi="宋体" w:cs="宋体"/>
          <w:szCs w:val="21"/>
        </w:rPr>
      </w:pPr>
      <w:r>
        <w:rPr>
          <w:rFonts w:hint="eastAsia" w:ascii="宋体" w:hAnsi="宋体" w:cs="宋体"/>
          <w:szCs w:val="21"/>
        </w:rPr>
        <w:t>运输超大件或超重件所需的道路和桥梁临时加固改造费用和其他有关费用</w:t>
      </w:r>
      <w:r>
        <w:rPr>
          <w:rFonts w:hint="eastAsia" w:ascii="宋体" w:hAnsi="宋体" w:cs="宋体"/>
          <w:szCs w:val="21"/>
          <w:u w:val="single"/>
        </w:rPr>
        <w:t>由承包人在报价中综合考虑并承担相关费用。</w:t>
      </w:r>
    </w:p>
    <w:bookmarkEnd w:id="75"/>
    <w:p>
      <w:pPr>
        <w:spacing w:line="360" w:lineRule="exact"/>
        <w:ind w:firstLine="420" w:firstLineChars="200"/>
        <w:rPr>
          <w:rFonts w:ascii="宋体" w:hAnsi="宋体" w:cs="宋体"/>
          <w:szCs w:val="21"/>
        </w:rPr>
      </w:pPr>
      <w:r>
        <w:rPr>
          <w:rFonts w:hint="eastAsia" w:ascii="宋体" w:hAnsi="宋体" w:cs="宋体"/>
          <w:szCs w:val="21"/>
        </w:rPr>
        <w:t>1.11 知识产权</w:t>
      </w:r>
    </w:p>
    <w:p>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pPr>
        <w:spacing w:line="360" w:lineRule="exact"/>
        <w:ind w:firstLine="420" w:firstLineChars="200"/>
        <w:rPr>
          <w:rFonts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包含在签约合同价内</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1.13工程量清单错误的修正</w:t>
      </w:r>
    </w:p>
    <w:p>
      <w:pPr>
        <w:spacing w:line="360" w:lineRule="exact"/>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 xml:space="preserve">   / 。</w:t>
      </w:r>
    </w:p>
    <w:p>
      <w:pPr>
        <w:pStyle w:val="2"/>
        <w:spacing w:before="0" w:after="0" w:line="360" w:lineRule="exact"/>
        <w:rPr>
          <w:rFonts w:ascii="宋体" w:hAnsi="宋体" w:eastAsia="宋体" w:cs="宋体"/>
          <w:b w:val="0"/>
          <w:sz w:val="21"/>
          <w:szCs w:val="21"/>
        </w:rPr>
      </w:pPr>
      <w:bookmarkStart w:id="76" w:name="_Toc351203634"/>
      <w:r>
        <w:rPr>
          <w:rFonts w:hint="eastAsia" w:ascii="宋体" w:hAnsi="宋体" w:eastAsia="宋体" w:cs="宋体"/>
          <w:b w:val="0"/>
          <w:sz w:val="21"/>
          <w:szCs w:val="21"/>
        </w:rPr>
        <w:t>2</w:t>
      </w:r>
      <w:bookmarkStart w:id="77" w:name="_Toc296890985"/>
      <w:bookmarkStart w:id="78" w:name="_Toc296347156"/>
      <w:bookmarkStart w:id="79" w:name="_Toc297048343"/>
      <w:bookmarkStart w:id="80" w:name="_Toc296944496"/>
      <w:bookmarkStart w:id="81" w:name="_Toc297120457"/>
      <w:bookmarkStart w:id="82" w:name="_Toc296503157"/>
      <w:bookmarkStart w:id="83" w:name="_Toc292559362"/>
      <w:bookmarkStart w:id="84" w:name="_Toc296346658"/>
      <w:bookmarkStart w:id="85" w:name="_Toc292559867"/>
      <w:bookmarkStart w:id="86" w:name="_Toc296891197"/>
      <w:r>
        <w:rPr>
          <w:rFonts w:hint="eastAsia" w:ascii="宋体" w:hAnsi="宋体" w:eastAsia="宋体" w:cs="宋体"/>
          <w:b w:val="0"/>
          <w:sz w:val="21"/>
          <w:szCs w:val="21"/>
        </w:rPr>
        <w:t>. 发包人</w:t>
      </w:r>
      <w:bookmarkEnd w:id="76"/>
    </w:p>
    <w:bookmarkEnd w:id="77"/>
    <w:bookmarkEnd w:id="78"/>
    <w:bookmarkEnd w:id="79"/>
    <w:bookmarkEnd w:id="80"/>
    <w:bookmarkEnd w:id="81"/>
    <w:bookmarkEnd w:id="82"/>
    <w:bookmarkEnd w:id="83"/>
    <w:bookmarkEnd w:id="84"/>
    <w:bookmarkEnd w:id="85"/>
    <w:bookmarkEnd w:id="86"/>
    <w:p>
      <w:pPr>
        <w:spacing w:line="360" w:lineRule="exact"/>
        <w:ind w:firstLine="420" w:firstLineChars="200"/>
        <w:rPr>
          <w:rFonts w:ascii="宋体" w:hAnsi="宋体" w:cs="宋体"/>
          <w:szCs w:val="21"/>
        </w:rPr>
      </w:pPr>
      <w:r>
        <w:rPr>
          <w:rFonts w:hint="eastAsia" w:ascii="宋体" w:hAnsi="宋体" w:cs="宋体"/>
          <w:szCs w:val="21"/>
        </w:rPr>
        <w:t>2.2 发包人代表</w:t>
      </w:r>
    </w:p>
    <w:p>
      <w:pPr>
        <w:spacing w:line="360" w:lineRule="exact"/>
        <w:ind w:firstLine="420" w:firstLineChars="200"/>
        <w:rPr>
          <w:rFonts w:ascii="宋体" w:hAnsi="宋体" w:cs="宋体"/>
          <w:szCs w:val="21"/>
        </w:rPr>
      </w:pPr>
      <w:r>
        <w:rPr>
          <w:rFonts w:hint="eastAsia" w:ascii="宋体" w:hAnsi="宋体" w:cs="宋体"/>
          <w:szCs w:val="21"/>
        </w:rPr>
        <w:t>发包人代表：</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exact"/>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pPr>
        <w:spacing w:line="360" w:lineRule="exact"/>
        <w:ind w:firstLine="420" w:firstLineChars="200"/>
        <w:rPr>
          <w:rFonts w:ascii="宋体" w:hAnsi="宋体" w:cs="宋体"/>
          <w:szCs w:val="21"/>
        </w:rPr>
      </w:pPr>
      <w:r>
        <w:rPr>
          <w:rFonts w:hint="eastAsia" w:ascii="宋体" w:hAnsi="宋体" w:cs="宋体"/>
          <w:szCs w:val="21"/>
        </w:rPr>
        <w:t>2.4.1 提供施工现场</w:t>
      </w:r>
    </w:p>
    <w:p>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开工日期14天前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2.4.2 提供施工条件</w:t>
      </w:r>
    </w:p>
    <w:p>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w:t>
      </w:r>
      <w:r>
        <w:rPr>
          <w:rFonts w:hint="eastAsia" w:ascii="宋体" w:hAnsi="宋体" w:cs="宋体"/>
          <w:szCs w:val="21"/>
        </w:rPr>
        <w:t>。</w:t>
      </w:r>
    </w:p>
    <w:p>
      <w:pPr>
        <w:pStyle w:val="2"/>
        <w:spacing w:before="0" w:after="0" w:line="360" w:lineRule="exact"/>
        <w:rPr>
          <w:rFonts w:ascii="宋体" w:hAnsi="宋体" w:eastAsia="宋体" w:cs="宋体"/>
          <w:b w:val="0"/>
          <w:sz w:val="21"/>
          <w:szCs w:val="21"/>
        </w:rPr>
      </w:pPr>
      <w:bookmarkStart w:id="87" w:name="_Toc351203635"/>
      <w:r>
        <w:rPr>
          <w:rFonts w:hint="eastAsia" w:ascii="宋体" w:hAnsi="宋体" w:eastAsia="宋体" w:cs="宋体"/>
          <w:b w:val="0"/>
          <w:sz w:val="21"/>
          <w:szCs w:val="21"/>
        </w:rPr>
        <w:t>3</w:t>
      </w:r>
      <w:bookmarkStart w:id="88" w:name="_Toc292559868"/>
      <w:bookmarkStart w:id="89" w:name="_Toc296346659"/>
      <w:bookmarkStart w:id="90" w:name="_Toc292559363"/>
      <w:bookmarkStart w:id="91" w:name="_Toc296944497"/>
      <w:bookmarkStart w:id="92" w:name="_Toc296890986"/>
      <w:bookmarkStart w:id="93" w:name="_Toc296891198"/>
      <w:bookmarkStart w:id="94" w:name="_Toc297120458"/>
      <w:bookmarkStart w:id="95" w:name="_Toc296347157"/>
      <w:bookmarkStart w:id="96" w:name="_Toc296503158"/>
      <w:bookmarkStart w:id="97" w:name="_Toc297048344"/>
      <w:r>
        <w:rPr>
          <w:rFonts w:hint="eastAsia" w:ascii="宋体" w:hAnsi="宋体" w:eastAsia="宋体" w:cs="宋体"/>
          <w:b w:val="0"/>
          <w:sz w:val="21"/>
          <w:szCs w:val="21"/>
        </w:rPr>
        <w:t>. 承包人</w:t>
      </w:r>
      <w:bookmarkEnd w:id="87"/>
    </w:p>
    <w:bookmarkEnd w:id="88"/>
    <w:bookmarkEnd w:id="89"/>
    <w:bookmarkEnd w:id="90"/>
    <w:bookmarkEnd w:id="91"/>
    <w:bookmarkEnd w:id="92"/>
    <w:bookmarkEnd w:id="93"/>
    <w:bookmarkEnd w:id="94"/>
    <w:bookmarkEnd w:id="95"/>
    <w:bookmarkEnd w:id="96"/>
    <w:bookmarkEnd w:id="97"/>
    <w:p>
      <w:pPr>
        <w:spacing w:line="360" w:lineRule="exact"/>
        <w:ind w:firstLine="420" w:firstLineChars="200"/>
        <w:rPr>
          <w:rFonts w:ascii="宋体" w:hAnsi="宋体" w:cs="宋体"/>
          <w:szCs w:val="21"/>
        </w:rPr>
      </w:pPr>
      <w:r>
        <w:rPr>
          <w:rFonts w:hint="eastAsia" w:ascii="宋体" w:hAnsi="宋体" w:cs="宋体"/>
          <w:szCs w:val="21"/>
        </w:rPr>
        <w:t>3.1 承包人的一般义务</w:t>
      </w:r>
    </w:p>
    <w:p>
      <w:pPr>
        <w:spacing w:line="360" w:lineRule="exact"/>
        <w:ind w:firstLine="420" w:firstLineChars="200"/>
        <w:rPr>
          <w:rFonts w:ascii="宋体" w:hAnsi="宋体" w:cs="宋体"/>
          <w:szCs w:val="21"/>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szCs w:val="21"/>
          <w:u w:val="single"/>
        </w:rPr>
        <w:t>向发包人提交按规范规定应由承包人编制部分的竣工资料并符合建设工程资料存档要求</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kern w:val="0"/>
          <w:szCs w:val="21"/>
        </w:rPr>
        <w:t>（10）承包人应履行的其他义务：</w:t>
      </w:r>
    </w:p>
    <w:p>
      <w:pPr>
        <w:spacing w:line="360" w:lineRule="exact"/>
        <w:ind w:firstLine="525" w:firstLineChars="25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pPr>
        <w:spacing w:line="360" w:lineRule="exact"/>
        <w:ind w:firstLine="525" w:firstLineChars="25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525" w:firstLineChars="250"/>
        <w:rPr>
          <w:rFonts w:ascii="宋体" w:hAnsi="宋体" w:cs="宋体"/>
          <w:szCs w:val="21"/>
          <w:u w:val="single"/>
        </w:rPr>
      </w:pPr>
      <w:r>
        <w:rPr>
          <w:rFonts w:hint="eastAsia" w:ascii="宋体" w:hAnsi="宋体" w:cs="宋体"/>
          <w:szCs w:val="21"/>
          <w:u w:val="single"/>
        </w:rPr>
        <w:t>c.本项目施工安全由承包人负总责。</w:t>
      </w:r>
    </w:p>
    <w:p>
      <w:pPr>
        <w:spacing w:line="360" w:lineRule="exact"/>
        <w:ind w:firstLine="531" w:firstLineChars="253"/>
        <w:rPr>
          <w:rFonts w:ascii="宋体" w:hAnsi="宋体" w:cs="宋体"/>
          <w:kern w:val="0"/>
          <w:szCs w:val="21"/>
          <w:u w:val="single"/>
        </w:rPr>
      </w:pPr>
      <w:r>
        <w:rPr>
          <w:rFonts w:hint="eastAsia" w:ascii="宋体" w:hAnsi="宋体" w:cs="宋体"/>
          <w:szCs w:val="21"/>
          <w:u w:val="single"/>
        </w:rPr>
        <w:t>d.按当地有关部门要求，</w:t>
      </w:r>
      <w:r>
        <w:rPr>
          <w:rFonts w:hint="eastAsia" w:ascii="宋体" w:hAnsi="宋体" w:cs="宋体"/>
          <w:kern w:val="0"/>
          <w:szCs w:val="21"/>
          <w:u w:val="single"/>
        </w:rPr>
        <w:t>由承包人办理的有关施工场地交通、环卫和施工噪音管理等手续。</w:t>
      </w:r>
    </w:p>
    <w:p>
      <w:pPr>
        <w:spacing w:line="360" w:lineRule="exact"/>
        <w:ind w:firstLine="531" w:firstLineChars="253"/>
        <w:rPr>
          <w:rFonts w:ascii="宋体" w:hAnsi="宋体" w:cs="宋体"/>
          <w:kern w:val="0"/>
          <w:szCs w:val="21"/>
          <w:u w:val="single"/>
        </w:rPr>
      </w:pPr>
      <w:r>
        <w:rPr>
          <w:rFonts w:hint="eastAsia" w:ascii="宋体" w:hAnsi="宋体" w:cs="宋体"/>
          <w:kern w:val="0"/>
          <w:szCs w:val="21"/>
        </w:rPr>
        <w:t>（11）承包人诚实信用的承诺：</w:t>
      </w:r>
      <w:r>
        <w:rPr>
          <w:rFonts w:hint="eastAsia" w:ascii="宋体" w:hAnsi="宋体" w:cs="宋体"/>
          <w:kern w:val="0"/>
          <w:szCs w:val="21"/>
          <w:u w:val="single"/>
        </w:rPr>
        <w:t xml:space="preserve">                                       。</w:t>
      </w:r>
    </w:p>
    <w:p>
      <w:pPr>
        <w:spacing w:line="360" w:lineRule="exact"/>
        <w:ind w:firstLine="531" w:firstLineChars="253"/>
        <w:rPr>
          <w:rFonts w:ascii="宋体" w:hAnsi="宋体" w:cs="宋体"/>
          <w:szCs w:val="21"/>
          <w:u w:val="single"/>
        </w:rPr>
      </w:pPr>
      <w:r>
        <w:rPr>
          <w:rFonts w:hint="eastAsia" w:ascii="宋体" w:hAnsi="宋体" w:cs="宋体"/>
          <w:kern w:val="0"/>
          <w:szCs w:val="21"/>
        </w:rPr>
        <w:t>（12）承包人使用新技术、工法、工艺的承诺</w:t>
      </w:r>
      <w:r>
        <w:rPr>
          <w:rFonts w:hint="eastAsia" w:ascii="宋体" w:hAnsi="宋体" w:cs="宋体"/>
          <w:kern w:val="0"/>
          <w:szCs w:val="21"/>
          <w:u w:val="single"/>
        </w:rPr>
        <w:t>：                                 。</w:t>
      </w:r>
    </w:p>
    <w:p>
      <w:pPr>
        <w:spacing w:line="360" w:lineRule="exact"/>
        <w:ind w:firstLine="420" w:firstLineChars="200"/>
        <w:rPr>
          <w:rFonts w:ascii="宋体" w:hAnsi="宋体" w:cs="宋体"/>
          <w:szCs w:val="21"/>
        </w:rPr>
      </w:pPr>
      <w:r>
        <w:rPr>
          <w:rFonts w:hint="eastAsia" w:ascii="宋体" w:hAnsi="宋体" w:cs="宋体"/>
          <w:szCs w:val="21"/>
        </w:rPr>
        <w:t>3.2 项目经理</w:t>
      </w:r>
    </w:p>
    <w:p>
      <w:pPr>
        <w:spacing w:line="36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 xml:space="preserve">承包人对项目经理的授权范围如下：  </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 xml:space="preserve">  </w:t>
      </w:r>
      <w:r>
        <w:rPr>
          <w:rFonts w:hint="eastAsia" w:ascii="宋体" w:hAnsi="宋体" w:cs="宋体"/>
          <w:szCs w:val="21"/>
          <w:u w:val="single"/>
        </w:rPr>
        <w:t>月到岗率须达到24天</w:t>
      </w:r>
      <w:r>
        <w:rPr>
          <w:rFonts w:hint="eastAsia" w:ascii="宋体" w:hAnsi="宋体" w:cs="宋体"/>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发包人有权要求更换项目经理，由此增加的费用和（或）延误的工期由承包人承担，并承担违约责任</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kern w:val="0"/>
          <w:szCs w:val="21"/>
        </w:rPr>
        <w:t>项目经理未经批准，擅自离开施工现场的违约责任：</w:t>
      </w:r>
      <w:r>
        <w:rPr>
          <w:rFonts w:hint="eastAsia" w:ascii="宋体" w:hAnsi="宋体" w:cs="宋体"/>
          <w:szCs w:val="21"/>
          <w:u w:val="single"/>
        </w:rPr>
        <w:t>月到岗须达到24天，不足天数，每天扣除履约担保金额的0.1%，每月结算，在当期工程款支付时扣除；连续两个月达不到要求且项目经理不能到岗的，一次性扣除履约担保金的15%（含已扣除的履约担保金），且发包人有权要求承包人更换项目经理，同时由承包人赔偿发包人由此造成的损失。另遇有工程检查、验收或参观等活动时，无特殊原因不得</w:t>
      </w:r>
      <w:r>
        <w:rPr>
          <w:rFonts w:hint="eastAsia" w:ascii="宋体" w:hAnsi="宋体" w:cs="宋体"/>
          <w:kern w:val="0"/>
          <w:szCs w:val="21"/>
          <w:u w:val="single"/>
        </w:rPr>
        <w:t>离开施工现场。</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60" w:lineRule="exact"/>
        <w:ind w:firstLine="420" w:firstLineChars="200"/>
        <w:rPr>
          <w:rFonts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发包人可通知承包人全部解除合同，所有履约担保金归发包人，同时赔偿发包人损失。</w:t>
      </w:r>
    </w:p>
    <w:p>
      <w:pPr>
        <w:spacing w:line="360" w:lineRule="exact"/>
        <w:ind w:firstLine="420" w:firstLineChars="200"/>
        <w:rPr>
          <w:rFonts w:ascii="宋体" w:hAnsi="宋体" w:cs="宋体"/>
          <w:szCs w:val="21"/>
        </w:rPr>
      </w:pPr>
      <w:r>
        <w:rPr>
          <w:rFonts w:hint="eastAsia" w:ascii="宋体" w:hAnsi="宋体" w:cs="宋体"/>
          <w:szCs w:val="21"/>
        </w:rPr>
        <w:t>3.3 承包人人员</w:t>
      </w:r>
    </w:p>
    <w:p>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发包人可通知承包人全部解除合同，所有履约担保金归发包人，同时赔偿发包人损失。</w:t>
      </w:r>
    </w:p>
    <w:p>
      <w:pPr>
        <w:spacing w:line="360" w:lineRule="exact"/>
        <w:ind w:firstLine="357" w:firstLineChars="17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pPr>
        <w:spacing w:line="360" w:lineRule="exact"/>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关键岗位人员到岗达不到24天的，不足天数每人次每天扣除履约担保金额的0.05%，每月结算，在当期工程款支付时扣除。某关键岗位人员连续两个月到岗率达不到要求且不能到岗的，一次性扣除履约担保金的8%（含已扣除的履约担保金），且发包人有权要求承包人更换该关键岗位人员。</w:t>
      </w:r>
    </w:p>
    <w:p>
      <w:pPr>
        <w:spacing w:line="360" w:lineRule="exact"/>
        <w:ind w:firstLine="420" w:firstLineChars="200"/>
        <w:rPr>
          <w:rFonts w:ascii="宋体" w:hAnsi="宋体" w:cs="宋体"/>
          <w:szCs w:val="21"/>
        </w:rPr>
      </w:pPr>
      <w:r>
        <w:rPr>
          <w:rFonts w:hint="eastAsia" w:ascii="宋体" w:hAnsi="宋体" w:cs="宋体"/>
          <w:szCs w:val="21"/>
        </w:rPr>
        <w:t>3</w:t>
      </w:r>
      <w:bookmarkStart w:id="98" w:name="_Toc297120459"/>
      <w:bookmarkStart w:id="99" w:name="_Toc312677988"/>
      <w:bookmarkStart w:id="100" w:name="_Toc297216151"/>
      <w:bookmarkStart w:id="101" w:name="_Toc296890987"/>
      <w:bookmarkStart w:id="102" w:name="_Toc296891199"/>
      <w:bookmarkStart w:id="103" w:name="_Toc303539102"/>
      <w:bookmarkStart w:id="104" w:name="_Toc296347158"/>
      <w:bookmarkStart w:id="105" w:name="_Toc304295523"/>
      <w:bookmarkStart w:id="106" w:name="_Toc292559869"/>
      <w:bookmarkStart w:id="107" w:name="_Toc296503159"/>
      <w:bookmarkStart w:id="108" w:name="_Toc296346660"/>
      <w:bookmarkStart w:id="109" w:name="_Toc296944498"/>
      <w:bookmarkStart w:id="110" w:name="_Toc300934945"/>
      <w:bookmarkStart w:id="111" w:name="_Toc297123492"/>
      <w:bookmarkStart w:id="112" w:name="_Toc297048345"/>
      <w:bookmarkStart w:id="113" w:name="_Toc292559364"/>
      <w:r>
        <w:rPr>
          <w:rFonts w:hint="eastAsia" w:ascii="宋体" w:hAnsi="宋体" w:cs="宋体"/>
          <w:szCs w:val="21"/>
        </w:rPr>
        <w:t>.5 分包</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spacing w:line="360" w:lineRule="exact"/>
        <w:ind w:firstLine="420" w:firstLineChars="200"/>
        <w:rPr>
          <w:rFonts w:ascii="宋体" w:hAnsi="宋体" w:cs="宋体"/>
          <w:szCs w:val="21"/>
        </w:rPr>
      </w:pPr>
      <w:r>
        <w:rPr>
          <w:rFonts w:hint="eastAsia" w:ascii="宋体" w:hAnsi="宋体" w:cs="宋体"/>
          <w:szCs w:val="21"/>
        </w:rPr>
        <w:t>3</w:t>
      </w:r>
      <w:bookmarkStart w:id="114" w:name="_Toc296346661"/>
      <w:bookmarkStart w:id="115" w:name="_Toc297216152"/>
      <w:bookmarkStart w:id="116" w:name="_Toc297120460"/>
      <w:bookmarkStart w:id="117" w:name="_Toc296891200"/>
      <w:bookmarkStart w:id="118" w:name="_Toc304295524"/>
      <w:bookmarkStart w:id="119" w:name="_Toc297123493"/>
      <w:bookmarkStart w:id="120" w:name="_Toc296890988"/>
      <w:bookmarkStart w:id="121" w:name="_Toc297048346"/>
      <w:bookmarkStart w:id="122" w:name="_Toc292559365"/>
      <w:bookmarkStart w:id="123" w:name="_Toc296944499"/>
      <w:bookmarkStart w:id="124" w:name="_Toc303539103"/>
      <w:bookmarkStart w:id="125" w:name="_Toc300934946"/>
      <w:bookmarkStart w:id="126" w:name="_Toc296503160"/>
      <w:bookmarkStart w:id="127" w:name="_Toc296347159"/>
      <w:bookmarkStart w:id="128" w:name="_Toc292559870"/>
      <w:bookmarkStart w:id="129" w:name="_Toc312677989"/>
      <w:bookmarkStart w:id="130" w:name="_Toc318581158"/>
      <w:r>
        <w:rPr>
          <w:rFonts w:hint="eastAsia" w:ascii="宋体" w:hAnsi="宋体" w:cs="宋体"/>
          <w:szCs w:val="21"/>
        </w:rPr>
        <w:t>.5.1 分包的一般约定</w:t>
      </w:r>
    </w:p>
    <w:p>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全部工程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31" w:name="_Toc300934947"/>
      <w:bookmarkStart w:id="132" w:name="_Toc296891201"/>
      <w:bookmarkStart w:id="133" w:name="_Toc297123494"/>
      <w:bookmarkStart w:id="134" w:name="_Toc297216153"/>
      <w:bookmarkStart w:id="135" w:name="_Toc303539104"/>
      <w:bookmarkStart w:id="136" w:name="_Toc296503161"/>
      <w:bookmarkStart w:id="137" w:name="_Toc296346662"/>
      <w:bookmarkStart w:id="138" w:name="_Toc297048347"/>
      <w:bookmarkStart w:id="139" w:name="_Toc304295525"/>
      <w:bookmarkStart w:id="140" w:name="_Toc296944500"/>
      <w:bookmarkStart w:id="141" w:name="_Toc297120461"/>
      <w:bookmarkStart w:id="142" w:name="_Toc296890989"/>
      <w:bookmarkStart w:id="143" w:name="_Toc296347160"/>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pacing w:line="360" w:lineRule="exact"/>
        <w:rPr>
          <w:rFonts w:ascii="宋体" w:hAnsi="宋体" w:cs="宋体"/>
          <w:szCs w:val="21"/>
        </w:rPr>
      </w:pPr>
      <w:r>
        <w:rPr>
          <w:rFonts w:hint="eastAsia" w:ascii="宋体" w:hAnsi="宋体" w:cs="宋体"/>
          <w:szCs w:val="21"/>
        </w:rPr>
        <w:t xml:space="preserve">    3</w:t>
      </w:r>
      <w:bookmarkStart w:id="144" w:name="_Toc318581159"/>
      <w:bookmarkStart w:id="145" w:name="_Toc312677990"/>
      <w:r>
        <w:rPr>
          <w:rFonts w:hint="eastAsia" w:ascii="宋体" w:hAnsi="宋体" w:cs="宋体"/>
          <w:szCs w:val="21"/>
        </w:rPr>
        <w:t>.5.2分包的确定</w:t>
      </w:r>
    </w:p>
    <w:p>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3.5.4 分包合同价款</w:t>
      </w:r>
    </w:p>
    <w:p>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w:t>
      </w:r>
      <w:r>
        <w:rPr>
          <w:rFonts w:hint="eastAsia" w:ascii="宋体" w:hAnsi="宋体" w:cs="宋体"/>
          <w:szCs w:val="21"/>
        </w:rPr>
        <w:t>。</w:t>
      </w:r>
    </w:p>
    <w:bookmarkEnd w:id="144"/>
    <w:bookmarkEnd w:id="145"/>
    <w:p>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3.7 履约担保</w:t>
      </w:r>
    </w:p>
    <w:p>
      <w:pPr>
        <w:spacing w:line="36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履约担保       元，从提供履约担保之日起至本工程竣工验收合格交付之日止。若采用现金的，在项目通过竣工验收合格且扣除相应的违约责任后，28天内无息退还。若采用保函的，应保证其有效期超过项目履行期届满之日28日</w:t>
      </w:r>
    </w:p>
    <w:p>
      <w:pPr>
        <w:pStyle w:val="2"/>
        <w:spacing w:before="0" w:after="0" w:line="360" w:lineRule="exact"/>
        <w:rPr>
          <w:rFonts w:ascii="宋体" w:hAnsi="宋体" w:eastAsia="宋体" w:cs="宋体"/>
          <w:b w:val="0"/>
          <w:sz w:val="21"/>
          <w:szCs w:val="21"/>
        </w:rPr>
      </w:pPr>
      <w:bookmarkStart w:id="146" w:name="_Toc351203636"/>
      <w:r>
        <w:rPr>
          <w:rFonts w:hint="eastAsia" w:ascii="宋体" w:hAnsi="宋体" w:eastAsia="宋体" w:cs="宋体"/>
          <w:b w:val="0"/>
          <w:sz w:val="21"/>
          <w:szCs w:val="21"/>
        </w:rPr>
        <w:t>4</w:t>
      </w:r>
      <w:bookmarkStart w:id="147" w:name="_Toc296890990"/>
      <w:bookmarkStart w:id="148" w:name="_Toc296944501"/>
      <w:bookmarkStart w:id="149" w:name="_Toc296347161"/>
      <w:bookmarkStart w:id="150" w:name="_Toc296891202"/>
      <w:bookmarkStart w:id="151" w:name="_Toc296503162"/>
      <w:bookmarkStart w:id="152" w:name="_Toc297048348"/>
      <w:bookmarkStart w:id="153" w:name="_Toc296346663"/>
      <w:bookmarkStart w:id="154" w:name="_Toc267251413"/>
      <w:bookmarkStart w:id="155" w:name="_Toc292559366"/>
      <w:bookmarkStart w:id="156" w:name="_Toc297120462"/>
      <w:bookmarkStart w:id="157" w:name="_Toc292559871"/>
      <w:r>
        <w:rPr>
          <w:rFonts w:hint="eastAsia" w:ascii="宋体" w:hAnsi="宋体" w:eastAsia="宋体" w:cs="宋体"/>
          <w:b w:val="0"/>
          <w:sz w:val="21"/>
          <w:szCs w:val="21"/>
        </w:rPr>
        <w:t>. 监</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eastAsia="宋体" w:cs="宋体"/>
          <w:b w:val="0"/>
          <w:sz w:val="21"/>
          <w:szCs w:val="21"/>
        </w:rPr>
        <w:t>理人</w:t>
      </w:r>
      <w:bookmarkEnd w:id="146"/>
    </w:p>
    <w:p>
      <w:pPr>
        <w:spacing w:line="360" w:lineRule="exact"/>
        <w:ind w:firstLine="420" w:firstLineChars="200"/>
        <w:rPr>
          <w:rFonts w:ascii="宋体" w:hAnsi="宋体" w:cs="宋体"/>
          <w:szCs w:val="21"/>
        </w:rPr>
      </w:pPr>
      <w:r>
        <w:rPr>
          <w:rFonts w:hint="eastAsia" w:ascii="宋体" w:hAnsi="宋体" w:cs="宋体"/>
          <w:szCs w:val="21"/>
        </w:rPr>
        <w:t>4.1监理人的一般规定</w:t>
      </w:r>
    </w:p>
    <w:p>
      <w:pPr>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pPr>
        <w:spacing w:line="360" w:lineRule="exact"/>
        <w:ind w:firstLine="420" w:firstLineChars="200"/>
        <w:rPr>
          <w:rFonts w:ascii="宋体" w:hAnsi="宋体" w:cs="宋体"/>
          <w:szCs w:val="21"/>
        </w:rPr>
      </w:pPr>
      <w:r>
        <w:rPr>
          <w:rFonts w:hint="eastAsia" w:ascii="宋体" w:hAnsi="宋体" w:cs="宋体"/>
          <w:szCs w:val="21"/>
        </w:rPr>
        <w:t>4.2 监理人员</w:t>
      </w:r>
    </w:p>
    <w:p>
      <w:pPr>
        <w:spacing w:line="360" w:lineRule="exact"/>
        <w:ind w:firstLine="420" w:firstLineChars="200"/>
        <w:rPr>
          <w:rFonts w:ascii="宋体" w:hAnsi="宋体" w:cs="宋体"/>
          <w:szCs w:val="21"/>
        </w:rPr>
      </w:pPr>
      <w:r>
        <w:rPr>
          <w:rFonts w:hint="eastAsia" w:ascii="宋体" w:hAnsi="宋体" w:cs="宋体"/>
          <w:szCs w:val="21"/>
        </w:rPr>
        <w:t>总监理工程师：</w:t>
      </w:r>
    </w:p>
    <w:p>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pPr>
        <w:spacing w:line="360" w:lineRule="exact"/>
        <w:ind w:firstLine="420" w:firstLineChars="200"/>
        <w:rPr>
          <w:rFonts w:ascii="宋体" w:hAnsi="宋体" w:cs="宋体"/>
          <w:szCs w:val="21"/>
        </w:rPr>
      </w:pPr>
      <w:r>
        <w:rPr>
          <w:rFonts w:hint="eastAsia" w:ascii="宋体" w:hAnsi="宋体" w:cs="宋体"/>
          <w:szCs w:val="21"/>
          <w:u w:val="single"/>
        </w:rPr>
        <w:t>（3）监理人对其监理人员的任何授权，承包人均应当要求监理人提供书面的授权，否则，承包人有权拒绝接受监理人员的指示。</w:t>
      </w:r>
    </w:p>
    <w:p>
      <w:pPr>
        <w:spacing w:line="360" w:lineRule="exact"/>
        <w:ind w:firstLine="420" w:firstLineChars="200"/>
        <w:rPr>
          <w:rFonts w:ascii="宋体" w:hAnsi="宋体" w:cs="宋体"/>
          <w:szCs w:val="21"/>
        </w:rPr>
      </w:pPr>
      <w:r>
        <w:rPr>
          <w:rFonts w:hint="eastAsia" w:ascii="宋体" w:hAnsi="宋体" w:cs="宋体"/>
          <w:szCs w:val="21"/>
        </w:rPr>
        <w:t>4.4 商定或确定</w:t>
      </w:r>
    </w:p>
    <w:p>
      <w:pPr>
        <w:spacing w:line="360" w:lineRule="exact"/>
        <w:ind w:firstLine="420" w:firstLineChars="200"/>
        <w:rPr>
          <w:rFonts w:ascii="宋体" w:hAnsi="宋体" w:cs="宋体"/>
          <w:szCs w:val="21"/>
        </w:rPr>
      </w:pPr>
      <w:bookmarkStart w:id="158" w:name="_Toc267251418"/>
      <w:r>
        <w:rPr>
          <w:rFonts w:hint="eastAsia" w:ascii="宋体" w:hAnsi="宋体" w:cs="宋体"/>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pPr>
        <w:pStyle w:val="2"/>
        <w:spacing w:before="0" w:after="0" w:line="360" w:lineRule="exact"/>
        <w:rPr>
          <w:rFonts w:ascii="宋体" w:hAnsi="宋体" w:eastAsia="宋体" w:cs="宋体"/>
          <w:b w:val="0"/>
          <w:sz w:val="21"/>
          <w:szCs w:val="21"/>
        </w:rPr>
      </w:pPr>
      <w:bookmarkStart w:id="159" w:name="_Toc351203637"/>
      <w:r>
        <w:rPr>
          <w:rFonts w:hint="eastAsia" w:ascii="宋体" w:hAnsi="宋体" w:eastAsia="宋体" w:cs="宋体"/>
          <w:b w:val="0"/>
          <w:sz w:val="21"/>
          <w:szCs w:val="21"/>
        </w:rPr>
        <w:t>5</w:t>
      </w:r>
      <w:bookmarkEnd w:id="158"/>
      <w:bookmarkStart w:id="160" w:name="_Toc296347162"/>
      <w:bookmarkStart w:id="161" w:name="_Toc292559367"/>
      <w:bookmarkStart w:id="162" w:name="_Toc297048349"/>
      <w:bookmarkStart w:id="163" w:name="_Toc296891203"/>
      <w:bookmarkStart w:id="164" w:name="_Toc296890991"/>
      <w:bookmarkStart w:id="165" w:name="_Toc296503163"/>
      <w:bookmarkStart w:id="166" w:name="_Toc296346664"/>
      <w:bookmarkStart w:id="167" w:name="_Toc296944502"/>
      <w:bookmarkStart w:id="168" w:name="_Toc292559872"/>
      <w:bookmarkStart w:id="169" w:name="_Toc297120463"/>
      <w:r>
        <w:rPr>
          <w:rFonts w:hint="eastAsia" w:ascii="宋体" w:hAnsi="宋体" w:eastAsia="宋体" w:cs="宋体"/>
          <w:b w:val="0"/>
          <w:sz w:val="21"/>
          <w:szCs w:val="21"/>
        </w:rPr>
        <w:t>. 工程质量</w:t>
      </w:r>
      <w:bookmarkEnd w:id="159"/>
    </w:p>
    <w:p>
      <w:pPr>
        <w:spacing w:line="360" w:lineRule="exact"/>
        <w:ind w:firstLine="420" w:firstLineChars="200"/>
        <w:rPr>
          <w:rFonts w:ascii="宋体" w:hAnsi="宋体" w:cs="宋体"/>
          <w:szCs w:val="21"/>
        </w:rPr>
      </w:pPr>
      <w:r>
        <w:rPr>
          <w:rFonts w:hint="eastAsia" w:ascii="宋体" w:hAnsi="宋体" w:cs="宋体"/>
          <w:szCs w:val="21"/>
        </w:rPr>
        <w:t>5.1 质量要求</w:t>
      </w:r>
    </w:p>
    <w:p>
      <w:pPr>
        <w:spacing w:line="360" w:lineRule="exact"/>
        <w:ind w:firstLine="420" w:firstLineChars="200"/>
        <w:rPr>
          <w:rFonts w:ascii="宋体" w:hAnsi="宋体" w:cs="宋体"/>
          <w:szCs w:val="21"/>
        </w:rPr>
      </w:pPr>
      <w:r>
        <w:rPr>
          <w:rFonts w:hint="eastAsia" w:ascii="宋体" w:hAnsi="宋体" w:cs="宋体"/>
          <w:szCs w:val="21"/>
        </w:rPr>
        <w:t>5</w:t>
      </w:r>
      <w:bookmarkStart w:id="170" w:name="_Toc300934949"/>
      <w:bookmarkStart w:id="171" w:name="_Toc297123496"/>
      <w:bookmarkStart w:id="172" w:name="_Toc318581164"/>
      <w:bookmarkStart w:id="173" w:name="_Toc297216155"/>
      <w:bookmarkStart w:id="174" w:name="_Toc303539106"/>
      <w:bookmarkStart w:id="175" w:name="_Toc304295527"/>
      <w:bookmarkStart w:id="176" w:name="_Toc312677997"/>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5.3 隐蔽工程检查</w:t>
      </w:r>
    </w:p>
    <w:p>
      <w:pPr>
        <w:spacing w:line="360" w:lineRule="exact"/>
        <w:ind w:firstLine="420" w:firstLineChars="200"/>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pPr>
        <w:spacing w:line="360" w:lineRule="exact"/>
        <w:ind w:firstLine="420" w:firstLineChars="200"/>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pPr>
        <w:spacing w:line="360" w:lineRule="exact"/>
        <w:ind w:firstLine="420" w:firstLineChars="200"/>
        <w:rPr>
          <w:rFonts w:ascii="宋体" w:hAnsi="宋体" w:cs="宋体"/>
          <w:szCs w:val="21"/>
          <w:u w:val="single"/>
        </w:rPr>
      </w:pPr>
      <w:r>
        <w:rPr>
          <w:rFonts w:hint="eastAsia" w:ascii="宋体" w:hAnsi="宋体" w:cs="宋体"/>
          <w:szCs w:val="21"/>
          <w:u w:val="single"/>
        </w:rPr>
        <w:t>隐蔽工程验收过程、验收部位除办理纸质验收记录，还应留置验收部位、验收过程、主要验收人员相片、影像等资料。</w:t>
      </w:r>
    </w:p>
    <w:p>
      <w:pPr>
        <w:pStyle w:val="2"/>
        <w:spacing w:before="0" w:after="0" w:line="360" w:lineRule="exact"/>
        <w:rPr>
          <w:rFonts w:ascii="宋体" w:hAnsi="宋体" w:eastAsia="宋体" w:cs="宋体"/>
          <w:b w:val="0"/>
          <w:sz w:val="21"/>
          <w:szCs w:val="21"/>
        </w:rPr>
      </w:pPr>
      <w:bookmarkStart w:id="177" w:name="_Toc351203638"/>
      <w:r>
        <w:rPr>
          <w:rFonts w:hint="eastAsia" w:ascii="宋体" w:hAnsi="宋体" w:eastAsia="宋体" w:cs="宋体"/>
          <w:b w:val="0"/>
          <w:sz w:val="21"/>
          <w:szCs w:val="21"/>
        </w:rPr>
        <w:t>6. 安全文明施工与环境保护</w:t>
      </w:r>
      <w:bookmarkEnd w:id="177"/>
    </w:p>
    <w:p>
      <w:pPr>
        <w:spacing w:line="360" w:lineRule="exact"/>
        <w:ind w:firstLine="420" w:firstLineChars="200"/>
        <w:rPr>
          <w:rFonts w:ascii="宋体" w:hAnsi="宋体" w:cs="宋体"/>
          <w:szCs w:val="21"/>
        </w:rPr>
      </w:pPr>
      <w:r>
        <w:rPr>
          <w:rFonts w:hint="eastAsia" w:ascii="宋体" w:hAnsi="宋体" w:cs="宋体"/>
          <w:szCs w:val="21"/>
        </w:rPr>
        <w:t>6.1安全文明施工</w:t>
      </w:r>
    </w:p>
    <w:p>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b/>
          <w:szCs w:val="21"/>
          <w:u w:val="single"/>
        </w:rPr>
        <w:t>按《浙江省建筑施工安全标准化管理规定》（浙建建〔2012〕54号）及省、市建筑业、安全监督等相关主管部门发布的有关管理规定执行</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6.1.5 文明施工</w:t>
      </w:r>
    </w:p>
    <w:p>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关于安全文明施工费支付比例和支付期限的约定：安</w:t>
      </w:r>
      <w:r>
        <w:rPr>
          <w:rFonts w:hint="eastAsia" w:ascii="宋体" w:hAnsi="宋体" w:cs="宋体"/>
          <w:szCs w:val="21"/>
          <w:u w:val="single"/>
        </w:rPr>
        <w:t>全文明施工费预付费用包含在工程预付款内，与工程预付款一并支付，支付比例为安全文明施工费（不含创标化工地增加费）总额的（50）% ，其余部分与进度款同期支付。安全文明施工费承包人应专款专用，在财务账目中应单独列项备查，不得挪作他用</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u w:val="single"/>
        </w:rPr>
        <w:t xml:space="preserve"> 安全文明施工费包含在签约合同价内。承包人经发包人同意采取合同以外的安全措施所产生的费用，由发、承包人协商处理；未经发包人同意，发包人可不承担由此增加费用；</w:t>
      </w:r>
    </w:p>
    <w:bookmarkEnd w:id="170"/>
    <w:bookmarkEnd w:id="171"/>
    <w:bookmarkEnd w:id="172"/>
    <w:bookmarkEnd w:id="173"/>
    <w:bookmarkEnd w:id="174"/>
    <w:bookmarkEnd w:id="175"/>
    <w:bookmarkEnd w:id="176"/>
    <w:p>
      <w:pPr>
        <w:pStyle w:val="2"/>
        <w:spacing w:before="0" w:after="0" w:line="360" w:lineRule="exact"/>
        <w:rPr>
          <w:rFonts w:ascii="宋体" w:hAnsi="宋体" w:eastAsia="宋体" w:cs="宋体"/>
          <w:b w:val="0"/>
          <w:sz w:val="21"/>
          <w:szCs w:val="21"/>
        </w:rPr>
      </w:pPr>
      <w:bookmarkStart w:id="178" w:name="_Toc351203639"/>
      <w:r>
        <w:rPr>
          <w:rFonts w:hint="eastAsia" w:ascii="宋体" w:hAnsi="宋体" w:eastAsia="宋体" w:cs="宋体"/>
          <w:b w:val="0"/>
          <w:sz w:val="21"/>
          <w:szCs w:val="21"/>
        </w:rPr>
        <w:t>7. 工期和进度</w:t>
      </w:r>
      <w:bookmarkEnd w:id="178"/>
    </w:p>
    <w:p>
      <w:pPr>
        <w:spacing w:line="360" w:lineRule="exact"/>
        <w:ind w:firstLine="420" w:firstLineChars="200"/>
        <w:rPr>
          <w:rFonts w:ascii="宋体" w:hAnsi="宋体" w:cs="宋体"/>
          <w:szCs w:val="21"/>
        </w:rPr>
      </w:pPr>
      <w:r>
        <w:rPr>
          <w:rFonts w:hint="eastAsia" w:ascii="宋体" w:hAnsi="宋体" w:cs="宋体"/>
          <w:szCs w:val="21"/>
        </w:rPr>
        <w:t>7.1 施工组织设计</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w:t>
      </w:r>
      <w:bookmarkStart w:id="179" w:name="_Toc303539123"/>
      <w:bookmarkStart w:id="180" w:name="_Toc312678005"/>
      <w:bookmarkStart w:id="181" w:name="_Toc312677479"/>
      <w:bookmarkStart w:id="182" w:name="_Toc304295541"/>
      <w:bookmarkStart w:id="183" w:name="_Toc297123514"/>
      <w:bookmarkStart w:id="184" w:name="_Toc300934966"/>
      <w:bookmarkStart w:id="185" w:name="_Toc297216173"/>
      <w:r>
        <w:rPr>
          <w:rFonts w:hint="eastAsia" w:ascii="宋体" w:hAnsi="宋体" w:cs="宋体"/>
          <w:szCs w:val="21"/>
        </w:rPr>
        <w:t>.2 施工进度计划</w:t>
      </w:r>
    </w:p>
    <w:p>
      <w:pPr>
        <w:spacing w:line="360" w:lineRule="exact"/>
        <w:ind w:firstLine="420" w:firstLineChars="200"/>
        <w:rPr>
          <w:rFonts w:ascii="宋体" w:hAnsi="宋体" w:cs="宋体"/>
          <w:szCs w:val="21"/>
        </w:rPr>
      </w:pPr>
      <w:r>
        <w:rPr>
          <w:rFonts w:hint="eastAsia" w:ascii="宋体" w:hAnsi="宋体" w:cs="宋体"/>
          <w:szCs w:val="21"/>
        </w:rPr>
        <w:t>7.2.2 施工进度计划的修订</w:t>
      </w:r>
    </w:p>
    <w:p>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7.3 开工</w:t>
      </w:r>
    </w:p>
    <w:p>
      <w:pPr>
        <w:spacing w:line="360" w:lineRule="exact"/>
        <w:ind w:firstLine="420" w:firstLineChars="200"/>
        <w:rPr>
          <w:rFonts w:ascii="宋体" w:hAnsi="宋体" w:cs="宋体"/>
          <w:szCs w:val="21"/>
        </w:rPr>
      </w:pPr>
      <w:r>
        <w:rPr>
          <w:rFonts w:hint="eastAsia" w:ascii="宋体" w:hAnsi="宋体" w:cs="宋体"/>
          <w:szCs w:val="21"/>
        </w:rPr>
        <w:t>7.3.1 开工准备</w:t>
      </w:r>
    </w:p>
    <w:p>
      <w:pPr>
        <w:spacing w:line="360" w:lineRule="exact"/>
        <w:ind w:firstLine="645"/>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pPr>
        <w:spacing w:line="360" w:lineRule="exact"/>
        <w:ind w:firstLine="420" w:firstLineChars="200"/>
        <w:rPr>
          <w:rFonts w:ascii="宋体" w:hAnsi="宋体" w:cs="宋体"/>
          <w:szCs w:val="21"/>
        </w:rPr>
      </w:pPr>
      <w:r>
        <w:rPr>
          <w:rFonts w:hint="eastAsia" w:ascii="宋体" w:hAnsi="宋体" w:cs="宋体"/>
          <w:szCs w:val="21"/>
        </w:rPr>
        <w:t>7.3.2开工通知</w:t>
      </w:r>
    </w:p>
    <w:p>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pPr>
        <w:spacing w:line="360" w:lineRule="exact"/>
        <w:ind w:firstLine="420" w:firstLineChars="200"/>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60</w:t>
      </w:r>
      <w:r>
        <w:rPr>
          <w:rFonts w:hint="eastAsia" w:ascii="宋体" w:hAnsi="宋体" w:cs="宋体"/>
          <w:szCs w:val="21"/>
        </w:rPr>
        <w:t>天内发出开工通知的，承包人有权提出价格调整要求，或者解除合同。发包人应当承担由此增加的费用或赔偿承包人的损失。</w:t>
      </w:r>
    </w:p>
    <w:bookmarkEnd w:id="179"/>
    <w:bookmarkEnd w:id="180"/>
    <w:bookmarkEnd w:id="181"/>
    <w:bookmarkEnd w:id="182"/>
    <w:bookmarkEnd w:id="183"/>
    <w:bookmarkEnd w:id="184"/>
    <w:bookmarkEnd w:id="185"/>
    <w:p>
      <w:pPr>
        <w:spacing w:line="360" w:lineRule="exact"/>
        <w:ind w:firstLine="420" w:firstLineChars="200"/>
        <w:rPr>
          <w:rFonts w:ascii="宋体" w:hAnsi="宋体" w:cs="宋体"/>
          <w:szCs w:val="21"/>
        </w:rPr>
      </w:pPr>
      <w:r>
        <w:rPr>
          <w:rFonts w:hint="eastAsia" w:ascii="宋体" w:hAnsi="宋体" w:cs="宋体"/>
          <w:szCs w:val="21"/>
        </w:rPr>
        <w:t>7.4 测量放线</w:t>
      </w:r>
    </w:p>
    <w:p>
      <w:pPr>
        <w:spacing w:line="360" w:lineRule="exact"/>
        <w:ind w:firstLine="420" w:firstLineChars="200"/>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w:t>
      </w:r>
      <w:bookmarkStart w:id="186" w:name="_Toc300934968"/>
      <w:bookmarkStart w:id="187" w:name="_Toc312677484"/>
      <w:bookmarkStart w:id="188" w:name="_Toc312678010"/>
      <w:bookmarkStart w:id="189" w:name="_Toc303539125"/>
      <w:bookmarkStart w:id="190" w:name="_Toc304295546"/>
      <w:bookmarkStart w:id="191" w:name="_Toc297216175"/>
      <w:bookmarkStart w:id="192" w:name="_Toc297123516"/>
      <w:r>
        <w:rPr>
          <w:rFonts w:hint="eastAsia" w:ascii="宋体" w:hAnsi="宋体" w:cs="宋体"/>
          <w:szCs w:val="21"/>
        </w:rPr>
        <w:t>.5 工期延误</w:t>
      </w:r>
    </w:p>
    <w:bookmarkEnd w:id="186"/>
    <w:bookmarkEnd w:id="187"/>
    <w:bookmarkEnd w:id="188"/>
    <w:bookmarkEnd w:id="189"/>
    <w:bookmarkEnd w:id="190"/>
    <w:bookmarkEnd w:id="191"/>
    <w:bookmarkEnd w:id="192"/>
    <w:p>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pPr>
        <w:spacing w:line="360" w:lineRule="exact"/>
        <w:ind w:firstLine="315" w:firstLineChars="15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w:t>
      </w:r>
      <w:bookmarkStart w:id="193" w:name="_Toc312677486"/>
      <w:bookmarkStart w:id="194" w:name="_Toc312678012"/>
      <w:bookmarkStart w:id="195" w:name="_Toc318581169"/>
      <w:bookmarkStart w:id="196" w:name="_Toc303539127"/>
      <w:bookmarkStart w:id="197" w:name="_Toc300934970"/>
      <w:bookmarkStart w:id="198" w:name="_Toc304295548"/>
      <w:bookmarkStart w:id="199" w:name="_Toc297123518"/>
      <w:bookmarkStart w:id="200" w:name="_Toc297216177"/>
      <w:r>
        <w:rPr>
          <w:rFonts w:hint="eastAsia" w:ascii="宋体" w:hAnsi="宋体" w:cs="宋体"/>
          <w:szCs w:val="21"/>
        </w:rPr>
        <w:t>.5.2 因承包人原因导致工期延误</w:t>
      </w:r>
    </w:p>
    <w:bookmarkEnd w:id="193"/>
    <w:bookmarkEnd w:id="194"/>
    <w:bookmarkEnd w:id="195"/>
    <w:p>
      <w:pPr>
        <w:spacing w:line="360" w:lineRule="exact"/>
        <w:ind w:firstLine="420" w:firstLineChars="200"/>
        <w:rPr>
          <w:rFonts w:ascii="宋体" w:hAnsi="宋体" w:cs="宋体"/>
          <w:i/>
          <w:szCs w:val="21"/>
          <w:u w:val="single"/>
        </w:rPr>
      </w:pPr>
      <w:r>
        <w:rPr>
          <w:rFonts w:hint="eastAsia" w:ascii="宋体" w:hAnsi="宋体" w:cs="宋体"/>
          <w:szCs w:val="21"/>
        </w:rPr>
        <w:t>因</w:t>
      </w:r>
      <w:bookmarkStart w:id="201" w:name="_Toc312678013"/>
      <w:bookmarkStart w:id="202" w:name="_Toc312677487"/>
      <w:bookmarkStart w:id="203" w:name="_Toc318581170"/>
      <w:r>
        <w:rPr>
          <w:rFonts w:hint="eastAsia" w:ascii="宋体" w:hAnsi="宋体" w:cs="宋体"/>
          <w:szCs w:val="21"/>
        </w:rPr>
        <w:t>承包人原因造成工期延误，逾期竣工违约金的计算方法为：</w:t>
      </w:r>
      <w:r>
        <w:rPr>
          <w:rFonts w:hint="eastAsia" w:ascii="宋体" w:hAnsi="宋体" w:cs="宋体"/>
          <w:szCs w:val="21"/>
          <w:u w:val="single"/>
        </w:rPr>
        <w:t>每天500元</w:t>
      </w:r>
      <w:bookmarkEnd w:id="196"/>
      <w:bookmarkEnd w:id="197"/>
      <w:bookmarkEnd w:id="198"/>
      <w:bookmarkEnd w:id="199"/>
      <w:bookmarkEnd w:id="200"/>
      <w:bookmarkEnd w:id="201"/>
      <w:bookmarkEnd w:id="202"/>
      <w:r>
        <w:rPr>
          <w:rFonts w:hint="eastAsia" w:ascii="宋体" w:hAnsi="宋体" w:cs="宋体"/>
          <w:i/>
          <w:szCs w:val="21"/>
          <w:u w:val="single"/>
        </w:rPr>
        <w:t>。</w:t>
      </w:r>
    </w:p>
    <w:bookmarkEnd w:id="203"/>
    <w:p>
      <w:pPr>
        <w:spacing w:line="360" w:lineRule="exact"/>
        <w:ind w:firstLine="420" w:firstLineChars="200"/>
        <w:rPr>
          <w:rFonts w:ascii="宋体" w:hAnsi="宋体" w:cs="宋体"/>
          <w:szCs w:val="21"/>
        </w:rPr>
      </w:pPr>
      <w:r>
        <w:rPr>
          <w:rFonts w:hint="eastAsia" w:ascii="宋体" w:hAnsi="宋体" w:cs="宋体"/>
          <w:szCs w:val="21"/>
        </w:rPr>
        <w:t>因承包人原因造成工期延误，逾</w:t>
      </w:r>
      <w:bookmarkStart w:id="204" w:name="_Toc318581171"/>
      <w:bookmarkStart w:id="205" w:name="_Toc312678014"/>
      <w:r>
        <w:rPr>
          <w:rFonts w:hint="eastAsia" w:ascii="宋体" w:hAnsi="宋体" w:cs="宋体"/>
          <w:szCs w:val="21"/>
        </w:rPr>
        <w:t>期竣工违约金的上限：</w:t>
      </w:r>
      <w:r>
        <w:rPr>
          <w:rFonts w:hint="eastAsia" w:ascii="宋体" w:hAnsi="宋体" w:cs="宋体"/>
          <w:szCs w:val="21"/>
          <w:u w:val="single"/>
        </w:rPr>
        <w:t>履约保证金额度</w:t>
      </w:r>
      <w:r>
        <w:rPr>
          <w:rFonts w:hint="eastAsia" w:ascii="宋体" w:hAnsi="宋体" w:cs="宋体"/>
          <w:szCs w:val="21"/>
        </w:rPr>
        <w:t>。</w:t>
      </w:r>
    </w:p>
    <w:bookmarkEnd w:id="204"/>
    <w:bookmarkEnd w:id="205"/>
    <w:p>
      <w:pPr>
        <w:spacing w:line="360" w:lineRule="exact"/>
        <w:ind w:firstLine="420" w:firstLineChars="200"/>
        <w:rPr>
          <w:rFonts w:ascii="宋体" w:hAnsi="宋体" w:cs="宋体"/>
          <w:szCs w:val="21"/>
        </w:rPr>
      </w:pPr>
      <w:r>
        <w:rPr>
          <w:rFonts w:hint="eastAsia" w:ascii="宋体" w:hAnsi="宋体" w:cs="宋体"/>
          <w:szCs w:val="21"/>
        </w:rPr>
        <w:t>7</w:t>
      </w:r>
      <w:bookmarkStart w:id="206" w:name="_Toc312678015"/>
      <w:bookmarkStart w:id="207" w:name="_Toc303539128"/>
      <w:bookmarkStart w:id="208" w:name="_Toc300934971"/>
      <w:bookmarkStart w:id="209" w:name="_Toc297216178"/>
      <w:bookmarkStart w:id="210" w:name="_Toc297123519"/>
      <w:bookmarkStart w:id="211" w:name="_Toc304295549"/>
      <w:r>
        <w:rPr>
          <w:rFonts w:hint="eastAsia" w:ascii="宋体" w:hAnsi="宋体" w:cs="宋体"/>
          <w:szCs w:val="21"/>
        </w:rPr>
        <w:t>.6 不</w:t>
      </w:r>
      <w:bookmarkEnd w:id="206"/>
      <w:bookmarkEnd w:id="207"/>
      <w:bookmarkEnd w:id="208"/>
      <w:bookmarkEnd w:id="209"/>
      <w:bookmarkEnd w:id="210"/>
      <w:bookmarkEnd w:id="211"/>
      <w:r>
        <w:rPr>
          <w:rFonts w:hint="eastAsia" w:ascii="宋体" w:hAnsi="宋体" w:cs="宋体"/>
          <w:szCs w:val="21"/>
        </w:rPr>
        <w:t>利物质条件</w:t>
      </w:r>
    </w:p>
    <w:p>
      <w:pPr>
        <w:spacing w:line="360" w:lineRule="exact"/>
        <w:ind w:firstLine="420" w:firstLineChars="200"/>
        <w:rPr>
          <w:rFonts w:ascii="宋体" w:hAnsi="宋体" w:cs="宋体"/>
          <w:szCs w:val="21"/>
        </w:rPr>
      </w:pPr>
      <w:bookmarkStart w:id="212" w:name="_Toc297123520"/>
      <w:bookmarkStart w:id="213" w:name="_Toc304295550"/>
      <w:bookmarkStart w:id="214" w:name="_Toc300934972"/>
      <w:bookmarkStart w:id="215" w:name="_Toc297216179"/>
      <w:bookmarkStart w:id="216" w:name="_Toc303539129"/>
      <w:bookmarkStart w:id="217" w:name="_Toc318581172"/>
      <w:bookmarkStart w:id="218" w:name="_Toc312678016"/>
      <w:r>
        <w:rPr>
          <w:rFonts w:hint="eastAsia" w:ascii="宋体" w:hAnsi="宋体" w:cs="宋体"/>
          <w:szCs w:val="21"/>
        </w:rPr>
        <w:t>不利物质条件的其他情形和有关约定：</w:t>
      </w:r>
    </w:p>
    <w:p>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pPr>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u w:val="single"/>
        </w:rPr>
        <w:t>地质勘探资料未涉及的地下管道、暗沟、岩层等。</w:t>
      </w:r>
    </w:p>
    <w:bookmarkEnd w:id="212"/>
    <w:bookmarkEnd w:id="213"/>
    <w:bookmarkEnd w:id="214"/>
    <w:bookmarkEnd w:id="215"/>
    <w:bookmarkEnd w:id="216"/>
    <w:bookmarkEnd w:id="217"/>
    <w:bookmarkEnd w:id="218"/>
    <w:p>
      <w:pPr>
        <w:spacing w:line="360" w:lineRule="exact"/>
        <w:ind w:firstLine="420" w:firstLineChars="200"/>
        <w:rPr>
          <w:rFonts w:ascii="宋体" w:hAnsi="宋体" w:cs="宋体"/>
          <w:szCs w:val="21"/>
        </w:rPr>
      </w:pPr>
      <w:r>
        <w:rPr>
          <w:rFonts w:hint="eastAsia" w:ascii="宋体" w:hAnsi="宋体" w:cs="宋体"/>
          <w:szCs w:val="21"/>
        </w:rPr>
        <w:t>7</w:t>
      </w:r>
      <w:bookmarkStart w:id="219" w:name="_Toc300934973"/>
      <w:bookmarkStart w:id="220" w:name="_Toc303539130"/>
      <w:bookmarkStart w:id="221" w:name="_Toc297216180"/>
      <w:bookmarkStart w:id="222" w:name="_Toc304295551"/>
      <w:bookmarkStart w:id="223" w:name="_Toc297123521"/>
      <w:bookmarkStart w:id="224" w:name="_Toc312678017"/>
      <w:r>
        <w:rPr>
          <w:rFonts w:hint="eastAsia" w:ascii="宋体" w:hAnsi="宋体" w:cs="宋体"/>
          <w:szCs w:val="21"/>
        </w:rPr>
        <w:t>.7异常恶劣的气候条件</w:t>
      </w:r>
    </w:p>
    <w:bookmarkEnd w:id="219"/>
    <w:bookmarkEnd w:id="220"/>
    <w:bookmarkEnd w:id="221"/>
    <w:bookmarkEnd w:id="222"/>
    <w:bookmarkEnd w:id="223"/>
    <w:bookmarkEnd w:id="224"/>
    <w:p>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8级以上持续24小时的大风（台风）；</w:t>
      </w:r>
    </w:p>
    <w:p>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7.9 提前竣工的奖励</w:t>
      </w:r>
    </w:p>
    <w:p>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w:t>
      </w:r>
      <w:r>
        <w:rPr>
          <w:rFonts w:hint="eastAsia" w:ascii="宋体" w:hAnsi="宋体" w:cs="宋体"/>
          <w:szCs w:val="21"/>
        </w:rPr>
        <w:t>。</w:t>
      </w:r>
    </w:p>
    <w:p>
      <w:pPr>
        <w:pStyle w:val="2"/>
        <w:spacing w:before="0" w:after="0" w:line="360" w:lineRule="exact"/>
        <w:rPr>
          <w:rFonts w:ascii="宋体" w:hAnsi="宋体" w:eastAsia="宋体" w:cs="宋体"/>
          <w:b w:val="0"/>
          <w:sz w:val="21"/>
          <w:szCs w:val="21"/>
        </w:rPr>
      </w:pPr>
      <w:bookmarkStart w:id="225" w:name="_Toc351203640"/>
      <w:r>
        <w:rPr>
          <w:rFonts w:hint="eastAsia" w:ascii="宋体" w:hAnsi="宋体" w:eastAsia="宋体" w:cs="宋体"/>
          <w:b w:val="0"/>
          <w:sz w:val="21"/>
          <w:szCs w:val="21"/>
        </w:rPr>
        <w:t>8. 材料与设备</w:t>
      </w:r>
      <w:bookmarkEnd w:id="225"/>
    </w:p>
    <w:p>
      <w:pPr>
        <w:spacing w:line="360" w:lineRule="exact"/>
        <w:ind w:firstLine="615"/>
        <w:rPr>
          <w:rFonts w:ascii="宋体" w:hAnsi="宋体" w:cs="宋体"/>
          <w:szCs w:val="21"/>
        </w:rPr>
      </w:pPr>
      <w:r>
        <w:rPr>
          <w:rFonts w:hint="eastAsia" w:ascii="宋体" w:hAnsi="宋体" w:cs="宋体"/>
          <w:szCs w:val="21"/>
        </w:rPr>
        <w:t>8.1 发包人供应材料与工程设备</w:t>
      </w:r>
    </w:p>
    <w:p>
      <w:pPr>
        <w:spacing w:line="360" w:lineRule="exact"/>
        <w:ind w:firstLine="615"/>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pPr>
        <w:spacing w:line="360" w:lineRule="exact"/>
        <w:ind w:firstLine="615"/>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pPr>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pPr>
        <w:snapToGrid w:val="0"/>
        <w:spacing w:line="360" w:lineRule="exact"/>
        <w:ind w:firstLine="420" w:firstLineChars="200"/>
      </w:pPr>
      <w:r>
        <w:rPr>
          <w:rFonts w:hint="eastAsia" w:ascii="宋体" w:hAnsi="宋体" w:cs="宋体"/>
          <w:szCs w:val="21"/>
        </w:rPr>
        <w:t>（1）材料品牌、规格和使用要求：</w:t>
      </w:r>
    </w:p>
    <w:tbl>
      <w:tblPr>
        <w:tblStyle w:val="32"/>
        <w:tblW w:w="8399" w:type="dxa"/>
        <w:jc w:val="center"/>
        <w:tblLayout w:type="fixed"/>
        <w:tblCellMar>
          <w:top w:w="0" w:type="dxa"/>
          <w:left w:w="108" w:type="dxa"/>
          <w:bottom w:w="0" w:type="dxa"/>
          <w:right w:w="108" w:type="dxa"/>
        </w:tblCellMar>
      </w:tblPr>
      <w:tblGrid>
        <w:gridCol w:w="993"/>
        <w:gridCol w:w="1984"/>
        <w:gridCol w:w="3772"/>
        <w:gridCol w:w="1650"/>
      </w:tblGrid>
      <w:tr>
        <w:tblPrEx>
          <w:tblCellMar>
            <w:top w:w="0" w:type="dxa"/>
            <w:left w:w="108" w:type="dxa"/>
            <w:bottom w:w="0" w:type="dxa"/>
            <w:right w:w="108" w:type="dxa"/>
          </w:tblCellMar>
        </w:tblPrEx>
        <w:trPr>
          <w:trHeight w:val="527"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b/>
                <w:szCs w:val="21"/>
              </w:rPr>
            </w:pPr>
            <w:r>
              <w:rPr>
                <w:rFonts w:hint="eastAsia" w:ascii="宋体" w:hAnsi="宋体" w:cs="宋体"/>
                <w:b/>
                <w:szCs w:val="21"/>
              </w:rPr>
              <w:t>序号</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b/>
                <w:szCs w:val="21"/>
              </w:rPr>
            </w:pPr>
            <w:r>
              <w:rPr>
                <w:rFonts w:hint="eastAsia" w:ascii="宋体" w:hAnsi="宋体" w:cs="宋体"/>
                <w:b/>
                <w:szCs w:val="21"/>
              </w:rPr>
              <w:t>材料名称</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b/>
                <w:szCs w:val="21"/>
              </w:rPr>
            </w:pPr>
            <w:r>
              <w:rPr>
                <w:rFonts w:hint="eastAsia" w:ascii="宋体" w:hAnsi="宋体" w:cs="宋体"/>
                <w:b/>
                <w:szCs w:val="21"/>
              </w:rPr>
              <w:t>备选品牌或厂家</w:t>
            </w:r>
          </w:p>
        </w:tc>
        <w:tc>
          <w:tcPr>
            <w:tcW w:w="1650"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b/>
                <w:szCs w:val="21"/>
              </w:rPr>
            </w:pPr>
            <w:r>
              <w:rPr>
                <w:rFonts w:hint="eastAsia" w:ascii="宋体" w:hAnsi="宋体" w:cs="宋体"/>
                <w:b/>
                <w:szCs w:val="21"/>
              </w:rPr>
              <w:t>备  注</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rPr>
              <w:t>水泥</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rPr>
              <w:t>三狮、海螺、尖峰</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2</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涂料（含乳胶漆）</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rPr>
              <w:t>嘉宝莉、多乐士、立邦</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3</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板材（含石膏板、细木工板）</w:t>
            </w:r>
          </w:p>
        </w:tc>
        <w:tc>
          <w:tcPr>
            <w:tcW w:w="3772"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千年舟、拉法基、福湘</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rP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4</w:t>
            </w:r>
          </w:p>
        </w:tc>
        <w:tc>
          <w:tcPr>
            <w:tcW w:w="1984"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轻钢龙骨</w:t>
            </w:r>
          </w:p>
        </w:tc>
        <w:tc>
          <w:tcPr>
            <w:tcW w:w="3772"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安氏大地、拉法基、杰科</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rP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电缆、电线</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杭州中策、开开、飞洲</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开关、插座</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鸿雁、正泰、德力西</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szCs w:val="21"/>
              </w:rPr>
              <w:t>铝合金型材、</w:t>
            </w:r>
            <w:r>
              <w:rPr>
                <w:rFonts w:hint="eastAsia" w:ascii="宋体" w:hAnsi="宋体" w:cs="宋体"/>
                <w:szCs w:val="21"/>
              </w:rPr>
              <w:t>铝合金门窗</w:t>
            </w:r>
          </w:p>
        </w:tc>
        <w:tc>
          <w:tcPr>
            <w:tcW w:w="3772"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兴发、凤铝、伟业</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8</w:t>
            </w:r>
          </w:p>
        </w:tc>
        <w:tc>
          <w:tcPr>
            <w:tcW w:w="198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钢材</w:t>
            </w:r>
          </w:p>
        </w:tc>
        <w:tc>
          <w:tcPr>
            <w:tcW w:w="3772" w:type="dxa"/>
            <w:tcBorders>
              <w:top w:val="single" w:color="000000" w:sz="4" w:space="0"/>
              <w:left w:val="nil"/>
              <w:bottom w:val="single" w:color="000000" w:sz="4" w:space="0"/>
              <w:right w:val="single" w:color="000000" w:sz="4" w:space="0"/>
            </w:tcBorders>
            <w:vAlign w:val="center"/>
          </w:tcPr>
          <w:p>
            <w:pPr>
              <w:pStyle w:val="14"/>
              <w:spacing w:after="0" w:line="360" w:lineRule="exact"/>
              <w:ind w:firstLine="210"/>
              <w:jc w:val="center"/>
            </w:pPr>
            <w:r>
              <w:rPr>
                <w:rFonts w:hint="eastAsia"/>
              </w:rPr>
              <w:t>富鑫、宁鑫、沙钢</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9</w:t>
            </w:r>
          </w:p>
        </w:tc>
        <w:tc>
          <w:tcPr>
            <w:tcW w:w="1984"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塑料管材</w:t>
            </w:r>
          </w:p>
        </w:tc>
        <w:tc>
          <w:tcPr>
            <w:tcW w:w="3772"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浙江伟星、公元、浙江中财</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1984"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成套配电箱</w:t>
            </w:r>
          </w:p>
        </w:tc>
        <w:tc>
          <w:tcPr>
            <w:tcW w:w="3772"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箱体：宁波恒升、台州鲁班、浙江岩电；</w:t>
            </w:r>
          </w:p>
          <w:p>
            <w:pPr>
              <w:spacing w:line="360" w:lineRule="exact"/>
              <w:jc w:val="center"/>
            </w:pPr>
            <w:r>
              <w:rPr>
                <w:rFonts w:hint="eastAsia" w:ascii="宋体" w:hAnsi="宋体" w:cs="宋体"/>
                <w:szCs w:val="21"/>
              </w:rPr>
              <w:t>元器件：正泰、上海人民、德力西</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或相当于</w:t>
            </w:r>
          </w:p>
        </w:tc>
      </w:tr>
      <w:tr>
        <w:tblPrEx>
          <w:tblCellMar>
            <w:top w:w="0" w:type="dxa"/>
            <w:left w:w="108" w:type="dxa"/>
            <w:bottom w:w="0" w:type="dxa"/>
            <w:right w:w="108" w:type="dxa"/>
          </w:tblCellMar>
        </w:tblPrEx>
        <w:trPr>
          <w:trHeight w:val="42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11</w:t>
            </w:r>
          </w:p>
        </w:tc>
        <w:tc>
          <w:tcPr>
            <w:tcW w:w="1984"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灯具</w:t>
            </w:r>
          </w:p>
        </w:tc>
        <w:tc>
          <w:tcPr>
            <w:tcW w:w="3772"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rPr>
              <w:t>雷士、三雄极光、鸿雁</w:t>
            </w:r>
          </w:p>
        </w:tc>
        <w:tc>
          <w:tcPr>
            <w:tcW w:w="1650" w:type="dxa"/>
            <w:tcBorders>
              <w:top w:val="single" w:color="000000" w:sz="4" w:space="0"/>
              <w:left w:val="nil"/>
              <w:bottom w:val="single" w:color="000000" w:sz="4" w:space="0"/>
              <w:right w:val="single" w:color="000000" w:sz="4" w:space="0"/>
            </w:tcBorders>
            <w:vAlign w:val="center"/>
          </w:tcPr>
          <w:p>
            <w:pPr>
              <w:spacing w:line="360" w:lineRule="exact"/>
              <w:jc w:val="center"/>
            </w:pPr>
            <w:r>
              <w:rPr>
                <w:rFonts w:hint="eastAsia" w:ascii="宋体" w:hAnsi="宋体" w:cs="宋体"/>
                <w:szCs w:val="21"/>
              </w:rPr>
              <w:t>或相当于</w:t>
            </w:r>
          </w:p>
        </w:tc>
      </w:tr>
      <w:tr>
        <w:tblPrEx>
          <w:tblCellMar>
            <w:top w:w="0" w:type="dxa"/>
            <w:left w:w="108" w:type="dxa"/>
            <w:bottom w:w="0" w:type="dxa"/>
            <w:right w:w="108" w:type="dxa"/>
          </w:tblCellMar>
        </w:tblPrEx>
        <w:trPr>
          <w:trHeight w:val="390" w:hRule="atLeast"/>
          <w:jc w:val="center"/>
        </w:trPr>
        <w:tc>
          <w:tcPr>
            <w:tcW w:w="993"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12</w:t>
            </w:r>
          </w:p>
        </w:tc>
        <w:tc>
          <w:tcPr>
            <w:tcW w:w="1984" w:type="dxa"/>
            <w:tcBorders>
              <w:top w:val="single" w:color="000000" w:sz="4" w:space="0"/>
              <w:left w:val="nil"/>
              <w:bottom w:val="single" w:color="auto" w:sz="4" w:space="0"/>
              <w:right w:val="single" w:color="000000" w:sz="4" w:space="0"/>
            </w:tcBorders>
            <w:vAlign w:val="center"/>
          </w:tcPr>
          <w:p>
            <w:pPr>
              <w:spacing w:line="360" w:lineRule="exact"/>
              <w:jc w:val="center"/>
            </w:pPr>
            <w:r>
              <w:rPr>
                <w:rFonts w:hint="eastAsia"/>
              </w:rPr>
              <w:t>成品木门</w:t>
            </w:r>
          </w:p>
        </w:tc>
        <w:tc>
          <w:tcPr>
            <w:tcW w:w="3772" w:type="dxa"/>
            <w:tcBorders>
              <w:top w:val="single" w:color="000000" w:sz="4" w:space="0"/>
              <w:left w:val="nil"/>
              <w:bottom w:val="single" w:color="auto" w:sz="4" w:space="0"/>
              <w:right w:val="single" w:color="000000" w:sz="4" w:space="0"/>
            </w:tcBorders>
            <w:vAlign w:val="center"/>
          </w:tcPr>
          <w:p>
            <w:pPr>
              <w:spacing w:line="360" w:lineRule="exact"/>
              <w:jc w:val="center"/>
            </w:pPr>
            <w:r>
              <w:rPr>
                <w:rFonts w:hint="eastAsia" w:ascii="宋体" w:hAnsi="宋体" w:cs="宋体"/>
                <w:szCs w:val="21"/>
              </w:rPr>
              <w:t>顾盼、美心、权誉</w:t>
            </w:r>
          </w:p>
        </w:tc>
        <w:tc>
          <w:tcPr>
            <w:tcW w:w="1650" w:type="dxa"/>
            <w:tcBorders>
              <w:top w:val="single" w:color="000000" w:sz="4" w:space="0"/>
              <w:left w:val="nil"/>
              <w:bottom w:val="single" w:color="auto" w:sz="4" w:space="0"/>
              <w:right w:val="single" w:color="000000" w:sz="4" w:space="0"/>
            </w:tcBorders>
            <w:vAlign w:val="center"/>
          </w:tcPr>
          <w:p>
            <w:pPr>
              <w:spacing w:line="360" w:lineRule="exact"/>
              <w:jc w:val="center"/>
            </w:pPr>
            <w:r>
              <w:rPr>
                <w:rFonts w:hint="eastAsia" w:ascii="宋体" w:hAnsi="宋体" w:cs="宋体"/>
                <w:szCs w:val="21"/>
              </w:rPr>
              <w:t>或相当于</w:t>
            </w:r>
          </w:p>
        </w:tc>
      </w:tr>
      <w:tr>
        <w:tblPrEx>
          <w:tblCellMar>
            <w:top w:w="0" w:type="dxa"/>
            <w:left w:w="108" w:type="dxa"/>
            <w:bottom w:w="0" w:type="dxa"/>
            <w:right w:w="108" w:type="dxa"/>
          </w:tblCellMar>
        </w:tblPrEx>
        <w:trPr>
          <w:trHeight w:val="361" w:hRule="atLeast"/>
          <w:jc w:val="center"/>
        </w:trPr>
        <w:tc>
          <w:tcPr>
            <w:tcW w:w="993"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13</w:t>
            </w:r>
          </w:p>
        </w:tc>
        <w:tc>
          <w:tcPr>
            <w:tcW w:w="1984" w:type="dxa"/>
            <w:tcBorders>
              <w:top w:val="single" w:color="auto" w:sz="4" w:space="0"/>
              <w:left w:val="nil"/>
              <w:bottom w:val="single" w:color="auto" w:sz="4" w:space="0"/>
              <w:right w:val="single" w:color="000000" w:sz="4" w:space="0"/>
            </w:tcBorders>
            <w:vAlign w:val="center"/>
          </w:tcPr>
          <w:p>
            <w:pPr>
              <w:spacing w:line="360" w:lineRule="exact"/>
              <w:jc w:val="center"/>
            </w:pPr>
            <w:r>
              <w:rPr>
                <w:rFonts w:hint="eastAsia" w:ascii="宋体" w:hAnsi="宋体" w:cs="宋体"/>
                <w:szCs w:val="21"/>
              </w:rPr>
              <w:t>瓷砖</w:t>
            </w:r>
            <w:r>
              <w:rPr>
                <w:rFonts w:hint="eastAsia" w:ascii="宋体" w:hAnsi="宋体"/>
                <w:szCs w:val="21"/>
              </w:rPr>
              <w:t>、地砖</w:t>
            </w:r>
          </w:p>
        </w:tc>
        <w:tc>
          <w:tcPr>
            <w:tcW w:w="3772" w:type="dxa"/>
            <w:tcBorders>
              <w:top w:val="single" w:color="auto" w:sz="4" w:space="0"/>
              <w:left w:val="nil"/>
              <w:bottom w:val="single" w:color="auto" w:sz="4" w:space="0"/>
              <w:right w:val="single" w:color="000000" w:sz="4" w:space="0"/>
            </w:tcBorders>
            <w:vAlign w:val="center"/>
          </w:tcPr>
          <w:p>
            <w:pPr>
              <w:spacing w:line="360" w:lineRule="exact"/>
              <w:jc w:val="center"/>
            </w:pPr>
            <w:r>
              <w:rPr>
                <w:rFonts w:hint="eastAsia" w:ascii="宋体" w:hAnsi="宋体" w:cs="宋体"/>
                <w:szCs w:val="21"/>
              </w:rPr>
              <w:t>诺贝尔、马可波罗、东鹏</w:t>
            </w:r>
          </w:p>
        </w:tc>
        <w:tc>
          <w:tcPr>
            <w:tcW w:w="1650" w:type="dxa"/>
            <w:tcBorders>
              <w:top w:val="single" w:color="auto" w:sz="4" w:space="0"/>
              <w:left w:val="nil"/>
              <w:bottom w:val="single" w:color="auto" w:sz="4" w:space="0"/>
              <w:right w:val="single" w:color="000000" w:sz="4" w:space="0"/>
            </w:tcBorders>
            <w:vAlign w:val="center"/>
          </w:tcPr>
          <w:p>
            <w:pPr>
              <w:spacing w:line="360" w:lineRule="exact"/>
              <w:jc w:val="center"/>
            </w:pPr>
            <w:r>
              <w:rPr>
                <w:rFonts w:hint="eastAsia" w:ascii="宋体" w:hAnsi="宋体" w:cs="宋体"/>
                <w:szCs w:val="21"/>
              </w:rPr>
              <w:t>或相当于</w:t>
            </w:r>
          </w:p>
        </w:tc>
      </w:tr>
      <w:tr>
        <w:tblPrEx>
          <w:tblCellMar>
            <w:top w:w="0" w:type="dxa"/>
            <w:left w:w="108" w:type="dxa"/>
            <w:bottom w:w="0" w:type="dxa"/>
            <w:right w:w="108" w:type="dxa"/>
          </w:tblCellMar>
        </w:tblPrEx>
        <w:trPr>
          <w:trHeight w:val="361" w:hRule="atLeast"/>
          <w:jc w:val="center"/>
        </w:trPr>
        <w:tc>
          <w:tcPr>
            <w:tcW w:w="993"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14</w:t>
            </w:r>
          </w:p>
        </w:tc>
        <w:tc>
          <w:tcPr>
            <w:tcW w:w="1984"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塑胶地板</w:t>
            </w:r>
          </w:p>
        </w:tc>
        <w:tc>
          <w:tcPr>
            <w:tcW w:w="3772"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ascii="宋体" w:hAnsi="宋体" w:cs="宋体"/>
                <w:szCs w:val="21"/>
              </w:rPr>
              <w:t>宝龙丽、福莱尔、安迪</w:t>
            </w:r>
          </w:p>
        </w:tc>
        <w:tc>
          <w:tcPr>
            <w:tcW w:w="165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或相当于</w:t>
            </w:r>
          </w:p>
        </w:tc>
      </w:tr>
      <w:tr>
        <w:tblPrEx>
          <w:tblCellMar>
            <w:top w:w="0" w:type="dxa"/>
            <w:left w:w="108" w:type="dxa"/>
            <w:bottom w:w="0" w:type="dxa"/>
            <w:right w:w="108" w:type="dxa"/>
          </w:tblCellMar>
        </w:tblPrEx>
        <w:trPr>
          <w:trHeight w:val="361" w:hRule="atLeast"/>
          <w:jc w:val="center"/>
        </w:trPr>
        <w:tc>
          <w:tcPr>
            <w:tcW w:w="993"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15</w:t>
            </w:r>
          </w:p>
        </w:tc>
        <w:tc>
          <w:tcPr>
            <w:tcW w:w="1984"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竹木纤维板</w:t>
            </w:r>
          </w:p>
        </w:tc>
        <w:tc>
          <w:tcPr>
            <w:tcW w:w="3772" w:type="dxa"/>
            <w:tcBorders>
              <w:top w:val="single" w:color="auto" w:sz="4" w:space="0"/>
              <w:left w:val="nil"/>
              <w:bottom w:val="single" w:color="auto" w:sz="4" w:space="0"/>
              <w:right w:val="single" w:color="000000" w:sz="4" w:space="0"/>
            </w:tcBorders>
            <w:vAlign w:val="center"/>
          </w:tcPr>
          <w:p>
            <w:pPr>
              <w:spacing w:line="360" w:lineRule="exact"/>
              <w:jc w:val="center"/>
              <w:rPr>
                <w:szCs w:val="21"/>
              </w:rPr>
            </w:pPr>
            <w:r>
              <w:rPr>
                <w:rFonts w:hint="eastAsia"/>
                <w:szCs w:val="21"/>
              </w:rPr>
              <w:t>至为林业、大庄、永裕</w:t>
            </w:r>
          </w:p>
        </w:tc>
        <w:tc>
          <w:tcPr>
            <w:tcW w:w="1650" w:type="dxa"/>
            <w:tcBorders>
              <w:top w:val="single" w:color="auto" w:sz="4" w:space="0"/>
              <w:left w:val="nil"/>
              <w:bottom w:val="single" w:color="auto"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或相当于</w:t>
            </w:r>
          </w:p>
        </w:tc>
      </w:tr>
      <w:tr>
        <w:tblPrEx>
          <w:tblCellMar>
            <w:top w:w="0" w:type="dxa"/>
            <w:left w:w="108" w:type="dxa"/>
            <w:bottom w:w="0" w:type="dxa"/>
            <w:right w:w="108" w:type="dxa"/>
          </w:tblCellMar>
        </w:tblPrEx>
        <w:trPr>
          <w:trHeight w:val="361" w:hRule="atLeast"/>
          <w:jc w:val="center"/>
        </w:trPr>
        <w:tc>
          <w:tcPr>
            <w:tcW w:w="993"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16</w:t>
            </w:r>
          </w:p>
        </w:tc>
        <w:tc>
          <w:tcPr>
            <w:tcW w:w="1984" w:type="dxa"/>
            <w:tcBorders>
              <w:top w:val="single" w:color="auto"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卫生洁具</w:t>
            </w:r>
          </w:p>
        </w:tc>
        <w:tc>
          <w:tcPr>
            <w:tcW w:w="3772" w:type="dxa"/>
            <w:tcBorders>
              <w:top w:val="single" w:color="auto" w:sz="4" w:space="0"/>
              <w:left w:val="nil"/>
              <w:bottom w:val="single" w:color="000000" w:sz="4" w:space="0"/>
              <w:right w:val="single" w:color="000000" w:sz="4" w:space="0"/>
            </w:tcBorders>
            <w:vAlign w:val="center"/>
          </w:tcPr>
          <w:p>
            <w:pPr>
              <w:spacing w:line="360" w:lineRule="exact"/>
              <w:jc w:val="center"/>
              <w:rPr>
                <w:szCs w:val="21"/>
              </w:rPr>
            </w:pPr>
            <w:r>
              <w:rPr>
                <w:rFonts w:hint="eastAsia"/>
                <w:kern w:val="1"/>
                <w:sz w:val="20"/>
                <w:szCs w:val="20"/>
              </w:rPr>
              <w:t>安华、箭牌、惠达</w:t>
            </w:r>
          </w:p>
        </w:tc>
        <w:tc>
          <w:tcPr>
            <w:tcW w:w="1650" w:type="dxa"/>
            <w:tcBorders>
              <w:top w:val="single" w:color="auto"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或相当于</w:t>
            </w:r>
          </w:p>
        </w:tc>
      </w:tr>
    </w:tbl>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（2）本工程已确定承包价的建筑材料均由承包人自行询价、采购、运输和保管。新型墙体材料的使用须符合相关规定，否则相关押金由承包人承担。</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（3）本工程要求使用材料要求（如商品砼、保温节能材料等）。</w:t>
      </w:r>
    </w:p>
    <w:p>
      <w:pPr>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（4）所有材料必须有质保书或合格证，符合施工图纸和规范要求，且品牌、产地需报发包人备案，否则，因此产生的后果均由承包人负责。</w:t>
      </w:r>
    </w:p>
    <w:p>
      <w:pPr>
        <w:spacing w:line="360" w:lineRule="exact"/>
        <w:ind w:firstLine="420" w:firstLineChars="200"/>
        <w:rPr>
          <w:rFonts w:ascii="宋体" w:hAnsi="宋体" w:cs="宋体"/>
          <w:szCs w:val="21"/>
          <w:u w:val="single"/>
        </w:rPr>
      </w:pPr>
      <w:r>
        <w:rPr>
          <w:rFonts w:hint="eastAsia" w:ascii="宋体" w:hAnsi="宋体" w:cs="宋体"/>
          <w:szCs w:val="21"/>
          <w:u w:val="single"/>
        </w:rPr>
        <w:t>（5）凡是磋商文件注明规格、型号或相当于的厂家（品牌、产地）的材料，承包人必须按照磋商文件要求采购和施工，优先使用相当于的厂家（品牌、产地），如需调整，必须经得发包人认可，否则由此引起的后果由承包人承担。</w:t>
      </w:r>
    </w:p>
    <w:p>
      <w:pPr>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pPr>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60"/>
    <w:bookmarkEnd w:id="161"/>
    <w:bookmarkEnd w:id="162"/>
    <w:bookmarkEnd w:id="163"/>
    <w:bookmarkEnd w:id="164"/>
    <w:bookmarkEnd w:id="165"/>
    <w:bookmarkEnd w:id="166"/>
    <w:bookmarkEnd w:id="167"/>
    <w:bookmarkEnd w:id="168"/>
    <w:bookmarkEnd w:id="169"/>
    <w:p>
      <w:pPr>
        <w:spacing w:line="360" w:lineRule="exact"/>
        <w:ind w:firstLine="420" w:firstLineChars="200"/>
        <w:rPr>
          <w:rFonts w:ascii="宋体" w:hAnsi="宋体" w:cs="宋体"/>
          <w:szCs w:val="21"/>
        </w:rPr>
      </w:pPr>
      <w:r>
        <w:rPr>
          <w:rFonts w:hint="eastAsia" w:ascii="宋体" w:hAnsi="宋体" w:cs="宋体"/>
          <w:szCs w:val="21"/>
        </w:rPr>
        <w:t>8</w:t>
      </w:r>
      <w:bookmarkStart w:id="226" w:name="_Toc296347166"/>
      <w:bookmarkStart w:id="227" w:name="_Toc296503167"/>
      <w:bookmarkStart w:id="228" w:name="_Toc297048353"/>
      <w:bookmarkStart w:id="229" w:name="_Toc296890995"/>
      <w:bookmarkStart w:id="230" w:name="_Toc312677493"/>
      <w:bookmarkStart w:id="231" w:name="_Toc304295556"/>
      <w:bookmarkStart w:id="232" w:name="_Toc296346668"/>
      <w:bookmarkStart w:id="233" w:name="_Toc297216186"/>
      <w:bookmarkStart w:id="234" w:name="_Toc297120467"/>
      <w:bookmarkStart w:id="235" w:name="_Toc292559877"/>
      <w:bookmarkStart w:id="236" w:name="_Toc292559372"/>
      <w:bookmarkStart w:id="237" w:name="_Toc280868654"/>
      <w:bookmarkStart w:id="238" w:name="_Toc300934979"/>
      <w:bookmarkStart w:id="239" w:name="_Toc296891207"/>
      <w:bookmarkStart w:id="240" w:name="_Toc312678019"/>
      <w:bookmarkStart w:id="241" w:name="_Toc297123527"/>
      <w:bookmarkStart w:id="242" w:name="_Toc296944506"/>
      <w:bookmarkStart w:id="243" w:name="_Toc303539136"/>
      <w:bookmarkStart w:id="244" w:name="_Toc267251424"/>
      <w:bookmarkStart w:id="245" w:name="_Toc280868655"/>
      <w:bookmarkStart w:id="246" w:name="_Toc280868656"/>
      <w:r>
        <w:rPr>
          <w:rFonts w:hint="eastAsia" w:ascii="宋体" w:hAnsi="宋体" w:cs="宋体"/>
          <w:szCs w:val="21"/>
        </w:rPr>
        <w:t>.4材料与工程设备的保管与使用</w:t>
      </w: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360" w:lineRule="exact"/>
        <w:ind w:firstLine="420" w:firstLineChars="200"/>
        <w:rPr>
          <w:rFonts w:ascii="宋体" w:hAnsi="宋体" w:cs="宋体"/>
          <w:szCs w:val="21"/>
        </w:rPr>
      </w:pPr>
      <w:r>
        <w:rPr>
          <w:rFonts w:hint="eastAsia" w:ascii="宋体" w:hAnsi="宋体" w:cs="宋体"/>
          <w:szCs w:val="21"/>
        </w:rPr>
        <w:t>8</w:t>
      </w:r>
      <w:bookmarkStart w:id="247" w:name="_Toc292559878"/>
      <w:bookmarkStart w:id="248" w:name="_Toc292559373"/>
      <w:bookmarkStart w:id="249" w:name="_Toc303539137"/>
      <w:bookmarkStart w:id="250" w:name="_Toc296503168"/>
      <w:bookmarkStart w:id="251" w:name="_Toc296944507"/>
      <w:bookmarkStart w:id="252" w:name="_Toc318581173"/>
      <w:bookmarkStart w:id="253" w:name="_Toc296346669"/>
      <w:bookmarkStart w:id="254" w:name="_Toc297120468"/>
      <w:bookmarkStart w:id="255" w:name="_Toc304295557"/>
      <w:bookmarkStart w:id="256" w:name="_Toc297048354"/>
      <w:bookmarkStart w:id="257" w:name="_Toc296891208"/>
      <w:bookmarkStart w:id="258" w:name="_Toc296890996"/>
      <w:bookmarkStart w:id="259" w:name="_Toc297123528"/>
      <w:bookmarkStart w:id="260" w:name="_Toc297216187"/>
      <w:bookmarkStart w:id="261" w:name="_Toc312677494"/>
      <w:bookmarkStart w:id="262" w:name="_Toc296347167"/>
      <w:bookmarkStart w:id="263" w:name="_Toc312678020"/>
      <w:bookmarkStart w:id="264" w:name="_Toc300934980"/>
      <w:r>
        <w:rPr>
          <w:rFonts w:hint="eastAsia" w:ascii="宋体" w:hAnsi="宋体" w:cs="宋体"/>
          <w:szCs w:val="21"/>
        </w:rPr>
        <w:t>.4.1发包人供应的材料设备的保管费用的承担：</w:t>
      </w:r>
      <w:r>
        <w:rPr>
          <w:rFonts w:hint="eastAsia" w:ascii="宋体" w:hAnsi="宋体" w:cs="宋体"/>
          <w:szCs w:val="21"/>
          <w:u w:val="single"/>
        </w:rPr>
        <w:t>（可参考《浙江省建设工程费用定额（2010版）》计算计取总承包服务费）。</w:t>
      </w:r>
      <w:bookmarkEnd w:id="247"/>
      <w:bookmarkEnd w:id="248"/>
    </w:p>
    <w:p>
      <w:pPr>
        <w:spacing w:line="360" w:lineRule="exact"/>
        <w:ind w:firstLine="420" w:firstLineChars="200"/>
        <w:rPr>
          <w:rFonts w:ascii="宋体" w:hAnsi="宋体" w:cs="宋体"/>
          <w:szCs w:val="21"/>
        </w:rPr>
      </w:pPr>
      <w:r>
        <w:rPr>
          <w:rFonts w:hint="eastAsia" w:ascii="宋体" w:hAnsi="宋体" w:cs="宋体"/>
          <w:szCs w:val="21"/>
        </w:rPr>
        <w:t>8.6 样品</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8.6.1 样品的报送与封存</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8.8 施工设备和临时设施</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2"/>
        <w:spacing w:before="0" w:after="0" w:line="360" w:lineRule="exact"/>
        <w:rPr>
          <w:rFonts w:ascii="宋体" w:hAnsi="宋体" w:eastAsia="宋体" w:cs="宋体"/>
          <w:b w:val="0"/>
          <w:sz w:val="21"/>
          <w:szCs w:val="21"/>
        </w:rPr>
      </w:pPr>
      <w:bookmarkStart w:id="265" w:name="_Toc351203641"/>
      <w:r>
        <w:rPr>
          <w:rFonts w:hint="eastAsia" w:ascii="宋体" w:hAnsi="宋体" w:eastAsia="宋体" w:cs="宋体"/>
          <w:b w:val="0"/>
          <w:sz w:val="21"/>
          <w:szCs w:val="21"/>
        </w:rPr>
        <w:t>9</w:t>
      </w:r>
      <w:bookmarkEnd w:id="244"/>
      <w:bookmarkEnd w:id="245"/>
      <w:bookmarkEnd w:id="246"/>
      <w:bookmarkStart w:id="266" w:name="_Toc312677495"/>
      <w:bookmarkStart w:id="267" w:name="_Toc303539139"/>
      <w:bookmarkStart w:id="268" w:name="_Toc304295559"/>
      <w:bookmarkStart w:id="269" w:name="_Toc297216192"/>
      <w:bookmarkStart w:id="270" w:name="_Toc300934982"/>
      <w:bookmarkStart w:id="271" w:name="_Toc297123533"/>
      <w:bookmarkStart w:id="272" w:name="_Toc312678021"/>
      <w:bookmarkStart w:id="273" w:name="_Toc296347172"/>
      <w:bookmarkStart w:id="274" w:name="_Toc292559378"/>
      <w:bookmarkStart w:id="275" w:name="_Toc296891213"/>
      <w:bookmarkStart w:id="276" w:name="_Toc292559883"/>
      <w:bookmarkStart w:id="277" w:name="_Toc296944512"/>
      <w:bookmarkStart w:id="278" w:name="_Toc296503173"/>
      <w:bookmarkStart w:id="279" w:name="_Toc297120473"/>
      <w:bookmarkStart w:id="280" w:name="_Toc267251428"/>
      <w:bookmarkStart w:id="281" w:name="_Toc297048359"/>
      <w:bookmarkStart w:id="282" w:name="_Toc296346674"/>
      <w:bookmarkStart w:id="283" w:name="_Toc267251427"/>
      <w:bookmarkStart w:id="284" w:name="_Toc296891001"/>
      <w:r>
        <w:rPr>
          <w:rFonts w:hint="eastAsia" w:ascii="宋体" w:hAnsi="宋体" w:eastAsia="宋体" w:cs="宋体"/>
          <w:b w:val="0"/>
          <w:sz w:val="21"/>
          <w:szCs w:val="21"/>
        </w:rPr>
        <w:t>. 试验与检验</w:t>
      </w:r>
      <w:bookmarkEnd w:id="265"/>
    </w:p>
    <w:bookmarkEnd w:id="266"/>
    <w:bookmarkEnd w:id="267"/>
    <w:bookmarkEnd w:id="268"/>
    <w:bookmarkEnd w:id="269"/>
    <w:bookmarkEnd w:id="270"/>
    <w:bookmarkEnd w:id="271"/>
    <w:bookmarkEnd w:id="272"/>
    <w:p>
      <w:pPr>
        <w:spacing w:line="360" w:lineRule="exact"/>
        <w:ind w:firstLine="420" w:firstLineChars="200"/>
        <w:rPr>
          <w:rFonts w:ascii="宋体" w:hAnsi="宋体" w:cs="宋体"/>
          <w:szCs w:val="21"/>
        </w:rPr>
      </w:pPr>
      <w:r>
        <w:rPr>
          <w:rFonts w:hint="eastAsia" w:ascii="宋体" w:hAnsi="宋体" w:cs="宋体"/>
          <w:szCs w:val="21"/>
        </w:rPr>
        <w:t>9</w:t>
      </w:r>
      <w:bookmarkStart w:id="285" w:name="_Toc300934983"/>
      <w:bookmarkStart w:id="286" w:name="_Toc297123534"/>
      <w:bookmarkStart w:id="287" w:name="_Toc297216193"/>
      <w:bookmarkStart w:id="288" w:name="_Toc303539140"/>
      <w:bookmarkStart w:id="289" w:name="_Toc312678022"/>
      <w:bookmarkStart w:id="290" w:name="_Toc312677496"/>
      <w:bookmarkStart w:id="291" w:name="_Toc304295560"/>
      <w:r>
        <w:rPr>
          <w:rFonts w:hint="eastAsia" w:ascii="宋体" w:hAnsi="宋体" w:cs="宋体"/>
          <w:szCs w:val="21"/>
        </w:rPr>
        <w:t>.1试验设备与试验人员</w:t>
      </w:r>
    </w:p>
    <w:bookmarkEnd w:id="285"/>
    <w:bookmarkEnd w:id="286"/>
    <w:bookmarkEnd w:id="287"/>
    <w:bookmarkEnd w:id="288"/>
    <w:bookmarkEnd w:id="289"/>
    <w:bookmarkEnd w:id="290"/>
    <w:bookmarkEnd w:id="291"/>
    <w:p>
      <w:pPr>
        <w:spacing w:line="360" w:lineRule="exact"/>
        <w:ind w:firstLine="420" w:firstLineChars="200"/>
        <w:rPr>
          <w:rFonts w:ascii="宋体" w:hAnsi="宋体" w:cs="宋体"/>
          <w:szCs w:val="21"/>
        </w:rPr>
      </w:pPr>
      <w:r>
        <w:rPr>
          <w:rFonts w:hint="eastAsia" w:ascii="宋体" w:hAnsi="宋体" w:cs="宋体"/>
          <w:szCs w:val="21"/>
        </w:rPr>
        <w:t>9</w:t>
      </w:r>
      <w:bookmarkStart w:id="292" w:name="_Toc297123535"/>
      <w:bookmarkStart w:id="293" w:name="_Toc297216194"/>
      <w:bookmarkStart w:id="294" w:name="_Toc300934984"/>
      <w:bookmarkStart w:id="295" w:name="_Toc312678023"/>
      <w:bookmarkStart w:id="296" w:name="_Toc312677497"/>
      <w:bookmarkStart w:id="297" w:name="_Toc303539141"/>
      <w:bookmarkStart w:id="298" w:name="_Toc304295561"/>
      <w:bookmarkStart w:id="299" w:name="_Toc318581174"/>
      <w:r>
        <w:rPr>
          <w:rFonts w:hint="eastAsia" w:ascii="宋体" w:hAnsi="宋体" w:cs="宋体"/>
          <w:szCs w:val="21"/>
        </w:rPr>
        <w:t>.1.2 试验设备</w:t>
      </w:r>
    </w:p>
    <w:p>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bookmarkEnd w:id="292"/>
      <w:bookmarkEnd w:id="293"/>
      <w:bookmarkEnd w:id="294"/>
      <w:bookmarkEnd w:id="295"/>
      <w:bookmarkEnd w:id="296"/>
      <w:bookmarkEnd w:id="297"/>
      <w:bookmarkEnd w:id="298"/>
      <w:bookmarkStart w:id="300" w:name="_Toc297216195"/>
      <w:bookmarkStart w:id="301" w:name="_Toc312677498"/>
      <w:bookmarkStart w:id="302" w:name="_Toc303539142"/>
      <w:bookmarkStart w:id="303" w:name="_Toc297123536"/>
      <w:bookmarkStart w:id="304" w:name="_Toc304295562"/>
      <w:bookmarkStart w:id="305" w:name="_Toc300934985"/>
      <w:bookmarkStart w:id="306" w:name="_Toc312678024"/>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pPr>
        <w:spacing w:line="360" w:lineRule="exact"/>
        <w:ind w:firstLine="315" w:firstLineChars="150"/>
        <w:rPr>
          <w:rFonts w:ascii="宋体" w:hAnsi="宋体" w:cs="宋体"/>
          <w:szCs w:val="21"/>
          <w:u w:val="single"/>
        </w:rPr>
      </w:pPr>
      <w:r>
        <w:rPr>
          <w:rFonts w:hint="eastAsia" w:ascii="宋体" w:hAnsi="宋体" w:cs="宋体"/>
          <w:szCs w:val="21"/>
        </w:rPr>
        <w:t>材料、设备和工程的试验和检验的费用：</w:t>
      </w:r>
      <w:r>
        <w:rPr>
          <w:rFonts w:hint="eastAsia" w:ascii="宋体" w:hAnsi="宋体" w:cs="宋体"/>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15" w:firstLineChars="150"/>
        <w:rPr>
          <w:rFonts w:ascii="宋体" w:hAnsi="宋体" w:cs="宋体"/>
          <w:szCs w:val="21"/>
          <w:u w:val="single"/>
        </w:rPr>
      </w:pPr>
      <w:r>
        <w:rPr>
          <w:rFonts w:hint="eastAsia" w:ascii="宋体" w:hAnsi="宋体" w:cs="宋体"/>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15" w:firstLineChars="150"/>
        <w:rPr>
          <w:rFonts w:ascii="宋体" w:hAnsi="宋体" w:cs="宋体"/>
          <w:szCs w:val="21"/>
          <w:u w:val="single"/>
        </w:rPr>
      </w:pPr>
      <w:r>
        <w:rPr>
          <w:rFonts w:hint="eastAsia" w:ascii="宋体" w:hAnsi="宋体" w:cs="宋体"/>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ascii="宋体" w:hAnsi="宋体" w:cs="宋体"/>
          <w:szCs w:val="21"/>
        </w:rPr>
      </w:pPr>
      <w:r>
        <w:rPr>
          <w:rFonts w:hint="eastAsia" w:ascii="宋体" w:hAnsi="宋体" w:cs="宋体"/>
          <w:szCs w:val="21"/>
        </w:rPr>
        <w:t>9.4 现场工艺试验</w:t>
      </w:r>
    </w:p>
    <w:p>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rPr>
        <w:t>。</w:t>
      </w:r>
    </w:p>
    <w:bookmarkEnd w:id="299"/>
    <w:bookmarkEnd w:id="300"/>
    <w:bookmarkEnd w:id="301"/>
    <w:bookmarkEnd w:id="302"/>
    <w:bookmarkEnd w:id="303"/>
    <w:bookmarkEnd w:id="304"/>
    <w:bookmarkEnd w:id="305"/>
    <w:bookmarkEnd w:id="306"/>
    <w:p>
      <w:pPr>
        <w:pStyle w:val="2"/>
        <w:spacing w:before="0" w:after="0" w:line="360" w:lineRule="exact"/>
        <w:rPr>
          <w:rFonts w:ascii="宋体" w:hAnsi="宋体" w:eastAsia="宋体" w:cs="宋体"/>
          <w:b w:val="0"/>
          <w:sz w:val="21"/>
          <w:szCs w:val="21"/>
        </w:rPr>
      </w:pPr>
      <w:bookmarkStart w:id="307" w:name="_Toc351203642"/>
      <w:r>
        <w:rPr>
          <w:rFonts w:hint="eastAsia" w:ascii="宋体" w:hAnsi="宋体" w:eastAsia="宋体" w:cs="宋体"/>
          <w:b w:val="0"/>
          <w:sz w:val="21"/>
          <w:szCs w:val="21"/>
        </w:rPr>
        <w:t>1</w:t>
      </w:r>
      <w:bookmarkEnd w:id="273"/>
      <w:bookmarkEnd w:id="274"/>
      <w:bookmarkEnd w:id="275"/>
      <w:bookmarkEnd w:id="276"/>
      <w:bookmarkEnd w:id="277"/>
      <w:bookmarkEnd w:id="278"/>
      <w:bookmarkEnd w:id="279"/>
      <w:bookmarkEnd w:id="280"/>
      <w:bookmarkEnd w:id="281"/>
      <w:bookmarkEnd w:id="282"/>
      <w:bookmarkEnd w:id="283"/>
      <w:bookmarkEnd w:id="284"/>
      <w:bookmarkStart w:id="308" w:name="_Toc296891233"/>
      <w:bookmarkStart w:id="309" w:name="_Toc297216199"/>
      <w:bookmarkStart w:id="310" w:name="_Toc296503193"/>
      <w:bookmarkStart w:id="311" w:name="_Toc296944532"/>
      <w:bookmarkStart w:id="312" w:name="_Toc296346694"/>
      <w:bookmarkStart w:id="313" w:name="_Toc297120493"/>
      <w:bookmarkStart w:id="314" w:name="_Toc296347192"/>
      <w:bookmarkStart w:id="315" w:name="_Toc297123540"/>
      <w:bookmarkStart w:id="316" w:name="_Toc296891021"/>
      <w:bookmarkStart w:id="317" w:name="_Toc300934989"/>
      <w:bookmarkStart w:id="318" w:name="_Toc303539146"/>
      <w:bookmarkStart w:id="319" w:name="_Toc292559903"/>
      <w:bookmarkStart w:id="320" w:name="_Toc304295566"/>
      <w:bookmarkStart w:id="321" w:name="_Toc297048379"/>
      <w:bookmarkStart w:id="322" w:name="_Toc292559398"/>
      <w:bookmarkStart w:id="323" w:name="_Toc312677499"/>
      <w:bookmarkStart w:id="324" w:name="_Toc312678025"/>
      <w:bookmarkStart w:id="325" w:name="_Toc267251433"/>
      <w:bookmarkStart w:id="326" w:name="_Toc267251440"/>
      <w:bookmarkStart w:id="327" w:name="_Toc267251435"/>
      <w:bookmarkStart w:id="328" w:name="_Toc267251441"/>
      <w:bookmarkStart w:id="329" w:name="_Toc267251439"/>
      <w:bookmarkStart w:id="330" w:name="_Toc267251437"/>
      <w:bookmarkStart w:id="331" w:name="_Toc267251442"/>
      <w:r>
        <w:rPr>
          <w:rFonts w:hint="eastAsia" w:ascii="宋体" w:hAnsi="宋体" w:eastAsia="宋体" w:cs="宋体"/>
          <w:b w:val="0"/>
          <w:sz w:val="21"/>
          <w:szCs w:val="21"/>
        </w:rPr>
        <w:t>0. 变更</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bookmarkEnd w:id="323"/>
    <w:bookmarkEnd w:id="324"/>
    <w:p>
      <w:pPr>
        <w:spacing w:line="360" w:lineRule="exact"/>
        <w:ind w:firstLine="420" w:firstLineChars="200"/>
        <w:rPr>
          <w:rFonts w:ascii="宋体" w:hAnsi="宋体" w:cs="宋体"/>
          <w:szCs w:val="21"/>
        </w:rPr>
      </w:pPr>
      <w:r>
        <w:rPr>
          <w:rFonts w:hint="eastAsia" w:ascii="宋体" w:hAnsi="宋体" w:cs="宋体"/>
          <w:szCs w:val="21"/>
        </w:rPr>
        <w:t>1</w:t>
      </w:r>
      <w:bookmarkStart w:id="332" w:name="_Toc312678026"/>
      <w:bookmarkStart w:id="333" w:name="_Toc297123541"/>
      <w:bookmarkStart w:id="334" w:name="_Toc304295567"/>
      <w:bookmarkStart w:id="335" w:name="_Toc296944533"/>
      <w:bookmarkStart w:id="336" w:name="_Toc297216200"/>
      <w:bookmarkStart w:id="337" w:name="_Toc296503194"/>
      <w:bookmarkStart w:id="338" w:name="_Toc292559399"/>
      <w:bookmarkStart w:id="339" w:name="_Toc297120494"/>
      <w:bookmarkStart w:id="340" w:name="_Toc297048380"/>
      <w:bookmarkStart w:id="341" w:name="_Toc296891022"/>
      <w:bookmarkStart w:id="342" w:name="_Toc300934990"/>
      <w:bookmarkStart w:id="343" w:name="_Toc303539147"/>
      <w:bookmarkStart w:id="344" w:name="_Toc296891234"/>
      <w:bookmarkStart w:id="345" w:name="_Toc296347193"/>
      <w:bookmarkStart w:id="346" w:name="_Toc312677500"/>
      <w:bookmarkStart w:id="347" w:name="_Toc296346695"/>
      <w:bookmarkStart w:id="348" w:name="_Toc292559904"/>
      <w:r>
        <w:rPr>
          <w:rFonts w:hint="eastAsia" w:ascii="宋体" w:hAnsi="宋体" w:cs="宋体"/>
          <w:szCs w:val="21"/>
        </w:rPr>
        <w:t>0.1变更的范围</w:t>
      </w:r>
    </w:p>
    <w:p>
      <w:pPr>
        <w:spacing w:line="360" w:lineRule="exact"/>
        <w:ind w:firstLine="315" w:firstLineChars="15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pPr>
        <w:spacing w:line="360" w:lineRule="exact"/>
        <w:ind w:firstLine="420" w:firstLineChars="200"/>
        <w:rPr>
          <w:rFonts w:ascii="宋体" w:hAnsi="宋体" w:cs="宋体"/>
          <w:szCs w:val="21"/>
        </w:rPr>
      </w:pPr>
      <w:r>
        <w:rPr>
          <w:rFonts w:hint="eastAsia" w:ascii="宋体" w:hAnsi="宋体" w:cs="宋体"/>
          <w:szCs w:val="21"/>
        </w:rPr>
        <w:t>10.4 变更估价</w:t>
      </w:r>
    </w:p>
    <w:p>
      <w:pPr>
        <w:spacing w:line="360" w:lineRule="exact"/>
        <w:ind w:firstLine="420" w:firstLineChars="200"/>
        <w:rPr>
          <w:rFonts w:ascii="宋体" w:hAnsi="宋体" w:cs="宋体"/>
          <w:szCs w:val="21"/>
        </w:rPr>
      </w:pPr>
      <w:r>
        <w:rPr>
          <w:rFonts w:hint="eastAsia" w:ascii="宋体" w:hAnsi="宋体" w:cs="宋体"/>
          <w:szCs w:val="21"/>
        </w:rPr>
        <w:t>10.4.1 变更估价原则</w:t>
      </w:r>
    </w:p>
    <w:p>
      <w:pPr>
        <w:spacing w:line="360" w:lineRule="exact"/>
        <w:ind w:firstLine="315" w:firstLineChars="150"/>
        <w:rPr>
          <w:rFonts w:ascii="宋体" w:hAnsi="宋体" w:cs="宋体"/>
          <w:szCs w:val="21"/>
        </w:rPr>
      </w:pPr>
      <w:r>
        <w:rPr>
          <w:rFonts w:hint="eastAsia" w:ascii="宋体" w:hAnsi="宋体" w:cs="宋体"/>
          <w:szCs w:val="21"/>
        </w:rPr>
        <w:t xml:space="preserve">关于变更估价的约定: </w:t>
      </w:r>
      <w:r>
        <w:rPr>
          <w:rFonts w:hint="eastAsia" w:ascii="宋体" w:hAnsi="宋体" w:cs="宋体"/>
          <w:szCs w:val="21"/>
          <w:u w:val="single"/>
        </w:rPr>
        <w:t>变更项目的计价口径同合同约定计价方法，按施工合同约定的工程预算定额计价，预算定额中无合适定额子目的由发包人签证确定。</w:t>
      </w:r>
    </w:p>
    <w:p>
      <w:pPr>
        <w:spacing w:line="360" w:lineRule="exact"/>
        <w:ind w:firstLine="420" w:firstLineChars="200"/>
        <w:rPr>
          <w:rFonts w:ascii="宋体" w:hAnsi="宋体" w:cs="宋体"/>
          <w:szCs w:val="21"/>
        </w:rPr>
      </w:pPr>
      <w:r>
        <w:rPr>
          <w:rFonts w:hint="eastAsia" w:ascii="宋体" w:hAnsi="宋体" w:cs="宋体"/>
          <w:szCs w:val="21"/>
        </w:rPr>
        <w:t>10.4.2 变更估价程序</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承包人提出工程变更、施工方案调整等变更应同时提交变更估价申请。</w:t>
      </w:r>
    </w:p>
    <w:p>
      <w:pPr>
        <w:spacing w:line="360" w:lineRule="exact"/>
        <w:ind w:firstLine="420" w:firstLineChars="200"/>
        <w:rPr>
          <w:rFonts w:ascii="宋体" w:hAnsi="宋体" w:cs="宋体"/>
          <w:szCs w:val="21"/>
        </w:rPr>
      </w:pPr>
      <w:r>
        <w:rPr>
          <w:rFonts w:hint="eastAsia" w:ascii="宋体" w:hAnsi="宋体" w:cs="宋体"/>
          <w:szCs w:val="21"/>
          <w:u w:val="single"/>
        </w:rPr>
        <w:t>承包人提交的变更估价申请，发包人应予以签收，并在14天内审批完毕。</w:t>
      </w:r>
    </w:p>
    <w:p>
      <w:pPr>
        <w:spacing w:line="360" w:lineRule="exact"/>
        <w:ind w:firstLine="420" w:firstLineChars="200"/>
        <w:rPr>
          <w:rFonts w:ascii="宋体" w:hAnsi="宋体" w:cs="宋体"/>
          <w:szCs w:val="21"/>
        </w:rPr>
      </w:pPr>
      <w:r>
        <w:rPr>
          <w:rFonts w:hint="eastAsia" w:ascii="宋体" w:hAnsi="宋体" w:cs="宋体"/>
          <w:szCs w:val="21"/>
        </w:rPr>
        <w:t>1</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Start w:id="349" w:name="_Toc292559402"/>
      <w:bookmarkStart w:id="350" w:name="_Toc292559907"/>
      <w:bookmarkStart w:id="351" w:name="_Toc296944536"/>
      <w:bookmarkStart w:id="352" w:name="_Toc297120497"/>
      <w:bookmarkStart w:id="353" w:name="_Toc296503197"/>
      <w:bookmarkStart w:id="354" w:name="_Toc296346698"/>
      <w:bookmarkStart w:id="355" w:name="_Toc296347196"/>
      <w:bookmarkStart w:id="356" w:name="_Toc297048383"/>
      <w:bookmarkStart w:id="357" w:name="_Toc297123544"/>
      <w:bookmarkStart w:id="358" w:name="_Toc303539150"/>
      <w:bookmarkStart w:id="359" w:name="_Toc296891237"/>
      <w:bookmarkStart w:id="360" w:name="_Toc296891025"/>
      <w:bookmarkStart w:id="361" w:name="_Toc297216203"/>
      <w:bookmarkStart w:id="362" w:name="_Toc300934993"/>
      <w:bookmarkStart w:id="363" w:name="_Toc312678029"/>
      <w:bookmarkStart w:id="364" w:name="_Toc304295570"/>
      <w:bookmarkStart w:id="365" w:name="_Toc312677503"/>
      <w:r>
        <w:rPr>
          <w:rFonts w:hint="eastAsia" w:ascii="宋体" w:hAnsi="宋体" w:cs="宋体"/>
          <w:szCs w:val="21"/>
        </w:rPr>
        <w:t>0.5承</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Start w:id="366" w:name="_Toc303539151"/>
      <w:bookmarkStart w:id="367" w:name="_Toc296944542"/>
      <w:bookmarkStart w:id="368" w:name="_Toc297048389"/>
      <w:bookmarkStart w:id="369" w:name="_Toc296891031"/>
      <w:bookmarkStart w:id="370" w:name="_Toc296891243"/>
      <w:bookmarkStart w:id="371" w:name="_Toc296346704"/>
      <w:bookmarkStart w:id="372" w:name="_Toc297216204"/>
      <w:bookmarkStart w:id="373" w:name="_Toc292559913"/>
      <w:bookmarkStart w:id="374" w:name="_Toc296503203"/>
      <w:bookmarkStart w:id="375" w:name="_Toc297120503"/>
      <w:bookmarkStart w:id="376" w:name="_Toc297123545"/>
      <w:bookmarkStart w:id="377" w:name="_Toc300934994"/>
      <w:bookmarkStart w:id="378" w:name="_Toc292559408"/>
      <w:bookmarkStart w:id="379" w:name="_Toc296347202"/>
      <w:r>
        <w:rPr>
          <w:rFonts w:hint="eastAsia" w:ascii="宋体" w:hAnsi="宋体" w:cs="宋体"/>
          <w:szCs w:val="21"/>
        </w:rPr>
        <w:t>包人的合理化建议</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w:t>
      </w:r>
      <w:bookmarkStart w:id="380" w:name="_Toc296503204"/>
      <w:bookmarkStart w:id="381" w:name="_Toc296891032"/>
      <w:bookmarkStart w:id="382" w:name="_Toc304295571"/>
      <w:bookmarkStart w:id="383" w:name="_Toc296346705"/>
      <w:bookmarkStart w:id="384" w:name="_Toc297216205"/>
      <w:bookmarkStart w:id="385" w:name="_Toc318581175"/>
      <w:bookmarkStart w:id="386" w:name="_Toc292559914"/>
      <w:bookmarkStart w:id="387" w:name="_Toc312677504"/>
      <w:bookmarkStart w:id="388" w:name="_Toc297048390"/>
      <w:bookmarkStart w:id="389" w:name="_Toc296891244"/>
      <w:bookmarkStart w:id="390" w:name="_Toc297120504"/>
      <w:bookmarkStart w:id="391" w:name="_Toc300934995"/>
      <w:bookmarkStart w:id="392" w:name="_Toc296347203"/>
      <w:bookmarkStart w:id="393" w:name="_Toc296944543"/>
      <w:bookmarkStart w:id="394" w:name="_Toc303539152"/>
      <w:bookmarkStart w:id="395" w:name="_Toc292559409"/>
      <w:bookmarkStart w:id="396" w:name="_Toc297123546"/>
      <w:bookmarkStart w:id="397" w:name="_Toc312678030"/>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spacing w:line="360" w:lineRule="exact"/>
        <w:ind w:firstLine="420" w:firstLineChars="200"/>
        <w:rPr>
          <w:rFonts w:ascii="宋体" w:hAnsi="宋体" w:cs="宋体"/>
          <w:szCs w:val="21"/>
        </w:rPr>
      </w:pPr>
      <w:r>
        <w:rPr>
          <w:rFonts w:hint="eastAsia" w:ascii="宋体" w:hAnsi="宋体" w:cs="宋体"/>
          <w:szCs w:val="21"/>
        </w:rPr>
        <w:t>1</w:t>
      </w:r>
      <w:bookmarkStart w:id="398" w:name="_Toc297216207"/>
      <w:bookmarkStart w:id="399" w:name="_Toc292559909"/>
      <w:bookmarkStart w:id="400" w:name="_Toc312678033"/>
      <w:bookmarkStart w:id="401" w:name="_Toc296891239"/>
      <w:bookmarkStart w:id="402" w:name="_Toc296944538"/>
      <w:bookmarkStart w:id="403" w:name="_Toc300934997"/>
      <w:bookmarkStart w:id="404" w:name="_Toc297123548"/>
      <w:bookmarkStart w:id="405" w:name="_Toc304295574"/>
      <w:bookmarkStart w:id="406" w:name="_Toc296503199"/>
      <w:bookmarkStart w:id="407" w:name="_Toc292559404"/>
      <w:bookmarkStart w:id="408" w:name="_Toc296346700"/>
      <w:bookmarkStart w:id="409" w:name="_Toc312677507"/>
      <w:bookmarkStart w:id="410" w:name="_Toc296891027"/>
      <w:bookmarkStart w:id="411" w:name="_Toc297120499"/>
      <w:bookmarkStart w:id="412" w:name="_Toc303539154"/>
      <w:bookmarkStart w:id="413" w:name="_Toc296347198"/>
      <w:bookmarkStart w:id="414" w:name="_Toc297048385"/>
      <w:r>
        <w:rPr>
          <w:rFonts w:hint="eastAsia" w:ascii="宋体" w:hAnsi="宋体" w:cs="宋体"/>
          <w:szCs w:val="21"/>
        </w:rPr>
        <w:t>0.7 暂估价</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spacing w:line="360" w:lineRule="exact"/>
        <w:ind w:firstLine="420" w:firstLineChars="200"/>
        <w:rPr>
          <w:rFonts w:ascii="宋体" w:hAnsi="宋体" w:cs="宋体"/>
          <w:szCs w:val="21"/>
        </w:rPr>
      </w:pPr>
      <w:r>
        <w:rPr>
          <w:rFonts w:hint="eastAsia" w:ascii="宋体" w:hAnsi="宋体" w:cs="宋体"/>
          <w:kern w:val="0"/>
          <w:szCs w:val="21"/>
        </w:rPr>
        <w:t>暂</w:t>
      </w:r>
      <w:bookmarkStart w:id="415" w:name="_Toc318581176"/>
      <w:bookmarkStart w:id="416" w:name="_Toc312677508"/>
      <w:bookmarkStart w:id="417" w:name="_Toc312678034"/>
      <w:r>
        <w:rPr>
          <w:rFonts w:hint="eastAsia" w:ascii="宋体" w:hAnsi="宋体" w:cs="宋体"/>
          <w:kern w:val="0"/>
          <w:szCs w:val="21"/>
        </w:rPr>
        <w:t>估价材料和工程设备的明细详见附件11：《</w:t>
      </w:r>
      <w:r>
        <w:rPr>
          <w:rFonts w:hint="eastAsia" w:ascii="宋体" w:hAnsi="宋体" w:cs="宋体"/>
          <w:szCs w:val="21"/>
        </w:rPr>
        <w:t>暂估价一览表》</w:t>
      </w:r>
      <w:r>
        <w:rPr>
          <w:rFonts w:hint="eastAsia" w:ascii="宋体" w:hAnsi="宋体" w:cs="宋体"/>
          <w:kern w:val="0"/>
          <w:szCs w:val="21"/>
        </w:rPr>
        <w:t>。</w:t>
      </w:r>
    </w:p>
    <w:bookmarkEnd w:id="415"/>
    <w:bookmarkEnd w:id="416"/>
    <w:bookmarkEnd w:id="417"/>
    <w:p>
      <w:pPr>
        <w:spacing w:line="360" w:lineRule="exact"/>
        <w:ind w:firstLine="420" w:firstLineChars="200"/>
        <w:rPr>
          <w:rFonts w:ascii="宋体" w:hAnsi="宋体" w:cs="宋体"/>
          <w:szCs w:val="21"/>
        </w:rPr>
      </w:pPr>
      <w:r>
        <w:rPr>
          <w:rFonts w:hint="eastAsia" w:ascii="宋体" w:hAnsi="宋体" w:cs="宋体"/>
          <w:szCs w:val="21"/>
        </w:rPr>
        <w:t>1</w:t>
      </w:r>
      <w:bookmarkStart w:id="418" w:name="_Toc312678035"/>
      <w:bookmarkStart w:id="419" w:name="_Toc312677509"/>
      <w:bookmarkStart w:id="420" w:name="_Toc318581177"/>
      <w:r>
        <w:rPr>
          <w:rFonts w:hint="eastAsia" w:ascii="宋体" w:hAnsi="宋体" w:cs="宋体"/>
          <w:szCs w:val="21"/>
        </w:rPr>
        <w:t>0.7.1 必须招标的暂估价项目</w:t>
      </w:r>
    </w:p>
    <w:bookmarkEnd w:id="418"/>
    <w:bookmarkEnd w:id="419"/>
    <w:bookmarkEnd w:id="420"/>
    <w:p>
      <w:pPr>
        <w:spacing w:line="360" w:lineRule="exact"/>
        <w:ind w:firstLine="420" w:firstLineChars="200"/>
        <w:rPr>
          <w:rFonts w:ascii="宋体" w:hAnsi="宋体" w:cs="宋体"/>
          <w:szCs w:val="21"/>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exact"/>
        <w:ind w:firstLine="420" w:firstLineChars="200"/>
        <w:rPr>
          <w:rFonts w:ascii="宋体" w:hAnsi="宋体" w:cs="宋体"/>
          <w:szCs w:val="21"/>
        </w:rPr>
      </w:pPr>
      <w:r>
        <w:rPr>
          <w:rFonts w:hint="eastAsia" w:ascii="宋体" w:hAnsi="宋体" w:cs="宋体"/>
          <w:szCs w:val="21"/>
        </w:rPr>
        <w:t>10.7.2 不属于必须招标的暂估价项目：</w:t>
      </w:r>
      <w:r>
        <w:rPr>
          <w:rFonts w:hint="eastAsia" w:ascii="宋体" w:hAnsi="宋体" w:cs="宋体"/>
          <w:szCs w:val="21"/>
          <w:u w:val="single"/>
        </w:rPr>
        <w:t>按合同通用条款。</w:t>
      </w:r>
    </w:p>
    <w:p>
      <w:pPr>
        <w:spacing w:line="360" w:lineRule="exact"/>
        <w:ind w:firstLine="420" w:firstLineChars="200"/>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10.8 暂列金额</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w:t>
      </w:r>
      <w:r>
        <w:rPr>
          <w:rFonts w:hint="eastAsia" w:ascii="宋体" w:hAnsi="宋体" w:cs="宋体"/>
          <w:kern w:val="0"/>
          <w:szCs w:val="21"/>
        </w:rPr>
        <w:t>。</w:t>
      </w:r>
    </w:p>
    <w:p>
      <w:pPr>
        <w:autoSpaceDE w:val="0"/>
        <w:autoSpaceDN w:val="0"/>
        <w:adjustRightInd w:val="0"/>
        <w:spacing w:line="360" w:lineRule="exact"/>
        <w:ind w:firstLine="420" w:firstLineChars="200"/>
        <w:rPr>
          <w:rFonts w:ascii="宋体" w:hAnsi="宋体" w:cs="宋体"/>
          <w:kern w:val="0"/>
          <w:szCs w:val="21"/>
          <w:u w:val="single"/>
        </w:rPr>
      </w:pPr>
      <w:r>
        <w:rPr>
          <w:rFonts w:hint="eastAsia" w:ascii="宋体" w:hAnsi="宋体" w:cs="宋体"/>
          <w:kern w:val="0"/>
          <w:szCs w:val="21"/>
        </w:rPr>
        <w:t>创标化工地增加费</w:t>
      </w:r>
      <w:r>
        <w:rPr>
          <w:rFonts w:hint="eastAsia" w:ascii="宋体" w:hAnsi="宋体" w:cs="宋体"/>
          <w:kern w:val="0"/>
          <w:szCs w:val="21"/>
          <w:u w:val="single"/>
        </w:rPr>
        <w:t xml:space="preserve">                                      </w:t>
      </w:r>
      <w:r>
        <w:rPr>
          <w:rFonts w:hint="eastAsia" w:ascii="宋体" w:hAnsi="宋体" w:cs="宋体"/>
          <w:kern w:val="0"/>
          <w:szCs w:val="21"/>
        </w:rPr>
        <w:t>。</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创优质工程增加费</w:t>
      </w:r>
      <w:r>
        <w:rPr>
          <w:rFonts w:hint="eastAsia" w:ascii="宋体" w:hAnsi="宋体" w:cs="宋体"/>
          <w:kern w:val="0"/>
          <w:szCs w:val="21"/>
          <w:u w:val="single"/>
        </w:rPr>
        <w:t xml:space="preserve">                                      </w:t>
      </w:r>
      <w:r>
        <w:rPr>
          <w:rFonts w:hint="eastAsia" w:ascii="宋体" w:hAnsi="宋体" w:cs="宋体"/>
          <w:kern w:val="0"/>
          <w:szCs w:val="21"/>
        </w:rPr>
        <w:t>。</w:t>
      </w:r>
    </w:p>
    <w:p>
      <w:pPr>
        <w:pStyle w:val="2"/>
        <w:spacing w:before="0" w:after="0" w:line="360" w:lineRule="exact"/>
        <w:rPr>
          <w:rFonts w:ascii="宋体" w:hAnsi="宋体" w:eastAsia="宋体" w:cs="宋体"/>
          <w:b w:val="0"/>
          <w:sz w:val="21"/>
          <w:szCs w:val="21"/>
        </w:rPr>
      </w:pPr>
      <w:bookmarkStart w:id="421" w:name="_Toc351203643"/>
      <w:r>
        <w:rPr>
          <w:rFonts w:hint="eastAsia" w:ascii="宋体" w:hAnsi="宋体" w:eastAsia="宋体" w:cs="宋体"/>
          <w:b w:val="0"/>
          <w:sz w:val="21"/>
          <w:szCs w:val="21"/>
        </w:rPr>
        <w:t>11. 价格调整</w:t>
      </w:r>
      <w:bookmarkEnd w:id="421"/>
    </w:p>
    <w:p>
      <w:pPr>
        <w:spacing w:line="360" w:lineRule="exact"/>
        <w:ind w:firstLine="420" w:firstLineChars="200"/>
        <w:rPr>
          <w:rFonts w:ascii="宋体" w:hAnsi="宋体" w:cs="宋体"/>
          <w:szCs w:val="21"/>
        </w:rPr>
      </w:pPr>
      <w:bookmarkStart w:id="422" w:name="_Toc297216209"/>
      <w:bookmarkStart w:id="423" w:name="_Toc296347200"/>
      <w:bookmarkStart w:id="424" w:name="_Toc296503201"/>
      <w:bookmarkStart w:id="425" w:name="_Toc312678039"/>
      <w:bookmarkStart w:id="426" w:name="_Toc300935000"/>
      <w:bookmarkStart w:id="427" w:name="_Toc297123550"/>
      <w:bookmarkStart w:id="428" w:name="_Toc303539157"/>
      <w:bookmarkStart w:id="429" w:name="_Toc296346702"/>
      <w:bookmarkStart w:id="430" w:name="_Toc297120501"/>
      <w:bookmarkStart w:id="431" w:name="_Toc292559911"/>
      <w:bookmarkStart w:id="432" w:name="_Toc296944540"/>
      <w:bookmarkStart w:id="433" w:name="_Toc292559406"/>
      <w:bookmarkStart w:id="434" w:name="_Toc297048387"/>
      <w:bookmarkStart w:id="435" w:name="_Toc296891241"/>
      <w:bookmarkStart w:id="436" w:name="_Toc304295577"/>
      <w:bookmarkStart w:id="437" w:name="_Toc296891029"/>
      <w:r>
        <w:rPr>
          <w:rFonts w:hint="eastAsia" w:ascii="宋体" w:hAnsi="宋体" w:cs="宋体"/>
          <w:szCs w:val="21"/>
        </w:rPr>
        <w:t>11.1 市场价格波动引起的调整</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exact"/>
        <w:ind w:firstLine="388" w:firstLineChars="185"/>
        <w:rPr>
          <w:rFonts w:ascii="宋体" w:hAnsi="宋体" w:cs="宋体"/>
          <w:szCs w:val="21"/>
          <w:u w:val="single"/>
        </w:rPr>
      </w:pPr>
      <w:r>
        <w:rPr>
          <w:rFonts w:hint="eastAsia" w:ascii="宋体" w:hAnsi="宋体" w:cs="宋体"/>
          <w:kern w:val="0"/>
          <w:szCs w:val="21"/>
        </w:rPr>
        <w:t>市场价格波动是否调整合同价格的约定</w:t>
      </w:r>
      <w:r>
        <w:rPr>
          <w:rFonts w:hint="eastAsia" w:ascii="宋体" w:hAnsi="宋体" w:cs="宋体"/>
          <w:kern w:val="0"/>
          <w:szCs w:val="21"/>
          <w:u w:val="single"/>
        </w:rPr>
        <w:t>：</w:t>
      </w:r>
      <w:r>
        <w:rPr>
          <w:rFonts w:hint="eastAsia" w:ascii="宋体" w:hAnsi="宋体" w:cs="宋体"/>
          <w:szCs w:val="21"/>
          <w:u w:val="single"/>
        </w:rPr>
        <w:t>不予调整。</w:t>
      </w:r>
    </w:p>
    <w:p>
      <w:pPr>
        <w:spacing w:line="360" w:lineRule="exact"/>
        <w:ind w:firstLine="420" w:firstLineChars="200"/>
        <w:rPr>
          <w:rFonts w:ascii="宋体" w:hAnsi="宋体" w:cs="宋体"/>
          <w:szCs w:val="21"/>
        </w:rPr>
      </w:pPr>
      <w:r>
        <w:rPr>
          <w:rFonts w:hint="eastAsia" w:ascii="宋体" w:hAnsi="宋体" w:cs="宋体"/>
          <w:szCs w:val="21"/>
        </w:rPr>
        <w:t>11.2  法律变化引起的调整 ：</w:t>
      </w:r>
      <w:r>
        <w:rPr>
          <w:rFonts w:hint="eastAsia" w:ascii="宋体" w:hAnsi="宋体" w:cs="宋体"/>
          <w:szCs w:val="21"/>
          <w:u w:val="single"/>
        </w:rPr>
        <w:t xml:space="preserve">  按省级或行业建设主管部门或其授权的工程造价管理机构发布的规定执行。</w:t>
      </w:r>
      <w:r>
        <w:rPr>
          <w:rFonts w:hint="eastAsia" w:ascii="宋体" w:hAnsi="宋体" w:cs="宋体"/>
          <w:szCs w:val="21"/>
        </w:rPr>
        <w:t xml:space="preserve"> </w:t>
      </w:r>
    </w:p>
    <w:bookmarkEnd w:id="325"/>
    <w:bookmarkEnd w:id="326"/>
    <w:bookmarkEnd w:id="327"/>
    <w:bookmarkEnd w:id="328"/>
    <w:bookmarkEnd w:id="329"/>
    <w:bookmarkEnd w:id="330"/>
    <w:p>
      <w:pPr>
        <w:pStyle w:val="2"/>
        <w:spacing w:before="0" w:after="0" w:line="360" w:lineRule="exact"/>
        <w:rPr>
          <w:rFonts w:ascii="宋体" w:hAnsi="宋体" w:eastAsia="宋体" w:cs="宋体"/>
          <w:b w:val="0"/>
          <w:sz w:val="21"/>
          <w:szCs w:val="21"/>
        </w:rPr>
      </w:pPr>
      <w:bookmarkStart w:id="438" w:name="_Toc296891033"/>
      <w:bookmarkStart w:id="439" w:name="_Toc296503205"/>
      <w:bookmarkStart w:id="440" w:name="_Toc296347204"/>
      <w:bookmarkStart w:id="441" w:name="_Toc297120505"/>
      <w:bookmarkStart w:id="442" w:name="_Toc297048391"/>
      <w:bookmarkStart w:id="443" w:name="_Toc296944544"/>
      <w:bookmarkStart w:id="444" w:name="_Toc296346706"/>
      <w:bookmarkStart w:id="445" w:name="_Toc296891245"/>
      <w:bookmarkStart w:id="446" w:name="_Toc292559410"/>
      <w:bookmarkStart w:id="447" w:name="_Toc292559915"/>
      <w:bookmarkStart w:id="448" w:name="_Toc351203644"/>
      <w:bookmarkStart w:id="449" w:name="_Toc304295579"/>
      <w:bookmarkStart w:id="450" w:name="_Toc297123552"/>
      <w:bookmarkStart w:id="451" w:name="_Toc303539159"/>
      <w:bookmarkStart w:id="452" w:name="_Toc312678040"/>
      <w:bookmarkStart w:id="453" w:name="_Toc300935002"/>
      <w:bookmarkStart w:id="454" w:name="_Toc297216211"/>
      <w:r>
        <w:rPr>
          <w:rFonts w:hint="eastAsia" w:ascii="宋体" w:hAnsi="宋体" w:eastAsia="宋体" w:cs="宋体"/>
          <w:b w:val="0"/>
          <w:sz w:val="21"/>
          <w:szCs w:val="21"/>
        </w:rPr>
        <w:t xml:space="preserve">12. </w:t>
      </w:r>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b w:val="0"/>
          <w:sz w:val="21"/>
          <w:szCs w:val="21"/>
        </w:rPr>
        <w:t>合同价格、计量与支付</w:t>
      </w:r>
      <w:bookmarkEnd w:id="448"/>
    </w:p>
    <w:bookmarkEnd w:id="449"/>
    <w:bookmarkEnd w:id="450"/>
    <w:bookmarkEnd w:id="451"/>
    <w:bookmarkEnd w:id="452"/>
    <w:bookmarkEnd w:id="453"/>
    <w:bookmarkEnd w:id="454"/>
    <w:p>
      <w:pPr>
        <w:spacing w:line="360" w:lineRule="exact"/>
        <w:ind w:firstLine="420" w:firstLineChars="200"/>
        <w:rPr>
          <w:rFonts w:ascii="宋体" w:hAnsi="宋体" w:cs="宋体"/>
          <w:color w:val="000000" w:themeColor="text1"/>
          <w:szCs w:val="21"/>
        </w:rPr>
      </w:pPr>
      <w:bookmarkStart w:id="455" w:name="_Toc267251461"/>
      <w:bookmarkStart w:id="456" w:name="_Toc292559916"/>
      <w:bookmarkStart w:id="457" w:name="_Toc292559411"/>
      <w:bookmarkStart w:id="458" w:name="_Toc297048392"/>
      <w:bookmarkStart w:id="459" w:name="_Toc296944545"/>
      <w:bookmarkStart w:id="460" w:name="_Toc296891034"/>
      <w:bookmarkStart w:id="461" w:name="_Toc296891246"/>
      <w:bookmarkStart w:id="462" w:name="_Toc296347205"/>
      <w:bookmarkStart w:id="463" w:name="_Toc296503206"/>
      <w:bookmarkStart w:id="464" w:name="_Toc296346707"/>
      <w:bookmarkStart w:id="465" w:name="_Toc297120506"/>
      <w:bookmarkStart w:id="466" w:name="_Toc300935003"/>
      <w:bookmarkStart w:id="467" w:name="_Toc297123553"/>
      <w:bookmarkStart w:id="468" w:name="_Toc303539160"/>
      <w:bookmarkStart w:id="469" w:name="_Toc304295580"/>
      <w:bookmarkStart w:id="470" w:name="_Toc312678041"/>
      <w:bookmarkStart w:id="471" w:name="_Toc297216212"/>
      <w:r>
        <w:rPr>
          <w:rFonts w:ascii="宋体" w:hAnsi="宋体" w:cs="宋体"/>
          <w:color w:val="000000" w:themeColor="text1"/>
          <w:szCs w:val="21"/>
        </w:rPr>
        <w:t xml:space="preserve">12.1 </w:t>
      </w:r>
      <w:r>
        <w:rPr>
          <w:rFonts w:hint="eastAsia" w:ascii="宋体" w:hAnsi="宋体" w:cs="宋体"/>
          <w:color w:val="000000" w:themeColor="text1"/>
          <w:szCs w:val="21"/>
        </w:rPr>
        <w:t>合</w:t>
      </w:r>
      <w:bookmarkEnd w:id="455"/>
      <w:bookmarkEnd w:id="456"/>
      <w:bookmarkEnd w:id="457"/>
      <w:r>
        <w:rPr>
          <w:rFonts w:hint="eastAsia" w:ascii="宋体" w:hAnsi="宋体" w:cs="宋体"/>
          <w:color w:val="000000" w:themeColor="text1"/>
          <w:szCs w:val="21"/>
        </w:rPr>
        <w:t>同价</w:t>
      </w:r>
      <w:bookmarkEnd w:id="458"/>
      <w:bookmarkEnd w:id="459"/>
      <w:bookmarkEnd w:id="460"/>
      <w:bookmarkEnd w:id="461"/>
      <w:bookmarkEnd w:id="462"/>
      <w:bookmarkEnd w:id="463"/>
      <w:bookmarkEnd w:id="464"/>
      <w:bookmarkEnd w:id="465"/>
      <w:r>
        <w:rPr>
          <w:rFonts w:hint="eastAsia" w:ascii="宋体" w:hAnsi="宋体" w:cs="宋体"/>
          <w:color w:val="000000" w:themeColor="text1"/>
          <w:szCs w:val="21"/>
        </w:rPr>
        <w:t>格形式</w:t>
      </w:r>
    </w:p>
    <w:p>
      <w:pPr>
        <w:autoSpaceDE w:val="0"/>
        <w:autoSpaceDN w:val="0"/>
        <w:spacing w:line="360" w:lineRule="exact"/>
        <w:rPr>
          <w:rFonts w:ascii="宋体" w:hAnsi="宋体" w:cs="宋体"/>
          <w:color w:val="000000" w:themeColor="text1"/>
          <w:szCs w:val="21"/>
          <w:u w:val="single"/>
        </w:rPr>
      </w:pPr>
      <w:r>
        <w:rPr>
          <w:rFonts w:hint="eastAsia" w:ascii="宋体" w:hAnsi="宋体" w:cs="宋体"/>
          <w:color w:val="000000" w:themeColor="text1"/>
          <w:kern w:val="0"/>
          <w:szCs w:val="21"/>
        </w:rPr>
        <w:t xml:space="preserve">    一、</w:t>
      </w:r>
      <w:bookmarkEnd w:id="466"/>
      <w:bookmarkEnd w:id="467"/>
      <w:bookmarkEnd w:id="468"/>
      <w:bookmarkEnd w:id="469"/>
      <w:bookmarkEnd w:id="470"/>
      <w:bookmarkEnd w:id="471"/>
      <w:r>
        <w:rPr>
          <w:rFonts w:hint="eastAsia" w:ascii="宋体" w:hAnsi="宋体" w:cs="宋体"/>
          <w:color w:val="000000" w:themeColor="text1"/>
          <w:szCs w:val="21"/>
        </w:rPr>
        <w:t>本合同价款采用</w:t>
      </w:r>
      <w:r>
        <w:rPr>
          <w:rFonts w:ascii="宋体" w:hAnsi="宋体" w:cs="宋体"/>
          <w:color w:val="000000" w:themeColor="text1"/>
          <w:szCs w:val="21"/>
          <w:u w:val="single"/>
        </w:rPr>
        <w:t xml:space="preserve">   固定总价</w:t>
      </w:r>
      <w:r>
        <w:rPr>
          <w:rFonts w:hint="eastAsia" w:ascii="宋体" w:hAnsi="宋体" w:cs="宋体"/>
          <w:color w:val="000000" w:themeColor="text1"/>
          <w:szCs w:val="21"/>
          <w:u w:val="single"/>
        </w:rPr>
        <w:t>合同</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形式。</w:t>
      </w:r>
    </w:p>
    <w:p>
      <w:pPr>
        <w:autoSpaceDE w:val="0"/>
        <w:autoSpaceDN w:val="0"/>
        <w:spacing w:line="36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u w:val="single"/>
        </w:rPr>
        <w:t>（1）采用固定总价合同。合同风险范围：本工程结算价的计算方式同投标价。除风险范围以外约定的调整外，以下内容按承包人的投标承诺一次性包定：</w:t>
      </w:r>
    </w:p>
    <w:p>
      <w:pPr>
        <w:autoSpaceDE w:val="0"/>
        <w:autoSpaceDN w:val="0"/>
        <w:spacing w:line="360" w:lineRule="exact"/>
        <w:ind w:firstLine="420" w:firstLineChars="200"/>
        <w:rPr>
          <w:rFonts w:ascii="宋体" w:hAnsi="宋体" w:cs="宋体"/>
          <w:color w:val="000000" w:themeColor="text1"/>
          <w:szCs w:val="21"/>
          <w:u w:val="single"/>
        </w:rPr>
      </w:pPr>
      <w:r>
        <w:rPr>
          <w:rFonts w:ascii="宋体" w:hAnsi="宋体" w:cs="宋体"/>
          <w:color w:val="000000" w:themeColor="text1"/>
          <w:szCs w:val="21"/>
          <w:u w:val="single"/>
        </w:rPr>
        <w:t>1）发包人</w:t>
      </w:r>
      <w:r>
        <w:rPr>
          <w:rFonts w:hint="eastAsia" w:ascii="宋体" w:hAnsi="宋体" w:cs="宋体"/>
          <w:color w:val="000000" w:themeColor="text1"/>
          <w:szCs w:val="21"/>
          <w:u w:val="single"/>
        </w:rPr>
        <w:t>采购时提供的图纸所包含的所有项目（其中</w:t>
      </w:r>
      <w:r>
        <w:rPr>
          <w:rFonts w:hint="eastAsia" w:ascii="宋体" w:hAnsi="宋体" w:cs="宋体"/>
          <w:color w:val="000000" w:themeColor="text1"/>
          <w:sz w:val="21"/>
          <w:szCs w:val="21"/>
          <w:u w:val="single"/>
        </w:rPr>
        <w:t>办公家具、窗帘、显示屏、电视机、投影设备、会议语音系统除外），</w:t>
      </w:r>
      <w:r>
        <w:rPr>
          <w:rFonts w:hint="eastAsia" w:ascii="宋体" w:hAnsi="宋体" w:cs="宋体"/>
          <w:color w:val="000000" w:themeColor="text1"/>
          <w:szCs w:val="21"/>
          <w:u w:val="single"/>
        </w:rPr>
        <w:t>按照</w:t>
      </w:r>
      <w:r>
        <w:rPr>
          <w:rFonts w:ascii="宋体" w:hAnsi="宋体" w:cs="宋体"/>
          <w:color w:val="000000" w:themeColor="text1"/>
          <w:szCs w:val="21"/>
          <w:u w:val="single"/>
        </w:rPr>
        <w:t>投标人投标</w:t>
      </w:r>
      <w:r>
        <w:rPr>
          <w:rFonts w:hint="eastAsia" w:ascii="宋体" w:hAnsi="宋体" w:cs="宋体"/>
          <w:color w:val="000000" w:themeColor="text1"/>
          <w:szCs w:val="21"/>
          <w:u w:val="single"/>
        </w:rPr>
        <w:t>时承诺的</w:t>
      </w:r>
      <w:r>
        <w:rPr>
          <w:rFonts w:ascii="宋体" w:hAnsi="宋体" w:cs="宋体"/>
          <w:color w:val="000000" w:themeColor="text1"/>
          <w:szCs w:val="21"/>
          <w:u w:val="single"/>
        </w:rPr>
        <w:t>投标总报价一次性包死。</w:t>
      </w:r>
    </w:p>
    <w:p>
      <w:pPr>
        <w:autoSpaceDE w:val="0"/>
        <w:autoSpaceDN w:val="0"/>
        <w:spacing w:line="36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u w:val="single"/>
        </w:rPr>
        <w:t>2</w:t>
      </w:r>
      <w:r>
        <w:rPr>
          <w:rFonts w:ascii="宋体" w:hAnsi="宋体" w:cs="宋体"/>
          <w:color w:val="000000" w:themeColor="text1"/>
          <w:szCs w:val="21"/>
          <w:u w:val="single"/>
        </w:rPr>
        <w:t>）</w:t>
      </w:r>
      <w:r>
        <w:rPr>
          <w:rFonts w:hint="eastAsia" w:ascii="宋体" w:hAnsi="宋体" w:cs="宋体"/>
          <w:color w:val="000000" w:themeColor="text1"/>
          <w:szCs w:val="21"/>
          <w:u w:val="single"/>
        </w:rPr>
        <w:t>采购</w:t>
      </w:r>
      <w:r>
        <w:rPr>
          <w:rFonts w:ascii="宋体" w:hAnsi="宋体" w:cs="宋体"/>
          <w:color w:val="000000" w:themeColor="text1"/>
          <w:szCs w:val="21"/>
          <w:u w:val="single"/>
        </w:rPr>
        <w:t>时发包人提供的</w:t>
      </w:r>
      <w:r>
        <w:rPr>
          <w:rFonts w:hint="eastAsia" w:ascii="宋体" w:hAnsi="宋体" w:cs="宋体"/>
          <w:color w:val="000000" w:themeColor="text1"/>
          <w:szCs w:val="21"/>
          <w:u w:val="single"/>
        </w:rPr>
        <w:t>预算书仅供参考。预算书中</w:t>
      </w:r>
      <w:r>
        <w:rPr>
          <w:rFonts w:ascii="宋体" w:hAnsi="宋体" w:cs="宋体"/>
          <w:color w:val="000000" w:themeColor="text1"/>
          <w:szCs w:val="21"/>
          <w:u w:val="single"/>
        </w:rPr>
        <w:t>直接工程费如发现计算错误、定额子目套用错误、漏项均不再调整</w:t>
      </w:r>
      <w:r>
        <w:rPr>
          <w:rFonts w:hint="eastAsia" w:ascii="宋体" w:hAnsi="宋体" w:cs="宋体"/>
          <w:color w:val="000000" w:themeColor="text1"/>
          <w:szCs w:val="21"/>
          <w:u w:val="single"/>
        </w:rPr>
        <w:t>。</w:t>
      </w:r>
    </w:p>
    <w:p>
      <w:pPr>
        <w:autoSpaceDE w:val="0"/>
        <w:autoSpaceDN w:val="0"/>
        <w:spacing w:line="36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u w:val="single"/>
        </w:rPr>
        <w:t>3</w:t>
      </w:r>
      <w:r>
        <w:rPr>
          <w:rFonts w:ascii="宋体" w:hAnsi="宋体" w:cs="宋体"/>
          <w:color w:val="000000" w:themeColor="text1"/>
          <w:szCs w:val="21"/>
          <w:u w:val="single"/>
        </w:rPr>
        <w:t>）计日工综合单价（工数经发包人签证，综合单价按技术工</w:t>
      </w:r>
      <w:r>
        <w:rPr>
          <w:rFonts w:hint="eastAsia" w:ascii="宋体" w:hAnsi="宋体" w:cs="宋体"/>
          <w:color w:val="000000" w:themeColor="text1"/>
          <w:szCs w:val="21"/>
          <w:u w:val="single"/>
        </w:rPr>
        <w:t>26</w:t>
      </w:r>
      <w:r>
        <w:rPr>
          <w:rFonts w:ascii="宋体" w:hAnsi="宋体" w:cs="宋体"/>
          <w:color w:val="000000" w:themeColor="text1"/>
          <w:szCs w:val="21"/>
          <w:u w:val="single"/>
        </w:rPr>
        <w:t>0元/工日、普工</w:t>
      </w:r>
      <w:r>
        <w:rPr>
          <w:rFonts w:hint="eastAsia" w:ascii="宋体" w:hAnsi="宋体" w:cs="宋体"/>
          <w:color w:val="000000" w:themeColor="text1"/>
          <w:szCs w:val="21"/>
          <w:u w:val="single"/>
        </w:rPr>
        <w:t>18</w:t>
      </w:r>
      <w:r>
        <w:rPr>
          <w:rFonts w:ascii="宋体" w:hAnsi="宋体" w:cs="宋体"/>
          <w:color w:val="000000" w:themeColor="text1"/>
          <w:szCs w:val="21"/>
          <w:u w:val="single"/>
        </w:rPr>
        <w:t>0元/工日计取）</w:t>
      </w:r>
      <w:r>
        <w:rPr>
          <w:rFonts w:hint="eastAsia" w:ascii="宋体" w:hAnsi="宋体" w:cs="宋体"/>
          <w:color w:val="000000" w:themeColor="text1"/>
          <w:szCs w:val="21"/>
          <w:u w:val="single"/>
        </w:rPr>
        <w:t>。</w:t>
      </w:r>
    </w:p>
    <w:p>
      <w:pPr>
        <w:autoSpaceDE w:val="0"/>
        <w:autoSpaceDN w:val="0"/>
        <w:spacing w:line="36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u w:val="single"/>
        </w:rPr>
        <w:t>4</w:t>
      </w:r>
      <w:r>
        <w:rPr>
          <w:rFonts w:ascii="宋体" w:hAnsi="宋体" w:cs="宋体"/>
          <w:color w:val="000000" w:themeColor="text1"/>
          <w:szCs w:val="21"/>
          <w:u w:val="single"/>
        </w:rPr>
        <w:t>）其他可能发生的费用：</w:t>
      </w:r>
    </w:p>
    <w:p>
      <w:pPr>
        <w:autoSpaceDE w:val="0"/>
        <w:autoSpaceDN w:val="0"/>
        <w:spacing w:line="360" w:lineRule="exact"/>
        <w:ind w:firstLine="420" w:firstLineChars="200"/>
        <w:rPr>
          <w:rFonts w:ascii="宋体" w:hAnsi="宋体" w:cs="宋体"/>
          <w:color w:val="000000" w:themeColor="text1"/>
          <w:szCs w:val="21"/>
          <w:u w:val="single"/>
        </w:rPr>
      </w:pPr>
      <w:r>
        <w:rPr>
          <w:rFonts w:ascii="宋体" w:hAnsi="宋体" w:cs="宋体"/>
          <w:color w:val="000000" w:themeColor="text1"/>
          <w:szCs w:val="21"/>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autoSpaceDE w:val="0"/>
        <w:autoSpaceDN w:val="0"/>
        <w:spacing w:line="360" w:lineRule="exact"/>
        <w:ind w:firstLine="420" w:firstLineChars="200"/>
        <w:rPr>
          <w:rFonts w:ascii="宋体" w:hAnsi="宋体" w:cs="宋体"/>
          <w:color w:val="000000" w:themeColor="text1"/>
          <w:szCs w:val="21"/>
          <w:u w:val="single"/>
        </w:rPr>
      </w:pPr>
      <w:r>
        <w:rPr>
          <w:rFonts w:ascii="宋体" w:hAnsi="宋体" w:cs="宋体"/>
          <w:color w:val="000000" w:themeColor="text1"/>
          <w:szCs w:val="21"/>
          <w:u w:val="single"/>
        </w:rPr>
        <w:t>b.凡招标文件中没明确允许补差或建设主管部门文件没有明确规定由发包人承担的，但实际施工中可能发生的其它管理费（如街道管理费、干扰费、环保费、占道押金等）。</w:t>
      </w:r>
    </w:p>
    <w:p>
      <w:pPr>
        <w:autoSpaceDE w:val="0"/>
        <w:autoSpaceDN w:val="0"/>
        <w:spacing w:line="360" w:lineRule="exact"/>
        <w:ind w:firstLine="420" w:firstLineChars="200"/>
        <w:rPr>
          <w:rFonts w:hint="eastAsia" w:ascii="宋体" w:hAnsi="宋体" w:cs="宋体"/>
          <w:color w:val="000000" w:themeColor="text1"/>
          <w:szCs w:val="21"/>
          <w:u w:val="single"/>
        </w:rPr>
      </w:pPr>
      <w:r>
        <w:rPr>
          <w:rFonts w:ascii="宋体" w:hAnsi="宋体" w:cs="宋体"/>
          <w:color w:val="000000" w:themeColor="text1"/>
          <w:szCs w:val="21"/>
          <w:u w:val="single"/>
        </w:rPr>
        <w:t>c.承包人应对发包人提供的图纸（含节点），结合文化上墙布展部分采购要求，作进一步深化设计。文化上墙布展部</w:t>
      </w:r>
      <w:r>
        <w:rPr>
          <w:rFonts w:ascii="宋体" w:hAnsi="宋体" w:cs="宋体"/>
          <w:color w:val="000000" w:themeColor="text1"/>
          <w:szCs w:val="21"/>
          <w:highlight w:val="none"/>
          <w:u w:val="single"/>
        </w:rPr>
        <w:t>分设计</w:t>
      </w:r>
      <w:r>
        <w:rPr>
          <w:rFonts w:hint="eastAsia" w:ascii="宋体" w:hAnsi="宋体" w:cs="宋体"/>
          <w:color w:val="000000" w:themeColor="text1"/>
          <w:szCs w:val="21"/>
          <w:u w:val="single"/>
        </w:rPr>
        <w:t>和</w:t>
      </w:r>
      <w:r>
        <w:rPr>
          <w:rFonts w:ascii="宋体" w:hAnsi="宋体" w:cs="宋体"/>
          <w:color w:val="000000" w:themeColor="text1"/>
          <w:szCs w:val="21"/>
          <w:highlight w:val="none"/>
          <w:u w:val="single"/>
        </w:rPr>
        <w:t>施工可能涉及基础装修部分增加的费用</w:t>
      </w:r>
      <w:r>
        <w:rPr>
          <w:rFonts w:ascii="宋体" w:hAnsi="宋体" w:cs="宋体"/>
          <w:color w:val="000000" w:themeColor="text1"/>
          <w:szCs w:val="21"/>
          <w:u w:val="single"/>
        </w:rPr>
        <w:t>，已包括在合同总价内，结算时不再另行计取费用。</w:t>
      </w:r>
    </w:p>
    <w:p>
      <w:pPr>
        <w:autoSpaceDE w:val="0"/>
        <w:autoSpaceDN w:val="0"/>
        <w:spacing w:line="360" w:lineRule="exact"/>
        <w:ind w:firstLine="420" w:firstLineChars="200"/>
        <w:rPr>
          <w:rFonts w:hint="eastAsia" w:ascii="宋体" w:hAnsi="宋体" w:cs="宋体"/>
          <w:color w:val="000000" w:themeColor="text1"/>
          <w:szCs w:val="21"/>
          <w:u w:val="single"/>
        </w:rPr>
      </w:pPr>
      <w:r>
        <w:rPr>
          <w:rFonts w:ascii="宋体" w:hAnsi="宋体" w:cs="宋体"/>
          <w:color w:val="000000" w:themeColor="text1"/>
          <w:szCs w:val="21"/>
          <w:u w:val="single"/>
        </w:rPr>
        <w:t>d.施工过程承包人须不断进行设计完善直至发包人满意，因承包人深化设计深度不够、设计不合理、效果不佳或设计有误、有漏,导致的增加费用均由承包人负责。</w:t>
      </w:r>
    </w:p>
    <w:p>
      <w:pPr>
        <w:autoSpaceDE w:val="0"/>
        <w:autoSpaceDN w:val="0"/>
        <w:spacing w:line="360" w:lineRule="exact"/>
        <w:ind w:firstLine="420" w:firstLineChars="200"/>
        <w:rPr>
          <w:rFonts w:hint="eastAsia" w:ascii="宋体" w:hAnsi="宋体" w:cs="宋体"/>
          <w:color w:val="000000" w:themeColor="text1"/>
          <w:szCs w:val="21"/>
          <w:u w:val="single"/>
        </w:rPr>
      </w:pPr>
      <w:r>
        <w:rPr>
          <w:rFonts w:hint="eastAsia" w:ascii="宋体" w:hAnsi="宋体" w:cs="宋体"/>
          <w:color w:val="000000" w:themeColor="text1"/>
          <w:szCs w:val="21"/>
          <w:u w:val="single"/>
          <w:lang w:val="en-US" w:eastAsia="zh-CN"/>
        </w:rPr>
        <w:t>e</w:t>
      </w:r>
      <w:r>
        <w:rPr>
          <w:rFonts w:hint="eastAsia" w:ascii="宋体" w:hAnsi="宋体" w:cs="宋体"/>
          <w:color w:val="000000" w:themeColor="text1"/>
          <w:szCs w:val="21"/>
          <w:u w:val="single"/>
        </w:rPr>
        <w:t>.</w:t>
      </w:r>
      <w:r>
        <w:rPr>
          <w:rFonts w:hint="eastAsia" w:ascii="宋体" w:hAnsi="宋体" w:cs="宋体"/>
          <w:color w:val="000000" w:themeColor="text1"/>
          <w:sz w:val="21"/>
          <w:szCs w:val="21"/>
          <w:u w:val="single"/>
        </w:rPr>
        <w:t>“办公家具、窗帘、显示屏、电视机、投影设备、会议语音系统”</w:t>
      </w:r>
      <w:r>
        <w:rPr>
          <w:rFonts w:hint="eastAsia" w:ascii="宋体" w:hAnsi="宋体" w:cs="宋体"/>
          <w:color w:val="000000" w:themeColor="text1"/>
          <w:szCs w:val="21"/>
          <w:u w:val="single"/>
        </w:rPr>
        <w:t>，由发包人另行招标或采等方式确定供应商，施工过程承包人应给予积极配合，可能增加的费用</w:t>
      </w:r>
      <w:r>
        <w:rPr>
          <w:rFonts w:ascii="宋体" w:hAnsi="宋体" w:cs="宋体"/>
          <w:color w:val="000000" w:themeColor="text1"/>
          <w:szCs w:val="21"/>
          <w:u w:val="single"/>
        </w:rPr>
        <w:t>已包括在合同总价内，结算时不再另行计取。</w:t>
      </w:r>
    </w:p>
    <w:p>
      <w:pPr>
        <w:autoSpaceDE w:val="0"/>
        <w:autoSpaceDN w:val="0"/>
        <w:spacing w:line="360" w:lineRule="exact"/>
        <w:ind w:firstLine="420" w:firstLineChars="200"/>
        <w:rPr>
          <w:rFonts w:ascii="宋体" w:hAnsi="宋体" w:cs="宋体"/>
          <w:color w:val="000000" w:themeColor="text1"/>
          <w:szCs w:val="21"/>
          <w:u w:val="single"/>
        </w:rPr>
      </w:pPr>
      <w:r>
        <w:rPr>
          <w:rFonts w:ascii="宋体" w:hAnsi="宋体" w:cs="宋体"/>
          <w:color w:val="000000" w:themeColor="text1"/>
          <w:szCs w:val="21"/>
          <w:u w:val="single"/>
        </w:rPr>
        <w:t>5</w:t>
      </w:r>
      <w:r>
        <w:rPr>
          <w:rFonts w:hint="eastAsia" w:ascii="宋体" w:hAnsi="宋体" w:cs="宋体"/>
          <w:color w:val="000000" w:themeColor="text1"/>
          <w:szCs w:val="21"/>
          <w:u w:val="single"/>
        </w:rPr>
        <w:t>）风险范围以外价格的调整方法：</w:t>
      </w:r>
    </w:p>
    <w:p>
      <w:pPr>
        <w:pStyle w:val="28"/>
        <w:spacing w:before="0" w:beforeAutospacing="0" w:after="0" w:afterAutospacing="0" w:line="500" w:lineRule="exact"/>
        <w:ind w:firstLine="420" w:firstLineChars="200"/>
        <w:rPr>
          <w:rFonts w:hint="default"/>
          <w:color w:val="000000" w:themeColor="text1"/>
          <w:sz w:val="21"/>
          <w:szCs w:val="21"/>
          <w:u w:val="single"/>
        </w:rPr>
      </w:pPr>
      <w:r>
        <w:rPr>
          <w:color w:val="000000" w:themeColor="text1"/>
          <w:sz w:val="21"/>
          <w:szCs w:val="21"/>
          <w:u w:val="single"/>
        </w:rPr>
        <w:t>因发包人用途改变或政策调整等原因，进行设计变更引起的增减工程量（含招标时未包含的内容或范围），由承包人根据预算书的编制方式、编制依据等</w:t>
      </w:r>
      <w:r>
        <w:rPr>
          <w:rFonts w:hint="default"/>
          <w:color w:val="000000" w:themeColor="text1"/>
          <w:sz w:val="21"/>
          <w:szCs w:val="21"/>
          <w:u w:val="single"/>
        </w:rPr>
        <w:t>按实调整</w:t>
      </w:r>
      <w:r>
        <w:rPr>
          <w:color w:val="000000" w:themeColor="text1"/>
          <w:sz w:val="21"/>
          <w:szCs w:val="21"/>
          <w:u w:val="single"/>
        </w:rPr>
        <w:t>。</w:t>
      </w:r>
    </w:p>
    <w:p>
      <w:pPr>
        <w:pStyle w:val="28"/>
        <w:spacing w:before="0" w:beforeAutospacing="0" w:after="0" w:afterAutospacing="0" w:line="500" w:lineRule="exact"/>
        <w:ind w:firstLine="420" w:firstLineChars="200"/>
        <w:rPr>
          <w:rFonts w:hint="default"/>
          <w:color w:val="000000" w:themeColor="text1"/>
          <w:sz w:val="21"/>
          <w:szCs w:val="21"/>
          <w:u w:val="single"/>
        </w:rPr>
      </w:pPr>
      <w:r>
        <w:rPr>
          <w:color w:val="000000" w:themeColor="text1"/>
          <w:sz w:val="21"/>
          <w:szCs w:val="21"/>
          <w:u w:val="single"/>
        </w:rPr>
        <w:t>其装修部分增减项目结算价格</w:t>
      </w:r>
      <w:r>
        <w:rPr>
          <w:rFonts w:hint="default"/>
          <w:color w:val="000000" w:themeColor="text1"/>
          <w:sz w:val="21"/>
          <w:szCs w:val="21"/>
          <w:u w:val="single"/>
        </w:rPr>
        <w:t>=变更项目金额×结算率，其中变更项目金额=实际工程量×招标预算单价（新增项目参照招标预算</w:t>
      </w:r>
      <w:r>
        <w:rPr>
          <w:color w:val="000000" w:themeColor="text1"/>
          <w:sz w:val="21"/>
          <w:szCs w:val="21"/>
          <w:u w:val="single"/>
        </w:rPr>
        <w:t>书采用的当期信息价及相应的编制办法，无信息价的按签证价）。结算率（装修部分）</w:t>
      </w:r>
      <w:r>
        <w:rPr>
          <w:rFonts w:hint="default"/>
          <w:color w:val="000000" w:themeColor="text1"/>
          <w:sz w:val="21"/>
          <w:szCs w:val="21"/>
          <w:u w:val="single"/>
        </w:rPr>
        <w:t>=承包人投标价（装修部分）/招标预算价（装修部分）。</w:t>
      </w:r>
    </w:p>
    <w:p>
      <w:pPr>
        <w:pStyle w:val="28"/>
        <w:spacing w:before="0" w:beforeAutospacing="0" w:after="0" w:afterAutospacing="0" w:line="500" w:lineRule="exact"/>
        <w:ind w:firstLine="420" w:firstLineChars="200"/>
        <w:rPr>
          <w:rFonts w:hint="default"/>
          <w:color w:val="000000" w:themeColor="text1"/>
          <w:sz w:val="21"/>
          <w:szCs w:val="21"/>
        </w:rPr>
      </w:pPr>
      <w:r>
        <w:rPr>
          <w:color w:val="000000" w:themeColor="text1"/>
          <w:sz w:val="21"/>
          <w:szCs w:val="21"/>
          <w:u w:val="single"/>
        </w:rPr>
        <w:t>其文化上墙布展部分增减项目结算价格，由承包人提交相应工程量和价格，经甲方审核签证后进入结算。</w:t>
      </w:r>
    </w:p>
    <w:p>
      <w:pPr>
        <w:spacing w:line="360" w:lineRule="exact"/>
        <w:ind w:firstLine="420" w:firstLineChars="200"/>
        <w:rPr>
          <w:rFonts w:ascii="宋体" w:hAnsi="宋体" w:cs="宋体"/>
          <w:szCs w:val="21"/>
        </w:rPr>
      </w:pPr>
      <w:bookmarkStart w:id="472" w:name="_Toc297123554"/>
      <w:bookmarkStart w:id="473" w:name="_Toc297216213"/>
      <w:bookmarkStart w:id="474" w:name="_Toc304295581"/>
      <w:bookmarkStart w:id="475" w:name="_Toc312678042"/>
      <w:bookmarkStart w:id="476" w:name="_Toc303539161"/>
      <w:bookmarkStart w:id="477" w:name="_Toc300935004"/>
      <w:bookmarkStart w:id="478" w:name="_Toc292559412"/>
      <w:bookmarkStart w:id="479" w:name="_Toc296891247"/>
      <w:bookmarkStart w:id="480" w:name="_Toc296503207"/>
      <w:bookmarkStart w:id="481" w:name="_Toc297120507"/>
      <w:bookmarkStart w:id="482" w:name="_Toc292559917"/>
      <w:bookmarkStart w:id="483" w:name="_Toc296944546"/>
      <w:bookmarkStart w:id="484" w:name="_Toc296346708"/>
      <w:bookmarkStart w:id="485" w:name="_Toc296891035"/>
      <w:bookmarkStart w:id="486" w:name="_Toc297048393"/>
      <w:bookmarkStart w:id="487" w:name="_Toc296347206"/>
      <w:r>
        <w:rPr>
          <w:rFonts w:hint="eastAsia" w:ascii="宋体" w:hAnsi="宋体" w:cs="宋体"/>
          <w:szCs w:val="21"/>
        </w:rPr>
        <w:t>12.2 预付款</w:t>
      </w:r>
    </w:p>
    <w:bookmarkEnd w:id="472"/>
    <w:bookmarkEnd w:id="473"/>
    <w:bookmarkEnd w:id="474"/>
    <w:bookmarkEnd w:id="475"/>
    <w:bookmarkEnd w:id="476"/>
    <w:bookmarkEnd w:id="477"/>
    <w:p>
      <w:pPr>
        <w:spacing w:line="360" w:lineRule="exact"/>
        <w:ind w:firstLine="420" w:firstLineChars="200"/>
        <w:rPr>
          <w:rFonts w:ascii="宋体" w:hAnsi="宋体" w:cs="宋体"/>
          <w:szCs w:val="21"/>
        </w:rPr>
      </w:pPr>
      <w:r>
        <w:rPr>
          <w:rFonts w:hint="eastAsia" w:ascii="宋体" w:hAnsi="宋体" w:cs="宋体"/>
          <w:szCs w:val="21"/>
        </w:rPr>
        <w:t>12.2.1 预付款的支付</w:t>
      </w:r>
    </w:p>
    <w:p>
      <w:pPr>
        <w:spacing w:line="36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 xml:space="preserve">合同价的40%, </w:t>
      </w:r>
      <w:r>
        <w:rPr>
          <w:rFonts w:hint="eastAsia"/>
          <w:szCs w:val="21"/>
          <w:u w:val="single"/>
        </w:rPr>
        <w:t>金额       元</w:t>
      </w:r>
      <w:r>
        <w:rPr>
          <w:rFonts w:hint="eastAsia" w:ascii="宋体" w:hAnsi="宋体" w:cs="宋体"/>
          <w:szCs w:val="21"/>
          <w:u w:val="single"/>
        </w:rPr>
        <w:t>。</w:t>
      </w:r>
    </w:p>
    <w:p>
      <w:pPr>
        <w:spacing w:line="36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按投标承诺的人员、机械设备进场后7天内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不扣回，作为工程款</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12.2.2 预付款担保</w:t>
      </w:r>
    </w:p>
    <w:p>
      <w:pPr>
        <w:spacing w:line="360" w:lineRule="exact"/>
        <w:ind w:firstLine="420" w:firstLineChars="200"/>
        <w:rPr>
          <w:rFonts w:ascii="宋体" w:hAnsi="宋体" w:cs="宋体"/>
          <w:szCs w:val="21"/>
        </w:rPr>
      </w:pPr>
      <w:r>
        <w:rPr>
          <w:rFonts w:hint="eastAsia" w:ascii="宋体" w:hAnsi="宋体" w:cs="宋体"/>
          <w:szCs w:val="21"/>
        </w:rPr>
        <w:t xml:space="preserve">承包人提交预付款担保的期限： </w:t>
      </w:r>
      <w:r>
        <w:rPr>
          <w:rFonts w:hint="eastAsia" w:ascii="宋体" w:hAnsi="宋体" w:cs="宋体"/>
          <w:szCs w:val="21"/>
          <w:u w:val="single"/>
        </w:rPr>
        <w:t>合同签订后，预付款支付前</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提交银行、保险公司出具的预付款保函</w:t>
      </w:r>
      <w:r>
        <w:rPr>
          <w:rFonts w:hint="eastAsia" w:ascii="宋体" w:hAnsi="宋体" w:cs="宋体"/>
          <w:szCs w:val="21"/>
        </w:rPr>
        <w:t>。</w:t>
      </w:r>
    </w:p>
    <w:bookmarkEnd w:id="478"/>
    <w:bookmarkEnd w:id="479"/>
    <w:bookmarkEnd w:id="480"/>
    <w:bookmarkEnd w:id="481"/>
    <w:bookmarkEnd w:id="482"/>
    <w:bookmarkEnd w:id="483"/>
    <w:bookmarkEnd w:id="484"/>
    <w:bookmarkEnd w:id="485"/>
    <w:bookmarkEnd w:id="486"/>
    <w:bookmarkEnd w:id="487"/>
    <w:p>
      <w:pPr>
        <w:spacing w:line="360" w:lineRule="exact"/>
        <w:ind w:firstLine="420" w:firstLineChars="200"/>
        <w:rPr>
          <w:rFonts w:ascii="宋体" w:hAnsi="宋体" w:cs="宋体"/>
          <w:szCs w:val="21"/>
        </w:rPr>
      </w:pPr>
      <w:r>
        <w:rPr>
          <w:rFonts w:hint="eastAsia" w:ascii="宋体" w:hAnsi="宋体" w:cs="宋体"/>
          <w:szCs w:val="21"/>
        </w:rPr>
        <w:t>12.3 计量</w:t>
      </w:r>
    </w:p>
    <w:p>
      <w:pPr>
        <w:spacing w:line="360" w:lineRule="exact"/>
        <w:ind w:firstLine="420" w:firstLineChars="200"/>
        <w:rPr>
          <w:rFonts w:ascii="宋体" w:hAnsi="宋体" w:cs="宋体"/>
          <w:szCs w:val="21"/>
        </w:rPr>
      </w:pPr>
      <w:r>
        <w:rPr>
          <w:rFonts w:hint="eastAsia" w:ascii="宋体" w:hAnsi="宋体" w:cs="宋体"/>
          <w:szCs w:val="21"/>
        </w:rPr>
        <w:t>12.3.1 计量原则</w:t>
      </w:r>
    </w:p>
    <w:p>
      <w:pPr>
        <w:spacing w:line="360" w:lineRule="exact"/>
        <w:ind w:firstLine="420" w:firstLineChars="200"/>
        <w:rPr>
          <w:rFonts w:ascii="宋体" w:hAnsi="宋体" w:cs="宋体"/>
          <w:szCs w:val="21"/>
          <w:u w:val="single"/>
        </w:rPr>
      </w:pPr>
      <w:r>
        <w:rPr>
          <w:rFonts w:hint="eastAsia" w:ascii="宋体" w:hAnsi="宋体" w:cs="宋体"/>
          <w:szCs w:val="21"/>
          <w:u w:val="single"/>
        </w:rPr>
        <w:t>工程量计算按照实际完成施工图纸范围内和经发包人同意增加的施工内容按实计算，工程量计算规则按照《浙江省房屋建筑与装饰工程预算定额》（2018版）、《浙江省通用安装工程预算定额》（2018版）、《浙江省建设工程计价规则》（2018版）、《浙江省建设工程施工费用定额》（2018版）、《浙江省施工机械台班费用定额》（2018版）、浙建建发〔2019〕92号关于增值税调整以及其它工程造价补充规定和技术规范、2021年《台州造价》和2021年《浙江造价信息》信息价及发包人提供的工程量清单中说明的工程量计算规则计量。</w:t>
      </w:r>
    </w:p>
    <w:p>
      <w:pPr>
        <w:spacing w:line="360" w:lineRule="exact"/>
        <w:ind w:firstLine="420" w:firstLineChars="200"/>
        <w:rPr>
          <w:rFonts w:ascii="宋体" w:hAnsi="宋体" w:cs="宋体"/>
          <w:szCs w:val="21"/>
        </w:rPr>
      </w:pPr>
      <w:r>
        <w:rPr>
          <w:rFonts w:hint="eastAsia" w:ascii="宋体" w:hAnsi="宋体" w:cs="宋体"/>
          <w:szCs w:val="21"/>
        </w:rPr>
        <w:t>12.3.2 计量周期：</w:t>
      </w:r>
    </w:p>
    <w:p>
      <w:pPr>
        <w:spacing w:line="360" w:lineRule="exact"/>
        <w:ind w:firstLine="420" w:firstLineChars="200"/>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按月计量</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12.3.3 单价合同的计量</w:t>
      </w:r>
    </w:p>
    <w:p>
      <w:pPr>
        <w:spacing w:line="360" w:lineRule="exact"/>
        <w:ind w:firstLine="420" w:firstLineChars="200"/>
        <w:rPr>
          <w:rFonts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按合同通用条款执行。</w:t>
      </w:r>
    </w:p>
    <w:p>
      <w:pPr>
        <w:spacing w:line="360" w:lineRule="exact"/>
        <w:ind w:firstLine="420" w:firstLineChars="200"/>
        <w:rPr>
          <w:rFonts w:ascii="宋体" w:hAnsi="宋体" w:cs="宋体"/>
          <w:szCs w:val="21"/>
        </w:rPr>
      </w:pPr>
      <w:r>
        <w:rPr>
          <w:rFonts w:hint="eastAsia" w:ascii="宋体" w:hAnsi="宋体" w:cs="宋体"/>
          <w:szCs w:val="21"/>
        </w:rPr>
        <w:t>12.3.4 总价合同的计量</w:t>
      </w:r>
    </w:p>
    <w:p>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pPr>
        <w:spacing w:line="360"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 xml:space="preserve">    /     。</w:t>
      </w:r>
    </w:p>
    <w:p>
      <w:pPr>
        <w:spacing w:line="360" w:lineRule="exact"/>
        <w:ind w:firstLine="420" w:firstLineChars="200"/>
        <w:rPr>
          <w:rFonts w:ascii="宋体" w:hAnsi="宋体" w:cs="宋体"/>
          <w:szCs w:val="21"/>
        </w:rPr>
      </w:pPr>
      <w:r>
        <w:rPr>
          <w:rFonts w:hint="eastAsia" w:ascii="宋体" w:hAnsi="宋体" w:cs="宋体"/>
          <w:szCs w:val="21"/>
        </w:rPr>
        <w:t xml:space="preserve"> 12.4 工程进度款支付</w:t>
      </w:r>
    </w:p>
    <w:p>
      <w:pPr>
        <w:spacing w:line="360" w:lineRule="exact"/>
        <w:ind w:firstLine="420" w:firstLineChars="200"/>
        <w:rPr>
          <w:rFonts w:ascii="宋体" w:hAnsi="宋体" w:cs="宋体"/>
          <w:szCs w:val="21"/>
        </w:rPr>
      </w:pPr>
      <w:bookmarkStart w:id="488" w:name="_Toc303539163"/>
      <w:bookmarkStart w:id="489" w:name="_Toc296347210"/>
      <w:bookmarkStart w:id="490" w:name="_Toc292559921"/>
      <w:bookmarkStart w:id="491" w:name="_Toc296891251"/>
      <w:bookmarkStart w:id="492" w:name="_Toc300935006"/>
      <w:bookmarkStart w:id="493" w:name="_Toc297120511"/>
      <w:bookmarkStart w:id="494" w:name="_Toc297216215"/>
      <w:bookmarkStart w:id="495" w:name="_Toc296944550"/>
      <w:bookmarkStart w:id="496" w:name="_Toc296503211"/>
      <w:bookmarkStart w:id="497" w:name="_Toc297048397"/>
      <w:bookmarkStart w:id="498" w:name="_Toc296346712"/>
      <w:bookmarkStart w:id="499" w:name="_Toc292559416"/>
      <w:bookmarkStart w:id="500" w:name="_Toc296891039"/>
      <w:bookmarkStart w:id="501" w:name="_Toc297123556"/>
      <w:r>
        <w:rPr>
          <w:rFonts w:hint="eastAsia" w:ascii="宋体" w:hAnsi="宋体" w:cs="宋体"/>
          <w:szCs w:val="21"/>
        </w:rPr>
        <w:t>12.4.1 付款周期</w:t>
      </w:r>
    </w:p>
    <w:p>
      <w:pPr>
        <w:spacing w:line="360" w:lineRule="exact"/>
        <w:ind w:firstLine="420" w:firstLineChars="200"/>
        <w:rPr>
          <w:rFonts w:ascii="宋体" w:hAnsi="宋体" w:cs="宋体"/>
          <w:szCs w:val="21"/>
        </w:rPr>
      </w:pPr>
      <w:r>
        <w:rPr>
          <w:rFonts w:hint="eastAsia" w:ascii="宋体" w:hAnsi="宋体" w:cs="宋体"/>
          <w:szCs w:val="21"/>
        </w:rPr>
        <w:t>关于付款周期的约定：</w:t>
      </w:r>
      <w:r>
        <w:rPr>
          <w:rFonts w:hint="eastAsia" w:ascii="宋体" w:hAnsi="宋体" w:cs="宋体"/>
          <w:szCs w:val="21"/>
          <w:u w:val="single"/>
        </w:rPr>
        <w:t>按月支付</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pPr>
        <w:spacing w:line="360" w:lineRule="exact"/>
        <w:ind w:firstLine="422" w:firstLineChars="200"/>
        <w:rPr>
          <w:rFonts w:ascii="宋体" w:hAnsi="宋体" w:cs="宋体"/>
          <w:szCs w:val="21"/>
          <w:u w:val="single"/>
        </w:rPr>
      </w:pPr>
      <w:r>
        <w:rPr>
          <w:rFonts w:hint="eastAsia" w:ascii="宋体" w:hAnsi="宋体" w:cs="宋体"/>
          <w:b/>
          <w:bCs/>
          <w:szCs w:val="21"/>
          <w:u w:val="single"/>
        </w:rPr>
        <w:t>装修部分</w:t>
      </w:r>
      <w:r>
        <w:rPr>
          <w:rFonts w:hint="eastAsia" w:ascii="宋体" w:hAnsi="宋体" w:cs="宋体"/>
          <w:szCs w:val="21"/>
          <w:u w:val="single"/>
        </w:rPr>
        <w:t>关于进度付款申请单编制的约定：按每月完成工程量的45%支付工程款，工程完工支付至不超过合同价的85%工程价款，工程验收合格且经有关部门审核后付至结算价款的100%，发包人支付完成最后工程结算付款前，承包人提供质量保证金保函，金额为1.5 %的工程结算价款。其余按合同通用条款执行。</w:t>
      </w:r>
    </w:p>
    <w:p>
      <w:pPr>
        <w:spacing w:line="360" w:lineRule="exact"/>
        <w:ind w:firstLine="422" w:firstLineChars="200"/>
        <w:rPr>
          <w:rFonts w:ascii="宋体" w:hAnsi="宋体" w:cs="宋体"/>
          <w:szCs w:val="21"/>
          <w:u w:val="single"/>
        </w:rPr>
      </w:pPr>
      <w:r>
        <w:rPr>
          <w:rFonts w:hint="eastAsia" w:ascii="宋体" w:hAnsi="宋体" w:cs="宋体"/>
          <w:b/>
          <w:bCs/>
          <w:szCs w:val="21"/>
          <w:u w:val="single"/>
        </w:rPr>
        <w:t>文化上墙部分</w:t>
      </w:r>
      <w:r>
        <w:rPr>
          <w:rFonts w:hint="eastAsia" w:ascii="宋体" w:hAnsi="宋体" w:cs="宋体"/>
          <w:szCs w:val="21"/>
          <w:u w:val="single"/>
        </w:rPr>
        <w:t>关于进度付款申请单编制的约定：工程完工支付至文化上墙部分合同价的85%工程价款，工程验收合格且经有关部门审核后付至结算价款的100%，发包人支付完成最后工程结算付款前，承包人提供质量保证金保函，金额为1.5 %的工程结算价款。其余按合同通用条款执行。</w:t>
      </w:r>
    </w:p>
    <w:p>
      <w:pPr>
        <w:spacing w:line="360" w:lineRule="exact"/>
        <w:ind w:firstLine="420" w:firstLineChars="200"/>
        <w:rPr>
          <w:rFonts w:ascii="宋体" w:hAnsi="宋体" w:cs="宋体"/>
          <w:szCs w:val="21"/>
        </w:rPr>
      </w:pPr>
      <w:r>
        <w:rPr>
          <w:rFonts w:hint="eastAsia" w:ascii="宋体" w:hAnsi="宋体" w:cs="宋体"/>
          <w:szCs w:val="21"/>
        </w:rPr>
        <w:t>1</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ascii="宋体" w:hAnsi="宋体" w:cs="宋体"/>
          <w:szCs w:val="21"/>
        </w:rPr>
        <w:t>2.4.3 进度付款申请单的提交</w:t>
      </w:r>
    </w:p>
    <w:p>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12.4.4 进度款审核和支付</w:t>
      </w:r>
    </w:p>
    <w:p>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pPr>
        <w:numPr>
          <w:ilvl w:val="0"/>
          <w:numId w:val="7"/>
        </w:numPr>
        <w:spacing w:line="360" w:lineRule="exact"/>
        <w:ind w:firstLine="420" w:firstLineChars="200"/>
        <w:rPr>
          <w:rFonts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pPr>
        <w:spacing w:line="36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支付应付工程进度（备料）款的利息，利率按同期全国银行间同业拆借中心公布的贷款市场报价利率，时间为从约定应付之日起至支付之日止计算利息</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11" w:firstLineChars="196"/>
        <w:rPr>
          <w:rFonts w:ascii="宋体" w:hAnsi="宋体" w:cs="宋体"/>
          <w:b/>
          <w:szCs w:val="21"/>
        </w:rPr>
      </w:pPr>
      <w:r>
        <w:rPr>
          <w:rFonts w:hint="eastAsia" w:ascii="宋体" w:hAnsi="宋体" w:cs="宋体"/>
          <w:bCs/>
          <w:szCs w:val="21"/>
        </w:rPr>
        <w:t>12.4.6 支付分解表的编制</w:t>
      </w:r>
    </w:p>
    <w:p>
      <w:pPr>
        <w:spacing w:line="360" w:lineRule="exact"/>
        <w:ind w:firstLine="420" w:firstLineChars="200"/>
        <w:rPr>
          <w:rFonts w:ascii="宋体" w:hAnsi="宋体" w:cs="宋体"/>
          <w:szCs w:val="21"/>
        </w:rPr>
      </w:pPr>
      <w:r>
        <w:rPr>
          <w:rFonts w:hint="eastAsia" w:ascii="宋体" w:hAnsi="宋体" w:cs="宋体"/>
          <w:szCs w:val="21"/>
        </w:rPr>
        <w:t xml:space="preserve">2、总价合同支付分解表的编制与审批： </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12.5 支付帐户</w:t>
      </w:r>
    </w:p>
    <w:p>
      <w:pPr>
        <w:spacing w:line="360" w:lineRule="exact"/>
        <w:ind w:firstLine="420" w:firstLineChars="200"/>
        <w:rPr>
          <w:rFonts w:ascii="宋体" w:hAnsi="宋体" w:cs="宋体"/>
          <w:szCs w:val="21"/>
        </w:rPr>
      </w:pPr>
      <w:r>
        <w:rPr>
          <w:rFonts w:hint="eastAsia" w:ascii="宋体" w:hAnsi="宋体" w:cs="宋体"/>
          <w:szCs w:val="21"/>
        </w:rPr>
        <w:t>发包人将当期应付工程进度款的(20)%拨付到承包人的农民工工资专用账户：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pPr>
        <w:spacing w:line="360" w:lineRule="exact"/>
        <w:ind w:firstLine="420" w:firstLineChars="200"/>
        <w:rPr>
          <w:rFonts w:ascii="宋体" w:hAnsi="宋体" w:cs="宋体"/>
          <w:szCs w:val="21"/>
        </w:rPr>
      </w:pPr>
      <w:r>
        <w:rPr>
          <w:rFonts w:hint="eastAsia" w:ascii="宋体" w:hAnsi="宋体" w:cs="宋体"/>
          <w:szCs w:val="21"/>
        </w:rPr>
        <w:t>如承包人因经营需要将工程款支付至其他指定帐户时，应向发包人书面申请，并由承包人法定代表人或授权代表签字、盖章。</w:t>
      </w:r>
    </w:p>
    <w:bookmarkEnd w:id="331"/>
    <w:p>
      <w:pPr>
        <w:pStyle w:val="2"/>
        <w:spacing w:before="0" w:after="0" w:line="360" w:lineRule="exact"/>
        <w:rPr>
          <w:rFonts w:ascii="宋体" w:hAnsi="宋体" w:eastAsia="宋体" w:cs="宋体"/>
          <w:b w:val="0"/>
          <w:sz w:val="21"/>
          <w:szCs w:val="21"/>
        </w:rPr>
      </w:pPr>
      <w:bookmarkStart w:id="502" w:name="_Toc351203645"/>
      <w:bookmarkStart w:id="503" w:name="_Toc296944558"/>
      <w:bookmarkStart w:id="504" w:name="_Toc296503219"/>
      <w:bookmarkStart w:id="505" w:name="_Toc312678053"/>
      <w:bookmarkStart w:id="506" w:name="_Toc296891259"/>
      <w:bookmarkStart w:id="507" w:name="_Toc292559424"/>
      <w:bookmarkStart w:id="508" w:name="_Toc304295593"/>
      <w:bookmarkStart w:id="509" w:name="_Toc296346720"/>
      <w:bookmarkStart w:id="510" w:name="_Toc297120519"/>
      <w:bookmarkStart w:id="511" w:name="_Toc297123564"/>
      <w:bookmarkStart w:id="512" w:name="_Toc300935015"/>
      <w:bookmarkStart w:id="513" w:name="_Toc296347218"/>
      <w:bookmarkStart w:id="514" w:name="_Toc303539172"/>
      <w:bookmarkStart w:id="515" w:name="_Toc297048405"/>
      <w:bookmarkStart w:id="516" w:name="_Toc297216223"/>
      <w:bookmarkStart w:id="517" w:name="_Toc296891047"/>
      <w:bookmarkStart w:id="518" w:name="_Toc292559929"/>
      <w:r>
        <w:rPr>
          <w:rFonts w:hint="eastAsia" w:ascii="宋体" w:hAnsi="宋体" w:eastAsia="宋体" w:cs="宋体"/>
          <w:b w:val="0"/>
          <w:sz w:val="21"/>
          <w:szCs w:val="21"/>
        </w:rPr>
        <w:t>13. 验收和工程试车</w:t>
      </w:r>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spacing w:line="360" w:lineRule="exact"/>
        <w:ind w:firstLine="420" w:firstLineChars="200"/>
        <w:rPr>
          <w:rFonts w:ascii="宋体" w:hAnsi="宋体" w:cs="宋体"/>
          <w:szCs w:val="21"/>
        </w:rPr>
      </w:pPr>
      <w:r>
        <w:rPr>
          <w:rFonts w:hint="eastAsia" w:ascii="宋体" w:hAnsi="宋体" w:cs="宋体"/>
          <w:szCs w:val="21"/>
        </w:rPr>
        <w:t>13.1 分部分项工程验收</w:t>
      </w:r>
    </w:p>
    <w:p>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pPr>
        <w:spacing w:line="360" w:lineRule="exact"/>
        <w:ind w:firstLine="420" w:firstLineChars="200"/>
        <w:rPr>
          <w:rFonts w:ascii="宋体" w:hAnsi="宋体" w:cs="宋体"/>
          <w:szCs w:val="21"/>
        </w:rPr>
      </w:pPr>
      <w:bookmarkStart w:id="519" w:name="_Toc296891263"/>
      <w:bookmarkStart w:id="520" w:name="_Toc296944562"/>
      <w:bookmarkStart w:id="521" w:name="_Toc297048409"/>
      <w:bookmarkStart w:id="522" w:name="_Toc312678056"/>
      <w:bookmarkStart w:id="523" w:name="_Toc297123565"/>
      <w:bookmarkStart w:id="524" w:name="_Toc304295596"/>
      <w:bookmarkStart w:id="525" w:name="_Toc296347222"/>
      <w:bookmarkStart w:id="526" w:name="_Toc297120523"/>
      <w:bookmarkStart w:id="527" w:name="_Toc292559428"/>
      <w:bookmarkStart w:id="528" w:name="_Toc296503223"/>
      <w:bookmarkStart w:id="529" w:name="_Toc297216224"/>
      <w:bookmarkStart w:id="530" w:name="_Toc300935016"/>
      <w:bookmarkStart w:id="531" w:name="_Toc292559933"/>
      <w:bookmarkStart w:id="532" w:name="_Toc296346724"/>
      <w:bookmarkStart w:id="533" w:name="_Toc303539173"/>
      <w:bookmarkStart w:id="534" w:name="_Toc296891051"/>
      <w:bookmarkStart w:id="535" w:name="_Toc267251471"/>
      <w:bookmarkStart w:id="536" w:name="_Toc267251470"/>
      <w:bookmarkStart w:id="537" w:name="_Toc267251473"/>
      <w:bookmarkStart w:id="538" w:name="_Toc267251474"/>
      <w:bookmarkStart w:id="539" w:name="_Toc267251475"/>
      <w:bookmarkStart w:id="540" w:name="_Toc267251476"/>
      <w:bookmarkStart w:id="541" w:name="_Toc267251472"/>
      <w:r>
        <w:rPr>
          <w:rFonts w:hint="eastAsia" w:ascii="宋体" w:hAnsi="宋体" w:cs="宋体"/>
          <w:szCs w:val="21"/>
        </w:rPr>
        <w:t>13.2 竣工验收</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spacing w:line="360" w:lineRule="exact"/>
        <w:ind w:firstLine="420" w:firstLineChars="200"/>
        <w:rPr>
          <w:rFonts w:ascii="宋体" w:hAnsi="宋体" w:cs="宋体"/>
          <w:szCs w:val="21"/>
        </w:rPr>
      </w:pPr>
      <w:bookmarkStart w:id="542" w:name="_Toc280868704"/>
      <w:bookmarkStart w:id="543" w:name="_Toc280868705"/>
      <w:bookmarkStart w:id="544" w:name="_Toc280868706"/>
      <w:bookmarkStart w:id="545" w:name="_Toc280868707"/>
      <w:bookmarkStart w:id="546" w:name="_Toc280868708"/>
      <w:bookmarkStart w:id="547" w:name="_Toc280868709"/>
      <w:r>
        <w:rPr>
          <w:rFonts w:hint="eastAsia" w:ascii="宋体" w:hAnsi="宋体" w:cs="宋体"/>
          <w:szCs w:val="21"/>
        </w:rPr>
        <w:t>13.2.2竣工验收程序</w:t>
      </w:r>
    </w:p>
    <w:bookmarkEnd w:id="542"/>
    <w:p>
      <w:pPr>
        <w:spacing w:line="360" w:lineRule="exact"/>
        <w:ind w:left="3746" w:leftChars="188" w:hanging="3351" w:hangingChars="1596"/>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p>
    <w:p>
      <w:pPr>
        <w:pStyle w:val="29"/>
        <w:spacing w:before="0" w:after="0" w:line="360" w:lineRule="exact"/>
        <w:ind w:firstLine="420" w:firstLineChars="200"/>
        <w:jc w:val="left"/>
        <w:rPr>
          <w:rFonts w:ascii="宋体" w:hAnsi="宋体" w:cs="宋体"/>
        </w:rPr>
      </w:pPr>
      <w:r>
        <w:rPr>
          <w:rFonts w:hint="eastAsia" w:ascii="宋体" w:hAnsi="宋体" w:cs="宋体"/>
          <w:b w:val="0"/>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r>
        <w:rPr>
          <w:rFonts w:hint="eastAsia" w:ascii="宋体" w:hAnsi="宋体" w:cs="宋体"/>
          <w:b w:val="0"/>
          <w:sz w:val="21"/>
          <w:szCs w:val="21"/>
        </w:rPr>
        <w:t>。</w:t>
      </w:r>
    </w:p>
    <w:p>
      <w:pPr>
        <w:spacing w:line="360" w:lineRule="exact"/>
        <w:ind w:firstLine="420" w:firstLineChars="20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不计违约金。</w:t>
      </w:r>
    </w:p>
    <w:p>
      <w:pPr>
        <w:spacing w:line="36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rPr>
        <w:t>。</w:t>
      </w:r>
    </w:p>
    <w:bookmarkEnd w:id="543"/>
    <w:p>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bookmarkEnd w:id="544"/>
    <w:p>
      <w:pPr>
        <w:spacing w:line="360" w:lineRule="exact"/>
        <w:ind w:firstLine="420" w:firstLineChars="200"/>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pPr>
        <w:spacing w:line="360" w:lineRule="exact"/>
        <w:ind w:firstLine="420" w:firstLineChars="200"/>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w:t>
      </w:r>
      <w:r>
        <w:rPr>
          <w:rFonts w:hint="eastAsia" w:ascii="宋体" w:hAnsi="宋体" w:cs="宋体"/>
          <w:szCs w:val="21"/>
        </w:rPr>
        <w:t>。</w:t>
      </w:r>
    </w:p>
    <w:bookmarkEnd w:id="545"/>
    <w:p>
      <w:pPr>
        <w:spacing w:line="360" w:lineRule="exact"/>
        <w:ind w:left="399" w:leftChars="189" w:hanging="2" w:hangingChars="1"/>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13.3 工程试车</w:t>
      </w:r>
    </w:p>
    <w:bookmarkEnd w:id="546"/>
    <w:p>
      <w:pPr>
        <w:spacing w:line="360" w:lineRule="exact"/>
        <w:ind w:firstLine="420" w:firstLineChars="200"/>
        <w:rPr>
          <w:rFonts w:ascii="宋体" w:hAnsi="宋体" w:cs="宋体"/>
          <w:kern w:val="0"/>
          <w:szCs w:val="21"/>
        </w:rPr>
      </w:pPr>
      <w:r>
        <w:rPr>
          <w:rFonts w:hint="eastAsia" w:ascii="宋体" w:hAnsi="宋体" w:cs="宋体"/>
          <w:kern w:val="0"/>
          <w:szCs w:val="21"/>
        </w:rPr>
        <w:t>13.3.1 试车程序</w:t>
      </w:r>
    </w:p>
    <w:p>
      <w:pPr>
        <w:spacing w:line="360" w:lineRule="exact"/>
        <w:ind w:firstLine="420" w:firstLineChars="200"/>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w:t>
      </w:r>
      <w:r>
        <w:rPr>
          <w:rFonts w:hint="eastAsia" w:ascii="宋体" w:hAnsi="宋体" w:cs="宋体"/>
          <w:kern w:val="0"/>
          <w:szCs w:val="21"/>
        </w:rPr>
        <w:t>承担；</w:t>
      </w:r>
    </w:p>
    <w:p>
      <w:pPr>
        <w:spacing w:line="360" w:lineRule="exact"/>
        <w:ind w:firstLine="420" w:firstLineChars="200"/>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w:t>
      </w:r>
      <w:r>
        <w:rPr>
          <w:rFonts w:hint="eastAsia" w:ascii="宋体" w:hAnsi="宋体" w:cs="宋体"/>
          <w:kern w:val="0"/>
          <w:szCs w:val="21"/>
        </w:rPr>
        <w:t>承担。</w:t>
      </w:r>
    </w:p>
    <w:p>
      <w:pPr>
        <w:spacing w:line="360" w:lineRule="exact"/>
        <w:ind w:firstLine="420" w:firstLineChars="200"/>
        <w:rPr>
          <w:rFonts w:ascii="宋体" w:hAnsi="宋体" w:cs="宋体"/>
          <w:kern w:val="0"/>
          <w:szCs w:val="21"/>
        </w:rPr>
      </w:pPr>
      <w:r>
        <w:rPr>
          <w:rFonts w:hint="eastAsia" w:ascii="宋体" w:hAnsi="宋体" w:cs="宋体"/>
          <w:kern w:val="0"/>
          <w:szCs w:val="21"/>
        </w:rPr>
        <w:t>13.3.3 投料试车</w:t>
      </w:r>
    </w:p>
    <w:p>
      <w:pPr>
        <w:spacing w:line="360" w:lineRule="exact"/>
        <w:ind w:firstLine="420" w:firstLineChars="200"/>
        <w:rPr>
          <w:rFonts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13.6 竣工退场</w:t>
      </w:r>
    </w:p>
    <w:p>
      <w:pPr>
        <w:spacing w:line="360" w:lineRule="exact"/>
        <w:ind w:firstLine="420" w:firstLineChars="200"/>
        <w:rPr>
          <w:rFonts w:ascii="宋体" w:hAnsi="宋体" w:cs="宋体"/>
          <w:kern w:val="0"/>
          <w:szCs w:val="21"/>
        </w:rPr>
      </w:pPr>
      <w:r>
        <w:rPr>
          <w:rFonts w:hint="eastAsia" w:ascii="宋体" w:hAnsi="宋体" w:cs="宋体"/>
          <w:kern w:val="0"/>
          <w:szCs w:val="21"/>
        </w:rPr>
        <w:t>13.6.1 竣工退场</w:t>
      </w:r>
    </w:p>
    <w:p>
      <w:pPr>
        <w:spacing w:line="360" w:lineRule="exact"/>
        <w:ind w:firstLine="420" w:firstLineChars="200"/>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kern w:val="0"/>
          <w:szCs w:val="21"/>
        </w:rPr>
        <w:t>。</w:t>
      </w:r>
    </w:p>
    <w:p>
      <w:pPr>
        <w:pStyle w:val="2"/>
        <w:spacing w:before="0" w:after="0" w:line="360" w:lineRule="exact"/>
        <w:rPr>
          <w:rFonts w:ascii="宋体" w:hAnsi="宋体" w:eastAsia="宋体" w:cs="宋体"/>
          <w:b w:val="0"/>
          <w:sz w:val="21"/>
          <w:szCs w:val="21"/>
        </w:rPr>
      </w:pPr>
      <w:bookmarkStart w:id="548" w:name="_Toc351203646"/>
      <w:r>
        <w:rPr>
          <w:rFonts w:hint="eastAsia" w:ascii="宋体" w:hAnsi="宋体" w:eastAsia="宋体" w:cs="宋体"/>
          <w:b w:val="0"/>
          <w:sz w:val="21"/>
          <w:szCs w:val="21"/>
        </w:rPr>
        <w:t>14. 竣工结算</w:t>
      </w:r>
      <w:bookmarkEnd w:id="548"/>
    </w:p>
    <w:p>
      <w:pPr>
        <w:spacing w:line="360" w:lineRule="exact"/>
        <w:ind w:firstLine="420" w:firstLineChars="200"/>
        <w:rPr>
          <w:rFonts w:ascii="宋体" w:hAnsi="宋体" w:cs="宋体"/>
          <w:szCs w:val="21"/>
        </w:rPr>
      </w:pPr>
      <w:r>
        <w:rPr>
          <w:rFonts w:hint="eastAsia" w:ascii="宋体" w:hAnsi="宋体" w:cs="宋体"/>
          <w:szCs w:val="21"/>
        </w:rPr>
        <w:t>14.1 竣工结算申请</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承包人应在完成合同范围内施工内容，参建各方（建设、监理、施工、勘察、设计单位等）对工程验收并签署工程质量合格文件后90天内向发包人和监理人提交竣工结算申请单，并提交完整的工程结算资料一套。</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承包人超过90天未提交竣工结算资料，经发包人催告后28天，承包人还不提交竣工结算资料的，发包人可根据自己资料办理竣工结算，且视为承包人认可竣工结算结果。</w:t>
      </w:r>
    </w:p>
    <w:p>
      <w:pPr>
        <w:spacing w:line="360" w:lineRule="exact"/>
        <w:ind w:firstLine="420" w:firstLineChars="200"/>
        <w:rPr>
          <w:rFonts w:ascii="宋体" w:hAnsi="宋体" w:cs="宋体"/>
          <w:szCs w:val="21"/>
        </w:rPr>
      </w:pPr>
      <w:r>
        <w:rPr>
          <w:rFonts w:hint="eastAsia" w:ascii="宋体" w:hAnsi="宋体" w:cs="宋体"/>
          <w:szCs w:val="21"/>
        </w:rPr>
        <w:t>14.2 竣工结算审核</w:t>
      </w:r>
    </w:p>
    <w:p>
      <w:pPr>
        <w:spacing w:line="360" w:lineRule="exact"/>
        <w:ind w:firstLine="420" w:firstLineChars="200"/>
        <w:rPr>
          <w:rFonts w:ascii="宋体" w:hAnsi="宋体" w:cs="宋体"/>
          <w:szCs w:val="21"/>
          <w:u w:val="single"/>
        </w:rPr>
      </w:pPr>
      <w:r>
        <w:rPr>
          <w:rFonts w:hint="eastAsia" w:ascii="宋体" w:hAnsi="宋体" w:cs="宋体"/>
          <w:szCs w:val="21"/>
        </w:rPr>
        <w:t>（1）发包人结算审核时间：</w:t>
      </w:r>
      <w:r>
        <w:rPr>
          <w:rFonts w:hint="eastAsia" w:ascii="宋体" w:hAnsi="宋体" w:cs="宋体"/>
          <w:szCs w:val="21"/>
          <w:u w:val="single"/>
        </w:rPr>
        <w:t>发包人收到承包人递交的竣工结算报告及结算资料后，在6个月内审核完毕，并签发竣工结算证书。</w:t>
      </w:r>
    </w:p>
    <w:p>
      <w:pPr>
        <w:spacing w:line="360" w:lineRule="exact"/>
        <w:ind w:firstLine="420" w:firstLineChars="200"/>
        <w:rPr>
          <w:rFonts w:ascii="宋体" w:hAnsi="宋体" w:cs="宋体"/>
          <w:szCs w:val="21"/>
          <w:u w:val="single"/>
        </w:rPr>
      </w:pPr>
      <w:r>
        <w:rPr>
          <w:rFonts w:hint="eastAsia" w:ascii="宋体" w:hAnsi="宋体" w:cs="宋体"/>
          <w:szCs w:val="21"/>
          <w:u w:val="single"/>
        </w:rPr>
        <w:t>由发包人原因逾期审核责任：向承包人支付违约金，违约金为工程结算后应付工程款的利息，利率按同期全国银行间同业拆借中心公布的贷款市场报价利率，利息计算时间为应付工程款日至支付工程款日止。</w:t>
      </w:r>
    </w:p>
    <w:p>
      <w:pPr>
        <w:spacing w:line="360" w:lineRule="exact"/>
        <w:ind w:firstLine="420" w:firstLineChars="200"/>
        <w:rPr>
          <w:rFonts w:ascii="宋体" w:hAnsi="宋体" w:cs="宋体"/>
          <w:szCs w:val="21"/>
          <w:u w:val="single"/>
        </w:rPr>
      </w:pPr>
      <w:r>
        <w:rPr>
          <w:rFonts w:hint="eastAsia" w:ascii="宋体" w:hAnsi="宋体" w:cs="宋体"/>
          <w:szCs w:val="21"/>
          <w:u w:val="single"/>
        </w:rPr>
        <w:t>（2）发包人在签发竣工结算证书后14天内，扣留工程质量保证金后完成对承包人的竣工付款。逾期支付按同期全国银行间同业拆借中心公布的贷款市场报价利率支付违约金；逾期超过56天，按同期全国银行间同业拆借中心公布的贷款市场报价利率的两倍支付违约金。</w:t>
      </w:r>
    </w:p>
    <w:p>
      <w:pPr>
        <w:spacing w:line="360" w:lineRule="exact"/>
        <w:ind w:firstLine="420" w:firstLineChars="200"/>
        <w:rPr>
          <w:rFonts w:ascii="宋体" w:hAnsi="宋体" w:cs="宋体"/>
          <w:szCs w:val="21"/>
          <w:u w:val="single"/>
        </w:rPr>
      </w:pPr>
      <w:r>
        <w:rPr>
          <w:rFonts w:hint="eastAsia" w:ascii="宋体" w:hAnsi="宋体" w:cs="宋体"/>
          <w:szCs w:val="21"/>
          <w:u w:val="single"/>
        </w:rPr>
        <w:t>（3）承包人对发包人签认的结算价有异议的，发包人可先支付承包人无异议部分结算款。异议部分重新进行复核或按照第20条处理。</w:t>
      </w:r>
    </w:p>
    <w:p>
      <w:pPr>
        <w:spacing w:line="360" w:lineRule="exact"/>
        <w:ind w:firstLine="420" w:firstLineChars="200"/>
        <w:rPr>
          <w:rFonts w:ascii="宋体" w:hAnsi="宋体" w:cs="宋体"/>
          <w:szCs w:val="21"/>
          <w:u w:val="single"/>
        </w:rPr>
      </w:pPr>
      <w:r>
        <w:rPr>
          <w:rFonts w:hint="eastAsia" w:ascii="宋体" w:hAnsi="宋体" w:cs="宋体"/>
          <w:szCs w:val="21"/>
          <w:u w:val="single"/>
        </w:rPr>
        <w:t>（4）结算特殊要求：工程结算按政府有关管理规定，由相关部门审核，结算核减率超过5%时，则超过部分的审核费（基数为超过送审造价5％的幅度以外的核减额）由承包人负责。</w:t>
      </w:r>
    </w:p>
    <w:p>
      <w:pPr>
        <w:spacing w:line="360" w:lineRule="exact"/>
        <w:ind w:firstLine="420" w:firstLineChars="200"/>
        <w:rPr>
          <w:rFonts w:ascii="宋体" w:hAnsi="宋体" w:cs="宋体"/>
          <w:szCs w:val="21"/>
        </w:rPr>
      </w:pPr>
      <w:r>
        <w:rPr>
          <w:rFonts w:hint="eastAsia" w:ascii="宋体" w:hAnsi="宋体" w:cs="宋体"/>
          <w:szCs w:val="21"/>
        </w:rPr>
        <w:t>14.4 最终结清</w:t>
      </w:r>
    </w:p>
    <w:p>
      <w:pPr>
        <w:spacing w:line="360" w:lineRule="exact"/>
        <w:ind w:firstLine="420" w:firstLineChars="200"/>
        <w:rPr>
          <w:rFonts w:ascii="宋体" w:hAnsi="宋体" w:cs="宋体"/>
          <w:kern w:val="0"/>
          <w:szCs w:val="21"/>
        </w:rPr>
      </w:pPr>
      <w:r>
        <w:rPr>
          <w:rFonts w:hint="eastAsia" w:ascii="宋体" w:hAnsi="宋体" w:cs="宋体"/>
          <w:kern w:val="0"/>
          <w:szCs w:val="21"/>
        </w:rPr>
        <w:t>14.4.1 最终结清申请单</w:t>
      </w:r>
    </w:p>
    <w:p>
      <w:pPr>
        <w:spacing w:line="36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14.4.2 最终结清证书和支付</w:t>
      </w:r>
    </w:p>
    <w:p>
      <w:pPr>
        <w:spacing w:line="36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bookmarkEnd w:id="535"/>
    <w:bookmarkEnd w:id="536"/>
    <w:bookmarkEnd w:id="537"/>
    <w:bookmarkEnd w:id="538"/>
    <w:bookmarkEnd w:id="539"/>
    <w:bookmarkEnd w:id="540"/>
    <w:bookmarkEnd w:id="541"/>
    <w:bookmarkEnd w:id="547"/>
    <w:p>
      <w:pPr>
        <w:pStyle w:val="2"/>
        <w:spacing w:before="0" w:after="0" w:line="360" w:lineRule="exact"/>
        <w:rPr>
          <w:rFonts w:ascii="宋体" w:hAnsi="宋体" w:eastAsia="宋体" w:cs="宋体"/>
          <w:b w:val="0"/>
          <w:sz w:val="21"/>
          <w:szCs w:val="21"/>
        </w:rPr>
      </w:pPr>
      <w:bookmarkStart w:id="549" w:name="_Toc351203647"/>
      <w:bookmarkStart w:id="550" w:name="_Toc267251483"/>
      <w:bookmarkStart w:id="551" w:name="_Toc267251484"/>
      <w:bookmarkStart w:id="552" w:name="_Toc267251482"/>
      <w:bookmarkStart w:id="553" w:name="_Toc267251485"/>
      <w:bookmarkStart w:id="554" w:name="_Toc267251490"/>
      <w:bookmarkStart w:id="555" w:name="_Toc267251489"/>
      <w:bookmarkStart w:id="556" w:name="_Toc267251488"/>
      <w:bookmarkStart w:id="557" w:name="_Toc267251486"/>
      <w:bookmarkStart w:id="558" w:name="_Toc267251503"/>
      <w:bookmarkStart w:id="559" w:name="_Toc267251501"/>
      <w:bookmarkStart w:id="560" w:name="_Toc267251497"/>
      <w:bookmarkStart w:id="561" w:name="_Toc267251502"/>
      <w:bookmarkStart w:id="562" w:name="_Toc267251491"/>
      <w:bookmarkStart w:id="563" w:name="_Toc267251496"/>
      <w:bookmarkStart w:id="564" w:name="_Toc267251492"/>
      <w:bookmarkStart w:id="565" w:name="_Toc267251498"/>
      <w:bookmarkStart w:id="566" w:name="_Toc267251493"/>
      <w:bookmarkStart w:id="567" w:name="_Toc267251495"/>
      <w:bookmarkStart w:id="568" w:name="_Toc267251494"/>
      <w:bookmarkStart w:id="569" w:name="_Toc267251499"/>
      <w:bookmarkStart w:id="570" w:name="_Toc267251506"/>
      <w:bookmarkStart w:id="571" w:name="_Toc267251504"/>
      <w:bookmarkStart w:id="572" w:name="_Toc267251507"/>
      <w:bookmarkStart w:id="573" w:name="_Toc267251508"/>
      <w:bookmarkStart w:id="574" w:name="_Toc267251513"/>
      <w:bookmarkStart w:id="575" w:name="_Toc267251511"/>
      <w:bookmarkStart w:id="576" w:name="_Toc267251515"/>
      <w:bookmarkStart w:id="577" w:name="_Toc267251510"/>
      <w:bookmarkStart w:id="578" w:name="_Toc267251514"/>
      <w:bookmarkStart w:id="579" w:name="_Toc267251509"/>
      <w:r>
        <w:rPr>
          <w:rFonts w:hint="eastAsia" w:ascii="宋体" w:hAnsi="宋体" w:eastAsia="宋体" w:cs="宋体"/>
          <w:b w:val="0"/>
          <w:sz w:val="21"/>
          <w:szCs w:val="21"/>
        </w:rPr>
        <w:t>15. 缺陷责任期与保修</w:t>
      </w:r>
      <w:bookmarkEnd w:id="549"/>
    </w:p>
    <w:p>
      <w:pPr>
        <w:spacing w:line="360" w:lineRule="exact"/>
        <w:ind w:firstLine="420" w:firstLineChars="200"/>
        <w:rPr>
          <w:rFonts w:ascii="宋体" w:hAnsi="宋体" w:cs="宋体"/>
          <w:szCs w:val="21"/>
        </w:rPr>
      </w:pPr>
      <w:r>
        <w:rPr>
          <w:rFonts w:hint="eastAsia" w:ascii="宋体" w:hAnsi="宋体" w:cs="宋体"/>
          <w:szCs w:val="21"/>
        </w:rPr>
        <w:t>15.2缺陷责任期</w:t>
      </w:r>
      <w:bookmarkEnd w:id="550"/>
    </w:p>
    <w:p>
      <w:pPr>
        <w:spacing w:line="360" w:lineRule="exact"/>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缺陷责任期24个月，其余按通用条款执行</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15.3 质量保证金</w:t>
      </w:r>
    </w:p>
    <w:p>
      <w:pPr>
        <w:spacing w:line="360" w:lineRule="exact"/>
        <w:ind w:firstLine="420" w:firstLineChars="200"/>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留置质量保证金</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15.3.1 承包人提供质量保证金的方式</w:t>
      </w:r>
    </w:p>
    <w:p>
      <w:pPr>
        <w:spacing w:line="36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1  </w:t>
      </w:r>
      <w:r>
        <w:rPr>
          <w:rFonts w:hint="eastAsia" w:ascii="宋体" w:hAnsi="宋体" w:cs="宋体"/>
          <w:szCs w:val="21"/>
        </w:rPr>
        <w:t>种方式：</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 xml:space="preserve">（1）质量保证金保函，保函形式为银行保函、保险保函保函，金额为1.5 %的工程结算价款； </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1.5%</w:t>
      </w:r>
      <w:r>
        <w:rPr>
          <w:rFonts w:hint="eastAsia" w:ascii="宋体" w:hAnsi="宋体" w:cs="宋体"/>
          <w:kern w:val="0"/>
          <w:szCs w:val="21"/>
        </w:rPr>
        <w:t>的工程结算价款；</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 xml:space="preserve">15.3.2 质量保证金的扣留 </w:t>
      </w:r>
    </w:p>
    <w:p>
      <w:pPr>
        <w:spacing w:line="36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发包人支付完成最后工程结算付款前，承包人提供质量保证金保函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w:t>
      </w:r>
    </w:p>
    <w:p>
      <w:pPr>
        <w:spacing w:line="360" w:lineRule="exact"/>
        <w:ind w:firstLine="420" w:firstLineChars="200"/>
        <w:rPr>
          <w:rFonts w:ascii="宋体" w:hAnsi="宋体" w:cs="宋体"/>
          <w:szCs w:val="21"/>
        </w:rPr>
      </w:pPr>
      <w:r>
        <w:rPr>
          <w:rFonts w:hint="eastAsia" w:ascii="宋体" w:hAnsi="宋体" w:cs="宋体"/>
          <w:szCs w:val="21"/>
        </w:rPr>
        <w:t>15.3.3 质量保证金的退还</w:t>
      </w:r>
    </w:p>
    <w:p>
      <w:pPr>
        <w:spacing w:line="36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pPr>
        <w:spacing w:line="360" w:lineRule="exact"/>
        <w:ind w:firstLine="420" w:firstLineChars="200"/>
        <w:rPr>
          <w:rFonts w:ascii="宋体" w:hAnsi="宋体" w:cs="宋体"/>
          <w:szCs w:val="21"/>
        </w:rPr>
      </w:pPr>
      <w:r>
        <w:rPr>
          <w:rFonts w:hint="eastAsia" w:ascii="宋体" w:hAnsi="宋体" w:cs="宋体"/>
          <w:szCs w:val="21"/>
        </w:rPr>
        <w:t>（1）缺陷责任期终止后，发包人退还剩余的质量保证金（是否计息）。</w:t>
      </w:r>
    </w:p>
    <w:p>
      <w:pPr>
        <w:adjustRightInd w:val="0"/>
        <w:spacing w:line="360" w:lineRule="exact"/>
        <w:ind w:firstLine="420" w:firstLineChars="200"/>
        <w:rPr>
          <w:rFonts w:ascii="宋体" w:hAnsi="宋体" w:cs="宋体"/>
          <w:szCs w:val="21"/>
        </w:rPr>
      </w:pPr>
      <w:r>
        <w:rPr>
          <w:rFonts w:hint="eastAsia" w:ascii="宋体" w:hAnsi="宋体" w:cs="宋体"/>
          <w:szCs w:val="21"/>
        </w:rPr>
        <w:t>（2）建筑工程：工程实际竣工验收合格后满一年返还质量保证金的30%，质量缺陷保修期后返还全部预留的质量保证金。</w:t>
      </w:r>
    </w:p>
    <w:p>
      <w:pPr>
        <w:adjustRightInd w:val="0"/>
        <w:spacing w:line="360" w:lineRule="exact"/>
        <w:ind w:firstLine="420" w:firstLineChars="200"/>
        <w:rPr>
          <w:rFonts w:ascii="宋体" w:hAnsi="宋体" w:cs="宋体"/>
          <w:szCs w:val="21"/>
        </w:rPr>
      </w:pPr>
      <w:r>
        <w:rPr>
          <w:rFonts w:hint="eastAsia" w:ascii="宋体" w:hAnsi="宋体" w:cs="宋体"/>
          <w:szCs w:val="21"/>
        </w:rPr>
        <w:t>（3）市政工程：工程实际竣工验收合格后满一年可返还全部质量保证金。</w:t>
      </w:r>
    </w:p>
    <w:p>
      <w:pPr>
        <w:spacing w:line="36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工程竣工验收合格后满2年返还全部质量保证金(质量保证金为保函形式的验收合格后满2年保函自动失效）。 </w:t>
      </w:r>
    </w:p>
    <w:bookmarkEnd w:id="551"/>
    <w:bookmarkEnd w:id="552"/>
    <w:p>
      <w:pPr>
        <w:spacing w:line="360" w:lineRule="exact"/>
        <w:ind w:firstLine="420" w:firstLineChars="200"/>
        <w:rPr>
          <w:rFonts w:ascii="宋体" w:hAnsi="宋体" w:cs="宋体"/>
          <w:szCs w:val="21"/>
        </w:rPr>
      </w:pPr>
      <w:r>
        <w:rPr>
          <w:rFonts w:hint="eastAsia" w:ascii="宋体" w:hAnsi="宋体" w:cs="宋体"/>
          <w:szCs w:val="21"/>
        </w:rPr>
        <w:t>15.4保修</w:t>
      </w:r>
    </w:p>
    <w:bookmarkEnd w:id="553"/>
    <w:p>
      <w:pPr>
        <w:spacing w:line="360" w:lineRule="exact"/>
        <w:ind w:firstLine="420" w:firstLineChars="200"/>
        <w:rPr>
          <w:rFonts w:ascii="宋体" w:hAnsi="宋体" w:cs="宋体"/>
          <w:szCs w:val="21"/>
        </w:rPr>
      </w:pPr>
      <w:r>
        <w:rPr>
          <w:rFonts w:hint="eastAsia" w:ascii="宋体" w:hAnsi="宋体" w:cs="宋体"/>
          <w:szCs w:val="21"/>
        </w:rPr>
        <w:t>15.4.1 保修责任</w:t>
      </w:r>
    </w:p>
    <w:p>
      <w:pPr>
        <w:spacing w:line="360" w:lineRule="exact"/>
        <w:ind w:firstLine="420" w:firstLineChars="200"/>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按本合同附件3《工程质量保修书》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15.4.3 修复通知</w:t>
      </w:r>
    </w:p>
    <w:p>
      <w:pPr>
        <w:spacing w:line="360" w:lineRule="exact"/>
        <w:ind w:firstLine="420" w:firstLineChars="200"/>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 xml:space="preserve">          </w:t>
      </w:r>
      <w:r>
        <w:rPr>
          <w:rFonts w:hint="eastAsia" w:ascii="宋体" w:hAnsi="宋体" w:cs="宋体"/>
          <w:kern w:val="0"/>
          <w:szCs w:val="21"/>
        </w:rPr>
        <w:t>。</w:t>
      </w:r>
    </w:p>
    <w:bookmarkEnd w:id="554"/>
    <w:bookmarkEnd w:id="555"/>
    <w:bookmarkEnd w:id="556"/>
    <w:bookmarkEnd w:id="557"/>
    <w:p>
      <w:pPr>
        <w:pStyle w:val="2"/>
        <w:spacing w:before="0" w:after="0" w:line="360" w:lineRule="exact"/>
        <w:rPr>
          <w:rFonts w:ascii="宋体" w:hAnsi="宋体" w:eastAsia="宋体" w:cs="宋体"/>
          <w:b w:val="0"/>
          <w:sz w:val="21"/>
          <w:szCs w:val="21"/>
        </w:rPr>
      </w:pPr>
      <w:bookmarkStart w:id="580" w:name="_Toc351203648"/>
      <w:bookmarkStart w:id="581" w:name="_Toc280868717"/>
      <w:bookmarkStart w:id="582" w:name="_Toc280868718"/>
      <w:r>
        <w:rPr>
          <w:rFonts w:hint="eastAsia" w:ascii="宋体" w:hAnsi="宋体" w:eastAsia="宋体" w:cs="宋体"/>
          <w:b w:val="0"/>
          <w:sz w:val="21"/>
          <w:szCs w:val="21"/>
        </w:rPr>
        <w:t>16. 违约</w:t>
      </w:r>
      <w:bookmarkEnd w:id="580"/>
    </w:p>
    <w:p>
      <w:pPr>
        <w:spacing w:line="360" w:lineRule="exact"/>
        <w:ind w:firstLine="420" w:firstLineChars="200"/>
        <w:rPr>
          <w:rFonts w:ascii="宋体" w:hAnsi="宋体" w:cs="宋体"/>
          <w:szCs w:val="21"/>
        </w:rPr>
      </w:pPr>
      <w:r>
        <w:rPr>
          <w:rFonts w:hint="eastAsia" w:ascii="宋体" w:hAnsi="宋体" w:cs="宋体"/>
          <w:szCs w:val="21"/>
        </w:rPr>
        <w:t>16.1 发包人违约</w:t>
      </w:r>
    </w:p>
    <w:p>
      <w:pPr>
        <w:spacing w:line="360" w:lineRule="exact"/>
        <w:ind w:firstLine="420" w:firstLineChars="200"/>
        <w:rPr>
          <w:rFonts w:ascii="宋体" w:hAnsi="宋体" w:cs="宋体"/>
          <w:szCs w:val="21"/>
        </w:rPr>
      </w:pPr>
      <w:r>
        <w:rPr>
          <w:rFonts w:hint="eastAsia" w:ascii="宋体" w:hAnsi="宋体" w:cs="宋体"/>
          <w:szCs w:val="21"/>
        </w:rPr>
        <w:t>16.1.1发包人违约的情形</w:t>
      </w:r>
    </w:p>
    <w:p>
      <w:pPr>
        <w:spacing w:line="360" w:lineRule="exact"/>
        <w:ind w:left="815" w:leftChars="188" w:hanging="420" w:hanging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left="1016" w:leftChars="188" w:hanging="621" w:hangingChars="296"/>
        <w:rPr>
          <w:rFonts w:ascii="宋体" w:hAnsi="宋体" w:cs="宋体"/>
          <w:kern w:val="0"/>
          <w:szCs w:val="21"/>
        </w:rPr>
      </w:pPr>
      <w:r>
        <w:rPr>
          <w:rFonts w:hint="eastAsia" w:ascii="宋体" w:hAnsi="宋体" w:cs="宋体"/>
          <w:kern w:val="0"/>
          <w:szCs w:val="21"/>
        </w:rPr>
        <w:t>16.1.2 发包人违约的责任</w:t>
      </w:r>
    </w:p>
    <w:p>
      <w:pPr>
        <w:spacing w:line="36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 xml:space="preserve"> 开始计算第7天后承包人已进场施工设备租赁费及施工人员窝工费。</w:t>
      </w:r>
    </w:p>
    <w:p>
      <w:pPr>
        <w:spacing w:line="36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rPr>
        <w:t xml:space="preserve">  </w:t>
      </w:r>
      <w:r>
        <w:rPr>
          <w:rFonts w:hint="eastAsia" w:ascii="宋体" w:hAnsi="宋体" w:cs="宋体"/>
          <w:szCs w:val="21"/>
          <w:u w:val="single"/>
        </w:rPr>
        <w:t>支付违约金，违约金为应付工程款的利息，利率按同期全国银行间同业拆借中心公布的贷款市场报价利率，利息计算时间为应付工程款日至支付工程款日止。</w:t>
      </w:r>
    </w:p>
    <w:p>
      <w:pPr>
        <w:spacing w:line="36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16.1.3 因发包人违约解除合同</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w:t>
      </w:r>
      <w:r>
        <w:rPr>
          <w:rFonts w:hint="eastAsia" w:ascii="宋体" w:hAnsi="宋体" w:cs="宋体"/>
          <w:kern w:val="0"/>
          <w:szCs w:val="21"/>
        </w:rPr>
        <w:t>天后发包人仍不纠正其违约行为并致使合同目的不能实现的，承包人有权解除合同。</w:t>
      </w:r>
    </w:p>
    <w:p>
      <w:pPr>
        <w:spacing w:line="360" w:lineRule="exact"/>
        <w:ind w:firstLine="420" w:firstLineChars="200"/>
        <w:rPr>
          <w:rFonts w:ascii="宋体" w:hAnsi="宋体" w:cs="宋体"/>
          <w:szCs w:val="21"/>
        </w:rPr>
      </w:pPr>
      <w:r>
        <w:rPr>
          <w:rFonts w:hint="eastAsia" w:ascii="宋体" w:hAnsi="宋体" w:cs="宋体"/>
          <w:szCs w:val="21"/>
        </w:rPr>
        <w:t>16.2 承包人违约</w:t>
      </w:r>
    </w:p>
    <w:p>
      <w:pPr>
        <w:spacing w:line="360" w:lineRule="exact"/>
        <w:ind w:firstLine="420" w:firstLineChars="200"/>
        <w:rPr>
          <w:rFonts w:ascii="宋体" w:hAnsi="宋体" w:cs="宋体"/>
          <w:kern w:val="0"/>
          <w:szCs w:val="21"/>
        </w:rPr>
      </w:pPr>
      <w:r>
        <w:rPr>
          <w:rFonts w:hint="eastAsia" w:ascii="宋体" w:hAnsi="宋体" w:cs="宋体"/>
          <w:kern w:val="0"/>
          <w:szCs w:val="21"/>
        </w:rPr>
        <w:t>16.2.1 承包人违约的情形</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pPr>
        <w:spacing w:line="36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）承包人未达到投标时所承诺的诚信与技术标准。</w:t>
      </w:r>
    </w:p>
    <w:p>
      <w:pPr>
        <w:spacing w:line="360" w:lineRule="exact"/>
        <w:ind w:firstLine="420" w:firstLineChars="200"/>
        <w:rPr>
          <w:rFonts w:ascii="宋体" w:hAnsi="宋体" w:cs="宋体"/>
          <w:kern w:val="0"/>
          <w:szCs w:val="21"/>
        </w:rPr>
      </w:pPr>
      <w:r>
        <w:rPr>
          <w:rFonts w:hint="eastAsia" w:ascii="宋体" w:hAnsi="宋体" w:cs="宋体"/>
          <w:kern w:val="0"/>
          <w:szCs w:val="21"/>
        </w:rPr>
        <w:t>16.2.2承包人违约的责任</w:t>
      </w:r>
    </w:p>
    <w:p>
      <w:pPr>
        <w:spacing w:line="360" w:lineRule="exact"/>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pPr>
        <w:spacing w:line="36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机械设备未按投标承诺到位，每项扣除履约担保金2%；</w:t>
      </w:r>
    </w:p>
    <w:p>
      <w:pPr>
        <w:spacing w:line="360" w:lineRule="exact"/>
        <w:ind w:firstLine="420" w:firstLineChars="200"/>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20" w:firstLineChars="200"/>
        <w:rPr>
          <w:rFonts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发现承包人允许其他人挂靠经营、私自转包，所有履约担保归发包人，同时赔偿发包人损失，并责令退出工地。</w:t>
      </w:r>
    </w:p>
    <w:p>
      <w:pPr>
        <w:spacing w:line="360" w:lineRule="exact"/>
        <w:ind w:firstLine="420" w:firstLineChars="200"/>
        <w:rPr>
          <w:rFonts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未达到投标所承诺的诚信与技术标准，按每一项扣减履约担保金的10%。</w:t>
      </w:r>
    </w:p>
    <w:p>
      <w:pPr>
        <w:spacing w:line="36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pPr>
        <w:spacing w:line="360" w:lineRule="exact"/>
        <w:ind w:firstLine="420" w:firstLineChars="200"/>
        <w:rPr>
          <w:rFonts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rFonts w:ascii="宋体" w:hAnsi="宋体" w:cs="宋体"/>
          <w:szCs w:val="21"/>
        </w:rPr>
      </w:pPr>
      <w:r>
        <w:rPr>
          <w:rFonts w:hint="eastAsia" w:ascii="宋体" w:hAnsi="宋体" w:cs="宋体"/>
          <w:szCs w:val="21"/>
        </w:rPr>
        <w:t>16.2.3 因承包人违约解除合同</w:t>
      </w:r>
    </w:p>
    <w:p>
      <w:pPr>
        <w:autoSpaceDE w:val="0"/>
        <w:autoSpaceDN w:val="0"/>
        <w:spacing w:line="36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 xml:space="preserve">                  。</w:t>
      </w:r>
    </w:p>
    <w:p>
      <w:pPr>
        <w:spacing w:line="36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16.2.4 因承包人违约解除合同后的处理</w:t>
      </w:r>
    </w:p>
    <w:p>
      <w:pPr>
        <w:pStyle w:val="2"/>
        <w:spacing w:before="0" w:after="0" w:line="360" w:lineRule="exact"/>
        <w:rPr>
          <w:rFonts w:ascii="宋体" w:hAnsi="宋体" w:eastAsia="宋体" w:cs="宋体"/>
          <w:b w:val="0"/>
          <w:sz w:val="21"/>
          <w:szCs w:val="21"/>
        </w:rPr>
      </w:pPr>
      <w:bookmarkStart w:id="583" w:name="_Toc351203649"/>
      <w:r>
        <w:rPr>
          <w:rFonts w:hint="eastAsia" w:ascii="宋体" w:hAnsi="宋体" w:eastAsia="宋体" w:cs="宋体"/>
          <w:b w:val="0"/>
          <w:sz w:val="21"/>
          <w:szCs w:val="21"/>
        </w:rPr>
        <w:t>17. 不可抗力</w:t>
      </w:r>
      <w:bookmarkEnd w:id="583"/>
      <w:r>
        <w:rPr>
          <w:rFonts w:hint="eastAsia" w:ascii="宋体" w:hAnsi="宋体" w:eastAsia="宋体" w:cs="宋体"/>
          <w:b w:val="0"/>
          <w:sz w:val="21"/>
          <w:szCs w:val="21"/>
        </w:rPr>
        <w:t xml:space="preserve"> </w:t>
      </w:r>
      <w:bookmarkEnd w:id="581"/>
    </w:p>
    <w:p>
      <w:pPr>
        <w:spacing w:line="360" w:lineRule="exact"/>
        <w:ind w:firstLine="420" w:firstLineChars="200"/>
        <w:rPr>
          <w:rFonts w:ascii="宋体" w:hAnsi="宋体" w:cs="宋体"/>
          <w:szCs w:val="21"/>
        </w:rPr>
      </w:pPr>
      <w:r>
        <w:rPr>
          <w:rFonts w:hint="eastAsia" w:ascii="宋体" w:hAnsi="宋体" w:cs="宋体"/>
          <w:szCs w:val="21"/>
        </w:rPr>
        <w:t>17.1 不可抗力的确认</w:t>
      </w:r>
    </w:p>
    <w:p>
      <w:pPr>
        <w:spacing w:line="360" w:lineRule="exact"/>
        <w:ind w:firstLine="420" w:firstLineChars="200"/>
        <w:rPr>
          <w:rFonts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 xml:space="preserve"> 10年一遇洪水、暴风雪、干旱， 罢工、政府禁令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17.4 因不可抗力解除合同</w:t>
      </w:r>
    </w:p>
    <w:p>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rPr>
        <w:t>天内完成款项的支付。</w:t>
      </w:r>
    </w:p>
    <w:p>
      <w:pPr>
        <w:pStyle w:val="2"/>
        <w:spacing w:before="0" w:after="0" w:line="360" w:lineRule="exact"/>
        <w:rPr>
          <w:rFonts w:ascii="宋体" w:hAnsi="宋体" w:eastAsia="宋体" w:cs="宋体"/>
          <w:b w:val="0"/>
          <w:sz w:val="21"/>
          <w:szCs w:val="21"/>
        </w:rPr>
      </w:pPr>
      <w:bookmarkStart w:id="584" w:name="_Toc351203650"/>
      <w:r>
        <w:rPr>
          <w:rFonts w:hint="eastAsia" w:ascii="宋体" w:hAnsi="宋体" w:eastAsia="宋体" w:cs="宋体"/>
          <w:b w:val="0"/>
          <w:sz w:val="21"/>
          <w:szCs w:val="21"/>
        </w:rPr>
        <w:t>18. 保险</w:t>
      </w:r>
      <w:bookmarkEnd w:id="584"/>
    </w:p>
    <w:bookmarkEnd w:id="582"/>
    <w:p>
      <w:pPr>
        <w:spacing w:line="360" w:lineRule="exact"/>
        <w:ind w:firstLine="420" w:firstLineChars="200"/>
        <w:rPr>
          <w:rFonts w:ascii="宋体" w:hAnsi="宋体" w:cs="宋体"/>
          <w:szCs w:val="21"/>
        </w:rPr>
      </w:pPr>
      <w:r>
        <w:rPr>
          <w:rFonts w:hint="eastAsia" w:ascii="宋体" w:hAnsi="宋体" w:cs="宋体"/>
          <w:szCs w:val="21"/>
        </w:rPr>
        <w:t>18.1 工程保险</w:t>
      </w:r>
    </w:p>
    <w:p>
      <w:pPr>
        <w:spacing w:line="36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18.3 其他保险</w:t>
      </w:r>
    </w:p>
    <w:p>
      <w:pPr>
        <w:spacing w:line="36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18.7 通知义务</w:t>
      </w:r>
    </w:p>
    <w:p>
      <w:pPr>
        <w:spacing w:line="36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w:t>
      </w:r>
      <w:r>
        <w:rPr>
          <w:rFonts w:hint="eastAsia" w:ascii="宋体" w:hAnsi="宋体" w:cs="宋体"/>
          <w:szCs w:val="21"/>
        </w:rPr>
        <w:t>。</w:t>
      </w:r>
    </w:p>
    <w:bookmarkEnd w:id="558"/>
    <w:bookmarkEnd w:id="559"/>
    <w:bookmarkEnd w:id="560"/>
    <w:bookmarkEnd w:id="561"/>
    <w:bookmarkEnd w:id="562"/>
    <w:bookmarkEnd w:id="563"/>
    <w:bookmarkEnd w:id="564"/>
    <w:bookmarkEnd w:id="565"/>
    <w:bookmarkEnd w:id="566"/>
    <w:bookmarkEnd w:id="567"/>
    <w:bookmarkEnd w:id="568"/>
    <w:bookmarkEnd w:id="569"/>
    <w:p>
      <w:pPr>
        <w:pStyle w:val="2"/>
        <w:spacing w:before="0" w:after="0" w:line="360" w:lineRule="exact"/>
        <w:rPr>
          <w:rFonts w:ascii="宋体" w:hAnsi="宋体" w:eastAsia="宋体" w:cs="宋体"/>
          <w:b w:val="0"/>
          <w:sz w:val="21"/>
          <w:szCs w:val="21"/>
        </w:rPr>
      </w:pPr>
      <w:bookmarkStart w:id="585" w:name="_Toc351203651"/>
      <w:r>
        <w:rPr>
          <w:rFonts w:hint="eastAsia" w:ascii="宋体" w:hAnsi="宋体" w:eastAsia="宋体" w:cs="宋体"/>
          <w:b w:val="0"/>
          <w:sz w:val="21"/>
          <w:szCs w:val="21"/>
        </w:rPr>
        <w:t>20. 争议解决</w:t>
      </w:r>
      <w:bookmarkEnd w:id="585"/>
    </w:p>
    <w:bookmarkEnd w:id="570"/>
    <w:bookmarkEnd w:id="571"/>
    <w:p>
      <w:pPr>
        <w:spacing w:line="360" w:lineRule="exact"/>
        <w:ind w:firstLine="420" w:firstLineChars="200"/>
        <w:rPr>
          <w:rFonts w:ascii="宋体" w:hAnsi="宋体" w:cs="宋体"/>
          <w:szCs w:val="21"/>
        </w:rPr>
      </w:pPr>
      <w:r>
        <w:rPr>
          <w:rFonts w:hint="eastAsia" w:ascii="宋体" w:hAnsi="宋体" w:cs="宋体"/>
          <w:szCs w:val="21"/>
        </w:rPr>
        <w:t>20.3 争</w:t>
      </w:r>
      <w:bookmarkEnd w:id="572"/>
      <w:r>
        <w:rPr>
          <w:rFonts w:hint="eastAsia" w:ascii="宋体" w:hAnsi="宋体" w:cs="宋体"/>
          <w:szCs w:val="21"/>
        </w:rPr>
        <w:t>议评审</w:t>
      </w:r>
    </w:p>
    <w:p>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kern w:val="0"/>
          <w:szCs w:val="21"/>
        </w:rPr>
        <w:t>20.3.2 争议评审小组的决定</w:t>
      </w:r>
    </w:p>
    <w:p>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pPr>
        <w:spacing w:line="360" w:lineRule="exact"/>
        <w:ind w:firstLine="420" w:firstLineChars="200"/>
        <w:rPr>
          <w:rFonts w:ascii="宋体" w:hAnsi="宋体" w:cs="宋体"/>
          <w:szCs w:val="21"/>
          <w:u w:val="single"/>
        </w:rPr>
      </w:pPr>
      <w:r>
        <w:rPr>
          <w:rFonts w:hint="eastAsia" w:ascii="宋体" w:hAnsi="宋体" w:cs="宋体"/>
          <w:szCs w:val="21"/>
          <w:u w:val="single"/>
        </w:rPr>
        <w:t>20.3.3 争议评审小组决定的效力：按通用条款执行。</w:t>
      </w:r>
    </w:p>
    <w:p>
      <w:pPr>
        <w:spacing w:line="360" w:lineRule="exact"/>
        <w:ind w:firstLine="420" w:firstLineChars="200"/>
        <w:rPr>
          <w:rFonts w:ascii="宋体" w:hAnsi="宋体" w:cs="宋体"/>
          <w:szCs w:val="21"/>
        </w:rPr>
      </w:pPr>
      <w:r>
        <w:rPr>
          <w:rFonts w:hint="eastAsia" w:ascii="宋体" w:hAnsi="宋体" w:cs="宋体"/>
          <w:szCs w:val="21"/>
        </w:rPr>
        <w:t>20.4仲裁或诉讼</w:t>
      </w:r>
      <w:bookmarkEnd w:id="573"/>
    </w:p>
    <w:p>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（2）</w:t>
      </w:r>
      <w:r>
        <w:rPr>
          <w:rFonts w:hint="eastAsia" w:ascii="宋体" w:hAnsi="宋体" w:cs="宋体"/>
          <w:szCs w:val="21"/>
        </w:rPr>
        <w:t>种方式解决：</w:t>
      </w:r>
    </w:p>
    <w:p>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bookmarkEnd w:id="574"/>
      <w:bookmarkEnd w:id="575"/>
      <w:bookmarkEnd w:id="576"/>
      <w:bookmarkEnd w:id="577"/>
      <w:bookmarkEnd w:id="578"/>
      <w:bookmarkEnd w:id="579"/>
    </w:p>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360" w:lineRule="exac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exact"/>
        <w:rPr>
          <w:rFonts w:ascii="宋体" w:hAnsi="宋体" w:cs="宋体"/>
          <w:b/>
          <w:bCs/>
          <w:sz w:val="28"/>
          <w:szCs w:val="28"/>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bookmarkEnd w:id="51"/>
      <w:bookmarkStart w:id="586" w:name="_Toc525555743"/>
      <w:bookmarkStart w:id="587" w:name="_Toc525555805"/>
    </w:p>
    <w:bookmarkEnd w:id="586"/>
    <w:bookmarkEnd w:id="587"/>
    <w:p>
      <w:pPr>
        <w:spacing w:line="360" w:lineRule="exact"/>
        <w:rPr>
          <w:szCs w:val="21"/>
        </w:rPr>
      </w:pPr>
    </w:p>
    <w:p>
      <w:pPr>
        <w:spacing w:line="360" w:lineRule="exact"/>
        <w:rPr>
          <w:rFonts w:ascii="宋体" w:hAnsi="宋体" w:cs="宋体"/>
          <w:b/>
          <w:bCs/>
          <w:sz w:val="28"/>
          <w:szCs w:val="28"/>
        </w:rPr>
      </w:pPr>
      <w:bookmarkStart w:id="588" w:name="_Toc228163249"/>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pStyle w:val="40"/>
        <w:rPr>
          <w:rFonts w:cs="宋体"/>
          <w:b/>
          <w:bCs/>
          <w:sz w:val="28"/>
          <w:szCs w:val="28"/>
        </w:rPr>
      </w:pPr>
    </w:p>
    <w:p>
      <w:pPr>
        <w:pStyle w:val="40"/>
        <w:rPr>
          <w:rFonts w:cs="宋体"/>
          <w:b/>
          <w:bCs/>
          <w:sz w:val="28"/>
          <w:szCs w:val="28"/>
        </w:rPr>
      </w:pPr>
    </w:p>
    <w:p>
      <w:pPr>
        <w:pStyle w:val="40"/>
        <w:rPr>
          <w:rFonts w:cs="宋体"/>
          <w:b/>
          <w:bCs/>
          <w:sz w:val="28"/>
          <w:szCs w:val="28"/>
        </w:rPr>
      </w:pPr>
    </w:p>
    <w:p>
      <w:pPr>
        <w:pStyle w:val="40"/>
        <w:rPr>
          <w:rFonts w:cs="宋体"/>
          <w:b/>
          <w:bCs/>
          <w:sz w:val="28"/>
          <w:szCs w:val="28"/>
        </w:rPr>
      </w:pPr>
    </w:p>
    <w:p>
      <w:pPr>
        <w:pStyle w:val="40"/>
        <w:rPr>
          <w:rFonts w:cs="宋体"/>
          <w:b/>
          <w:bCs/>
          <w:sz w:val="28"/>
          <w:szCs w:val="28"/>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spacing w:line="360" w:lineRule="exact"/>
        <w:jc w:val="center"/>
        <w:outlineLvl w:val="1"/>
        <w:rPr>
          <w:rFonts w:ascii="宋体" w:hAnsi="宋体"/>
          <w:szCs w:val="21"/>
        </w:rPr>
      </w:pPr>
      <w:bookmarkStart w:id="589" w:name="_Toc472"/>
      <w:r>
        <w:rPr>
          <w:rFonts w:hint="eastAsia" w:ascii="宋体" w:hAnsi="宋体" w:cs="宋体"/>
          <w:b/>
          <w:bCs/>
          <w:sz w:val="28"/>
          <w:szCs w:val="28"/>
        </w:rPr>
        <w:t>第四部分     工程质量保修书</w:t>
      </w:r>
      <w:bookmarkEnd w:id="589"/>
    </w:p>
    <w:p>
      <w:pPr>
        <w:spacing w:line="586" w:lineRule="exact"/>
        <w:rPr>
          <w:rFonts w:hAnsi="仿宋"/>
          <w:sz w:val="28"/>
          <w:szCs w:val="28"/>
        </w:rPr>
      </w:pPr>
    </w:p>
    <w:p>
      <w:pPr>
        <w:spacing w:line="360" w:lineRule="exact"/>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rPr>
          <w:rFonts w:ascii="宋体" w:hAnsi="宋体" w:cs="宋体"/>
          <w:szCs w:val="21"/>
        </w:rPr>
      </w:pPr>
    </w:p>
    <w:p>
      <w:pPr>
        <w:spacing w:line="360" w:lineRule="exact"/>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洪家街道鸿源社区“邻距里”综合体建设项目</w:t>
      </w:r>
      <w:r>
        <w:rPr>
          <w:rFonts w:hint="eastAsia" w:ascii="宋体" w:hAnsi="宋体" w:cs="宋体"/>
          <w:szCs w:val="21"/>
        </w:rPr>
        <w:t>（工程全称）签订工程质量保修书。</w:t>
      </w:r>
    </w:p>
    <w:p>
      <w:pPr>
        <w:spacing w:line="360" w:lineRule="exact"/>
        <w:ind w:firstLine="420" w:firstLineChars="200"/>
        <w:rPr>
          <w:rFonts w:ascii="宋体" w:hAnsi="宋体" w:cs="宋体"/>
          <w:szCs w:val="21"/>
        </w:rPr>
      </w:pPr>
      <w:r>
        <w:rPr>
          <w:rFonts w:hint="eastAsia" w:ascii="宋体" w:hAnsi="宋体" w:cs="宋体"/>
          <w:szCs w:val="21"/>
        </w:rPr>
        <w:t>一、工程质量保修范围和内容</w:t>
      </w:r>
    </w:p>
    <w:p>
      <w:pPr>
        <w:spacing w:line="360" w:lineRule="exact"/>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60" w:lineRule="exact"/>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合同范围内的所有内容</w:t>
      </w:r>
      <w:r>
        <w:rPr>
          <w:rFonts w:hint="eastAsia" w:ascii="宋体" w:hAnsi="宋体" w:cs="宋体"/>
          <w:szCs w:val="21"/>
        </w:rPr>
        <w:t>。</w:t>
      </w:r>
    </w:p>
    <w:p>
      <w:pPr>
        <w:spacing w:line="360" w:lineRule="exact"/>
        <w:ind w:firstLine="411" w:firstLineChars="196"/>
        <w:rPr>
          <w:rFonts w:ascii="宋体" w:hAnsi="宋体" w:cs="宋体"/>
          <w:szCs w:val="21"/>
        </w:rPr>
      </w:pPr>
      <w:r>
        <w:rPr>
          <w:rFonts w:hint="eastAsia" w:ascii="宋体" w:hAnsi="宋体" w:cs="宋体"/>
          <w:szCs w:val="21"/>
        </w:rPr>
        <w:t>二、质量保修期</w:t>
      </w:r>
    </w:p>
    <w:p>
      <w:pPr>
        <w:spacing w:line="360" w:lineRule="exact"/>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360" w:lineRule="exact"/>
        <w:ind w:firstLine="42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360" w:lineRule="exact"/>
        <w:ind w:firstLine="420" w:firstLineChars="2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5   </w:t>
      </w:r>
      <w:r>
        <w:rPr>
          <w:rFonts w:hint="eastAsia" w:ascii="宋体" w:hAnsi="宋体" w:cs="宋体"/>
          <w:szCs w:val="21"/>
        </w:rPr>
        <w:t>年；</w:t>
      </w:r>
    </w:p>
    <w:p>
      <w:pPr>
        <w:spacing w:line="360" w:lineRule="exact"/>
        <w:ind w:firstLine="42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2   </w:t>
      </w:r>
      <w:r>
        <w:rPr>
          <w:rFonts w:hint="eastAsia" w:ascii="宋体" w:hAnsi="宋体" w:cs="宋体"/>
          <w:szCs w:val="21"/>
        </w:rPr>
        <w:t>年；</w:t>
      </w:r>
    </w:p>
    <w:p>
      <w:pPr>
        <w:spacing w:line="360" w:lineRule="exact"/>
        <w:ind w:firstLine="42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360" w:lineRule="exact"/>
        <w:ind w:firstLine="42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360" w:lineRule="exact"/>
        <w:ind w:firstLine="42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2    </w:t>
      </w:r>
      <w:r>
        <w:rPr>
          <w:rFonts w:hint="eastAsia" w:ascii="宋体" w:hAnsi="宋体" w:cs="宋体"/>
          <w:szCs w:val="21"/>
        </w:rPr>
        <w:t>年；</w:t>
      </w:r>
    </w:p>
    <w:p>
      <w:pPr>
        <w:spacing w:line="360" w:lineRule="exact"/>
        <w:ind w:firstLine="420" w:firstLineChars="2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2年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质量保修期自工程竣工验收合格之日起计算。</w:t>
      </w:r>
    </w:p>
    <w:p>
      <w:pPr>
        <w:spacing w:line="360" w:lineRule="exact"/>
        <w:ind w:firstLine="420" w:firstLineChars="200"/>
        <w:rPr>
          <w:rFonts w:ascii="宋体" w:hAnsi="宋体" w:cs="宋体"/>
          <w:szCs w:val="21"/>
        </w:rPr>
      </w:pPr>
      <w:r>
        <w:rPr>
          <w:rFonts w:hint="eastAsia" w:ascii="宋体" w:hAnsi="宋体" w:cs="宋体"/>
          <w:szCs w:val="21"/>
        </w:rPr>
        <w:t>三、缺陷责任期</w:t>
      </w:r>
    </w:p>
    <w:p>
      <w:pPr>
        <w:spacing w:line="360" w:lineRule="exact"/>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24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360" w:lineRule="exact"/>
        <w:ind w:firstLine="420" w:firstLineChars="200"/>
        <w:rPr>
          <w:rFonts w:ascii="宋体" w:hAnsi="宋体" w:cs="宋体"/>
          <w:szCs w:val="21"/>
        </w:rPr>
      </w:pPr>
      <w:r>
        <w:rPr>
          <w:rFonts w:hint="eastAsia" w:ascii="宋体" w:hAnsi="宋体" w:cs="宋体"/>
          <w:szCs w:val="21"/>
        </w:rPr>
        <w:t>四、质量保修责任</w:t>
      </w:r>
    </w:p>
    <w:p>
      <w:pPr>
        <w:spacing w:line="360" w:lineRule="exact"/>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60" w:lineRule="exact"/>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60" w:lineRule="exact"/>
        <w:ind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rFonts w:ascii="宋体" w:hAnsi="宋体" w:cs="宋体"/>
          <w:szCs w:val="21"/>
        </w:rPr>
      </w:pPr>
      <w:r>
        <w:rPr>
          <w:rFonts w:hint="eastAsia" w:ascii="宋体" w:hAnsi="宋体" w:cs="宋体"/>
          <w:szCs w:val="21"/>
        </w:rPr>
        <w:t>4．质量保修完成后，由发包人组织验收。</w:t>
      </w:r>
    </w:p>
    <w:p>
      <w:pPr>
        <w:spacing w:line="360" w:lineRule="exact"/>
        <w:ind w:firstLine="420" w:firstLineChars="200"/>
        <w:rPr>
          <w:rFonts w:ascii="宋体" w:hAnsi="宋体" w:cs="宋体"/>
          <w:szCs w:val="21"/>
        </w:rPr>
      </w:pPr>
      <w:r>
        <w:rPr>
          <w:rFonts w:hint="eastAsia" w:ascii="宋体" w:hAnsi="宋体" w:cs="宋体"/>
          <w:szCs w:val="21"/>
        </w:rPr>
        <w:t>五、保修费用</w:t>
      </w:r>
    </w:p>
    <w:p>
      <w:pPr>
        <w:spacing w:line="360" w:lineRule="exact"/>
        <w:ind w:firstLine="600"/>
        <w:rPr>
          <w:rFonts w:ascii="宋体" w:hAnsi="宋体" w:cs="宋体"/>
          <w:szCs w:val="21"/>
        </w:rPr>
      </w:pPr>
      <w:r>
        <w:rPr>
          <w:rFonts w:hint="eastAsia" w:ascii="宋体" w:hAnsi="宋体" w:cs="宋体"/>
          <w:szCs w:val="21"/>
        </w:rPr>
        <w:t>保修费用由造成质量缺陷的责任方承担。</w:t>
      </w:r>
    </w:p>
    <w:p>
      <w:pPr>
        <w:spacing w:line="360" w:lineRule="exact"/>
        <w:ind w:firstLine="6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hint="eastAsia" w:ascii="宋体" w:hAnsi="宋体" w:cs="宋体"/>
          <w:szCs w:val="21"/>
        </w:rPr>
        <w:t>。</w:t>
      </w:r>
    </w:p>
    <w:p>
      <w:pPr>
        <w:spacing w:line="360" w:lineRule="exact"/>
        <w:ind w:firstLine="399" w:firstLineChars="19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360" w:lineRule="exact"/>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pPr>
        <w:spacing w:line="360" w:lineRule="exact"/>
        <w:rPr>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r>
        <w:rPr>
          <w:rFonts w:hAnsi="仿宋"/>
          <w:sz w:val="28"/>
          <w:szCs w:val="28"/>
          <w:u w:val="single"/>
        </w:rPr>
        <w:t xml:space="preserve"> </w:t>
      </w:r>
    </w:p>
    <w:p>
      <w:pPr>
        <w:spacing w:line="360" w:lineRule="exact"/>
        <w:ind w:firstLine="420" w:firstLineChars="200"/>
        <w:rPr>
          <w:szCs w:val="21"/>
          <w:u w:val="single"/>
        </w:rPr>
      </w:pPr>
    </w:p>
    <w:p>
      <w:pPr>
        <w:spacing w:line="360" w:lineRule="exact"/>
        <w:ind w:firstLine="420" w:firstLineChars="200"/>
        <w:rPr>
          <w:szCs w:val="21"/>
          <w:u w:val="single"/>
        </w:rPr>
      </w:pPr>
    </w:p>
    <w:p>
      <w:pPr>
        <w:spacing w:line="360" w:lineRule="exact"/>
        <w:ind w:firstLine="420" w:firstLineChars="200"/>
        <w:rPr>
          <w:szCs w:val="21"/>
          <w:u w:val="single"/>
        </w:rPr>
      </w:pPr>
    </w:p>
    <w:bookmarkEnd w:id="588"/>
    <w:p>
      <w:pPr>
        <w:adjustRightInd w:val="0"/>
        <w:spacing w:line="360" w:lineRule="exact"/>
        <w:rPr>
          <w:rFonts w:ascii="黑体" w:hAnsi="黑体" w:eastAsia="黑体"/>
          <w:sz w:val="30"/>
          <w:szCs w:val="30"/>
        </w:rPr>
      </w:pPr>
      <w:bookmarkStart w:id="590" w:name="_Toc283886261"/>
      <w:bookmarkStart w:id="591" w:name="_Toc282596316"/>
      <w:bookmarkStart w:id="592" w:name="_Toc394573948"/>
      <w:bookmarkStart w:id="593" w:name="_Toc283976552"/>
    </w:p>
    <w:p>
      <w:pPr>
        <w:pStyle w:val="29"/>
        <w:rPr>
          <w:rFonts w:ascii="黑体" w:hAnsi="黑体" w:eastAsia="黑体"/>
          <w:sz w:val="30"/>
          <w:szCs w:val="30"/>
        </w:rPr>
      </w:pPr>
    </w:p>
    <w:p>
      <w:pPr>
        <w:pStyle w:val="29"/>
        <w:jc w:val="both"/>
      </w:pPr>
    </w:p>
    <w:p>
      <w:pPr>
        <w:adjustRightInd w:val="0"/>
        <w:spacing w:line="360" w:lineRule="exact"/>
        <w:ind w:firstLine="600" w:firstLineChars="200"/>
        <w:jc w:val="center"/>
        <w:outlineLvl w:val="1"/>
        <w:rPr>
          <w:rFonts w:ascii="黑体" w:hAnsi="黑体" w:eastAsia="黑体"/>
          <w:sz w:val="30"/>
          <w:szCs w:val="30"/>
        </w:rPr>
      </w:pPr>
      <w:bookmarkStart w:id="594" w:name="_Toc31098"/>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pStyle w:val="29"/>
        <w:rPr>
          <w:rFonts w:ascii="黑体" w:hAnsi="黑体" w:eastAsia="黑体"/>
          <w:sz w:val="30"/>
          <w:szCs w:val="30"/>
        </w:rPr>
      </w:pPr>
    </w:p>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ind w:firstLine="600" w:firstLineChars="200"/>
        <w:jc w:val="center"/>
        <w:outlineLvl w:val="1"/>
        <w:rPr>
          <w:rFonts w:ascii="黑体" w:hAnsi="黑体" w:eastAsia="黑体"/>
          <w:sz w:val="30"/>
          <w:szCs w:val="30"/>
        </w:rPr>
      </w:pPr>
    </w:p>
    <w:p>
      <w:pPr>
        <w:adjustRightInd w:val="0"/>
        <w:spacing w:line="360" w:lineRule="exact"/>
        <w:outlineLvl w:val="1"/>
        <w:rPr>
          <w:rFonts w:ascii="黑体" w:hAnsi="黑体" w:eastAsia="黑体"/>
          <w:sz w:val="30"/>
          <w:szCs w:val="30"/>
        </w:rPr>
      </w:pPr>
    </w:p>
    <w:p>
      <w:pPr>
        <w:adjustRightInd w:val="0"/>
        <w:spacing w:line="360" w:lineRule="exact"/>
        <w:jc w:val="center"/>
        <w:outlineLvl w:val="1"/>
        <w:rPr>
          <w:rFonts w:ascii="黑体" w:hAnsi="黑体" w:eastAsia="黑体"/>
          <w:sz w:val="28"/>
          <w:szCs w:val="28"/>
        </w:rPr>
      </w:pPr>
      <w:r>
        <w:rPr>
          <w:rFonts w:hint="eastAsia" w:ascii="黑体" w:hAnsi="黑体" w:eastAsia="黑体"/>
          <w:sz w:val="30"/>
          <w:szCs w:val="30"/>
        </w:rPr>
        <w:t>第五部分    工程建设项目廉政责任书</w:t>
      </w:r>
      <w:bookmarkEnd w:id="590"/>
      <w:bookmarkEnd w:id="591"/>
      <w:bookmarkEnd w:id="592"/>
      <w:bookmarkEnd w:id="593"/>
      <w:bookmarkEnd w:id="594"/>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工程项目名称：</w:t>
      </w:r>
      <w:r>
        <w:rPr>
          <w:rFonts w:hint="eastAsia"/>
          <w:szCs w:val="21"/>
          <w:u w:val="single"/>
        </w:rPr>
        <w:t xml:space="preserve">                                 </w:t>
      </w:r>
    </w:p>
    <w:p>
      <w:pPr>
        <w:autoSpaceDE w:val="0"/>
        <w:autoSpaceDN w:val="0"/>
        <w:spacing w:line="360" w:lineRule="exact"/>
        <w:ind w:firstLine="482"/>
        <w:rPr>
          <w:szCs w:val="21"/>
        </w:rPr>
      </w:pPr>
      <w:r>
        <w:rPr>
          <w:rFonts w:hint="eastAsia"/>
          <w:szCs w:val="21"/>
        </w:rPr>
        <w:t>工程项目地址：</w:t>
      </w:r>
      <w:r>
        <w:rPr>
          <w:rFonts w:hint="eastAsia"/>
          <w:szCs w:val="21"/>
          <w:u w:val="single"/>
        </w:rPr>
        <w:t xml:space="preserve">                                 </w:t>
      </w:r>
    </w:p>
    <w:p>
      <w:pPr>
        <w:autoSpaceDE w:val="0"/>
        <w:autoSpaceDN w:val="0"/>
        <w:spacing w:line="360" w:lineRule="exact"/>
        <w:ind w:firstLine="482"/>
        <w:rPr>
          <w:szCs w:val="21"/>
        </w:rPr>
      </w:pPr>
      <w:r>
        <w:rPr>
          <w:rFonts w:hint="eastAsia"/>
          <w:szCs w:val="21"/>
        </w:rPr>
        <w:t>建设单位（甲方）：</w:t>
      </w:r>
      <w:r>
        <w:rPr>
          <w:rFonts w:hint="eastAsia"/>
          <w:szCs w:val="21"/>
          <w:u w:val="single"/>
        </w:rPr>
        <w:t xml:space="preserve">                              </w:t>
      </w:r>
    </w:p>
    <w:p>
      <w:pPr>
        <w:autoSpaceDE w:val="0"/>
        <w:autoSpaceDN w:val="0"/>
        <w:spacing w:line="360" w:lineRule="exact"/>
        <w:ind w:firstLine="482"/>
        <w:rPr>
          <w:szCs w:val="21"/>
          <w:u w:val="single"/>
        </w:rPr>
      </w:pPr>
      <w:r>
        <w:rPr>
          <w:rFonts w:hint="eastAsia"/>
          <w:szCs w:val="21"/>
        </w:rPr>
        <w:t>施工单位（乙方）：</w:t>
      </w:r>
      <w:r>
        <w:rPr>
          <w:rFonts w:hint="eastAsia"/>
          <w:szCs w:val="21"/>
          <w:u w:val="single"/>
        </w:rPr>
        <w:t xml:space="preserve">                              </w:t>
      </w:r>
    </w:p>
    <w:p>
      <w:pPr>
        <w:autoSpaceDE w:val="0"/>
        <w:autoSpaceDN w:val="0"/>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szCs w:val="21"/>
        </w:rPr>
      </w:pPr>
      <w:r>
        <w:rPr>
          <w:rFonts w:hint="eastAsia"/>
          <w:szCs w:val="21"/>
        </w:rPr>
        <w:t>　　第一条 甲乙双方的责任</w:t>
      </w:r>
    </w:p>
    <w:p>
      <w:pPr>
        <w:pStyle w:val="12"/>
        <w:spacing w:line="360" w:lineRule="exact"/>
        <w:jc w:val="left"/>
        <w:rPr>
          <w:rFonts w:ascii="Times New Roman"/>
          <w:sz w:val="21"/>
          <w:szCs w:val="21"/>
        </w:rPr>
      </w:pPr>
      <w:r>
        <w:rPr>
          <w:rFonts w:hint="eastAsia" w:ascii="Times New Roman"/>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szCs w:val="21"/>
        </w:rPr>
      </w:pPr>
      <w:r>
        <w:rPr>
          <w:rFonts w:hint="eastAsia"/>
          <w:szCs w:val="21"/>
        </w:rPr>
        <w:t>　　（二）严格执行建设工程项目承发包合同文件，自觉按合同办事。</w:t>
      </w:r>
    </w:p>
    <w:p>
      <w:pPr>
        <w:pStyle w:val="12"/>
        <w:spacing w:line="360" w:lineRule="exact"/>
        <w:rPr>
          <w:rFonts w:ascii="Times New Roman"/>
          <w:sz w:val="21"/>
          <w:szCs w:val="21"/>
        </w:rPr>
      </w:pPr>
      <w:r>
        <w:rPr>
          <w:rFonts w:hint="eastAsia"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12"/>
        <w:spacing w:line="360" w:lineRule="exact"/>
        <w:jc w:val="left"/>
        <w:rPr>
          <w:rFonts w:ascii="Times New Roman"/>
          <w:sz w:val="21"/>
          <w:szCs w:val="21"/>
        </w:rPr>
      </w:pPr>
      <w:r>
        <w:rPr>
          <w:rFonts w:hint="eastAsia" w:ascii="Times New Roman"/>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szCs w:val="21"/>
        </w:rPr>
      </w:pPr>
      <w:r>
        <w:rPr>
          <w:rFonts w:hint="eastAsia"/>
          <w:szCs w:val="21"/>
        </w:rPr>
        <w:t>　　第二条 甲方的责任</w:t>
      </w:r>
    </w:p>
    <w:p>
      <w:pPr>
        <w:autoSpaceDE w:val="0"/>
        <w:autoSpaceDN w:val="0"/>
        <w:spacing w:line="360" w:lineRule="exact"/>
        <w:rPr>
          <w:szCs w:val="21"/>
        </w:rPr>
      </w:pPr>
      <w:r>
        <w:rPr>
          <w:rFonts w:hint="eastAsia"/>
          <w:szCs w:val="21"/>
        </w:rPr>
        <w:t>　　甲方的领导和从事该建设工程项目的工作人员，在工程建设的事前、事中、事后应遵守以下规定：</w:t>
      </w:r>
    </w:p>
    <w:p>
      <w:pPr>
        <w:autoSpaceDE w:val="0"/>
        <w:autoSpaceDN w:val="0"/>
        <w:spacing w:line="360" w:lineRule="exact"/>
        <w:rPr>
          <w:szCs w:val="21"/>
        </w:rPr>
      </w:pPr>
      <w:r>
        <w:rPr>
          <w:rFonts w:hint="eastAsia"/>
          <w:szCs w:val="21"/>
        </w:rPr>
        <w:t>　　（一）不准向乙方和相关单位索要或接受回扣、礼金、有价证券、贵重物品和好处费、感谢费等。</w:t>
      </w:r>
    </w:p>
    <w:p>
      <w:pPr>
        <w:autoSpaceDE w:val="0"/>
        <w:autoSpaceDN w:val="0"/>
        <w:spacing w:line="360" w:lineRule="exact"/>
        <w:rPr>
          <w:szCs w:val="21"/>
        </w:rPr>
      </w:pPr>
      <w:r>
        <w:rPr>
          <w:rFonts w:hint="eastAsia"/>
          <w:szCs w:val="21"/>
        </w:rPr>
        <w:t>　　（二）不准在乙方和相关单位报销任何应由甲方或个人支付的费用。</w:t>
      </w:r>
    </w:p>
    <w:p>
      <w:pPr>
        <w:pStyle w:val="12"/>
        <w:spacing w:line="360" w:lineRule="exact"/>
        <w:jc w:val="left"/>
        <w:rPr>
          <w:rFonts w:ascii="Times New Roman"/>
          <w:sz w:val="21"/>
          <w:szCs w:val="21"/>
        </w:rPr>
      </w:pPr>
      <w:r>
        <w:rPr>
          <w:rFonts w:hint="eastAsia" w:ascii="Times New Roman"/>
          <w:sz w:val="21"/>
          <w:szCs w:val="21"/>
        </w:rPr>
        <w:t>　　（三）不准要求、暗示和接受乙方和相关单位为个人装修住房、婚丧嫁娶、配偶子女的工作安排以及出国（境）、旅游等提供方便。</w:t>
      </w:r>
    </w:p>
    <w:p>
      <w:pPr>
        <w:autoSpaceDE w:val="0"/>
        <w:autoSpaceDN w:val="0"/>
        <w:spacing w:line="360" w:lineRule="exact"/>
        <w:rPr>
          <w:szCs w:val="21"/>
        </w:rPr>
      </w:pPr>
      <w:r>
        <w:rPr>
          <w:rFonts w:hint="eastAsia"/>
          <w:szCs w:val="21"/>
        </w:rPr>
        <w:t>　　（四）不准参加有可能影响公正执行公务的乙方和相关单位的宴请和健身、娱乐等活动。</w:t>
      </w:r>
    </w:p>
    <w:p>
      <w:pPr>
        <w:pStyle w:val="12"/>
        <w:spacing w:line="360" w:lineRule="exact"/>
        <w:jc w:val="left"/>
        <w:rPr>
          <w:rFonts w:ascii="Times New Roman"/>
          <w:sz w:val="21"/>
          <w:szCs w:val="21"/>
        </w:rPr>
      </w:pPr>
      <w:r>
        <w:rPr>
          <w:rFonts w:hint="eastAsia"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szCs w:val="21"/>
        </w:rPr>
      </w:pPr>
      <w:r>
        <w:rPr>
          <w:rFonts w:hint="eastAsia"/>
          <w:szCs w:val="21"/>
        </w:rPr>
        <w:t>　　第三条 乙方的责任</w:t>
      </w:r>
    </w:p>
    <w:p>
      <w:pPr>
        <w:pStyle w:val="12"/>
        <w:spacing w:line="360" w:lineRule="exact"/>
        <w:jc w:val="left"/>
        <w:rPr>
          <w:rFonts w:ascii="Times New Roman"/>
          <w:sz w:val="21"/>
          <w:szCs w:val="21"/>
        </w:rPr>
      </w:pPr>
      <w:r>
        <w:rPr>
          <w:rFonts w:hint="eastAsia"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pPr>
        <w:pStyle w:val="12"/>
        <w:spacing w:line="360" w:lineRule="exact"/>
        <w:jc w:val="left"/>
        <w:rPr>
          <w:rFonts w:ascii="Times New Roman"/>
          <w:sz w:val="21"/>
          <w:szCs w:val="21"/>
        </w:rPr>
      </w:pPr>
      <w:r>
        <w:rPr>
          <w:rFonts w:hint="eastAsia" w:ascii="Times New Roman"/>
          <w:sz w:val="21"/>
          <w:szCs w:val="21"/>
        </w:rPr>
        <w:t>　　（一）不准以任何理由向甲方、相关单位及其工作人员索要、接受或赠送礼金、有价证券、贵重物品和回扣、好处费、感谢费等。</w:t>
      </w:r>
    </w:p>
    <w:p>
      <w:pPr>
        <w:autoSpaceDE w:val="0"/>
        <w:autoSpaceDN w:val="0"/>
        <w:spacing w:line="360" w:lineRule="exact"/>
        <w:rPr>
          <w:szCs w:val="21"/>
        </w:rPr>
      </w:pPr>
      <w:r>
        <w:rPr>
          <w:rFonts w:hint="eastAsia"/>
          <w:szCs w:val="21"/>
        </w:rPr>
        <w:t>　　（二）不准以任何理由为甲方和相关单位报销应由对方或个人支付的费用。</w:t>
      </w:r>
    </w:p>
    <w:p>
      <w:pPr>
        <w:pStyle w:val="12"/>
        <w:spacing w:line="360" w:lineRule="exact"/>
        <w:jc w:val="left"/>
        <w:rPr>
          <w:rFonts w:ascii="Times New Roman"/>
          <w:sz w:val="21"/>
          <w:szCs w:val="21"/>
        </w:rPr>
      </w:pPr>
      <w:r>
        <w:rPr>
          <w:rFonts w:hint="eastAsia" w:ascii="Times New Roman"/>
          <w:sz w:val="21"/>
          <w:szCs w:val="21"/>
        </w:rPr>
        <w:t>　　（三）不准接受或暗示为甲方、相关单位或个人装修住房、婚丧嫁娶、配偶子女的工作安排以及出国（境）、旅游等提供方便。</w:t>
      </w:r>
    </w:p>
    <w:p>
      <w:pPr>
        <w:pStyle w:val="12"/>
        <w:spacing w:line="360" w:lineRule="exact"/>
        <w:jc w:val="left"/>
        <w:rPr>
          <w:rFonts w:ascii="Times New Roman"/>
          <w:sz w:val="21"/>
          <w:szCs w:val="21"/>
        </w:rPr>
      </w:pPr>
      <w:r>
        <w:rPr>
          <w:rFonts w:hint="eastAsia" w:ascii="Times New Roman"/>
          <w:sz w:val="21"/>
          <w:szCs w:val="21"/>
        </w:rPr>
        <w:t>　　（四）不准以任何理由为甲方、相关单位或个人组织有可能影响公正执行公务的宴请、健身、娱乐等活动。</w:t>
      </w:r>
    </w:p>
    <w:p>
      <w:pPr>
        <w:autoSpaceDE w:val="0"/>
        <w:autoSpaceDN w:val="0"/>
        <w:spacing w:line="360" w:lineRule="exact"/>
        <w:rPr>
          <w:szCs w:val="21"/>
        </w:rPr>
      </w:pPr>
      <w:r>
        <w:rPr>
          <w:rFonts w:hint="eastAsia"/>
          <w:szCs w:val="21"/>
        </w:rPr>
        <w:t>　　第四条 违约责任</w:t>
      </w:r>
    </w:p>
    <w:p>
      <w:pPr>
        <w:pStyle w:val="12"/>
        <w:spacing w:line="360" w:lineRule="exact"/>
        <w:jc w:val="left"/>
        <w:rPr>
          <w:rFonts w:ascii="Times New Roman"/>
          <w:sz w:val="21"/>
          <w:szCs w:val="21"/>
        </w:rPr>
      </w:pPr>
      <w:r>
        <w:rPr>
          <w:rFonts w:hint="eastAsia"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2"/>
        <w:spacing w:line="360" w:lineRule="exact"/>
        <w:jc w:val="left"/>
        <w:rPr>
          <w:rFonts w:ascii="Times New Roman"/>
          <w:sz w:val="21"/>
          <w:szCs w:val="21"/>
        </w:rPr>
      </w:pPr>
      <w:r>
        <w:rPr>
          <w:rFonts w:hint="eastAsia"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szCs w:val="21"/>
        </w:rPr>
      </w:pPr>
      <w:r>
        <w:rPr>
          <w:rFonts w:hint="eastAsia"/>
          <w:szCs w:val="21"/>
        </w:rPr>
        <w:t>　　第五条 本责任书作为工程施工合同的附件，与工程施工合同具有同等法律效力。经双方签署后立即生效。</w:t>
      </w:r>
    </w:p>
    <w:p>
      <w:pPr>
        <w:autoSpaceDE w:val="0"/>
        <w:autoSpaceDN w:val="0"/>
        <w:spacing w:line="360" w:lineRule="exact"/>
        <w:rPr>
          <w:szCs w:val="21"/>
        </w:rPr>
      </w:pPr>
      <w:r>
        <w:rPr>
          <w:rFonts w:hint="eastAsia"/>
          <w:szCs w:val="21"/>
        </w:rPr>
        <w:t>　　第六条 本责任书的有效期为双方签署之日起至该工程项目竣工验收合格时止。</w:t>
      </w:r>
    </w:p>
    <w:p>
      <w:pPr>
        <w:autoSpaceDE w:val="0"/>
        <w:autoSpaceDN w:val="0"/>
        <w:spacing w:line="360" w:lineRule="exact"/>
        <w:rPr>
          <w:szCs w:val="21"/>
        </w:rPr>
      </w:pPr>
      <w:r>
        <w:rPr>
          <w:rFonts w:hint="eastAsia"/>
          <w:szCs w:val="21"/>
        </w:rPr>
        <w:t>　　第七条 本责任书一式陆份，由甲乙双方各执叁份。</w:t>
      </w:r>
    </w:p>
    <w:p>
      <w:pPr>
        <w:autoSpaceDE w:val="0"/>
        <w:autoSpaceDN w:val="0"/>
        <w:spacing w:line="360" w:lineRule="exact"/>
        <w:ind w:firstLine="482"/>
        <w:rPr>
          <w:szCs w:val="21"/>
        </w:rPr>
      </w:pPr>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甲方单位：（盖章）　　　　　　　　                　　　乙方单位：（盖章）</w:t>
      </w:r>
    </w:p>
    <w:p>
      <w:pPr>
        <w:autoSpaceDE w:val="0"/>
        <w:autoSpaceDN w:val="0"/>
        <w:spacing w:line="360" w:lineRule="exact"/>
        <w:ind w:firstLine="482"/>
        <w:rPr>
          <w:szCs w:val="21"/>
        </w:rPr>
      </w:pPr>
      <w:r>
        <w:rPr>
          <w:rFonts w:hint="eastAsia"/>
          <w:szCs w:val="21"/>
        </w:rPr>
        <w:t>法定代表人：　　　　　　　　　               　　　　　法定代表人：</w:t>
      </w:r>
    </w:p>
    <w:p>
      <w:pPr>
        <w:autoSpaceDE w:val="0"/>
        <w:autoSpaceDN w:val="0"/>
        <w:spacing w:line="360" w:lineRule="exact"/>
        <w:ind w:firstLine="482"/>
        <w:rPr>
          <w:szCs w:val="21"/>
        </w:rPr>
      </w:pPr>
      <w:r>
        <w:rPr>
          <w:rFonts w:hint="eastAsia"/>
          <w:szCs w:val="21"/>
        </w:rPr>
        <w:t>地址：　　　　　　　　　　　　　               　　　　地址：</w:t>
      </w:r>
    </w:p>
    <w:p>
      <w:pPr>
        <w:autoSpaceDE w:val="0"/>
        <w:autoSpaceDN w:val="0"/>
        <w:spacing w:line="360" w:lineRule="exact"/>
        <w:ind w:firstLine="482"/>
        <w:rPr>
          <w:szCs w:val="21"/>
        </w:rPr>
      </w:pPr>
      <w:r>
        <w:rPr>
          <w:rFonts w:hint="eastAsia"/>
          <w:szCs w:val="21"/>
        </w:rPr>
        <w:t>电话：　　　　　　　　　　　　　　　               　　电话：</w:t>
      </w:r>
    </w:p>
    <w:p>
      <w:pPr>
        <w:autoSpaceDE w:val="0"/>
        <w:autoSpaceDN w:val="0"/>
        <w:spacing w:line="360" w:lineRule="exact"/>
        <w:ind w:firstLine="1108" w:firstLineChars="528"/>
        <w:rPr>
          <w:szCs w:val="21"/>
        </w:rPr>
      </w:pPr>
      <w:r>
        <w:rPr>
          <w:rFonts w:hint="eastAsia"/>
          <w:szCs w:val="21"/>
        </w:rPr>
        <w:t>年　月　日　　　　　　　　　　　　　               　　年　月　日</w:t>
      </w:r>
    </w:p>
    <w:p>
      <w:pPr>
        <w:autoSpaceDE w:val="0"/>
        <w:autoSpaceDN w:val="0"/>
        <w:spacing w:line="360" w:lineRule="exact"/>
        <w:ind w:firstLine="482"/>
        <w:rPr>
          <w:szCs w:val="21"/>
        </w:rPr>
      </w:pPr>
      <w:r>
        <w:rPr>
          <w:rFonts w:hint="eastAsia"/>
          <w:szCs w:val="21"/>
        </w:rPr>
        <w:t>甲方监督单位（盖章）　　　　　　　　　               　乙方监督单位（盖章）</w:t>
      </w:r>
    </w:p>
    <w:p>
      <w:pPr>
        <w:adjustRightInd w:val="0"/>
        <w:spacing w:line="360" w:lineRule="exact"/>
        <w:ind w:firstLine="1050" w:firstLineChars="500"/>
        <w:rPr>
          <w:szCs w:val="21"/>
        </w:rPr>
        <w:sectPr>
          <w:pgSz w:w="11906" w:h="16838"/>
          <w:pgMar w:top="1440" w:right="1474" w:bottom="1440" w:left="1474" w:header="851" w:footer="992" w:gutter="0"/>
          <w:cols w:space="720" w:num="1"/>
          <w:docGrid w:type="lines" w:linePitch="312" w:charSpace="0"/>
        </w:sectPr>
      </w:pPr>
      <w:r>
        <w:rPr>
          <w:rFonts w:hint="eastAsia"/>
          <w:szCs w:val="21"/>
        </w:rPr>
        <w:t>年　月　日　　　　　　　　　　　　　　               　年　月　日</w:t>
      </w:r>
    </w:p>
    <w:p>
      <w:pPr>
        <w:adjustRightInd w:val="0"/>
        <w:snapToGrid w:val="0"/>
        <w:spacing w:line="400" w:lineRule="exact"/>
        <w:jc w:val="center"/>
        <w:rPr>
          <w:rFonts w:ascii="黑体" w:hAnsi="黑体" w:eastAsia="黑体"/>
          <w:sz w:val="30"/>
          <w:szCs w:val="30"/>
        </w:rPr>
      </w:pPr>
      <w:r>
        <w:rPr>
          <w:rFonts w:hint="eastAsia" w:ascii="黑体" w:hAnsi="黑体" w:eastAsia="黑体"/>
          <w:sz w:val="30"/>
          <w:szCs w:val="30"/>
        </w:rPr>
        <w:t>第六部分    安全生产合同</w:t>
      </w:r>
    </w:p>
    <w:p>
      <w:pPr>
        <w:tabs>
          <w:tab w:val="left" w:pos="574"/>
        </w:tabs>
        <w:spacing w:after="120"/>
      </w:pPr>
    </w:p>
    <w:p>
      <w:pPr>
        <w:spacing w:line="360" w:lineRule="auto"/>
        <w:ind w:firstLine="420" w:firstLineChars="200"/>
        <w:rPr>
          <w:rFonts w:ascii="宋体" w:hAnsi="宋体" w:cs="宋体"/>
          <w:bCs/>
          <w:szCs w:val="21"/>
        </w:rPr>
      </w:pPr>
      <w:r>
        <w:rPr>
          <w:rFonts w:hint="eastAsia" w:ascii="宋体" w:hAnsi="宋体" w:cs="宋体"/>
          <w:bCs/>
          <w:szCs w:val="21"/>
        </w:rPr>
        <w:t>为在</w:t>
      </w:r>
      <w:r>
        <w:rPr>
          <w:bCs/>
          <w:u w:val="single"/>
        </w:rPr>
        <w:t xml:space="preserve">                           </w:t>
      </w:r>
      <w:r>
        <w:rPr>
          <w:rFonts w:hint="eastAsia" w:ascii="宋体" w:hAnsi="宋体" w:cs="宋体"/>
          <w:bCs/>
          <w:szCs w:val="21"/>
        </w:rPr>
        <w:t>（项目名称）合同的实施过程中创造安全、高效的施工环境，切实搞好本项目的安全管理工作，本项目发包人</w:t>
      </w:r>
      <w:r>
        <w:rPr>
          <w:rFonts w:hint="eastAsia" w:ascii="宋体" w:hAnsi="宋体" w:cs="宋体"/>
          <w:bCs/>
          <w:szCs w:val="21"/>
          <w:u w:val="single"/>
        </w:rPr>
        <w:t xml:space="preserve">              </w:t>
      </w:r>
      <w:r>
        <w:rPr>
          <w:rFonts w:hint="eastAsia" w:ascii="宋体" w:hAnsi="宋体" w:cs="宋体"/>
          <w:bCs/>
          <w:szCs w:val="21"/>
        </w:rPr>
        <w:t xml:space="preserve"> (以下简称“甲方”)与承包人</w:t>
      </w:r>
      <w:r>
        <w:rPr>
          <w:rFonts w:hint="eastAsia" w:ascii="宋体" w:hAnsi="宋体" w:cs="宋体"/>
          <w:bCs/>
          <w:szCs w:val="21"/>
          <w:u w:val="single"/>
        </w:rPr>
        <w:t xml:space="preserve">               </w:t>
      </w:r>
      <w:r>
        <w:rPr>
          <w:rFonts w:hint="eastAsia" w:ascii="宋体" w:hAnsi="宋体" w:cs="宋体"/>
          <w:bCs/>
          <w:szCs w:val="21"/>
        </w:rPr>
        <w:t xml:space="preserve"> (以下简称“乙方”)特此签订安全生产合同：</w:t>
      </w:r>
    </w:p>
    <w:p>
      <w:pPr>
        <w:spacing w:line="360" w:lineRule="auto"/>
        <w:ind w:firstLine="420" w:firstLineChars="200"/>
        <w:rPr>
          <w:rFonts w:ascii="宋体" w:hAnsi="宋体" w:cs="宋体"/>
          <w:bCs/>
          <w:szCs w:val="21"/>
        </w:rPr>
      </w:pPr>
      <w:r>
        <w:rPr>
          <w:rFonts w:hint="eastAsia" w:ascii="宋体" w:hAnsi="宋体" w:cs="宋体"/>
          <w:bCs/>
          <w:szCs w:val="21"/>
        </w:rPr>
        <w:t>一、甲方职责</w:t>
      </w:r>
    </w:p>
    <w:p>
      <w:pPr>
        <w:spacing w:line="360" w:lineRule="auto"/>
        <w:ind w:firstLine="420" w:firstLineChars="200"/>
        <w:rPr>
          <w:rFonts w:ascii="宋体" w:hAnsi="宋体" w:cs="宋体"/>
          <w:bCs/>
          <w:szCs w:val="21"/>
        </w:rPr>
      </w:pPr>
      <w:r>
        <w:rPr>
          <w:rFonts w:hint="eastAsia" w:ascii="宋体" w:hAnsi="宋体" w:cs="宋体"/>
          <w:bCs/>
          <w:szCs w:val="21"/>
        </w:rPr>
        <w:t>1．严格遵守国家有关安全生产的法律法规，认真执行合同中的有关安全要求。</w:t>
      </w:r>
    </w:p>
    <w:p>
      <w:pPr>
        <w:spacing w:line="360" w:lineRule="auto"/>
        <w:ind w:firstLine="420" w:firstLineChars="200"/>
        <w:rPr>
          <w:rFonts w:ascii="宋体" w:hAnsi="宋体" w:cs="宋体"/>
          <w:bCs/>
          <w:szCs w:val="21"/>
        </w:rPr>
      </w:pPr>
      <w:r>
        <w:rPr>
          <w:rFonts w:hint="eastAsia" w:ascii="宋体" w:hAnsi="宋体" w:cs="宋体"/>
          <w:bCs/>
          <w:szCs w:val="21"/>
        </w:rPr>
        <w:t>2．按照“安全第一、预防为主”和坚持“管生产必须管安全”的原则进行安全生产管理，做到生产与安全工作同时计划、布置、检查、总结和评比。</w:t>
      </w:r>
    </w:p>
    <w:p>
      <w:pPr>
        <w:spacing w:line="360" w:lineRule="auto"/>
        <w:ind w:firstLine="420" w:firstLineChars="200"/>
        <w:rPr>
          <w:rFonts w:ascii="宋体" w:hAnsi="宋体" w:cs="宋体"/>
          <w:bCs/>
          <w:szCs w:val="21"/>
        </w:rPr>
      </w:pPr>
      <w:r>
        <w:rPr>
          <w:rFonts w:hint="eastAsia" w:ascii="宋体" w:hAnsi="宋体" w:cs="宋体"/>
          <w:bCs/>
          <w:szCs w:val="21"/>
        </w:rPr>
        <w:t>3．重要的安全设施必须坚持与主体工程“三同时”的原则，即：同时设计、审批，同时施工，同时验收，投入使用。</w:t>
      </w:r>
    </w:p>
    <w:p>
      <w:pPr>
        <w:spacing w:line="360" w:lineRule="auto"/>
        <w:ind w:firstLine="420" w:firstLineChars="200"/>
        <w:rPr>
          <w:rFonts w:ascii="宋体" w:hAnsi="宋体" w:cs="宋体"/>
          <w:bCs/>
          <w:szCs w:val="21"/>
        </w:rPr>
      </w:pPr>
      <w:r>
        <w:rPr>
          <w:rFonts w:hint="eastAsia" w:ascii="宋体" w:hAnsi="宋体" w:cs="宋体"/>
          <w:bCs/>
          <w:szCs w:val="21"/>
        </w:rPr>
        <w:t>4．定期召开安全生产调度会，及时传达中央及地方有关安全生产的精神。</w:t>
      </w:r>
    </w:p>
    <w:p>
      <w:pPr>
        <w:spacing w:line="360" w:lineRule="auto"/>
        <w:ind w:firstLine="420" w:firstLineChars="200"/>
        <w:rPr>
          <w:rFonts w:ascii="宋体" w:hAnsi="宋体" w:cs="宋体"/>
          <w:bCs/>
          <w:szCs w:val="21"/>
        </w:rPr>
      </w:pPr>
      <w:r>
        <w:rPr>
          <w:rFonts w:hint="eastAsia" w:ascii="宋体" w:hAnsi="宋体" w:cs="宋体"/>
          <w:bCs/>
          <w:szCs w:val="21"/>
        </w:rPr>
        <w:t>5．组织对乙方施工现场安全生产检查，监督乙方及时处理发现的各种安全隐患。</w:t>
      </w:r>
    </w:p>
    <w:p>
      <w:pPr>
        <w:spacing w:line="360" w:lineRule="auto"/>
        <w:ind w:firstLine="420" w:firstLineChars="200"/>
        <w:rPr>
          <w:rFonts w:ascii="宋体" w:hAnsi="宋体" w:cs="宋体"/>
          <w:bCs/>
          <w:szCs w:val="21"/>
        </w:rPr>
      </w:pPr>
      <w:r>
        <w:rPr>
          <w:rFonts w:hint="eastAsia" w:ascii="宋体" w:hAnsi="宋体" w:cs="宋体"/>
          <w:bCs/>
          <w:szCs w:val="21"/>
        </w:rPr>
        <w:t>二、乙方职责</w:t>
      </w:r>
    </w:p>
    <w:p>
      <w:pPr>
        <w:spacing w:line="360" w:lineRule="auto"/>
        <w:ind w:firstLine="420" w:firstLineChars="200"/>
        <w:rPr>
          <w:rFonts w:ascii="宋体" w:hAnsi="宋体" w:cs="宋体"/>
          <w:bCs/>
          <w:szCs w:val="21"/>
        </w:rPr>
      </w:pPr>
      <w:r>
        <w:rPr>
          <w:rFonts w:hint="eastAsia" w:ascii="宋体" w:hAnsi="宋体" w:cs="宋体"/>
          <w:bCs/>
          <w:szCs w:val="21"/>
        </w:rPr>
        <w:t>1．严格遵守国家有关安全生产的法律法规有关安全生产的规定，认真执行工程承包合同中的有关安全要求。</w:t>
      </w:r>
    </w:p>
    <w:p>
      <w:pPr>
        <w:spacing w:line="360" w:lineRule="auto"/>
        <w:ind w:firstLine="420" w:firstLineChars="200"/>
        <w:rPr>
          <w:rFonts w:ascii="宋体" w:hAnsi="宋体" w:cs="宋体"/>
          <w:bCs/>
          <w:szCs w:val="21"/>
        </w:rPr>
      </w:pPr>
      <w:r>
        <w:rPr>
          <w:rFonts w:hint="eastAsia" w:ascii="宋体" w:hAnsi="宋体" w:cs="宋体"/>
          <w:bCs/>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ascii="宋体" w:hAnsi="宋体" w:cs="宋体"/>
          <w:bCs/>
          <w:szCs w:val="21"/>
        </w:rPr>
      </w:pPr>
      <w:r>
        <w:rPr>
          <w:rFonts w:hint="eastAsia" w:ascii="宋体" w:hAnsi="宋体" w:cs="宋体"/>
          <w:bCs/>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项目实施期间，发生一切事故所产生的一切费用与责任由乙方负全责。</w:t>
      </w:r>
    </w:p>
    <w:p>
      <w:pPr>
        <w:spacing w:line="360" w:lineRule="auto"/>
        <w:ind w:firstLine="420" w:firstLineChars="200"/>
        <w:rPr>
          <w:rFonts w:ascii="宋体" w:hAnsi="宋体" w:cs="宋体"/>
          <w:bCs/>
          <w:szCs w:val="21"/>
        </w:rPr>
      </w:pPr>
      <w:r>
        <w:rPr>
          <w:rFonts w:hint="eastAsia" w:ascii="宋体" w:hAnsi="宋体" w:cs="宋体"/>
          <w:bCs/>
          <w:szCs w:val="21"/>
        </w:rPr>
        <w:t>4．乙方在任何时候都应采取各种合理的预防措施，防止其员工发生任何违法、违禁、暴力或妨碍治安的行为。</w:t>
      </w:r>
    </w:p>
    <w:p>
      <w:pPr>
        <w:spacing w:line="360" w:lineRule="auto"/>
        <w:ind w:firstLine="420" w:firstLineChars="200"/>
        <w:rPr>
          <w:rFonts w:ascii="宋体" w:hAnsi="宋体" w:cs="宋体"/>
          <w:bCs/>
          <w:szCs w:val="21"/>
        </w:rPr>
      </w:pPr>
      <w:r>
        <w:rPr>
          <w:rFonts w:hint="eastAsia" w:ascii="宋体" w:hAnsi="宋体" w:cs="宋体"/>
          <w:bCs/>
          <w:szCs w:val="21"/>
        </w:rPr>
        <w:t>5．乙方或乙方的施工总承包单位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60" w:lineRule="auto"/>
        <w:ind w:firstLine="420" w:firstLineChars="200"/>
        <w:rPr>
          <w:rFonts w:ascii="宋体" w:hAnsi="宋体" w:cs="宋体"/>
          <w:bCs/>
          <w:szCs w:val="21"/>
        </w:rPr>
      </w:pPr>
      <w:r>
        <w:rPr>
          <w:rFonts w:hint="eastAsia" w:ascii="宋体" w:hAnsi="宋体" w:cs="宋体"/>
          <w:bCs/>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ind w:firstLine="420" w:firstLineChars="200"/>
        <w:rPr>
          <w:rFonts w:ascii="宋体" w:hAnsi="宋体" w:cs="宋体"/>
          <w:bCs/>
          <w:szCs w:val="21"/>
        </w:rPr>
      </w:pPr>
      <w:r>
        <w:rPr>
          <w:rFonts w:hint="eastAsia" w:ascii="宋体" w:hAnsi="宋体" w:cs="宋体"/>
          <w:bCs/>
          <w:szCs w:val="21"/>
        </w:rPr>
        <w:t>7．操作人员上岗，必须按规定穿戴防护用品。施工项目负责人和安全检查员应随时检查劳动防护用品的穿戴情况，不按规定穿戴防护用品的人员不得上岗。</w:t>
      </w:r>
    </w:p>
    <w:p>
      <w:pPr>
        <w:spacing w:line="360" w:lineRule="auto"/>
        <w:ind w:firstLine="420" w:firstLineChars="200"/>
        <w:rPr>
          <w:rFonts w:ascii="宋体" w:hAnsi="宋体" w:cs="宋体"/>
          <w:bCs/>
          <w:szCs w:val="21"/>
        </w:rPr>
      </w:pPr>
      <w:r>
        <w:rPr>
          <w:rFonts w:hint="eastAsia" w:ascii="宋体" w:hAnsi="宋体" w:cs="宋体"/>
          <w:bCs/>
          <w:szCs w:val="21"/>
        </w:rPr>
        <w:t>8．所有施工机具设备和高空作业的设备均应定期检查，并有安全员的签字记录，保证其经常处于完好状态；不合格的机具、设备和劳动保护用品严禁使用。</w:t>
      </w:r>
    </w:p>
    <w:p>
      <w:pPr>
        <w:spacing w:line="360" w:lineRule="auto"/>
        <w:ind w:firstLine="420" w:firstLineChars="200"/>
        <w:rPr>
          <w:rFonts w:ascii="宋体" w:hAnsi="宋体" w:cs="宋体"/>
          <w:bCs/>
          <w:szCs w:val="21"/>
        </w:rPr>
      </w:pPr>
      <w:r>
        <w:rPr>
          <w:rFonts w:hint="eastAsia" w:ascii="宋体" w:hAnsi="宋体" w:cs="宋体"/>
          <w:bCs/>
          <w:szCs w:val="21"/>
        </w:rPr>
        <w:t>9．施工中采用新技术、新工艺、新设备、新材料时，必须制定相应的安全技术措施，施工现场必须具有相关的安全标志牌。</w:t>
      </w:r>
    </w:p>
    <w:p>
      <w:pPr>
        <w:spacing w:line="360" w:lineRule="auto"/>
        <w:ind w:firstLine="420" w:firstLineChars="200"/>
        <w:rPr>
          <w:rFonts w:ascii="宋体" w:hAnsi="宋体" w:cs="宋体"/>
          <w:bCs/>
          <w:szCs w:val="21"/>
        </w:rPr>
      </w:pPr>
      <w:r>
        <w:rPr>
          <w:rFonts w:hint="eastAsia" w:ascii="宋体" w:hAnsi="宋体" w:cs="宋体"/>
          <w:bCs/>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ascii="宋体" w:hAnsi="宋体" w:cs="宋体"/>
          <w:bCs/>
          <w:szCs w:val="21"/>
        </w:rPr>
      </w:pPr>
      <w:r>
        <w:rPr>
          <w:rFonts w:hint="eastAsia" w:ascii="宋体" w:hAnsi="宋体" w:cs="宋体"/>
          <w:bCs/>
          <w:szCs w:val="21"/>
        </w:rPr>
        <w:t>三、违约责任</w:t>
      </w:r>
    </w:p>
    <w:p>
      <w:pPr>
        <w:spacing w:line="360" w:lineRule="auto"/>
        <w:ind w:firstLine="420" w:firstLineChars="200"/>
        <w:rPr>
          <w:rFonts w:ascii="宋体" w:hAnsi="宋体" w:cs="宋体"/>
          <w:bCs/>
          <w:szCs w:val="21"/>
        </w:rPr>
      </w:pPr>
      <w:r>
        <w:rPr>
          <w:rFonts w:hint="eastAsia" w:ascii="宋体" w:hAnsi="宋体" w:cs="宋体"/>
          <w:bCs/>
          <w:szCs w:val="21"/>
        </w:rPr>
        <w:t>如因甲方或乙方违约造成安全事故，将依法追究责任。</w:t>
      </w: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甲方：（盖单位章）                乙方： （盖单位章）</w:t>
      </w:r>
    </w:p>
    <w:p>
      <w:pPr>
        <w:spacing w:line="360" w:lineRule="auto"/>
        <w:ind w:firstLine="420" w:firstLineChars="200"/>
        <w:rPr>
          <w:rFonts w:ascii="宋体" w:hAnsi="宋体" w:cs="宋体"/>
          <w:bCs/>
          <w:szCs w:val="21"/>
        </w:rPr>
      </w:pPr>
      <w:r>
        <w:rPr>
          <w:rFonts w:hint="eastAsia" w:ascii="宋体" w:hAnsi="宋体" w:cs="宋体"/>
          <w:bCs/>
          <w:szCs w:val="21"/>
        </w:rPr>
        <w:t>法定代表人或                     法定代表人或</w:t>
      </w:r>
    </w:p>
    <w:p>
      <w:pPr>
        <w:spacing w:line="360" w:lineRule="auto"/>
        <w:ind w:firstLine="420" w:firstLineChars="200"/>
        <w:rPr>
          <w:rFonts w:ascii="宋体" w:hAnsi="宋体" w:cs="宋体"/>
          <w:bCs/>
          <w:szCs w:val="21"/>
        </w:rPr>
      </w:pPr>
      <w:r>
        <w:rPr>
          <w:rFonts w:hint="eastAsia" w:ascii="宋体" w:hAnsi="宋体" w:cs="宋体"/>
          <w:bCs/>
          <w:szCs w:val="21"/>
        </w:rPr>
        <w:t>其委托代理人：（签字）            其委托代理人：（签字）</w:t>
      </w:r>
    </w:p>
    <w:p>
      <w:pPr>
        <w:spacing w:line="360" w:lineRule="auto"/>
        <w:ind w:firstLine="1260" w:firstLineChars="600"/>
        <w:rPr>
          <w:rFonts w:ascii="宋体" w:hAnsi="宋体" w:cs="宋体"/>
          <w:bCs/>
          <w:szCs w:val="21"/>
        </w:rPr>
        <w:sectPr>
          <w:pgSz w:w="11906" w:h="16838"/>
          <w:pgMar w:top="1440" w:right="1800" w:bottom="1440" w:left="1800" w:header="851" w:footer="992" w:gutter="0"/>
          <w:cols w:space="720" w:num="1"/>
          <w:docGrid w:type="lines" w:linePitch="312" w:charSpace="0"/>
        </w:sectPr>
      </w:pPr>
      <w:r>
        <w:rPr>
          <w:rFonts w:hint="eastAsia" w:ascii="宋体" w:hAnsi="宋体" w:cs="宋体"/>
          <w:bCs/>
          <w:szCs w:val="21"/>
        </w:rPr>
        <w:t>年   月     日                      年    月    日</w:t>
      </w:r>
    </w:p>
    <w:p>
      <w:pPr>
        <w:jc w:val="center"/>
        <w:rPr>
          <w:rFonts w:ascii="宋体" w:hAnsi="宋体" w:cs="宋体"/>
          <w:b/>
          <w:sz w:val="36"/>
          <w:szCs w:val="36"/>
        </w:rPr>
      </w:pPr>
      <w:r>
        <w:rPr>
          <w:rFonts w:hint="eastAsia" w:ascii="宋体" w:hAnsi="宋体" w:cs="宋体"/>
          <w:b/>
          <w:sz w:val="36"/>
          <w:szCs w:val="36"/>
        </w:rPr>
        <w:t>第六章：响应文件格式附件</w:t>
      </w:r>
    </w:p>
    <w:p>
      <w:pPr>
        <w:tabs>
          <w:tab w:val="left" w:pos="8280"/>
        </w:tabs>
        <w:autoSpaceDE w:val="0"/>
        <w:autoSpaceDN w:val="0"/>
        <w:adjustRightInd w:val="0"/>
        <w:spacing w:line="240" w:lineRule="atLeast"/>
        <w:ind w:right="25"/>
        <w:rPr>
          <w:rFonts w:ascii="宋体" w:hAnsi="宋体" w:cs="宋体"/>
          <w:kern w:val="0"/>
          <w:sz w:val="24"/>
        </w:rPr>
      </w:pPr>
    </w:p>
    <w:p>
      <w:pPr>
        <w:rPr>
          <w:rFonts w:ascii="宋体" w:hAnsi="宋体" w:cs="宋体"/>
          <w:b/>
          <w:bCs/>
          <w:sz w:val="32"/>
          <w:szCs w:val="32"/>
        </w:rPr>
      </w:pPr>
      <w:r>
        <w:rPr>
          <w:rFonts w:hint="eastAsia" w:ascii="宋体" w:hAnsi="宋体" w:cs="宋体"/>
          <w:b/>
          <w:kern w:val="0"/>
          <w:sz w:val="28"/>
          <w:szCs w:val="28"/>
        </w:rPr>
        <w:t>附件1：</w:t>
      </w:r>
      <w:r>
        <w:rPr>
          <w:rFonts w:hint="eastAsia" w:ascii="宋体" w:hAnsi="宋体" w:cs="宋体"/>
          <w:b/>
          <w:sz w:val="30"/>
          <w:szCs w:val="30"/>
        </w:rPr>
        <w:t xml:space="preserve">                             </w:t>
      </w:r>
      <w:r>
        <w:rPr>
          <w:rFonts w:hint="eastAsia" w:ascii="宋体" w:hAnsi="宋体" w:cs="宋体"/>
          <w:sz w:val="30"/>
          <w:szCs w:val="30"/>
        </w:rPr>
        <w:t xml:space="preserve"> 　　　</w:t>
      </w:r>
      <w:r>
        <w:rPr>
          <w:rFonts w:hint="eastAsia" w:ascii="宋体" w:hAnsi="宋体" w:cs="宋体"/>
          <w:b/>
          <w:sz w:val="28"/>
        </w:rPr>
        <w:t xml:space="preserve">        </w:t>
      </w: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磋商响应文件目录</w:t>
      </w:r>
    </w:p>
    <w:p>
      <w:pPr>
        <w:snapToGrid w:val="0"/>
        <w:spacing w:before="50" w:after="50" w:line="360" w:lineRule="auto"/>
        <w:jc w:val="center"/>
        <w:rPr>
          <w:rFonts w:ascii="宋体" w:hAnsi="宋体" w:cs="宋体"/>
          <w:b/>
          <w:bCs/>
          <w:sz w:val="32"/>
          <w:szCs w:val="32"/>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snapToGrid w:val="0"/>
        <w:spacing w:line="360" w:lineRule="auto"/>
        <w:ind w:firstLine="480" w:firstLineChars="200"/>
        <w:rPr>
          <w:rFonts w:ascii="宋体" w:hAnsi="宋体" w:cs="宋体"/>
          <w:sz w:val="24"/>
        </w:rPr>
      </w:pPr>
      <w:r>
        <w:rPr>
          <w:rFonts w:hint="eastAsia" w:ascii="宋体" w:hAnsi="宋体" w:cs="宋体"/>
          <w:sz w:val="24"/>
        </w:rPr>
        <w:t>（1）磋商声明书；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（2）授权委托书（法定代表人亲自办理投标事宜的，则无需提交)；</w:t>
      </w:r>
    </w:p>
    <w:p>
      <w:pPr>
        <w:snapToGrid w:val="0"/>
        <w:spacing w:line="360" w:lineRule="auto"/>
        <w:ind w:firstLine="480" w:firstLineChars="200"/>
        <w:rPr>
          <w:rFonts w:ascii="宋体" w:hAnsi="宋体" w:cs="宋体"/>
          <w:sz w:val="24"/>
        </w:rPr>
      </w:pPr>
      <w:r>
        <w:rPr>
          <w:rFonts w:hint="eastAsia" w:ascii="宋体" w:hAnsi="宋体" w:cs="宋体"/>
          <w:sz w:val="24"/>
        </w:rPr>
        <w:t xml:space="preserve">（3）法人或者其他组织的营业执照等证明文件； </w:t>
      </w:r>
    </w:p>
    <w:p>
      <w:pPr>
        <w:snapToGrid w:val="0"/>
        <w:spacing w:line="360" w:lineRule="auto"/>
        <w:ind w:firstLine="480" w:firstLineChars="200"/>
        <w:rPr>
          <w:rFonts w:ascii="宋体" w:hAnsi="宋体" w:cs="宋体"/>
          <w:sz w:val="24"/>
        </w:rPr>
      </w:pPr>
      <w:r>
        <w:rPr>
          <w:rFonts w:hint="eastAsia" w:ascii="宋体" w:hAnsi="宋体" w:cs="宋体"/>
          <w:sz w:val="24"/>
        </w:rPr>
        <w:t>（4）具有良好的商业信誉和健全的财务会计制度的承诺函（详见附件）；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szCs w:val="21"/>
        </w:rPr>
        <w:t>具有依法缴纳税收和社会保障资金证明的承诺函（详见附件）</w:t>
      </w:r>
      <w:r>
        <w:rPr>
          <w:rFonts w:hint="eastAsia" w:ascii="宋体" w:hAnsi="宋体" w:cs="宋体"/>
          <w:sz w:val="24"/>
        </w:rPr>
        <w:t>；</w:t>
      </w:r>
    </w:p>
    <w:p>
      <w:pPr>
        <w:snapToGrid w:val="0"/>
        <w:spacing w:line="360" w:lineRule="auto"/>
        <w:ind w:right="-197" w:rightChars="-94" w:firstLine="480" w:firstLineChars="200"/>
        <w:rPr>
          <w:rFonts w:ascii="宋体" w:hAnsi="宋体" w:cs="宋体"/>
          <w:sz w:val="24"/>
        </w:rPr>
      </w:pPr>
      <w:r>
        <w:rPr>
          <w:rFonts w:hint="eastAsia" w:ascii="宋体" w:hAnsi="宋体" w:cs="宋体"/>
          <w:sz w:val="24"/>
        </w:rPr>
        <w:t>（6）具有履行合同所必需的场地、设备和专业技术能力的承诺函（详见附件）；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（7）磋商供应商没有失信记录承诺函（详见附件）；</w:t>
      </w:r>
    </w:p>
    <w:p>
      <w:pPr>
        <w:snapToGrid w:val="0"/>
        <w:spacing w:line="360" w:lineRule="auto"/>
        <w:ind w:firstLine="480" w:firstLineChars="200"/>
        <w:rPr>
          <w:rFonts w:ascii="宋体" w:hAnsi="宋体" w:cs="宋体"/>
          <w:sz w:val="24"/>
        </w:rPr>
      </w:pPr>
      <w:r>
        <w:rPr>
          <w:rFonts w:hint="eastAsia" w:ascii="宋体" w:hAnsi="宋体" w:cs="宋体"/>
          <w:kern w:val="0"/>
          <w:sz w:val="24"/>
        </w:rPr>
        <w:t>（8）项目负责人无在建工程承诺函</w:t>
      </w:r>
      <w:r>
        <w:rPr>
          <w:rFonts w:hint="eastAsia" w:ascii="宋体" w:hAnsi="宋体" w:cs="宋体"/>
          <w:sz w:val="24"/>
        </w:rPr>
        <w:t>（详见附件）</w:t>
      </w:r>
    </w:p>
    <w:p>
      <w:pPr>
        <w:snapToGrid w:val="0"/>
        <w:spacing w:line="360" w:lineRule="auto"/>
        <w:ind w:firstLine="480" w:firstLineChars="200"/>
        <w:rPr>
          <w:rFonts w:ascii="宋体" w:hAnsi="宋体" w:cs="宋体"/>
          <w:sz w:val="24"/>
        </w:rPr>
      </w:pPr>
      <w:r>
        <w:rPr>
          <w:rFonts w:hint="eastAsia" w:ascii="宋体" w:hAnsi="宋体" w:cs="宋体"/>
          <w:sz w:val="24"/>
        </w:rPr>
        <w:t>（9）中小企业等声明函以及投标人认为其他需要说明的内容组成（详见附件）；</w:t>
      </w:r>
    </w:p>
    <w:p>
      <w:pPr>
        <w:snapToGrid w:val="0"/>
        <w:spacing w:line="360" w:lineRule="auto"/>
        <w:ind w:firstLine="480" w:firstLineChars="200"/>
        <w:rPr>
          <w:rFonts w:ascii="宋体" w:hAnsi="宋体" w:cs="宋体"/>
          <w:sz w:val="24"/>
        </w:rPr>
      </w:pPr>
      <w:r>
        <w:rPr>
          <w:rFonts w:hint="eastAsia" w:ascii="宋体" w:hAnsi="宋体" w:cs="宋体"/>
          <w:sz w:val="24"/>
        </w:rPr>
        <w:t>（10）提供采购公告中符合供应商特定条件的有效证书或证明资料扫描件（投标供应商特定条件中有要求的必须提供），以及需要说明的其他资料；</w:t>
      </w:r>
    </w:p>
    <w:p>
      <w:pPr>
        <w:snapToGrid w:val="0"/>
        <w:spacing w:line="360" w:lineRule="auto"/>
        <w:ind w:firstLine="422" w:firstLineChars="150"/>
        <w:rPr>
          <w:rFonts w:ascii="宋体" w:hAnsi="宋体" w:cs="宋体"/>
          <w:b/>
          <w:bCs/>
          <w:sz w:val="28"/>
          <w:szCs w:val="28"/>
        </w:rPr>
      </w:pPr>
      <w:r>
        <w:rPr>
          <w:rFonts w:hint="eastAsia" w:ascii="宋体" w:hAnsi="宋体" w:cs="宋体"/>
          <w:b/>
          <w:bCs/>
          <w:sz w:val="28"/>
          <w:szCs w:val="28"/>
          <w:lang w:val="zh-CN"/>
        </w:rPr>
        <w:t>第二部分：商务与技术</w:t>
      </w:r>
      <w:r>
        <w:rPr>
          <w:rFonts w:hint="eastAsia" w:ascii="宋体" w:hAnsi="宋体" w:cs="宋体"/>
          <w:b/>
          <w:bCs/>
          <w:sz w:val="28"/>
          <w:szCs w:val="28"/>
        </w:rPr>
        <w:t>部分</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kern w:val="0"/>
          <w:sz w:val="24"/>
        </w:rPr>
        <w:t>商务及技术需求响应表</w:t>
      </w:r>
      <w:r>
        <w:rPr>
          <w:rFonts w:hint="eastAsia" w:ascii="宋体" w:hAnsi="宋体" w:cs="宋体"/>
          <w:sz w:val="24"/>
        </w:rPr>
        <w:t>（详见附件）</w:t>
      </w:r>
    </w:p>
    <w:p>
      <w:pPr>
        <w:snapToGrid w:val="0"/>
        <w:spacing w:line="360" w:lineRule="auto"/>
        <w:ind w:firstLine="480" w:firstLineChars="200"/>
        <w:rPr>
          <w:rFonts w:ascii="宋体" w:hAnsi="宋体" w:cs="宋体"/>
          <w:sz w:val="24"/>
        </w:rPr>
      </w:pPr>
      <w:r>
        <w:rPr>
          <w:rFonts w:hint="eastAsia" w:ascii="宋体" w:hAnsi="宋体" w:cs="宋体"/>
          <w:sz w:val="24"/>
        </w:rPr>
        <w:t>（2）供应商基本情况表（详见附件）</w:t>
      </w:r>
    </w:p>
    <w:p>
      <w:pPr>
        <w:snapToGrid w:val="0"/>
        <w:spacing w:line="360" w:lineRule="auto"/>
        <w:ind w:firstLine="480" w:firstLineChars="200"/>
        <w:rPr>
          <w:rFonts w:ascii="宋体" w:hAnsi="宋体" w:cs="宋体"/>
          <w:bCs/>
          <w:sz w:val="24"/>
        </w:rPr>
      </w:pPr>
      <w:r>
        <w:rPr>
          <w:rFonts w:hint="eastAsia" w:ascii="宋体" w:hAnsi="宋体" w:cs="宋体"/>
          <w:bCs/>
          <w:sz w:val="24"/>
        </w:rPr>
        <w:t>（3）其余内容根据评标办法自拟（</w:t>
      </w:r>
      <w:r>
        <w:rPr>
          <w:rFonts w:hint="eastAsia" w:ascii="宋体" w:hAnsi="宋体" w:cs="宋体"/>
          <w:sz w:val="24"/>
        </w:rPr>
        <w:t>详见附件</w:t>
      </w:r>
      <w:r>
        <w:rPr>
          <w:rFonts w:hint="eastAsia" w:ascii="宋体" w:hAnsi="宋体" w:cs="宋体"/>
          <w:bCs/>
          <w:sz w:val="24"/>
        </w:rPr>
        <w:t>）</w:t>
      </w:r>
    </w:p>
    <w:p>
      <w:pPr>
        <w:snapToGrid w:val="0"/>
        <w:spacing w:line="360" w:lineRule="auto"/>
        <w:ind w:firstLine="480" w:firstLineChars="200"/>
        <w:rPr>
          <w:rFonts w:ascii="宋体" w:hAnsi="宋体" w:cs="宋体"/>
          <w:bCs/>
          <w:sz w:val="24"/>
        </w:rPr>
      </w:pPr>
      <w:r>
        <w:rPr>
          <w:rFonts w:hint="eastAsia" w:ascii="宋体" w:hAnsi="宋体" w:cs="宋体"/>
          <w:bCs/>
          <w:sz w:val="24"/>
        </w:rPr>
        <w:t>（4）投标人认为需要提供的其他资料。</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w:t>
      </w:r>
      <w:r>
        <w:rPr>
          <w:rFonts w:hint="eastAsia" w:ascii="宋体" w:hAnsi="宋体" w:cs="宋体"/>
          <w:b/>
          <w:sz w:val="28"/>
          <w:szCs w:val="28"/>
        </w:rPr>
        <w:t>报价</w:t>
      </w:r>
      <w:r>
        <w:rPr>
          <w:rFonts w:hint="eastAsia" w:ascii="宋体" w:hAnsi="宋体" w:cs="宋体"/>
          <w:b/>
          <w:bCs/>
          <w:sz w:val="28"/>
          <w:szCs w:val="28"/>
        </w:rPr>
        <w:t>部分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（1）首次报价一览表；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（2）报价明细表</w:t>
      </w:r>
    </w:p>
    <w:p>
      <w:pPr>
        <w:spacing w:line="360" w:lineRule="auto"/>
        <w:rPr>
          <w:rFonts w:ascii="宋体" w:hAnsi="宋体" w:cs="宋体"/>
          <w:b/>
          <w:sz w:val="28"/>
        </w:rPr>
        <w:sectPr>
          <w:pgSz w:w="11906" w:h="16838"/>
          <w:pgMar w:top="1440" w:right="1800" w:bottom="1440" w:left="1800" w:header="851" w:footer="992" w:gutter="0"/>
          <w:cols w:space="720" w:num="1"/>
          <w:docGrid w:type="lines" w:linePitch="312" w:charSpace="0"/>
        </w:sectPr>
      </w:pPr>
    </w:p>
    <w:p>
      <w:pPr>
        <w:spacing w:line="360" w:lineRule="auto"/>
        <w:ind w:left="420"/>
        <w:rPr>
          <w:rFonts w:ascii="宋体" w:hAnsi="宋体" w:cs="宋体"/>
          <w:b/>
          <w:sz w:val="28"/>
        </w:rPr>
      </w:pPr>
      <w:r>
        <w:rPr>
          <w:rFonts w:hint="eastAsia" w:ascii="宋体" w:hAnsi="宋体" w:cs="宋体"/>
          <w:b/>
          <w:sz w:val="28"/>
        </w:rPr>
        <w:t>附件2：</w:t>
      </w:r>
    </w:p>
    <w:p>
      <w:pPr>
        <w:snapToGrid w:val="0"/>
        <w:spacing w:beforeLines="50" w:after="50" w:line="360" w:lineRule="auto"/>
        <w:ind w:firstLine="643" w:firstLineChars="200"/>
        <w:jc w:val="center"/>
        <w:rPr>
          <w:rStyle w:val="37"/>
          <w:rFonts w:ascii="宋体" w:hAnsi="宋体" w:cs="宋体"/>
          <w:b/>
          <w:color w:val="auto"/>
          <w:sz w:val="32"/>
          <w:szCs w:val="32"/>
          <w:u w:val="none"/>
        </w:rPr>
      </w:pPr>
      <w:r>
        <w:rPr>
          <w:rStyle w:val="37"/>
          <w:rFonts w:hint="eastAsia" w:ascii="宋体" w:hAnsi="宋体" w:cs="宋体"/>
          <w:b/>
          <w:color w:val="auto"/>
          <w:sz w:val="32"/>
          <w:szCs w:val="32"/>
          <w:u w:val="none"/>
        </w:rPr>
        <w:t>磋商声明书</w:t>
      </w:r>
    </w:p>
    <w:p>
      <w:pPr>
        <w:snapToGrid w:val="0"/>
        <w:spacing w:beforeLines="50" w:after="50" w:line="288" w:lineRule="auto"/>
        <w:ind w:firstLine="480" w:firstLineChars="200"/>
        <w:rPr>
          <w:rFonts w:ascii="宋体" w:hAnsi="宋体" w:cs="宋体"/>
          <w:kern w:val="0"/>
          <w:sz w:val="24"/>
        </w:rPr>
      </w:pPr>
      <w:r>
        <w:rPr>
          <w:rFonts w:hint="eastAsia" w:ascii="宋体" w:hAnsi="宋体" w:cs="宋体"/>
          <w:kern w:val="0"/>
          <w:sz w:val="24"/>
          <w:u w:val="single"/>
        </w:rPr>
        <w:t>台州中亿工程管理有限公司</w:t>
      </w:r>
      <w:r>
        <w:rPr>
          <w:rFonts w:hint="eastAsia" w:ascii="宋体" w:hAnsi="宋体" w:cs="宋体"/>
          <w:kern w:val="0"/>
          <w:sz w:val="24"/>
        </w:rPr>
        <w:t>（采购代理机构名称）：</w:t>
      </w:r>
    </w:p>
    <w:p>
      <w:pPr>
        <w:snapToGrid w:val="0"/>
        <w:spacing w:beforeLines="50" w:after="50" w:line="288" w:lineRule="auto"/>
        <w:ind w:firstLine="480" w:firstLineChars="200"/>
        <w:rPr>
          <w:rFonts w:ascii="宋体" w:hAnsi="宋体" w:cs="宋体"/>
          <w:kern w:val="0"/>
          <w:sz w:val="24"/>
        </w:rPr>
      </w:pPr>
      <w:r>
        <w:rPr>
          <w:rFonts w:hint="eastAsia" w:ascii="宋体" w:hAnsi="宋体" w:cs="宋体"/>
          <w:kern w:val="0"/>
          <w:sz w:val="24"/>
          <w:u w:val="single"/>
        </w:rPr>
        <w:t xml:space="preserve">（供应商名称）            </w:t>
      </w:r>
      <w:r>
        <w:rPr>
          <w:rFonts w:hint="eastAsia" w:ascii="宋体" w:hAnsi="宋体" w:cs="宋体"/>
          <w:kern w:val="0"/>
          <w:sz w:val="24"/>
        </w:rPr>
        <w:t>系中华人民共和国合法企业，经营地址。</w:t>
      </w:r>
    </w:p>
    <w:p>
      <w:pPr>
        <w:snapToGrid w:val="0"/>
        <w:spacing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洪家街道鸿源社区“邻距里”综合体建设项目</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）的磋商，为此，我公司就本次磋商有关事项郑重声明如下：</w:t>
      </w:r>
    </w:p>
    <w:p>
      <w:pPr>
        <w:numPr>
          <w:ilvl w:val="255"/>
          <w:numId w:val="0"/>
        </w:numPr>
        <w:snapToGrid w:val="0"/>
        <w:spacing w:beforeLines="50" w:after="50" w:line="288" w:lineRule="auto"/>
        <w:ind w:firstLine="480" w:firstLineChars="200"/>
        <w:rPr>
          <w:rFonts w:ascii="宋体" w:hAnsi="宋体" w:cs="宋体"/>
          <w:kern w:val="0"/>
          <w:sz w:val="24"/>
        </w:rPr>
      </w:pPr>
      <w:r>
        <w:rPr>
          <w:rFonts w:hint="eastAsia" w:ascii="宋体" w:hAnsi="宋体" w:cs="宋体"/>
          <w:sz w:val="24"/>
        </w:rPr>
        <w:t>1、我公司声明截止磋商时间近三年以来：</w:t>
      </w:r>
      <w:r>
        <w:rPr>
          <w:rFonts w:hint="eastAsia" w:ascii="宋体" w:hAnsi="宋体" w:cs="宋体"/>
          <w:kern w:val="0"/>
          <w:sz w:val="24"/>
          <w:highlight w:val="none"/>
        </w:rPr>
        <w:t>在参加政府采购活动过程中无</w:t>
      </w:r>
      <w:r>
        <w:rPr>
          <w:rFonts w:hint="eastAsia" w:ascii="宋体" w:hAnsi="宋体" w:cs="宋体"/>
          <w:kern w:val="0"/>
          <w:sz w:val="24"/>
          <w:highlight w:val="none"/>
          <w:lang w:eastAsia="zh-CN"/>
        </w:rPr>
        <w:t>在处罚期限内的</w:t>
      </w:r>
      <w:r>
        <w:rPr>
          <w:rFonts w:hint="eastAsia" w:ascii="宋体" w:hAnsi="宋体" w:cs="宋体"/>
          <w:kern w:val="0"/>
          <w:sz w:val="24"/>
          <w:highlight w:val="none"/>
        </w:rPr>
        <w:t>任何不良行为记录；</w:t>
      </w:r>
      <w:r>
        <w:rPr>
          <w:rFonts w:hint="eastAsia" w:ascii="宋体" w:hAnsi="宋体" w:cs="宋体"/>
          <w:sz w:val="24"/>
        </w:rPr>
        <w:t>无重大违法记录（重大违法记录是指供应商因违法经营受到刑事处罚或者责令停产停业、吊销许可证或者执照、较大数额罚款等行政处罚）。</w:t>
      </w:r>
    </w:p>
    <w:p>
      <w:pPr>
        <w:numPr>
          <w:ilvl w:val="255"/>
          <w:numId w:val="0"/>
        </w:numPr>
        <w:snapToGrid w:val="0"/>
        <w:spacing w:beforeLines="50" w:after="50" w:line="288" w:lineRule="auto"/>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Lines="50" w:after="50" w:line="288" w:lineRule="auto"/>
        <w:ind w:firstLine="480" w:firstLineChars="200"/>
        <w:rPr>
          <w:rFonts w:ascii="宋体" w:hAnsi="宋体" w:cs="宋体"/>
          <w:sz w:val="24"/>
        </w:rPr>
      </w:pPr>
      <w:r>
        <w:rPr>
          <w:rFonts w:hint="eastAsia" w:ascii="宋体" w:hAnsi="宋体" w:cs="宋体"/>
          <w:sz w:val="24"/>
        </w:rPr>
        <w:t>3、我</w:t>
      </w:r>
      <w:r>
        <w:rPr>
          <w:rFonts w:hint="eastAsia" w:ascii="宋体" w:hAnsi="宋体" w:cs="宋体"/>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pPr>
        <w:snapToGrid w:val="0"/>
        <w:spacing w:beforeLines="50" w:after="50" w:line="288" w:lineRule="auto"/>
        <w:ind w:firstLine="480" w:firstLineChars="200"/>
        <w:rPr>
          <w:rFonts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Lines="50" w:after="50" w:line="288" w:lineRule="auto"/>
        <w:ind w:firstLine="480" w:firstLineChars="200"/>
        <w:rPr>
          <w:rFonts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w:t>
      </w:r>
      <w:r>
        <w:rPr>
          <w:rFonts w:hint="eastAsia" w:ascii="宋体" w:hAnsi="宋体" w:cs="宋体"/>
          <w:kern w:val="0"/>
          <w:sz w:val="24"/>
        </w:rPr>
        <w:t>除响应文件中明确拒绝外，接受磋商文件中的全部条件，</w:t>
      </w:r>
      <w:r>
        <w:rPr>
          <w:rFonts w:hint="eastAsia" w:ascii="宋体" w:hAnsi="宋体" w:cs="宋体"/>
          <w:kern w:val="0"/>
          <w:sz w:val="24"/>
          <w:lang w:val="af-ZA"/>
        </w:rPr>
        <w:t>不降低合同约定的产品质量和服务，不擅自变更、中止、终止合同，或拒绝履行合同义务；</w:t>
      </w:r>
    </w:p>
    <w:p>
      <w:pPr>
        <w:snapToGrid w:val="0"/>
        <w:spacing w:beforeLines="50" w:after="50" w:line="288" w:lineRule="auto"/>
        <w:ind w:firstLine="480" w:firstLineChars="200"/>
        <w:rPr>
          <w:rFonts w:ascii="宋体" w:hAnsi="宋体" w:cs="宋体"/>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pPr>
        <w:adjustRightInd w:val="0"/>
        <w:snapToGrid w:val="0"/>
        <w:spacing w:line="360" w:lineRule="auto"/>
        <w:rPr>
          <w:rFonts w:ascii="宋体" w:hAnsi="宋体" w:cs="宋体"/>
          <w:kern w:val="0"/>
          <w:sz w:val="24"/>
        </w:rPr>
      </w:pPr>
    </w:p>
    <w:p>
      <w:pPr>
        <w:ind w:firstLine="424" w:firstLineChars="177"/>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ind w:firstLine="424" w:firstLineChars="177"/>
        <w:rPr>
          <w:rFonts w:ascii="宋体" w:hAnsi="宋体" w:cs="宋体"/>
          <w:sz w:val="24"/>
          <w:u w:val="single"/>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pStyle w:val="59"/>
        <w:shd w:val="clear" w:color="auto" w:fill="FFFFFF"/>
        <w:spacing w:before="0" w:beforeAutospacing="0" w:after="0" w:afterAutospacing="0"/>
        <w:ind w:firstLine="424" w:firstLineChars="177"/>
        <w:rPr>
          <w:rFonts w:ascii="宋体" w:hAnsi="宋体" w:cs="宋体"/>
          <w:b/>
          <w:sz w:val="28"/>
        </w:rPr>
      </w:pPr>
      <w:r>
        <w:rPr>
          <w:rFonts w:hint="eastAsia" w:ascii="宋体" w:hAnsi="宋体" w:cs="宋体"/>
        </w:rPr>
        <w:t>日        期：</w:t>
      </w:r>
      <w:r>
        <w:rPr>
          <w:rFonts w:hint="eastAsia" w:ascii="宋体" w:hAnsi="宋体" w:cs="宋体"/>
          <w:u w:val="single"/>
        </w:rPr>
        <w:t xml:space="preserve">                            </w:t>
      </w:r>
    </w:p>
    <w:p>
      <w:pPr>
        <w:adjustRightInd w:val="0"/>
        <w:snapToGrid w:val="0"/>
        <w:spacing w:line="360" w:lineRule="auto"/>
        <w:ind w:right="480"/>
        <w:rPr>
          <w:rFonts w:ascii="宋体" w:hAnsi="宋体" w:cs="宋体"/>
          <w:kern w:val="0"/>
          <w:sz w:val="24"/>
          <w:lang w:val="zh-CN"/>
        </w:rPr>
      </w:pPr>
    </w:p>
    <w:p>
      <w:pPr>
        <w:adjustRightInd w:val="0"/>
        <w:snapToGrid w:val="0"/>
        <w:spacing w:line="360" w:lineRule="auto"/>
        <w:ind w:right="480"/>
        <w:rPr>
          <w:rFonts w:ascii="宋体" w:hAnsi="宋体" w:cs="宋体"/>
          <w:b/>
          <w:sz w:val="30"/>
          <w:szCs w:val="30"/>
        </w:rPr>
      </w:pPr>
      <w:r>
        <w:rPr>
          <w:rFonts w:hint="eastAsia" w:ascii="宋体" w:hAnsi="宋体" w:cs="宋体"/>
          <w:b/>
          <w:sz w:val="28"/>
        </w:rPr>
        <w:t>附件3：</w:t>
      </w:r>
    </w:p>
    <w:p>
      <w:pPr>
        <w:spacing w:line="360" w:lineRule="auto"/>
        <w:ind w:firstLine="321" w:firstLineChars="100"/>
        <w:jc w:val="center"/>
        <w:rPr>
          <w:rFonts w:ascii="宋体" w:hAnsi="宋体" w:cs="宋体"/>
          <w:b/>
          <w:sz w:val="32"/>
          <w:szCs w:val="32"/>
          <w:u w:val="single"/>
        </w:rPr>
      </w:pPr>
      <w:r>
        <w:rPr>
          <w:rFonts w:hint="eastAsia" w:ascii="宋体" w:hAnsi="宋体" w:cs="宋体"/>
          <w:b/>
          <w:sz w:val="32"/>
          <w:szCs w:val="32"/>
        </w:rPr>
        <w:t>授权委托书</w:t>
      </w:r>
    </w:p>
    <w:p>
      <w:pPr>
        <w:pStyle w:val="18"/>
        <w:spacing w:line="500" w:lineRule="exact"/>
        <w:rPr>
          <w:rFonts w:ascii="宋体" w:hAnsi="宋体" w:eastAsia="宋体" w:cs="宋体"/>
          <w:b/>
          <w:sz w:val="24"/>
        </w:rPr>
      </w:pPr>
      <w:r>
        <w:rPr>
          <w:rFonts w:hint="eastAsia" w:ascii="宋体" w:hAnsi="宋体" w:eastAsia="宋体" w:cs="宋体"/>
          <w:sz w:val="24"/>
          <w:u w:val="single"/>
        </w:rPr>
        <w:t>台州中亿工程管理有限公司</w:t>
      </w:r>
      <w:r>
        <w:rPr>
          <w:rFonts w:hint="eastAsia" w:ascii="宋体" w:hAnsi="宋体" w:eastAsia="宋体" w:cs="宋体"/>
          <w:kern w:val="0"/>
          <w:sz w:val="24"/>
          <w:u w:val="single"/>
        </w:rPr>
        <w:t>（采购代理机构名称）</w:t>
      </w:r>
      <w:r>
        <w:rPr>
          <w:rFonts w:hint="eastAsia" w:ascii="宋体" w:hAnsi="宋体" w:eastAsia="宋体" w:cs="宋体"/>
          <w:b/>
          <w:sz w:val="24"/>
        </w:rPr>
        <w:t>：</w:t>
      </w:r>
    </w:p>
    <w:p>
      <w:pPr>
        <w:pStyle w:val="18"/>
        <w:spacing w:line="440" w:lineRule="atLeast"/>
        <w:ind w:left="240" w:hanging="240" w:hangingChars="10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（供应商全称）  </w:t>
      </w:r>
      <w:r>
        <w:rPr>
          <w:rFonts w:hint="eastAsia" w:ascii="宋体" w:hAnsi="宋体" w:eastAsia="宋体" w:cs="宋体"/>
          <w:sz w:val="24"/>
        </w:rPr>
        <w:t>法定代表人（或营业执照中单位负责人）</w:t>
      </w:r>
      <w:r>
        <w:rPr>
          <w:rFonts w:hint="eastAsia" w:ascii="宋体" w:hAnsi="宋体" w:eastAsia="宋体" w:cs="宋体"/>
          <w:sz w:val="24"/>
          <w:u w:val="single"/>
        </w:rPr>
        <w:tab/>
      </w:r>
      <w:r>
        <w:rPr>
          <w:rFonts w:hint="eastAsia" w:ascii="宋体" w:hAnsi="宋体" w:eastAsia="宋体" w:cs="宋体"/>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（全权代表姓名） </w:t>
      </w:r>
      <w:r>
        <w:rPr>
          <w:rFonts w:hint="eastAsia" w:ascii="宋体" w:hAnsi="宋体" w:eastAsia="宋体" w:cs="宋体"/>
          <w:sz w:val="24"/>
        </w:rPr>
        <w:t>为全权代表，参加贵单位组织的</w:t>
      </w:r>
      <w:r>
        <w:rPr>
          <w:rFonts w:hint="eastAsia" w:ascii="宋体" w:hAnsi="宋体" w:eastAsia="宋体" w:cs="宋体"/>
          <w:sz w:val="24"/>
          <w:u w:val="single"/>
        </w:rPr>
        <w:t>洪家街道鸿源社区“邻距里”综合体建设项目</w:t>
      </w:r>
      <w:r>
        <w:rPr>
          <w:rFonts w:hint="eastAsia" w:ascii="宋体" w:hAnsi="宋体" w:eastAsia="宋体" w:cs="宋体"/>
          <w:sz w:val="24"/>
        </w:rPr>
        <w:t>的采购活动，并代表我方全权办理针对上述项目的磋商、签约等具体事务和签署相关文件。我方对全权代表的签字事项负全部责任。</w:t>
      </w:r>
    </w:p>
    <w:p>
      <w:pPr>
        <w:pStyle w:val="18"/>
        <w:spacing w:line="440" w:lineRule="atLeast"/>
        <w:ind w:left="139" w:leftChars="66" w:firstLine="480" w:firstLineChars="200"/>
        <w:rPr>
          <w:rFonts w:ascii="宋体" w:hAnsi="宋体" w:eastAsia="宋体" w:cs="宋体"/>
          <w:sz w:val="24"/>
        </w:rPr>
      </w:pPr>
      <w:r>
        <w:rPr>
          <w:rFonts w:hint="eastAsia" w:ascii="宋体" w:hAnsi="宋体" w:eastAsia="宋体" w:cs="宋体"/>
          <w:sz w:val="24"/>
        </w:rPr>
        <w:t>在撤销授权的书面通知以前，本授权书一直有效。全权代表在授权委托书有效期内签署的所有文件不因授权的撤销而失效。</w:t>
      </w:r>
    </w:p>
    <w:p>
      <w:pPr>
        <w:pStyle w:val="18"/>
        <w:spacing w:line="440" w:lineRule="atLeast"/>
        <w:ind w:left="139" w:leftChars="66" w:firstLine="480" w:firstLineChars="200"/>
        <w:rPr>
          <w:rFonts w:ascii="宋体" w:hAnsi="宋体" w:eastAsia="宋体" w:cs="宋体"/>
          <w:sz w:val="24"/>
        </w:rPr>
      </w:pPr>
      <w:r>
        <w:rPr>
          <w:rFonts w:hint="eastAsia" w:ascii="宋体" w:hAnsi="宋体" w:eastAsia="宋体" w:cs="宋体"/>
          <w:sz w:val="24"/>
        </w:rPr>
        <w:t>全权代表无转委托权，特此委托。</w:t>
      </w:r>
    </w:p>
    <w:p>
      <w:pPr>
        <w:spacing w:line="440" w:lineRule="atLeast"/>
        <w:rPr>
          <w:rFonts w:ascii="宋体" w:hAnsi="宋体" w:cs="宋体"/>
          <w:sz w:val="24"/>
        </w:rPr>
      </w:pPr>
    </w:p>
    <w:p>
      <w:pPr>
        <w:spacing w:line="440" w:lineRule="atLeast"/>
        <w:rPr>
          <w:rFonts w:ascii="宋体" w:hAnsi="宋体" w:cs="宋体"/>
          <w:sz w:val="24"/>
          <w:u w:val="single"/>
        </w:rPr>
      </w:pPr>
      <w:r>
        <w:rPr>
          <w:rFonts w:hint="eastAsia" w:ascii="宋体" w:hAnsi="宋体" w:cs="宋体"/>
          <w:sz w:val="24"/>
        </w:rPr>
        <w:t>法定代表人签字或签章：</w:t>
      </w:r>
      <w:r>
        <w:rPr>
          <w:rFonts w:hint="eastAsia" w:ascii="宋体" w:hAnsi="宋体" w:cs="宋体"/>
          <w:sz w:val="24"/>
          <w:u w:val="single"/>
        </w:rPr>
        <w:t xml:space="preserve">                    </w:t>
      </w:r>
    </w:p>
    <w:p>
      <w:pPr>
        <w:spacing w:line="440" w:lineRule="atLeast"/>
        <w:rPr>
          <w:rFonts w:ascii="宋体" w:hAnsi="宋体" w:cs="宋体"/>
          <w:sz w:val="24"/>
        </w:rPr>
      </w:pPr>
      <w:r>
        <w:rPr>
          <w:rFonts w:hint="eastAsia" w:ascii="宋体" w:hAnsi="宋体" w:cs="宋体"/>
          <w:sz w:val="24"/>
        </w:rPr>
        <w:t>供应商全称（公章）：</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rPr>
          <w:rFonts w:ascii="宋体" w:hAnsi="宋体" w:cs="宋体"/>
          <w:sz w:val="24"/>
        </w:rPr>
      </w:pPr>
      <w:r>
        <w:rPr>
          <w:rFonts w:hint="eastAsia" w:ascii="宋体" w:hAnsi="宋体" w:cs="宋体"/>
          <w:sz w:val="24"/>
        </w:rPr>
        <w:t>日期：</w:t>
      </w:r>
    </w:p>
    <w:p>
      <w:pPr>
        <w:spacing w:line="440" w:lineRule="atLeast"/>
        <w:rPr>
          <w:rFonts w:ascii="宋体" w:hAnsi="宋体" w:cs="宋体"/>
          <w:b/>
          <w:sz w:val="24"/>
        </w:rPr>
      </w:pPr>
      <w:r>
        <w:rPr>
          <w:rFonts w:hint="eastAsia" w:ascii="宋体" w:hAnsi="宋体" w:cs="宋体"/>
          <w:b/>
          <w:sz w:val="24"/>
        </w:rPr>
        <w:t>附：</w:t>
      </w:r>
    </w:p>
    <w:tbl>
      <w:tblPr>
        <w:tblStyle w:val="3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40" w:lineRule="atLeast"/>
              <w:rPr>
                <w:rFonts w:ascii="宋体" w:hAnsi="宋体" w:cs="宋体"/>
                <w:b/>
                <w:sz w:val="24"/>
              </w:rPr>
            </w:pPr>
          </w:p>
          <w:p>
            <w:pPr>
              <w:spacing w:line="440" w:lineRule="atLeast"/>
              <w:ind w:firstLine="361" w:firstLineChars="150"/>
              <w:rPr>
                <w:rFonts w:ascii="宋体" w:hAnsi="宋体" w:cs="宋体"/>
                <w:b/>
                <w:sz w:val="24"/>
              </w:rPr>
            </w:pPr>
            <w:r>
              <w:rPr>
                <w:rFonts w:hint="eastAsia" w:ascii="宋体" w:hAnsi="宋体" w:cs="宋体"/>
                <w:b/>
                <w:sz w:val="24"/>
              </w:rPr>
              <w:t>法定代表身份证扫描件粘贴处</w:t>
            </w:r>
          </w:p>
        </w:tc>
      </w:tr>
    </w:tbl>
    <w:p>
      <w:pPr>
        <w:spacing w:line="440" w:lineRule="atLeast"/>
        <w:rPr>
          <w:rFonts w:ascii="宋体" w:hAnsi="宋体" w:cs="宋体"/>
          <w:sz w:val="24"/>
        </w:rPr>
      </w:pPr>
      <w:r>
        <w:rPr>
          <w:rFonts w:hint="eastAsia" w:ascii="宋体" w:hAnsi="宋体" w:cs="宋体"/>
          <w:sz w:val="24"/>
        </w:rPr>
        <w:t xml:space="preserve">法定代表人姓名：                                 </w:t>
      </w:r>
    </w:p>
    <w:p>
      <w:pPr>
        <w:spacing w:line="440" w:lineRule="atLeast"/>
        <w:rPr>
          <w:rFonts w:ascii="宋体" w:hAnsi="宋体" w:cs="宋体"/>
          <w:sz w:val="24"/>
        </w:rPr>
      </w:pPr>
      <w:r>
        <w:rPr>
          <w:rFonts w:hint="eastAsia" w:ascii="宋体" w:hAnsi="宋体" w:cs="宋体"/>
          <w:sz w:val="24"/>
        </w:rPr>
        <w:t>传真：</w:t>
      </w:r>
    </w:p>
    <w:p>
      <w:pPr>
        <w:spacing w:line="440" w:lineRule="atLeast"/>
        <w:rPr>
          <w:rFonts w:ascii="宋体" w:hAnsi="宋体" w:cs="宋体"/>
          <w:sz w:val="24"/>
        </w:rPr>
      </w:pPr>
      <w:r>
        <w:rPr>
          <w:rFonts w:hint="eastAsia" w:ascii="宋体" w:hAnsi="宋体" w:cs="宋体"/>
          <w:sz w:val="24"/>
        </w:rPr>
        <w:t>电话：</w:t>
      </w:r>
    </w:p>
    <w:p>
      <w:pPr>
        <w:spacing w:line="440" w:lineRule="atLeast"/>
        <w:rPr>
          <w:rFonts w:ascii="宋体" w:hAnsi="宋体" w:cs="宋体"/>
          <w:sz w:val="24"/>
        </w:rPr>
      </w:pPr>
      <w:r>
        <w:rPr>
          <w:rFonts w:hint="eastAsia" w:ascii="宋体" w:hAnsi="宋体" w:cs="宋体"/>
          <w:sz w:val="24"/>
        </w:rPr>
        <w:t>详细通讯地址：</w:t>
      </w:r>
    </w:p>
    <w:p>
      <w:pPr>
        <w:spacing w:line="440" w:lineRule="atLeast"/>
        <w:rPr>
          <w:rFonts w:ascii="宋体" w:hAnsi="宋体" w:cs="宋体"/>
          <w:sz w:val="24"/>
        </w:rPr>
      </w:pPr>
      <w:r>
        <w:rPr>
          <w:rFonts w:hint="eastAsia" w:ascii="宋体" w:hAnsi="宋体" w:cs="宋体"/>
          <w:sz w:val="24"/>
        </w:rPr>
        <w:t>邮政编码：</w:t>
      </w:r>
    </w:p>
    <w:p>
      <w:pPr>
        <w:spacing w:line="440" w:lineRule="atLeast"/>
        <w:rPr>
          <w:rFonts w:ascii="宋体" w:hAnsi="宋体" w:cs="宋体"/>
          <w:b/>
          <w:sz w:val="24"/>
        </w:rPr>
      </w:pPr>
    </w:p>
    <w:tbl>
      <w:tblPr>
        <w:tblStyle w:val="3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40" w:lineRule="atLeast"/>
              <w:rPr>
                <w:rFonts w:ascii="宋体" w:hAnsi="宋体" w:cs="宋体"/>
                <w:b/>
                <w:sz w:val="24"/>
              </w:rPr>
            </w:pPr>
          </w:p>
          <w:p>
            <w:pPr>
              <w:spacing w:line="440" w:lineRule="atLeast"/>
              <w:ind w:firstLine="361" w:firstLineChars="150"/>
              <w:rPr>
                <w:rFonts w:ascii="宋体" w:hAnsi="宋体" w:cs="宋体"/>
                <w:b/>
                <w:sz w:val="24"/>
              </w:rPr>
            </w:pPr>
            <w:r>
              <w:rPr>
                <w:rFonts w:hint="eastAsia" w:ascii="宋体" w:hAnsi="宋体" w:cs="宋体"/>
                <w:b/>
                <w:sz w:val="24"/>
              </w:rPr>
              <w:t>全权代表身份证扫描件粘贴处</w:t>
            </w:r>
          </w:p>
        </w:tc>
      </w:tr>
    </w:tbl>
    <w:p>
      <w:pPr>
        <w:spacing w:line="440" w:lineRule="atLeast"/>
        <w:rPr>
          <w:rFonts w:ascii="宋体" w:hAnsi="宋体" w:cs="宋体"/>
          <w:sz w:val="24"/>
        </w:rPr>
      </w:pPr>
      <w:r>
        <w:rPr>
          <w:rFonts w:hint="eastAsia" w:ascii="宋体" w:hAnsi="宋体" w:cs="宋体"/>
          <w:sz w:val="24"/>
        </w:rPr>
        <w:t xml:space="preserve">全权代表姓名：       </w:t>
      </w:r>
    </w:p>
    <w:p>
      <w:pPr>
        <w:spacing w:line="440" w:lineRule="atLeast"/>
        <w:rPr>
          <w:rFonts w:ascii="宋体" w:hAnsi="宋体" w:cs="宋体"/>
          <w:sz w:val="24"/>
        </w:rPr>
      </w:pPr>
      <w:r>
        <w:rPr>
          <w:rFonts w:hint="eastAsia" w:ascii="宋体" w:hAnsi="宋体" w:cs="宋体"/>
          <w:sz w:val="24"/>
        </w:rPr>
        <w:t xml:space="preserve">职务：                           </w:t>
      </w:r>
    </w:p>
    <w:p>
      <w:pPr>
        <w:spacing w:line="440" w:lineRule="atLeast"/>
        <w:rPr>
          <w:rFonts w:ascii="宋体" w:hAnsi="宋体" w:cs="宋体"/>
          <w:sz w:val="24"/>
        </w:rPr>
      </w:pPr>
      <w:r>
        <w:rPr>
          <w:rFonts w:hint="eastAsia" w:ascii="宋体" w:hAnsi="宋体" w:cs="宋体"/>
          <w:sz w:val="24"/>
        </w:rPr>
        <w:t>邮箱：</w:t>
      </w:r>
    </w:p>
    <w:p>
      <w:pPr>
        <w:spacing w:line="440" w:lineRule="atLeast"/>
        <w:rPr>
          <w:rFonts w:ascii="宋体" w:hAnsi="宋体" w:cs="宋体"/>
          <w:sz w:val="24"/>
        </w:rPr>
      </w:pPr>
      <w:r>
        <w:rPr>
          <w:rFonts w:hint="eastAsia" w:ascii="宋体" w:hAnsi="宋体" w:cs="宋体"/>
          <w:sz w:val="24"/>
        </w:rPr>
        <w:t>电话：</w:t>
      </w:r>
    </w:p>
    <w:p>
      <w:pPr>
        <w:spacing w:line="440" w:lineRule="atLeast"/>
        <w:rPr>
          <w:rFonts w:ascii="宋体" w:hAnsi="宋体" w:cs="宋体"/>
          <w:sz w:val="24"/>
        </w:rPr>
      </w:pPr>
      <w:r>
        <w:rPr>
          <w:rFonts w:hint="eastAsia" w:ascii="宋体" w:hAnsi="宋体" w:cs="宋体"/>
          <w:sz w:val="24"/>
        </w:rPr>
        <w:t>详细通讯地址：</w:t>
      </w:r>
    </w:p>
    <w:p>
      <w:pPr>
        <w:spacing w:line="440" w:lineRule="atLeast"/>
        <w:rPr>
          <w:rFonts w:ascii="宋体" w:hAnsi="宋体" w:cs="宋体"/>
          <w:sz w:val="24"/>
        </w:rPr>
      </w:pPr>
      <w:r>
        <w:rPr>
          <w:rFonts w:hint="eastAsia" w:ascii="宋体" w:hAnsi="宋体" w:cs="宋体"/>
          <w:sz w:val="24"/>
        </w:rPr>
        <w:t>邮政编码：</w:t>
      </w:r>
    </w:p>
    <w:p>
      <w:pPr>
        <w:pStyle w:val="18"/>
        <w:spacing w:line="500" w:lineRule="exact"/>
        <w:ind w:left="2"/>
        <w:rPr>
          <w:rFonts w:ascii="宋体" w:hAnsi="宋体" w:eastAsia="宋体" w:cs="宋体"/>
          <w:b/>
          <w:sz w:val="28"/>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sz w:val="24"/>
        </w:rPr>
        <w:t>备注：手机号码和电子邮箱必须准确填写，开评标过程中须保持手机号码和电子邮箱畅通，随时进行项目开标情况通报及回执。</w:t>
      </w:r>
    </w:p>
    <w:p>
      <w:pPr>
        <w:adjustRightInd w:val="0"/>
        <w:snapToGrid w:val="0"/>
        <w:spacing w:line="360" w:lineRule="auto"/>
        <w:ind w:right="480"/>
        <w:rPr>
          <w:rFonts w:ascii="宋体"/>
          <w:b/>
          <w:sz w:val="28"/>
        </w:rPr>
      </w:pPr>
      <w:r>
        <w:rPr>
          <w:rFonts w:hint="eastAsia" w:ascii="宋体"/>
          <w:b/>
          <w:sz w:val="28"/>
        </w:rPr>
        <w:t>附件4：</w:t>
      </w:r>
    </w:p>
    <w:p>
      <w:pPr>
        <w:jc w:val="center"/>
        <w:rPr>
          <w:rFonts w:ascii="宋体" w:hAnsi="宋体"/>
          <w:b/>
          <w:kern w:val="0"/>
          <w:sz w:val="32"/>
          <w:szCs w:val="32"/>
        </w:rPr>
      </w:pPr>
      <w:r>
        <w:rPr>
          <w:rFonts w:ascii="宋体" w:hAnsi="宋体"/>
          <w:b/>
          <w:kern w:val="0"/>
          <w:sz w:val="30"/>
          <w:szCs w:val="30"/>
        </w:rPr>
        <w:t>具有良好的商业信誉和健全的财务会计制度的承诺函</w:t>
      </w:r>
    </w:p>
    <w:p>
      <w:pPr>
        <w:snapToGrid w:val="0"/>
        <w:spacing w:beforeLines="50" w:after="50" w:line="420" w:lineRule="exact"/>
        <w:ind w:firstLine="480" w:firstLineChars="200"/>
        <w:rPr>
          <w:rFonts w:ascii="宋体" w:hAnsi="宋体"/>
          <w:kern w:val="0"/>
          <w:sz w:val="24"/>
        </w:rPr>
      </w:pPr>
      <w:r>
        <w:rPr>
          <w:rFonts w:hint="eastAsia" w:ascii="宋体" w:hAnsi="宋体"/>
          <w:sz w:val="24"/>
          <w:u w:val="single"/>
        </w:rPr>
        <w:t>××</w:t>
      </w:r>
      <w:r>
        <w:rPr>
          <w:rFonts w:hint="eastAsia" w:ascii="宋体" w:hAnsi="宋体"/>
          <w:kern w:val="0"/>
          <w:sz w:val="24"/>
        </w:rPr>
        <w:t>（代理机构/采购代理机构名称）</w:t>
      </w:r>
      <w:r>
        <w:rPr>
          <w:rFonts w:hint="eastAsia" w:ascii="宋体" w:hAnsi="宋体" w:cs="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widowControl/>
        <w:snapToGrid w:val="0"/>
        <w:spacing w:line="360" w:lineRule="auto"/>
        <w:ind w:firstLine="480" w:firstLineChars="200"/>
        <w:jc w:val="left"/>
        <w:rPr>
          <w:rFonts w:ascii="宋体" w:hAnsi="宋体" w:cs="宋体"/>
          <w:kern w:val="0"/>
          <w:sz w:val="24"/>
        </w:rPr>
      </w:pPr>
    </w:p>
    <w:p>
      <w:pPr>
        <w:pStyle w:val="29"/>
      </w:pPr>
    </w:p>
    <w:p>
      <w:pPr>
        <w:adjustRightInd w:val="0"/>
        <w:snapToGrid w:val="0"/>
        <w:spacing w:line="360" w:lineRule="auto"/>
        <w:ind w:right="480"/>
        <w:rPr>
          <w:rFonts w:ascii="宋体" w:hAnsi="宋体" w:cs="宋体"/>
          <w:b/>
          <w:sz w:val="28"/>
        </w:rPr>
      </w:pPr>
    </w:p>
    <w:p>
      <w:pPr>
        <w:spacing w:line="360" w:lineRule="auto"/>
        <w:ind w:left="420"/>
        <w:rPr>
          <w:rFonts w:ascii="宋体" w:hAnsi="宋体"/>
          <w:sz w:val="24"/>
          <w:u w:val="single"/>
        </w:rPr>
      </w:pPr>
      <w:r>
        <w:rPr>
          <w:rFonts w:ascii="宋体" w:hAnsi="宋体"/>
          <w:sz w:val="24"/>
        </w:rPr>
        <w:t>磋商供应商名称（公章）：</w:t>
      </w:r>
      <w:r>
        <w:rPr>
          <w:rFonts w:ascii="宋体" w:hAnsi="宋体"/>
          <w:sz w:val="24"/>
          <w:u w:val="single"/>
        </w:rPr>
        <w:t xml:space="preserve">                      </w:t>
      </w:r>
    </w:p>
    <w:p>
      <w:pPr>
        <w:spacing w:line="360" w:lineRule="auto"/>
        <w:ind w:left="420"/>
        <w:rPr>
          <w:rFonts w:ascii="宋体" w:hAnsi="宋体"/>
          <w:sz w:val="24"/>
        </w:rPr>
      </w:pPr>
      <w:r>
        <w:rPr>
          <w:rFonts w:hint="eastAsia" w:ascii="宋体" w:hAnsi="宋体" w:cs="宋体"/>
          <w:sz w:val="24"/>
        </w:rPr>
        <w:t>法定代表人或</w:t>
      </w:r>
      <w:r>
        <w:rPr>
          <w:rFonts w:ascii="宋体" w:hAnsi="宋体"/>
          <w:sz w:val="24"/>
        </w:rPr>
        <w:t>磋商供应商代表签章或签字：</w:t>
      </w:r>
      <w:r>
        <w:rPr>
          <w:rFonts w:ascii="宋体" w:hAnsi="宋体"/>
          <w:sz w:val="24"/>
          <w:u w:val="single"/>
        </w:rPr>
        <w:t xml:space="preserve">                         </w:t>
      </w:r>
      <w:r>
        <w:rPr>
          <w:rFonts w:ascii="宋体" w:hAnsi="宋体"/>
          <w:sz w:val="24"/>
        </w:rPr>
        <w:t xml:space="preserve"> </w:t>
      </w:r>
    </w:p>
    <w:p>
      <w:pPr>
        <w:spacing w:line="360" w:lineRule="auto"/>
        <w:ind w:left="420"/>
        <w:rPr>
          <w:rFonts w:ascii="宋体" w:hAnsi="宋体"/>
          <w:sz w:val="24"/>
          <w:u w:val="single"/>
        </w:rPr>
      </w:pPr>
      <w:r>
        <w:rPr>
          <w:rFonts w:ascii="宋体" w:hAnsi="宋体"/>
          <w:sz w:val="24"/>
        </w:rPr>
        <w:t>职        务：</w:t>
      </w:r>
      <w:r>
        <w:rPr>
          <w:rFonts w:ascii="宋体" w:hAnsi="宋体"/>
          <w:sz w:val="24"/>
          <w:u w:val="single"/>
        </w:rPr>
        <w:t xml:space="preserve">                            </w:t>
      </w:r>
    </w:p>
    <w:p>
      <w:pPr>
        <w:spacing w:line="360" w:lineRule="auto"/>
        <w:ind w:firstLine="420"/>
        <w:sectPr>
          <w:pgSz w:w="11906" w:h="16838"/>
          <w:pgMar w:top="1440" w:right="1800" w:bottom="1440" w:left="1800" w:header="851" w:footer="992" w:gutter="0"/>
          <w:cols w:space="720" w:num="1"/>
          <w:docGrid w:type="lines" w:linePitch="312" w:charSpace="0"/>
        </w:sectPr>
      </w:pPr>
      <w:r>
        <w:rPr>
          <w:rFonts w:ascii="宋体" w:hAnsi="宋体"/>
          <w:sz w:val="24"/>
        </w:rPr>
        <w:t>日        期：</w:t>
      </w:r>
      <w:r>
        <w:rPr>
          <w:rFonts w:ascii="宋体" w:hAnsi="宋体"/>
          <w:sz w:val="24"/>
          <w:u w:val="single"/>
        </w:rPr>
        <w:t xml:space="preserve">                            </w:t>
      </w:r>
    </w:p>
    <w:p>
      <w:pPr>
        <w:pStyle w:val="24"/>
        <w:spacing w:before="0" w:after="0" w:line="360" w:lineRule="auto"/>
        <w:jc w:val="both"/>
      </w:pPr>
      <w:r>
        <w:rPr>
          <w:rFonts w:hint="eastAsia" w:ascii="宋体" w:hAnsi="Times New Roman" w:cs="Times New Roman"/>
          <w:bCs w:val="0"/>
          <w:kern w:val="2"/>
          <w:sz w:val="28"/>
        </w:rPr>
        <w:t>附件5：</w:t>
      </w:r>
    </w:p>
    <w:p/>
    <w:p>
      <w:pPr>
        <w:widowControl/>
        <w:adjustRightInd w:val="0"/>
        <w:snapToGrid w:val="0"/>
        <w:jc w:val="center"/>
        <w:rPr>
          <w:rFonts w:ascii="宋体" w:hAnsi="宋体"/>
          <w:b/>
          <w:kern w:val="0"/>
          <w:sz w:val="32"/>
          <w:szCs w:val="32"/>
        </w:rPr>
      </w:pPr>
      <w:r>
        <w:rPr>
          <w:rFonts w:hint="eastAsia" w:ascii="宋体" w:hAnsi="宋体"/>
          <w:b/>
          <w:kern w:val="0"/>
          <w:sz w:val="30"/>
          <w:szCs w:val="30"/>
        </w:rPr>
        <w:t>具有</w:t>
      </w:r>
      <w:r>
        <w:rPr>
          <w:rFonts w:ascii="宋体" w:hAnsi="宋体"/>
          <w:b/>
          <w:kern w:val="0"/>
          <w:sz w:val="30"/>
          <w:szCs w:val="30"/>
        </w:rPr>
        <w:t>依法缴纳税收和</w:t>
      </w:r>
      <w:r>
        <w:rPr>
          <w:rFonts w:hint="eastAsia" w:ascii="宋体" w:hAnsi="宋体"/>
          <w:b/>
          <w:kern w:val="0"/>
          <w:sz w:val="30"/>
          <w:szCs w:val="30"/>
        </w:rPr>
        <w:t>社会保障资金证明</w:t>
      </w:r>
      <w:r>
        <w:rPr>
          <w:rFonts w:ascii="宋体" w:hAnsi="宋体"/>
          <w:b/>
          <w:kern w:val="0"/>
          <w:sz w:val="30"/>
          <w:szCs w:val="30"/>
        </w:rPr>
        <w:t>的承诺函</w:t>
      </w:r>
    </w:p>
    <w:p>
      <w:pPr>
        <w:snapToGrid w:val="0"/>
        <w:spacing w:beforeLines="50" w:after="50" w:line="420" w:lineRule="exact"/>
        <w:ind w:firstLine="480" w:firstLineChars="200"/>
        <w:rPr>
          <w:rFonts w:ascii="宋体" w:hAnsi="宋体"/>
          <w:kern w:val="0"/>
          <w:sz w:val="24"/>
        </w:rPr>
      </w:pPr>
      <w:r>
        <w:rPr>
          <w:rFonts w:hint="eastAsia" w:ascii="宋体" w:hAnsi="宋体"/>
          <w:sz w:val="24"/>
          <w:u w:val="single"/>
        </w:rPr>
        <w:t>××</w:t>
      </w:r>
      <w:r>
        <w:rPr>
          <w:rFonts w:hint="eastAsia" w:ascii="宋体" w:hAnsi="宋体"/>
          <w:kern w:val="0"/>
          <w:sz w:val="24"/>
        </w:rPr>
        <w:t>（代理机构/采购代理机构名称）</w:t>
      </w:r>
      <w:r>
        <w:rPr>
          <w:rFonts w:hint="eastAsia" w:ascii="宋体" w:hAnsi="宋体" w:cs="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rPr>
          <w:rFonts w:ascii="宋体" w:cs="仿宋_GB2312"/>
          <w:kern w:val="0"/>
          <w:sz w:val="24"/>
          <w:lang w:val="zh-CN"/>
        </w:rPr>
      </w:pPr>
    </w:p>
    <w:p>
      <w:pPr>
        <w:adjustRightInd w:val="0"/>
        <w:snapToGrid w:val="0"/>
        <w:spacing w:line="360" w:lineRule="auto"/>
        <w:rPr>
          <w:rFonts w:ascii="宋体" w:cs="仿宋_GB2312"/>
          <w:kern w:val="0"/>
          <w:sz w:val="24"/>
          <w:lang w:val="zh-CN"/>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spacing w:line="360" w:lineRule="auto"/>
        <w:ind w:left="420"/>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left="42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spacing w:line="360" w:lineRule="auto"/>
        <w:ind w:left="420"/>
        <w:rPr>
          <w:rFonts w:ascii="宋体" w:hAnsi="宋体" w:cs="宋体"/>
          <w:sz w:val="24"/>
          <w:u w:val="single"/>
          <w:lang w:val="zh-CN"/>
        </w:rPr>
      </w:pPr>
      <w:r>
        <w:rPr>
          <w:rFonts w:hint="eastAsia" w:ascii="宋体" w:hAnsi="宋体" w:cs="宋体"/>
          <w:sz w:val="24"/>
        </w:rPr>
        <w:t>日        期：</w:t>
      </w:r>
      <w:r>
        <w:rPr>
          <w:rFonts w:hint="eastAsia" w:ascii="宋体" w:hAnsi="宋体" w:cs="宋体"/>
          <w:sz w:val="24"/>
          <w:u w:val="single"/>
        </w:rPr>
        <w:t xml:space="preserve">                            </w:t>
      </w:r>
    </w:p>
    <w:p>
      <w:pPr>
        <w:pStyle w:val="29"/>
        <w:rPr>
          <w:lang w:val="zh-CN"/>
        </w:rPr>
      </w:pPr>
    </w:p>
    <w:p>
      <w:pPr>
        <w:rPr>
          <w:lang w:val="zh-CN"/>
        </w:rPr>
      </w:pPr>
    </w:p>
    <w:p>
      <w:pPr>
        <w:pStyle w:val="31"/>
        <w:spacing w:line="360" w:lineRule="auto"/>
        <w:ind w:left="0" w:leftChars="0" w:firstLine="0" w:firstLineChars="0"/>
        <w:sectPr>
          <w:pgSz w:w="11906" w:h="16838"/>
          <w:pgMar w:top="1440" w:right="1800" w:bottom="1440" w:left="1800" w:header="851" w:footer="992" w:gutter="0"/>
          <w:cols w:space="720" w:num="1"/>
          <w:docGrid w:type="lines" w:linePitch="312" w:charSpace="0"/>
        </w:sectPr>
      </w:pPr>
      <w:r>
        <w:rPr>
          <w:rFonts w:hint="eastAsia" w:ascii="宋体" w:hAnsi="宋体"/>
          <w:b/>
          <w:bCs/>
          <w:kern w:val="0"/>
          <w:sz w:val="24"/>
        </w:rPr>
        <w:t>注：如依法免税的，应提供相应文件证明其依法免税；如依法不需要缴纳社会保障资金的，应提供相应文件证明其依法不需要缴纳社会保障资金</w:t>
      </w:r>
    </w:p>
    <w:p>
      <w:pPr>
        <w:adjustRightInd w:val="0"/>
        <w:snapToGrid w:val="0"/>
        <w:spacing w:line="360" w:lineRule="auto"/>
        <w:ind w:right="480"/>
        <w:rPr>
          <w:rFonts w:ascii="宋体" w:hAnsi="宋体" w:cs="宋体"/>
          <w:b/>
          <w:sz w:val="30"/>
          <w:szCs w:val="30"/>
        </w:rPr>
      </w:pPr>
      <w:r>
        <w:rPr>
          <w:rFonts w:hint="eastAsia" w:ascii="宋体" w:hAnsi="宋体" w:cs="宋体"/>
          <w:b/>
          <w:sz w:val="28"/>
        </w:rPr>
        <w:t>附件6：</w:t>
      </w:r>
    </w:p>
    <w:p>
      <w:pPr>
        <w:spacing w:line="360" w:lineRule="auto"/>
        <w:ind w:firstLine="301" w:firstLineChars="100"/>
        <w:jc w:val="center"/>
        <w:rPr>
          <w:rFonts w:ascii="宋体" w:hAnsi="宋体" w:cs="宋体"/>
          <w:b/>
          <w:sz w:val="30"/>
          <w:szCs w:val="30"/>
        </w:rPr>
      </w:pPr>
      <w:r>
        <w:rPr>
          <w:rFonts w:hint="eastAsia" w:ascii="宋体" w:hAnsi="宋体" w:cs="宋体"/>
          <w:b/>
          <w:sz w:val="30"/>
          <w:szCs w:val="30"/>
        </w:rPr>
        <w:t>具有履行合同所必需的场地、设备和专业技术能力的承诺函</w:t>
      </w:r>
    </w:p>
    <w:p>
      <w:pPr>
        <w:snapToGrid w:val="0"/>
        <w:spacing w:beforeLines="50" w:after="50" w:line="420" w:lineRule="exact"/>
        <w:ind w:firstLine="480" w:firstLineChars="200"/>
        <w:rPr>
          <w:rFonts w:ascii="宋体" w:hAnsi="宋体" w:cs="宋体"/>
          <w:kern w:val="0"/>
          <w:sz w:val="24"/>
        </w:rPr>
      </w:pPr>
      <w:r>
        <w:rPr>
          <w:rFonts w:hint="eastAsia" w:ascii="宋体" w:hAnsi="宋体" w:cs="宋体"/>
          <w:sz w:val="24"/>
          <w:u w:val="single"/>
        </w:rPr>
        <w:t>××</w:t>
      </w:r>
      <w:r>
        <w:rPr>
          <w:rFonts w:hint="eastAsia" w:ascii="宋体" w:hAnsi="宋体" w:cs="宋体"/>
          <w:kern w:val="0"/>
          <w:sz w:val="24"/>
        </w:rPr>
        <w:t>（代理机构/采购代理机构名称）：</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我方</w:t>
      </w:r>
      <w:r>
        <w:rPr>
          <w:rFonts w:hint="eastAsia" w:ascii="宋体" w:hAnsi="宋体" w:cs="宋体"/>
          <w:kern w:val="0"/>
          <w:sz w:val="24"/>
          <w:u w:val="single"/>
        </w:rPr>
        <w:t xml:space="preserve"> （供应商）</w:t>
      </w:r>
      <w:r>
        <w:rPr>
          <w:rFonts w:hint="eastAsia" w:ascii="宋体" w:hAnsi="宋体" w:cs="宋体"/>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hAnsi="宋体" w:cs="宋体"/>
          <w:kern w:val="0"/>
          <w:sz w:val="24"/>
        </w:rPr>
      </w:pP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特此承诺！</w:t>
      </w:r>
    </w:p>
    <w:p>
      <w:pPr>
        <w:widowControl/>
        <w:snapToGrid w:val="0"/>
        <w:spacing w:line="360" w:lineRule="auto"/>
        <w:ind w:firstLine="480" w:firstLineChars="200"/>
        <w:jc w:val="left"/>
        <w:rPr>
          <w:rFonts w:ascii="宋体" w:hAnsi="宋体" w:cs="宋体"/>
          <w:kern w:val="0"/>
          <w:sz w:val="24"/>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spacing w:line="360" w:lineRule="auto"/>
        <w:ind w:left="420"/>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pStyle w:val="59"/>
        <w:shd w:val="clear" w:color="auto" w:fill="FFFFFF"/>
        <w:spacing w:before="0" w:beforeAutospacing="0" w:after="0" w:afterAutospacing="0" w:line="360" w:lineRule="auto"/>
        <w:rPr>
          <w:rFonts w:ascii="宋体" w:hAnsi="宋体" w:cs="宋体"/>
          <w:b/>
          <w:sz w:val="28"/>
        </w:rPr>
      </w:pPr>
    </w:p>
    <w:p>
      <w:pPr>
        <w:adjustRightInd w:val="0"/>
        <w:snapToGrid w:val="0"/>
        <w:spacing w:line="360" w:lineRule="auto"/>
        <w:ind w:right="480"/>
        <w:rPr>
          <w:rFonts w:ascii="宋体" w:hAnsi="宋体" w:cs="宋体"/>
          <w:b/>
          <w:sz w:val="30"/>
          <w:szCs w:val="30"/>
        </w:rPr>
      </w:pPr>
      <w:r>
        <w:rPr>
          <w:rFonts w:hint="eastAsia" w:ascii="宋体" w:hAnsi="宋体" w:cs="宋体"/>
          <w:b/>
          <w:sz w:val="28"/>
        </w:rPr>
        <w:t>附件7：</w:t>
      </w:r>
    </w:p>
    <w:p>
      <w:pPr>
        <w:spacing w:line="360" w:lineRule="auto"/>
        <w:ind w:firstLine="301" w:firstLineChars="100"/>
        <w:jc w:val="center"/>
        <w:rPr>
          <w:rFonts w:ascii="宋体" w:hAnsi="宋体" w:cs="宋体"/>
          <w:b/>
          <w:kern w:val="36"/>
          <w:sz w:val="32"/>
          <w:szCs w:val="28"/>
        </w:rPr>
      </w:pPr>
      <w:r>
        <w:rPr>
          <w:rFonts w:hint="eastAsia" w:ascii="宋体" w:hAnsi="宋体" w:cs="宋体"/>
          <w:b/>
          <w:sz w:val="30"/>
          <w:szCs w:val="30"/>
        </w:rPr>
        <w:t>磋商供应商没有失信记录承诺函</w:t>
      </w:r>
    </w:p>
    <w:p>
      <w:pPr>
        <w:pStyle w:val="16"/>
        <w:rPr>
          <w:rFonts w:ascii="宋体" w:hAnsi="宋体" w:cs="宋体"/>
          <w:color w:val="auto"/>
        </w:rPr>
      </w:pPr>
    </w:p>
    <w:p>
      <w:pPr>
        <w:spacing w:line="360" w:lineRule="auto"/>
        <w:ind w:firstLine="484" w:firstLineChars="202"/>
        <w:jc w:val="left"/>
        <w:rPr>
          <w:rFonts w:ascii="宋体" w:hAnsi="宋体" w:cs="宋体"/>
          <w:kern w:val="0"/>
          <w:sz w:val="24"/>
        </w:rPr>
      </w:pPr>
      <w:r>
        <w:rPr>
          <w:rFonts w:hint="eastAsia" w:ascii="宋体" w:hAnsi="宋体" w:cs="宋体"/>
          <w:sz w:val="24"/>
          <w:u w:val="single"/>
        </w:rPr>
        <w:t>××</w:t>
      </w:r>
      <w:r>
        <w:rPr>
          <w:rFonts w:hint="eastAsia" w:ascii="宋体" w:hAnsi="宋体" w:cs="宋体"/>
          <w:kern w:val="0"/>
          <w:sz w:val="24"/>
        </w:rPr>
        <w:t xml:space="preserve">（代理机构/采购代理机构名称）： </w:t>
      </w:r>
    </w:p>
    <w:p>
      <w:pPr>
        <w:spacing w:line="360" w:lineRule="auto"/>
        <w:ind w:firstLine="484" w:firstLineChars="202"/>
        <w:jc w:val="left"/>
        <w:rPr>
          <w:rFonts w:ascii="宋体" w:hAnsi="宋体" w:cs="宋体"/>
          <w:kern w:val="0"/>
          <w:sz w:val="24"/>
        </w:rPr>
      </w:pPr>
      <w:r>
        <w:rPr>
          <w:rFonts w:hint="eastAsia" w:ascii="宋体" w:hAnsi="宋体" w:cs="宋体"/>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ascii="宋体" w:hAnsi="宋体" w:cs="宋体"/>
          <w:sz w:val="24"/>
        </w:rPr>
      </w:pP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特此承诺！</w:t>
      </w:r>
    </w:p>
    <w:p>
      <w:pPr>
        <w:pStyle w:val="59"/>
        <w:shd w:val="clear" w:color="auto" w:fill="FFFFFF"/>
        <w:spacing w:before="0" w:beforeAutospacing="0" w:after="0" w:afterAutospacing="0" w:line="360" w:lineRule="auto"/>
        <w:rPr>
          <w:rFonts w:ascii="宋体" w:hAnsi="宋体" w:cs="宋体"/>
          <w:b/>
          <w:sz w:val="28"/>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spacing w:line="360" w:lineRule="auto"/>
        <w:ind w:left="420"/>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sz w:val="24"/>
          <w:u w:val="single"/>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ascii="宋体" w:cs="宋体"/>
          <w:b/>
          <w:bCs/>
          <w:sz w:val="32"/>
          <w:szCs w:val="32"/>
        </w:rPr>
      </w:pPr>
      <w:r>
        <w:rPr>
          <w:rFonts w:hint="eastAsia" w:ascii="宋体" w:hAnsi="宋体" w:cs="宋体"/>
          <w:b/>
          <w:sz w:val="28"/>
        </w:rPr>
        <w:t>附件8：</w:t>
      </w:r>
    </w:p>
    <w:p>
      <w:pPr>
        <w:spacing w:line="360" w:lineRule="auto"/>
        <w:jc w:val="center"/>
        <w:outlineLvl w:val="0"/>
        <w:rPr>
          <w:rFonts w:ascii="宋体" w:hAnsi="宋体" w:cs="宋体"/>
          <w:b/>
          <w:sz w:val="30"/>
          <w:szCs w:val="30"/>
        </w:rPr>
      </w:pPr>
      <w:bookmarkStart w:id="595" w:name="_Toc112169897"/>
      <w:bookmarkStart w:id="596" w:name="_Toc112169148"/>
      <w:bookmarkStart w:id="597" w:name="_Toc112169046"/>
      <w:r>
        <w:rPr>
          <w:rFonts w:hint="eastAsia" w:ascii="宋体" w:hAnsi="宋体" w:cs="宋体"/>
          <w:b/>
          <w:sz w:val="30"/>
          <w:szCs w:val="30"/>
        </w:rPr>
        <w:t>项目负责人无在建工程承诺</w:t>
      </w:r>
      <w:bookmarkEnd w:id="595"/>
      <w:bookmarkEnd w:id="596"/>
      <w:bookmarkEnd w:id="597"/>
      <w:r>
        <w:rPr>
          <w:rFonts w:hint="eastAsia" w:ascii="宋体" w:hAnsi="宋体" w:cs="宋体"/>
          <w:b/>
          <w:sz w:val="30"/>
          <w:szCs w:val="30"/>
        </w:rPr>
        <w:t>函</w:t>
      </w:r>
    </w:p>
    <w:p>
      <w:pPr>
        <w:autoSpaceDE w:val="0"/>
        <w:autoSpaceDN w:val="0"/>
        <w:adjustRightInd w:val="0"/>
        <w:snapToGrid w:val="0"/>
        <w:spacing w:line="360" w:lineRule="auto"/>
        <w:textAlignment w:val="baseline"/>
        <w:rPr>
          <w:rFonts w:ascii="宋体" w:hAnsi="宋体" w:cs="宋体"/>
          <w:snapToGrid w:val="0"/>
          <w:kern w:val="0"/>
          <w:sz w:val="24"/>
          <w:u w:val="single"/>
        </w:rPr>
      </w:pPr>
    </w:p>
    <w:p>
      <w:pPr>
        <w:autoSpaceDE w:val="0"/>
        <w:autoSpaceDN w:val="0"/>
        <w:adjustRightInd w:val="0"/>
        <w:snapToGrid w:val="0"/>
        <w:spacing w:line="360" w:lineRule="auto"/>
        <w:ind w:firstLine="480" w:firstLineChars="200"/>
        <w:textAlignment w:val="baseline"/>
        <w:rPr>
          <w:rFonts w:ascii="宋体" w:hAnsi="宋体" w:cs="宋体"/>
          <w:snapToGrid w:val="0"/>
          <w:kern w:val="0"/>
          <w:sz w:val="24"/>
        </w:rPr>
      </w:pPr>
      <w:r>
        <w:rPr>
          <w:rFonts w:hint="eastAsia" w:ascii="宋体" w:hAnsi="宋体" w:cs="宋体"/>
          <w:snapToGrid w:val="0"/>
          <w:kern w:val="0"/>
          <w:sz w:val="24"/>
          <w:u w:val="single"/>
        </w:rPr>
        <w:t>××（代理机构/采购代理机构名称）</w:t>
      </w:r>
      <w:r>
        <w:rPr>
          <w:rFonts w:hint="eastAsia" w:ascii="宋体" w:hAnsi="宋体" w:cs="宋体"/>
          <w:snapToGrid w:val="0"/>
          <w:kern w:val="0"/>
          <w:sz w:val="24"/>
        </w:rPr>
        <w:t>：</w:t>
      </w:r>
    </w:p>
    <w:p>
      <w:pPr>
        <w:autoSpaceDE w:val="0"/>
        <w:autoSpaceDN w:val="0"/>
        <w:adjustRightInd w:val="0"/>
        <w:snapToGrid w:val="0"/>
        <w:spacing w:line="360" w:lineRule="auto"/>
        <w:ind w:firstLine="480"/>
        <w:textAlignment w:val="baseline"/>
        <w:rPr>
          <w:rFonts w:ascii="宋体" w:hAnsi="宋体" w:cs="宋体"/>
          <w:kern w:val="0"/>
          <w:sz w:val="24"/>
        </w:rPr>
      </w:pPr>
      <w:r>
        <w:rPr>
          <w:rFonts w:hint="eastAsia" w:ascii="宋体" w:hAnsi="宋体" w:cs="宋体"/>
          <w:kern w:val="0"/>
          <w:sz w:val="24"/>
        </w:rPr>
        <w:t>我方</w:t>
      </w:r>
      <w:r>
        <w:rPr>
          <w:rFonts w:hint="eastAsia" w:ascii="宋体" w:hAnsi="宋体" w:cs="宋体"/>
          <w:kern w:val="0"/>
          <w:sz w:val="24"/>
          <w:u w:val="single"/>
        </w:rPr>
        <w:t xml:space="preserve"> （供应商） </w:t>
      </w:r>
      <w:r>
        <w:rPr>
          <w:rFonts w:hint="eastAsia" w:ascii="宋体" w:hAnsi="宋体" w:cs="宋体"/>
          <w:snapToGrid w:val="0"/>
          <w:kern w:val="0"/>
          <w:sz w:val="24"/>
        </w:rPr>
        <w:t>郑重承诺：本项目的项目负责人</w:t>
      </w:r>
      <w:r>
        <w:rPr>
          <w:rFonts w:hint="eastAsia" w:ascii="宋体" w:hAnsi="宋体" w:cs="宋体"/>
          <w:snapToGrid w:val="0"/>
          <w:kern w:val="0"/>
          <w:sz w:val="24"/>
          <w:u w:val="single"/>
        </w:rPr>
        <w:t xml:space="preserve">         </w:t>
      </w:r>
      <w:r>
        <w:rPr>
          <w:rFonts w:hint="eastAsia" w:ascii="宋体" w:hAnsi="宋体" w:cs="宋体"/>
          <w:snapToGrid w:val="0"/>
          <w:kern w:val="0"/>
          <w:sz w:val="24"/>
        </w:rPr>
        <w:t>（姓名），身份证号：</w:t>
      </w:r>
      <w:r>
        <w:rPr>
          <w:rFonts w:hint="eastAsia" w:ascii="宋体" w:hAnsi="宋体" w:cs="宋体"/>
          <w:snapToGrid w:val="0"/>
          <w:kern w:val="0"/>
          <w:sz w:val="24"/>
          <w:u w:val="single"/>
        </w:rPr>
        <w:t xml:space="preserve">               </w:t>
      </w:r>
      <w:r>
        <w:rPr>
          <w:rFonts w:hint="eastAsia" w:ascii="宋体" w:hAnsi="宋体" w:cs="宋体"/>
          <w:snapToGrid w:val="0"/>
          <w:kern w:val="0"/>
          <w:sz w:val="24"/>
        </w:rPr>
        <w:t>未在其它工程担任项目负责人（</w:t>
      </w:r>
      <w:r>
        <w:rPr>
          <w:rFonts w:hint="eastAsia" w:ascii="宋体" w:hAnsi="宋体" w:cs="宋体"/>
          <w:b/>
          <w:bCs/>
          <w:snapToGrid w:val="0"/>
          <w:kern w:val="0"/>
          <w:sz w:val="24"/>
        </w:rPr>
        <w:t>如有第二章供应商须知第（四）条特别说明第9点1）2）3）小点情形的，在资格证明文件中提供相关证明材料）</w:t>
      </w:r>
      <w:r>
        <w:rPr>
          <w:rFonts w:hint="eastAsia" w:ascii="宋体" w:hAnsi="宋体" w:cs="宋体"/>
          <w:snapToGrid w:val="0"/>
          <w:kern w:val="0"/>
          <w:sz w:val="24"/>
        </w:rPr>
        <w:t>。如有不实</w:t>
      </w:r>
      <w:r>
        <w:rPr>
          <w:rFonts w:hint="eastAsia" w:ascii="宋体" w:hAnsi="宋体" w:cs="宋体"/>
          <w:kern w:val="0"/>
          <w:sz w:val="24"/>
        </w:rPr>
        <w:t>，愿意被取消中标资格</w:t>
      </w:r>
      <w:r>
        <w:rPr>
          <w:rFonts w:hint="eastAsia" w:ascii="宋体" w:hAnsi="宋体" w:cs="宋体"/>
          <w:bCs/>
          <w:kern w:val="0"/>
          <w:sz w:val="24"/>
        </w:rPr>
        <w:t>，并</w:t>
      </w:r>
      <w:r>
        <w:rPr>
          <w:rFonts w:hint="eastAsia" w:ascii="宋体" w:hAnsi="宋体" w:cs="宋体"/>
          <w:kern w:val="0"/>
          <w:sz w:val="24"/>
        </w:rPr>
        <w:t>愿承担一切责任。</w:t>
      </w:r>
    </w:p>
    <w:p>
      <w:pPr>
        <w:pStyle w:val="31"/>
        <w:spacing w:after="0" w:line="360" w:lineRule="auto"/>
        <w:ind w:firstLine="480"/>
        <w:rPr>
          <w:rFonts w:ascii="宋体" w:hAnsi="宋体" w:cs="宋体"/>
          <w:kern w:val="0"/>
          <w:sz w:val="24"/>
        </w:rPr>
      </w:pPr>
      <w:r>
        <w:rPr>
          <w:rFonts w:hint="eastAsia" w:ascii="宋体" w:hAnsi="宋体" w:cs="宋体"/>
          <w:kern w:val="0"/>
          <w:sz w:val="24"/>
        </w:rPr>
        <w:t>特此承诺！</w:t>
      </w:r>
    </w:p>
    <w:p>
      <w:pPr>
        <w:rPr>
          <w:rFonts w:ascii="宋体" w:hAnsi="宋体" w:cs="宋体"/>
          <w:kern w:val="0"/>
          <w:sz w:val="24"/>
        </w:rPr>
      </w:pPr>
    </w:p>
    <w:p>
      <w:pPr>
        <w:pStyle w:val="29"/>
        <w:rPr>
          <w:rFonts w:ascii="宋体" w:hAnsi="宋体" w:cs="宋体"/>
          <w:kern w:val="0"/>
          <w:sz w:val="24"/>
          <w:szCs w:val="24"/>
        </w:rPr>
      </w:pPr>
    </w:p>
    <w:p>
      <w:pPr>
        <w:rPr>
          <w:rFonts w:ascii="宋体" w:hAnsi="宋体" w:cs="宋体"/>
          <w:kern w:val="0"/>
          <w:sz w:val="24"/>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spacing w:line="360" w:lineRule="auto"/>
        <w:ind w:left="420"/>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left="42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sz w:val="24"/>
          <w:u w:val="single"/>
        </w:rPr>
      </w:pPr>
    </w:p>
    <w:p>
      <w:pPr>
        <w:spacing w:line="360" w:lineRule="auto"/>
        <w:rPr>
          <w:rFonts w:ascii="宋体" w:hAnsi="宋体" w:cs="宋体"/>
          <w:b/>
          <w:sz w:val="28"/>
        </w:rPr>
      </w:pPr>
      <w:r>
        <w:rPr>
          <w:rFonts w:hint="eastAsia" w:ascii="宋体" w:hAnsi="宋体" w:cs="宋体"/>
          <w:b/>
          <w:sz w:val="28"/>
        </w:rPr>
        <w:t>附件9：</w:t>
      </w: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ind w:firstLine="480" w:firstLineChars="200"/>
        <w:jc w:val="left"/>
        <w:rPr>
          <w:rFonts w:ascii="宋体" w:hAnsi="宋体" w:cs="宋体"/>
          <w:bCs/>
          <w:sz w:val="24"/>
        </w:rPr>
      </w:pPr>
      <w:r>
        <w:rPr>
          <w:rFonts w:hint="eastAsia" w:ascii="宋体" w:hAnsi="宋体" w:cs="宋体"/>
          <w:bCs/>
          <w:sz w:val="24"/>
        </w:rPr>
        <w:t>本公司郑重声明，根据《政府采购促进中小企业发展管理办法》（财库﹝2020﹞46 号）的规定，本公司参加</w:t>
      </w:r>
      <w:r>
        <w:rPr>
          <w:rFonts w:hint="eastAsia" w:ascii="宋体" w:hAnsi="宋体" w:cs="宋体"/>
          <w:bCs/>
          <w:sz w:val="24"/>
          <w:u w:val="single"/>
        </w:rPr>
        <w:t>（单位名称）</w:t>
      </w:r>
      <w:r>
        <w:rPr>
          <w:rFonts w:hint="eastAsia" w:ascii="宋体" w:hAnsi="宋体" w:cs="宋体"/>
          <w:bCs/>
          <w:sz w:val="24"/>
        </w:rPr>
        <w:t>的</w:t>
      </w:r>
      <w:r>
        <w:rPr>
          <w:rFonts w:hint="eastAsia" w:ascii="宋体" w:hAnsi="宋体" w:cs="宋体"/>
          <w:bCs/>
          <w:sz w:val="24"/>
          <w:u w:val="single"/>
        </w:rPr>
        <w:t>（项目名称）</w:t>
      </w:r>
      <w:r>
        <w:rPr>
          <w:rFonts w:hint="eastAsia" w:ascii="宋体" w:hAnsi="宋体" w:cs="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w:t>
      </w:r>
      <w:r>
        <w:rPr>
          <w:rStyle w:val="39"/>
          <w:rFonts w:hint="eastAsia" w:ascii="宋体" w:hAnsi="宋体" w:cs="宋体"/>
          <w:bCs/>
          <w:sz w:val="24"/>
        </w:rPr>
        <w:footnoteReference w:id="0"/>
      </w:r>
      <w:r>
        <w:rPr>
          <w:rFonts w:hint="eastAsia" w:ascii="宋体" w:hAnsi="宋体" w:cs="宋体"/>
          <w:bCs/>
          <w:sz w:val="24"/>
        </w:rPr>
        <w:t>，属于</w:t>
      </w:r>
      <w:r>
        <w:rPr>
          <w:rFonts w:hint="eastAsia" w:ascii="宋体" w:hAnsi="宋体" w:cs="宋体"/>
          <w:bCs/>
          <w:sz w:val="24"/>
          <w:u w:val="single"/>
        </w:rPr>
        <w:t>（中型企业、小型企业、微型企业）</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；承建（承接）企业为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本企业对上述声明内容的真实性负责。如有虚假，将依法承担相应责任。 </w:t>
      </w:r>
    </w:p>
    <w:p>
      <w:pPr>
        <w:spacing w:line="360" w:lineRule="auto"/>
        <w:jc w:val="left"/>
        <w:rPr>
          <w:rFonts w:ascii="宋体" w:hAnsi="宋体" w:cs="宋体"/>
          <w:bCs/>
          <w:sz w:val="24"/>
        </w:rPr>
      </w:pPr>
    </w:p>
    <w:p>
      <w:pPr>
        <w:pStyle w:val="29"/>
        <w:rPr>
          <w:rFonts w:ascii="宋体" w:hAnsi="宋体" w:cs="宋体"/>
          <w:b w:val="0"/>
          <w:bCs w:val="0"/>
          <w:sz w:val="24"/>
          <w:szCs w:val="24"/>
        </w:rPr>
      </w:pPr>
      <w:r>
        <w:rPr>
          <w:rFonts w:hint="eastAsia" w:ascii="宋体" w:hAnsi="宋体" w:cs="宋体"/>
          <w:b w:val="0"/>
          <w:bCs w:val="0"/>
          <w:sz w:val="24"/>
          <w:szCs w:val="24"/>
        </w:rPr>
        <w:t xml:space="preserve">                          </w:t>
      </w:r>
    </w:p>
    <w:p>
      <w:pPr>
        <w:pStyle w:val="29"/>
        <w:rPr>
          <w:rFonts w:ascii="宋体" w:hAnsi="宋体" w:cs="宋体"/>
          <w:b w:val="0"/>
          <w:bCs w:val="0"/>
          <w:sz w:val="24"/>
          <w:szCs w:val="24"/>
        </w:rPr>
      </w:pPr>
      <w:r>
        <w:rPr>
          <w:rFonts w:hint="eastAsia" w:ascii="宋体" w:hAnsi="宋体" w:cs="宋体"/>
          <w:b w:val="0"/>
          <w:bCs w:val="0"/>
          <w:sz w:val="24"/>
          <w:szCs w:val="24"/>
        </w:rPr>
        <w:t xml:space="preserve">                               单位名称（公章）：</w:t>
      </w:r>
    </w:p>
    <w:p>
      <w:pPr>
        <w:pStyle w:val="29"/>
        <w:sectPr>
          <w:pgSz w:w="11906" w:h="16838"/>
          <w:pgMar w:top="1440" w:right="1800" w:bottom="1440" w:left="1800" w:header="851" w:footer="992" w:gutter="0"/>
          <w:cols w:space="720" w:num="1"/>
          <w:docGrid w:type="lines" w:linePitch="312" w:charSpace="0"/>
        </w:sectPr>
      </w:pPr>
      <w:r>
        <w:rPr>
          <w:rFonts w:hint="eastAsia" w:ascii="宋体" w:hAnsi="宋体" w:cs="宋体"/>
          <w:b w:val="0"/>
          <w:bCs w:val="0"/>
          <w:sz w:val="24"/>
          <w:szCs w:val="24"/>
        </w:rPr>
        <w:t xml:space="preserve">                       日 期：</w:t>
      </w:r>
    </w:p>
    <w:p>
      <w:pPr>
        <w:pStyle w:val="59"/>
        <w:shd w:val="clear" w:color="auto" w:fill="FFFFFF"/>
        <w:spacing w:before="0" w:beforeAutospacing="0" w:after="0" w:afterAutospacing="0" w:line="360" w:lineRule="auto"/>
        <w:rPr>
          <w:rFonts w:ascii="宋体" w:hAnsi="宋体" w:cs="宋体"/>
          <w:b/>
          <w:sz w:val="28"/>
        </w:rPr>
      </w:pPr>
      <w:r>
        <w:rPr>
          <w:rFonts w:hint="eastAsia" w:ascii="宋体" w:hAnsi="宋体" w:cs="宋体"/>
          <w:b/>
          <w:sz w:val="28"/>
        </w:rPr>
        <w:t xml:space="preserve">附件10：       </w:t>
      </w:r>
    </w:p>
    <w:p>
      <w:pPr>
        <w:pStyle w:val="59"/>
        <w:shd w:val="clear" w:color="auto" w:fill="FFFFFF"/>
        <w:spacing w:before="0" w:beforeAutospacing="0" w:after="0" w:afterAutospacing="0" w:line="360" w:lineRule="auto"/>
        <w:jc w:val="center"/>
        <w:rPr>
          <w:rFonts w:ascii="宋体" w:hAnsi="宋体" w:cs="宋体"/>
          <w:b/>
          <w:bCs/>
          <w:spacing w:val="21"/>
          <w:sz w:val="32"/>
          <w:szCs w:val="32"/>
        </w:rPr>
      </w:pPr>
      <w:r>
        <w:rPr>
          <w:rFonts w:hint="eastAsia" w:ascii="宋体" w:hAnsi="宋体" w:cs="宋体"/>
          <w:b/>
          <w:sz w:val="32"/>
          <w:szCs w:val="32"/>
        </w:rPr>
        <w:t xml:space="preserve">  供应商</w:t>
      </w:r>
      <w:r>
        <w:rPr>
          <w:rFonts w:hint="eastAsia" w:ascii="宋体" w:hAnsi="宋体" w:cs="宋体"/>
          <w:b/>
          <w:bCs/>
          <w:spacing w:val="21"/>
          <w:sz w:val="32"/>
          <w:szCs w:val="32"/>
        </w:rPr>
        <w:t>基本情况表</w:t>
      </w:r>
    </w:p>
    <w:tbl>
      <w:tblPr>
        <w:tblStyle w:val="3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9"/>
              <w:shd w:val="clear" w:color="auto" w:fill="FFFFFF"/>
              <w:spacing w:line="360" w:lineRule="auto"/>
              <w:rPr>
                <w:rFonts w:ascii="宋体" w:hAnsi="宋体" w:cs="宋体"/>
                <w:bCs/>
              </w:rPr>
            </w:pPr>
            <w:r>
              <w:rPr>
                <w:rFonts w:hint="eastAsia" w:ascii="宋体" w:hAnsi="宋体" w:cs="宋体"/>
                <w:bCs/>
                <w:spacing w:val="27"/>
              </w:rPr>
              <w:t>企业名称</w:t>
            </w:r>
          </w:p>
        </w:tc>
        <w:tc>
          <w:tcPr>
            <w:tcW w:w="3979" w:type="dxa"/>
            <w:gridSpan w:val="6"/>
          </w:tcPr>
          <w:p>
            <w:pPr>
              <w:pStyle w:val="59"/>
              <w:shd w:val="clear" w:color="auto" w:fill="FFFFFF"/>
              <w:spacing w:line="360" w:lineRule="auto"/>
              <w:rPr>
                <w:rFonts w:ascii="宋体" w:hAnsi="宋体" w:cs="宋体"/>
                <w:bCs/>
              </w:rPr>
            </w:pPr>
          </w:p>
        </w:tc>
        <w:tc>
          <w:tcPr>
            <w:tcW w:w="2001" w:type="dxa"/>
            <w:gridSpan w:val="3"/>
          </w:tcPr>
          <w:p>
            <w:pPr>
              <w:pStyle w:val="59"/>
              <w:shd w:val="clear" w:color="auto" w:fill="FFFFFF"/>
              <w:spacing w:line="360" w:lineRule="auto"/>
              <w:rPr>
                <w:rFonts w:ascii="宋体" w:hAnsi="宋体" w:cs="宋体"/>
                <w:bCs/>
              </w:rPr>
            </w:pPr>
            <w:r>
              <w:rPr>
                <w:rFonts w:hint="eastAsia" w:ascii="宋体" w:hAnsi="宋体" w:cs="宋体"/>
                <w:bCs/>
                <w:spacing w:val="16"/>
              </w:rPr>
              <w:t>法人代表</w:t>
            </w:r>
          </w:p>
        </w:tc>
        <w:tc>
          <w:tcPr>
            <w:tcW w:w="2151" w:type="dxa"/>
            <w:gridSpan w:val="2"/>
          </w:tcPr>
          <w:p>
            <w:pPr>
              <w:pStyle w:val="59"/>
              <w:shd w:val="clear" w:color="auto" w:fill="FFFFFF"/>
              <w:spacing w:line="360" w:lineRule="auto"/>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9"/>
              <w:shd w:val="clear" w:color="auto" w:fill="FFFFFF"/>
              <w:spacing w:line="360" w:lineRule="auto"/>
              <w:rPr>
                <w:rFonts w:ascii="宋体" w:hAnsi="宋体" w:cs="宋体"/>
                <w:bCs/>
                <w:spacing w:val="16"/>
              </w:rPr>
            </w:pPr>
            <w:r>
              <w:rPr>
                <w:rFonts w:hint="eastAsia" w:ascii="宋体" w:hAnsi="宋体" w:cs="宋体"/>
                <w:bCs/>
                <w:spacing w:val="27"/>
              </w:rPr>
              <w:t>地址</w:t>
            </w:r>
          </w:p>
        </w:tc>
        <w:tc>
          <w:tcPr>
            <w:tcW w:w="3979" w:type="dxa"/>
            <w:gridSpan w:val="6"/>
            <w:tcBorders>
              <w:bottom w:val="single" w:color="auto" w:sz="4" w:space="0"/>
            </w:tcBorders>
          </w:tcPr>
          <w:p>
            <w:pPr>
              <w:pStyle w:val="59"/>
              <w:shd w:val="clear" w:color="auto" w:fill="FFFFFF"/>
              <w:spacing w:line="360" w:lineRule="auto"/>
              <w:rPr>
                <w:rFonts w:ascii="宋体" w:hAnsi="宋体" w:cs="宋体"/>
                <w:bCs/>
                <w:spacing w:val="16"/>
              </w:rPr>
            </w:pPr>
          </w:p>
        </w:tc>
        <w:tc>
          <w:tcPr>
            <w:tcW w:w="2001" w:type="dxa"/>
            <w:gridSpan w:val="3"/>
          </w:tcPr>
          <w:p>
            <w:pPr>
              <w:pStyle w:val="59"/>
              <w:shd w:val="clear" w:color="auto" w:fill="FFFFFF"/>
              <w:spacing w:line="360" w:lineRule="auto"/>
              <w:rPr>
                <w:rFonts w:ascii="宋体" w:hAnsi="宋体" w:cs="宋体"/>
                <w:bCs/>
                <w:spacing w:val="16"/>
              </w:rPr>
            </w:pPr>
            <w:r>
              <w:rPr>
                <w:rFonts w:hint="eastAsia" w:ascii="宋体" w:hAnsi="宋体" w:cs="宋体"/>
                <w:bCs/>
                <w:spacing w:val="16"/>
              </w:rPr>
              <w:t>企业性质</w:t>
            </w:r>
          </w:p>
        </w:tc>
        <w:tc>
          <w:tcPr>
            <w:tcW w:w="2151" w:type="dxa"/>
            <w:gridSpan w:val="2"/>
          </w:tcPr>
          <w:p>
            <w:pPr>
              <w:pStyle w:val="59"/>
              <w:shd w:val="clear" w:color="auto" w:fill="FFFFFF"/>
              <w:spacing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27"/>
              </w:rPr>
              <w:t>股东姓名</w:t>
            </w:r>
          </w:p>
        </w:tc>
        <w:tc>
          <w:tcPr>
            <w:tcW w:w="701" w:type="dxa"/>
            <w:tcBorders>
              <w:bottom w:val="single" w:color="auto" w:sz="4" w:space="0"/>
            </w:tcBorders>
          </w:tcPr>
          <w:p>
            <w:pPr>
              <w:pStyle w:val="59"/>
              <w:shd w:val="clear" w:color="auto" w:fill="FFFFFF"/>
              <w:spacing w:before="0" w:beforeAutospacing="0" w:after="0" w:afterAutospacing="0" w:line="360" w:lineRule="auto"/>
              <w:rPr>
                <w:rFonts w:ascii="宋体" w:hAnsi="宋体" w:cs="宋体"/>
                <w:bCs/>
                <w:spacing w:val="16"/>
              </w:rPr>
            </w:pPr>
          </w:p>
        </w:tc>
        <w:tc>
          <w:tcPr>
            <w:tcW w:w="910" w:type="dxa"/>
            <w:gridSpan w:val="2"/>
            <w:tcBorders>
              <w:bottom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spacing w:val="16"/>
                <w:kern w:val="0"/>
                <w:sz w:val="24"/>
              </w:rPr>
            </w:pPr>
          </w:p>
          <w:p>
            <w:pPr>
              <w:pStyle w:val="59"/>
              <w:shd w:val="clear" w:color="auto" w:fill="FFFFFF"/>
              <w:spacing w:line="360" w:lineRule="auto"/>
              <w:rPr>
                <w:rFonts w:ascii="宋体" w:hAnsi="宋体" w:cs="宋体"/>
                <w:bCs/>
                <w:spacing w:val="16"/>
              </w:rPr>
            </w:pPr>
          </w:p>
        </w:tc>
        <w:tc>
          <w:tcPr>
            <w:tcW w:w="2001" w:type="dxa"/>
            <w:gridSpan w:val="3"/>
          </w:tcPr>
          <w:p>
            <w:pPr>
              <w:pStyle w:val="59"/>
              <w:shd w:val="clear" w:color="auto" w:fill="FFFFFF"/>
              <w:spacing w:line="360" w:lineRule="auto"/>
              <w:ind w:left="107"/>
              <w:rPr>
                <w:rFonts w:ascii="宋体" w:hAnsi="宋体" w:cs="宋体"/>
                <w:bCs/>
                <w:spacing w:val="16"/>
              </w:rPr>
            </w:pPr>
            <w:r>
              <w:rPr>
                <w:rFonts w:hint="eastAsia" w:ascii="宋体" w:hAnsi="宋体" w:cs="宋体"/>
                <w:bCs/>
                <w:spacing w:val="16"/>
              </w:rPr>
              <w:t>股东关系</w:t>
            </w:r>
          </w:p>
        </w:tc>
        <w:tc>
          <w:tcPr>
            <w:tcW w:w="2151" w:type="dxa"/>
            <w:gridSpan w:val="2"/>
          </w:tcPr>
          <w:p>
            <w:pPr>
              <w:pStyle w:val="59"/>
              <w:shd w:val="clear" w:color="auto" w:fill="FFFFFF"/>
              <w:spacing w:line="360" w:lineRule="auto"/>
              <w:ind w:left="107"/>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9"/>
              <w:shd w:val="clear" w:color="auto" w:fill="FFFFFF"/>
              <w:spacing w:line="360" w:lineRule="auto"/>
              <w:rPr>
                <w:rFonts w:ascii="宋体" w:hAnsi="宋体" w:cs="宋体"/>
                <w:bCs/>
                <w:spacing w:val="16"/>
              </w:rPr>
            </w:pPr>
            <w:r>
              <w:rPr>
                <w:rFonts w:hint="eastAsia" w:ascii="宋体" w:hAnsi="宋体" w:cs="宋体"/>
                <w:bCs/>
                <w:spacing w:val="12"/>
              </w:rPr>
              <w:t>联系人</w:t>
            </w:r>
            <w:r>
              <w:rPr>
                <w:rFonts w:hint="eastAsia" w:ascii="宋体" w:hAnsi="宋体" w:cs="宋体"/>
                <w:bCs/>
                <w:spacing w:val="27"/>
              </w:rPr>
              <w:t>姓名</w:t>
            </w:r>
          </w:p>
        </w:tc>
        <w:tc>
          <w:tcPr>
            <w:tcW w:w="701" w:type="dxa"/>
            <w:vMerge w:val="restart"/>
            <w:tcBorders>
              <w:top w:val="nil"/>
            </w:tcBorders>
          </w:tcPr>
          <w:p>
            <w:pPr>
              <w:pStyle w:val="59"/>
              <w:shd w:val="clear" w:color="auto" w:fill="FFFFFF"/>
              <w:spacing w:line="360" w:lineRule="auto"/>
              <w:rPr>
                <w:rFonts w:ascii="宋体" w:hAnsi="宋体" w:cs="宋体"/>
                <w:bCs/>
                <w:spacing w:val="16"/>
              </w:rPr>
            </w:pPr>
          </w:p>
        </w:tc>
        <w:tc>
          <w:tcPr>
            <w:tcW w:w="910" w:type="dxa"/>
            <w:gridSpan w:val="2"/>
            <w:tcBorders>
              <w:top w:val="nil"/>
              <w:bottom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spacing w:val="16"/>
                <w:kern w:val="0"/>
                <w:sz w:val="24"/>
              </w:rPr>
            </w:pPr>
          </w:p>
          <w:p>
            <w:pPr>
              <w:pStyle w:val="59"/>
              <w:shd w:val="clear" w:color="auto" w:fill="FFFFFF"/>
              <w:spacing w:line="360" w:lineRule="auto"/>
              <w:rPr>
                <w:rFonts w:ascii="宋体" w:hAnsi="宋体" w:cs="宋体"/>
                <w:bCs/>
                <w:spacing w:val="16"/>
              </w:rPr>
            </w:pPr>
          </w:p>
        </w:tc>
        <w:tc>
          <w:tcPr>
            <w:tcW w:w="2001" w:type="dxa"/>
            <w:gridSpan w:val="3"/>
            <w:vMerge w:val="restart"/>
          </w:tcPr>
          <w:p>
            <w:pPr>
              <w:pStyle w:val="59"/>
              <w:shd w:val="clear" w:color="auto" w:fill="FFFFFF"/>
              <w:spacing w:before="0" w:beforeAutospacing="0" w:after="0" w:afterAutospacing="0" w:line="360" w:lineRule="auto"/>
              <w:rPr>
                <w:rFonts w:ascii="宋体" w:hAnsi="宋体" w:cs="宋体"/>
                <w:bCs/>
                <w:spacing w:val="16"/>
              </w:rPr>
            </w:pPr>
            <w:r>
              <w:rPr>
                <w:rFonts w:hint="eastAsia" w:ascii="宋体" w:hAnsi="宋体" w:cs="宋体"/>
                <w:bCs/>
                <w:spacing w:val="16"/>
              </w:rPr>
              <w:t>传真</w:t>
            </w:r>
          </w:p>
        </w:tc>
        <w:tc>
          <w:tcPr>
            <w:tcW w:w="2151" w:type="dxa"/>
            <w:gridSpan w:val="2"/>
            <w:vMerge w:val="restart"/>
          </w:tcPr>
          <w:p>
            <w:pPr>
              <w:pStyle w:val="59"/>
              <w:shd w:val="clear" w:color="auto" w:fill="FFFFFF"/>
              <w:spacing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9"/>
              <w:shd w:val="clear" w:color="auto" w:fill="FFFFFF"/>
              <w:spacing w:line="360" w:lineRule="auto"/>
              <w:ind w:left="107"/>
              <w:rPr>
                <w:rFonts w:ascii="宋体" w:hAnsi="宋体" w:cs="宋体"/>
                <w:bCs/>
              </w:rPr>
            </w:pPr>
          </w:p>
        </w:tc>
        <w:tc>
          <w:tcPr>
            <w:tcW w:w="701" w:type="dxa"/>
            <w:vMerge w:val="continue"/>
            <w:tcBorders>
              <w:bottom w:val="single" w:color="auto" w:sz="4" w:space="0"/>
            </w:tcBorders>
          </w:tcPr>
          <w:p>
            <w:pPr>
              <w:pStyle w:val="59"/>
              <w:shd w:val="clear" w:color="auto" w:fill="FFFFFF"/>
              <w:spacing w:line="360" w:lineRule="auto"/>
              <w:rPr>
                <w:rFonts w:ascii="宋体" w:hAnsi="宋体" w:cs="宋体"/>
                <w:bCs/>
                <w:spacing w:val="16"/>
              </w:rPr>
            </w:pPr>
          </w:p>
        </w:tc>
        <w:tc>
          <w:tcPr>
            <w:tcW w:w="910" w:type="dxa"/>
            <w:gridSpan w:val="2"/>
            <w:tcBorders>
              <w:bottom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27"/>
              </w:rPr>
              <w:t>手机</w:t>
            </w:r>
          </w:p>
        </w:tc>
        <w:tc>
          <w:tcPr>
            <w:tcW w:w="2368" w:type="dxa"/>
            <w:gridSpan w:val="3"/>
            <w:tcBorders>
              <w:bottom w:val="single" w:color="auto" w:sz="4" w:space="0"/>
            </w:tcBorders>
          </w:tcPr>
          <w:p>
            <w:pPr>
              <w:pStyle w:val="59"/>
              <w:shd w:val="clear" w:color="auto" w:fill="FFFFFF"/>
              <w:spacing w:line="360" w:lineRule="auto"/>
              <w:rPr>
                <w:rFonts w:ascii="宋体" w:hAnsi="宋体" w:cs="宋体"/>
                <w:bCs/>
                <w:spacing w:val="16"/>
              </w:rPr>
            </w:pPr>
          </w:p>
        </w:tc>
        <w:tc>
          <w:tcPr>
            <w:tcW w:w="2001" w:type="dxa"/>
            <w:gridSpan w:val="3"/>
            <w:vMerge w:val="continue"/>
            <w:tcBorders>
              <w:bottom w:val="single" w:color="auto" w:sz="4" w:space="0"/>
            </w:tcBorders>
          </w:tcPr>
          <w:p>
            <w:pPr>
              <w:pStyle w:val="59"/>
              <w:shd w:val="clear" w:color="auto" w:fill="FFFFFF"/>
              <w:spacing w:line="360" w:lineRule="auto"/>
              <w:rPr>
                <w:rFonts w:ascii="宋体" w:hAnsi="宋体" w:cs="宋体"/>
                <w:bCs/>
                <w:spacing w:val="16"/>
              </w:rPr>
            </w:pPr>
          </w:p>
        </w:tc>
        <w:tc>
          <w:tcPr>
            <w:tcW w:w="2151" w:type="dxa"/>
            <w:gridSpan w:val="2"/>
            <w:vMerge w:val="continue"/>
            <w:tcBorders>
              <w:bottom w:val="single" w:color="auto" w:sz="4" w:space="0"/>
            </w:tcBorders>
          </w:tcPr>
          <w:p>
            <w:pPr>
              <w:pStyle w:val="59"/>
              <w:shd w:val="clear" w:color="auto" w:fill="FFFFFF"/>
              <w:spacing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59"/>
              <w:shd w:val="clear" w:color="auto" w:fill="FFFFFF"/>
              <w:spacing w:line="360" w:lineRule="auto"/>
              <w:ind w:left="107"/>
              <w:rPr>
                <w:rFonts w:ascii="宋体" w:hAnsi="宋体" w:cs="宋体"/>
                <w:bCs/>
              </w:rPr>
            </w:pPr>
            <w:r>
              <w:rPr>
                <w:rFonts w:hint="eastAsia" w:ascii="宋体" w:hAnsi="宋体" w:cs="宋体"/>
                <w:bCs/>
              </w:rPr>
              <w:t>1.</w:t>
            </w:r>
          </w:p>
          <w:p>
            <w:pPr>
              <w:pStyle w:val="59"/>
              <w:shd w:val="clear" w:color="auto" w:fill="FFFFFF"/>
              <w:spacing w:line="360" w:lineRule="auto"/>
              <w:ind w:left="107"/>
              <w:rPr>
                <w:rFonts w:ascii="宋体" w:hAnsi="宋体" w:cs="宋体"/>
                <w:bCs/>
              </w:rPr>
            </w:pPr>
            <w:r>
              <w:rPr>
                <w:rFonts w:hint="eastAsia" w:ascii="宋体" w:hAnsi="宋体" w:cs="宋体"/>
                <w:bCs/>
              </w:rPr>
              <w:t>企</w:t>
            </w:r>
          </w:p>
          <w:p>
            <w:pPr>
              <w:pStyle w:val="59"/>
              <w:shd w:val="clear" w:color="auto" w:fill="FFFFFF"/>
              <w:spacing w:line="360" w:lineRule="auto"/>
              <w:ind w:left="107"/>
              <w:rPr>
                <w:rFonts w:ascii="宋体" w:hAnsi="宋体" w:cs="宋体"/>
                <w:bCs/>
              </w:rPr>
            </w:pPr>
            <w:r>
              <w:rPr>
                <w:rFonts w:hint="eastAsia" w:ascii="宋体" w:hAnsi="宋体" w:cs="宋体"/>
                <w:bCs/>
              </w:rPr>
              <w:t>业</w:t>
            </w:r>
          </w:p>
          <w:p>
            <w:pPr>
              <w:pStyle w:val="59"/>
              <w:shd w:val="clear" w:color="auto" w:fill="FFFFFF"/>
              <w:spacing w:line="360" w:lineRule="auto"/>
              <w:ind w:left="107"/>
              <w:rPr>
                <w:rFonts w:ascii="宋体" w:hAnsi="宋体" w:cs="宋体"/>
                <w:bCs/>
                <w:spacing w:val="27"/>
              </w:rPr>
            </w:pPr>
            <w:r>
              <w:rPr>
                <w:rFonts w:hint="eastAsia" w:ascii="宋体" w:hAnsi="宋体" w:cs="宋体"/>
                <w:bCs/>
                <w:spacing w:val="27"/>
              </w:rPr>
              <w:t>概</w:t>
            </w:r>
          </w:p>
          <w:p>
            <w:pPr>
              <w:pStyle w:val="59"/>
              <w:shd w:val="clear" w:color="auto" w:fill="FFFFFF"/>
              <w:spacing w:line="360" w:lineRule="auto"/>
              <w:ind w:left="107"/>
              <w:rPr>
                <w:rFonts w:ascii="宋体" w:hAnsi="宋体" w:cs="宋体"/>
                <w:bCs/>
              </w:rPr>
            </w:pPr>
            <w:r>
              <w:rPr>
                <w:rFonts w:hint="eastAsia" w:ascii="宋体" w:hAnsi="宋体" w:cs="宋体"/>
                <w:bCs/>
                <w:spacing w:val="27"/>
              </w:rPr>
              <w:t>况</w:t>
            </w:r>
          </w:p>
        </w:tc>
        <w:tc>
          <w:tcPr>
            <w:tcW w:w="701" w:type="dxa"/>
            <w:tcBorders>
              <w:top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16"/>
              </w:rPr>
              <w:t>职工人数</w:t>
            </w:r>
          </w:p>
        </w:tc>
        <w:tc>
          <w:tcPr>
            <w:tcW w:w="910" w:type="dxa"/>
            <w:gridSpan w:val="2"/>
            <w:tcBorders>
              <w:top w:val="single" w:color="auto" w:sz="4" w:space="0"/>
            </w:tcBorders>
          </w:tcPr>
          <w:p>
            <w:pPr>
              <w:pStyle w:val="59"/>
              <w:shd w:val="clear" w:color="auto" w:fill="FFFFFF"/>
              <w:spacing w:line="360" w:lineRule="auto"/>
              <w:rPr>
                <w:rFonts w:ascii="宋体" w:hAnsi="宋体" w:cs="宋体"/>
                <w:bCs/>
                <w:spacing w:val="16"/>
              </w:rPr>
            </w:pPr>
          </w:p>
        </w:tc>
        <w:tc>
          <w:tcPr>
            <w:tcW w:w="1163" w:type="dxa"/>
            <w:tcBorders>
              <w:top w:val="single" w:color="auto" w:sz="4" w:space="0"/>
            </w:tcBorders>
          </w:tcPr>
          <w:p>
            <w:pPr>
              <w:pStyle w:val="59"/>
              <w:shd w:val="clear" w:color="auto" w:fill="FFFFFF"/>
              <w:spacing w:before="0" w:beforeAutospacing="0" w:after="0" w:afterAutospacing="0" w:line="360" w:lineRule="auto"/>
              <w:rPr>
                <w:rFonts w:ascii="宋体" w:hAnsi="宋体" w:cs="宋体"/>
                <w:bCs/>
              </w:rPr>
            </w:pPr>
            <w:r>
              <w:rPr>
                <w:rFonts w:hint="eastAsia" w:ascii="宋体" w:hAnsi="宋体" w:cs="宋体"/>
                <w:bCs/>
                <w:spacing w:val="18"/>
              </w:rPr>
              <w:t>具备大专以</w:t>
            </w:r>
            <w:r>
              <w:rPr>
                <w:rFonts w:hint="eastAsia" w:ascii="宋体" w:hAnsi="宋体" w:cs="宋体"/>
                <w:bCs/>
                <w:spacing w:val="12"/>
              </w:rPr>
              <w:t>上学历人数</w:t>
            </w:r>
          </w:p>
        </w:tc>
        <w:tc>
          <w:tcPr>
            <w:tcW w:w="1205" w:type="dxa"/>
            <w:gridSpan w:val="2"/>
            <w:tcBorders>
              <w:top w:val="single" w:color="auto" w:sz="4" w:space="0"/>
            </w:tcBorders>
          </w:tcPr>
          <w:p>
            <w:pPr>
              <w:widowControl/>
              <w:spacing w:line="360" w:lineRule="auto"/>
              <w:jc w:val="left"/>
              <w:rPr>
                <w:rFonts w:ascii="宋体" w:hAnsi="宋体" w:cs="宋体"/>
                <w:bCs/>
                <w:spacing w:val="16"/>
                <w:kern w:val="0"/>
                <w:sz w:val="24"/>
              </w:rPr>
            </w:pPr>
          </w:p>
          <w:p>
            <w:pPr>
              <w:widowControl/>
              <w:spacing w:line="360" w:lineRule="auto"/>
              <w:jc w:val="left"/>
              <w:rPr>
                <w:rFonts w:ascii="宋体" w:hAnsi="宋体" w:cs="宋体"/>
                <w:bCs/>
                <w:spacing w:val="16"/>
                <w:kern w:val="0"/>
                <w:sz w:val="24"/>
              </w:rPr>
            </w:pPr>
          </w:p>
          <w:p>
            <w:pPr>
              <w:pStyle w:val="59"/>
              <w:shd w:val="clear" w:color="auto" w:fill="FFFFFF"/>
              <w:spacing w:line="360" w:lineRule="auto"/>
              <w:rPr>
                <w:rFonts w:ascii="宋体" w:hAnsi="宋体" w:cs="宋体"/>
                <w:bCs/>
                <w:spacing w:val="16"/>
              </w:rPr>
            </w:pPr>
          </w:p>
        </w:tc>
        <w:tc>
          <w:tcPr>
            <w:tcW w:w="2001" w:type="dxa"/>
            <w:gridSpan w:val="3"/>
            <w:tcBorders>
              <w:top w:val="single" w:color="auto" w:sz="4" w:space="0"/>
            </w:tcBorders>
          </w:tcPr>
          <w:p>
            <w:pPr>
              <w:pStyle w:val="59"/>
              <w:shd w:val="clear" w:color="auto" w:fill="FFFFFF"/>
              <w:spacing w:line="360" w:lineRule="auto"/>
              <w:rPr>
                <w:rFonts w:ascii="宋体" w:hAnsi="宋体" w:cs="宋体"/>
                <w:bCs/>
                <w:spacing w:val="16"/>
              </w:rPr>
            </w:pPr>
            <w:r>
              <w:rPr>
                <w:rFonts w:hint="eastAsia" w:ascii="宋体" w:hAnsi="宋体" w:cs="宋体"/>
                <w:bCs/>
                <w:spacing w:val="65"/>
              </w:rPr>
              <w:t>国家授予技</w:t>
            </w:r>
            <w:r>
              <w:rPr>
                <w:rFonts w:hint="eastAsia" w:ascii="宋体" w:hAnsi="宋体" w:cs="宋体"/>
                <w:bCs/>
                <w:spacing w:val="12"/>
              </w:rPr>
              <w:t>术职称人数</w:t>
            </w:r>
          </w:p>
        </w:tc>
        <w:tc>
          <w:tcPr>
            <w:tcW w:w="2151" w:type="dxa"/>
            <w:gridSpan w:val="2"/>
            <w:tcBorders>
              <w:top w:val="single" w:color="auto" w:sz="4" w:space="0"/>
            </w:tcBorders>
          </w:tcPr>
          <w:p>
            <w:pPr>
              <w:widowControl/>
              <w:spacing w:line="360" w:lineRule="auto"/>
              <w:jc w:val="left"/>
              <w:rPr>
                <w:rFonts w:ascii="宋体" w:hAnsi="宋体" w:cs="宋体"/>
                <w:bCs/>
                <w:spacing w:val="16"/>
                <w:kern w:val="0"/>
                <w:sz w:val="24"/>
              </w:rPr>
            </w:pPr>
          </w:p>
          <w:p>
            <w:pPr>
              <w:pStyle w:val="59"/>
              <w:shd w:val="clear" w:color="auto" w:fill="FFFFFF"/>
              <w:spacing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9"/>
              <w:shd w:val="clear" w:color="auto" w:fill="FFFFFF"/>
              <w:spacing w:line="360" w:lineRule="auto"/>
              <w:ind w:left="107"/>
              <w:rPr>
                <w:rFonts w:ascii="宋体" w:hAnsi="宋体" w:cs="宋体"/>
                <w:bCs/>
              </w:rPr>
            </w:pPr>
          </w:p>
        </w:tc>
        <w:tc>
          <w:tcPr>
            <w:tcW w:w="701" w:type="dxa"/>
          </w:tcPr>
          <w:p>
            <w:pPr>
              <w:pStyle w:val="59"/>
              <w:shd w:val="clear" w:color="auto" w:fill="FFFFFF"/>
              <w:spacing w:line="360" w:lineRule="auto"/>
              <w:rPr>
                <w:rFonts w:ascii="宋体" w:hAnsi="宋体" w:cs="宋体"/>
                <w:bCs/>
              </w:rPr>
            </w:pPr>
            <w:r>
              <w:rPr>
                <w:rFonts w:hint="eastAsia" w:ascii="宋体" w:hAnsi="宋体" w:cs="宋体"/>
                <w:bCs/>
                <w:spacing w:val="16"/>
              </w:rPr>
              <w:t>占地面积</w:t>
            </w:r>
          </w:p>
        </w:tc>
        <w:tc>
          <w:tcPr>
            <w:tcW w:w="910" w:type="dxa"/>
            <w:gridSpan w:val="2"/>
          </w:tcPr>
          <w:p>
            <w:pPr>
              <w:pStyle w:val="59"/>
              <w:shd w:val="clear" w:color="auto" w:fill="FFFFFF"/>
              <w:spacing w:line="360" w:lineRule="auto"/>
              <w:rPr>
                <w:rFonts w:ascii="宋体" w:hAnsi="宋体" w:cs="宋体"/>
                <w:bCs/>
              </w:rPr>
            </w:pPr>
          </w:p>
        </w:tc>
        <w:tc>
          <w:tcPr>
            <w:tcW w:w="1163" w:type="dxa"/>
          </w:tcPr>
          <w:p>
            <w:pPr>
              <w:pStyle w:val="59"/>
              <w:shd w:val="clear" w:color="auto" w:fill="FFFFFF"/>
              <w:spacing w:line="360" w:lineRule="auto"/>
              <w:rPr>
                <w:rFonts w:ascii="宋体" w:hAnsi="宋体" w:cs="宋体"/>
                <w:bCs/>
              </w:rPr>
            </w:pPr>
            <w:r>
              <w:rPr>
                <w:rFonts w:hint="eastAsia" w:ascii="宋体" w:hAnsi="宋体" w:cs="宋体"/>
                <w:bCs/>
                <w:spacing w:val="16"/>
              </w:rPr>
              <w:t>建筑面积</w:t>
            </w:r>
          </w:p>
        </w:tc>
        <w:tc>
          <w:tcPr>
            <w:tcW w:w="1205" w:type="dxa"/>
            <w:gridSpan w:val="2"/>
          </w:tcPr>
          <w:p>
            <w:pPr>
              <w:pStyle w:val="59"/>
              <w:shd w:val="clear" w:color="auto" w:fill="FFFFFF"/>
              <w:spacing w:line="360" w:lineRule="auto"/>
              <w:ind w:firstLine="480" w:firstLineChars="200"/>
              <w:rPr>
                <w:rFonts w:ascii="宋体" w:hAnsi="宋体" w:cs="宋体"/>
                <w:bCs/>
              </w:rPr>
            </w:pPr>
            <w:r>
              <w:rPr>
                <w:rFonts w:hint="eastAsia" w:ascii="宋体" w:hAnsi="宋体" w:cs="宋体"/>
                <w:bCs/>
              </w:rPr>
              <w:t xml:space="preserve">平方米 </w:t>
            </w:r>
          </w:p>
          <w:p>
            <w:pPr>
              <w:pStyle w:val="59"/>
              <w:shd w:val="clear" w:color="auto" w:fill="FFFFFF"/>
              <w:spacing w:line="360" w:lineRule="auto"/>
              <w:rPr>
                <w:rFonts w:ascii="宋体" w:hAnsi="宋体" w:cs="宋体"/>
                <w:bCs/>
              </w:rPr>
            </w:pPr>
            <w:r>
              <w:rPr>
                <w:rFonts w:hint="eastAsia" w:ascii="宋体" w:hAnsi="宋体" w:cs="宋体"/>
                <w:bCs/>
                <w:spacing w:val="16"/>
              </w:rPr>
              <w:t>□自有□租賃</w:t>
            </w:r>
          </w:p>
        </w:tc>
        <w:tc>
          <w:tcPr>
            <w:tcW w:w="2001" w:type="dxa"/>
            <w:gridSpan w:val="3"/>
          </w:tcPr>
          <w:p>
            <w:pPr>
              <w:pStyle w:val="59"/>
              <w:shd w:val="clear" w:color="auto" w:fill="FFFFFF"/>
              <w:spacing w:line="360" w:lineRule="auto"/>
              <w:rPr>
                <w:rFonts w:ascii="宋体" w:hAnsi="宋体" w:cs="宋体"/>
                <w:bCs/>
              </w:rPr>
            </w:pPr>
            <w:r>
              <w:rPr>
                <w:rFonts w:hint="eastAsia" w:ascii="宋体" w:hAnsi="宋体" w:cs="宋体"/>
                <w:bCs/>
                <w:spacing w:val="16"/>
              </w:rPr>
              <w:t>生产经营场所及场所的设施与设备</w:t>
            </w:r>
          </w:p>
        </w:tc>
        <w:tc>
          <w:tcPr>
            <w:tcW w:w="2151" w:type="dxa"/>
            <w:gridSpan w:val="2"/>
          </w:tcPr>
          <w:p>
            <w:pPr>
              <w:pStyle w:val="59"/>
              <w:shd w:val="clear" w:color="auto" w:fill="FFFFFF"/>
              <w:spacing w:before="0" w:beforeAutospacing="0" w:after="0" w:afterAutospacing="0"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9"/>
              <w:shd w:val="clear" w:color="auto" w:fill="FFFFFF"/>
              <w:spacing w:line="360" w:lineRule="auto"/>
              <w:ind w:left="107"/>
              <w:rPr>
                <w:rFonts w:ascii="宋体" w:hAnsi="宋体" w:cs="宋体"/>
                <w:bCs/>
              </w:rPr>
            </w:pPr>
          </w:p>
        </w:tc>
        <w:tc>
          <w:tcPr>
            <w:tcW w:w="701" w:type="dxa"/>
          </w:tcPr>
          <w:p>
            <w:pPr>
              <w:pStyle w:val="59"/>
              <w:shd w:val="clear" w:color="auto" w:fill="FFFFFF"/>
              <w:spacing w:line="360" w:lineRule="auto"/>
              <w:ind w:left="2"/>
              <w:rPr>
                <w:rFonts w:ascii="宋体" w:hAnsi="宋体" w:cs="宋体"/>
                <w:bCs/>
                <w:spacing w:val="16"/>
              </w:rPr>
            </w:pPr>
            <w:r>
              <w:rPr>
                <w:rFonts w:hint="eastAsia" w:ascii="宋体" w:hAnsi="宋体" w:cs="宋体"/>
                <w:bCs/>
                <w:spacing w:val="16"/>
              </w:rPr>
              <w:t>注册资金</w:t>
            </w:r>
          </w:p>
        </w:tc>
        <w:tc>
          <w:tcPr>
            <w:tcW w:w="910" w:type="dxa"/>
            <w:gridSpan w:val="2"/>
          </w:tcPr>
          <w:p>
            <w:pPr>
              <w:pStyle w:val="59"/>
              <w:shd w:val="clear" w:color="auto" w:fill="FFFFFF"/>
              <w:spacing w:line="360" w:lineRule="auto"/>
              <w:ind w:left="2"/>
              <w:rPr>
                <w:rFonts w:ascii="宋体" w:hAnsi="宋体" w:cs="宋体"/>
                <w:bCs/>
              </w:rPr>
            </w:pPr>
          </w:p>
        </w:tc>
        <w:tc>
          <w:tcPr>
            <w:tcW w:w="1163" w:type="dxa"/>
          </w:tcPr>
          <w:p>
            <w:pPr>
              <w:pStyle w:val="59"/>
              <w:shd w:val="clear" w:color="auto" w:fill="FFFFFF"/>
              <w:spacing w:line="360" w:lineRule="auto"/>
              <w:ind w:left="107"/>
              <w:rPr>
                <w:rFonts w:ascii="宋体" w:hAnsi="宋体" w:cs="宋体"/>
                <w:bCs/>
              </w:rPr>
            </w:pPr>
            <w:r>
              <w:rPr>
                <w:rFonts w:hint="eastAsia" w:ascii="宋体" w:hAnsi="宋体" w:cs="宋体"/>
                <w:bCs/>
                <w:spacing w:val="16"/>
              </w:rPr>
              <w:t>注册发证</w:t>
            </w:r>
            <w:r>
              <w:rPr>
                <w:rFonts w:hint="eastAsia" w:ascii="宋体" w:hAnsi="宋体" w:cs="宋体"/>
                <w:bCs/>
                <w:spacing w:val="27"/>
              </w:rPr>
              <w:t>机关</w:t>
            </w:r>
          </w:p>
        </w:tc>
        <w:tc>
          <w:tcPr>
            <w:tcW w:w="3206" w:type="dxa"/>
            <w:gridSpan w:val="5"/>
          </w:tcPr>
          <w:p>
            <w:pPr>
              <w:widowControl/>
              <w:spacing w:line="360" w:lineRule="auto"/>
              <w:jc w:val="left"/>
              <w:rPr>
                <w:rFonts w:ascii="宋体" w:hAnsi="宋体" w:cs="宋体"/>
                <w:bCs/>
                <w:kern w:val="0"/>
                <w:sz w:val="24"/>
              </w:rPr>
            </w:pPr>
          </w:p>
          <w:p>
            <w:pPr>
              <w:pStyle w:val="59"/>
              <w:shd w:val="clear" w:color="auto" w:fill="FFFFFF"/>
              <w:spacing w:line="360" w:lineRule="auto"/>
              <w:ind w:left="107"/>
              <w:rPr>
                <w:rFonts w:ascii="宋体" w:hAnsi="宋体" w:cs="宋体"/>
                <w:bCs/>
              </w:rPr>
            </w:pPr>
          </w:p>
        </w:tc>
        <w:tc>
          <w:tcPr>
            <w:tcW w:w="1218" w:type="dxa"/>
          </w:tcPr>
          <w:p>
            <w:pPr>
              <w:pStyle w:val="59"/>
              <w:shd w:val="clear" w:color="auto" w:fill="FFFFFF"/>
              <w:spacing w:line="360" w:lineRule="auto"/>
              <w:ind w:left="107"/>
              <w:rPr>
                <w:rFonts w:ascii="宋体" w:hAnsi="宋体" w:cs="宋体"/>
                <w:bCs/>
              </w:rPr>
            </w:pPr>
            <w:r>
              <w:rPr>
                <w:rFonts w:hint="eastAsia" w:ascii="宋体" w:hAnsi="宋体" w:cs="宋体"/>
                <w:bCs/>
              </w:rPr>
              <w:t>公司成</w:t>
            </w:r>
            <w:r>
              <w:rPr>
                <w:rFonts w:hint="eastAsia" w:ascii="宋体" w:hAnsi="宋体" w:cs="宋体"/>
                <w:bCs/>
                <w:spacing w:val="12"/>
              </w:rPr>
              <w:t>立时间</w:t>
            </w:r>
          </w:p>
        </w:tc>
        <w:tc>
          <w:tcPr>
            <w:tcW w:w="933" w:type="dxa"/>
          </w:tcPr>
          <w:p>
            <w:pPr>
              <w:pStyle w:val="59"/>
              <w:shd w:val="clear" w:color="auto" w:fill="FFFFFF"/>
              <w:spacing w:line="360" w:lineRule="auto"/>
              <w:ind w:left="107"/>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9"/>
              <w:shd w:val="clear" w:color="auto" w:fill="FFFFFF"/>
              <w:spacing w:line="360" w:lineRule="auto"/>
              <w:ind w:left="107"/>
              <w:rPr>
                <w:rFonts w:ascii="宋体" w:hAnsi="宋体" w:cs="宋体"/>
                <w:bCs/>
              </w:rPr>
            </w:pPr>
          </w:p>
        </w:tc>
        <w:tc>
          <w:tcPr>
            <w:tcW w:w="701" w:type="dxa"/>
          </w:tcPr>
          <w:p>
            <w:pPr>
              <w:pStyle w:val="59"/>
              <w:shd w:val="clear" w:color="auto" w:fill="FFFFFF"/>
              <w:spacing w:line="360" w:lineRule="auto"/>
              <w:ind w:left="2"/>
              <w:rPr>
                <w:rFonts w:ascii="宋体" w:hAnsi="宋体" w:cs="宋体"/>
                <w:bCs/>
              </w:rPr>
            </w:pPr>
            <w:r>
              <w:rPr>
                <w:rFonts w:hint="eastAsia" w:ascii="宋体" w:hAnsi="宋体" w:cs="宋体"/>
                <w:bCs/>
              </w:rPr>
              <w:t>核准经营范围</w:t>
            </w:r>
          </w:p>
        </w:tc>
        <w:tc>
          <w:tcPr>
            <w:tcW w:w="7430" w:type="dxa"/>
            <w:gridSpan w:val="10"/>
          </w:tcPr>
          <w:p>
            <w:pPr>
              <w:pStyle w:val="59"/>
              <w:shd w:val="clear" w:color="auto" w:fill="FFFFFF"/>
              <w:spacing w:line="360" w:lineRule="auto"/>
              <w:ind w:left="107"/>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9"/>
              <w:shd w:val="clear" w:color="auto" w:fill="FFFFFF"/>
              <w:spacing w:line="360" w:lineRule="auto"/>
              <w:ind w:left="107"/>
              <w:rPr>
                <w:rFonts w:ascii="宋体" w:hAnsi="宋体" w:cs="宋体"/>
                <w:bCs/>
              </w:rPr>
            </w:pPr>
          </w:p>
        </w:tc>
        <w:tc>
          <w:tcPr>
            <w:tcW w:w="8131" w:type="dxa"/>
            <w:gridSpan w:val="11"/>
          </w:tcPr>
          <w:p>
            <w:pPr>
              <w:pStyle w:val="59"/>
              <w:shd w:val="clear" w:color="auto" w:fill="FFFFFF"/>
              <w:spacing w:line="360" w:lineRule="auto"/>
              <w:rPr>
                <w:rFonts w:ascii="宋体" w:hAnsi="宋体" w:cs="宋体"/>
                <w:bCs/>
                <w:spacing w:val="13"/>
              </w:rPr>
            </w:pPr>
            <w:r>
              <w:rPr>
                <w:rFonts w:hint="eastAsia" w:ascii="宋体" w:hAnsi="宋体" w:cs="宋体"/>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9"/>
              <w:shd w:val="clear" w:color="auto" w:fill="FFFFFF"/>
              <w:spacing w:line="360" w:lineRule="auto"/>
              <w:ind w:left="107"/>
              <w:rPr>
                <w:rFonts w:ascii="宋体" w:hAnsi="宋体" w:cs="宋体"/>
                <w:bCs/>
              </w:rPr>
            </w:pPr>
            <w:r>
              <w:rPr>
                <w:rFonts w:hint="eastAsia" w:ascii="宋体" w:hAnsi="宋体" w:cs="宋体"/>
                <w:bCs/>
              </w:rPr>
              <w:t>2．</w:t>
            </w:r>
          </w:p>
          <w:p>
            <w:pPr>
              <w:pStyle w:val="59"/>
              <w:shd w:val="clear" w:color="auto" w:fill="FFFFFF"/>
              <w:spacing w:line="360" w:lineRule="auto"/>
              <w:ind w:left="107"/>
              <w:rPr>
                <w:rFonts w:ascii="宋体" w:hAnsi="宋体" w:cs="宋体"/>
                <w:bCs/>
                <w:spacing w:val="16"/>
              </w:rPr>
            </w:pPr>
            <w:r>
              <w:rPr>
                <w:rFonts w:hint="eastAsia" w:ascii="宋体" w:hAnsi="宋体" w:cs="宋体"/>
                <w:bCs/>
              </w:rPr>
              <w:t>企</w:t>
            </w:r>
            <w:r>
              <w:rPr>
                <w:rFonts w:hint="eastAsia" w:ascii="宋体" w:hAnsi="宋体" w:cs="宋体"/>
                <w:bCs/>
                <w:spacing w:val="12"/>
              </w:rPr>
              <w:t>业有关资质获证情况</w:t>
            </w:r>
          </w:p>
        </w:tc>
        <w:tc>
          <w:tcPr>
            <w:tcW w:w="1553" w:type="dxa"/>
            <w:gridSpan w:val="2"/>
            <w:vMerge w:val="restart"/>
          </w:tcPr>
          <w:p>
            <w:pPr>
              <w:pStyle w:val="59"/>
              <w:shd w:val="clear" w:color="auto" w:fill="FFFFFF"/>
              <w:spacing w:before="0" w:beforeAutospacing="0" w:after="0" w:afterAutospacing="0" w:line="360" w:lineRule="auto"/>
              <w:rPr>
                <w:rFonts w:ascii="宋体" w:hAnsi="宋体" w:cs="宋体"/>
                <w:bCs/>
                <w:spacing w:val="16"/>
              </w:rPr>
            </w:pPr>
            <w:r>
              <w:rPr>
                <w:rFonts w:hint="eastAsia" w:ascii="宋体" w:hAnsi="宋体" w:cs="宋体"/>
                <w:bCs/>
                <w:spacing w:val="12"/>
              </w:rPr>
              <w:t>产品生产许可证情况</w:t>
            </w:r>
            <w:r>
              <w:rPr>
                <w:rFonts w:hint="eastAsia" w:ascii="宋体" w:hAnsi="宋体" w:cs="宋体"/>
                <w:bCs/>
                <w:spacing w:val="41"/>
              </w:rPr>
              <w:t>（对需获得生产许可证的</w:t>
            </w:r>
            <w:r>
              <w:rPr>
                <w:rFonts w:hint="eastAsia" w:ascii="宋体" w:hAnsi="宋体" w:cs="宋体"/>
                <w:bCs/>
                <w:spacing w:val="11"/>
              </w:rPr>
              <w:t>产品要填写此栏）</w:t>
            </w:r>
          </w:p>
        </w:tc>
        <w:tc>
          <w:tcPr>
            <w:tcW w:w="1333" w:type="dxa"/>
            <w:gridSpan w:val="3"/>
          </w:tcPr>
          <w:p>
            <w:pPr>
              <w:pStyle w:val="59"/>
              <w:shd w:val="clear" w:color="auto" w:fill="FFFFFF"/>
              <w:spacing w:line="360" w:lineRule="auto"/>
              <w:ind w:right="-78" w:rightChars="-37"/>
              <w:rPr>
                <w:rFonts w:ascii="宋体" w:hAnsi="宋体" w:cs="宋体"/>
                <w:bCs/>
                <w:spacing w:val="16"/>
              </w:rPr>
            </w:pPr>
            <w:r>
              <w:rPr>
                <w:rFonts w:hint="eastAsia" w:ascii="宋体" w:hAnsi="宋体" w:cs="宋体"/>
                <w:bCs/>
                <w:spacing w:val="16"/>
              </w:rPr>
              <w:t>产品名称</w:t>
            </w:r>
          </w:p>
        </w:tc>
        <w:tc>
          <w:tcPr>
            <w:tcW w:w="1418" w:type="dxa"/>
            <w:gridSpan w:val="2"/>
          </w:tcPr>
          <w:p>
            <w:pPr>
              <w:pStyle w:val="59"/>
              <w:shd w:val="clear" w:color="auto" w:fill="FFFFFF"/>
              <w:spacing w:before="0" w:beforeAutospacing="0" w:after="0" w:afterAutospacing="0" w:line="360" w:lineRule="auto"/>
              <w:rPr>
                <w:rFonts w:ascii="宋体" w:hAnsi="宋体" w:cs="宋体"/>
                <w:bCs/>
              </w:rPr>
            </w:pPr>
            <w:r>
              <w:rPr>
                <w:rFonts w:hint="eastAsia" w:ascii="宋体" w:hAnsi="宋体" w:cs="宋体"/>
                <w:bCs/>
                <w:spacing w:val="16"/>
              </w:rPr>
              <w:t>发证机关</w:t>
            </w:r>
          </w:p>
        </w:tc>
        <w:tc>
          <w:tcPr>
            <w:tcW w:w="1276" w:type="dxa"/>
          </w:tcPr>
          <w:p>
            <w:pPr>
              <w:pStyle w:val="59"/>
              <w:shd w:val="clear" w:color="auto" w:fill="FFFFFF"/>
              <w:spacing w:line="360" w:lineRule="auto"/>
              <w:jc w:val="center"/>
              <w:rPr>
                <w:rFonts w:ascii="宋体" w:hAnsi="宋体" w:cs="宋体"/>
                <w:bCs/>
              </w:rPr>
            </w:pPr>
            <w:r>
              <w:rPr>
                <w:rFonts w:hint="eastAsia" w:ascii="宋体" w:hAnsi="宋体" w:cs="宋体"/>
                <w:bCs/>
                <w:spacing w:val="27"/>
              </w:rPr>
              <w:t>编号</w:t>
            </w:r>
          </w:p>
        </w:tc>
        <w:tc>
          <w:tcPr>
            <w:tcW w:w="1618" w:type="dxa"/>
            <w:gridSpan w:val="2"/>
          </w:tcPr>
          <w:p>
            <w:pPr>
              <w:pStyle w:val="59"/>
              <w:shd w:val="clear" w:color="auto" w:fill="FFFFFF"/>
              <w:spacing w:line="360" w:lineRule="auto"/>
              <w:jc w:val="center"/>
              <w:rPr>
                <w:rFonts w:ascii="宋体" w:hAnsi="宋体" w:cs="宋体"/>
                <w:bCs/>
              </w:rPr>
            </w:pPr>
            <w:r>
              <w:rPr>
                <w:rFonts w:hint="eastAsia" w:ascii="宋体" w:hAnsi="宋体" w:cs="宋体"/>
                <w:bCs/>
                <w:spacing w:val="16"/>
              </w:rPr>
              <w:t>发证时间</w:t>
            </w:r>
          </w:p>
        </w:tc>
        <w:tc>
          <w:tcPr>
            <w:tcW w:w="933" w:type="dxa"/>
          </w:tcPr>
          <w:p>
            <w:pPr>
              <w:pStyle w:val="59"/>
              <w:shd w:val="clear" w:color="auto" w:fill="FFFFFF"/>
              <w:spacing w:before="0" w:beforeAutospacing="0" w:after="0" w:afterAutospacing="0" w:line="360" w:lineRule="auto"/>
              <w:jc w:val="center"/>
              <w:rPr>
                <w:rFonts w:ascii="宋体" w:hAnsi="宋体" w:cs="宋体"/>
                <w:bCs/>
              </w:rPr>
            </w:pPr>
            <w:r>
              <w:rPr>
                <w:rFonts w:hint="eastAsia" w:ascii="宋体" w:hAnsi="宋体" w:cs="宋体"/>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9"/>
              <w:shd w:val="clear" w:color="auto" w:fill="FFFFFF"/>
              <w:spacing w:line="360" w:lineRule="auto"/>
              <w:ind w:left="107"/>
              <w:rPr>
                <w:rFonts w:ascii="宋体" w:hAnsi="宋体" w:cs="宋体"/>
                <w:bCs/>
              </w:rPr>
            </w:pPr>
          </w:p>
        </w:tc>
        <w:tc>
          <w:tcPr>
            <w:tcW w:w="1553" w:type="dxa"/>
            <w:gridSpan w:val="2"/>
            <w:vMerge w:val="continue"/>
          </w:tcPr>
          <w:p>
            <w:pPr>
              <w:pStyle w:val="59"/>
              <w:shd w:val="clear" w:color="auto" w:fill="FFFFFF"/>
              <w:spacing w:line="360" w:lineRule="auto"/>
              <w:rPr>
                <w:rFonts w:ascii="宋体" w:hAnsi="宋体" w:cs="宋体"/>
                <w:bCs/>
              </w:rPr>
            </w:pPr>
          </w:p>
        </w:tc>
        <w:tc>
          <w:tcPr>
            <w:tcW w:w="1333" w:type="dxa"/>
            <w:gridSpan w:val="3"/>
          </w:tcPr>
          <w:p>
            <w:pPr>
              <w:pStyle w:val="59"/>
              <w:shd w:val="clear" w:color="auto" w:fill="FFFFFF"/>
              <w:spacing w:line="360" w:lineRule="auto"/>
              <w:rPr>
                <w:rFonts w:ascii="宋体" w:hAnsi="宋体" w:cs="宋体"/>
                <w:bCs/>
              </w:rPr>
            </w:pPr>
          </w:p>
        </w:tc>
        <w:tc>
          <w:tcPr>
            <w:tcW w:w="1418" w:type="dxa"/>
            <w:gridSpan w:val="2"/>
          </w:tcPr>
          <w:p>
            <w:pPr>
              <w:pStyle w:val="59"/>
              <w:shd w:val="clear" w:color="auto" w:fill="FFFFFF"/>
              <w:spacing w:line="360" w:lineRule="auto"/>
              <w:rPr>
                <w:rFonts w:ascii="宋体" w:hAnsi="宋体" w:cs="宋体"/>
                <w:bCs/>
              </w:rPr>
            </w:pPr>
          </w:p>
        </w:tc>
        <w:tc>
          <w:tcPr>
            <w:tcW w:w="1276" w:type="dxa"/>
          </w:tcPr>
          <w:p>
            <w:pPr>
              <w:pStyle w:val="59"/>
              <w:shd w:val="clear" w:color="auto" w:fill="FFFFFF"/>
              <w:spacing w:line="360" w:lineRule="auto"/>
              <w:rPr>
                <w:rFonts w:ascii="宋体" w:hAnsi="宋体" w:cs="宋体"/>
                <w:bCs/>
              </w:rPr>
            </w:pPr>
          </w:p>
        </w:tc>
        <w:tc>
          <w:tcPr>
            <w:tcW w:w="2551" w:type="dxa"/>
            <w:gridSpan w:val="3"/>
          </w:tcPr>
          <w:p>
            <w:pPr>
              <w:pStyle w:val="59"/>
              <w:shd w:val="clear" w:color="auto" w:fill="FFFFFF"/>
              <w:spacing w:line="360" w:lineRule="auto"/>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9"/>
              <w:shd w:val="clear" w:color="auto" w:fill="FFFFFF"/>
              <w:spacing w:line="360" w:lineRule="auto"/>
              <w:ind w:left="107"/>
              <w:rPr>
                <w:rFonts w:ascii="宋体" w:hAnsi="宋体" w:cs="宋体"/>
                <w:bCs/>
                <w:spacing w:val="16"/>
              </w:rPr>
            </w:pPr>
          </w:p>
        </w:tc>
        <w:tc>
          <w:tcPr>
            <w:tcW w:w="1553" w:type="dxa"/>
            <w:gridSpan w:val="2"/>
          </w:tcPr>
          <w:p>
            <w:pPr>
              <w:pStyle w:val="59"/>
              <w:shd w:val="clear" w:color="auto" w:fill="FFFFFF"/>
              <w:spacing w:before="0" w:beforeAutospacing="0" w:after="0" w:afterAutospacing="0" w:line="360" w:lineRule="auto"/>
              <w:ind w:right="-107" w:rightChars="-51"/>
              <w:rPr>
                <w:rFonts w:ascii="宋体" w:hAnsi="宋体" w:cs="宋体"/>
                <w:bCs/>
                <w:spacing w:val="41"/>
              </w:rPr>
            </w:pPr>
            <w:r>
              <w:rPr>
                <w:rFonts w:hint="eastAsia" w:ascii="宋体" w:hAnsi="宋体" w:cs="宋体"/>
                <w:bCs/>
                <w:spacing w:val="41"/>
              </w:rPr>
              <w:t>企业通过质量体系、环保</w:t>
            </w:r>
            <w:r>
              <w:rPr>
                <w:rFonts w:hint="eastAsia" w:ascii="宋体" w:hAnsi="宋体" w:cs="宋体"/>
                <w:bCs/>
                <w:spacing w:val="11"/>
              </w:rPr>
              <w:t>体系、计量等认证情况</w:t>
            </w:r>
          </w:p>
        </w:tc>
        <w:tc>
          <w:tcPr>
            <w:tcW w:w="6578" w:type="dxa"/>
            <w:gridSpan w:val="9"/>
          </w:tcPr>
          <w:p>
            <w:pPr>
              <w:pStyle w:val="59"/>
              <w:shd w:val="clear" w:color="auto" w:fill="FFFFFF"/>
              <w:spacing w:line="360" w:lineRule="auto"/>
              <w:rPr>
                <w:rFonts w:ascii="宋体" w:hAnsi="宋体" w:cs="宋体"/>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9"/>
              <w:shd w:val="clear" w:color="auto" w:fill="FFFFFF"/>
              <w:spacing w:line="360" w:lineRule="auto"/>
              <w:ind w:left="107"/>
              <w:rPr>
                <w:rFonts w:ascii="宋体" w:hAnsi="宋体" w:cs="宋体"/>
                <w:bCs/>
                <w:spacing w:val="27"/>
              </w:rPr>
            </w:pPr>
          </w:p>
        </w:tc>
        <w:tc>
          <w:tcPr>
            <w:tcW w:w="1553" w:type="dxa"/>
            <w:gridSpan w:val="2"/>
          </w:tcPr>
          <w:p>
            <w:pPr>
              <w:pStyle w:val="59"/>
              <w:shd w:val="clear" w:color="auto" w:fill="FFFFFF"/>
              <w:spacing w:line="360" w:lineRule="auto"/>
              <w:rPr>
                <w:rFonts w:ascii="宋体" w:hAnsi="宋体" w:cs="宋体"/>
                <w:bCs/>
                <w:spacing w:val="16"/>
              </w:rPr>
            </w:pPr>
            <w:r>
              <w:rPr>
                <w:rFonts w:hint="eastAsia" w:ascii="宋体" w:hAnsi="宋体" w:cs="宋体"/>
                <w:bCs/>
                <w:spacing w:val="10"/>
              </w:rPr>
              <w:t>企业获得专利情况</w:t>
            </w:r>
          </w:p>
        </w:tc>
        <w:tc>
          <w:tcPr>
            <w:tcW w:w="6578" w:type="dxa"/>
            <w:gridSpan w:val="9"/>
          </w:tcPr>
          <w:p>
            <w:pPr>
              <w:pStyle w:val="59"/>
              <w:shd w:val="clear" w:color="auto" w:fill="FFFFFF"/>
              <w:spacing w:line="360" w:lineRule="auto"/>
              <w:rPr>
                <w:rFonts w:ascii="宋体" w:hAnsi="宋体" w:cs="宋体"/>
                <w:bCs/>
                <w:spacing w:val="16"/>
              </w:rPr>
            </w:pPr>
          </w:p>
        </w:tc>
      </w:tr>
    </w:tbl>
    <w:p>
      <w:pPr>
        <w:pStyle w:val="59"/>
        <w:shd w:val="clear" w:color="auto" w:fill="FFFFFF"/>
        <w:spacing w:before="0" w:beforeAutospacing="0" w:after="0" w:afterAutospacing="0" w:line="360" w:lineRule="auto"/>
        <w:rPr>
          <w:rFonts w:ascii="宋体" w:hAnsi="宋体" w:cs="宋体"/>
        </w:rPr>
      </w:pPr>
    </w:p>
    <w:p>
      <w:pPr>
        <w:pStyle w:val="59"/>
        <w:shd w:val="clear" w:color="auto" w:fill="FFFFFF"/>
        <w:spacing w:before="0" w:beforeAutospacing="0" w:after="0" w:afterAutospacing="0" w:line="360" w:lineRule="auto"/>
        <w:rPr>
          <w:rFonts w:ascii="宋体" w:hAnsi="宋体" w:cs="宋体"/>
          <w:b/>
          <w:sz w:val="21"/>
          <w:szCs w:val="21"/>
        </w:rPr>
      </w:pPr>
      <w:r>
        <w:rPr>
          <w:rFonts w:hint="eastAsia" w:ascii="宋体" w:hAnsi="宋体" w:cs="宋体"/>
          <w:b/>
          <w:sz w:val="21"/>
          <w:szCs w:val="21"/>
        </w:rPr>
        <w:t>要求：</w:t>
      </w:r>
    </w:p>
    <w:p>
      <w:pPr>
        <w:pStyle w:val="59"/>
        <w:shd w:val="clear" w:color="auto" w:fill="FFFFFF"/>
        <w:spacing w:before="0" w:beforeAutospacing="0" w:after="0" w:afterAutospacing="0" w:line="360" w:lineRule="auto"/>
        <w:ind w:firstLine="424" w:firstLineChars="202"/>
        <w:rPr>
          <w:rFonts w:ascii="宋体" w:hAnsi="宋体" w:cs="宋体"/>
        </w:rPr>
      </w:pPr>
      <w:r>
        <w:rPr>
          <w:rFonts w:hint="eastAsia" w:ascii="宋体" w:hAnsi="宋体" w:cs="宋体"/>
          <w:sz w:val="21"/>
          <w:szCs w:val="21"/>
        </w:rPr>
        <w:t>1.姓名栏必须将所有股东都统计在内，若非股份公司此行（第三行）无需填写；</w:t>
      </w:r>
    </w:p>
    <w:p>
      <w:pPr>
        <w:ind w:firstLine="424" w:firstLineChars="177"/>
        <w:rPr>
          <w:rFonts w:ascii="宋体" w:hAnsi="宋体" w:cs="宋体"/>
          <w:sz w:val="24"/>
        </w:rPr>
      </w:pPr>
    </w:p>
    <w:p>
      <w:pPr>
        <w:ind w:firstLine="424" w:firstLineChars="177"/>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ind w:left="420"/>
        <w:rPr>
          <w:rFonts w:ascii="宋体" w:hAnsi="宋体" w:cs="宋体"/>
          <w:sz w:val="24"/>
        </w:rPr>
      </w:pPr>
    </w:p>
    <w:p>
      <w:pPr>
        <w:ind w:firstLine="424" w:firstLineChars="177"/>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ind w:firstLine="435"/>
        <w:rPr>
          <w:rFonts w:ascii="宋体" w:hAnsi="宋体" w:cs="宋体"/>
          <w:sz w:val="24"/>
        </w:rPr>
      </w:pPr>
    </w:p>
    <w:p>
      <w:pPr>
        <w:ind w:firstLine="424" w:firstLineChars="177"/>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rPr>
          <w:rFonts w:ascii="宋体" w:hAnsi="宋体" w:cs="宋体"/>
          <w:sz w:val="24"/>
        </w:rPr>
      </w:pPr>
    </w:p>
    <w:p>
      <w:pPr>
        <w:pStyle w:val="59"/>
        <w:shd w:val="clear" w:color="auto" w:fill="FFFFFF"/>
        <w:spacing w:before="0" w:beforeAutospacing="0" w:after="0" w:afterAutospacing="0"/>
        <w:ind w:firstLine="424" w:firstLineChars="177"/>
        <w:rPr>
          <w:rFonts w:ascii="宋体" w:hAnsi="宋体" w:cs="宋体"/>
          <w:b/>
          <w:sz w:val="28"/>
        </w:rPr>
      </w:pPr>
      <w:r>
        <w:rPr>
          <w:rFonts w:hint="eastAsia" w:ascii="宋体" w:hAnsi="宋体" w:cs="宋体"/>
        </w:rPr>
        <w:t>日        期：</w:t>
      </w:r>
      <w:r>
        <w:rPr>
          <w:rFonts w:hint="eastAsia" w:ascii="宋体" w:hAnsi="宋体" w:cs="宋体"/>
          <w:u w:val="single"/>
        </w:rPr>
        <w:t xml:space="preserve">                            </w:t>
      </w:r>
    </w:p>
    <w:p>
      <w:pPr>
        <w:spacing w:line="360" w:lineRule="auto"/>
        <w:ind w:firstLine="301" w:firstLineChars="100"/>
        <w:jc w:val="center"/>
        <w:rPr>
          <w:rFonts w:ascii="宋体" w:hAnsi="宋体" w:cs="宋体"/>
          <w:b/>
          <w:sz w:val="30"/>
          <w:szCs w:val="30"/>
        </w:rPr>
      </w:pPr>
    </w:p>
    <w:p>
      <w:pPr>
        <w:snapToGrid w:val="0"/>
        <w:spacing w:before="50" w:after="50" w:line="360" w:lineRule="auto"/>
        <w:rPr>
          <w:rFonts w:ascii="宋体" w:hAnsi="宋体" w:cs="宋体"/>
          <w:b/>
          <w:sz w:val="32"/>
          <w:szCs w:val="32"/>
        </w:rPr>
      </w:pPr>
      <w:r>
        <w:rPr>
          <w:rFonts w:hint="eastAsia" w:ascii="宋体" w:hAnsi="宋体" w:cs="宋体"/>
          <w:b/>
          <w:sz w:val="28"/>
        </w:rPr>
        <w:t>附件11：</w:t>
      </w:r>
    </w:p>
    <w:p>
      <w:pPr>
        <w:snapToGrid w:val="0"/>
        <w:spacing w:beforeLines="50" w:after="50" w:line="360" w:lineRule="auto"/>
        <w:jc w:val="center"/>
        <w:rPr>
          <w:rFonts w:ascii="宋体" w:hAnsi="宋体" w:cs="宋体"/>
          <w:b/>
          <w:sz w:val="36"/>
          <w:szCs w:val="36"/>
        </w:rPr>
      </w:pPr>
      <w:r>
        <w:rPr>
          <w:rFonts w:hint="eastAsia" w:ascii="宋体" w:hAnsi="宋体" w:cs="宋体"/>
          <w:b/>
          <w:sz w:val="32"/>
          <w:szCs w:val="32"/>
        </w:rPr>
        <w:t>项目实施人员一览表</w:t>
      </w:r>
    </w:p>
    <w:p>
      <w:pPr>
        <w:snapToGrid w:val="0"/>
        <w:spacing w:beforeLines="50" w:after="50" w:line="360" w:lineRule="auto"/>
        <w:ind w:firstLine="2400" w:firstLineChars="1000"/>
        <w:rPr>
          <w:rFonts w:ascii="宋体" w:hAnsi="宋体" w:cs="宋体"/>
          <w:sz w:val="24"/>
        </w:rPr>
      </w:pPr>
      <w:r>
        <w:rPr>
          <w:rFonts w:hint="eastAsia" w:ascii="宋体" w:hAnsi="宋体" w:cs="宋体"/>
          <w:sz w:val="24"/>
        </w:rPr>
        <w:t>（主要从业人员及其技术资格）</w:t>
      </w:r>
    </w:p>
    <w:p>
      <w:pPr>
        <w:pStyle w:val="18"/>
        <w:adjustRightInd w:val="0"/>
        <w:snapToGrid w:val="0"/>
        <w:spacing w:line="360" w:lineRule="auto"/>
        <w:jc w:val="left"/>
        <w:rPr>
          <w:rFonts w:ascii="宋体" w:hAnsi="宋体" w:eastAsia="宋体" w:cs="宋体"/>
          <w:b/>
          <w:sz w:val="24"/>
        </w:rPr>
      </w:pPr>
      <w:r>
        <w:rPr>
          <w:rFonts w:hint="eastAsia" w:ascii="宋体" w:hAnsi="宋体" w:eastAsia="宋体" w:cs="宋体"/>
          <w:b/>
          <w:bCs/>
          <w:sz w:val="24"/>
        </w:rPr>
        <w:t>项目名称及编号：</w:t>
      </w:r>
    </w:p>
    <w:tbl>
      <w:tblPr>
        <w:tblStyle w:val="3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sz w:val="24"/>
                <w:szCs w:val="20"/>
              </w:rPr>
            </w:pPr>
            <w:r>
              <w:rPr>
                <w:rFonts w:hint="eastAsia" w:ascii="宋体" w:hAnsi="宋体" w:cs="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bCs/>
                <w:sz w:val="24"/>
                <w:szCs w:val="20"/>
              </w:rPr>
            </w:pPr>
            <w:r>
              <w:rPr>
                <w:rFonts w:hint="eastAsia" w:ascii="宋体" w:hAnsi="宋体" w:cs="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bCs/>
                <w:sz w:val="24"/>
                <w:szCs w:val="20"/>
              </w:rPr>
            </w:pPr>
            <w:r>
              <w:rPr>
                <w:rFonts w:hint="eastAsia" w:ascii="宋体" w:hAnsi="宋体" w:cs="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250"/>
              <w:rPr>
                <w:rFonts w:ascii="宋体" w:hAnsi="宋体" w:eastAsia="宋体" w:cs="宋体"/>
                <w:b/>
                <w:kern w:val="44"/>
              </w:rPr>
            </w:pPr>
          </w:p>
        </w:tc>
        <w:tc>
          <w:tcPr>
            <w:tcW w:w="1276"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250"/>
              <w:rPr>
                <w:rFonts w:ascii="宋体" w:hAnsi="宋体" w:eastAsia="宋体" w:cs="宋体"/>
                <w:b/>
                <w:kern w:val="44"/>
              </w:rPr>
            </w:pPr>
          </w:p>
        </w:tc>
        <w:tc>
          <w:tcPr>
            <w:tcW w:w="1275" w:type="dxa"/>
            <w:tcBorders>
              <w:top w:val="single" w:color="auto" w:sz="4" w:space="0"/>
              <w:left w:val="single" w:color="auto" w:sz="4" w:space="0"/>
              <w:bottom w:val="single" w:color="auto" w:sz="4" w:space="0"/>
              <w:right w:val="single" w:color="auto" w:sz="4" w:space="0"/>
            </w:tcBorders>
          </w:tcPr>
          <w:p>
            <w:pPr>
              <w:pStyle w:val="19"/>
              <w:spacing w:line="360" w:lineRule="auto"/>
              <w:ind w:left="5250"/>
              <w:rPr>
                <w:rFonts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kern w:val="44"/>
                <w:sz w:val="24"/>
                <w:szCs w:val="20"/>
              </w:rPr>
            </w:pPr>
          </w:p>
        </w:tc>
      </w:tr>
    </w:tbl>
    <w:p>
      <w:pPr>
        <w:spacing w:line="360" w:lineRule="auto"/>
        <w:rPr>
          <w:rFonts w:ascii="宋体" w:hAnsi="宋体" w:cs="宋体"/>
          <w:b/>
          <w:szCs w:val="21"/>
        </w:rPr>
      </w:pPr>
      <w:r>
        <w:rPr>
          <w:rFonts w:hint="eastAsia" w:ascii="宋体" w:hAnsi="宋体" w:cs="宋体"/>
          <w:b/>
          <w:szCs w:val="21"/>
        </w:rPr>
        <w:t>要求：</w:t>
      </w:r>
    </w:p>
    <w:p>
      <w:pPr>
        <w:spacing w:line="360" w:lineRule="auto"/>
        <w:ind w:left="437"/>
        <w:rPr>
          <w:rFonts w:ascii="宋体" w:hAnsi="宋体" w:cs="宋体"/>
          <w:szCs w:val="21"/>
        </w:rPr>
      </w:pPr>
      <w:r>
        <w:rPr>
          <w:rFonts w:hint="eastAsia" w:ascii="宋体" w:hAnsi="宋体" w:cs="宋体"/>
          <w:b/>
          <w:szCs w:val="21"/>
        </w:rPr>
        <w:t>1.</w:t>
      </w:r>
      <w:r>
        <w:rPr>
          <w:rFonts w:hint="eastAsia" w:ascii="宋体" w:hAnsi="宋体" w:cs="宋体"/>
          <w:szCs w:val="21"/>
        </w:rPr>
        <w:t>在填写时，如本表格不适合供应商的实际情况，可根据本表格式自行划表填写。</w:t>
      </w:r>
    </w:p>
    <w:p>
      <w:pPr>
        <w:pStyle w:val="56"/>
        <w:spacing w:line="360" w:lineRule="auto"/>
        <w:ind w:left="424" w:leftChars="202"/>
        <w:rPr>
          <w:rFonts w:ascii="宋体" w:hAnsi="宋体" w:cs="宋体"/>
          <w:szCs w:val="21"/>
        </w:rPr>
      </w:pPr>
      <w:r>
        <w:rPr>
          <w:rFonts w:hint="eastAsia" w:ascii="宋体" w:hAnsi="宋体" w:cs="宋体"/>
          <w:szCs w:val="21"/>
        </w:rPr>
        <w:t>2.附人员证书的扫描件；</w:t>
      </w:r>
    </w:p>
    <w:p>
      <w:pPr>
        <w:pStyle w:val="56"/>
        <w:spacing w:line="360" w:lineRule="auto"/>
        <w:ind w:left="424" w:hanging="424" w:hangingChars="202"/>
        <w:rPr>
          <w:rFonts w:ascii="宋体" w:hAnsi="宋体" w:cs="宋体"/>
          <w:szCs w:val="21"/>
        </w:rPr>
      </w:pPr>
      <w:r>
        <w:rPr>
          <w:rFonts w:hint="eastAsia" w:ascii="宋体" w:hAnsi="宋体" w:cs="宋体"/>
          <w:szCs w:val="21"/>
        </w:rPr>
        <w:t>　　3.出具上述人员在本单位服务的社保证明，按评标办法要求提供。</w:t>
      </w:r>
    </w:p>
    <w:p>
      <w:pPr>
        <w:snapToGrid w:val="0"/>
        <w:spacing w:before="50" w:afterLines="50" w:line="360" w:lineRule="auto"/>
        <w:jc w:val="left"/>
        <w:rPr>
          <w:rFonts w:ascii="宋体" w:hAnsi="宋体" w:cs="宋体"/>
          <w:sz w:val="24"/>
          <w:szCs w:val="20"/>
        </w:rPr>
      </w:pPr>
      <w:bookmarkStart w:id="598" w:name="_Hlk77860659"/>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bookmarkEnd w:id="598"/>
    <w:p>
      <w:pPr>
        <w:snapToGrid w:val="0"/>
        <w:spacing w:before="50" w:after="50" w:line="360" w:lineRule="auto"/>
        <w:rPr>
          <w:rFonts w:ascii="宋体" w:hAnsi="宋体" w:cs="宋体"/>
          <w:b/>
          <w:sz w:val="28"/>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b/>
          <w:sz w:val="28"/>
        </w:rPr>
      </w:pPr>
      <w:r>
        <w:rPr>
          <w:rFonts w:hint="eastAsia" w:ascii="宋体" w:hAnsi="宋体" w:cs="宋体"/>
          <w:b/>
          <w:sz w:val="28"/>
        </w:rPr>
        <w:t>附件12：</w:t>
      </w:r>
    </w:p>
    <w:p>
      <w:pPr>
        <w:pStyle w:val="18"/>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商务及技术响应表</w:t>
      </w:r>
    </w:p>
    <w:p>
      <w:pPr>
        <w:pStyle w:val="18"/>
        <w:adjustRightInd w:val="0"/>
        <w:snapToGrid w:val="0"/>
        <w:spacing w:line="360" w:lineRule="auto"/>
        <w:jc w:val="left"/>
        <w:rPr>
          <w:rFonts w:ascii="宋体" w:hAnsi="宋体" w:eastAsia="宋体" w:cs="宋体"/>
          <w:b/>
          <w:sz w:val="24"/>
        </w:rPr>
      </w:pPr>
      <w:r>
        <w:rPr>
          <w:rFonts w:hint="eastAsia" w:ascii="宋体" w:hAnsi="宋体" w:eastAsia="宋体" w:cs="宋体"/>
          <w:b/>
          <w:bCs/>
          <w:sz w:val="24"/>
        </w:rPr>
        <w:t>项目名称及编号：</w:t>
      </w:r>
    </w:p>
    <w:tbl>
      <w:tblPr>
        <w:tblStyle w:val="3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sz w:val="24"/>
              </w:rPr>
            </w:pPr>
            <w:r>
              <w:rPr>
                <w:rFonts w:hint="eastAsia" w:ascii="宋体"/>
                <w:b/>
                <w:sz w:val="24"/>
              </w:rPr>
              <w:t>序号</w:t>
            </w:r>
          </w:p>
        </w:tc>
        <w:tc>
          <w:tcPr>
            <w:tcW w:w="1785" w:type="dxa"/>
            <w:vAlign w:val="center"/>
          </w:tcPr>
          <w:p>
            <w:pPr>
              <w:rPr>
                <w:rFonts w:ascii="宋体"/>
                <w:b/>
                <w:sz w:val="24"/>
              </w:rPr>
            </w:pPr>
            <w:r>
              <w:rPr>
                <w:rFonts w:hint="eastAsia" w:ascii="宋体"/>
                <w:b/>
                <w:sz w:val="24"/>
              </w:rPr>
              <w:t xml:space="preserve">   内容</w:t>
            </w:r>
          </w:p>
        </w:tc>
        <w:tc>
          <w:tcPr>
            <w:tcW w:w="1785" w:type="dxa"/>
            <w:vAlign w:val="center"/>
          </w:tcPr>
          <w:p>
            <w:pPr>
              <w:ind w:left="53" w:leftChars="25" w:firstLine="241" w:firstLineChars="100"/>
              <w:rPr>
                <w:rFonts w:ascii="宋体"/>
                <w:b/>
                <w:sz w:val="24"/>
              </w:rPr>
            </w:pPr>
            <w:r>
              <w:rPr>
                <w:rFonts w:hint="eastAsia" w:ascii="宋体"/>
                <w:b/>
                <w:sz w:val="24"/>
              </w:rPr>
              <w:t>招标需求</w:t>
            </w:r>
          </w:p>
        </w:tc>
        <w:tc>
          <w:tcPr>
            <w:tcW w:w="1365" w:type="dxa"/>
            <w:vAlign w:val="center"/>
          </w:tcPr>
          <w:p>
            <w:pPr>
              <w:ind w:left="152"/>
              <w:rPr>
                <w:rFonts w:ascii="宋体"/>
                <w:b/>
                <w:sz w:val="24"/>
              </w:rPr>
            </w:pPr>
            <w:r>
              <w:rPr>
                <w:rFonts w:hint="eastAsia" w:ascii="宋体"/>
                <w:b/>
                <w:sz w:val="24"/>
              </w:rPr>
              <w:t>是否响应</w:t>
            </w:r>
          </w:p>
        </w:tc>
        <w:tc>
          <w:tcPr>
            <w:tcW w:w="2625" w:type="dxa"/>
            <w:vAlign w:val="center"/>
          </w:tcPr>
          <w:p>
            <w:pPr>
              <w:jc w:val="center"/>
              <w:rPr>
                <w:rFonts w:ascii="宋体"/>
                <w:b/>
                <w:sz w:val="24"/>
              </w:rPr>
            </w:pPr>
            <w:r>
              <w:rPr>
                <w:rFonts w:hint="eastAsia" w:asci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sz w:val="24"/>
                <w:highlight w:val="yellow"/>
              </w:rPr>
            </w:pPr>
          </w:p>
        </w:tc>
        <w:tc>
          <w:tcPr>
            <w:tcW w:w="1785" w:type="dxa"/>
            <w:vAlign w:val="center"/>
          </w:tcPr>
          <w:p>
            <w:pPr>
              <w:snapToGrid w:val="0"/>
              <w:jc w:val="center"/>
              <w:rPr>
                <w:rFonts w:ascii="宋体"/>
                <w:sz w:val="24"/>
                <w:highlight w:val="yellow"/>
              </w:rPr>
            </w:pPr>
          </w:p>
        </w:tc>
        <w:tc>
          <w:tcPr>
            <w:tcW w:w="1785" w:type="dxa"/>
            <w:vAlign w:val="center"/>
          </w:tcPr>
          <w:p>
            <w:pPr>
              <w:spacing w:line="400" w:lineRule="exact"/>
              <w:rPr>
                <w:rFonts w:ascii="宋体"/>
                <w:sz w:val="24"/>
                <w:highlight w:val="yellow"/>
              </w:rPr>
            </w:pPr>
          </w:p>
        </w:tc>
        <w:tc>
          <w:tcPr>
            <w:tcW w:w="1365" w:type="dxa"/>
            <w:vAlign w:val="center"/>
          </w:tcPr>
          <w:p>
            <w:pPr>
              <w:rPr>
                <w:rFonts w:ascii="宋体"/>
                <w:sz w:val="24"/>
                <w:highlight w:val="yellow"/>
              </w:rPr>
            </w:pPr>
          </w:p>
        </w:tc>
        <w:tc>
          <w:tcPr>
            <w:tcW w:w="2625" w:type="dxa"/>
            <w:vAlign w:val="center"/>
          </w:tcPr>
          <w:p>
            <w:pPr>
              <w:rPr>
                <w:rFonts w:asci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sz w:val="24"/>
                <w:highlight w:val="yellow"/>
              </w:rPr>
            </w:pPr>
          </w:p>
        </w:tc>
        <w:tc>
          <w:tcPr>
            <w:tcW w:w="1785" w:type="dxa"/>
            <w:vAlign w:val="center"/>
          </w:tcPr>
          <w:p>
            <w:pPr>
              <w:snapToGrid w:val="0"/>
              <w:jc w:val="center"/>
              <w:rPr>
                <w:rFonts w:ascii="宋体"/>
                <w:sz w:val="24"/>
                <w:highlight w:val="yellow"/>
              </w:rPr>
            </w:pPr>
          </w:p>
        </w:tc>
        <w:tc>
          <w:tcPr>
            <w:tcW w:w="1785" w:type="dxa"/>
            <w:vAlign w:val="center"/>
          </w:tcPr>
          <w:p>
            <w:pPr>
              <w:rPr>
                <w:rFonts w:ascii="宋体"/>
                <w:sz w:val="24"/>
                <w:highlight w:val="yellow"/>
              </w:rPr>
            </w:pPr>
          </w:p>
        </w:tc>
        <w:tc>
          <w:tcPr>
            <w:tcW w:w="1365" w:type="dxa"/>
            <w:vAlign w:val="center"/>
          </w:tcPr>
          <w:p>
            <w:pPr>
              <w:rPr>
                <w:rFonts w:ascii="宋体"/>
                <w:sz w:val="24"/>
                <w:highlight w:val="yellow"/>
              </w:rPr>
            </w:pPr>
          </w:p>
        </w:tc>
        <w:tc>
          <w:tcPr>
            <w:tcW w:w="2625" w:type="dxa"/>
            <w:vAlign w:val="center"/>
          </w:tcPr>
          <w:p>
            <w:pPr>
              <w:rPr>
                <w:rFonts w:asci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sz w:val="24"/>
                <w:highlight w:val="yellow"/>
              </w:rPr>
            </w:pPr>
          </w:p>
        </w:tc>
        <w:tc>
          <w:tcPr>
            <w:tcW w:w="1785" w:type="dxa"/>
            <w:vAlign w:val="center"/>
          </w:tcPr>
          <w:p>
            <w:pPr>
              <w:snapToGrid w:val="0"/>
              <w:jc w:val="center"/>
              <w:rPr>
                <w:rFonts w:ascii="宋体"/>
                <w:sz w:val="24"/>
                <w:highlight w:val="yellow"/>
              </w:rPr>
            </w:pPr>
          </w:p>
        </w:tc>
        <w:tc>
          <w:tcPr>
            <w:tcW w:w="1785" w:type="dxa"/>
            <w:vAlign w:val="center"/>
          </w:tcPr>
          <w:p>
            <w:pPr>
              <w:rPr>
                <w:rFonts w:ascii="宋体"/>
                <w:sz w:val="24"/>
                <w:highlight w:val="yellow"/>
              </w:rPr>
            </w:pPr>
          </w:p>
        </w:tc>
        <w:tc>
          <w:tcPr>
            <w:tcW w:w="1365" w:type="dxa"/>
            <w:vAlign w:val="center"/>
          </w:tcPr>
          <w:p>
            <w:pPr>
              <w:rPr>
                <w:rFonts w:ascii="宋体"/>
                <w:sz w:val="24"/>
                <w:highlight w:val="yellow"/>
              </w:rPr>
            </w:pPr>
          </w:p>
        </w:tc>
        <w:tc>
          <w:tcPr>
            <w:tcW w:w="2625" w:type="dxa"/>
            <w:vAlign w:val="center"/>
          </w:tcPr>
          <w:p>
            <w:pPr>
              <w:rPr>
                <w:rFonts w:asci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highlight w:val="yellow"/>
              </w:rPr>
            </w:pPr>
          </w:p>
        </w:tc>
        <w:tc>
          <w:tcPr>
            <w:tcW w:w="1785" w:type="dxa"/>
            <w:vAlign w:val="center"/>
          </w:tcPr>
          <w:p>
            <w:pPr>
              <w:snapToGrid w:val="0"/>
              <w:jc w:val="center"/>
              <w:rPr>
                <w:rFonts w:ascii="宋体"/>
                <w:sz w:val="24"/>
                <w:highlight w:val="yellow"/>
              </w:rPr>
            </w:pPr>
          </w:p>
        </w:tc>
        <w:tc>
          <w:tcPr>
            <w:tcW w:w="1785" w:type="dxa"/>
            <w:vAlign w:val="center"/>
          </w:tcPr>
          <w:p>
            <w:pPr>
              <w:rPr>
                <w:rFonts w:ascii="宋体"/>
                <w:sz w:val="24"/>
                <w:highlight w:val="yellow"/>
              </w:rPr>
            </w:pPr>
          </w:p>
        </w:tc>
        <w:tc>
          <w:tcPr>
            <w:tcW w:w="1365" w:type="dxa"/>
            <w:vAlign w:val="center"/>
          </w:tcPr>
          <w:p>
            <w:pPr>
              <w:rPr>
                <w:rFonts w:ascii="宋体"/>
                <w:sz w:val="24"/>
                <w:highlight w:val="yellow"/>
              </w:rPr>
            </w:pPr>
          </w:p>
        </w:tc>
        <w:tc>
          <w:tcPr>
            <w:tcW w:w="2625" w:type="dxa"/>
            <w:vAlign w:val="center"/>
          </w:tcPr>
          <w:p>
            <w:pPr>
              <w:rPr>
                <w:rFonts w:asci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bl>
    <w:p>
      <w:pPr>
        <w:pStyle w:val="18"/>
        <w:adjustRightInd w:val="0"/>
        <w:snapToGrid w:val="0"/>
        <w:spacing w:line="360" w:lineRule="auto"/>
        <w:rPr>
          <w:rFonts w:ascii="宋体" w:hAnsi="宋体" w:eastAsia="宋体" w:cs="宋体"/>
          <w:sz w:val="24"/>
        </w:rPr>
      </w:pPr>
    </w:p>
    <w:p>
      <w:pPr>
        <w:snapToGrid w:val="0"/>
        <w:spacing w:before="50" w:afterLines="50" w:line="360" w:lineRule="auto"/>
        <w:jc w:val="left"/>
        <w:rPr>
          <w:rFonts w:ascii="宋体" w:hAnsi="宋体" w:cs="宋体"/>
          <w:sz w:val="24"/>
          <w:szCs w:val="20"/>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pStyle w:val="29"/>
        <w:rPr>
          <w:rFonts w:ascii="宋体" w:hAnsi="宋体" w:cs="宋体"/>
        </w:rPr>
      </w:pPr>
    </w:p>
    <w:p>
      <w:pPr>
        <w:rPr>
          <w:rFonts w:ascii="宋体" w:hAnsi="宋体" w:cs="宋体"/>
        </w:rPr>
      </w:pPr>
    </w:p>
    <w:p>
      <w:pPr>
        <w:pStyle w:val="14"/>
        <w:ind w:firstLine="210"/>
        <w:rPr>
          <w:rFonts w:ascii="宋体" w:hAnsi="宋体" w:cs="宋体"/>
        </w:rPr>
      </w:pPr>
    </w:p>
    <w:p>
      <w:pPr>
        <w:pStyle w:val="14"/>
        <w:ind w:firstLine="210"/>
        <w:rPr>
          <w:rFonts w:ascii="宋体" w:hAnsi="宋体" w:cs="宋体"/>
        </w:rPr>
      </w:pPr>
    </w:p>
    <w:p>
      <w:pPr>
        <w:pStyle w:val="14"/>
        <w:ind w:firstLine="210"/>
        <w:rPr>
          <w:rFonts w:ascii="宋体" w:hAnsi="宋体" w:cs="宋体"/>
        </w:rPr>
      </w:pPr>
    </w:p>
    <w:p>
      <w:pPr>
        <w:pStyle w:val="14"/>
        <w:ind w:firstLine="210"/>
        <w:rPr>
          <w:rFonts w:ascii="宋体" w:hAnsi="宋体" w:cs="宋体"/>
        </w:rPr>
      </w:pPr>
    </w:p>
    <w:p>
      <w:pPr>
        <w:pStyle w:val="14"/>
        <w:ind w:firstLine="210"/>
        <w:rPr>
          <w:rFonts w:ascii="宋体" w:hAnsi="宋体" w:cs="宋体"/>
        </w:rPr>
      </w:pPr>
    </w:p>
    <w:p>
      <w:pPr>
        <w:spacing w:line="360" w:lineRule="auto"/>
        <w:rPr>
          <w:rFonts w:ascii="宋体" w:hAnsi="宋体" w:cs="宋体"/>
          <w:b/>
          <w:sz w:val="28"/>
        </w:rPr>
      </w:pPr>
      <w:r>
        <w:rPr>
          <w:rFonts w:hint="eastAsia" w:ascii="宋体" w:hAnsi="宋体" w:cs="宋体"/>
          <w:b/>
          <w:sz w:val="28"/>
        </w:rPr>
        <w:t>附件13：</w:t>
      </w:r>
    </w:p>
    <w:p>
      <w:pPr>
        <w:pStyle w:val="29"/>
        <w:rPr>
          <w:rFonts w:ascii="宋体" w:hAnsi="宋体" w:cs="宋体"/>
        </w:rPr>
      </w:pPr>
      <w:r>
        <w:rPr>
          <w:rFonts w:hint="eastAsia" w:ascii="宋体" w:hAnsi="宋体" w:cs="宋体"/>
        </w:rPr>
        <w:t>客观分自评表</w:t>
      </w:r>
    </w:p>
    <w:tbl>
      <w:tblPr>
        <w:tblStyle w:val="32"/>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301"/>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序号</w:t>
            </w:r>
          </w:p>
        </w:tc>
        <w:tc>
          <w:tcPr>
            <w:tcW w:w="7312" w:type="dxa"/>
            <w:gridSpan w:val="2"/>
            <w:tcBorders>
              <w:top w:val="single" w:color="auto" w:sz="6" w:space="0"/>
              <w:left w:val="single" w:color="auto" w:sz="6" w:space="0"/>
              <w:bottom w:val="single" w:color="auto" w:sz="6" w:space="0"/>
              <w:right w:val="single" w:color="auto" w:sz="4"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自评内容</w:t>
            </w:r>
          </w:p>
        </w:tc>
        <w:tc>
          <w:tcPr>
            <w:tcW w:w="1024" w:type="dxa"/>
            <w:tcBorders>
              <w:top w:val="single" w:color="auto" w:sz="6" w:space="0"/>
              <w:left w:val="single" w:color="auto" w:sz="4"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sz w:val="24"/>
              </w:rPr>
            </w:pPr>
            <w:r>
              <w:rPr>
                <w:rFonts w:hint="eastAsia" w:ascii="宋体" w:hAnsi="宋体" w:cs="宋体"/>
                <w:sz w:val="24"/>
              </w:rPr>
              <w:t>1</w:t>
            </w:r>
          </w:p>
        </w:tc>
        <w:tc>
          <w:tcPr>
            <w:tcW w:w="1011"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szCs w:val="21"/>
              </w:rPr>
            </w:pPr>
          </w:p>
        </w:tc>
        <w:tc>
          <w:tcPr>
            <w:tcW w:w="630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p>
        </w:tc>
        <w:tc>
          <w:tcPr>
            <w:tcW w:w="1024" w:type="dxa"/>
            <w:tcBorders>
              <w:top w:val="single" w:color="auto" w:sz="6" w:space="0"/>
              <w:left w:val="single" w:color="auto" w:sz="4" w:space="0"/>
              <w:bottom w:val="single" w:color="auto" w:sz="6" w:space="0"/>
              <w:right w:val="single" w:color="auto" w:sz="6" w:space="0"/>
            </w:tcBorders>
          </w:tcPr>
          <w:p>
            <w:pPr>
              <w:pStyle w:val="86"/>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sz w:val="24"/>
              </w:rPr>
            </w:pPr>
            <w:r>
              <w:rPr>
                <w:rFonts w:hint="eastAsia" w:ascii="宋体" w:hAnsi="宋体" w:cs="宋体"/>
                <w:sz w:val="24"/>
              </w:rPr>
              <w:t>2</w:t>
            </w:r>
          </w:p>
        </w:tc>
        <w:tc>
          <w:tcPr>
            <w:tcW w:w="1011" w:type="dxa"/>
            <w:tcBorders>
              <w:top w:val="single" w:color="auto" w:sz="6" w:space="0"/>
              <w:left w:val="single" w:color="auto" w:sz="6" w:space="0"/>
              <w:bottom w:val="single" w:color="auto" w:sz="6" w:space="0"/>
              <w:right w:val="single" w:color="auto" w:sz="6" w:space="0"/>
            </w:tcBorders>
            <w:vAlign w:val="center"/>
          </w:tcPr>
          <w:p>
            <w:pPr>
              <w:pStyle w:val="92"/>
              <w:rPr>
                <w:rFonts w:ascii="宋体" w:hAnsi="宋体" w:eastAsia="宋体" w:cs="宋体"/>
                <w:kern w:val="2"/>
                <w:sz w:val="21"/>
                <w:szCs w:val="21"/>
              </w:rPr>
            </w:pPr>
          </w:p>
        </w:tc>
        <w:tc>
          <w:tcPr>
            <w:tcW w:w="6301" w:type="dxa"/>
            <w:tcBorders>
              <w:top w:val="single" w:color="auto" w:sz="6" w:space="0"/>
              <w:left w:val="single" w:color="auto" w:sz="6" w:space="0"/>
              <w:bottom w:val="single" w:color="auto" w:sz="6" w:space="0"/>
              <w:right w:val="single" w:color="auto" w:sz="4" w:space="0"/>
            </w:tcBorders>
          </w:tcPr>
          <w:p>
            <w:pPr>
              <w:pStyle w:val="92"/>
              <w:rPr>
                <w:rFonts w:ascii="宋体" w:hAnsi="宋体" w:eastAsia="宋体" w:cs="宋体"/>
                <w:kern w:val="2"/>
                <w:sz w:val="21"/>
                <w:szCs w:val="21"/>
              </w:rPr>
            </w:pPr>
          </w:p>
        </w:tc>
        <w:tc>
          <w:tcPr>
            <w:tcW w:w="1024" w:type="dxa"/>
            <w:tcBorders>
              <w:top w:val="single" w:color="auto" w:sz="6" w:space="0"/>
              <w:left w:val="single" w:color="auto" w:sz="4" w:space="0"/>
              <w:bottom w:val="single" w:color="auto" w:sz="6" w:space="0"/>
              <w:right w:val="single" w:color="auto" w:sz="6" w:space="0"/>
            </w:tcBorders>
          </w:tcPr>
          <w:p>
            <w:pPr>
              <w:pStyle w:val="86"/>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sz w:val="24"/>
              </w:rPr>
            </w:pPr>
            <w:r>
              <w:rPr>
                <w:rFonts w:hint="eastAsia" w:ascii="宋体" w:hAnsi="宋体" w:cs="宋体"/>
                <w:sz w:val="24"/>
              </w:rPr>
              <w:t>3</w:t>
            </w:r>
          </w:p>
        </w:tc>
        <w:tc>
          <w:tcPr>
            <w:tcW w:w="1011" w:type="dxa"/>
            <w:tcBorders>
              <w:top w:val="single" w:color="auto" w:sz="6" w:space="0"/>
              <w:left w:val="single" w:color="auto" w:sz="6" w:space="0"/>
              <w:bottom w:val="single" w:color="auto" w:sz="6" w:space="0"/>
              <w:right w:val="single" w:color="auto" w:sz="6" w:space="0"/>
            </w:tcBorders>
            <w:vAlign w:val="center"/>
          </w:tcPr>
          <w:p>
            <w:pPr>
              <w:pStyle w:val="92"/>
              <w:rPr>
                <w:rFonts w:ascii="宋体" w:hAnsi="宋体" w:eastAsia="宋体" w:cs="宋体"/>
                <w:kern w:val="2"/>
                <w:sz w:val="21"/>
                <w:szCs w:val="21"/>
              </w:rPr>
            </w:pPr>
          </w:p>
        </w:tc>
        <w:tc>
          <w:tcPr>
            <w:tcW w:w="6301" w:type="dxa"/>
            <w:tcBorders>
              <w:top w:val="single" w:color="auto" w:sz="6" w:space="0"/>
              <w:left w:val="single" w:color="auto" w:sz="6" w:space="0"/>
              <w:bottom w:val="single" w:color="auto" w:sz="6" w:space="0"/>
              <w:right w:val="single" w:color="auto" w:sz="4" w:space="0"/>
            </w:tcBorders>
            <w:vAlign w:val="center"/>
          </w:tcPr>
          <w:p>
            <w:pPr>
              <w:pStyle w:val="92"/>
              <w:rPr>
                <w:rFonts w:ascii="宋体" w:hAnsi="宋体" w:eastAsia="宋体" w:cs="宋体"/>
                <w:kern w:val="2"/>
                <w:sz w:val="21"/>
                <w:szCs w:val="21"/>
              </w:rPr>
            </w:pPr>
          </w:p>
        </w:tc>
        <w:tc>
          <w:tcPr>
            <w:tcW w:w="1024" w:type="dxa"/>
            <w:tcBorders>
              <w:top w:val="single" w:color="auto" w:sz="6" w:space="0"/>
              <w:left w:val="single" w:color="auto" w:sz="4" w:space="0"/>
              <w:bottom w:val="single" w:color="auto" w:sz="6" w:space="0"/>
              <w:right w:val="single" w:color="auto" w:sz="6" w:space="0"/>
            </w:tcBorders>
          </w:tcPr>
          <w:p>
            <w:pPr>
              <w:pStyle w:val="86"/>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sz w:val="24"/>
              </w:rPr>
            </w:pPr>
            <w:r>
              <w:rPr>
                <w:rFonts w:hint="eastAsia" w:ascii="宋体" w:hAnsi="宋体" w:cs="宋体"/>
                <w:sz w:val="24"/>
              </w:rPr>
              <w:t>4</w:t>
            </w:r>
          </w:p>
        </w:tc>
        <w:tc>
          <w:tcPr>
            <w:tcW w:w="1011" w:type="dxa"/>
            <w:tcBorders>
              <w:top w:val="single" w:color="auto" w:sz="6" w:space="0"/>
              <w:left w:val="single" w:color="auto" w:sz="6" w:space="0"/>
              <w:bottom w:val="single" w:color="auto" w:sz="6" w:space="0"/>
              <w:right w:val="single" w:color="auto" w:sz="6" w:space="0"/>
            </w:tcBorders>
            <w:vAlign w:val="center"/>
          </w:tcPr>
          <w:p>
            <w:pPr>
              <w:pStyle w:val="92"/>
              <w:ind w:right="-172" w:rightChars="-82"/>
              <w:rPr>
                <w:rFonts w:ascii="宋体" w:hAnsi="宋体" w:eastAsia="宋体" w:cs="宋体"/>
                <w:kern w:val="2"/>
                <w:sz w:val="21"/>
                <w:szCs w:val="21"/>
              </w:rPr>
            </w:pPr>
          </w:p>
        </w:tc>
        <w:tc>
          <w:tcPr>
            <w:tcW w:w="6301" w:type="dxa"/>
            <w:tcBorders>
              <w:top w:val="single" w:color="auto" w:sz="6" w:space="0"/>
              <w:left w:val="single" w:color="auto" w:sz="6" w:space="0"/>
              <w:bottom w:val="single" w:color="auto" w:sz="6" w:space="0"/>
              <w:right w:val="single" w:color="auto" w:sz="4" w:space="0"/>
            </w:tcBorders>
            <w:vAlign w:val="center"/>
          </w:tcPr>
          <w:p>
            <w:pPr>
              <w:pStyle w:val="92"/>
              <w:rPr>
                <w:rFonts w:ascii="宋体" w:hAnsi="宋体" w:eastAsia="宋体" w:cs="宋体"/>
                <w:kern w:val="2"/>
                <w:sz w:val="21"/>
                <w:szCs w:val="21"/>
              </w:rPr>
            </w:pPr>
          </w:p>
        </w:tc>
        <w:tc>
          <w:tcPr>
            <w:tcW w:w="1024" w:type="dxa"/>
            <w:tcBorders>
              <w:top w:val="single" w:color="auto" w:sz="6" w:space="0"/>
              <w:left w:val="single" w:color="auto" w:sz="4" w:space="0"/>
              <w:bottom w:val="single" w:color="auto" w:sz="6" w:space="0"/>
              <w:right w:val="single" w:color="auto" w:sz="6" w:space="0"/>
            </w:tcBorders>
          </w:tcPr>
          <w:p>
            <w:pPr>
              <w:pStyle w:val="86"/>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sz w:val="24"/>
              </w:rPr>
            </w:pPr>
            <w:r>
              <w:rPr>
                <w:rFonts w:hint="eastAsia" w:ascii="宋体" w:hAnsi="宋体" w:cs="宋体"/>
                <w:sz w:val="24"/>
              </w:rPr>
              <w:t>...</w:t>
            </w:r>
          </w:p>
        </w:tc>
        <w:tc>
          <w:tcPr>
            <w:tcW w:w="1011" w:type="dxa"/>
            <w:tcBorders>
              <w:top w:val="single" w:color="auto" w:sz="6" w:space="0"/>
              <w:left w:val="single" w:color="auto" w:sz="6" w:space="0"/>
              <w:bottom w:val="single" w:color="auto" w:sz="6" w:space="0"/>
              <w:right w:val="single" w:color="auto" w:sz="6" w:space="0"/>
            </w:tcBorders>
            <w:vAlign w:val="center"/>
          </w:tcPr>
          <w:p>
            <w:pPr>
              <w:pStyle w:val="92"/>
              <w:ind w:right="-172" w:rightChars="-82"/>
              <w:rPr>
                <w:rFonts w:ascii="宋体" w:hAnsi="宋体" w:eastAsia="宋体" w:cs="宋体"/>
                <w:kern w:val="2"/>
                <w:sz w:val="21"/>
                <w:szCs w:val="21"/>
              </w:rPr>
            </w:pPr>
          </w:p>
        </w:tc>
        <w:tc>
          <w:tcPr>
            <w:tcW w:w="6301" w:type="dxa"/>
            <w:tcBorders>
              <w:top w:val="single" w:color="auto" w:sz="6" w:space="0"/>
              <w:left w:val="single" w:color="auto" w:sz="6" w:space="0"/>
              <w:bottom w:val="single" w:color="auto" w:sz="6" w:space="0"/>
              <w:right w:val="single" w:color="auto" w:sz="4" w:space="0"/>
            </w:tcBorders>
            <w:vAlign w:val="center"/>
          </w:tcPr>
          <w:p>
            <w:pPr>
              <w:pStyle w:val="92"/>
              <w:rPr>
                <w:rFonts w:ascii="宋体" w:hAnsi="宋体" w:eastAsia="宋体" w:cs="宋体"/>
                <w:kern w:val="2"/>
                <w:sz w:val="21"/>
                <w:szCs w:val="21"/>
              </w:rPr>
            </w:pPr>
          </w:p>
        </w:tc>
        <w:tc>
          <w:tcPr>
            <w:tcW w:w="1024" w:type="dxa"/>
            <w:tcBorders>
              <w:top w:val="single" w:color="auto" w:sz="6" w:space="0"/>
              <w:left w:val="single" w:color="auto" w:sz="4" w:space="0"/>
              <w:bottom w:val="single" w:color="auto" w:sz="6" w:space="0"/>
              <w:right w:val="single" w:color="auto" w:sz="6" w:space="0"/>
            </w:tcBorders>
          </w:tcPr>
          <w:p>
            <w:pPr>
              <w:pStyle w:val="86"/>
              <w:rPr>
                <w:rFonts w:ascii="宋体" w:hAnsi="宋体" w:eastAsia="宋体" w:cs="宋体"/>
                <w:kern w:val="2"/>
                <w:sz w:val="24"/>
                <w:szCs w:val="24"/>
              </w:rPr>
            </w:pPr>
          </w:p>
        </w:tc>
      </w:tr>
    </w:tbl>
    <w:p>
      <w:pPr>
        <w:spacing w:line="360" w:lineRule="auto"/>
        <w:ind w:left="420"/>
        <w:rPr>
          <w:rFonts w:ascii="宋体" w:hAnsi="宋体" w:cs="宋体"/>
          <w:sz w:val="24"/>
        </w:rPr>
      </w:pPr>
      <w:r>
        <w:rPr>
          <w:rFonts w:hint="eastAsia" w:ascii="宋体" w:hAnsi="宋体" w:cs="宋体"/>
          <w:sz w:val="24"/>
        </w:rPr>
        <w:t>注：以上自评应诚实填写，最终得分以评标专家评定为准。</w:t>
      </w:r>
    </w:p>
    <w:p>
      <w:pPr>
        <w:spacing w:line="360" w:lineRule="auto"/>
        <w:ind w:left="420"/>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p>
      <w:pPr>
        <w:snapToGrid w:val="0"/>
        <w:spacing w:beforeLines="50" w:after="50" w:line="360" w:lineRule="auto"/>
        <w:rPr>
          <w:rFonts w:ascii="宋体" w:hAnsi="宋体" w:cs="宋体"/>
          <w:b/>
          <w:sz w:val="28"/>
        </w:rPr>
      </w:pPr>
    </w:p>
    <w:p>
      <w:pPr>
        <w:pStyle w:val="29"/>
        <w:jc w:val="both"/>
        <w:rPr>
          <w:rFonts w:ascii="宋体" w:hAnsi="宋体" w:cs="宋体"/>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p>
    <w:p>
      <w:pPr>
        <w:snapToGrid w:val="0"/>
        <w:spacing w:beforeLines="50" w:after="50" w:line="360" w:lineRule="auto"/>
        <w:rPr>
          <w:rFonts w:ascii="宋体" w:hAnsi="宋体" w:cs="宋体"/>
          <w:b/>
          <w:sz w:val="28"/>
        </w:rPr>
      </w:pPr>
      <w:r>
        <w:rPr>
          <w:rFonts w:hint="eastAsia" w:ascii="宋体" w:hAnsi="宋体" w:cs="宋体"/>
          <w:b/>
          <w:sz w:val="28"/>
        </w:rPr>
        <w:t>附件14：</w:t>
      </w:r>
    </w:p>
    <w:p>
      <w:pPr>
        <w:pStyle w:val="50"/>
        <w:spacing w:line="360" w:lineRule="auto"/>
        <w:jc w:val="center"/>
        <w:rPr>
          <w:rFonts w:ascii="宋体" w:hAnsi="宋体" w:cs="宋体"/>
          <w:b/>
          <w:sz w:val="32"/>
          <w:szCs w:val="32"/>
        </w:rPr>
      </w:pPr>
      <w:r>
        <w:rPr>
          <w:rFonts w:hint="eastAsia" w:ascii="宋体" w:hAnsi="宋体" w:cs="宋体"/>
          <w:b/>
          <w:sz w:val="32"/>
          <w:szCs w:val="32"/>
        </w:rPr>
        <w:t>证书一览表</w:t>
      </w:r>
    </w:p>
    <w:p>
      <w:pPr>
        <w:pStyle w:val="18"/>
        <w:adjustRightInd w:val="0"/>
        <w:snapToGrid w:val="0"/>
        <w:spacing w:line="360" w:lineRule="auto"/>
        <w:jc w:val="left"/>
        <w:rPr>
          <w:rFonts w:ascii="宋体" w:hAnsi="宋体" w:eastAsia="宋体" w:cs="宋体"/>
          <w:b/>
          <w:sz w:val="24"/>
        </w:rPr>
      </w:pPr>
      <w:r>
        <w:rPr>
          <w:rFonts w:hint="eastAsia" w:ascii="宋体" w:hAnsi="宋体" w:eastAsia="宋体" w:cs="宋体"/>
          <w:b/>
          <w:bCs/>
          <w:sz w:val="24"/>
        </w:rPr>
        <w:t>项目名称及编号：</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0"/>
              <w:spacing w:line="360" w:lineRule="auto"/>
              <w:jc w:val="center"/>
              <w:rPr>
                <w:rFonts w:ascii="宋体" w:hAnsi="宋体" w:cs="宋体"/>
                <w:b/>
                <w:bCs/>
                <w:sz w:val="24"/>
              </w:rPr>
            </w:pPr>
            <w:r>
              <w:rPr>
                <w:rFonts w:hint="eastAsia" w:ascii="宋体" w:hAnsi="宋体" w:cs="宋体"/>
                <w:b/>
                <w:bCs/>
                <w:sz w:val="24"/>
              </w:rPr>
              <w:t>证书名称</w:t>
            </w:r>
          </w:p>
        </w:tc>
        <w:tc>
          <w:tcPr>
            <w:tcW w:w="2258" w:type="dxa"/>
            <w:tcBorders>
              <w:top w:val="single" w:color="auto" w:sz="4" w:space="0"/>
              <w:bottom w:val="single" w:color="auto" w:sz="4" w:space="0"/>
            </w:tcBorders>
          </w:tcPr>
          <w:p>
            <w:pPr>
              <w:pStyle w:val="50"/>
              <w:spacing w:line="360" w:lineRule="auto"/>
              <w:jc w:val="center"/>
              <w:rPr>
                <w:rFonts w:ascii="宋体" w:hAnsi="宋体" w:cs="宋体"/>
                <w:b/>
                <w:bCs/>
                <w:sz w:val="24"/>
              </w:rPr>
            </w:pPr>
            <w:r>
              <w:rPr>
                <w:rFonts w:hint="eastAsia" w:ascii="宋体" w:hAnsi="宋体" w:cs="宋体"/>
                <w:b/>
                <w:bCs/>
                <w:sz w:val="24"/>
              </w:rPr>
              <w:t>发证单位</w:t>
            </w:r>
          </w:p>
        </w:tc>
        <w:tc>
          <w:tcPr>
            <w:tcW w:w="2260" w:type="dxa"/>
            <w:tcBorders>
              <w:top w:val="single" w:color="auto" w:sz="4" w:space="0"/>
              <w:bottom w:val="single" w:color="auto" w:sz="4" w:space="0"/>
            </w:tcBorders>
          </w:tcPr>
          <w:p>
            <w:pPr>
              <w:pStyle w:val="50"/>
              <w:spacing w:line="360" w:lineRule="auto"/>
              <w:jc w:val="center"/>
              <w:rPr>
                <w:rFonts w:ascii="宋体" w:hAnsi="宋体" w:cs="宋体"/>
                <w:b/>
                <w:bCs/>
                <w:sz w:val="24"/>
              </w:rPr>
            </w:pPr>
            <w:r>
              <w:rPr>
                <w:rFonts w:hint="eastAsia" w:ascii="宋体" w:hAnsi="宋体" w:cs="宋体"/>
                <w:b/>
                <w:bCs/>
                <w:sz w:val="24"/>
              </w:rPr>
              <w:t>证书等级</w:t>
            </w:r>
          </w:p>
        </w:tc>
        <w:tc>
          <w:tcPr>
            <w:tcW w:w="2047" w:type="dxa"/>
            <w:tcBorders>
              <w:top w:val="single" w:color="auto" w:sz="4" w:space="0"/>
              <w:bottom w:val="single" w:color="auto" w:sz="4" w:space="0"/>
              <w:right w:val="single" w:color="auto" w:sz="4" w:space="0"/>
            </w:tcBorders>
          </w:tcPr>
          <w:p>
            <w:pPr>
              <w:pStyle w:val="50"/>
              <w:spacing w:line="360" w:lineRule="auto"/>
              <w:jc w:val="center"/>
              <w:rPr>
                <w:rFonts w:ascii="宋体" w:hAnsi="宋体" w:cs="宋体"/>
                <w:b/>
                <w:bCs/>
                <w:sz w:val="24"/>
              </w:rPr>
            </w:pPr>
            <w:r>
              <w:rPr>
                <w:rFonts w:hint="eastAsia" w:ascii="宋体" w:hAnsi="宋体" w:cs="宋体"/>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0"/>
              <w:spacing w:line="360" w:lineRule="auto"/>
              <w:jc w:val="center"/>
              <w:rPr>
                <w:rFonts w:ascii="宋体" w:hAnsi="宋体" w:cs="宋体"/>
                <w:szCs w:val="21"/>
              </w:rPr>
            </w:pPr>
          </w:p>
        </w:tc>
        <w:tc>
          <w:tcPr>
            <w:tcW w:w="2258" w:type="dxa"/>
            <w:tcBorders>
              <w:top w:val="single" w:color="auto" w:sz="4" w:space="0"/>
            </w:tcBorders>
          </w:tcPr>
          <w:p>
            <w:pPr>
              <w:pStyle w:val="50"/>
              <w:spacing w:line="360" w:lineRule="auto"/>
              <w:jc w:val="center"/>
              <w:rPr>
                <w:rFonts w:ascii="宋体" w:hAnsi="宋体" w:cs="宋体"/>
                <w:szCs w:val="21"/>
              </w:rPr>
            </w:pPr>
          </w:p>
        </w:tc>
        <w:tc>
          <w:tcPr>
            <w:tcW w:w="2260" w:type="dxa"/>
            <w:tcBorders>
              <w:top w:val="single" w:color="auto" w:sz="4" w:space="0"/>
            </w:tcBorders>
          </w:tcPr>
          <w:p>
            <w:pPr>
              <w:pStyle w:val="50"/>
              <w:spacing w:line="360" w:lineRule="auto"/>
              <w:jc w:val="center"/>
              <w:rPr>
                <w:rFonts w:ascii="宋体" w:hAnsi="宋体" w:cs="宋体"/>
                <w:szCs w:val="21"/>
              </w:rPr>
            </w:pPr>
          </w:p>
        </w:tc>
        <w:tc>
          <w:tcPr>
            <w:tcW w:w="2047" w:type="dxa"/>
            <w:tcBorders>
              <w:top w:val="single" w:color="auto" w:sz="4" w:space="0"/>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ascii="宋体" w:hAnsi="宋体" w:cs="宋体"/>
                <w:szCs w:val="21"/>
              </w:rPr>
            </w:pPr>
          </w:p>
        </w:tc>
        <w:tc>
          <w:tcPr>
            <w:tcW w:w="2258" w:type="dxa"/>
          </w:tcPr>
          <w:p>
            <w:pPr>
              <w:pStyle w:val="50"/>
              <w:spacing w:line="360" w:lineRule="auto"/>
              <w:jc w:val="center"/>
              <w:rPr>
                <w:rFonts w:ascii="宋体" w:hAnsi="宋体" w:cs="宋体"/>
                <w:szCs w:val="21"/>
              </w:rPr>
            </w:pPr>
          </w:p>
        </w:tc>
        <w:tc>
          <w:tcPr>
            <w:tcW w:w="2260" w:type="dxa"/>
          </w:tcPr>
          <w:p>
            <w:pPr>
              <w:pStyle w:val="50"/>
              <w:spacing w:line="360" w:lineRule="auto"/>
              <w:jc w:val="center"/>
              <w:rPr>
                <w:rFonts w:ascii="宋体" w:hAnsi="宋体" w:cs="宋体"/>
                <w:szCs w:val="21"/>
              </w:rPr>
            </w:pPr>
          </w:p>
        </w:tc>
        <w:tc>
          <w:tcPr>
            <w:tcW w:w="2047" w:type="dxa"/>
            <w:tcBorders>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ascii="宋体" w:hAnsi="宋体" w:cs="宋体"/>
                <w:szCs w:val="21"/>
              </w:rPr>
            </w:pPr>
          </w:p>
        </w:tc>
        <w:tc>
          <w:tcPr>
            <w:tcW w:w="2258" w:type="dxa"/>
          </w:tcPr>
          <w:p>
            <w:pPr>
              <w:pStyle w:val="50"/>
              <w:spacing w:line="360" w:lineRule="auto"/>
              <w:jc w:val="center"/>
              <w:rPr>
                <w:rFonts w:ascii="宋体" w:hAnsi="宋体" w:cs="宋体"/>
                <w:szCs w:val="21"/>
              </w:rPr>
            </w:pPr>
          </w:p>
        </w:tc>
        <w:tc>
          <w:tcPr>
            <w:tcW w:w="2260" w:type="dxa"/>
          </w:tcPr>
          <w:p>
            <w:pPr>
              <w:pStyle w:val="50"/>
              <w:spacing w:line="360" w:lineRule="auto"/>
              <w:jc w:val="center"/>
              <w:rPr>
                <w:rFonts w:ascii="宋体" w:hAnsi="宋体" w:cs="宋体"/>
                <w:szCs w:val="21"/>
              </w:rPr>
            </w:pPr>
          </w:p>
        </w:tc>
        <w:tc>
          <w:tcPr>
            <w:tcW w:w="2047" w:type="dxa"/>
            <w:tcBorders>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ascii="宋体" w:hAnsi="宋体" w:cs="宋体"/>
                <w:szCs w:val="21"/>
              </w:rPr>
            </w:pPr>
          </w:p>
        </w:tc>
        <w:tc>
          <w:tcPr>
            <w:tcW w:w="2258" w:type="dxa"/>
          </w:tcPr>
          <w:p>
            <w:pPr>
              <w:pStyle w:val="50"/>
              <w:spacing w:line="360" w:lineRule="auto"/>
              <w:jc w:val="center"/>
              <w:rPr>
                <w:rFonts w:ascii="宋体" w:hAnsi="宋体" w:cs="宋体"/>
                <w:szCs w:val="21"/>
              </w:rPr>
            </w:pPr>
          </w:p>
        </w:tc>
        <w:tc>
          <w:tcPr>
            <w:tcW w:w="2260" w:type="dxa"/>
          </w:tcPr>
          <w:p>
            <w:pPr>
              <w:pStyle w:val="50"/>
              <w:spacing w:line="360" w:lineRule="auto"/>
              <w:jc w:val="center"/>
              <w:rPr>
                <w:rFonts w:ascii="宋体" w:hAnsi="宋体" w:cs="宋体"/>
                <w:szCs w:val="21"/>
              </w:rPr>
            </w:pPr>
          </w:p>
        </w:tc>
        <w:tc>
          <w:tcPr>
            <w:tcW w:w="2047" w:type="dxa"/>
            <w:tcBorders>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ascii="宋体" w:hAnsi="宋体" w:cs="宋体"/>
                <w:szCs w:val="21"/>
              </w:rPr>
            </w:pPr>
          </w:p>
        </w:tc>
        <w:tc>
          <w:tcPr>
            <w:tcW w:w="2258" w:type="dxa"/>
          </w:tcPr>
          <w:p>
            <w:pPr>
              <w:pStyle w:val="50"/>
              <w:spacing w:line="360" w:lineRule="auto"/>
              <w:jc w:val="center"/>
              <w:rPr>
                <w:rFonts w:ascii="宋体" w:hAnsi="宋体" w:cs="宋体"/>
                <w:szCs w:val="21"/>
              </w:rPr>
            </w:pPr>
          </w:p>
        </w:tc>
        <w:tc>
          <w:tcPr>
            <w:tcW w:w="2260" w:type="dxa"/>
          </w:tcPr>
          <w:p>
            <w:pPr>
              <w:pStyle w:val="50"/>
              <w:spacing w:line="360" w:lineRule="auto"/>
              <w:jc w:val="center"/>
              <w:rPr>
                <w:rFonts w:ascii="宋体" w:hAnsi="宋体" w:cs="宋体"/>
                <w:szCs w:val="21"/>
              </w:rPr>
            </w:pPr>
          </w:p>
        </w:tc>
        <w:tc>
          <w:tcPr>
            <w:tcW w:w="2047" w:type="dxa"/>
            <w:tcBorders>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0"/>
              <w:spacing w:line="360" w:lineRule="auto"/>
              <w:jc w:val="center"/>
              <w:rPr>
                <w:rFonts w:ascii="宋体" w:hAnsi="宋体" w:cs="宋体"/>
                <w:szCs w:val="21"/>
              </w:rPr>
            </w:pPr>
          </w:p>
        </w:tc>
        <w:tc>
          <w:tcPr>
            <w:tcW w:w="2258" w:type="dxa"/>
          </w:tcPr>
          <w:p>
            <w:pPr>
              <w:pStyle w:val="50"/>
              <w:spacing w:line="360" w:lineRule="auto"/>
              <w:jc w:val="center"/>
              <w:rPr>
                <w:rFonts w:ascii="宋体" w:hAnsi="宋体" w:cs="宋体"/>
                <w:szCs w:val="21"/>
              </w:rPr>
            </w:pPr>
          </w:p>
        </w:tc>
        <w:tc>
          <w:tcPr>
            <w:tcW w:w="2260" w:type="dxa"/>
          </w:tcPr>
          <w:p>
            <w:pPr>
              <w:pStyle w:val="50"/>
              <w:spacing w:line="360" w:lineRule="auto"/>
              <w:jc w:val="center"/>
              <w:rPr>
                <w:rFonts w:ascii="宋体" w:hAnsi="宋体" w:cs="宋体"/>
                <w:szCs w:val="21"/>
              </w:rPr>
            </w:pPr>
          </w:p>
        </w:tc>
        <w:tc>
          <w:tcPr>
            <w:tcW w:w="2047" w:type="dxa"/>
            <w:tcBorders>
              <w:right w:val="single" w:color="auto" w:sz="4" w:space="0"/>
            </w:tcBorders>
          </w:tcPr>
          <w:p>
            <w:pPr>
              <w:pStyle w:val="50"/>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0"/>
              <w:spacing w:line="360" w:lineRule="auto"/>
              <w:jc w:val="center"/>
              <w:rPr>
                <w:rFonts w:ascii="宋体" w:hAnsi="宋体" w:cs="宋体"/>
                <w:szCs w:val="21"/>
              </w:rPr>
            </w:pPr>
          </w:p>
        </w:tc>
        <w:tc>
          <w:tcPr>
            <w:tcW w:w="2258" w:type="dxa"/>
            <w:tcBorders>
              <w:bottom w:val="single" w:color="auto" w:sz="4" w:space="0"/>
            </w:tcBorders>
          </w:tcPr>
          <w:p>
            <w:pPr>
              <w:pStyle w:val="50"/>
              <w:spacing w:line="360" w:lineRule="auto"/>
              <w:jc w:val="center"/>
              <w:rPr>
                <w:rFonts w:ascii="宋体" w:hAnsi="宋体" w:cs="宋体"/>
                <w:szCs w:val="21"/>
              </w:rPr>
            </w:pPr>
          </w:p>
        </w:tc>
        <w:tc>
          <w:tcPr>
            <w:tcW w:w="2260" w:type="dxa"/>
            <w:tcBorders>
              <w:bottom w:val="single" w:color="auto" w:sz="4" w:space="0"/>
            </w:tcBorders>
          </w:tcPr>
          <w:p>
            <w:pPr>
              <w:pStyle w:val="50"/>
              <w:spacing w:line="360" w:lineRule="auto"/>
              <w:jc w:val="center"/>
              <w:rPr>
                <w:rFonts w:ascii="宋体" w:hAnsi="宋体" w:cs="宋体"/>
                <w:szCs w:val="21"/>
              </w:rPr>
            </w:pPr>
          </w:p>
        </w:tc>
        <w:tc>
          <w:tcPr>
            <w:tcW w:w="2047" w:type="dxa"/>
            <w:tcBorders>
              <w:bottom w:val="single" w:color="auto" w:sz="4" w:space="0"/>
              <w:right w:val="single" w:color="auto" w:sz="4" w:space="0"/>
            </w:tcBorders>
          </w:tcPr>
          <w:p>
            <w:pPr>
              <w:pStyle w:val="50"/>
              <w:spacing w:line="360" w:lineRule="auto"/>
              <w:jc w:val="center"/>
              <w:rPr>
                <w:rFonts w:ascii="宋体" w:hAnsi="宋体" w:cs="宋体"/>
                <w:szCs w:val="21"/>
              </w:rPr>
            </w:pPr>
          </w:p>
        </w:tc>
      </w:tr>
    </w:tbl>
    <w:p>
      <w:pPr>
        <w:pStyle w:val="50"/>
        <w:tabs>
          <w:tab w:val="left" w:pos="1050"/>
        </w:tabs>
        <w:spacing w:line="360" w:lineRule="auto"/>
        <w:rPr>
          <w:rFonts w:ascii="宋体" w:hAnsi="宋体" w:cs="宋体"/>
          <w:sz w:val="24"/>
        </w:rPr>
      </w:pPr>
    </w:p>
    <w:p>
      <w:pPr>
        <w:pStyle w:val="50"/>
        <w:tabs>
          <w:tab w:val="left" w:pos="1050"/>
        </w:tabs>
        <w:spacing w:line="360" w:lineRule="auto"/>
        <w:rPr>
          <w:rFonts w:ascii="宋体" w:hAnsi="宋体" w:cs="宋体"/>
          <w:szCs w:val="21"/>
        </w:rPr>
      </w:pPr>
      <w:r>
        <w:rPr>
          <w:rFonts w:hint="eastAsia" w:ascii="宋体" w:hAnsi="宋体" w:cs="宋体"/>
          <w:b/>
          <w:szCs w:val="21"/>
        </w:rPr>
        <w:t>要求：</w:t>
      </w:r>
    </w:p>
    <w:p>
      <w:pPr>
        <w:pStyle w:val="50"/>
        <w:tabs>
          <w:tab w:val="left" w:pos="1050"/>
        </w:tabs>
        <w:spacing w:line="360" w:lineRule="auto"/>
        <w:ind w:firstLine="424" w:firstLineChars="202"/>
        <w:rPr>
          <w:rFonts w:ascii="宋体" w:hAnsi="宋体" w:cs="宋体"/>
          <w:szCs w:val="21"/>
        </w:rPr>
      </w:pPr>
      <w:r>
        <w:rPr>
          <w:rFonts w:hint="eastAsia" w:ascii="宋体" w:hAnsi="宋体" w:cs="宋体"/>
          <w:szCs w:val="21"/>
        </w:rPr>
        <w:t>1.填写磋商供应商获得的资质、认证证书等（根据评标办法提供）。</w:t>
      </w:r>
    </w:p>
    <w:p>
      <w:pPr>
        <w:pStyle w:val="50"/>
        <w:tabs>
          <w:tab w:val="left" w:pos="1050"/>
        </w:tabs>
        <w:spacing w:line="360" w:lineRule="auto"/>
        <w:ind w:firstLine="424" w:firstLineChars="202"/>
        <w:rPr>
          <w:rFonts w:ascii="宋体" w:hAnsi="宋体" w:cs="宋体"/>
          <w:szCs w:val="21"/>
        </w:rPr>
      </w:pPr>
      <w:r>
        <w:rPr>
          <w:rFonts w:hint="eastAsia" w:ascii="宋体" w:hAnsi="宋体" w:cs="宋体"/>
          <w:szCs w:val="21"/>
        </w:rPr>
        <w:t>2.附所列证书的扫描件或其他证明材料。</w:t>
      </w:r>
    </w:p>
    <w:p>
      <w:pPr>
        <w:pStyle w:val="50"/>
        <w:tabs>
          <w:tab w:val="left" w:pos="1050"/>
        </w:tabs>
        <w:spacing w:line="360" w:lineRule="auto"/>
        <w:ind w:firstLine="720" w:firstLineChars="300"/>
        <w:rPr>
          <w:rFonts w:ascii="宋体" w:hAnsi="宋体" w:cs="宋体"/>
          <w:sz w:val="24"/>
        </w:rPr>
      </w:pPr>
    </w:p>
    <w:p>
      <w:pPr>
        <w:snapToGrid w:val="0"/>
        <w:spacing w:before="50" w:afterLines="50" w:line="360" w:lineRule="auto"/>
        <w:jc w:val="left"/>
        <w:rPr>
          <w:rFonts w:ascii="宋体" w:hAnsi="宋体" w:cs="宋体"/>
          <w:sz w:val="24"/>
          <w:szCs w:val="20"/>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r>
        <w:rPr>
          <w:rFonts w:hint="eastAsia" w:ascii="宋体" w:hAnsi="宋体" w:cs="宋体"/>
          <w:b/>
          <w:sz w:val="28"/>
        </w:rPr>
        <w:t>附件15:</w:t>
      </w:r>
    </w:p>
    <w:p>
      <w:pPr>
        <w:pStyle w:val="68"/>
        <w:spacing w:line="360" w:lineRule="auto"/>
        <w:jc w:val="center"/>
        <w:rPr>
          <w:rFonts w:ascii="宋体" w:hAnsi="宋体" w:cs="宋体"/>
          <w:b/>
          <w:sz w:val="32"/>
          <w:szCs w:val="32"/>
        </w:rPr>
      </w:pPr>
      <w:r>
        <w:rPr>
          <w:rFonts w:hint="eastAsia" w:ascii="宋体" w:hAnsi="宋体" w:cs="宋体"/>
          <w:b/>
          <w:sz w:val="32"/>
          <w:szCs w:val="32"/>
        </w:rPr>
        <w:t>类似项目实施情况一览表</w:t>
      </w:r>
    </w:p>
    <w:p>
      <w:pPr>
        <w:pStyle w:val="68"/>
        <w:spacing w:line="360" w:lineRule="auto"/>
        <w:ind w:left="-1" w:leftChars="-270" w:hanging="566" w:hangingChars="235"/>
        <w:rPr>
          <w:rFonts w:ascii="宋体" w:hAnsi="宋体" w:cs="宋体"/>
          <w:b/>
          <w:sz w:val="32"/>
          <w:szCs w:val="32"/>
        </w:rPr>
      </w:pPr>
      <w:r>
        <w:rPr>
          <w:rFonts w:hint="eastAsia" w:ascii="宋体" w:hAnsi="宋体" w:cs="宋体"/>
          <w:b/>
          <w:bCs/>
          <w:sz w:val="24"/>
        </w:rPr>
        <w:t>项目名称及编号：</w:t>
      </w:r>
    </w:p>
    <w:tbl>
      <w:tblPr>
        <w:tblStyle w:val="3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8"/>
              <w:spacing w:line="360" w:lineRule="auto"/>
              <w:jc w:val="center"/>
              <w:rPr>
                <w:rFonts w:ascii="宋体" w:hAnsi="宋体" w:cs="宋体"/>
                <w:b/>
                <w:bCs/>
                <w:sz w:val="24"/>
              </w:rPr>
            </w:pPr>
            <w:r>
              <w:rPr>
                <w:rFonts w:hint="eastAsia" w:ascii="宋体" w:hAnsi="宋体" w:cs="宋体"/>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jc w:val="center"/>
              <w:rPr>
                <w:rFonts w:ascii="宋体" w:hAnsi="宋体" w:cs="宋体"/>
                <w:sz w:val="24"/>
              </w:rPr>
            </w:pPr>
            <w:r>
              <w:rPr>
                <w:rFonts w:hint="eastAsia" w:ascii="宋体" w:hAnsi="宋体" w:cs="宋体"/>
                <w:sz w:val="24"/>
              </w:rPr>
              <w:t>1</w:t>
            </w: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jc w:val="center"/>
              <w:rPr>
                <w:rFonts w:ascii="宋体" w:hAnsi="宋体" w:cs="宋体"/>
                <w:sz w:val="24"/>
              </w:rPr>
            </w:pPr>
            <w:r>
              <w:rPr>
                <w:rFonts w:hint="eastAsia" w:ascii="宋体" w:hAnsi="宋体" w:cs="宋体"/>
                <w:sz w:val="24"/>
              </w:rPr>
              <w:t>2</w:t>
            </w: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jc w:val="center"/>
              <w:rPr>
                <w:rFonts w:ascii="宋体" w:hAnsi="宋体" w:cs="宋体"/>
                <w:sz w:val="24"/>
              </w:rPr>
            </w:pPr>
            <w:r>
              <w:rPr>
                <w:rFonts w:hint="eastAsia" w:ascii="宋体" w:hAnsi="宋体" w:cs="宋体"/>
                <w:sz w:val="24"/>
              </w:rPr>
              <w:t>3</w:t>
            </w: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r>
              <w:rPr>
                <w:rFonts w:hint="eastAsia" w:ascii="宋体" w:hAnsi="宋体" w:cs="宋体"/>
                <w:sz w:val="24"/>
              </w:rPr>
              <w:t>…</w:t>
            </w: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pPr>
              <w:pStyle w:val="68"/>
              <w:spacing w:line="360" w:lineRule="auto"/>
              <w:rPr>
                <w:rFonts w:ascii="宋体" w:hAnsi="宋体" w:cs="宋体"/>
                <w:sz w:val="24"/>
              </w:rPr>
            </w:pPr>
          </w:p>
        </w:tc>
      </w:tr>
    </w:tbl>
    <w:p>
      <w:pPr>
        <w:autoSpaceDE w:val="0"/>
        <w:autoSpaceDN w:val="0"/>
        <w:adjustRightInd w:val="0"/>
        <w:spacing w:beforeLines="50" w:line="360" w:lineRule="auto"/>
        <w:rPr>
          <w:rFonts w:ascii="宋体" w:hAnsi="宋体" w:cs="宋体"/>
          <w:b/>
          <w:szCs w:val="21"/>
        </w:rPr>
      </w:pPr>
      <w:r>
        <w:rPr>
          <w:rFonts w:hint="eastAsia" w:ascii="宋体" w:hAnsi="宋体" w:cs="宋体"/>
          <w:b/>
          <w:szCs w:val="21"/>
        </w:rPr>
        <w:t>要求：</w:t>
      </w:r>
    </w:p>
    <w:p>
      <w:pPr>
        <w:spacing w:line="360" w:lineRule="auto"/>
        <w:ind w:firstLine="420" w:firstLineChars="200"/>
        <w:rPr>
          <w:rFonts w:ascii="宋体" w:hAnsi="宋体" w:cs="宋体"/>
          <w:szCs w:val="21"/>
        </w:rPr>
      </w:pPr>
      <w:r>
        <w:rPr>
          <w:rFonts w:hint="eastAsia" w:ascii="宋体" w:hAnsi="宋体" w:cs="宋体"/>
          <w:szCs w:val="21"/>
        </w:rPr>
        <w:t>1.业绩证明应提供证明材料的扫描件（合同扫描件可只提供首页、含金额页、内容页、盖章页并加盖投标人公章）；</w:t>
      </w:r>
    </w:p>
    <w:p>
      <w:pPr>
        <w:spacing w:line="360" w:lineRule="auto"/>
        <w:ind w:firstLine="420" w:firstLineChars="200"/>
        <w:rPr>
          <w:rFonts w:ascii="宋体" w:hAnsi="宋体" w:cs="宋体"/>
          <w:szCs w:val="21"/>
        </w:rPr>
      </w:pPr>
      <w:r>
        <w:rPr>
          <w:rFonts w:hint="eastAsia" w:ascii="宋体" w:hAnsi="宋体" w:cs="宋体"/>
          <w:szCs w:val="21"/>
        </w:rPr>
        <w:t>2.磋商供应商可按此表格式复制。</w:t>
      </w:r>
    </w:p>
    <w:p>
      <w:pPr>
        <w:spacing w:line="360" w:lineRule="auto"/>
        <w:ind w:left="420"/>
        <w:rPr>
          <w:rFonts w:ascii="宋体" w:hAnsi="宋体" w:cs="宋体"/>
          <w:sz w:val="24"/>
        </w:rPr>
      </w:pPr>
    </w:p>
    <w:p>
      <w:pPr>
        <w:spacing w:line="360" w:lineRule="auto"/>
        <w:ind w:left="420"/>
        <w:rPr>
          <w:rFonts w:ascii="宋体" w:hAnsi="宋体" w:cs="宋体"/>
          <w:sz w:val="24"/>
        </w:rPr>
      </w:pPr>
    </w:p>
    <w:p>
      <w:pPr>
        <w:spacing w:line="360" w:lineRule="auto"/>
        <w:ind w:left="420"/>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b/>
          <w:sz w:val="28"/>
        </w:rPr>
      </w:pPr>
      <w:r>
        <w:rPr>
          <w:rFonts w:hint="eastAsia" w:ascii="宋体" w:hAnsi="宋体" w:cs="宋体"/>
          <w:sz w:val="24"/>
        </w:rPr>
        <w:t>日        期：</w:t>
      </w:r>
      <w:r>
        <w:rPr>
          <w:rFonts w:hint="eastAsia" w:ascii="宋体" w:hAnsi="宋体" w:cs="宋体"/>
          <w:sz w:val="24"/>
          <w:u w:val="single"/>
        </w:rPr>
        <w:t xml:space="preserve">                            </w:t>
      </w:r>
    </w:p>
    <w:p>
      <w:pPr>
        <w:jc w:val="center"/>
        <w:rPr>
          <w:rFonts w:ascii="宋体" w:hAnsi="宋体" w:cs="宋体"/>
          <w:snapToGrid w:val="0"/>
          <w:kern w:val="0"/>
          <w:sz w:val="24"/>
        </w:rPr>
      </w:pPr>
    </w:p>
    <w:p>
      <w:pPr>
        <w:tabs>
          <w:tab w:val="left" w:pos="2460"/>
        </w:tabs>
        <w:spacing w:line="360" w:lineRule="auto"/>
        <w:rPr>
          <w:rFonts w:ascii="宋体" w:hAnsi="宋体" w:cs="宋体"/>
          <w:b/>
          <w:sz w:val="28"/>
        </w:rPr>
      </w:pPr>
    </w:p>
    <w:p>
      <w:pPr>
        <w:tabs>
          <w:tab w:val="left" w:pos="2460"/>
        </w:tabs>
        <w:spacing w:line="360" w:lineRule="auto"/>
        <w:rPr>
          <w:rFonts w:ascii="宋体" w:hAnsi="宋体" w:cs="宋体"/>
          <w:b/>
          <w:sz w:val="28"/>
        </w:rPr>
      </w:pPr>
    </w:p>
    <w:p>
      <w:pPr>
        <w:tabs>
          <w:tab w:val="left" w:pos="2460"/>
        </w:tabs>
        <w:spacing w:line="360" w:lineRule="auto"/>
        <w:rPr>
          <w:rFonts w:ascii="宋体" w:hAnsi="宋体" w:cs="宋体"/>
          <w:b/>
          <w:sz w:val="30"/>
          <w:szCs w:val="30"/>
        </w:rPr>
      </w:pPr>
      <w:r>
        <w:rPr>
          <w:rFonts w:hint="eastAsia" w:ascii="宋体" w:hAnsi="宋体" w:cs="宋体"/>
          <w:b/>
          <w:sz w:val="28"/>
        </w:rPr>
        <w:t xml:space="preserve">附件16:  </w:t>
      </w:r>
      <w:r>
        <w:rPr>
          <w:rFonts w:hint="eastAsia" w:ascii="宋体" w:hAnsi="宋体" w:cs="宋体"/>
          <w:b/>
          <w:sz w:val="28"/>
        </w:rPr>
        <w:tab/>
      </w:r>
      <w:r>
        <w:rPr>
          <w:rFonts w:hint="eastAsia" w:ascii="宋体" w:hAnsi="宋体" w:cs="宋体"/>
          <w:b/>
          <w:sz w:val="30"/>
          <w:szCs w:val="30"/>
        </w:rPr>
        <w:t xml:space="preserve">                              </w:t>
      </w:r>
    </w:p>
    <w:p>
      <w:pPr>
        <w:spacing w:line="360" w:lineRule="auto"/>
        <w:ind w:left="-2" w:hanging="2"/>
        <w:jc w:val="center"/>
        <w:rPr>
          <w:rFonts w:ascii="宋体" w:hAnsi="宋体" w:cs="宋体"/>
          <w:b/>
          <w:sz w:val="32"/>
          <w:szCs w:val="32"/>
        </w:rPr>
      </w:pPr>
      <w:r>
        <w:rPr>
          <w:rFonts w:hint="eastAsia" w:ascii="宋体" w:hAnsi="宋体" w:cs="宋体"/>
          <w:b/>
          <w:sz w:val="32"/>
          <w:szCs w:val="32"/>
        </w:rPr>
        <w:t>首次报价一览表</w:t>
      </w:r>
    </w:p>
    <w:p>
      <w:pPr>
        <w:spacing w:line="360" w:lineRule="auto"/>
        <w:ind w:left="-2" w:hanging="2"/>
        <w:jc w:val="center"/>
        <w:rPr>
          <w:rFonts w:ascii="宋体" w:hAnsi="宋体" w:cs="宋体"/>
          <w:b/>
          <w:sz w:val="32"/>
          <w:szCs w:val="32"/>
        </w:rPr>
      </w:pPr>
    </w:p>
    <w:p>
      <w:pPr>
        <w:pStyle w:val="18"/>
        <w:spacing w:line="320" w:lineRule="exact"/>
        <w:rPr>
          <w:rFonts w:ascii="宋体" w:hAnsi="宋体" w:eastAsia="宋体" w:cs="宋体"/>
          <w:b/>
          <w:sz w:val="24"/>
        </w:rPr>
      </w:pPr>
    </w:p>
    <w:p>
      <w:pPr>
        <w:pStyle w:val="18"/>
        <w:spacing w:line="320" w:lineRule="exact"/>
        <w:rPr>
          <w:rFonts w:ascii="宋体" w:hAnsi="宋体" w:eastAsia="宋体" w:cs="宋体"/>
          <w:b/>
          <w:sz w:val="24"/>
          <w:u w:val="single"/>
        </w:rPr>
      </w:pPr>
      <w:r>
        <w:rPr>
          <w:rFonts w:hint="eastAsia" w:ascii="宋体" w:hAnsi="宋体" w:eastAsia="宋体" w:cs="宋体"/>
          <w:b/>
          <w:sz w:val="24"/>
        </w:rPr>
        <w:t>项目编号：</w:t>
      </w:r>
      <w:r>
        <w:rPr>
          <w:rFonts w:hint="eastAsia" w:ascii="宋体" w:hAnsi="宋体" w:eastAsia="宋体" w:cs="宋体"/>
          <w:b/>
          <w:sz w:val="24"/>
          <w:u w:val="single"/>
        </w:rPr>
        <w:t xml:space="preserve">               </w:t>
      </w:r>
    </w:p>
    <w:p>
      <w:pPr>
        <w:pStyle w:val="57"/>
        <w:spacing w:line="360" w:lineRule="auto"/>
        <w:ind w:right="-58"/>
        <w:jc w:val="left"/>
        <w:rPr>
          <w:rFonts w:ascii="宋体" w:hAnsi="宋体" w:cs="宋体"/>
          <w:sz w:val="24"/>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sz w:val="24"/>
        </w:rPr>
        <w:t xml:space="preserve">               [货币单位：人民币（元）]</w:t>
      </w:r>
    </w:p>
    <w:tbl>
      <w:tblPr>
        <w:tblStyle w:val="3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pPr>
              <w:autoSpaceDE w:val="0"/>
              <w:autoSpaceDN w:val="0"/>
              <w:spacing w:line="450" w:lineRule="exact"/>
              <w:jc w:val="center"/>
              <w:textAlignment w:val="bottom"/>
              <w:rPr>
                <w:rFonts w:ascii="宋体" w:hAnsi="宋体" w:cs="宋体"/>
                <w:sz w:val="24"/>
              </w:rPr>
            </w:pPr>
            <w:r>
              <w:rPr>
                <w:rFonts w:hint="eastAsia" w:ascii="宋体" w:hAnsi="宋体" w:cs="宋体"/>
                <w:sz w:val="24"/>
              </w:rPr>
              <w:t>总报价（元）</w:t>
            </w:r>
          </w:p>
        </w:tc>
        <w:tc>
          <w:tcPr>
            <w:tcW w:w="1349" w:type="dxa"/>
            <w:vAlign w:val="center"/>
          </w:tcPr>
          <w:p>
            <w:pPr>
              <w:autoSpaceDE w:val="0"/>
              <w:autoSpaceDN w:val="0"/>
              <w:spacing w:line="450" w:lineRule="exact"/>
              <w:jc w:val="center"/>
              <w:textAlignment w:val="bottom"/>
              <w:rPr>
                <w:rFonts w:ascii="宋体" w:hAnsi="宋体" w:cs="宋体"/>
                <w:sz w:val="24"/>
              </w:rPr>
            </w:pPr>
            <w:r>
              <w:rPr>
                <w:rFonts w:hint="eastAsia" w:ascii="宋体" w:hAnsi="宋体" w:cs="宋体"/>
                <w:sz w:val="24"/>
              </w:rPr>
              <w:t>大写</w:t>
            </w:r>
          </w:p>
        </w:tc>
        <w:tc>
          <w:tcPr>
            <w:tcW w:w="4929" w:type="dxa"/>
            <w:vAlign w:val="center"/>
          </w:tcPr>
          <w:p>
            <w:pPr>
              <w:autoSpaceDE w:val="0"/>
              <w:autoSpaceDN w:val="0"/>
              <w:spacing w:line="450" w:lineRule="exact"/>
              <w:jc w:val="center"/>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pPr>
              <w:rPr>
                <w:rFonts w:ascii="宋体" w:hAnsi="宋体" w:cs="宋体"/>
                <w:sz w:val="24"/>
              </w:rPr>
            </w:pPr>
          </w:p>
        </w:tc>
        <w:tc>
          <w:tcPr>
            <w:tcW w:w="1349" w:type="dxa"/>
            <w:vAlign w:val="center"/>
          </w:tcPr>
          <w:p>
            <w:pPr>
              <w:autoSpaceDE w:val="0"/>
              <w:autoSpaceDN w:val="0"/>
              <w:spacing w:line="450" w:lineRule="exact"/>
              <w:jc w:val="center"/>
              <w:textAlignment w:val="bottom"/>
              <w:rPr>
                <w:rFonts w:ascii="宋体" w:hAnsi="宋体" w:cs="宋体"/>
                <w:sz w:val="24"/>
              </w:rPr>
            </w:pPr>
            <w:r>
              <w:rPr>
                <w:rFonts w:hint="eastAsia" w:ascii="宋体" w:hAnsi="宋体" w:cs="宋体"/>
                <w:sz w:val="24"/>
              </w:rPr>
              <w:t>小写</w:t>
            </w:r>
          </w:p>
        </w:tc>
        <w:tc>
          <w:tcPr>
            <w:tcW w:w="4929" w:type="dxa"/>
            <w:vAlign w:val="center"/>
          </w:tcPr>
          <w:p>
            <w:pPr>
              <w:autoSpaceDE w:val="0"/>
              <w:autoSpaceDN w:val="0"/>
              <w:spacing w:line="450" w:lineRule="exact"/>
              <w:jc w:val="center"/>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4043" w:type="dxa"/>
            <w:gridSpan w:val="2"/>
            <w:vAlign w:val="center"/>
          </w:tcPr>
          <w:p>
            <w:pPr>
              <w:autoSpaceDE w:val="0"/>
              <w:autoSpaceDN w:val="0"/>
              <w:spacing w:line="450" w:lineRule="exact"/>
              <w:jc w:val="center"/>
              <w:textAlignment w:val="bottom"/>
              <w:rPr>
                <w:rFonts w:ascii="宋体" w:hAnsi="宋体" w:cs="宋体"/>
                <w:sz w:val="24"/>
              </w:rPr>
            </w:pPr>
            <w:r>
              <w:rPr>
                <w:rFonts w:hint="eastAsia" w:ascii="宋体" w:hAnsi="宋体" w:cs="宋体"/>
                <w:sz w:val="24"/>
              </w:rPr>
              <w:t>工期</w:t>
            </w:r>
          </w:p>
        </w:tc>
        <w:tc>
          <w:tcPr>
            <w:tcW w:w="4929" w:type="dxa"/>
            <w:tcMar>
              <w:top w:w="108" w:type="dxa"/>
              <w:left w:w="108" w:type="dxa"/>
              <w:bottom w:w="108" w:type="dxa"/>
              <w:right w:w="108" w:type="dxa"/>
            </w:tcMar>
            <w:vAlign w:val="center"/>
          </w:tcPr>
          <w:p>
            <w:pPr>
              <w:autoSpaceDE w:val="0"/>
              <w:autoSpaceDN w:val="0"/>
              <w:spacing w:line="450" w:lineRule="exact"/>
              <w:ind w:firstLine="1680" w:firstLineChars="700"/>
              <w:textAlignment w:val="bottom"/>
              <w:rPr>
                <w:rFonts w:ascii="宋体" w:hAnsi="宋体" w:cs="宋体"/>
                <w:sz w:val="24"/>
              </w:rPr>
            </w:pPr>
            <w:r>
              <w:rPr>
                <w:rFonts w:hint="eastAsia" w:ascii="宋体" w:hAnsi="宋体" w:cs="宋体"/>
                <w:sz w:val="24"/>
              </w:rPr>
              <w:t>2023年5月20日前完工</w:t>
            </w:r>
          </w:p>
        </w:tc>
      </w:tr>
    </w:tbl>
    <w:p>
      <w:pPr>
        <w:spacing w:line="360" w:lineRule="auto"/>
        <w:rPr>
          <w:rFonts w:ascii="宋体" w:hAnsi="宋体" w:cs="宋体"/>
          <w:sz w:val="24"/>
        </w:rPr>
      </w:pPr>
      <w:r>
        <w:rPr>
          <w:rFonts w:hint="eastAsia" w:ascii="宋体" w:hAnsi="宋体" w:cs="宋体"/>
          <w:b/>
          <w:szCs w:val="21"/>
        </w:rPr>
        <w:t>填报要求：</w:t>
      </w:r>
    </w:p>
    <w:p>
      <w:pPr>
        <w:spacing w:line="360" w:lineRule="auto"/>
        <w:ind w:firstLine="420" w:firstLineChars="200"/>
        <w:rPr>
          <w:rFonts w:ascii="宋体" w:hAnsi="宋体" w:cs="宋体"/>
          <w:kern w:val="0"/>
          <w:szCs w:val="21"/>
        </w:rPr>
      </w:pPr>
      <w:r>
        <w:rPr>
          <w:rFonts w:hint="eastAsia" w:ascii="宋体" w:hAnsi="宋体" w:cs="宋体"/>
          <w:kern w:val="0"/>
          <w:szCs w:val="21"/>
        </w:rPr>
        <w:t>1.投标报价其应包括装修部分和文化上墙部分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pacing w:line="360" w:lineRule="auto"/>
        <w:ind w:firstLine="420" w:firstLineChars="200"/>
        <w:rPr>
          <w:rFonts w:ascii="宋体" w:hAnsi="宋体" w:cs="宋体"/>
          <w:kern w:val="0"/>
          <w:szCs w:val="21"/>
        </w:rPr>
      </w:pPr>
      <w:r>
        <w:rPr>
          <w:rFonts w:hint="eastAsia" w:ascii="宋体" w:hAnsi="宋体" w:cs="宋体"/>
          <w:kern w:val="0"/>
          <w:szCs w:val="21"/>
        </w:rPr>
        <w:t>2.报价一经涂改，应在涂改处加盖单位公章，或者由法定代表人或全权代表签字或盖章，否则作无效标处理。</w:t>
      </w:r>
    </w:p>
    <w:p>
      <w:pPr>
        <w:snapToGrid w:val="0"/>
        <w:spacing w:before="50" w:afterLines="50" w:line="360" w:lineRule="auto"/>
        <w:jc w:val="left"/>
        <w:rPr>
          <w:rFonts w:ascii="宋体" w:hAnsi="宋体" w:cs="宋体"/>
          <w:sz w:val="24"/>
          <w:szCs w:val="20"/>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sz w:val="24"/>
          <w:u w:val="single"/>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p>
    <w:p>
      <w:pPr>
        <w:pStyle w:val="91"/>
        <w:snapToGrid w:val="0"/>
        <w:spacing w:line="500" w:lineRule="exact"/>
        <w:rPr>
          <w:rFonts w:ascii="宋体" w:hAnsi="宋体" w:eastAsia="宋体" w:cs="宋体"/>
          <w:b/>
          <w:sz w:val="28"/>
        </w:rPr>
      </w:pPr>
      <w:r>
        <w:rPr>
          <w:rFonts w:hint="eastAsia" w:ascii="宋体" w:hAnsi="宋体" w:eastAsia="宋体" w:cs="宋体"/>
          <w:b/>
          <w:sz w:val="28"/>
        </w:rPr>
        <w:t>附件17</w:t>
      </w:r>
      <w:r>
        <w:rPr>
          <w:rFonts w:ascii="宋体" w:hAnsi="宋体" w:eastAsia="宋体" w:cs="宋体"/>
          <w:b/>
          <w:sz w:val="28"/>
        </w:rPr>
        <w:t xml:space="preserve">: </w:t>
      </w:r>
    </w:p>
    <w:p>
      <w:pPr>
        <w:autoSpaceDE w:val="0"/>
        <w:autoSpaceDN w:val="0"/>
        <w:adjustRightInd w:val="0"/>
        <w:spacing w:line="360" w:lineRule="auto"/>
        <w:ind w:firstLine="560" w:firstLineChars="200"/>
        <w:rPr>
          <w:rFonts w:ascii="宋体" w:hAnsi="宋体" w:cs="宋体"/>
          <w:kern w:val="0"/>
          <w:sz w:val="24"/>
        </w:rPr>
      </w:pPr>
      <w:r>
        <w:rPr>
          <w:rFonts w:ascii="宋体" w:hAnsi="宋体" w:cs="宋体"/>
          <w:bCs/>
          <w:sz w:val="28"/>
        </w:rPr>
        <w:t xml:space="preserve">              </w:t>
      </w:r>
    </w:p>
    <w:p>
      <w:pPr>
        <w:pStyle w:val="91"/>
        <w:snapToGrid w:val="0"/>
        <w:spacing w:line="500" w:lineRule="exact"/>
        <w:ind w:firstLine="3935" w:firstLineChars="1400"/>
        <w:rPr>
          <w:rFonts w:ascii="宋体" w:hAnsi="宋体" w:eastAsia="宋体" w:cs="宋体"/>
          <w:b/>
          <w:sz w:val="28"/>
        </w:rPr>
      </w:pPr>
      <w:r>
        <w:rPr>
          <w:rFonts w:hint="eastAsia" w:ascii="宋体" w:hAnsi="宋体" w:eastAsia="宋体" w:cs="宋体"/>
          <w:b/>
          <w:sz w:val="28"/>
        </w:rPr>
        <w:t>报价明细表</w:t>
      </w:r>
    </w:p>
    <w:p>
      <w:pPr>
        <w:pStyle w:val="91"/>
        <w:snapToGrid w:val="0"/>
        <w:spacing w:line="500" w:lineRule="exact"/>
        <w:rPr>
          <w:rFonts w:ascii="宋体" w:hAnsi="宋体" w:eastAsia="宋体" w:cs="宋体"/>
          <w:b/>
          <w:sz w:val="24"/>
          <w:u w:val="single"/>
        </w:rPr>
      </w:pPr>
      <w:r>
        <w:rPr>
          <w:rFonts w:hint="eastAsia" w:ascii="宋体" w:hAnsi="宋体" w:eastAsia="宋体" w:cs="宋体"/>
          <w:b/>
          <w:sz w:val="24"/>
        </w:rPr>
        <w:t>项目编号：</w:t>
      </w:r>
      <w:r>
        <w:rPr>
          <w:rFonts w:hint="eastAsia" w:ascii="宋体" w:hAnsi="宋体" w:eastAsia="宋体" w:cs="宋体"/>
          <w:b/>
          <w:sz w:val="24"/>
          <w:u w:val="single"/>
        </w:rPr>
        <w:t xml:space="preserve">               </w:t>
      </w:r>
    </w:p>
    <w:p>
      <w:pPr>
        <w:pStyle w:val="57"/>
        <w:spacing w:line="360" w:lineRule="auto"/>
        <w:ind w:right="-58"/>
        <w:jc w:val="left"/>
        <w:rPr>
          <w:rFonts w:ascii="宋体" w:hAnsi="宋体" w:cs="宋体"/>
          <w:sz w:val="24"/>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sz w:val="24"/>
        </w:rPr>
        <w:t xml:space="preserve">                       [货币单位：人民币（元）]</w:t>
      </w:r>
    </w:p>
    <w:tbl>
      <w:tblPr>
        <w:tblStyle w:val="32"/>
        <w:tblW w:w="8426" w:type="dxa"/>
        <w:tblInd w:w="93" w:type="dxa"/>
        <w:tblLayout w:type="autofit"/>
        <w:tblCellMar>
          <w:top w:w="0" w:type="dxa"/>
          <w:left w:w="108" w:type="dxa"/>
          <w:bottom w:w="0" w:type="dxa"/>
          <w:right w:w="108" w:type="dxa"/>
        </w:tblCellMar>
      </w:tblPr>
      <w:tblGrid>
        <w:gridCol w:w="568"/>
        <w:gridCol w:w="2540"/>
        <w:gridCol w:w="2659"/>
        <w:gridCol w:w="2659"/>
      </w:tblGrid>
      <w:tr>
        <w:tblPrEx>
          <w:tblCellMar>
            <w:top w:w="0" w:type="dxa"/>
            <w:left w:w="108" w:type="dxa"/>
            <w:bottom w:w="0" w:type="dxa"/>
            <w:right w:w="108" w:type="dxa"/>
          </w:tblCellMar>
        </w:tblPrEx>
        <w:trPr>
          <w:trHeight w:val="541"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序号</w:t>
            </w:r>
          </w:p>
        </w:tc>
        <w:tc>
          <w:tcPr>
            <w:tcW w:w="25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项目名称</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报价</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hint="default" w:ascii="宋体" w:hAnsi="宋体" w:eastAsia="宋体" w:cs="宋体"/>
                <w:sz w:val="24"/>
                <w:lang w:val="en-US" w:eastAsia="zh-CN"/>
              </w:rPr>
            </w:pPr>
            <w:r>
              <w:rPr>
                <w:rFonts w:hint="eastAsia" w:ascii="宋体" w:hAnsi="宋体" w:cs="宋体"/>
                <w:sz w:val="24"/>
                <w:lang w:val="en-US" w:eastAsia="zh-CN"/>
              </w:rPr>
              <w:t>最高限价</w:t>
            </w:r>
          </w:p>
        </w:tc>
      </w:tr>
      <w:tr>
        <w:tblPrEx>
          <w:tblCellMar>
            <w:top w:w="0" w:type="dxa"/>
            <w:left w:w="108" w:type="dxa"/>
            <w:bottom w:w="0" w:type="dxa"/>
            <w:right w:w="108" w:type="dxa"/>
          </w:tblCellMar>
        </w:tblPrEx>
        <w:trPr>
          <w:trHeight w:val="541"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一</w:t>
            </w:r>
          </w:p>
        </w:tc>
        <w:tc>
          <w:tcPr>
            <w:tcW w:w="25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装修部分</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450" w:lineRule="exact"/>
              <w:jc w:val="center"/>
              <w:textAlignment w:val="bottom"/>
              <w:rPr>
                <w:rFonts w:ascii="宋体" w:hAnsi="宋体" w:cs="宋体"/>
                <w:sz w:val="24"/>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pacing w:line="450" w:lineRule="exact"/>
              <w:jc w:val="center"/>
              <w:textAlignment w:val="bottom"/>
              <w:rPr>
                <w:rFonts w:hint="eastAsia" w:ascii="宋体" w:hAnsi="宋体" w:cs="宋体"/>
                <w:sz w:val="24"/>
                <w:szCs w:val="24"/>
                <w:lang w:val="en-US" w:eastAsia="zh-CN"/>
              </w:rPr>
            </w:pPr>
            <w:r>
              <w:rPr>
                <w:rFonts w:hint="eastAsia" w:ascii="宋体" w:hAnsi="宋体" w:cs="宋体"/>
                <w:sz w:val="24"/>
                <w:szCs w:val="24"/>
                <w:lang w:val="en-US" w:eastAsia="zh-CN"/>
              </w:rPr>
              <w:t>929416元</w:t>
            </w:r>
          </w:p>
        </w:tc>
      </w:tr>
      <w:tr>
        <w:tblPrEx>
          <w:tblCellMar>
            <w:top w:w="0" w:type="dxa"/>
            <w:left w:w="108" w:type="dxa"/>
            <w:bottom w:w="0" w:type="dxa"/>
            <w:right w:w="108" w:type="dxa"/>
          </w:tblCellMar>
        </w:tblPrEx>
        <w:trPr>
          <w:trHeight w:val="541"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二</w:t>
            </w:r>
          </w:p>
        </w:tc>
        <w:tc>
          <w:tcPr>
            <w:tcW w:w="25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文化上墙部分</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szCs w:val="24"/>
                <w:lang w:val="en-US" w:eastAsia="zh-CN"/>
              </w:rPr>
              <w:t>150000元</w:t>
            </w:r>
          </w:p>
        </w:tc>
      </w:tr>
      <w:tr>
        <w:tblPrEx>
          <w:tblCellMar>
            <w:top w:w="0" w:type="dxa"/>
            <w:left w:w="108" w:type="dxa"/>
            <w:bottom w:w="0" w:type="dxa"/>
            <w:right w:w="108" w:type="dxa"/>
          </w:tblCellMar>
        </w:tblPrEx>
        <w:trPr>
          <w:trHeight w:val="706" w:hRule="atLeast"/>
        </w:trPr>
        <w:tc>
          <w:tcPr>
            <w:tcW w:w="56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三</w:t>
            </w:r>
          </w:p>
        </w:tc>
        <w:tc>
          <w:tcPr>
            <w:tcW w:w="25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r>
              <w:rPr>
                <w:rFonts w:hint="eastAsia" w:ascii="宋体" w:hAnsi="宋体" w:cs="宋体"/>
                <w:sz w:val="24"/>
              </w:rPr>
              <w:t>合计（结转至首次报价一览表）</w:t>
            </w: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ascii="宋体" w:hAnsi="宋体" w:cs="宋体"/>
                <w:sz w:val="24"/>
              </w:rPr>
            </w:pPr>
          </w:p>
        </w:tc>
        <w:tc>
          <w:tcPr>
            <w:tcW w:w="265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snapToGrid w:val="0"/>
              <w:spacing w:line="450" w:lineRule="exact"/>
              <w:jc w:val="center"/>
              <w:textAlignment w:val="bottom"/>
              <w:rPr>
                <w:rFonts w:hint="default" w:ascii="宋体" w:hAnsi="宋体" w:eastAsia="宋体" w:cs="宋体"/>
                <w:sz w:val="24"/>
                <w:lang w:val="en-US" w:eastAsia="zh-CN"/>
              </w:rPr>
            </w:pPr>
            <w:r>
              <w:rPr>
                <w:rFonts w:hint="eastAsia" w:ascii="宋体" w:hAnsi="宋体" w:cs="宋体"/>
                <w:sz w:val="24"/>
                <w:lang w:val="en-US" w:eastAsia="zh-CN"/>
              </w:rPr>
              <w:t>1079416元</w:t>
            </w:r>
          </w:p>
        </w:tc>
      </w:tr>
    </w:tbl>
    <w:p>
      <w:pPr>
        <w:pStyle w:val="91"/>
        <w:snapToGrid w:val="0"/>
        <w:spacing w:line="500" w:lineRule="exact"/>
        <w:rPr>
          <w:rFonts w:ascii="宋体" w:hAnsi="宋体" w:eastAsia="宋体" w:cs="宋体"/>
          <w:b/>
          <w:sz w:val="28"/>
        </w:rPr>
      </w:pPr>
      <w:r>
        <w:rPr>
          <w:rFonts w:hint="eastAsia" w:ascii="宋体" w:hAnsi="宋体" w:eastAsia="宋体" w:cs="宋体"/>
          <w:b/>
          <w:sz w:val="28"/>
        </w:rPr>
        <w:t>（备注：</w:t>
      </w:r>
      <w:r>
        <w:rPr>
          <w:rFonts w:hint="eastAsia" w:ascii="宋体" w:hAnsi="宋体" w:eastAsia="宋体" w:cs="宋体"/>
          <w:b/>
          <w:sz w:val="28"/>
          <w:lang w:val="zh-CN"/>
        </w:rPr>
        <w:t>最终报价时，</w:t>
      </w:r>
      <w:r>
        <w:rPr>
          <w:rFonts w:hint="eastAsia" w:ascii="宋体" w:hAnsi="宋体" w:eastAsia="宋体" w:cs="宋体"/>
          <w:b/>
          <w:sz w:val="28"/>
        </w:rPr>
        <w:t>磋商供应商</w:t>
      </w:r>
      <w:r>
        <w:rPr>
          <w:rFonts w:hint="eastAsia" w:ascii="宋体" w:hAnsi="宋体" w:eastAsia="宋体" w:cs="宋体"/>
          <w:b/>
          <w:sz w:val="28"/>
          <w:lang w:val="zh-CN"/>
        </w:rPr>
        <w:t>只需报总价，最终</w:t>
      </w:r>
      <w:r>
        <w:rPr>
          <w:rFonts w:hint="eastAsia" w:ascii="宋体" w:hAnsi="宋体" w:eastAsia="宋体" w:cs="宋体"/>
          <w:b/>
          <w:sz w:val="28"/>
        </w:rPr>
        <w:t>报价明细表报价</w:t>
      </w:r>
      <w:r>
        <w:rPr>
          <w:rFonts w:hint="eastAsia" w:ascii="宋体" w:hAnsi="宋体" w:eastAsia="宋体" w:cs="宋体"/>
          <w:b/>
          <w:sz w:val="28"/>
          <w:lang w:val="zh-CN"/>
        </w:rPr>
        <w:t>按最终报价/首次报价*100%的比例进行结算 。</w:t>
      </w:r>
      <w:r>
        <w:rPr>
          <w:rFonts w:hint="eastAsia" w:ascii="宋体" w:hAnsi="宋体" w:eastAsia="宋体" w:cs="宋体"/>
          <w:b/>
          <w:sz w:val="28"/>
        </w:rPr>
        <w:t>）</w:t>
      </w:r>
    </w:p>
    <w:p>
      <w:pPr>
        <w:pStyle w:val="91"/>
        <w:snapToGrid w:val="0"/>
        <w:spacing w:line="500" w:lineRule="exact"/>
        <w:rPr>
          <w:rFonts w:ascii="宋体" w:hAnsi="宋体" w:eastAsia="宋体" w:cs="宋体"/>
          <w:bCs/>
          <w:sz w:val="28"/>
        </w:rPr>
      </w:pPr>
    </w:p>
    <w:p>
      <w:pPr>
        <w:pStyle w:val="91"/>
        <w:snapToGrid w:val="0"/>
        <w:spacing w:line="500" w:lineRule="exact"/>
        <w:rPr>
          <w:rFonts w:ascii="宋体" w:hAnsi="宋体" w:eastAsia="宋体" w:cs="宋体"/>
          <w:bCs/>
          <w:sz w:val="28"/>
        </w:rPr>
      </w:pPr>
    </w:p>
    <w:p>
      <w:pPr>
        <w:pStyle w:val="91"/>
        <w:snapToGrid w:val="0"/>
        <w:spacing w:line="500" w:lineRule="exact"/>
        <w:rPr>
          <w:rFonts w:ascii="宋体" w:hAnsi="宋体" w:eastAsia="宋体" w:cs="宋体"/>
          <w:bCs/>
          <w:sz w:val="28"/>
        </w:rPr>
      </w:pPr>
    </w:p>
    <w:p>
      <w:pPr>
        <w:spacing w:line="360" w:lineRule="auto"/>
        <w:ind w:left="420"/>
        <w:rPr>
          <w:rFonts w:ascii="宋体" w:hAnsi="宋体" w:cs="宋体"/>
          <w:sz w:val="24"/>
          <w:u w:val="single"/>
        </w:rPr>
      </w:pPr>
      <w:r>
        <w:rPr>
          <w:rFonts w:hint="eastAsia" w:ascii="宋体" w:hAnsi="宋体" w:cs="宋体"/>
          <w:sz w:val="24"/>
        </w:rPr>
        <w:t>磋商供应商名称（公章）：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35"/>
        <w:rPr>
          <w:rFonts w:ascii="宋体" w:hAnsi="宋体" w:cs="宋体"/>
          <w:sz w:val="24"/>
        </w:rPr>
      </w:pPr>
      <w:r>
        <w:rPr>
          <w:rFonts w:hint="eastAsia" w:ascii="宋体" w:hAnsi="宋体" w:cs="宋体"/>
          <w:sz w:val="24"/>
        </w:rPr>
        <w:t>法定代表人或磋商供应商代表签章或签字：</w:t>
      </w:r>
      <w:r>
        <w:rPr>
          <w:rFonts w:hint="eastAsia" w:ascii="宋体" w:hAnsi="宋体" w:cs="宋体"/>
          <w:sz w:val="24"/>
          <w:u w:val="single"/>
        </w:rPr>
        <w:t xml:space="preserve">                          </w:t>
      </w:r>
    </w:p>
    <w:p>
      <w:pPr>
        <w:spacing w:line="360" w:lineRule="auto"/>
        <w:ind w:firstLine="435"/>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spacing w:line="360" w:lineRule="auto"/>
        <w:ind w:firstLine="435"/>
        <w:rPr>
          <w:rFonts w:ascii="宋体" w:hAnsi="宋体" w:cs="宋体"/>
          <w:sz w:val="24"/>
          <w:u w:val="single"/>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p>
    <w:p>
      <w:pPr>
        <w:pStyle w:val="91"/>
        <w:snapToGrid w:val="0"/>
        <w:spacing w:line="500" w:lineRule="exact"/>
        <w:rPr>
          <w:rFonts w:ascii="宋体" w:hAnsi="宋体" w:eastAsia="宋体" w:cs="宋体"/>
          <w:b/>
          <w:sz w:val="28"/>
        </w:rPr>
      </w:pPr>
      <w:r>
        <w:rPr>
          <w:rFonts w:hint="eastAsia" w:ascii="宋体" w:hAnsi="宋体" w:eastAsia="宋体" w:cs="宋体"/>
          <w:b/>
          <w:sz w:val="28"/>
        </w:rPr>
        <w:t xml:space="preserve">附件18:  </w:t>
      </w:r>
    </w:p>
    <w:p>
      <w:pPr>
        <w:pStyle w:val="91"/>
        <w:snapToGrid w:val="0"/>
        <w:spacing w:line="500" w:lineRule="exact"/>
        <w:ind w:firstLine="843" w:firstLineChars="300"/>
        <w:rPr>
          <w:rFonts w:ascii="宋体" w:hAnsi="宋体" w:eastAsia="宋体" w:cs="宋体"/>
          <w:b/>
          <w:sz w:val="28"/>
        </w:rPr>
      </w:pPr>
      <w:r>
        <w:rPr>
          <w:rFonts w:hint="eastAsia" w:ascii="宋体" w:hAnsi="宋体" w:eastAsia="宋体" w:cs="宋体"/>
          <w:b/>
          <w:sz w:val="28"/>
        </w:rPr>
        <w:t>磋商响应文件解密结束，投标供应商签署《政府采购活动现场确认声明书》，将扫描件发送至邮箱：907539667@qq.com。</w:t>
      </w:r>
    </w:p>
    <w:p>
      <w:pPr>
        <w:pStyle w:val="91"/>
        <w:snapToGrid w:val="0"/>
        <w:spacing w:line="500" w:lineRule="exact"/>
        <w:jc w:val="center"/>
        <w:rPr>
          <w:rFonts w:ascii="宋体" w:hAnsi="宋体" w:eastAsia="宋体" w:cs="宋体"/>
          <w:color w:val="000000"/>
          <w:kern w:val="0"/>
          <w:sz w:val="24"/>
        </w:rPr>
      </w:pPr>
      <w:r>
        <w:rPr>
          <w:rFonts w:hint="eastAsia" w:ascii="宋体" w:hAnsi="宋体" w:eastAsia="宋体" w:cs="宋体"/>
          <w:b/>
          <w:bCs/>
          <w:color w:val="000000"/>
          <w:sz w:val="32"/>
          <w:szCs w:val="32"/>
        </w:rPr>
        <w:t>政府采购活动现场确认声明书</w:t>
      </w:r>
    </w:p>
    <w:p>
      <w:pPr>
        <w:pStyle w:val="91"/>
        <w:snapToGrid w:val="0"/>
        <w:spacing w:line="400" w:lineRule="exact"/>
        <w:rPr>
          <w:rFonts w:ascii="宋体" w:hAnsi="宋体" w:eastAsia="宋体" w:cs="宋体"/>
          <w:color w:val="000000"/>
          <w:kern w:val="0"/>
          <w:sz w:val="24"/>
          <w:u w:val="single"/>
        </w:rPr>
      </w:pPr>
    </w:p>
    <w:p>
      <w:pPr>
        <w:pStyle w:val="91"/>
        <w:snapToGrid w:val="0"/>
        <w:spacing w:line="360" w:lineRule="auto"/>
        <w:rPr>
          <w:rFonts w:ascii="宋体" w:hAnsi="宋体" w:eastAsia="宋体" w:cs="宋体"/>
          <w:b/>
          <w:color w:val="000000"/>
          <w:szCs w:val="21"/>
        </w:rPr>
      </w:pPr>
      <w:r>
        <w:rPr>
          <w:rFonts w:hint="eastAsia" w:ascii="宋体" w:hAnsi="宋体" w:eastAsia="宋体" w:cs="宋体"/>
          <w:color w:val="000000"/>
          <w:kern w:val="0"/>
          <w:szCs w:val="21"/>
          <w:u w:val="single"/>
        </w:rPr>
        <w:t>台州市椒江区人民政府洪家街道办事处/台州中亿工程管理有限公司</w:t>
      </w:r>
      <w:r>
        <w:rPr>
          <w:rFonts w:hint="eastAsia" w:ascii="宋体" w:hAnsi="宋体" w:eastAsia="宋体" w:cs="宋体"/>
          <w:color w:val="000000"/>
          <w:kern w:val="0"/>
          <w:szCs w:val="21"/>
        </w:rPr>
        <w:t>：</w:t>
      </w:r>
    </w:p>
    <w:p>
      <w:pPr>
        <w:pStyle w:val="91"/>
        <w:snapToGrid w:val="0"/>
        <w:spacing w:line="360" w:lineRule="auto"/>
        <w:ind w:firstLine="444" w:firstLineChars="200"/>
        <w:rPr>
          <w:rFonts w:ascii="宋体" w:hAnsi="宋体" w:eastAsia="宋体" w:cs="宋体"/>
          <w:color w:val="000000"/>
          <w:spacing w:val="6"/>
          <w:szCs w:val="21"/>
        </w:rPr>
      </w:pPr>
      <w:r>
        <w:rPr>
          <w:rFonts w:hint="eastAsia" w:ascii="宋体" w:hAnsi="宋体" w:eastAsia="宋体" w:cs="宋体"/>
          <w:color w:val="000000"/>
          <w:spacing w:val="6"/>
          <w:szCs w:val="21"/>
        </w:rPr>
        <w:t>本人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（授权代表姓名），经由</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（单位）</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法定代表人姓名）合法授权参加</w:t>
      </w:r>
      <w:r>
        <w:rPr>
          <w:rFonts w:hint="eastAsia" w:ascii="宋体" w:hAnsi="宋体" w:eastAsia="宋体" w:cs="宋体"/>
          <w:color w:val="000000"/>
          <w:spacing w:val="6"/>
          <w:szCs w:val="21"/>
          <w:u w:val="single"/>
        </w:rPr>
        <w:t>洪家街道鸿源社区“邻距里”综合体建设项目</w:t>
      </w:r>
      <w:r>
        <w:rPr>
          <w:rFonts w:hint="eastAsia" w:ascii="宋体" w:hAnsi="宋体" w:eastAsia="宋体" w:cs="宋体"/>
          <w:color w:val="000000"/>
          <w:spacing w:val="6"/>
          <w:szCs w:val="21"/>
        </w:rPr>
        <w:t>（编号：</w:t>
      </w:r>
      <w:r>
        <w:rPr>
          <w:rFonts w:hint="eastAsia" w:ascii="宋体" w:hAnsi="宋体" w:eastAsia="宋体" w:cs="宋体"/>
          <w:color w:val="000000"/>
          <w:spacing w:val="6"/>
          <w:szCs w:val="21"/>
          <w:u w:val="single"/>
        </w:rPr>
        <w:t xml:space="preserve">       号</w:t>
      </w:r>
      <w:r>
        <w:rPr>
          <w:rFonts w:hint="eastAsia" w:ascii="宋体" w:hAnsi="宋体" w:eastAsia="宋体" w:cs="宋体"/>
          <w:color w:val="000000"/>
          <w:spacing w:val="6"/>
          <w:szCs w:val="21"/>
        </w:rPr>
        <w:t>）政府采购活动，经与本单位法人代表（负责人）联系确认，现就有关公平竞争事项郑重声明如下：</w:t>
      </w:r>
    </w:p>
    <w:p>
      <w:pPr>
        <w:pStyle w:val="101"/>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一、本单位与采购人之间</w:t>
      </w:r>
      <w:r>
        <w:rPr>
          <w:rFonts w:hint="eastAsia" w:ascii="宋体" w:hAnsi="宋体" w:cs="宋体"/>
          <w:b/>
          <w:bCs/>
          <w:color w:val="000000"/>
          <w:kern w:val="0"/>
          <w:szCs w:val="21"/>
        </w:rPr>
        <w:t>□</w:t>
      </w:r>
      <w:r>
        <w:rPr>
          <w:rFonts w:hint="eastAsia" w:ascii="宋体" w:hAnsi="宋体" w:cs="宋体"/>
          <w:color w:val="000000"/>
          <w:kern w:val="0"/>
          <w:szCs w:val="21"/>
        </w:rPr>
        <w:t>不存在利害关系</w:t>
      </w:r>
      <w:r>
        <w:rPr>
          <w:rFonts w:hint="eastAsia" w:ascii="宋体" w:hAnsi="宋体" w:cs="宋体"/>
          <w:b/>
          <w:bCs/>
          <w:color w:val="000000"/>
          <w:kern w:val="0"/>
          <w:szCs w:val="21"/>
        </w:rPr>
        <w:t>□</w:t>
      </w:r>
      <w:r>
        <w:rPr>
          <w:rFonts w:hint="eastAsia" w:ascii="宋体" w:hAnsi="宋体" w:cs="宋体"/>
          <w:color w:val="000000"/>
          <w:kern w:val="0"/>
          <w:szCs w:val="21"/>
        </w:rPr>
        <w:t>存在下列利害关系：</w:t>
      </w:r>
    </w:p>
    <w:p>
      <w:pPr>
        <w:pStyle w:val="101"/>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A.投资关系    B.行政隶属关系    C.业务指导关系</w:t>
      </w:r>
    </w:p>
    <w:p>
      <w:pPr>
        <w:pStyle w:val="101"/>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r>
        <w:rPr>
          <w:rFonts w:hint="eastAsia" w:ascii="宋体" w:hAnsi="宋体" w:cs="宋体"/>
          <w:color w:val="000000"/>
          <w:kern w:val="0"/>
          <w:szCs w:val="21"/>
          <w:u w:val="single"/>
        </w:rPr>
        <w:t>（如有，请如实说明）</w:t>
      </w:r>
      <w:r>
        <w:rPr>
          <w:rFonts w:hint="eastAsia" w:ascii="宋体" w:hAnsi="宋体" w:cs="宋体"/>
          <w:color w:val="000000"/>
          <w:kern w:val="0"/>
          <w:szCs w:val="21"/>
        </w:rPr>
        <w:t>。</w:t>
      </w:r>
    </w:p>
    <w:p>
      <w:pPr>
        <w:pStyle w:val="101"/>
        <w:widowControl/>
        <w:snapToGrid w:val="0"/>
        <w:spacing w:line="360" w:lineRule="auto"/>
        <w:ind w:firstLine="444" w:firstLineChars="200"/>
        <w:rPr>
          <w:rFonts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r>
        <w:rPr>
          <w:rFonts w:hint="eastAsia" w:ascii="宋体" w:hAnsi="宋体" w:cs="宋体"/>
          <w:b/>
          <w:bCs/>
          <w:color w:val="000000"/>
          <w:kern w:val="0"/>
          <w:szCs w:val="21"/>
        </w:rPr>
        <w:t>□</w:t>
      </w:r>
      <w:r>
        <w:rPr>
          <w:rFonts w:hint="eastAsia" w:ascii="宋体" w:hAnsi="宋体" w:cs="宋体"/>
          <w:color w:val="000000"/>
          <w:kern w:val="0"/>
          <w:szCs w:val="21"/>
        </w:rPr>
        <w:t>与其他所有供应商之间均不存在利害关系</w:t>
      </w:r>
      <w:r>
        <w:rPr>
          <w:rFonts w:hint="eastAsia" w:ascii="宋体" w:hAnsi="宋体" w:cs="宋体"/>
          <w:b/>
          <w:bCs/>
          <w:color w:val="000000"/>
          <w:kern w:val="0"/>
          <w:szCs w:val="21"/>
        </w:rPr>
        <w:t>□</w:t>
      </w:r>
      <w:r>
        <w:rPr>
          <w:rFonts w:hint="eastAsia" w:ascii="宋体" w:hAnsi="宋体" w:cs="宋体"/>
          <w:color w:val="000000"/>
          <w:kern w:val="0"/>
          <w:szCs w:val="21"/>
        </w:rPr>
        <w:t>与</w:t>
      </w:r>
      <w:r>
        <w:rPr>
          <w:rFonts w:hint="eastAsia" w:ascii="宋体" w:hAnsi="宋体" w:cs="宋体"/>
          <w:color w:val="000000"/>
          <w:kern w:val="0"/>
          <w:szCs w:val="21"/>
          <w:u w:val="single"/>
        </w:rPr>
        <w:t xml:space="preserve">           </w:t>
      </w:r>
      <w:r>
        <w:rPr>
          <w:rFonts w:hint="eastAsia" w:ascii="宋体" w:hAnsi="宋体" w:cs="宋体"/>
          <w:color w:val="000000"/>
          <w:kern w:val="0"/>
          <w:szCs w:val="21"/>
        </w:rPr>
        <w:t>（供应商名称）之间存在下列利害关系：</w:t>
      </w:r>
    </w:p>
    <w:p>
      <w:pPr>
        <w:pStyle w:val="91"/>
        <w:snapToGrid w:val="0"/>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A.法定代表人或负责人或实际控制人是同一人；</w:t>
      </w:r>
    </w:p>
    <w:p>
      <w:pPr>
        <w:pStyle w:val="91"/>
        <w:snapToGrid w:val="0"/>
        <w:spacing w:line="360" w:lineRule="auto"/>
        <w:ind w:firstLine="420" w:firstLineChars="200"/>
        <w:rPr>
          <w:rFonts w:ascii="宋体" w:hAnsi="宋体" w:eastAsia="宋体" w:cs="宋体"/>
          <w:color w:val="000000"/>
          <w:spacing w:val="6"/>
          <w:szCs w:val="21"/>
        </w:rPr>
      </w:pPr>
      <w:r>
        <w:rPr>
          <w:rFonts w:hint="eastAsia" w:ascii="宋体" w:hAnsi="宋体" w:eastAsia="宋体" w:cs="宋体"/>
          <w:color w:val="000000"/>
          <w:kern w:val="0"/>
          <w:szCs w:val="21"/>
        </w:rPr>
        <w:t>B.法定代表人或负责人或实际控制人是夫妻关系；</w:t>
      </w:r>
    </w:p>
    <w:p>
      <w:pPr>
        <w:pStyle w:val="91"/>
        <w:snapToGrid w:val="0"/>
        <w:spacing w:line="360" w:lineRule="auto"/>
        <w:ind w:firstLine="420" w:firstLineChars="200"/>
        <w:rPr>
          <w:rFonts w:ascii="宋体" w:hAnsi="宋体" w:eastAsia="宋体" w:cs="宋体"/>
          <w:color w:val="000000"/>
          <w:spacing w:val="6"/>
          <w:szCs w:val="21"/>
        </w:rPr>
      </w:pPr>
      <w:r>
        <w:rPr>
          <w:rFonts w:hint="eastAsia" w:ascii="宋体" w:hAnsi="宋体" w:eastAsia="宋体" w:cs="宋体"/>
          <w:color w:val="000000"/>
          <w:kern w:val="0"/>
          <w:szCs w:val="21"/>
        </w:rPr>
        <w:t>C.法定代表人或负责人或实际控制人是直系血亲关系；</w:t>
      </w:r>
    </w:p>
    <w:p>
      <w:pPr>
        <w:pStyle w:val="91"/>
        <w:snapToGrid w:val="0"/>
        <w:spacing w:line="360" w:lineRule="auto"/>
        <w:ind w:firstLine="420" w:firstLineChars="200"/>
        <w:rPr>
          <w:rFonts w:ascii="宋体" w:hAnsi="宋体" w:eastAsia="宋体" w:cs="宋体"/>
          <w:color w:val="000000"/>
          <w:spacing w:val="6"/>
          <w:szCs w:val="21"/>
        </w:rPr>
      </w:pPr>
      <w:r>
        <w:rPr>
          <w:rFonts w:hint="eastAsia" w:ascii="宋体" w:hAnsi="宋体" w:eastAsia="宋体" w:cs="宋体"/>
          <w:color w:val="000000"/>
          <w:kern w:val="0"/>
          <w:szCs w:val="21"/>
        </w:rPr>
        <w:t>D.法定代表人或负责人或实际控制人存在三代以内旁系血亲关系；</w:t>
      </w:r>
    </w:p>
    <w:p>
      <w:pPr>
        <w:pStyle w:val="91"/>
        <w:snapToGrid w:val="0"/>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E.法定代表人或负责人或实际控制人存在近姻亲关系；</w:t>
      </w:r>
    </w:p>
    <w:p>
      <w:pPr>
        <w:pStyle w:val="91"/>
        <w:snapToGrid w:val="0"/>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F.法定代表人或负责人或实际控制人存在股份控制或实际控制关系；</w:t>
      </w:r>
    </w:p>
    <w:p>
      <w:pPr>
        <w:pStyle w:val="91"/>
        <w:snapToGrid w:val="0"/>
        <w:spacing w:line="360" w:lineRule="auto"/>
        <w:ind w:firstLine="420" w:firstLineChars="200"/>
        <w:outlineLvl w:val="0"/>
        <w:rPr>
          <w:rFonts w:ascii="宋体" w:hAnsi="宋体" w:eastAsia="宋体" w:cs="宋体"/>
          <w:color w:val="000000"/>
          <w:kern w:val="0"/>
          <w:szCs w:val="21"/>
        </w:rPr>
      </w:pPr>
      <w:bookmarkStart w:id="599" w:name="_Toc24414"/>
      <w:bookmarkStart w:id="600" w:name="_Toc6796"/>
      <w:bookmarkStart w:id="601" w:name="_Toc17443"/>
      <w:r>
        <w:rPr>
          <w:rFonts w:hint="eastAsia" w:ascii="宋体" w:hAnsi="宋体" w:eastAsia="宋体" w:cs="宋体"/>
          <w:color w:val="000000"/>
          <w:kern w:val="0"/>
          <w:szCs w:val="21"/>
        </w:rPr>
        <w:t>G.存在共同直接或间接投资设立子公司、联营企业和合营企业情况；</w:t>
      </w:r>
      <w:bookmarkEnd w:id="599"/>
      <w:bookmarkEnd w:id="600"/>
      <w:bookmarkEnd w:id="601"/>
    </w:p>
    <w:p>
      <w:pPr>
        <w:pStyle w:val="91"/>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rPr>
        <w:t>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pPr>
        <w:pStyle w:val="91"/>
        <w:snapToGrid w:val="0"/>
        <w:spacing w:line="360" w:lineRule="auto"/>
        <w:ind w:firstLine="420" w:firstLineChars="200"/>
        <w:rPr>
          <w:rFonts w:ascii="宋体" w:hAnsi="宋体" w:eastAsia="宋体" w:cs="宋体"/>
          <w:color w:val="000000"/>
          <w:spacing w:val="6"/>
          <w:szCs w:val="21"/>
        </w:rPr>
      </w:pPr>
      <w:r>
        <w:rPr>
          <w:rFonts w:hint="eastAsia" w:ascii="宋体" w:hAnsi="宋体" w:eastAsia="宋体" w:cs="宋体"/>
          <w:color w:val="000000"/>
          <w:szCs w:val="21"/>
        </w:rPr>
        <w:t>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szCs w:val="21"/>
          <w:u w:val="single"/>
        </w:rPr>
        <w:t xml:space="preserve">                                </w:t>
      </w:r>
      <w:r>
        <w:rPr>
          <w:rFonts w:hint="eastAsia" w:ascii="宋体" w:hAnsi="宋体" w:eastAsia="宋体" w:cs="宋体"/>
          <w:color w:val="000000"/>
          <w:kern w:val="0"/>
          <w:szCs w:val="21"/>
        </w:rPr>
        <w:t>。</w:t>
      </w:r>
    </w:p>
    <w:p>
      <w:pPr>
        <w:pStyle w:val="101"/>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pPr>
        <w:pStyle w:val="101"/>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四、我发现</w:t>
      </w:r>
      <w:r>
        <w:rPr>
          <w:rFonts w:hint="eastAsia" w:ascii="宋体" w:hAnsi="宋体" w:cs="宋体"/>
          <w:color w:val="000000"/>
          <w:kern w:val="0"/>
          <w:szCs w:val="21"/>
          <w:u w:val="single"/>
        </w:rPr>
        <w:t xml:space="preserve">              </w:t>
      </w:r>
      <w:r>
        <w:rPr>
          <w:rFonts w:hint="eastAsia" w:ascii="宋体" w:hAnsi="宋体" w:cs="宋体"/>
          <w:color w:val="000000"/>
          <w:kern w:val="0"/>
          <w:szCs w:val="21"/>
        </w:rPr>
        <w:t>供应商之间存在或可能存在上述第二条第</w:t>
      </w:r>
      <w:r>
        <w:rPr>
          <w:rFonts w:hint="eastAsia" w:ascii="宋体" w:hAnsi="宋体" w:cs="宋体"/>
          <w:color w:val="000000"/>
          <w:kern w:val="0"/>
          <w:szCs w:val="21"/>
          <w:u w:val="single"/>
        </w:rPr>
        <w:t xml:space="preserve">     </w:t>
      </w:r>
      <w:r>
        <w:rPr>
          <w:rFonts w:hint="eastAsia" w:ascii="宋体" w:hAnsi="宋体" w:cs="宋体"/>
          <w:color w:val="000000"/>
          <w:kern w:val="0"/>
          <w:szCs w:val="21"/>
        </w:rPr>
        <w:t>项利害关系。</w:t>
      </w:r>
    </w:p>
    <w:p>
      <w:pPr>
        <w:pStyle w:val="91"/>
        <w:snapToGrid w:val="0"/>
        <w:rPr>
          <w:rFonts w:ascii="宋体" w:hAnsi="宋体" w:eastAsia="宋体" w:cs="宋体"/>
          <w:color w:val="000000"/>
          <w:szCs w:val="21"/>
        </w:rPr>
      </w:pPr>
    </w:p>
    <w:p>
      <w:pPr>
        <w:pStyle w:val="91"/>
        <w:snapToGrid w:val="0"/>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 xml:space="preserve">                         </w:t>
      </w:r>
    </w:p>
    <w:p>
      <w:pPr>
        <w:pStyle w:val="91"/>
        <w:snapToGrid w:val="0"/>
        <w:ind w:firstLine="420" w:firstLineChars="200"/>
        <w:jc w:val="center"/>
        <w:rPr>
          <w:rFonts w:ascii="宋体" w:hAnsi="宋体" w:eastAsia="宋体" w:cs="宋体"/>
          <w:color w:val="000000"/>
          <w:szCs w:val="21"/>
        </w:rPr>
      </w:pPr>
    </w:p>
    <w:p>
      <w:pPr>
        <w:pStyle w:val="91"/>
        <w:snapToGrid w:val="0"/>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 xml:space="preserve">                               （供应商代表签名）：</w:t>
      </w:r>
    </w:p>
    <w:p>
      <w:pPr>
        <w:pStyle w:val="4"/>
        <w:jc w:val="center"/>
        <w:rPr>
          <w:rFonts w:eastAsia="宋体"/>
          <w:b w:val="0"/>
          <w:bCs w:val="0"/>
          <w:lang w:val="en-GB"/>
        </w:rPr>
      </w:pPr>
      <w:r>
        <w:rPr>
          <w:rFonts w:hint="eastAsia" w:ascii="宋体" w:hAnsi="宋体" w:eastAsia="宋体" w:cs="宋体"/>
          <w:b w:val="0"/>
          <w:bCs w:val="0"/>
          <w:color w:val="000000"/>
          <w:sz w:val="21"/>
          <w:szCs w:val="21"/>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8575"/>
    </w:sdtPr>
    <w:sdtContent>
      <w:p>
        <w:pPr>
          <w:pStyle w:val="22"/>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6"/>
      </w:pPr>
      <w:r>
        <w:rPr>
          <w:rStyle w:val="39"/>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ind w:right="-483" w:rightChars="-230"/>
      <w:rPr>
        <w:b/>
        <w:color w:val="808080"/>
        <w:kern w:val="0"/>
        <w:sz w:val="18"/>
        <w:u w:val="single"/>
      </w:rPr>
    </w:pPr>
  </w:p>
  <w:p>
    <w:pPr>
      <w:pBdr>
        <w:bottom w:val="single" w:color="auto" w:sz="4" w:space="0"/>
      </w:pBdr>
      <w:spacing w:line="20" w:lineRule="atLeast"/>
      <w:jc w:val="right"/>
      <w:rPr>
        <w:b/>
        <w:color w:val="808080"/>
        <w:kern w:val="0"/>
        <w:sz w:val="18"/>
        <w:u w:val="single"/>
      </w:rPr>
    </w:pPr>
    <w:r>
      <w:rPr>
        <w:rFonts w:hint="eastAsia" w:ascii="宋体" w:hAnsi="宋体" w:cs="Calibri Light"/>
        <w:color w:val="000000" w:themeColor="text1"/>
        <w:kern w:val="0"/>
        <w:szCs w:val="21"/>
      </w:rPr>
      <w:t>洪家街道鸿源社区“邻距里”综合体建设项目政府采购竞争性磋商文件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D15A0"/>
    <w:multiLevelType w:val="singleLevel"/>
    <w:tmpl w:val="F28D15A0"/>
    <w:lvl w:ilvl="0" w:tentative="0">
      <w:start w:val="4"/>
      <w:numFmt w:val="decimal"/>
      <w:suff w:val="nothing"/>
      <w:lvlText w:val="%1、"/>
      <w:lvlJc w:val="left"/>
    </w:lvl>
  </w:abstractNum>
  <w:abstractNum w:abstractNumId="1">
    <w:nsid w:val="01056740"/>
    <w:multiLevelType w:val="singleLevel"/>
    <w:tmpl w:val="01056740"/>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pStyle w:val="8"/>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pPr>
        <w:ind w:left="150"/>
      </w:pPr>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785F96"/>
    <w:multiLevelType w:val="singleLevel"/>
    <w:tmpl w:val="5C785F96"/>
    <w:lvl w:ilvl="0" w:tentative="0">
      <w:start w:val="2"/>
      <w:numFmt w:val="decimal"/>
      <w:suff w:val="nothing"/>
      <w:lvlText w:val="（%1）"/>
      <w:lvlJc w:val="left"/>
    </w:lvl>
  </w:abstractNum>
  <w:abstractNum w:abstractNumId="6">
    <w:nsid w:val="7530C6CB"/>
    <w:multiLevelType w:val="singleLevel"/>
    <w:tmpl w:val="7530C6CB"/>
    <w:lvl w:ilvl="0" w:tentative="0">
      <w:start w:val="10"/>
      <w:numFmt w:val="decimal"/>
      <w:suff w:val="nothing"/>
      <w:lvlText w:val="%1、"/>
      <w:lvlJc w:val="left"/>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ZhMGZmZGQ0M2Y2NTdjZGI4NWY5NDFkNmVkYzkzMmIifQ=="/>
  </w:docVars>
  <w:rsids>
    <w:rsidRoot w:val="00172A27"/>
    <w:rsid w:val="00002FCA"/>
    <w:rsid w:val="00003136"/>
    <w:rsid w:val="0000683A"/>
    <w:rsid w:val="000068E3"/>
    <w:rsid w:val="00007648"/>
    <w:rsid w:val="00007EDE"/>
    <w:rsid w:val="000113CF"/>
    <w:rsid w:val="00011562"/>
    <w:rsid w:val="00012B3E"/>
    <w:rsid w:val="00013A4D"/>
    <w:rsid w:val="000140CE"/>
    <w:rsid w:val="00014706"/>
    <w:rsid w:val="00014A3D"/>
    <w:rsid w:val="000171B6"/>
    <w:rsid w:val="00020CF0"/>
    <w:rsid w:val="0002114A"/>
    <w:rsid w:val="00023666"/>
    <w:rsid w:val="000238C2"/>
    <w:rsid w:val="00023980"/>
    <w:rsid w:val="0002421C"/>
    <w:rsid w:val="000242F7"/>
    <w:rsid w:val="00024749"/>
    <w:rsid w:val="000251CD"/>
    <w:rsid w:val="000300C0"/>
    <w:rsid w:val="00033334"/>
    <w:rsid w:val="00033E53"/>
    <w:rsid w:val="000343BB"/>
    <w:rsid w:val="00034FCB"/>
    <w:rsid w:val="000363A5"/>
    <w:rsid w:val="00037C6B"/>
    <w:rsid w:val="00040BE3"/>
    <w:rsid w:val="00041326"/>
    <w:rsid w:val="000427A3"/>
    <w:rsid w:val="00044A59"/>
    <w:rsid w:val="000505C2"/>
    <w:rsid w:val="00055B21"/>
    <w:rsid w:val="00057F44"/>
    <w:rsid w:val="00057F8A"/>
    <w:rsid w:val="00060E9E"/>
    <w:rsid w:val="000618F0"/>
    <w:rsid w:val="00061DEA"/>
    <w:rsid w:val="00062836"/>
    <w:rsid w:val="000643FA"/>
    <w:rsid w:val="00064887"/>
    <w:rsid w:val="00067CE3"/>
    <w:rsid w:val="000710A0"/>
    <w:rsid w:val="0007117D"/>
    <w:rsid w:val="00072B07"/>
    <w:rsid w:val="00075CEE"/>
    <w:rsid w:val="00076373"/>
    <w:rsid w:val="00077A92"/>
    <w:rsid w:val="00084D51"/>
    <w:rsid w:val="0008673F"/>
    <w:rsid w:val="00087EDA"/>
    <w:rsid w:val="00090125"/>
    <w:rsid w:val="00090C06"/>
    <w:rsid w:val="00092528"/>
    <w:rsid w:val="0009289D"/>
    <w:rsid w:val="00093886"/>
    <w:rsid w:val="0009724B"/>
    <w:rsid w:val="0009771D"/>
    <w:rsid w:val="000A1651"/>
    <w:rsid w:val="000A1947"/>
    <w:rsid w:val="000A1D07"/>
    <w:rsid w:val="000A28D4"/>
    <w:rsid w:val="000A3E87"/>
    <w:rsid w:val="000A5FE4"/>
    <w:rsid w:val="000A6575"/>
    <w:rsid w:val="000A7D5A"/>
    <w:rsid w:val="000B6B0B"/>
    <w:rsid w:val="000B736F"/>
    <w:rsid w:val="000B7D2A"/>
    <w:rsid w:val="000C0B10"/>
    <w:rsid w:val="000C31A9"/>
    <w:rsid w:val="000C41E2"/>
    <w:rsid w:val="000C45B2"/>
    <w:rsid w:val="000C5B76"/>
    <w:rsid w:val="000C6D68"/>
    <w:rsid w:val="000D0BF3"/>
    <w:rsid w:val="000D34D3"/>
    <w:rsid w:val="000D4371"/>
    <w:rsid w:val="000D4788"/>
    <w:rsid w:val="000D592D"/>
    <w:rsid w:val="000D5DAD"/>
    <w:rsid w:val="000E0FB3"/>
    <w:rsid w:val="000E1A6D"/>
    <w:rsid w:val="000E308E"/>
    <w:rsid w:val="000E3830"/>
    <w:rsid w:val="000E4D3D"/>
    <w:rsid w:val="000E7A67"/>
    <w:rsid w:val="000F2A3C"/>
    <w:rsid w:val="000F351F"/>
    <w:rsid w:val="000F39B8"/>
    <w:rsid w:val="000F3DC1"/>
    <w:rsid w:val="000F67CA"/>
    <w:rsid w:val="000F6C6B"/>
    <w:rsid w:val="000F7A33"/>
    <w:rsid w:val="00101B7B"/>
    <w:rsid w:val="00104099"/>
    <w:rsid w:val="00104C65"/>
    <w:rsid w:val="0010589B"/>
    <w:rsid w:val="00111749"/>
    <w:rsid w:val="00111E1B"/>
    <w:rsid w:val="00112B03"/>
    <w:rsid w:val="001139FC"/>
    <w:rsid w:val="001143E8"/>
    <w:rsid w:val="00114E4B"/>
    <w:rsid w:val="00114EF2"/>
    <w:rsid w:val="00116C9D"/>
    <w:rsid w:val="001216D2"/>
    <w:rsid w:val="001224C6"/>
    <w:rsid w:val="00122777"/>
    <w:rsid w:val="00122D50"/>
    <w:rsid w:val="001230AB"/>
    <w:rsid w:val="00123DC3"/>
    <w:rsid w:val="00125D09"/>
    <w:rsid w:val="001318A9"/>
    <w:rsid w:val="001319F6"/>
    <w:rsid w:val="00131B16"/>
    <w:rsid w:val="001341B3"/>
    <w:rsid w:val="001346F0"/>
    <w:rsid w:val="00134E23"/>
    <w:rsid w:val="00135FCE"/>
    <w:rsid w:val="00135FE3"/>
    <w:rsid w:val="001374B6"/>
    <w:rsid w:val="0013792F"/>
    <w:rsid w:val="00140EC9"/>
    <w:rsid w:val="0014128E"/>
    <w:rsid w:val="001427EF"/>
    <w:rsid w:val="00142C82"/>
    <w:rsid w:val="001446DB"/>
    <w:rsid w:val="001451E4"/>
    <w:rsid w:val="001455A1"/>
    <w:rsid w:val="00147C0A"/>
    <w:rsid w:val="001501C0"/>
    <w:rsid w:val="00151661"/>
    <w:rsid w:val="001516AF"/>
    <w:rsid w:val="00151CF7"/>
    <w:rsid w:val="00153F10"/>
    <w:rsid w:val="00154E75"/>
    <w:rsid w:val="00156091"/>
    <w:rsid w:val="00156ED6"/>
    <w:rsid w:val="001574E8"/>
    <w:rsid w:val="00157CCB"/>
    <w:rsid w:val="00161076"/>
    <w:rsid w:val="00163234"/>
    <w:rsid w:val="0016361A"/>
    <w:rsid w:val="0016560E"/>
    <w:rsid w:val="00165E2E"/>
    <w:rsid w:val="00166939"/>
    <w:rsid w:val="00166951"/>
    <w:rsid w:val="00166D22"/>
    <w:rsid w:val="001707B1"/>
    <w:rsid w:val="00171617"/>
    <w:rsid w:val="00171CB7"/>
    <w:rsid w:val="00172A27"/>
    <w:rsid w:val="00175B4D"/>
    <w:rsid w:val="001771E5"/>
    <w:rsid w:val="001778D7"/>
    <w:rsid w:val="00181F9E"/>
    <w:rsid w:val="001830C2"/>
    <w:rsid w:val="001868AB"/>
    <w:rsid w:val="00186E9E"/>
    <w:rsid w:val="00190B97"/>
    <w:rsid w:val="00191356"/>
    <w:rsid w:val="0019183A"/>
    <w:rsid w:val="00196345"/>
    <w:rsid w:val="00196BAF"/>
    <w:rsid w:val="00196BFC"/>
    <w:rsid w:val="00196E50"/>
    <w:rsid w:val="00197336"/>
    <w:rsid w:val="00197EA5"/>
    <w:rsid w:val="00197F0C"/>
    <w:rsid w:val="001A030C"/>
    <w:rsid w:val="001A16E0"/>
    <w:rsid w:val="001A4EAF"/>
    <w:rsid w:val="001A52BE"/>
    <w:rsid w:val="001A554A"/>
    <w:rsid w:val="001A6152"/>
    <w:rsid w:val="001B1F87"/>
    <w:rsid w:val="001B20AE"/>
    <w:rsid w:val="001B22C4"/>
    <w:rsid w:val="001B2AA9"/>
    <w:rsid w:val="001B40C9"/>
    <w:rsid w:val="001B587D"/>
    <w:rsid w:val="001B59DD"/>
    <w:rsid w:val="001B64C1"/>
    <w:rsid w:val="001C0B89"/>
    <w:rsid w:val="001C7567"/>
    <w:rsid w:val="001D10E8"/>
    <w:rsid w:val="001D1DB2"/>
    <w:rsid w:val="001D2842"/>
    <w:rsid w:val="001D3188"/>
    <w:rsid w:val="001D4467"/>
    <w:rsid w:val="001D4752"/>
    <w:rsid w:val="001D53D7"/>
    <w:rsid w:val="001D6883"/>
    <w:rsid w:val="001D7F0C"/>
    <w:rsid w:val="001E0D09"/>
    <w:rsid w:val="001E4207"/>
    <w:rsid w:val="001E6596"/>
    <w:rsid w:val="001E66E4"/>
    <w:rsid w:val="001E738B"/>
    <w:rsid w:val="001E7EDC"/>
    <w:rsid w:val="001F00FE"/>
    <w:rsid w:val="001F6CBB"/>
    <w:rsid w:val="00200C86"/>
    <w:rsid w:val="0020116D"/>
    <w:rsid w:val="0020161D"/>
    <w:rsid w:val="00202892"/>
    <w:rsid w:val="00202F01"/>
    <w:rsid w:val="00203F60"/>
    <w:rsid w:val="00204B47"/>
    <w:rsid w:val="00205B28"/>
    <w:rsid w:val="00206D1D"/>
    <w:rsid w:val="00207A5A"/>
    <w:rsid w:val="002116C9"/>
    <w:rsid w:val="00214AF7"/>
    <w:rsid w:val="00215D9B"/>
    <w:rsid w:val="00216D7A"/>
    <w:rsid w:val="00216F12"/>
    <w:rsid w:val="002176DB"/>
    <w:rsid w:val="00217E6D"/>
    <w:rsid w:val="00220726"/>
    <w:rsid w:val="00225CDE"/>
    <w:rsid w:val="00225EE4"/>
    <w:rsid w:val="002272C6"/>
    <w:rsid w:val="00231A93"/>
    <w:rsid w:val="00234C48"/>
    <w:rsid w:val="00235351"/>
    <w:rsid w:val="00240849"/>
    <w:rsid w:val="00241EB4"/>
    <w:rsid w:val="00244053"/>
    <w:rsid w:val="00246F9E"/>
    <w:rsid w:val="00247660"/>
    <w:rsid w:val="0025079B"/>
    <w:rsid w:val="00251A01"/>
    <w:rsid w:val="00252C30"/>
    <w:rsid w:val="00254AC0"/>
    <w:rsid w:val="00255016"/>
    <w:rsid w:val="00256CB0"/>
    <w:rsid w:val="00256F23"/>
    <w:rsid w:val="00257A80"/>
    <w:rsid w:val="002600D1"/>
    <w:rsid w:val="00260934"/>
    <w:rsid w:val="00260D3C"/>
    <w:rsid w:val="0026109B"/>
    <w:rsid w:val="002635F8"/>
    <w:rsid w:val="00263B66"/>
    <w:rsid w:val="00264884"/>
    <w:rsid w:val="00270EB6"/>
    <w:rsid w:val="00271703"/>
    <w:rsid w:val="00273B2A"/>
    <w:rsid w:val="002760D9"/>
    <w:rsid w:val="0027782E"/>
    <w:rsid w:val="0028252E"/>
    <w:rsid w:val="0028341C"/>
    <w:rsid w:val="00283D1F"/>
    <w:rsid w:val="00284789"/>
    <w:rsid w:val="00285DFC"/>
    <w:rsid w:val="0028757B"/>
    <w:rsid w:val="00287BAB"/>
    <w:rsid w:val="00290A35"/>
    <w:rsid w:val="00291659"/>
    <w:rsid w:val="0029248E"/>
    <w:rsid w:val="002930C3"/>
    <w:rsid w:val="002947E2"/>
    <w:rsid w:val="00296AEA"/>
    <w:rsid w:val="0029708C"/>
    <w:rsid w:val="002A0F35"/>
    <w:rsid w:val="002A18EC"/>
    <w:rsid w:val="002A28B7"/>
    <w:rsid w:val="002A30A4"/>
    <w:rsid w:val="002A539D"/>
    <w:rsid w:val="002A56A9"/>
    <w:rsid w:val="002B04BE"/>
    <w:rsid w:val="002B06E4"/>
    <w:rsid w:val="002B08C7"/>
    <w:rsid w:val="002B171E"/>
    <w:rsid w:val="002B2D82"/>
    <w:rsid w:val="002B3107"/>
    <w:rsid w:val="002B31D9"/>
    <w:rsid w:val="002B55FC"/>
    <w:rsid w:val="002B56C9"/>
    <w:rsid w:val="002B67AD"/>
    <w:rsid w:val="002C00DB"/>
    <w:rsid w:val="002C2318"/>
    <w:rsid w:val="002C3AF4"/>
    <w:rsid w:val="002C595B"/>
    <w:rsid w:val="002C7644"/>
    <w:rsid w:val="002D0961"/>
    <w:rsid w:val="002D1599"/>
    <w:rsid w:val="002D3351"/>
    <w:rsid w:val="002D3C2B"/>
    <w:rsid w:val="002D45CE"/>
    <w:rsid w:val="002D47DD"/>
    <w:rsid w:val="002D4E9E"/>
    <w:rsid w:val="002D6080"/>
    <w:rsid w:val="002D6769"/>
    <w:rsid w:val="002E0695"/>
    <w:rsid w:val="002E12F2"/>
    <w:rsid w:val="002E168E"/>
    <w:rsid w:val="002E1E8B"/>
    <w:rsid w:val="002E4AD2"/>
    <w:rsid w:val="002E4B72"/>
    <w:rsid w:val="002E665C"/>
    <w:rsid w:val="002E7F7A"/>
    <w:rsid w:val="002F13C8"/>
    <w:rsid w:val="002F14B6"/>
    <w:rsid w:val="002F1F7F"/>
    <w:rsid w:val="002F2E84"/>
    <w:rsid w:val="002F384A"/>
    <w:rsid w:val="002F52DF"/>
    <w:rsid w:val="002F5AB8"/>
    <w:rsid w:val="002F61FA"/>
    <w:rsid w:val="002F67C7"/>
    <w:rsid w:val="002F6ED1"/>
    <w:rsid w:val="00301700"/>
    <w:rsid w:val="00301FF1"/>
    <w:rsid w:val="00302B3E"/>
    <w:rsid w:val="0030359F"/>
    <w:rsid w:val="0030490C"/>
    <w:rsid w:val="00305546"/>
    <w:rsid w:val="003071D7"/>
    <w:rsid w:val="0031039D"/>
    <w:rsid w:val="0031041F"/>
    <w:rsid w:val="00314627"/>
    <w:rsid w:val="00314F2B"/>
    <w:rsid w:val="00317C2F"/>
    <w:rsid w:val="0032065E"/>
    <w:rsid w:val="00321186"/>
    <w:rsid w:val="00321974"/>
    <w:rsid w:val="00321BE3"/>
    <w:rsid w:val="00321C34"/>
    <w:rsid w:val="00321DE2"/>
    <w:rsid w:val="003231FE"/>
    <w:rsid w:val="00323A73"/>
    <w:rsid w:val="003261EA"/>
    <w:rsid w:val="003263D5"/>
    <w:rsid w:val="0033046C"/>
    <w:rsid w:val="00331D38"/>
    <w:rsid w:val="00331F32"/>
    <w:rsid w:val="00331FFC"/>
    <w:rsid w:val="0033249C"/>
    <w:rsid w:val="003341A5"/>
    <w:rsid w:val="0033564A"/>
    <w:rsid w:val="00336C3E"/>
    <w:rsid w:val="00336F8A"/>
    <w:rsid w:val="00340F4F"/>
    <w:rsid w:val="00342053"/>
    <w:rsid w:val="003430D2"/>
    <w:rsid w:val="003439C0"/>
    <w:rsid w:val="00343FB7"/>
    <w:rsid w:val="003448C9"/>
    <w:rsid w:val="00345156"/>
    <w:rsid w:val="00347829"/>
    <w:rsid w:val="003505FE"/>
    <w:rsid w:val="0035233F"/>
    <w:rsid w:val="003625A2"/>
    <w:rsid w:val="00366A7A"/>
    <w:rsid w:val="003671A6"/>
    <w:rsid w:val="003672EE"/>
    <w:rsid w:val="00370436"/>
    <w:rsid w:val="003719D5"/>
    <w:rsid w:val="00372507"/>
    <w:rsid w:val="00372B98"/>
    <w:rsid w:val="00372E53"/>
    <w:rsid w:val="003738F0"/>
    <w:rsid w:val="00374028"/>
    <w:rsid w:val="00374CB0"/>
    <w:rsid w:val="00376057"/>
    <w:rsid w:val="00376175"/>
    <w:rsid w:val="003769A9"/>
    <w:rsid w:val="00376C70"/>
    <w:rsid w:val="00377352"/>
    <w:rsid w:val="00377566"/>
    <w:rsid w:val="00380683"/>
    <w:rsid w:val="00380C56"/>
    <w:rsid w:val="00381DA3"/>
    <w:rsid w:val="003861C0"/>
    <w:rsid w:val="00386D57"/>
    <w:rsid w:val="00387546"/>
    <w:rsid w:val="003915F1"/>
    <w:rsid w:val="00391A88"/>
    <w:rsid w:val="00395AF8"/>
    <w:rsid w:val="00397A50"/>
    <w:rsid w:val="003A3B71"/>
    <w:rsid w:val="003A4B1B"/>
    <w:rsid w:val="003A53DD"/>
    <w:rsid w:val="003A739A"/>
    <w:rsid w:val="003A783D"/>
    <w:rsid w:val="003B04B4"/>
    <w:rsid w:val="003B192D"/>
    <w:rsid w:val="003B1E1B"/>
    <w:rsid w:val="003B3825"/>
    <w:rsid w:val="003B4505"/>
    <w:rsid w:val="003B51FB"/>
    <w:rsid w:val="003B7536"/>
    <w:rsid w:val="003C0536"/>
    <w:rsid w:val="003C1341"/>
    <w:rsid w:val="003C662E"/>
    <w:rsid w:val="003D06E7"/>
    <w:rsid w:val="003D22B7"/>
    <w:rsid w:val="003D3BED"/>
    <w:rsid w:val="003D3CFD"/>
    <w:rsid w:val="003D4200"/>
    <w:rsid w:val="003D5AA1"/>
    <w:rsid w:val="003D7521"/>
    <w:rsid w:val="003E1AB7"/>
    <w:rsid w:val="003E1D65"/>
    <w:rsid w:val="003E1F1A"/>
    <w:rsid w:val="003E2A40"/>
    <w:rsid w:val="003E4624"/>
    <w:rsid w:val="003E68C8"/>
    <w:rsid w:val="003E6B73"/>
    <w:rsid w:val="003E6CF0"/>
    <w:rsid w:val="003F028E"/>
    <w:rsid w:val="003F25A4"/>
    <w:rsid w:val="003F312C"/>
    <w:rsid w:val="003F5720"/>
    <w:rsid w:val="003F693E"/>
    <w:rsid w:val="004029D8"/>
    <w:rsid w:val="00402B23"/>
    <w:rsid w:val="00404410"/>
    <w:rsid w:val="00405E5A"/>
    <w:rsid w:val="00410A27"/>
    <w:rsid w:val="0041340F"/>
    <w:rsid w:val="0041416B"/>
    <w:rsid w:val="004147D9"/>
    <w:rsid w:val="0041528D"/>
    <w:rsid w:val="004207DE"/>
    <w:rsid w:val="00420A2D"/>
    <w:rsid w:val="00420FB0"/>
    <w:rsid w:val="004242A6"/>
    <w:rsid w:val="00424ECB"/>
    <w:rsid w:val="004250B3"/>
    <w:rsid w:val="004270B4"/>
    <w:rsid w:val="00430B02"/>
    <w:rsid w:val="004330F7"/>
    <w:rsid w:val="00435E43"/>
    <w:rsid w:val="004402E3"/>
    <w:rsid w:val="0044224A"/>
    <w:rsid w:val="00442463"/>
    <w:rsid w:val="00442492"/>
    <w:rsid w:val="004426F5"/>
    <w:rsid w:val="00445DBE"/>
    <w:rsid w:val="00450129"/>
    <w:rsid w:val="00452557"/>
    <w:rsid w:val="004542DD"/>
    <w:rsid w:val="00456F48"/>
    <w:rsid w:val="004570CE"/>
    <w:rsid w:val="00457B04"/>
    <w:rsid w:val="0046059F"/>
    <w:rsid w:val="00463D64"/>
    <w:rsid w:val="00465D93"/>
    <w:rsid w:val="004663F2"/>
    <w:rsid w:val="00466D4E"/>
    <w:rsid w:val="00471905"/>
    <w:rsid w:val="00471C96"/>
    <w:rsid w:val="00472DDC"/>
    <w:rsid w:val="00473736"/>
    <w:rsid w:val="004743FD"/>
    <w:rsid w:val="004775F2"/>
    <w:rsid w:val="0048493E"/>
    <w:rsid w:val="00490148"/>
    <w:rsid w:val="00491AB3"/>
    <w:rsid w:val="004921ED"/>
    <w:rsid w:val="004932F9"/>
    <w:rsid w:val="00493974"/>
    <w:rsid w:val="00493DC3"/>
    <w:rsid w:val="00496264"/>
    <w:rsid w:val="004A025E"/>
    <w:rsid w:val="004A0E97"/>
    <w:rsid w:val="004A2C45"/>
    <w:rsid w:val="004A4A3D"/>
    <w:rsid w:val="004A4ACE"/>
    <w:rsid w:val="004A64B3"/>
    <w:rsid w:val="004A64F8"/>
    <w:rsid w:val="004A6646"/>
    <w:rsid w:val="004B0642"/>
    <w:rsid w:val="004B0C7C"/>
    <w:rsid w:val="004B30C4"/>
    <w:rsid w:val="004B4106"/>
    <w:rsid w:val="004C1411"/>
    <w:rsid w:val="004C537A"/>
    <w:rsid w:val="004C6B67"/>
    <w:rsid w:val="004C6BF3"/>
    <w:rsid w:val="004C6C06"/>
    <w:rsid w:val="004C70D5"/>
    <w:rsid w:val="004C7215"/>
    <w:rsid w:val="004D0AB5"/>
    <w:rsid w:val="004D0D99"/>
    <w:rsid w:val="004D1B4F"/>
    <w:rsid w:val="004D23EA"/>
    <w:rsid w:val="004D4442"/>
    <w:rsid w:val="004D4E7A"/>
    <w:rsid w:val="004E00CB"/>
    <w:rsid w:val="004E1B0E"/>
    <w:rsid w:val="004E2E89"/>
    <w:rsid w:val="004E3290"/>
    <w:rsid w:val="004E6325"/>
    <w:rsid w:val="004E656C"/>
    <w:rsid w:val="004E7BD8"/>
    <w:rsid w:val="004F2203"/>
    <w:rsid w:val="004F3E91"/>
    <w:rsid w:val="004F4E3B"/>
    <w:rsid w:val="004F53F0"/>
    <w:rsid w:val="004F6293"/>
    <w:rsid w:val="004F6578"/>
    <w:rsid w:val="004F7945"/>
    <w:rsid w:val="00501A03"/>
    <w:rsid w:val="00502A79"/>
    <w:rsid w:val="00503BCD"/>
    <w:rsid w:val="005063AF"/>
    <w:rsid w:val="005078C0"/>
    <w:rsid w:val="0051052F"/>
    <w:rsid w:val="00512DC3"/>
    <w:rsid w:val="00514CCC"/>
    <w:rsid w:val="0051513C"/>
    <w:rsid w:val="005256DD"/>
    <w:rsid w:val="005259D4"/>
    <w:rsid w:val="0052619C"/>
    <w:rsid w:val="00527BD5"/>
    <w:rsid w:val="00530F94"/>
    <w:rsid w:val="0053244F"/>
    <w:rsid w:val="00535198"/>
    <w:rsid w:val="00535CD7"/>
    <w:rsid w:val="005423FB"/>
    <w:rsid w:val="0054436A"/>
    <w:rsid w:val="005463F7"/>
    <w:rsid w:val="00547552"/>
    <w:rsid w:val="00547C56"/>
    <w:rsid w:val="00550FCC"/>
    <w:rsid w:val="00551E5F"/>
    <w:rsid w:val="00554569"/>
    <w:rsid w:val="00554938"/>
    <w:rsid w:val="00555C6C"/>
    <w:rsid w:val="00561E85"/>
    <w:rsid w:val="00562B0A"/>
    <w:rsid w:val="00563CD5"/>
    <w:rsid w:val="00564D79"/>
    <w:rsid w:val="005661F2"/>
    <w:rsid w:val="00566B89"/>
    <w:rsid w:val="00567E6E"/>
    <w:rsid w:val="00571317"/>
    <w:rsid w:val="00573A94"/>
    <w:rsid w:val="0058022E"/>
    <w:rsid w:val="0058067C"/>
    <w:rsid w:val="00581FE0"/>
    <w:rsid w:val="00583337"/>
    <w:rsid w:val="00583898"/>
    <w:rsid w:val="00590BA1"/>
    <w:rsid w:val="00591512"/>
    <w:rsid w:val="00591899"/>
    <w:rsid w:val="00592579"/>
    <w:rsid w:val="005927DD"/>
    <w:rsid w:val="00593FE4"/>
    <w:rsid w:val="00596B7C"/>
    <w:rsid w:val="005A04B7"/>
    <w:rsid w:val="005A0A5C"/>
    <w:rsid w:val="005A0CDF"/>
    <w:rsid w:val="005A101B"/>
    <w:rsid w:val="005A4133"/>
    <w:rsid w:val="005A5FA1"/>
    <w:rsid w:val="005B04A2"/>
    <w:rsid w:val="005B2CB7"/>
    <w:rsid w:val="005B3546"/>
    <w:rsid w:val="005B4F70"/>
    <w:rsid w:val="005B5F8B"/>
    <w:rsid w:val="005B7068"/>
    <w:rsid w:val="005C0078"/>
    <w:rsid w:val="005C4E74"/>
    <w:rsid w:val="005C63E0"/>
    <w:rsid w:val="005C6F29"/>
    <w:rsid w:val="005D1D0A"/>
    <w:rsid w:val="005E0C06"/>
    <w:rsid w:val="005E1015"/>
    <w:rsid w:val="005E35DC"/>
    <w:rsid w:val="005E440B"/>
    <w:rsid w:val="005E44AE"/>
    <w:rsid w:val="005E488C"/>
    <w:rsid w:val="005E7696"/>
    <w:rsid w:val="005E7BDA"/>
    <w:rsid w:val="005F0879"/>
    <w:rsid w:val="005F20E6"/>
    <w:rsid w:val="005F383E"/>
    <w:rsid w:val="005F4CD0"/>
    <w:rsid w:val="005F5F0B"/>
    <w:rsid w:val="005F673A"/>
    <w:rsid w:val="005F6A48"/>
    <w:rsid w:val="006010CF"/>
    <w:rsid w:val="006060DE"/>
    <w:rsid w:val="00606B63"/>
    <w:rsid w:val="00610CE1"/>
    <w:rsid w:val="00612386"/>
    <w:rsid w:val="00613303"/>
    <w:rsid w:val="00616401"/>
    <w:rsid w:val="006169D1"/>
    <w:rsid w:val="00617444"/>
    <w:rsid w:val="00617909"/>
    <w:rsid w:val="00625233"/>
    <w:rsid w:val="00625394"/>
    <w:rsid w:val="006261DB"/>
    <w:rsid w:val="006268BF"/>
    <w:rsid w:val="00627192"/>
    <w:rsid w:val="00627531"/>
    <w:rsid w:val="00631F62"/>
    <w:rsid w:val="00632D0D"/>
    <w:rsid w:val="00634A6F"/>
    <w:rsid w:val="00634FB1"/>
    <w:rsid w:val="006350F0"/>
    <w:rsid w:val="00635D0C"/>
    <w:rsid w:val="0063604F"/>
    <w:rsid w:val="00637E20"/>
    <w:rsid w:val="006416F1"/>
    <w:rsid w:val="00642C8C"/>
    <w:rsid w:val="006439F3"/>
    <w:rsid w:val="00644F81"/>
    <w:rsid w:val="006453E4"/>
    <w:rsid w:val="00645549"/>
    <w:rsid w:val="00645967"/>
    <w:rsid w:val="00645BD2"/>
    <w:rsid w:val="0064660D"/>
    <w:rsid w:val="006475F2"/>
    <w:rsid w:val="006525B5"/>
    <w:rsid w:val="00655271"/>
    <w:rsid w:val="006552D9"/>
    <w:rsid w:val="006616BF"/>
    <w:rsid w:val="00661F52"/>
    <w:rsid w:val="006624C3"/>
    <w:rsid w:val="00664A3A"/>
    <w:rsid w:val="00667162"/>
    <w:rsid w:val="006707D6"/>
    <w:rsid w:val="00670DAC"/>
    <w:rsid w:val="006714C1"/>
    <w:rsid w:val="00671A9F"/>
    <w:rsid w:val="006741FF"/>
    <w:rsid w:val="006759BA"/>
    <w:rsid w:val="00675B75"/>
    <w:rsid w:val="006768C3"/>
    <w:rsid w:val="00681473"/>
    <w:rsid w:val="006819F7"/>
    <w:rsid w:val="00683339"/>
    <w:rsid w:val="006864F9"/>
    <w:rsid w:val="00686C9F"/>
    <w:rsid w:val="00690C98"/>
    <w:rsid w:val="006911DD"/>
    <w:rsid w:val="006933A8"/>
    <w:rsid w:val="006946DC"/>
    <w:rsid w:val="00694EAB"/>
    <w:rsid w:val="00695A94"/>
    <w:rsid w:val="00695DBD"/>
    <w:rsid w:val="00695E5C"/>
    <w:rsid w:val="00697352"/>
    <w:rsid w:val="006A0D62"/>
    <w:rsid w:val="006A1349"/>
    <w:rsid w:val="006A17F8"/>
    <w:rsid w:val="006A3442"/>
    <w:rsid w:val="006A3497"/>
    <w:rsid w:val="006A54BE"/>
    <w:rsid w:val="006B1A8C"/>
    <w:rsid w:val="006B6284"/>
    <w:rsid w:val="006C6130"/>
    <w:rsid w:val="006C616C"/>
    <w:rsid w:val="006C6F95"/>
    <w:rsid w:val="006D113F"/>
    <w:rsid w:val="006D14F1"/>
    <w:rsid w:val="006D26F8"/>
    <w:rsid w:val="006D3B16"/>
    <w:rsid w:val="006D5F00"/>
    <w:rsid w:val="006D623E"/>
    <w:rsid w:val="006D79D2"/>
    <w:rsid w:val="006E4349"/>
    <w:rsid w:val="006E6485"/>
    <w:rsid w:val="006F1EF4"/>
    <w:rsid w:val="006F1FF3"/>
    <w:rsid w:val="006F2265"/>
    <w:rsid w:val="006F3885"/>
    <w:rsid w:val="006F3D05"/>
    <w:rsid w:val="00700A76"/>
    <w:rsid w:val="007106F0"/>
    <w:rsid w:val="00711296"/>
    <w:rsid w:val="0071229C"/>
    <w:rsid w:val="00712B61"/>
    <w:rsid w:val="0071578B"/>
    <w:rsid w:val="00717067"/>
    <w:rsid w:val="007172C4"/>
    <w:rsid w:val="00721909"/>
    <w:rsid w:val="00721EC7"/>
    <w:rsid w:val="007230B2"/>
    <w:rsid w:val="007232E8"/>
    <w:rsid w:val="007306A5"/>
    <w:rsid w:val="0073081E"/>
    <w:rsid w:val="007313D6"/>
    <w:rsid w:val="007317FC"/>
    <w:rsid w:val="00732174"/>
    <w:rsid w:val="00733435"/>
    <w:rsid w:val="00733FD9"/>
    <w:rsid w:val="0073498A"/>
    <w:rsid w:val="00735B51"/>
    <w:rsid w:val="00740393"/>
    <w:rsid w:val="007404A5"/>
    <w:rsid w:val="007412C2"/>
    <w:rsid w:val="00741407"/>
    <w:rsid w:val="00742509"/>
    <w:rsid w:val="00744D37"/>
    <w:rsid w:val="007459E9"/>
    <w:rsid w:val="00746409"/>
    <w:rsid w:val="007507FC"/>
    <w:rsid w:val="00750954"/>
    <w:rsid w:val="007514D5"/>
    <w:rsid w:val="00753022"/>
    <w:rsid w:val="00753C4C"/>
    <w:rsid w:val="0075462B"/>
    <w:rsid w:val="00754894"/>
    <w:rsid w:val="00755E00"/>
    <w:rsid w:val="00760825"/>
    <w:rsid w:val="0076335B"/>
    <w:rsid w:val="00764672"/>
    <w:rsid w:val="00765C3E"/>
    <w:rsid w:val="00770B44"/>
    <w:rsid w:val="00771A4A"/>
    <w:rsid w:val="00772D71"/>
    <w:rsid w:val="0077324E"/>
    <w:rsid w:val="00780CB7"/>
    <w:rsid w:val="0078140D"/>
    <w:rsid w:val="00781FA9"/>
    <w:rsid w:val="007822AB"/>
    <w:rsid w:val="00782F73"/>
    <w:rsid w:val="00783FF2"/>
    <w:rsid w:val="00785AED"/>
    <w:rsid w:val="0078605D"/>
    <w:rsid w:val="00787152"/>
    <w:rsid w:val="00797397"/>
    <w:rsid w:val="007A0958"/>
    <w:rsid w:val="007A1E54"/>
    <w:rsid w:val="007A45F0"/>
    <w:rsid w:val="007A573B"/>
    <w:rsid w:val="007A5BF9"/>
    <w:rsid w:val="007A6B99"/>
    <w:rsid w:val="007B1D1F"/>
    <w:rsid w:val="007B30B3"/>
    <w:rsid w:val="007B4129"/>
    <w:rsid w:val="007B55D1"/>
    <w:rsid w:val="007B689E"/>
    <w:rsid w:val="007C17BC"/>
    <w:rsid w:val="007C3807"/>
    <w:rsid w:val="007C68C9"/>
    <w:rsid w:val="007C6B58"/>
    <w:rsid w:val="007C75D4"/>
    <w:rsid w:val="007D007C"/>
    <w:rsid w:val="007D0EBB"/>
    <w:rsid w:val="007D3652"/>
    <w:rsid w:val="007D54B5"/>
    <w:rsid w:val="007D62CB"/>
    <w:rsid w:val="007D7293"/>
    <w:rsid w:val="007E08DA"/>
    <w:rsid w:val="007E1544"/>
    <w:rsid w:val="007E2766"/>
    <w:rsid w:val="007E2ECB"/>
    <w:rsid w:val="007E53C3"/>
    <w:rsid w:val="007E6261"/>
    <w:rsid w:val="007E7C12"/>
    <w:rsid w:val="007F1AF6"/>
    <w:rsid w:val="007F240B"/>
    <w:rsid w:val="007F3155"/>
    <w:rsid w:val="007F333B"/>
    <w:rsid w:val="007F3F07"/>
    <w:rsid w:val="007F4149"/>
    <w:rsid w:val="007F5652"/>
    <w:rsid w:val="007F7985"/>
    <w:rsid w:val="00801F9E"/>
    <w:rsid w:val="0080298D"/>
    <w:rsid w:val="00804A64"/>
    <w:rsid w:val="00805C31"/>
    <w:rsid w:val="00805C45"/>
    <w:rsid w:val="0080693E"/>
    <w:rsid w:val="00806CEB"/>
    <w:rsid w:val="00812347"/>
    <w:rsid w:val="00814AFC"/>
    <w:rsid w:val="008151DC"/>
    <w:rsid w:val="0081595C"/>
    <w:rsid w:val="00815D7C"/>
    <w:rsid w:val="0081703E"/>
    <w:rsid w:val="008200FB"/>
    <w:rsid w:val="00821977"/>
    <w:rsid w:val="008221CB"/>
    <w:rsid w:val="008224E1"/>
    <w:rsid w:val="008224F2"/>
    <w:rsid w:val="008225AA"/>
    <w:rsid w:val="00823036"/>
    <w:rsid w:val="00825298"/>
    <w:rsid w:val="00830090"/>
    <w:rsid w:val="00835ECA"/>
    <w:rsid w:val="00836474"/>
    <w:rsid w:val="0083678E"/>
    <w:rsid w:val="00840672"/>
    <w:rsid w:val="00842103"/>
    <w:rsid w:val="008431A5"/>
    <w:rsid w:val="00843554"/>
    <w:rsid w:val="0084380A"/>
    <w:rsid w:val="00845E89"/>
    <w:rsid w:val="008463D3"/>
    <w:rsid w:val="00846498"/>
    <w:rsid w:val="00852BED"/>
    <w:rsid w:val="00853028"/>
    <w:rsid w:val="00856105"/>
    <w:rsid w:val="00862B90"/>
    <w:rsid w:val="00863375"/>
    <w:rsid w:val="00864202"/>
    <w:rsid w:val="008651C3"/>
    <w:rsid w:val="00865883"/>
    <w:rsid w:val="008671B6"/>
    <w:rsid w:val="00867DE1"/>
    <w:rsid w:val="00872732"/>
    <w:rsid w:val="00873448"/>
    <w:rsid w:val="008734A3"/>
    <w:rsid w:val="00874417"/>
    <w:rsid w:val="00876290"/>
    <w:rsid w:val="0087659D"/>
    <w:rsid w:val="00876997"/>
    <w:rsid w:val="00880016"/>
    <w:rsid w:val="008820F3"/>
    <w:rsid w:val="008833CA"/>
    <w:rsid w:val="00887312"/>
    <w:rsid w:val="008878C2"/>
    <w:rsid w:val="00890994"/>
    <w:rsid w:val="0089321C"/>
    <w:rsid w:val="0089362A"/>
    <w:rsid w:val="00893875"/>
    <w:rsid w:val="00894544"/>
    <w:rsid w:val="00895956"/>
    <w:rsid w:val="008A082C"/>
    <w:rsid w:val="008A1E4C"/>
    <w:rsid w:val="008A25EE"/>
    <w:rsid w:val="008A3509"/>
    <w:rsid w:val="008A37AE"/>
    <w:rsid w:val="008A4C03"/>
    <w:rsid w:val="008A4C3D"/>
    <w:rsid w:val="008A4D22"/>
    <w:rsid w:val="008A53E9"/>
    <w:rsid w:val="008A5E57"/>
    <w:rsid w:val="008B3853"/>
    <w:rsid w:val="008B3988"/>
    <w:rsid w:val="008B7488"/>
    <w:rsid w:val="008B7D5E"/>
    <w:rsid w:val="008C26B6"/>
    <w:rsid w:val="008C2A6F"/>
    <w:rsid w:val="008D002F"/>
    <w:rsid w:val="008D13CD"/>
    <w:rsid w:val="008D181F"/>
    <w:rsid w:val="008D2450"/>
    <w:rsid w:val="008D344F"/>
    <w:rsid w:val="008D4698"/>
    <w:rsid w:val="008D5A5C"/>
    <w:rsid w:val="008D5D95"/>
    <w:rsid w:val="008D7A4A"/>
    <w:rsid w:val="008E1279"/>
    <w:rsid w:val="008E1608"/>
    <w:rsid w:val="008E5972"/>
    <w:rsid w:val="008F3150"/>
    <w:rsid w:val="008F3A7C"/>
    <w:rsid w:val="008F3B5A"/>
    <w:rsid w:val="008F46E1"/>
    <w:rsid w:val="00900F60"/>
    <w:rsid w:val="009019D2"/>
    <w:rsid w:val="009024EF"/>
    <w:rsid w:val="00902C4F"/>
    <w:rsid w:val="009038F5"/>
    <w:rsid w:val="009062C8"/>
    <w:rsid w:val="009079AE"/>
    <w:rsid w:val="00910878"/>
    <w:rsid w:val="009117F5"/>
    <w:rsid w:val="009119F4"/>
    <w:rsid w:val="00914E27"/>
    <w:rsid w:val="009170B9"/>
    <w:rsid w:val="00917D80"/>
    <w:rsid w:val="00920F44"/>
    <w:rsid w:val="00924A9B"/>
    <w:rsid w:val="009277CF"/>
    <w:rsid w:val="009303C2"/>
    <w:rsid w:val="009309B4"/>
    <w:rsid w:val="0093416F"/>
    <w:rsid w:val="00934FD8"/>
    <w:rsid w:val="00935821"/>
    <w:rsid w:val="009359BC"/>
    <w:rsid w:val="00935C11"/>
    <w:rsid w:val="0094101D"/>
    <w:rsid w:val="0094171A"/>
    <w:rsid w:val="00941B77"/>
    <w:rsid w:val="009421AE"/>
    <w:rsid w:val="00943DEF"/>
    <w:rsid w:val="00952F8E"/>
    <w:rsid w:val="00953824"/>
    <w:rsid w:val="00953CD2"/>
    <w:rsid w:val="00955A0B"/>
    <w:rsid w:val="009562BE"/>
    <w:rsid w:val="00956920"/>
    <w:rsid w:val="00957070"/>
    <w:rsid w:val="00957C45"/>
    <w:rsid w:val="00960EC4"/>
    <w:rsid w:val="00961A2A"/>
    <w:rsid w:val="0096281F"/>
    <w:rsid w:val="0096328A"/>
    <w:rsid w:val="00963FE2"/>
    <w:rsid w:val="00964CFF"/>
    <w:rsid w:val="0096518D"/>
    <w:rsid w:val="00972FC5"/>
    <w:rsid w:val="009755FF"/>
    <w:rsid w:val="009763C4"/>
    <w:rsid w:val="00977516"/>
    <w:rsid w:val="009825CD"/>
    <w:rsid w:val="009840D8"/>
    <w:rsid w:val="00984269"/>
    <w:rsid w:val="00984B2D"/>
    <w:rsid w:val="00984F88"/>
    <w:rsid w:val="00985083"/>
    <w:rsid w:val="009854D8"/>
    <w:rsid w:val="0098566F"/>
    <w:rsid w:val="0098695E"/>
    <w:rsid w:val="00987273"/>
    <w:rsid w:val="009907C0"/>
    <w:rsid w:val="00990C56"/>
    <w:rsid w:val="00990D35"/>
    <w:rsid w:val="00991E57"/>
    <w:rsid w:val="00994E0D"/>
    <w:rsid w:val="009A15BD"/>
    <w:rsid w:val="009A1880"/>
    <w:rsid w:val="009A3520"/>
    <w:rsid w:val="009A4312"/>
    <w:rsid w:val="009A5812"/>
    <w:rsid w:val="009B1C22"/>
    <w:rsid w:val="009B236A"/>
    <w:rsid w:val="009B2B58"/>
    <w:rsid w:val="009B5A50"/>
    <w:rsid w:val="009B6216"/>
    <w:rsid w:val="009B65B9"/>
    <w:rsid w:val="009B6A94"/>
    <w:rsid w:val="009B6FE1"/>
    <w:rsid w:val="009B7A46"/>
    <w:rsid w:val="009C08B9"/>
    <w:rsid w:val="009C19EE"/>
    <w:rsid w:val="009C3419"/>
    <w:rsid w:val="009C3BDA"/>
    <w:rsid w:val="009C56D5"/>
    <w:rsid w:val="009C5825"/>
    <w:rsid w:val="009C689F"/>
    <w:rsid w:val="009C7F30"/>
    <w:rsid w:val="009D057E"/>
    <w:rsid w:val="009D0B7F"/>
    <w:rsid w:val="009D5772"/>
    <w:rsid w:val="009D593A"/>
    <w:rsid w:val="009D5F20"/>
    <w:rsid w:val="009E2421"/>
    <w:rsid w:val="009E49FD"/>
    <w:rsid w:val="009E4C25"/>
    <w:rsid w:val="009E6A3D"/>
    <w:rsid w:val="009F0D9E"/>
    <w:rsid w:val="009F1622"/>
    <w:rsid w:val="009F29D8"/>
    <w:rsid w:val="009F2B07"/>
    <w:rsid w:val="009F33DA"/>
    <w:rsid w:val="009F3A21"/>
    <w:rsid w:val="009F5970"/>
    <w:rsid w:val="009F5C8A"/>
    <w:rsid w:val="009F66EB"/>
    <w:rsid w:val="009F7548"/>
    <w:rsid w:val="00A00C21"/>
    <w:rsid w:val="00A05228"/>
    <w:rsid w:val="00A0530E"/>
    <w:rsid w:val="00A0753D"/>
    <w:rsid w:val="00A10424"/>
    <w:rsid w:val="00A14ECF"/>
    <w:rsid w:val="00A15090"/>
    <w:rsid w:val="00A15562"/>
    <w:rsid w:val="00A156D7"/>
    <w:rsid w:val="00A15989"/>
    <w:rsid w:val="00A167B7"/>
    <w:rsid w:val="00A1730B"/>
    <w:rsid w:val="00A1732A"/>
    <w:rsid w:val="00A20506"/>
    <w:rsid w:val="00A20859"/>
    <w:rsid w:val="00A20EAD"/>
    <w:rsid w:val="00A2177C"/>
    <w:rsid w:val="00A22C02"/>
    <w:rsid w:val="00A23BBF"/>
    <w:rsid w:val="00A2430E"/>
    <w:rsid w:val="00A256A3"/>
    <w:rsid w:val="00A272A6"/>
    <w:rsid w:val="00A273A9"/>
    <w:rsid w:val="00A30C64"/>
    <w:rsid w:val="00A32DD3"/>
    <w:rsid w:val="00A3344B"/>
    <w:rsid w:val="00A342E2"/>
    <w:rsid w:val="00A3553C"/>
    <w:rsid w:val="00A360E1"/>
    <w:rsid w:val="00A3713E"/>
    <w:rsid w:val="00A37FEE"/>
    <w:rsid w:val="00A42C35"/>
    <w:rsid w:val="00A451E4"/>
    <w:rsid w:val="00A455BF"/>
    <w:rsid w:val="00A46AFE"/>
    <w:rsid w:val="00A470BB"/>
    <w:rsid w:val="00A47A12"/>
    <w:rsid w:val="00A51627"/>
    <w:rsid w:val="00A51F7A"/>
    <w:rsid w:val="00A522FF"/>
    <w:rsid w:val="00A525F7"/>
    <w:rsid w:val="00A53716"/>
    <w:rsid w:val="00A5441D"/>
    <w:rsid w:val="00A54EA5"/>
    <w:rsid w:val="00A56224"/>
    <w:rsid w:val="00A570D7"/>
    <w:rsid w:val="00A62116"/>
    <w:rsid w:val="00A62E41"/>
    <w:rsid w:val="00A677F0"/>
    <w:rsid w:val="00A67ED9"/>
    <w:rsid w:val="00A701B9"/>
    <w:rsid w:val="00A73CE8"/>
    <w:rsid w:val="00A75C09"/>
    <w:rsid w:val="00A835C3"/>
    <w:rsid w:val="00A84A29"/>
    <w:rsid w:val="00A85657"/>
    <w:rsid w:val="00A85F95"/>
    <w:rsid w:val="00A913AC"/>
    <w:rsid w:val="00A924D4"/>
    <w:rsid w:val="00A93BF9"/>
    <w:rsid w:val="00A946BA"/>
    <w:rsid w:val="00A96C47"/>
    <w:rsid w:val="00A97068"/>
    <w:rsid w:val="00AA042D"/>
    <w:rsid w:val="00AA693A"/>
    <w:rsid w:val="00AA7D94"/>
    <w:rsid w:val="00AB2D53"/>
    <w:rsid w:val="00AB6ACF"/>
    <w:rsid w:val="00AB725C"/>
    <w:rsid w:val="00AC0342"/>
    <w:rsid w:val="00AC1050"/>
    <w:rsid w:val="00AC2451"/>
    <w:rsid w:val="00AC3C97"/>
    <w:rsid w:val="00AC3D34"/>
    <w:rsid w:val="00AC5060"/>
    <w:rsid w:val="00AC5A17"/>
    <w:rsid w:val="00AC5F1E"/>
    <w:rsid w:val="00AC5F7E"/>
    <w:rsid w:val="00AC6351"/>
    <w:rsid w:val="00AC6CC8"/>
    <w:rsid w:val="00AD31FA"/>
    <w:rsid w:val="00AD540A"/>
    <w:rsid w:val="00AD580F"/>
    <w:rsid w:val="00AD635D"/>
    <w:rsid w:val="00AD6BCD"/>
    <w:rsid w:val="00AD6BE3"/>
    <w:rsid w:val="00AD70EF"/>
    <w:rsid w:val="00AE00E9"/>
    <w:rsid w:val="00AE046F"/>
    <w:rsid w:val="00AE24B1"/>
    <w:rsid w:val="00AE2CB8"/>
    <w:rsid w:val="00AE492D"/>
    <w:rsid w:val="00AE4A3F"/>
    <w:rsid w:val="00AE7F9B"/>
    <w:rsid w:val="00AF0B81"/>
    <w:rsid w:val="00AF2F24"/>
    <w:rsid w:val="00AF3BA8"/>
    <w:rsid w:val="00AF4390"/>
    <w:rsid w:val="00AF49C8"/>
    <w:rsid w:val="00AF65B7"/>
    <w:rsid w:val="00AF73F1"/>
    <w:rsid w:val="00AF7B2C"/>
    <w:rsid w:val="00B0051E"/>
    <w:rsid w:val="00B00F2F"/>
    <w:rsid w:val="00B010A1"/>
    <w:rsid w:val="00B03A22"/>
    <w:rsid w:val="00B03C16"/>
    <w:rsid w:val="00B050EC"/>
    <w:rsid w:val="00B05235"/>
    <w:rsid w:val="00B0540B"/>
    <w:rsid w:val="00B07396"/>
    <w:rsid w:val="00B12781"/>
    <w:rsid w:val="00B14B69"/>
    <w:rsid w:val="00B15924"/>
    <w:rsid w:val="00B16346"/>
    <w:rsid w:val="00B176BE"/>
    <w:rsid w:val="00B17A77"/>
    <w:rsid w:val="00B2034C"/>
    <w:rsid w:val="00B2058C"/>
    <w:rsid w:val="00B2190E"/>
    <w:rsid w:val="00B21C95"/>
    <w:rsid w:val="00B228AD"/>
    <w:rsid w:val="00B23D28"/>
    <w:rsid w:val="00B24809"/>
    <w:rsid w:val="00B25614"/>
    <w:rsid w:val="00B25D83"/>
    <w:rsid w:val="00B25F6A"/>
    <w:rsid w:val="00B26944"/>
    <w:rsid w:val="00B30032"/>
    <w:rsid w:val="00B301E9"/>
    <w:rsid w:val="00B30F4B"/>
    <w:rsid w:val="00B31023"/>
    <w:rsid w:val="00B317EA"/>
    <w:rsid w:val="00B3371A"/>
    <w:rsid w:val="00B4084B"/>
    <w:rsid w:val="00B41154"/>
    <w:rsid w:val="00B41339"/>
    <w:rsid w:val="00B42B72"/>
    <w:rsid w:val="00B42D88"/>
    <w:rsid w:val="00B443A9"/>
    <w:rsid w:val="00B445C7"/>
    <w:rsid w:val="00B47353"/>
    <w:rsid w:val="00B51E88"/>
    <w:rsid w:val="00B53457"/>
    <w:rsid w:val="00B54005"/>
    <w:rsid w:val="00B562B5"/>
    <w:rsid w:val="00B57EA3"/>
    <w:rsid w:val="00B62DB0"/>
    <w:rsid w:val="00B65BAA"/>
    <w:rsid w:val="00B65F14"/>
    <w:rsid w:val="00B66E6B"/>
    <w:rsid w:val="00B71D6C"/>
    <w:rsid w:val="00B71E7B"/>
    <w:rsid w:val="00B725B1"/>
    <w:rsid w:val="00B75202"/>
    <w:rsid w:val="00B76C3E"/>
    <w:rsid w:val="00B80590"/>
    <w:rsid w:val="00B81990"/>
    <w:rsid w:val="00B83443"/>
    <w:rsid w:val="00B846C1"/>
    <w:rsid w:val="00B847EE"/>
    <w:rsid w:val="00B85CCB"/>
    <w:rsid w:val="00B87688"/>
    <w:rsid w:val="00B876B8"/>
    <w:rsid w:val="00B909BD"/>
    <w:rsid w:val="00B92A7D"/>
    <w:rsid w:val="00B93A27"/>
    <w:rsid w:val="00B95476"/>
    <w:rsid w:val="00B96994"/>
    <w:rsid w:val="00B97537"/>
    <w:rsid w:val="00B97748"/>
    <w:rsid w:val="00BA2984"/>
    <w:rsid w:val="00BA3948"/>
    <w:rsid w:val="00BA39AC"/>
    <w:rsid w:val="00BA4191"/>
    <w:rsid w:val="00BA47A9"/>
    <w:rsid w:val="00BA4FD8"/>
    <w:rsid w:val="00BA74E1"/>
    <w:rsid w:val="00BB3223"/>
    <w:rsid w:val="00BB428C"/>
    <w:rsid w:val="00BB5156"/>
    <w:rsid w:val="00BB7138"/>
    <w:rsid w:val="00BC2A0A"/>
    <w:rsid w:val="00BC64BE"/>
    <w:rsid w:val="00BC7CBA"/>
    <w:rsid w:val="00BD09D8"/>
    <w:rsid w:val="00BD7C68"/>
    <w:rsid w:val="00BE0775"/>
    <w:rsid w:val="00BE0FA1"/>
    <w:rsid w:val="00BE1AF7"/>
    <w:rsid w:val="00BE2E9A"/>
    <w:rsid w:val="00BE3750"/>
    <w:rsid w:val="00BE40F4"/>
    <w:rsid w:val="00BE50AB"/>
    <w:rsid w:val="00BE6831"/>
    <w:rsid w:val="00BF282A"/>
    <w:rsid w:val="00BF3C6B"/>
    <w:rsid w:val="00BF6BD9"/>
    <w:rsid w:val="00BF7CD7"/>
    <w:rsid w:val="00BF7DC7"/>
    <w:rsid w:val="00C00B53"/>
    <w:rsid w:val="00C02303"/>
    <w:rsid w:val="00C03BAA"/>
    <w:rsid w:val="00C03DD1"/>
    <w:rsid w:val="00C04958"/>
    <w:rsid w:val="00C05254"/>
    <w:rsid w:val="00C06BDF"/>
    <w:rsid w:val="00C07A1A"/>
    <w:rsid w:val="00C103B2"/>
    <w:rsid w:val="00C104D9"/>
    <w:rsid w:val="00C11449"/>
    <w:rsid w:val="00C124D0"/>
    <w:rsid w:val="00C149CA"/>
    <w:rsid w:val="00C14C2E"/>
    <w:rsid w:val="00C151A2"/>
    <w:rsid w:val="00C152E9"/>
    <w:rsid w:val="00C15886"/>
    <w:rsid w:val="00C2095D"/>
    <w:rsid w:val="00C20A8F"/>
    <w:rsid w:val="00C22059"/>
    <w:rsid w:val="00C237C3"/>
    <w:rsid w:val="00C23D1E"/>
    <w:rsid w:val="00C247FB"/>
    <w:rsid w:val="00C26308"/>
    <w:rsid w:val="00C2789E"/>
    <w:rsid w:val="00C3044C"/>
    <w:rsid w:val="00C36EFE"/>
    <w:rsid w:val="00C407AB"/>
    <w:rsid w:val="00C43AFB"/>
    <w:rsid w:val="00C4711F"/>
    <w:rsid w:val="00C4790E"/>
    <w:rsid w:val="00C516F9"/>
    <w:rsid w:val="00C5234E"/>
    <w:rsid w:val="00C53199"/>
    <w:rsid w:val="00C53A4E"/>
    <w:rsid w:val="00C53E34"/>
    <w:rsid w:val="00C54073"/>
    <w:rsid w:val="00C5451B"/>
    <w:rsid w:val="00C55478"/>
    <w:rsid w:val="00C5673E"/>
    <w:rsid w:val="00C57291"/>
    <w:rsid w:val="00C5746C"/>
    <w:rsid w:val="00C61009"/>
    <w:rsid w:val="00C61E61"/>
    <w:rsid w:val="00C62905"/>
    <w:rsid w:val="00C62AF2"/>
    <w:rsid w:val="00C6410B"/>
    <w:rsid w:val="00C644C6"/>
    <w:rsid w:val="00C64A2E"/>
    <w:rsid w:val="00C65610"/>
    <w:rsid w:val="00C71AC9"/>
    <w:rsid w:val="00C72A2E"/>
    <w:rsid w:val="00C737B9"/>
    <w:rsid w:val="00C75B1C"/>
    <w:rsid w:val="00C77363"/>
    <w:rsid w:val="00C80519"/>
    <w:rsid w:val="00C8062B"/>
    <w:rsid w:val="00C8151E"/>
    <w:rsid w:val="00C822D0"/>
    <w:rsid w:val="00C878E5"/>
    <w:rsid w:val="00C91468"/>
    <w:rsid w:val="00C94876"/>
    <w:rsid w:val="00C95670"/>
    <w:rsid w:val="00C95B77"/>
    <w:rsid w:val="00C967B4"/>
    <w:rsid w:val="00C96F3C"/>
    <w:rsid w:val="00CA3F62"/>
    <w:rsid w:val="00CA494B"/>
    <w:rsid w:val="00CA64A4"/>
    <w:rsid w:val="00CB34FD"/>
    <w:rsid w:val="00CB3DD0"/>
    <w:rsid w:val="00CB436C"/>
    <w:rsid w:val="00CB62B7"/>
    <w:rsid w:val="00CB6812"/>
    <w:rsid w:val="00CC205D"/>
    <w:rsid w:val="00CC3C02"/>
    <w:rsid w:val="00CC420C"/>
    <w:rsid w:val="00CC6FC0"/>
    <w:rsid w:val="00CC7383"/>
    <w:rsid w:val="00CD0C54"/>
    <w:rsid w:val="00CD0CE2"/>
    <w:rsid w:val="00CD1B25"/>
    <w:rsid w:val="00CD20B8"/>
    <w:rsid w:val="00CD264B"/>
    <w:rsid w:val="00CD384C"/>
    <w:rsid w:val="00CD4666"/>
    <w:rsid w:val="00CD4880"/>
    <w:rsid w:val="00CD57D8"/>
    <w:rsid w:val="00CD6A45"/>
    <w:rsid w:val="00CE2298"/>
    <w:rsid w:val="00CE2A5B"/>
    <w:rsid w:val="00CE301F"/>
    <w:rsid w:val="00CF1425"/>
    <w:rsid w:val="00CF2EB6"/>
    <w:rsid w:val="00CF48C5"/>
    <w:rsid w:val="00CF5A31"/>
    <w:rsid w:val="00CF6170"/>
    <w:rsid w:val="00CF7383"/>
    <w:rsid w:val="00CF7862"/>
    <w:rsid w:val="00CF7BBF"/>
    <w:rsid w:val="00D0002C"/>
    <w:rsid w:val="00D011C5"/>
    <w:rsid w:val="00D042DB"/>
    <w:rsid w:val="00D0555E"/>
    <w:rsid w:val="00D074D4"/>
    <w:rsid w:val="00D12B8A"/>
    <w:rsid w:val="00D149C4"/>
    <w:rsid w:val="00D14B5F"/>
    <w:rsid w:val="00D15FA2"/>
    <w:rsid w:val="00D1650D"/>
    <w:rsid w:val="00D21EDA"/>
    <w:rsid w:val="00D241AA"/>
    <w:rsid w:val="00D30877"/>
    <w:rsid w:val="00D32597"/>
    <w:rsid w:val="00D334D9"/>
    <w:rsid w:val="00D378D3"/>
    <w:rsid w:val="00D40C87"/>
    <w:rsid w:val="00D4237F"/>
    <w:rsid w:val="00D4244D"/>
    <w:rsid w:val="00D4404C"/>
    <w:rsid w:val="00D44256"/>
    <w:rsid w:val="00D453D0"/>
    <w:rsid w:val="00D51EFD"/>
    <w:rsid w:val="00D5202D"/>
    <w:rsid w:val="00D56248"/>
    <w:rsid w:val="00D60CF4"/>
    <w:rsid w:val="00D61DAB"/>
    <w:rsid w:val="00D61E15"/>
    <w:rsid w:val="00D61FB4"/>
    <w:rsid w:val="00D630F6"/>
    <w:rsid w:val="00D64448"/>
    <w:rsid w:val="00D64A80"/>
    <w:rsid w:val="00D66334"/>
    <w:rsid w:val="00D67704"/>
    <w:rsid w:val="00D7070A"/>
    <w:rsid w:val="00D71FD4"/>
    <w:rsid w:val="00D74708"/>
    <w:rsid w:val="00D77734"/>
    <w:rsid w:val="00D81F57"/>
    <w:rsid w:val="00D83417"/>
    <w:rsid w:val="00D83BCF"/>
    <w:rsid w:val="00D83C25"/>
    <w:rsid w:val="00D85F3B"/>
    <w:rsid w:val="00D873CA"/>
    <w:rsid w:val="00D92C8A"/>
    <w:rsid w:val="00D97E02"/>
    <w:rsid w:val="00DA027C"/>
    <w:rsid w:val="00DA09ED"/>
    <w:rsid w:val="00DA18A2"/>
    <w:rsid w:val="00DA2D99"/>
    <w:rsid w:val="00DA4B90"/>
    <w:rsid w:val="00DA5346"/>
    <w:rsid w:val="00DA5722"/>
    <w:rsid w:val="00DA5B20"/>
    <w:rsid w:val="00DA5BB2"/>
    <w:rsid w:val="00DA6396"/>
    <w:rsid w:val="00DA7BB6"/>
    <w:rsid w:val="00DB1383"/>
    <w:rsid w:val="00DB47D4"/>
    <w:rsid w:val="00DB6391"/>
    <w:rsid w:val="00DB7244"/>
    <w:rsid w:val="00DC075A"/>
    <w:rsid w:val="00DC2AA9"/>
    <w:rsid w:val="00DC5836"/>
    <w:rsid w:val="00DD0861"/>
    <w:rsid w:val="00DD183F"/>
    <w:rsid w:val="00DD262E"/>
    <w:rsid w:val="00DD27B9"/>
    <w:rsid w:val="00DD3170"/>
    <w:rsid w:val="00DD373F"/>
    <w:rsid w:val="00DD3A1A"/>
    <w:rsid w:val="00DD47DA"/>
    <w:rsid w:val="00DD6107"/>
    <w:rsid w:val="00DE14BD"/>
    <w:rsid w:val="00DE19D5"/>
    <w:rsid w:val="00DE3307"/>
    <w:rsid w:val="00DE4A7D"/>
    <w:rsid w:val="00DE7AB1"/>
    <w:rsid w:val="00DE7AFA"/>
    <w:rsid w:val="00DF100A"/>
    <w:rsid w:val="00DF3B1F"/>
    <w:rsid w:val="00DF3B7F"/>
    <w:rsid w:val="00DF4AD1"/>
    <w:rsid w:val="00DF787E"/>
    <w:rsid w:val="00DF7B31"/>
    <w:rsid w:val="00E0335D"/>
    <w:rsid w:val="00E0364C"/>
    <w:rsid w:val="00E037C9"/>
    <w:rsid w:val="00E04C3C"/>
    <w:rsid w:val="00E052FD"/>
    <w:rsid w:val="00E06957"/>
    <w:rsid w:val="00E0707E"/>
    <w:rsid w:val="00E12C79"/>
    <w:rsid w:val="00E139C4"/>
    <w:rsid w:val="00E16234"/>
    <w:rsid w:val="00E16594"/>
    <w:rsid w:val="00E167AB"/>
    <w:rsid w:val="00E209D9"/>
    <w:rsid w:val="00E21B19"/>
    <w:rsid w:val="00E22E74"/>
    <w:rsid w:val="00E237AB"/>
    <w:rsid w:val="00E24CAA"/>
    <w:rsid w:val="00E25A8F"/>
    <w:rsid w:val="00E3305F"/>
    <w:rsid w:val="00E36B63"/>
    <w:rsid w:val="00E3704A"/>
    <w:rsid w:val="00E4200D"/>
    <w:rsid w:val="00E42C45"/>
    <w:rsid w:val="00E43868"/>
    <w:rsid w:val="00E4389B"/>
    <w:rsid w:val="00E43E5B"/>
    <w:rsid w:val="00E47606"/>
    <w:rsid w:val="00E50C4B"/>
    <w:rsid w:val="00E51D60"/>
    <w:rsid w:val="00E563CF"/>
    <w:rsid w:val="00E57234"/>
    <w:rsid w:val="00E6388F"/>
    <w:rsid w:val="00E6434D"/>
    <w:rsid w:val="00E658EA"/>
    <w:rsid w:val="00E65B04"/>
    <w:rsid w:val="00E65D95"/>
    <w:rsid w:val="00E66F3C"/>
    <w:rsid w:val="00E71FE3"/>
    <w:rsid w:val="00E72F55"/>
    <w:rsid w:val="00E778C0"/>
    <w:rsid w:val="00E80604"/>
    <w:rsid w:val="00E80842"/>
    <w:rsid w:val="00E80A32"/>
    <w:rsid w:val="00E813E3"/>
    <w:rsid w:val="00E82196"/>
    <w:rsid w:val="00E84069"/>
    <w:rsid w:val="00E8434A"/>
    <w:rsid w:val="00E8593D"/>
    <w:rsid w:val="00E90828"/>
    <w:rsid w:val="00E91DA6"/>
    <w:rsid w:val="00E94919"/>
    <w:rsid w:val="00E94D42"/>
    <w:rsid w:val="00E9598D"/>
    <w:rsid w:val="00E977E8"/>
    <w:rsid w:val="00E979FD"/>
    <w:rsid w:val="00EA057B"/>
    <w:rsid w:val="00EA29C5"/>
    <w:rsid w:val="00EA3F96"/>
    <w:rsid w:val="00EA4C11"/>
    <w:rsid w:val="00EA7801"/>
    <w:rsid w:val="00EB0686"/>
    <w:rsid w:val="00EB0E64"/>
    <w:rsid w:val="00EB4D57"/>
    <w:rsid w:val="00EB4D74"/>
    <w:rsid w:val="00EB7780"/>
    <w:rsid w:val="00EC0C0C"/>
    <w:rsid w:val="00EC2354"/>
    <w:rsid w:val="00EC3F20"/>
    <w:rsid w:val="00EC507A"/>
    <w:rsid w:val="00EC65A8"/>
    <w:rsid w:val="00EC66E7"/>
    <w:rsid w:val="00EC69FA"/>
    <w:rsid w:val="00EC6EAA"/>
    <w:rsid w:val="00EC6F52"/>
    <w:rsid w:val="00EC74A6"/>
    <w:rsid w:val="00ED1164"/>
    <w:rsid w:val="00ED6F36"/>
    <w:rsid w:val="00ED7569"/>
    <w:rsid w:val="00EE3E9F"/>
    <w:rsid w:val="00EE4173"/>
    <w:rsid w:val="00EF0A11"/>
    <w:rsid w:val="00EF1820"/>
    <w:rsid w:val="00EF2FD6"/>
    <w:rsid w:val="00EF659E"/>
    <w:rsid w:val="00EF6765"/>
    <w:rsid w:val="00EF681C"/>
    <w:rsid w:val="00EF7202"/>
    <w:rsid w:val="00EF7678"/>
    <w:rsid w:val="00F0193F"/>
    <w:rsid w:val="00F03472"/>
    <w:rsid w:val="00F06C59"/>
    <w:rsid w:val="00F06D0B"/>
    <w:rsid w:val="00F07551"/>
    <w:rsid w:val="00F10E91"/>
    <w:rsid w:val="00F11F82"/>
    <w:rsid w:val="00F129D0"/>
    <w:rsid w:val="00F13256"/>
    <w:rsid w:val="00F149CB"/>
    <w:rsid w:val="00F14DF1"/>
    <w:rsid w:val="00F154C7"/>
    <w:rsid w:val="00F15AFD"/>
    <w:rsid w:val="00F16324"/>
    <w:rsid w:val="00F17102"/>
    <w:rsid w:val="00F17F5F"/>
    <w:rsid w:val="00F22724"/>
    <w:rsid w:val="00F23E52"/>
    <w:rsid w:val="00F2694A"/>
    <w:rsid w:val="00F3086B"/>
    <w:rsid w:val="00F32356"/>
    <w:rsid w:val="00F3358A"/>
    <w:rsid w:val="00F34EF1"/>
    <w:rsid w:val="00F35F29"/>
    <w:rsid w:val="00F360F0"/>
    <w:rsid w:val="00F372AC"/>
    <w:rsid w:val="00F37745"/>
    <w:rsid w:val="00F37B0B"/>
    <w:rsid w:val="00F41A40"/>
    <w:rsid w:val="00F43626"/>
    <w:rsid w:val="00F47C6D"/>
    <w:rsid w:val="00F52856"/>
    <w:rsid w:val="00F5521E"/>
    <w:rsid w:val="00F56804"/>
    <w:rsid w:val="00F5706C"/>
    <w:rsid w:val="00F570D4"/>
    <w:rsid w:val="00F6139A"/>
    <w:rsid w:val="00F618CD"/>
    <w:rsid w:val="00F63A42"/>
    <w:rsid w:val="00F63E20"/>
    <w:rsid w:val="00F64DA9"/>
    <w:rsid w:val="00F6677C"/>
    <w:rsid w:val="00F667AF"/>
    <w:rsid w:val="00F66A2C"/>
    <w:rsid w:val="00F7030C"/>
    <w:rsid w:val="00F707E6"/>
    <w:rsid w:val="00F72390"/>
    <w:rsid w:val="00F726BF"/>
    <w:rsid w:val="00F7285D"/>
    <w:rsid w:val="00F742F7"/>
    <w:rsid w:val="00F74D10"/>
    <w:rsid w:val="00F80BF4"/>
    <w:rsid w:val="00F822A6"/>
    <w:rsid w:val="00F8233A"/>
    <w:rsid w:val="00F83408"/>
    <w:rsid w:val="00F835DD"/>
    <w:rsid w:val="00F84324"/>
    <w:rsid w:val="00F85622"/>
    <w:rsid w:val="00F8580F"/>
    <w:rsid w:val="00F87601"/>
    <w:rsid w:val="00FA0A47"/>
    <w:rsid w:val="00FA0F97"/>
    <w:rsid w:val="00FA1426"/>
    <w:rsid w:val="00FA198E"/>
    <w:rsid w:val="00FA1C99"/>
    <w:rsid w:val="00FA2A40"/>
    <w:rsid w:val="00FA7151"/>
    <w:rsid w:val="00FB0CFD"/>
    <w:rsid w:val="00FB2EE4"/>
    <w:rsid w:val="00FB4140"/>
    <w:rsid w:val="00FB6BC3"/>
    <w:rsid w:val="00FB7FCD"/>
    <w:rsid w:val="00FC0C02"/>
    <w:rsid w:val="00FC1BC1"/>
    <w:rsid w:val="00FC2CFA"/>
    <w:rsid w:val="00FC5200"/>
    <w:rsid w:val="00FC63C5"/>
    <w:rsid w:val="00FC75D1"/>
    <w:rsid w:val="00FC7949"/>
    <w:rsid w:val="00FD143A"/>
    <w:rsid w:val="00FD1A0B"/>
    <w:rsid w:val="00FD2770"/>
    <w:rsid w:val="00FD28D1"/>
    <w:rsid w:val="00FD2949"/>
    <w:rsid w:val="00FD3450"/>
    <w:rsid w:val="00FD6020"/>
    <w:rsid w:val="00FD6A95"/>
    <w:rsid w:val="00FE4399"/>
    <w:rsid w:val="00FE4B5B"/>
    <w:rsid w:val="00FE5504"/>
    <w:rsid w:val="00FE5C52"/>
    <w:rsid w:val="00FE5CE1"/>
    <w:rsid w:val="00FE65EB"/>
    <w:rsid w:val="00FE75FE"/>
    <w:rsid w:val="00FF1BCE"/>
    <w:rsid w:val="00FF5086"/>
    <w:rsid w:val="01061AFC"/>
    <w:rsid w:val="01476ABE"/>
    <w:rsid w:val="01577F23"/>
    <w:rsid w:val="01620F6B"/>
    <w:rsid w:val="01B83E7E"/>
    <w:rsid w:val="01C1297D"/>
    <w:rsid w:val="01E03674"/>
    <w:rsid w:val="01F40A3E"/>
    <w:rsid w:val="029F7154"/>
    <w:rsid w:val="02F8574A"/>
    <w:rsid w:val="03104786"/>
    <w:rsid w:val="031F0BD0"/>
    <w:rsid w:val="032052DC"/>
    <w:rsid w:val="03683842"/>
    <w:rsid w:val="03A06068"/>
    <w:rsid w:val="03A761ED"/>
    <w:rsid w:val="03AC1261"/>
    <w:rsid w:val="03D065AC"/>
    <w:rsid w:val="03DE4D77"/>
    <w:rsid w:val="03F30732"/>
    <w:rsid w:val="048C1085"/>
    <w:rsid w:val="04CD731B"/>
    <w:rsid w:val="04FA1B54"/>
    <w:rsid w:val="052A72FA"/>
    <w:rsid w:val="0548762F"/>
    <w:rsid w:val="056C4495"/>
    <w:rsid w:val="057454BB"/>
    <w:rsid w:val="05777666"/>
    <w:rsid w:val="05A00FA6"/>
    <w:rsid w:val="05DE399C"/>
    <w:rsid w:val="05EC6E5B"/>
    <w:rsid w:val="05F81055"/>
    <w:rsid w:val="062261A4"/>
    <w:rsid w:val="06390F8D"/>
    <w:rsid w:val="06A26B21"/>
    <w:rsid w:val="06BA2676"/>
    <w:rsid w:val="06F931D4"/>
    <w:rsid w:val="07041FA2"/>
    <w:rsid w:val="070748C8"/>
    <w:rsid w:val="074D1B9A"/>
    <w:rsid w:val="07665786"/>
    <w:rsid w:val="078B537E"/>
    <w:rsid w:val="079C288F"/>
    <w:rsid w:val="07BE0ABB"/>
    <w:rsid w:val="07CA43AC"/>
    <w:rsid w:val="07FC186F"/>
    <w:rsid w:val="07FF3EB4"/>
    <w:rsid w:val="08477D6E"/>
    <w:rsid w:val="085D4DB4"/>
    <w:rsid w:val="0865674A"/>
    <w:rsid w:val="089F2590"/>
    <w:rsid w:val="08FD02C4"/>
    <w:rsid w:val="092013BF"/>
    <w:rsid w:val="092F0FA4"/>
    <w:rsid w:val="09821223"/>
    <w:rsid w:val="09A81821"/>
    <w:rsid w:val="09BC5F3D"/>
    <w:rsid w:val="09FC4B93"/>
    <w:rsid w:val="0A307C97"/>
    <w:rsid w:val="0A3D0356"/>
    <w:rsid w:val="0A440D7C"/>
    <w:rsid w:val="0A58528A"/>
    <w:rsid w:val="0A8B7E51"/>
    <w:rsid w:val="0A9C4DF7"/>
    <w:rsid w:val="0ACD105D"/>
    <w:rsid w:val="0AD92A42"/>
    <w:rsid w:val="0AE6531E"/>
    <w:rsid w:val="0AFF2E86"/>
    <w:rsid w:val="0B2722BD"/>
    <w:rsid w:val="0B3B41CE"/>
    <w:rsid w:val="0B6B1123"/>
    <w:rsid w:val="0B7E024F"/>
    <w:rsid w:val="0B851417"/>
    <w:rsid w:val="0BE502CE"/>
    <w:rsid w:val="0C0C432F"/>
    <w:rsid w:val="0C1E64E9"/>
    <w:rsid w:val="0C420FD3"/>
    <w:rsid w:val="0C5A062A"/>
    <w:rsid w:val="0C5E6674"/>
    <w:rsid w:val="0CB657C6"/>
    <w:rsid w:val="0CC021A1"/>
    <w:rsid w:val="0CE57E5A"/>
    <w:rsid w:val="0CE868BC"/>
    <w:rsid w:val="0D353973"/>
    <w:rsid w:val="0D3D3029"/>
    <w:rsid w:val="0D3F5F88"/>
    <w:rsid w:val="0D592FA6"/>
    <w:rsid w:val="0D8E5406"/>
    <w:rsid w:val="0DDA0D02"/>
    <w:rsid w:val="0DDF6582"/>
    <w:rsid w:val="0DE2468A"/>
    <w:rsid w:val="0E061AF0"/>
    <w:rsid w:val="0E146DE9"/>
    <w:rsid w:val="0E8620C8"/>
    <w:rsid w:val="0EAE02A6"/>
    <w:rsid w:val="0EB66071"/>
    <w:rsid w:val="0ECD0C9A"/>
    <w:rsid w:val="0EE90BEB"/>
    <w:rsid w:val="0F1669F0"/>
    <w:rsid w:val="0F1F5C56"/>
    <w:rsid w:val="0F2B4318"/>
    <w:rsid w:val="0F4710F7"/>
    <w:rsid w:val="0F5170E2"/>
    <w:rsid w:val="0F895230"/>
    <w:rsid w:val="0FB16A43"/>
    <w:rsid w:val="0FB44675"/>
    <w:rsid w:val="10252149"/>
    <w:rsid w:val="1045388D"/>
    <w:rsid w:val="11103EA0"/>
    <w:rsid w:val="1185525A"/>
    <w:rsid w:val="11D03DEF"/>
    <w:rsid w:val="11FF5458"/>
    <w:rsid w:val="12063B49"/>
    <w:rsid w:val="121F1FC2"/>
    <w:rsid w:val="122F6C04"/>
    <w:rsid w:val="1268153E"/>
    <w:rsid w:val="12883761"/>
    <w:rsid w:val="129C545E"/>
    <w:rsid w:val="12B7658A"/>
    <w:rsid w:val="12C80001"/>
    <w:rsid w:val="133E3F1F"/>
    <w:rsid w:val="136A0829"/>
    <w:rsid w:val="13863BC1"/>
    <w:rsid w:val="1388048D"/>
    <w:rsid w:val="139B0CFE"/>
    <w:rsid w:val="13A349AB"/>
    <w:rsid w:val="13C93948"/>
    <w:rsid w:val="13D644FC"/>
    <w:rsid w:val="14132920"/>
    <w:rsid w:val="141A393F"/>
    <w:rsid w:val="14277AA1"/>
    <w:rsid w:val="1447588B"/>
    <w:rsid w:val="14697287"/>
    <w:rsid w:val="146F653B"/>
    <w:rsid w:val="148849AF"/>
    <w:rsid w:val="14BB2524"/>
    <w:rsid w:val="14C80721"/>
    <w:rsid w:val="152E051C"/>
    <w:rsid w:val="158068C9"/>
    <w:rsid w:val="15B60AF1"/>
    <w:rsid w:val="15B85F93"/>
    <w:rsid w:val="15FA69B6"/>
    <w:rsid w:val="167E1BD5"/>
    <w:rsid w:val="168027E3"/>
    <w:rsid w:val="168B7F10"/>
    <w:rsid w:val="16DB3E86"/>
    <w:rsid w:val="16FB591E"/>
    <w:rsid w:val="17101557"/>
    <w:rsid w:val="17312619"/>
    <w:rsid w:val="1738499F"/>
    <w:rsid w:val="1759391E"/>
    <w:rsid w:val="17792AC5"/>
    <w:rsid w:val="17936E30"/>
    <w:rsid w:val="17B30F89"/>
    <w:rsid w:val="17EE31E8"/>
    <w:rsid w:val="18AB2EE3"/>
    <w:rsid w:val="18AE5C93"/>
    <w:rsid w:val="18B3029F"/>
    <w:rsid w:val="18CB4D29"/>
    <w:rsid w:val="18DB4C76"/>
    <w:rsid w:val="190103A7"/>
    <w:rsid w:val="193F1845"/>
    <w:rsid w:val="194B373A"/>
    <w:rsid w:val="19897100"/>
    <w:rsid w:val="19A64D81"/>
    <w:rsid w:val="19D678CF"/>
    <w:rsid w:val="1A093C4A"/>
    <w:rsid w:val="1A195B45"/>
    <w:rsid w:val="1A1D3847"/>
    <w:rsid w:val="1A344FDB"/>
    <w:rsid w:val="1A885D43"/>
    <w:rsid w:val="1AA8728E"/>
    <w:rsid w:val="1AB737DE"/>
    <w:rsid w:val="1ABE07D3"/>
    <w:rsid w:val="1AE04D2E"/>
    <w:rsid w:val="1B0D457E"/>
    <w:rsid w:val="1B0E684C"/>
    <w:rsid w:val="1B1836E7"/>
    <w:rsid w:val="1B4125A4"/>
    <w:rsid w:val="1B4D075C"/>
    <w:rsid w:val="1B6165DD"/>
    <w:rsid w:val="1B6F5DCC"/>
    <w:rsid w:val="1B8B1FC0"/>
    <w:rsid w:val="1B930FE0"/>
    <w:rsid w:val="1BAF5033"/>
    <w:rsid w:val="1BCC2910"/>
    <w:rsid w:val="1BFB4FA4"/>
    <w:rsid w:val="1BFB6C18"/>
    <w:rsid w:val="1C710883"/>
    <w:rsid w:val="1CB246CA"/>
    <w:rsid w:val="1CC9536F"/>
    <w:rsid w:val="1CCC6DC9"/>
    <w:rsid w:val="1CF514DE"/>
    <w:rsid w:val="1D3D36AC"/>
    <w:rsid w:val="1D3E175D"/>
    <w:rsid w:val="1D504DDC"/>
    <w:rsid w:val="1D840FD9"/>
    <w:rsid w:val="1D8F4C7F"/>
    <w:rsid w:val="1DB56284"/>
    <w:rsid w:val="1DBD278E"/>
    <w:rsid w:val="1DCE1DD7"/>
    <w:rsid w:val="1DE63703"/>
    <w:rsid w:val="1E140EE3"/>
    <w:rsid w:val="1E4C552C"/>
    <w:rsid w:val="1E914B80"/>
    <w:rsid w:val="1EBA7111"/>
    <w:rsid w:val="1ECC0E79"/>
    <w:rsid w:val="1ED57846"/>
    <w:rsid w:val="1F22127B"/>
    <w:rsid w:val="1F55650B"/>
    <w:rsid w:val="20321AC5"/>
    <w:rsid w:val="203D31DE"/>
    <w:rsid w:val="205C08E8"/>
    <w:rsid w:val="205E5A7C"/>
    <w:rsid w:val="206C3E4C"/>
    <w:rsid w:val="207A6A56"/>
    <w:rsid w:val="209B32E3"/>
    <w:rsid w:val="20A72B0F"/>
    <w:rsid w:val="20AE793D"/>
    <w:rsid w:val="21302811"/>
    <w:rsid w:val="21612AEF"/>
    <w:rsid w:val="21872642"/>
    <w:rsid w:val="218835B3"/>
    <w:rsid w:val="219F565B"/>
    <w:rsid w:val="225D0766"/>
    <w:rsid w:val="228D5314"/>
    <w:rsid w:val="22E66B15"/>
    <w:rsid w:val="22F815C7"/>
    <w:rsid w:val="230E63A0"/>
    <w:rsid w:val="23215A82"/>
    <w:rsid w:val="232B19E2"/>
    <w:rsid w:val="23804FA5"/>
    <w:rsid w:val="23B36E4E"/>
    <w:rsid w:val="23DB6762"/>
    <w:rsid w:val="23FA2C6D"/>
    <w:rsid w:val="23FC31D7"/>
    <w:rsid w:val="244B32EE"/>
    <w:rsid w:val="245F1C15"/>
    <w:rsid w:val="247F0D69"/>
    <w:rsid w:val="248B1ECD"/>
    <w:rsid w:val="24CC0D68"/>
    <w:rsid w:val="24D175BE"/>
    <w:rsid w:val="24E231A5"/>
    <w:rsid w:val="25125033"/>
    <w:rsid w:val="251E7212"/>
    <w:rsid w:val="253908EB"/>
    <w:rsid w:val="255B29D1"/>
    <w:rsid w:val="257F739C"/>
    <w:rsid w:val="2588318F"/>
    <w:rsid w:val="259920DC"/>
    <w:rsid w:val="26231D62"/>
    <w:rsid w:val="26236EB2"/>
    <w:rsid w:val="26427E21"/>
    <w:rsid w:val="265A5DC9"/>
    <w:rsid w:val="26684EB3"/>
    <w:rsid w:val="269A4766"/>
    <w:rsid w:val="26B26BA7"/>
    <w:rsid w:val="26B70E7C"/>
    <w:rsid w:val="26EB7E53"/>
    <w:rsid w:val="273E1D47"/>
    <w:rsid w:val="278F2958"/>
    <w:rsid w:val="27A92F88"/>
    <w:rsid w:val="2810627B"/>
    <w:rsid w:val="282C2B0C"/>
    <w:rsid w:val="283616EF"/>
    <w:rsid w:val="28653204"/>
    <w:rsid w:val="286F3A6D"/>
    <w:rsid w:val="28841C17"/>
    <w:rsid w:val="28945237"/>
    <w:rsid w:val="289A2BC1"/>
    <w:rsid w:val="28A31A5B"/>
    <w:rsid w:val="28F42A8B"/>
    <w:rsid w:val="290774BB"/>
    <w:rsid w:val="29174EB1"/>
    <w:rsid w:val="297624F4"/>
    <w:rsid w:val="29A206CF"/>
    <w:rsid w:val="29B03307"/>
    <w:rsid w:val="29BF184A"/>
    <w:rsid w:val="2A12630A"/>
    <w:rsid w:val="2A1D47D1"/>
    <w:rsid w:val="2A3E362F"/>
    <w:rsid w:val="2A402398"/>
    <w:rsid w:val="2A67770A"/>
    <w:rsid w:val="2A6F6A9F"/>
    <w:rsid w:val="2A715FC2"/>
    <w:rsid w:val="2A877045"/>
    <w:rsid w:val="2A944B4E"/>
    <w:rsid w:val="2B176ADF"/>
    <w:rsid w:val="2B48435D"/>
    <w:rsid w:val="2B626D67"/>
    <w:rsid w:val="2B6D3EB2"/>
    <w:rsid w:val="2B74142C"/>
    <w:rsid w:val="2B963C55"/>
    <w:rsid w:val="2BD335AA"/>
    <w:rsid w:val="2C185162"/>
    <w:rsid w:val="2C2928E2"/>
    <w:rsid w:val="2C2D599B"/>
    <w:rsid w:val="2C3047F6"/>
    <w:rsid w:val="2C3F33D3"/>
    <w:rsid w:val="2C645966"/>
    <w:rsid w:val="2CA107C4"/>
    <w:rsid w:val="2CC7637F"/>
    <w:rsid w:val="2CD868DD"/>
    <w:rsid w:val="2CF41E9D"/>
    <w:rsid w:val="2CF9391A"/>
    <w:rsid w:val="2CFF231F"/>
    <w:rsid w:val="2D091D10"/>
    <w:rsid w:val="2D4733A7"/>
    <w:rsid w:val="2D4E5B0D"/>
    <w:rsid w:val="2D823E1A"/>
    <w:rsid w:val="2DC251F3"/>
    <w:rsid w:val="2DFD2B52"/>
    <w:rsid w:val="2E6256D2"/>
    <w:rsid w:val="2E8F0142"/>
    <w:rsid w:val="2E931DAA"/>
    <w:rsid w:val="2E9A0FAB"/>
    <w:rsid w:val="2EA1016D"/>
    <w:rsid w:val="2EE330D8"/>
    <w:rsid w:val="2F10081C"/>
    <w:rsid w:val="2F195ED2"/>
    <w:rsid w:val="2F217EA6"/>
    <w:rsid w:val="2F2A6187"/>
    <w:rsid w:val="2F4F5C4B"/>
    <w:rsid w:val="2F957D75"/>
    <w:rsid w:val="2F9652B7"/>
    <w:rsid w:val="2FBE4D24"/>
    <w:rsid w:val="2FE16C3A"/>
    <w:rsid w:val="30236152"/>
    <w:rsid w:val="30A710B8"/>
    <w:rsid w:val="30AE6CC5"/>
    <w:rsid w:val="30B14AF9"/>
    <w:rsid w:val="30BB6231"/>
    <w:rsid w:val="30C57633"/>
    <w:rsid w:val="30ED2096"/>
    <w:rsid w:val="30EE4C7F"/>
    <w:rsid w:val="310C3219"/>
    <w:rsid w:val="310F6B93"/>
    <w:rsid w:val="31475925"/>
    <w:rsid w:val="3159018B"/>
    <w:rsid w:val="31A03297"/>
    <w:rsid w:val="31AA7955"/>
    <w:rsid w:val="31C51E84"/>
    <w:rsid w:val="31D1279F"/>
    <w:rsid w:val="31F32814"/>
    <w:rsid w:val="321A33CA"/>
    <w:rsid w:val="323B2146"/>
    <w:rsid w:val="32905F8D"/>
    <w:rsid w:val="32A04540"/>
    <w:rsid w:val="32C0364E"/>
    <w:rsid w:val="32C91500"/>
    <w:rsid w:val="32F01D8B"/>
    <w:rsid w:val="332E2DC3"/>
    <w:rsid w:val="33685B1F"/>
    <w:rsid w:val="33952813"/>
    <w:rsid w:val="33C83E6D"/>
    <w:rsid w:val="33D90C83"/>
    <w:rsid w:val="33E77D72"/>
    <w:rsid w:val="33EB4E73"/>
    <w:rsid w:val="344934F1"/>
    <w:rsid w:val="345117AD"/>
    <w:rsid w:val="34520F36"/>
    <w:rsid w:val="349E3DB1"/>
    <w:rsid w:val="349F21A8"/>
    <w:rsid w:val="35355BF4"/>
    <w:rsid w:val="35D151C8"/>
    <w:rsid w:val="35D83E36"/>
    <w:rsid w:val="35DD1985"/>
    <w:rsid w:val="35E33F07"/>
    <w:rsid w:val="36413C79"/>
    <w:rsid w:val="365438D0"/>
    <w:rsid w:val="36BF1DD2"/>
    <w:rsid w:val="36CE1E68"/>
    <w:rsid w:val="36E76886"/>
    <w:rsid w:val="370A0339"/>
    <w:rsid w:val="372E4C4B"/>
    <w:rsid w:val="37335AE2"/>
    <w:rsid w:val="373E5157"/>
    <w:rsid w:val="37846B3F"/>
    <w:rsid w:val="37B7479C"/>
    <w:rsid w:val="37CD74C4"/>
    <w:rsid w:val="385765B0"/>
    <w:rsid w:val="386A106F"/>
    <w:rsid w:val="387413D6"/>
    <w:rsid w:val="38B96CA5"/>
    <w:rsid w:val="38D01857"/>
    <w:rsid w:val="38EE3222"/>
    <w:rsid w:val="38FA78FB"/>
    <w:rsid w:val="39137BCC"/>
    <w:rsid w:val="396B746D"/>
    <w:rsid w:val="39965A9D"/>
    <w:rsid w:val="39BF6C2A"/>
    <w:rsid w:val="39D15B49"/>
    <w:rsid w:val="39ED70DA"/>
    <w:rsid w:val="3A1E7B11"/>
    <w:rsid w:val="3A945BA3"/>
    <w:rsid w:val="3AEF3D58"/>
    <w:rsid w:val="3AEF7F72"/>
    <w:rsid w:val="3B972496"/>
    <w:rsid w:val="3BA47597"/>
    <w:rsid w:val="3BBA5358"/>
    <w:rsid w:val="3BCC14CB"/>
    <w:rsid w:val="3BD45506"/>
    <w:rsid w:val="3BFE6039"/>
    <w:rsid w:val="3C140BA3"/>
    <w:rsid w:val="3C305BD0"/>
    <w:rsid w:val="3C3570E9"/>
    <w:rsid w:val="3C3B6DA1"/>
    <w:rsid w:val="3C410E85"/>
    <w:rsid w:val="3CAE6CBC"/>
    <w:rsid w:val="3CB91A62"/>
    <w:rsid w:val="3CE8383B"/>
    <w:rsid w:val="3D063821"/>
    <w:rsid w:val="3D6430DB"/>
    <w:rsid w:val="3DBA34F4"/>
    <w:rsid w:val="3E1924BD"/>
    <w:rsid w:val="3E483328"/>
    <w:rsid w:val="3E623328"/>
    <w:rsid w:val="3EE15E23"/>
    <w:rsid w:val="3F086869"/>
    <w:rsid w:val="3F627B4A"/>
    <w:rsid w:val="3F663552"/>
    <w:rsid w:val="3FAD63A0"/>
    <w:rsid w:val="3FC61C24"/>
    <w:rsid w:val="40217801"/>
    <w:rsid w:val="404B3E9C"/>
    <w:rsid w:val="407056B1"/>
    <w:rsid w:val="40957E6F"/>
    <w:rsid w:val="40BD3321"/>
    <w:rsid w:val="40C8744E"/>
    <w:rsid w:val="411E2A95"/>
    <w:rsid w:val="41270F4B"/>
    <w:rsid w:val="414F7D88"/>
    <w:rsid w:val="41AF782A"/>
    <w:rsid w:val="41B415CD"/>
    <w:rsid w:val="41FE3DC7"/>
    <w:rsid w:val="42226B41"/>
    <w:rsid w:val="427C2B96"/>
    <w:rsid w:val="42BD00FB"/>
    <w:rsid w:val="42EF715C"/>
    <w:rsid w:val="42F40336"/>
    <w:rsid w:val="42F45B37"/>
    <w:rsid w:val="42F73E67"/>
    <w:rsid w:val="4395165B"/>
    <w:rsid w:val="43DF3F91"/>
    <w:rsid w:val="43E80C33"/>
    <w:rsid w:val="440F4BCD"/>
    <w:rsid w:val="441B4340"/>
    <w:rsid w:val="441D4910"/>
    <w:rsid w:val="44406D38"/>
    <w:rsid w:val="44645338"/>
    <w:rsid w:val="44931544"/>
    <w:rsid w:val="44C9404C"/>
    <w:rsid w:val="44D33E35"/>
    <w:rsid w:val="44F42F59"/>
    <w:rsid w:val="45026318"/>
    <w:rsid w:val="450A33CA"/>
    <w:rsid w:val="4528255F"/>
    <w:rsid w:val="45360DDB"/>
    <w:rsid w:val="45492D3D"/>
    <w:rsid w:val="458727AA"/>
    <w:rsid w:val="45CE5353"/>
    <w:rsid w:val="45E00BE3"/>
    <w:rsid w:val="45F5481D"/>
    <w:rsid w:val="4612255B"/>
    <w:rsid w:val="46257474"/>
    <w:rsid w:val="468671F8"/>
    <w:rsid w:val="46BC37F2"/>
    <w:rsid w:val="46BD719F"/>
    <w:rsid w:val="46CB6D50"/>
    <w:rsid w:val="46D26F5F"/>
    <w:rsid w:val="46F22F79"/>
    <w:rsid w:val="4733072C"/>
    <w:rsid w:val="4750790D"/>
    <w:rsid w:val="4753235E"/>
    <w:rsid w:val="476C53B6"/>
    <w:rsid w:val="47A1125B"/>
    <w:rsid w:val="47B64ACB"/>
    <w:rsid w:val="482F7BFF"/>
    <w:rsid w:val="486358E8"/>
    <w:rsid w:val="48F91EF3"/>
    <w:rsid w:val="493B4A09"/>
    <w:rsid w:val="497E1657"/>
    <w:rsid w:val="49A117C5"/>
    <w:rsid w:val="49B74350"/>
    <w:rsid w:val="49D90FA4"/>
    <w:rsid w:val="4A260275"/>
    <w:rsid w:val="4A674244"/>
    <w:rsid w:val="4A6D758D"/>
    <w:rsid w:val="4A7E16E6"/>
    <w:rsid w:val="4AA91853"/>
    <w:rsid w:val="4AD66569"/>
    <w:rsid w:val="4AE64233"/>
    <w:rsid w:val="4AF96FA1"/>
    <w:rsid w:val="4B1730BE"/>
    <w:rsid w:val="4B390A4F"/>
    <w:rsid w:val="4B6C3215"/>
    <w:rsid w:val="4BE56846"/>
    <w:rsid w:val="4BF165C8"/>
    <w:rsid w:val="4BFB55AA"/>
    <w:rsid w:val="4C2711FD"/>
    <w:rsid w:val="4C3D2474"/>
    <w:rsid w:val="4C7371D4"/>
    <w:rsid w:val="4C903FC8"/>
    <w:rsid w:val="4C920D8C"/>
    <w:rsid w:val="4CE92A73"/>
    <w:rsid w:val="4D1B4A9D"/>
    <w:rsid w:val="4DA23BE8"/>
    <w:rsid w:val="4DAE3310"/>
    <w:rsid w:val="4DD101CC"/>
    <w:rsid w:val="4DD70893"/>
    <w:rsid w:val="4E2B34A0"/>
    <w:rsid w:val="4E4C45CF"/>
    <w:rsid w:val="4E530DA6"/>
    <w:rsid w:val="4EAA2AAE"/>
    <w:rsid w:val="4EB16A80"/>
    <w:rsid w:val="4EC33D83"/>
    <w:rsid w:val="4ECA007B"/>
    <w:rsid w:val="4ED132BC"/>
    <w:rsid w:val="4EE81B4D"/>
    <w:rsid w:val="4F0B668B"/>
    <w:rsid w:val="4F2238DD"/>
    <w:rsid w:val="4F6C0472"/>
    <w:rsid w:val="4F9D2BC1"/>
    <w:rsid w:val="4FB01AEB"/>
    <w:rsid w:val="4FBF5856"/>
    <w:rsid w:val="4FCB61AC"/>
    <w:rsid w:val="50206CEA"/>
    <w:rsid w:val="505D4A7F"/>
    <w:rsid w:val="50847092"/>
    <w:rsid w:val="50903F43"/>
    <w:rsid w:val="50D2558F"/>
    <w:rsid w:val="50F239DB"/>
    <w:rsid w:val="51176F6E"/>
    <w:rsid w:val="512D054B"/>
    <w:rsid w:val="51870AAC"/>
    <w:rsid w:val="51E856F6"/>
    <w:rsid w:val="51EF500E"/>
    <w:rsid w:val="52546BE0"/>
    <w:rsid w:val="525B269A"/>
    <w:rsid w:val="52BF0BF7"/>
    <w:rsid w:val="53143DFC"/>
    <w:rsid w:val="53285977"/>
    <w:rsid w:val="537606EE"/>
    <w:rsid w:val="53AC7CDC"/>
    <w:rsid w:val="53E67D0C"/>
    <w:rsid w:val="53F101B8"/>
    <w:rsid w:val="54062349"/>
    <w:rsid w:val="541D0401"/>
    <w:rsid w:val="54250932"/>
    <w:rsid w:val="54617D59"/>
    <w:rsid w:val="54BF65DD"/>
    <w:rsid w:val="55046BE6"/>
    <w:rsid w:val="550E6AF1"/>
    <w:rsid w:val="55113701"/>
    <w:rsid w:val="552B7BD1"/>
    <w:rsid w:val="552C2C30"/>
    <w:rsid w:val="55454F15"/>
    <w:rsid w:val="555D7051"/>
    <w:rsid w:val="55984275"/>
    <w:rsid w:val="559F0FE5"/>
    <w:rsid w:val="55A67168"/>
    <w:rsid w:val="55C71E85"/>
    <w:rsid w:val="55D10548"/>
    <w:rsid w:val="55E126E6"/>
    <w:rsid w:val="564C0408"/>
    <w:rsid w:val="567A2032"/>
    <w:rsid w:val="569028CD"/>
    <w:rsid w:val="56AF6BFF"/>
    <w:rsid w:val="57280BE4"/>
    <w:rsid w:val="5773598F"/>
    <w:rsid w:val="578E2A27"/>
    <w:rsid w:val="5797058E"/>
    <w:rsid w:val="57B70FDD"/>
    <w:rsid w:val="57DE5174"/>
    <w:rsid w:val="57EA79C9"/>
    <w:rsid w:val="58136BF6"/>
    <w:rsid w:val="582D0A56"/>
    <w:rsid w:val="583652D4"/>
    <w:rsid w:val="583E6B5C"/>
    <w:rsid w:val="588F2508"/>
    <w:rsid w:val="58B05736"/>
    <w:rsid w:val="58BE1993"/>
    <w:rsid w:val="58C04E60"/>
    <w:rsid w:val="59261543"/>
    <w:rsid w:val="59400E96"/>
    <w:rsid w:val="594554D5"/>
    <w:rsid w:val="599C7BD8"/>
    <w:rsid w:val="599D46E8"/>
    <w:rsid w:val="599F1184"/>
    <w:rsid w:val="59AA3419"/>
    <w:rsid w:val="59AE3DA7"/>
    <w:rsid w:val="59BE6AFF"/>
    <w:rsid w:val="59D402D4"/>
    <w:rsid w:val="59F30DFE"/>
    <w:rsid w:val="5A493D13"/>
    <w:rsid w:val="5A50670B"/>
    <w:rsid w:val="5A95211A"/>
    <w:rsid w:val="5AB87B39"/>
    <w:rsid w:val="5B0C2013"/>
    <w:rsid w:val="5B1576E4"/>
    <w:rsid w:val="5B1B64A6"/>
    <w:rsid w:val="5B265EB5"/>
    <w:rsid w:val="5B6E2968"/>
    <w:rsid w:val="5BA25B34"/>
    <w:rsid w:val="5BBF7358"/>
    <w:rsid w:val="5BC562B5"/>
    <w:rsid w:val="5BE10579"/>
    <w:rsid w:val="5BE62B04"/>
    <w:rsid w:val="5BFA25FC"/>
    <w:rsid w:val="5C932D4B"/>
    <w:rsid w:val="5CC80C5C"/>
    <w:rsid w:val="5CD01F00"/>
    <w:rsid w:val="5D0132A8"/>
    <w:rsid w:val="5D0505BD"/>
    <w:rsid w:val="5D6D4302"/>
    <w:rsid w:val="5DA52508"/>
    <w:rsid w:val="5DDB48DC"/>
    <w:rsid w:val="5E2649D2"/>
    <w:rsid w:val="5E5218E8"/>
    <w:rsid w:val="5E6A32E8"/>
    <w:rsid w:val="5E875592"/>
    <w:rsid w:val="5E9641CF"/>
    <w:rsid w:val="5E99758D"/>
    <w:rsid w:val="5EC306B7"/>
    <w:rsid w:val="5F063D78"/>
    <w:rsid w:val="5F0F6EAA"/>
    <w:rsid w:val="5F520074"/>
    <w:rsid w:val="5F5D71F1"/>
    <w:rsid w:val="5F961EFB"/>
    <w:rsid w:val="5FDC3F39"/>
    <w:rsid w:val="5FDD45BE"/>
    <w:rsid w:val="60190D86"/>
    <w:rsid w:val="606E2203"/>
    <w:rsid w:val="609A50DC"/>
    <w:rsid w:val="60BF3E34"/>
    <w:rsid w:val="60EC7228"/>
    <w:rsid w:val="610042FE"/>
    <w:rsid w:val="6176697F"/>
    <w:rsid w:val="61D953C0"/>
    <w:rsid w:val="623D745C"/>
    <w:rsid w:val="6267552A"/>
    <w:rsid w:val="6276359D"/>
    <w:rsid w:val="62AC1528"/>
    <w:rsid w:val="62C331BD"/>
    <w:rsid w:val="62D60D7C"/>
    <w:rsid w:val="62EB174E"/>
    <w:rsid w:val="6322494F"/>
    <w:rsid w:val="634E33E0"/>
    <w:rsid w:val="635554EA"/>
    <w:rsid w:val="638044B2"/>
    <w:rsid w:val="63877059"/>
    <w:rsid w:val="63AC4E0C"/>
    <w:rsid w:val="63B60CD2"/>
    <w:rsid w:val="63E5047C"/>
    <w:rsid w:val="63FF0AF4"/>
    <w:rsid w:val="63FF755E"/>
    <w:rsid w:val="643D458D"/>
    <w:rsid w:val="64BB2AEF"/>
    <w:rsid w:val="64F561FB"/>
    <w:rsid w:val="65401246"/>
    <w:rsid w:val="656B0502"/>
    <w:rsid w:val="65815183"/>
    <w:rsid w:val="65D460C0"/>
    <w:rsid w:val="65E33EAB"/>
    <w:rsid w:val="65E63B9C"/>
    <w:rsid w:val="660404C6"/>
    <w:rsid w:val="661D2237"/>
    <w:rsid w:val="66832455"/>
    <w:rsid w:val="668B5259"/>
    <w:rsid w:val="66901D14"/>
    <w:rsid w:val="66911D59"/>
    <w:rsid w:val="66AE2BB2"/>
    <w:rsid w:val="66AE605A"/>
    <w:rsid w:val="66CB479A"/>
    <w:rsid w:val="66D622B6"/>
    <w:rsid w:val="66DA2779"/>
    <w:rsid w:val="66EE549F"/>
    <w:rsid w:val="6727446C"/>
    <w:rsid w:val="673F7B1E"/>
    <w:rsid w:val="67464C4A"/>
    <w:rsid w:val="677F245B"/>
    <w:rsid w:val="67C41711"/>
    <w:rsid w:val="67CB4B44"/>
    <w:rsid w:val="67FF0593"/>
    <w:rsid w:val="68452D7C"/>
    <w:rsid w:val="68A43842"/>
    <w:rsid w:val="68BE37A5"/>
    <w:rsid w:val="68C45F81"/>
    <w:rsid w:val="69021213"/>
    <w:rsid w:val="69734507"/>
    <w:rsid w:val="697F3E3A"/>
    <w:rsid w:val="698E0538"/>
    <w:rsid w:val="69B5065A"/>
    <w:rsid w:val="69BC19CB"/>
    <w:rsid w:val="69C9645B"/>
    <w:rsid w:val="69F4223A"/>
    <w:rsid w:val="6A0434BE"/>
    <w:rsid w:val="6A4A07B0"/>
    <w:rsid w:val="6A6F0D38"/>
    <w:rsid w:val="6A800CD7"/>
    <w:rsid w:val="6A91059F"/>
    <w:rsid w:val="6AA9322D"/>
    <w:rsid w:val="6AAB0C04"/>
    <w:rsid w:val="6B053E23"/>
    <w:rsid w:val="6B1765A5"/>
    <w:rsid w:val="6B1C7422"/>
    <w:rsid w:val="6B3D59CB"/>
    <w:rsid w:val="6B616D49"/>
    <w:rsid w:val="6B7C755B"/>
    <w:rsid w:val="6BD62996"/>
    <w:rsid w:val="6BD94B81"/>
    <w:rsid w:val="6BD95330"/>
    <w:rsid w:val="6BE95552"/>
    <w:rsid w:val="6BE96194"/>
    <w:rsid w:val="6C3B6FF3"/>
    <w:rsid w:val="6C4F6AFB"/>
    <w:rsid w:val="6C6539DE"/>
    <w:rsid w:val="6C881A75"/>
    <w:rsid w:val="6CDF0A0C"/>
    <w:rsid w:val="6D096511"/>
    <w:rsid w:val="6D267305"/>
    <w:rsid w:val="6D2E2A2F"/>
    <w:rsid w:val="6D62763D"/>
    <w:rsid w:val="6D716483"/>
    <w:rsid w:val="6D7E3A87"/>
    <w:rsid w:val="6D8A2DC6"/>
    <w:rsid w:val="6DF508D1"/>
    <w:rsid w:val="6DFB21AE"/>
    <w:rsid w:val="6E095F12"/>
    <w:rsid w:val="6E20420B"/>
    <w:rsid w:val="6E6D0751"/>
    <w:rsid w:val="6E6D3BA4"/>
    <w:rsid w:val="6E813540"/>
    <w:rsid w:val="6E8B7347"/>
    <w:rsid w:val="6E8F3F27"/>
    <w:rsid w:val="6ECD0B5E"/>
    <w:rsid w:val="6ECF0A2C"/>
    <w:rsid w:val="6EEA7239"/>
    <w:rsid w:val="6EF25156"/>
    <w:rsid w:val="6EF51E15"/>
    <w:rsid w:val="6F450167"/>
    <w:rsid w:val="6F4F3F59"/>
    <w:rsid w:val="6F751193"/>
    <w:rsid w:val="6F7B5355"/>
    <w:rsid w:val="6F8D12F2"/>
    <w:rsid w:val="704C6CF1"/>
    <w:rsid w:val="705F3326"/>
    <w:rsid w:val="70786F2B"/>
    <w:rsid w:val="708B5DA4"/>
    <w:rsid w:val="70C46851"/>
    <w:rsid w:val="70CB58EA"/>
    <w:rsid w:val="70E81C17"/>
    <w:rsid w:val="70EB0129"/>
    <w:rsid w:val="70FC5C49"/>
    <w:rsid w:val="710D62F5"/>
    <w:rsid w:val="711840D3"/>
    <w:rsid w:val="71886B1E"/>
    <w:rsid w:val="71A70C64"/>
    <w:rsid w:val="71B75952"/>
    <w:rsid w:val="71D71EF0"/>
    <w:rsid w:val="71F2536B"/>
    <w:rsid w:val="71F43C48"/>
    <w:rsid w:val="724038D4"/>
    <w:rsid w:val="72453820"/>
    <w:rsid w:val="72A95F79"/>
    <w:rsid w:val="72DB3FC7"/>
    <w:rsid w:val="73437337"/>
    <w:rsid w:val="73A82490"/>
    <w:rsid w:val="73A925A0"/>
    <w:rsid w:val="74035919"/>
    <w:rsid w:val="7408277B"/>
    <w:rsid w:val="741E3A03"/>
    <w:rsid w:val="74310858"/>
    <w:rsid w:val="744216A2"/>
    <w:rsid w:val="74422964"/>
    <w:rsid w:val="74695972"/>
    <w:rsid w:val="747358FB"/>
    <w:rsid w:val="750423A2"/>
    <w:rsid w:val="751B72CA"/>
    <w:rsid w:val="752035B3"/>
    <w:rsid w:val="75785DB0"/>
    <w:rsid w:val="760D1E92"/>
    <w:rsid w:val="763C5757"/>
    <w:rsid w:val="76405998"/>
    <w:rsid w:val="76B91C24"/>
    <w:rsid w:val="76E4662D"/>
    <w:rsid w:val="7707109B"/>
    <w:rsid w:val="773A447A"/>
    <w:rsid w:val="7748200C"/>
    <w:rsid w:val="77514B57"/>
    <w:rsid w:val="7760213D"/>
    <w:rsid w:val="77F33154"/>
    <w:rsid w:val="782D12EC"/>
    <w:rsid w:val="783E7867"/>
    <w:rsid w:val="789853FB"/>
    <w:rsid w:val="78E51593"/>
    <w:rsid w:val="79561F17"/>
    <w:rsid w:val="796A4998"/>
    <w:rsid w:val="79A331C3"/>
    <w:rsid w:val="79DD23F7"/>
    <w:rsid w:val="7A0C4606"/>
    <w:rsid w:val="7AB80475"/>
    <w:rsid w:val="7ABA22EC"/>
    <w:rsid w:val="7AF73ADF"/>
    <w:rsid w:val="7B063B68"/>
    <w:rsid w:val="7B1B13A5"/>
    <w:rsid w:val="7B293C42"/>
    <w:rsid w:val="7B3927AA"/>
    <w:rsid w:val="7B484F56"/>
    <w:rsid w:val="7B4D1A68"/>
    <w:rsid w:val="7B711D02"/>
    <w:rsid w:val="7B913E9B"/>
    <w:rsid w:val="7B9D1B97"/>
    <w:rsid w:val="7BED7A99"/>
    <w:rsid w:val="7C0C5A19"/>
    <w:rsid w:val="7C487B52"/>
    <w:rsid w:val="7C5C5BEE"/>
    <w:rsid w:val="7C5D2463"/>
    <w:rsid w:val="7C6914E9"/>
    <w:rsid w:val="7C745605"/>
    <w:rsid w:val="7C82671B"/>
    <w:rsid w:val="7C8F5627"/>
    <w:rsid w:val="7CA207E3"/>
    <w:rsid w:val="7CE20DD1"/>
    <w:rsid w:val="7D032E2D"/>
    <w:rsid w:val="7D0A3F03"/>
    <w:rsid w:val="7D1B12B0"/>
    <w:rsid w:val="7D4D1CE8"/>
    <w:rsid w:val="7D4E1003"/>
    <w:rsid w:val="7D5235BE"/>
    <w:rsid w:val="7DCF3050"/>
    <w:rsid w:val="7DE738D1"/>
    <w:rsid w:val="7E392091"/>
    <w:rsid w:val="7E9852E3"/>
    <w:rsid w:val="7E9C2A38"/>
    <w:rsid w:val="7EA938EA"/>
    <w:rsid w:val="7ED105F0"/>
    <w:rsid w:val="7ED97B54"/>
    <w:rsid w:val="7EE030AD"/>
    <w:rsid w:val="7F632FC3"/>
    <w:rsid w:val="7FD234B3"/>
    <w:rsid w:val="7FF6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2">
    <w:name w:val="heading 4"/>
    <w:basedOn w:val="1"/>
    <w:next w:val="1"/>
    <w:link w:val="9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4"/>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20" w:lineRule="auto"/>
      <w:outlineLvl w:val="5"/>
    </w:pPr>
    <w:rPr>
      <w:rFonts w:ascii="Calibri Light" w:hAnsi="Calibri Light" w:eastAsia="楷体_GB2312"/>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Tahoma" w:hAnsi="Tahoma" w:eastAsia="Cambria Math" w:cs="Tahoma"/>
      <w:sz w:val="20"/>
      <w:szCs w:val="20"/>
    </w:rPr>
  </w:style>
  <w:style w:type="paragraph" w:styleId="11">
    <w:name w:val="annotation text"/>
    <w:basedOn w:val="1"/>
    <w:link w:val="41"/>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next w:val="14"/>
    <w:link w:val="88"/>
    <w:qFormat/>
    <w:uiPriority w:val="0"/>
    <w:pPr>
      <w:spacing w:after="120"/>
    </w:pPr>
  </w:style>
  <w:style w:type="paragraph" w:styleId="14">
    <w:name w:val="Body Text First Indent"/>
    <w:basedOn w:val="13"/>
    <w:next w:val="15"/>
    <w:link w:val="97"/>
    <w:unhideWhenUsed/>
    <w:qFormat/>
    <w:uiPriority w:val="0"/>
    <w:pPr>
      <w:ind w:firstLine="420" w:firstLineChars="100"/>
    </w:pPr>
  </w:style>
  <w:style w:type="paragraph" w:styleId="15">
    <w:name w:val="toc 6"/>
    <w:basedOn w:val="1"/>
    <w:next w:val="1"/>
    <w:qFormat/>
    <w:uiPriority w:val="0"/>
    <w:pPr>
      <w:ind w:left="1050"/>
      <w:jc w:val="left"/>
    </w:pPr>
    <w:rPr>
      <w:sz w:val="18"/>
      <w:szCs w:val="18"/>
    </w:rPr>
  </w:style>
  <w:style w:type="paragraph" w:styleId="16">
    <w:name w:val="Body Text Indent"/>
    <w:basedOn w:val="1"/>
    <w:next w:val="1"/>
    <w:link w:val="7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7">
    <w:name w:val="List 2"/>
    <w:basedOn w:val="1"/>
    <w:qFormat/>
    <w:uiPriority w:val="0"/>
    <w:pPr>
      <w:ind w:left="100" w:leftChars="200" w:hanging="200" w:hangingChars="200"/>
    </w:pPr>
  </w:style>
  <w:style w:type="paragraph" w:styleId="18">
    <w:name w:val="Plain Text"/>
    <w:basedOn w:val="1"/>
    <w:link w:val="46"/>
    <w:qFormat/>
    <w:uiPriority w:val="0"/>
    <w:rPr>
      <w:rFonts w:ascii="楷体_GB2312" w:hAnsi="Courier New" w:eastAsia="楷体_GB2312"/>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42"/>
    <w:qFormat/>
    <w:uiPriority w:val="0"/>
    <w:rPr>
      <w:sz w:val="18"/>
      <w:szCs w:val="18"/>
    </w:rPr>
  </w:style>
  <w:style w:type="paragraph" w:styleId="22">
    <w:name w:val="footer"/>
    <w:basedOn w:val="1"/>
    <w:link w:val="43"/>
    <w:qFormat/>
    <w:uiPriority w:val="0"/>
    <w:pPr>
      <w:tabs>
        <w:tab w:val="center" w:pos="4153"/>
        <w:tab w:val="right" w:pos="8306"/>
      </w:tabs>
      <w:snapToGrid w:val="0"/>
      <w:jc w:val="left"/>
    </w:pPr>
    <w:rPr>
      <w:sz w:val="18"/>
      <w:szCs w:val="18"/>
    </w:rPr>
  </w:style>
  <w:style w:type="paragraph" w:styleId="23">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qFormat/>
    <w:uiPriority w:val="99"/>
    <w:pPr>
      <w:spacing w:before="240" w:after="60" w:line="312" w:lineRule="auto"/>
      <w:jc w:val="center"/>
      <w:outlineLvl w:val="1"/>
    </w:pPr>
    <w:rPr>
      <w:rFonts w:ascii="Cambria" w:hAnsi="Cambria" w:cs="Cambria"/>
      <w:b/>
      <w:bCs/>
      <w:kern w:val="28"/>
    </w:rPr>
  </w:style>
  <w:style w:type="paragraph" w:styleId="25">
    <w:name w:val="List"/>
    <w:basedOn w:val="1"/>
    <w:qFormat/>
    <w:uiPriority w:val="0"/>
    <w:pPr>
      <w:ind w:left="200" w:hanging="200" w:hangingChars="200"/>
    </w:pPr>
    <w:rPr>
      <w:sz w:val="28"/>
    </w:rPr>
  </w:style>
  <w:style w:type="paragraph" w:styleId="26">
    <w:name w:val="footnote text"/>
    <w:basedOn w:val="1"/>
    <w:link w:val="93"/>
    <w:unhideWhenUsed/>
    <w:qFormat/>
    <w:uiPriority w:val="99"/>
    <w:pPr>
      <w:snapToGrid w:val="0"/>
      <w:jc w:val="left"/>
    </w:pPr>
    <w:rPr>
      <w:rFonts w:eastAsia="Calibri"/>
      <w:sz w:val="18"/>
    </w:rPr>
  </w:style>
  <w:style w:type="paragraph" w:styleId="27">
    <w:name w:val="Body Text Indent 3"/>
    <w:basedOn w:val="1"/>
    <w:qFormat/>
    <w:uiPriority w:val="0"/>
    <w:pPr>
      <w:ind w:left="420" w:leftChars="200"/>
    </w:pPr>
    <w:rPr>
      <w:sz w:val="16"/>
      <w:szCs w:val="16"/>
    </w:rPr>
  </w:style>
  <w:style w:type="paragraph" w:styleId="28">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9">
    <w:name w:val="Title"/>
    <w:basedOn w:val="1"/>
    <w:next w:val="1"/>
    <w:link w:val="85"/>
    <w:qFormat/>
    <w:uiPriority w:val="99"/>
    <w:pPr>
      <w:spacing w:before="240" w:after="60"/>
      <w:jc w:val="center"/>
      <w:outlineLvl w:val="0"/>
    </w:pPr>
    <w:rPr>
      <w:rFonts w:ascii="Arial" w:hAnsi="Arial" w:cs="Arial"/>
      <w:b/>
      <w:bCs/>
      <w:sz w:val="32"/>
      <w:szCs w:val="32"/>
    </w:rPr>
  </w:style>
  <w:style w:type="paragraph" w:styleId="30">
    <w:name w:val="annotation subject"/>
    <w:basedOn w:val="11"/>
    <w:next w:val="11"/>
    <w:link w:val="44"/>
    <w:qFormat/>
    <w:uiPriority w:val="0"/>
    <w:rPr>
      <w:b/>
      <w:bCs/>
    </w:rPr>
  </w:style>
  <w:style w:type="paragraph" w:styleId="31">
    <w:name w:val="Body Text First Indent 2"/>
    <w:basedOn w:val="16"/>
    <w:next w:val="1"/>
    <w:link w:val="76"/>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Hyperlink"/>
    <w:qFormat/>
    <w:uiPriority w:val="0"/>
    <w:rPr>
      <w:color w:val="0000FF"/>
      <w:u w:val="single"/>
    </w:rPr>
  </w:style>
  <w:style w:type="character" w:styleId="38">
    <w:name w:val="annotation reference"/>
    <w:basedOn w:val="34"/>
    <w:qFormat/>
    <w:uiPriority w:val="0"/>
    <w:rPr>
      <w:sz w:val="21"/>
      <w:szCs w:val="21"/>
    </w:rPr>
  </w:style>
  <w:style w:type="character" w:styleId="39">
    <w:name w:val="footnote reference"/>
    <w:basedOn w:val="34"/>
    <w:unhideWhenUsed/>
    <w:qFormat/>
    <w:uiPriority w:val="99"/>
    <w:rPr>
      <w:vertAlign w:val="superscript"/>
    </w:rPr>
  </w:style>
  <w:style w:type="paragraph" w:customStyle="1" w:styleId="40">
    <w:name w:val="[Normal]"/>
    <w:qFormat/>
    <w:uiPriority w:val="0"/>
    <w:rPr>
      <w:rFonts w:ascii="宋体" w:hAnsi="宋体" w:eastAsia="宋体" w:cs="Times New Roman"/>
      <w:sz w:val="24"/>
      <w:szCs w:val="22"/>
      <w:lang w:val="zh-CN" w:eastAsia="zh-CN" w:bidi="ar-SA"/>
    </w:rPr>
  </w:style>
  <w:style w:type="character" w:customStyle="1" w:styleId="41">
    <w:name w:val="批注文字 Char1"/>
    <w:link w:val="11"/>
    <w:qFormat/>
    <w:uiPriority w:val="0"/>
    <w:rPr>
      <w:kern w:val="2"/>
      <w:sz w:val="21"/>
      <w:szCs w:val="24"/>
    </w:rPr>
  </w:style>
  <w:style w:type="character" w:customStyle="1" w:styleId="42">
    <w:name w:val="批注框文本 Char"/>
    <w:link w:val="21"/>
    <w:qFormat/>
    <w:uiPriority w:val="0"/>
    <w:rPr>
      <w:kern w:val="2"/>
      <w:sz w:val="18"/>
      <w:szCs w:val="18"/>
    </w:rPr>
  </w:style>
  <w:style w:type="character" w:customStyle="1" w:styleId="43">
    <w:name w:val="页脚 Char"/>
    <w:link w:val="22"/>
    <w:qFormat/>
    <w:uiPriority w:val="0"/>
    <w:rPr>
      <w:kern w:val="2"/>
      <w:sz w:val="18"/>
      <w:szCs w:val="18"/>
    </w:rPr>
  </w:style>
  <w:style w:type="character" w:customStyle="1" w:styleId="44">
    <w:name w:val="批注主题 Char"/>
    <w:basedOn w:val="41"/>
    <w:link w:val="30"/>
    <w:qFormat/>
    <w:uiPriority w:val="0"/>
    <w:rPr>
      <w:kern w:val="2"/>
      <w:sz w:val="21"/>
      <w:szCs w:val="24"/>
    </w:rPr>
  </w:style>
  <w:style w:type="character" w:customStyle="1" w:styleId="45">
    <w:name w:val="页眉 Char"/>
    <w:link w:val="23"/>
    <w:qFormat/>
    <w:uiPriority w:val="0"/>
    <w:rPr>
      <w:kern w:val="2"/>
      <w:sz w:val="18"/>
      <w:szCs w:val="18"/>
    </w:rPr>
  </w:style>
  <w:style w:type="character" w:customStyle="1" w:styleId="46">
    <w:name w:val="纯文本 Char2"/>
    <w:link w:val="18"/>
    <w:qFormat/>
    <w:uiPriority w:val="0"/>
    <w:rPr>
      <w:rFonts w:ascii="楷体_GB2312" w:hAnsi="Courier New" w:eastAsia="楷体_GB2312"/>
      <w:kern w:val="2"/>
      <w:sz w:val="21"/>
      <w:szCs w:val="24"/>
      <w:lang w:val="en-US" w:eastAsia="zh-CN" w:bidi="ar-SA"/>
    </w:rPr>
  </w:style>
  <w:style w:type="character" w:customStyle="1" w:styleId="47">
    <w:name w:val="标题 6 Char"/>
    <w:link w:val="7"/>
    <w:semiHidden/>
    <w:qFormat/>
    <w:uiPriority w:val="0"/>
    <w:rPr>
      <w:rFonts w:ascii="Calibri Light" w:hAnsi="Calibri Light" w:eastAsia="楷体_GB2312" w:cs="@方正书宋简体"/>
      <w:b/>
      <w:bCs/>
      <w:kern w:val="2"/>
      <w:sz w:val="24"/>
      <w:szCs w:val="24"/>
    </w:rPr>
  </w:style>
  <w:style w:type="paragraph" w:customStyle="1" w:styleId="48">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9">
    <w:name w:val="列出段落1"/>
    <w:basedOn w:val="1"/>
    <w:qFormat/>
    <w:uiPriority w:val="0"/>
    <w:pPr>
      <w:ind w:firstLine="420" w:firstLineChars="200"/>
    </w:pPr>
    <w:rPr>
      <w:kern w:val="0"/>
      <w:szCs w:val="20"/>
    </w:rPr>
  </w:style>
  <w:style w:type="paragraph" w:customStyle="1" w:styleId="50">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2">
    <w:name w:val="列出段落2"/>
    <w:basedOn w:val="1"/>
    <w:qFormat/>
    <w:uiPriority w:val="34"/>
    <w:pPr>
      <w:ind w:firstLine="420" w:firstLineChars="200"/>
    </w:pPr>
    <w:rPr>
      <w:rFonts w:eastAsia="楷体_GB2312" w:cs="@方正书宋简体"/>
      <w:szCs w:val="22"/>
    </w:rPr>
  </w:style>
  <w:style w:type="paragraph" w:customStyle="1" w:styleId="53">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p0"/>
    <w:basedOn w:val="1"/>
    <w:qFormat/>
    <w:uiPriority w:val="0"/>
    <w:pPr>
      <w:widowControl/>
      <w:spacing w:line="365" w:lineRule="atLeast"/>
      <w:ind w:left="1"/>
    </w:pPr>
    <w:rPr>
      <w:kern w:val="0"/>
      <w:sz w:val="20"/>
      <w:szCs w:val="20"/>
    </w:rPr>
  </w:style>
  <w:style w:type="paragraph" w:customStyle="1" w:styleId="55">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56">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Char"/>
    <w:basedOn w:val="1"/>
    <w:qFormat/>
    <w:uiPriority w:val="0"/>
  </w:style>
  <w:style w:type="paragraph" w:customStyle="1" w:styleId="59">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60">
    <w:name w:val="正文_14"/>
    <w:qFormat/>
    <w:uiPriority w:val="0"/>
    <w:rPr>
      <w:rFonts w:ascii="Calibri" w:hAnsi="Calibri" w:eastAsia="宋体" w:cs="Times New Roman"/>
      <w:sz w:val="21"/>
      <w:lang w:val="en-US" w:eastAsia="zh-CN" w:bidi="ar-SA"/>
    </w:rPr>
  </w:style>
  <w:style w:type="paragraph" w:customStyle="1" w:styleId="6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w:basedOn w:val="1"/>
    <w:qFormat/>
    <w:uiPriority w:val="0"/>
  </w:style>
  <w:style w:type="paragraph" w:customStyle="1" w:styleId="63">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6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Table Paragraph"/>
    <w:basedOn w:val="1"/>
    <w:qFormat/>
    <w:uiPriority w:val="1"/>
    <w:rPr>
      <w:szCs w:val="20"/>
    </w:rPr>
  </w:style>
  <w:style w:type="paragraph" w:customStyle="1" w:styleId="68">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70">
    <w:name w:val="List Paragraph"/>
    <w:basedOn w:val="1"/>
    <w:qFormat/>
    <w:uiPriority w:val="99"/>
    <w:pPr>
      <w:ind w:firstLine="420" w:firstLineChars="200"/>
    </w:pPr>
  </w:style>
  <w:style w:type="paragraph" w:customStyle="1" w:styleId="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标题 2 Char"/>
    <w:basedOn w:val="34"/>
    <w:link w:val="4"/>
    <w:semiHidden/>
    <w:qFormat/>
    <w:uiPriority w:val="0"/>
    <w:rPr>
      <w:rFonts w:asciiTheme="majorHAnsi" w:hAnsiTheme="majorHAnsi" w:eastAsiaTheme="majorEastAsia" w:cstheme="majorBidi"/>
      <w:b/>
      <w:bCs/>
      <w:kern w:val="2"/>
      <w:sz w:val="32"/>
      <w:szCs w:val="32"/>
    </w:rPr>
  </w:style>
  <w:style w:type="character" w:customStyle="1" w:styleId="75">
    <w:name w:val="正文文本缩进 Char"/>
    <w:basedOn w:val="34"/>
    <w:link w:val="16"/>
    <w:qFormat/>
    <w:uiPriority w:val="0"/>
    <w:rPr>
      <w:rFonts w:ascii="楷体_GB2312"/>
      <w:color w:val="000000"/>
      <w:sz w:val="24"/>
    </w:rPr>
  </w:style>
  <w:style w:type="character" w:customStyle="1" w:styleId="76">
    <w:name w:val="正文首行缩进 2 Char"/>
    <w:basedOn w:val="75"/>
    <w:link w:val="31"/>
    <w:qFormat/>
    <w:uiPriority w:val="0"/>
    <w:rPr>
      <w:rFonts w:ascii="楷体_GB2312"/>
      <w:color w:val="000000"/>
      <w:kern w:val="2"/>
      <w:sz w:val="21"/>
      <w:szCs w:val="24"/>
    </w:rPr>
  </w:style>
  <w:style w:type="character" w:customStyle="1" w:styleId="77">
    <w:name w:val="标题 1 Char"/>
    <w:basedOn w:val="34"/>
    <w:link w:val="3"/>
    <w:qFormat/>
    <w:uiPriority w:val="0"/>
    <w:rPr>
      <w:b/>
      <w:bCs/>
      <w:kern w:val="44"/>
      <w:sz w:val="44"/>
      <w:szCs w:val="44"/>
    </w:rPr>
  </w:style>
  <w:style w:type="table" w:customStyle="1" w:styleId="78">
    <w:name w:val="网格型1"/>
    <w:basedOn w:val="3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首行缩进"/>
    <w:basedOn w:val="1"/>
    <w:qFormat/>
    <w:uiPriority w:val="0"/>
    <w:pPr>
      <w:ind w:firstLine="480" w:firstLineChars="200"/>
    </w:pPr>
    <w:rPr>
      <w:szCs w:val="20"/>
      <w:lang w:val="zh-CN"/>
    </w:rPr>
  </w:style>
  <w:style w:type="paragraph" w:customStyle="1" w:styleId="80">
    <w:name w:val="￥正文"/>
    <w:basedOn w:val="1"/>
    <w:qFormat/>
    <w:uiPriority w:val="0"/>
    <w:pPr>
      <w:spacing w:line="360" w:lineRule="auto"/>
      <w:ind w:firstLine="200" w:firstLineChars="200"/>
    </w:pPr>
    <w:rPr>
      <w:kern w:val="0"/>
      <w:sz w:val="24"/>
      <w:szCs w:val="20"/>
    </w:rPr>
  </w:style>
  <w:style w:type="character" w:customStyle="1" w:styleId="81">
    <w:name w:val="纯文本 Char"/>
    <w:qFormat/>
    <w:uiPriority w:val="0"/>
    <w:rPr>
      <w:rFonts w:ascii="宋体" w:hAnsi="Courier New" w:eastAsia="宋体"/>
      <w:kern w:val="2"/>
      <w:sz w:val="24"/>
      <w:szCs w:val="24"/>
      <w:lang w:val="en-US" w:eastAsia="zh-CN" w:bidi="ar-SA"/>
    </w:rPr>
  </w:style>
  <w:style w:type="paragraph" w:customStyle="1" w:styleId="82">
    <w:name w:val="表格文字"/>
    <w:basedOn w:val="1"/>
    <w:next w:val="13"/>
    <w:qFormat/>
    <w:uiPriority w:val="0"/>
    <w:pPr>
      <w:adjustRightInd w:val="0"/>
      <w:spacing w:line="420" w:lineRule="atLeast"/>
      <w:jc w:val="left"/>
      <w:textAlignment w:val="baseline"/>
    </w:pPr>
    <w:rPr>
      <w:rFonts w:ascii="Times New Roman" w:hAnsi="Times New Roman"/>
      <w:kern w:val="0"/>
    </w:rPr>
  </w:style>
  <w:style w:type="character" w:customStyle="1" w:styleId="83">
    <w:name w:val="NormalCharacter"/>
    <w:semiHidden/>
    <w:qFormat/>
    <w:uiPriority w:val="0"/>
  </w:style>
  <w:style w:type="character" w:customStyle="1" w:styleId="84">
    <w:name w:val="标题 5 Char"/>
    <w:basedOn w:val="34"/>
    <w:link w:val="6"/>
    <w:semiHidden/>
    <w:qFormat/>
    <w:uiPriority w:val="0"/>
    <w:rPr>
      <w:b/>
      <w:bCs/>
      <w:kern w:val="2"/>
      <w:sz w:val="28"/>
      <w:szCs w:val="28"/>
    </w:rPr>
  </w:style>
  <w:style w:type="character" w:customStyle="1" w:styleId="85">
    <w:name w:val="标题 Char"/>
    <w:basedOn w:val="34"/>
    <w:link w:val="29"/>
    <w:qFormat/>
    <w:uiPriority w:val="99"/>
    <w:rPr>
      <w:rFonts w:ascii="Arial" w:hAnsi="Arial" w:cs="Arial"/>
      <w:b/>
      <w:bCs/>
      <w:kern w:val="2"/>
      <w:sz w:val="32"/>
      <w:szCs w:val="32"/>
    </w:rPr>
  </w:style>
  <w:style w:type="paragraph" w:styleId="86">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87">
    <w:name w:val="纯文本 Char1"/>
    <w:qFormat/>
    <w:uiPriority w:val="99"/>
    <w:rPr>
      <w:rFonts w:ascii="楷体_GB2312" w:hAnsi="Courier New" w:eastAsia="楷体_GB2312"/>
      <w:kern w:val="2"/>
      <w:sz w:val="21"/>
      <w:szCs w:val="24"/>
      <w:lang w:val="en-US" w:eastAsia="zh-CN" w:bidi="ar-SA"/>
    </w:rPr>
  </w:style>
  <w:style w:type="character" w:customStyle="1" w:styleId="88">
    <w:name w:val="正文文本 Char"/>
    <w:basedOn w:val="34"/>
    <w:link w:val="13"/>
    <w:qFormat/>
    <w:uiPriority w:val="0"/>
    <w:rPr>
      <w:kern w:val="2"/>
      <w:sz w:val="21"/>
      <w:szCs w:val="24"/>
    </w:rPr>
  </w:style>
  <w:style w:type="paragraph" w:customStyle="1" w:styleId="89">
    <w:name w:val="正文2"/>
    <w:basedOn w:val="1"/>
    <w:qFormat/>
    <w:uiPriority w:val="0"/>
    <w:pPr>
      <w:spacing w:before="156" w:line="360" w:lineRule="auto"/>
      <w:ind w:firstLine="510" w:firstLineChars="200"/>
    </w:pPr>
    <w:rPr>
      <w:sz w:val="24"/>
      <w:szCs w:val="20"/>
    </w:rPr>
  </w:style>
  <w:style w:type="character" w:styleId="90">
    <w:name w:val="Placeholder Text"/>
    <w:basedOn w:val="34"/>
    <w:semiHidden/>
    <w:qFormat/>
    <w:uiPriority w:val="99"/>
    <w:rPr>
      <w:color w:val="808080"/>
    </w:rPr>
  </w:style>
  <w:style w:type="paragraph" w:customStyle="1" w:styleId="91">
    <w:name w:val="纯文本1"/>
    <w:basedOn w:val="1"/>
    <w:qFormat/>
    <w:uiPriority w:val="0"/>
    <w:rPr>
      <w:rFonts w:ascii="楷体_GB2312" w:hAnsi="Courier New" w:eastAsia="楷体_GB2312"/>
    </w:rPr>
  </w:style>
  <w:style w:type="paragraph" w:customStyle="1" w:styleId="92">
    <w:name w:val="无间隔2"/>
    <w:qFormat/>
    <w:uiPriority w:val="0"/>
    <w:pPr>
      <w:adjustRightInd w:val="0"/>
      <w:snapToGrid w:val="0"/>
    </w:pPr>
    <w:rPr>
      <w:rFonts w:ascii="Tahoma" w:hAnsi="Tahoma" w:eastAsia="微软雅黑" w:cs="Times New Roman"/>
      <w:sz w:val="22"/>
      <w:szCs w:val="22"/>
      <w:lang w:val="en-US" w:eastAsia="zh-CN" w:bidi="ar-SA"/>
    </w:rPr>
  </w:style>
  <w:style w:type="character" w:customStyle="1" w:styleId="93">
    <w:name w:val="脚注文本 Char"/>
    <w:basedOn w:val="34"/>
    <w:link w:val="26"/>
    <w:qFormat/>
    <w:uiPriority w:val="99"/>
    <w:rPr>
      <w:rFonts w:eastAsia="Calibri"/>
      <w:kern w:val="2"/>
      <w:sz w:val="18"/>
      <w:szCs w:val="24"/>
    </w:rPr>
  </w:style>
  <w:style w:type="character" w:customStyle="1" w:styleId="94">
    <w:name w:val="批注文字 Char"/>
    <w:qFormat/>
    <w:uiPriority w:val="0"/>
    <w:rPr>
      <w:kern w:val="2"/>
      <w:sz w:val="21"/>
      <w:szCs w:val="24"/>
    </w:rPr>
  </w:style>
  <w:style w:type="paragraph" w:customStyle="1" w:styleId="95">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character" w:customStyle="1" w:styleId="96">
    <w:name w:val="标题 4 Char"/>
    <w:basedOn w:val="34"/>
    <w:link w:val="2"/>
    <w:semiHidden/>
    <w:qFormat/>
    <w:uiPriority w:val="0"/>
    <w:rPr>
      <w:rFonts w:asciiTheme="majorHAnsi" w:hAnsiTheme="majorHAnsi" w:eastAsiaTheme="majorEastAsia" w:cstheme="majorBidi"/>
      <w:b/>
      <w:bCs/>
      <w:kern w:val="2"/>
      <w:sz w:val="28"/>
      <w:szCs w:val="28"/>
    </w:rPr>
  </w:style>
  <w:style w:type="character" w:customStyle="1" w:styleId="97">
    <w:name w:val="正文首行缩进 Char"/>
    <w:basedOn w:val="88"/>
    <w:link w:val="14"/>
    <w:qFormat/>
    <w:uiPriority w:val="0"/>
  </w:style>
  <w:style w:type="paragraph" w:customStyle="1" w:styleId="98">
    <w:name w:val="签发人"/>
    <w:basedOn w:val="1"/>
    <w:qFormat/>
    <w:uiPriority w:val="0"/>
    <w:rPr>
      <w:rFonts w:ascii="Times New Roman" w:hAnsi="Times New Roman" w:eastAsia="楷体"/>
      <w:sz w:val="32"/>
    </w:rPr>
  </w:style>
  <w:style w:type="paragraph" w:customStyle="1" w:styleId="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1">
    <w:name w:val="正文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4B64-FA6C-4679-BD65-5723D982D19E}">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77</Pages>
  <Words>43260</Words>
  <Characters>45839</Characters>
  <Lines>399</Lines>
  <Paragraphs>112</Paragraphs>
  <TotalTime>48</TotalTime>
  <ScaleCrop>false</ScaleCrop>
  <LinksUpToDate>false</LinksUpToDate>
  <CharactersWithSpaces>53470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2020-08-21T02:47:00Z</dcterms:created>
  <dc:creator>dell</dc:creator>
  <cp:lastModifiedBy>Sukh Shakti Kaur</cp:lastModifiedBy>
  <cp:lastPrinted>2023-02-27T01:30:00Z</cp:lastPrinted>
  <dcterms:modified xsi:type="dcterms:W3CDTF">2023-03-10T01:40:38Z</dcterms:modified>
  <cp:revision>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A3DC057FFFF34D8ABCE047BBB62A4C59</vt:lpwstr>
  </property>
</Properties>
</file>