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7409CC">
      <w:pPr>
        <w:pStyle w:val="44"/>
        <w:rPr>
          <w:rFonts w:ascii="宋体" w:hAnsi="宋体" w:eastAsia="宋体"/>
          <w:b/>
          <w:kern w:val="0"/>
          <w:sz w:val="52"/>
          <w:szCs w:val="52"/>
          <w:lang w:val="en-US"/>
        </w:rPr>
      </w:pPr>
    </w:p>
    <w:p w14:paraId="7C008AE1">
      <w:pPr>
        <w:pStyle w:val="44"/>
        <w:rPr>
          <w:rFonts w:ascii="宋体" w:hAnsi="宋体" w:eastAsia="宋体"/>
          <w:b/>
          <w:kern w:val="0"/>
          <w:sz w:val="52"/>
          <w:szCs w:val="52"/>
          <w:lang w:val="en-US"/>
        </w:rPr>
      </w:pPr>
    </w:p>
    <w:p w14:paraId="6C479980">
      <w:pPr>
        <w:pStyle w:val="44"/>
        <w:rPr>
          <w:rFonts w:ascii="宋体" w:hAnsi="宋体" w:eastAsia="宋体"/>
          <w:b/>
          <w:kern w:val="0"/>
          <w:sz w:val="52"/>
          <w:szCs w:val="52"/>
          <w:lang w:val="en-US"/>
        </w:rPr>
      </w:pPr>
    </w:p>
    <w:p w14:paraId="6369BBD0">
      <w:pPr>
        <w:pStyle w:val="44"/>
        <w:rPr>
          <w:rFonts w:ascii="宋体" w:hAnsi="宋体" w:eastAsia="宋体"/>
          <w:b/>
          <w:kern w:val="0"/>
          <w:sz w:val="52"/>
          <w:szCs w:val="52"/>
          <w:lang w:val="en-US"/>
        </w:rPr>
      </w:pPr>
    </w:p>
    <w:p w14:paraId="532C6999">
      <w:pPr>
        <w:pStyle w:val="44"/>
        <w:rPr>
          <w:rFonts w:ascii="宋体" w:hAnsi="宋体" w:eastAsia="宋体"/>
          <w:b/>
          <w:kern w:val="0"/>
          <w:sz w:val="52"/>
          <w:szCs w:val="52"/>
          <w:lang w:val="en-US"/>
        </w:rPr>
      </w:pPr>
    </w:p>
    <w:p w14:paraId="7E804A23">
      <w:pPr>
        <w:pStyle w:val="44"/>
        <w:jc w:val="center"/>
        <w:rPr>
          <w:rFonts w:ascii="宋体" w:hAnsi="宋体" w:cs="微软雅黑"/>
          <w:b/>
          <w:bCs/>
          <w:sz w:val="72"/>
          <w:szCs w:val="72"/>
        </w:rPr>
      </w:pPr>
      <w:r>
        <w:rPr>
          <w:rFonts w:hint="eastAsia" w:ascii="宋体" w:hAnsi="宋体" w:eastAsia="宋体" w:cs="宋体"/>
          <w:b/>
          <w:bCs/>
          <w:sz w:val="72"/>
          <w:szCs w:val="72"/>
        </w:rPr>
        <w:t>竞争性磋商采购文件</w:t>
      </w:r>
    </w:p>
    <w:p w14:paraId="01804C52">
      <w:pPr>
        <w:pStyle w:val="44"/>
        <w:rPr>
          <w:rFonts w:ascii="宋体" w:hAnsi="宋体"/>
          <w:b/>
          <w:bCs/>
          <w:sz w:val="40"/>
          <w:szCs w:val="40"/>
        </w:rPr>
      </w:pPr>
    </w:p>
    <w:p w14:paraId="2AF25CB4">
      <w:pPr>
        <w:spacing w:line="600" w:lineRule="exact"/>
        <w:jc w:val="center"/>
        <w:rPr>
          <w:rFonts w:cs="Calibri"/>
          <w:b/>
          <w:bCs/>
          <w:sz w:val="30"/>
          <w:szCs w:val="30"/>
        </w:rPr>
      </w:pPr>
    </w:p>
    <w:p w14:paraId="14FB50A9">
      <w:pPr>
        <w:spacing w:line="600" w:lineRule="exact"/>
        <w:jc w:val="center"/>
        <w:rPr>
          <w:rFonts w:ascii="宋体" w:hAnsi="宋体" w:eastAsia="宋体"/>
          <w:b/>
          <w:bCs/>
          <w:sz w:val="30"/>
          <w:szCs w:val="30"/>
        </w:rPr>
      </w:pPr>
      <w:r>
        <w:rPr>
          <w:rFonts w:cs="Calibri"/>
          <w:b/>
          <w:bCs/>
          <w:sz w:val="30"/>
          <w:szCs w:val="30"/>
        </w:rPr>
        <w:t>项目编号：</w:t>
      </w:r>
      <w:r>
        <w:rPr>
          <w:rFonts w:hint="eastAsia" w:ascii="宋体" w:hAnsi="宋体" w:eastAsia="宋体"/>
          <w:sz w:val="30"/>
          <w:szCs w:val="30"/>
          <w:lang w:eastAsia="zh-CN"/>
        </w:rPr>
        <w:t>JC-CS2025-022</w:t>
      </w:r>
      <w:r>
        <w:rPr>
          <w:rFonts w:hint="eastAsia" w:ascii="宋体" w:hAnsi="宋体" w:eastAsia="宋体"/>
          <w:sz w:val="30"/>
          <w:szCs w:val="30"/>
        </w:rPr>
        <w:t>号</w:t>
      </w:r>
    </w:p>
    <w:p w14:paraId="2950E016">
      <w:pPr>
        <w:pStyle w:val="44"/>
        <w:rPr>
          <w:rFonts w:ascii="宋体" w:hAnsi="宋体"/>
          <w:b/>
          <w:bCs/>
          <w:sz w:val="30"/>
          <w:szCs w:val="30"/>
        </w:rPr>
      </w:pPr>
    </w:p>
    <w:p w14:paraId="005A370A">
      <w:pPr>
        <w:pStyle w:val="44"/>
        <w:rPr>
          <w:rFonts w:ascii="宋体" w:hAnsi="宋体" w:eastAsiaTheme="minorEastAsia"/>
          <w:b/>
          <w:bCs/>
          <w:sz w:val="30"/>
          <w:szCs w:val="30"/>
        </w:rPr>
      </w:pPr>
    </w:p>
    <w:p w14:paraId="3FF0693C">
      <w:pPr>
        <w:pStyle w:val="44"/>
        <w:rPr>
          <w:rFonts w:ascii="宋体" w:hAnsi="宋体" w:eastAsiaTheme="minorEastAsia"/>
          <w:b/>
          <w:bCs/>
          <w:sz w:val="30"/>
          <w:szCs w:val="30"/>
        </w:rPr>
      </w:pPr>
    </w:p>
    <w:p w14:paraId="1D70E345">
      <w:pPr>
        <w:pStyle w:val="44"/>
        <w:rPr>
          <w:rFonts w:ascii="宋体" w:hAnsi="宋体" w:eastAsiaTheme="minorEastAsia"/>
          <w:b/>
          <w:bCs/>
          <w:sz w:val="30"/>
          <w:szCs w:val="30"/>
        </w:rPr>
      </w:pPr>
    </w:p>
    <w:p w14:paraId="67135B78">
      <w:pPr>
        <w:pStyle w:val="44"/>
        <w:rPr>
          <w:rFonts w:ascii="宋体" w:hAnsi="宋体"/>
          <w:b/>
          <w:bCs/>
          <w:sz w:val="30"/>
          <w:szCs w:val="30"/>
        </w:rPr>
      </w:pPr>
    </w:p>
    <w:p w14:paraId="363BBCC7">
      <w:pPr>
        <w:pStyle w:val="44"/>
        <w:ind w:left="3073" w:leftChars="385" w:right="-180" w:rightChars="-50" w:hanging="1687" w:hangingChars="600"/>
        <w:jc w:val="both"/>
        <w:rPr>
          <w:rFonts w:hint="eastAsia" w:asciiTheme="minorEastAsia" w:hAnsiTheme="minorEastAsia" w:eastAsiaTheme="minorEastAsia"/>
          <w:sz w:val="28"/>
          <w:szCs w:val="28"/>
          <w:lang w:eastAsia="zh-CN"/>
        </w:rPr>
      </w:pPr>
      <w:r>
        <w:rPr>
          <w:rFonts w:cs="Calibri" w:asciiTheme="minorEastAsia" w:hAnsiTheme="minorEastAsia" w:eastAsiaTheme="minorEastAsia"/>
          <w:b/>
          <w:bCs/>
          <w:sz w:val="28"/>
          <w:szCs w:val="28"/>
        </w:rPr>
        <w:t>项目名称：</w:t>
      </w:r>
      <w:r>
        <w:rPr>
          <w:rFonts w:hint="eastAsia" w:cs="宋体" w:asciiTheme="minorEastAsia" w:hAnsiTheme="minorEastAsia" w:eastAsiaTheme="minorEastAsia"/>
          <w:sz w:val="28"/>
          <w:szCs w:val="28"/>
          <w:lang w:eastAsia="zh-CN"/>
        </w:rPr>
        <w:t>台州市黄岩第二高级中学体能训练场、科技楼顶渗漏和阶梯教室等改造工程</w:t>
      </w:r>
    </w:p>
    <w:p w14:paraId="20B95E27">
      <w:pPr>
        <w:spacing w:line="600" w:lineRule="exact"/>
        <w:ind w:firstLine="1405" w:firstLineChars="500"/>
        <w:rPr>
          <w:rFonts w:asciiTheme="minorEastAsia" w:hAnsiTheme="minorEastAsia" w:eastAsiaTheme="minorEastAsia"/>
          <w:sz w:val="28"/>
          <w:szCs w:val="28"/>
        </w:rPr>
      </w:pPr>
      <w:r>
        <w:rPr>
          <w:rFonts w:cs="Calibri" w:asciiTheme="minorEastAsia" w:hAnsiTheme="minorEastAsia" w:eastAsiaTheme="minorEastAsia"/>
          <w:b/>
          <w:bCs/>
          <w:sz w:val="28"/>
          <w:szCs w:val="28"/>
        </w:rPr>
        <w:t>采购人：</w:t>
      </w:r>
      <w:r>
        <w:rPr>
          <w:rFonts w:hint="eastAsia" w:cs="宋体" w:asciiTheme="minorEastAsia" w:hAnsiTheme="minorEastAsia" w:eastAsiaTheme="minorEastAsia"/>
          <w:sz w:val="28"/>
          <w:szCs w:val="28"/>
          <w:lang w:val="zh-CN"/>
        </w:rPr>
        <w:t>台州市黄岩第二高级中学</w:t>
      </w:r>
    </w:p>
    <w:p w14:paraId="4A67AB67">
      <w:pPr>
        <w:pStyle w:val="44"/>
        <w:rPr>
          <w:rFonts w:asciiTheme="minorEastAsia" w:hAnsiTheme="minorEastAsia" w:eastAsiaTheme="minorEastAsia"/>
          <w:sz w:val="28"/>
          <w:szCs w:val="28"/>
        </w:rPr>
      </w:pPr>
    </w:p>
    <w:p w14:paraId="33ED10FA">
      <w:pPr>
        <w:pStyle w:val="2"/>
        <w:ind w:left="9000" w:firstLine="281"/>
        <w:rPr>
          <w:rFonts w:asciiTheme="minorEastAsia" w:hAnsiTheme="minorEastAsia" w:eastAsiaTheme="minorEastAsia"/>
          <w:b/>
          <w:bCs/>
          <w:sz w:val="28"/>
          <w:szCs w:val="28"/>
        </w:rPr>
      </w:pPr>
    </w:p>
    <w:p w14:paraId="42655B37">
      <w:pPr>
        <w:pStyle w:val="4"/>
        <w:ind w:firstLine="210"/>
        <w:rPr>
          <w:rFonts w:asciiTheme="minorEastAsia" w:hAnsiTheme="minorEastAsia" w:eastAsiaTheme="minorEastAsia"/>
          <w:sz w:val="28"/>
          <w:szCs w:val="28"/>
        </w:rPr>
      </w:pPr>
    </w:p>
    <w:p w14:paraId="1A0D8753">
      <w:pPr>
        <w:pStyle w:val="44"/>
        <w:rPr>
          <w:rFonts w:asciiTheme="minorEastAsia" w:hAnsiTheme="minorEastAsia" w:eastAsiaTheme="minorEastAsia"/>
          <w:sz w:val="28"/>
          <w:szCs w:val="28"/>
        </w:rPr>
      </w:pPr>
    </w:p>
    <w:p w14:paraId="302172C2">
      <w:pPr>
        <w:spacing w:line="600" w:lineRule="exact"/>
        <w:jc w:val="center"/>
        <w:rPr>
          <w:rFonts w:asciiTheme="minorEastAsia" w:hAnsiTheme="minorEastAsia" w:eastAsiaTheme="minorEastAsia"/>
          <w:b/>
          <w:bCs/>
          <w:sz w:val="28"/>
          <w:szCs w:val="28"/>
        </w:rPr>
      </w:pPr>
      <w:r>
        <w:rPr>
          <w:rFonts w:cs="Calibri" w:asciiTheme="minorEastAsia" w:hAnsiTheme="minorEastAsia" w:eastAsiaTheme="minorEastAsia"/>
          <w:b/>
          <w:bCs/>
          <w:sz w:val="28"/>
          <w:szCs w:val="28"/>
        </w:rPr>
        <w:t>招标代理：</w:t>
      </w:r>
      <w:r>
        <w:rPr>
          <w:rFonts w:hint="eastAsia" w:asciiTheme="minorEastAsia" w:hAnsiTheme="minorEastAsia" w:eastAsiaTheme="minorEastAsia"/>
          <w:b/>
          <w:bCs/>
          <w:sz w:val="28"/>
          <w:szCs w:val="28"/>
        </w:rPr>
        <w:t>台州市玖诚工程管理有限公司</w:t>
      </w:r>
    </w:p>
    <w:p w14:paraId="614A9154">
      <w:pPr>
        <w:spacing w:line="600" w:lineRule="exact"/>
        <w:ind w:firstLine="562" w:firstLineChars="200"/>
        <w:rPr>
          <w:rFonts w:asciiTheme="minorEastAsia" w:hAnsiTheme="minorEastAsia" w:eastAsiaTheme="minorEastAsia"/>
          <w:b/>
          <w:bCs/>
          <w:sz w:val="28"/>
          <w:szCs w:val="28"/>
        </w:rPr>
      </w:pPr>
    </w:p>
    <w:p w14:paraId="48B975B2">
      <w:pPr>
        <w:spacing w:line="600" w:lineRule="exact"/>
        <w:jc w:val="center"/>
        <w:rPr>
          <w:rFonts w:asciiTheme="minorEastAsia" w:hAnsiTheme="minorEastAsia" w:eastAsiaTheme="minorEastAsia"/>
          <w:b/>
          <w:bCs/>
          <w:sz w:val="28"/>
          <w:szCs w:val="28"/>
        </w:rPr>
      </w:pPr>
      <w:r>
        <w:rPr>
          <w:rFonts w:hint="eastAsia" w:cs="宋体" w:asciiTheme="minorEastAsia" w:hAnsiTheme="minorEastAsia" w:eastAsiaTheme="minorEastAsia"/>
          <w:b/>
          <w:bCs/>
          <w:sz w:val="28"/>
          <w:szCs w:val="28"/>
        </w:rPr>
        <w:t>二〇二</w:t>
      </w:r>
      <w:r>
        <w:rPr>
          <w:rFonts w:hint="eastAsia" w:cs="宋体" w:asciiTheme="minorEastAsia" w:hAnsiTheme="minorEastAsia" w:eastAsiaTheme="minorEastAsia"/>
          <w:b/>
          <w:bCs/>
          <w:sz w:val="28"/>
          <w:szCs w:val="28"/>
          <w:lang w:val="en-US" w:eastAsia="zh-CN"/>
        </w:rPr>
        <w:t>五</w:t>
      </w:r>
      <w:r>
        <w:rPr>
          <w:rFonts w:hint="eastAsia" w:cs="宋体" w:asciiTheme="minorEastAsia" w:hAnsiTheme="minorEastAsia" w:eastAsiaTheme="minorEastAsia"/>
          <w:b/>
          <w:bCs/>
          <w:sz w:val="28"/>
          <w:szCs w:val="28"/>
        </w:rPr>
        <w:t>年</w:t>
      </w:r>
      <w:r>
        <w:rPr>
          <w:rFonts w:hint="eastAsia" w:cs="宋体" w:asciiTheme="minorEastAsia" w:hAnsiTheme="minorEastAsia" w:eastAsiaTheme="minorEastAsia"/>
          <w:b/>
          <w:bCs/>
          <w:sz w:val="28"/>
          <w:szCs w:val="28"/>
          <w:lang w:val="en-US" w:eastAsia="zh-CN"/>
        </w:rPr>
        <w:t>六</w:t>
      </w:r>
      <w:r>
        <w:rPr>
          <w:rFonts w:hint="eastAsia" w:cs="宋体" w:asciiTheme="minorEastAsia" w:hAnsiTheme="minorEastAsia" w:eastAsiaTheme="minorEastAsia"/>
          <w:b/>
          <w:bCs/>
          <w:sz w:val="28"/>
          <w:szCs w:val="28"/>
        </w:rPr>
        <w:t>月</w:t>
      </w:r>
    </w:p>
    <w:p w14:paraId="7748206F">
      <w:pPr>
        <w:pStyle w:val="44"/>
        <w:rPr>
          <w:rFonts w:asciiTheme="minorEastAsia" w:hAnsiTheme="minorEastAsia" w:eastAsiaTheme="minorEastAsia"/>
          <w:sz w:val="28"/>
          <w:szCs w:val="28"/>
        </w:rPr>
      </w:pPr>
    </w:p>
    <w:p w14:paraId="5822A241">
      <w:pPr>
        <w:pStyle w:val="21"/>
        <w:rPr>
          <w:rFonts w:ascii="宋体" w:hAnsi="宋体" w:eastAsia="宋体" w:cs="宋体"/>
          <w:sz w:val="36"/>
          <w:szCs w:val="36"/>
        </w:rPr>
        <w:sectPr>
          <w:headerReference r:id="rId6" w:type="first"/>
          <w:footerReference r:id="rId9" w:type="first"/>
          <w:headerReference r:id="rId4" w:type="default"/>
          <w:footerReference r:id="rId7" w:type="default"/>
          <w:headerReference r:id="rId5" w:type="even"/>
          <w:footerReference r:id="rId8" w:type="even"/>
          <w:pgSz w:w="11906" w:h="16838"/>
          <w:pgMar w:top="1440" w:right="1440" w:bottom="1440" w:left="1440" w:header="851" w:footer="992" w:gutter="0"/>
          <w:pgNumType w:start="0"/>
          <w:cols w:space="720" w:num="1"/>
          <w:titlePg/>
          <w:docGrid w:linePitch="490" w:charSpace="0"/>
        </w:sectPr>
      </w:pPr>
    </w:p>
    <w:p w14:paraId="69B06969">
      <w:pPr>
        <w:pStyle w:val="21"/>
        <w:rPr>
          <w:rFonts w:ascii="宋体" w:hAnsi="宋体" w:eastAsia="宋体" w:cs="宋体"/>
          <w:sz w:val="36"/>
          <w:szCs w:val="36"/>
        </w:rPr>
      </w:pPr>
      <w:r>
        <w:rPr>
          <w:rFonts w:hint="eastAsia" w:ascii="宋体" w:hAnsi="宋体" w:eastAsia="宋体" w:cs="宋体"/>
          <w:sz w:val="36"/>
          <w:szCs w:val="36"/>
        </w:rPr>
        <w:t>目录</w:t>
      </w:r>
    </w:p>
    <w:p w14:paraId="65A06CC6"/>
    <w:p w14:paraId="5C1F3A07">
      <w:pPr>
        <w:pStyle w:val="21"/>
        <w:rPr>
          <w:rFonts w:ascii="宋体" w:hAnsi="宋体" w:eastAsia="宋体" w:cs="宋体"/>
          <w:b w:val="0"/>
          <w:sz w:val="24"/>
          <w:szCs w:val="24"/>
        </w:rPr>
      </w:pPr>
      <w:r>
        <w:rPr>
          <w:rFonts w:hint="eastAsia" w:ascii="宋体" w:hAnsi="宋体" w:eastAsia="宋体" w:cs="宋体"/>
          <w:b w:val="0"/>
          <w:sz w:val="30"/>
          <w:szCs w:val="30"/>
        </w:rPr>
        <w:fldChar w:fldCharType="begin"/>
      </w:r>
      <w:r>
        <w:rPr>
          <w:rFonts w:hint="eastAsia" w:ascii="宋体" w:hAnsi="宋体" w:eastAsia="宋体" w:cs="宋体"/>
          <w:b w:val="0"/>
          <w:sz w:val="30"/>
          <w:szCs w:val="30"/>
        </w:rPr>
        <w:instrText xml:space="preserve">TOC \o "1-3" \h \z \u</w:instrText>
      </w:r>
      <w:r>
        <w:rPr>
          <w:rFonts w:hint="eastAsia" w:ascii="宋体" w:hAnsi="宋体" w:eastAsia="宋体" w:cs="宋体"/>
          <w:b w:val="0"/>
          <w:sz w:val="30"/>
          <w:szCs w:val="30"/>
        </w:rPr>
        <w:fldChar w:fldCharType="separate"/>
      </w:r>
      <w:r>
        <w:fldChar w:fldCharType="begin"/>
      </w:r>
      <w:r>
        <w:instrText xml:space="preserve"> HYPERLINK \l "_Toc306901419" </w:instrText>
      </w:r>
      <w:r>
        <w:fldChar w:fldCharType="separate"/>
      </w:r>
      <w:r>
        <w:rPr>
          <w:rStyle w:val="35"/>
          <w:rFonts w:hint="eastAsia" w:ascii="宋体" w:hAnsi="宋体" w:eastAsia="宋体" w:cs="宋体"/>
          <w:b w:val="0"/>
          <w:color w:val="auto"/>
          <w:sz w:val="24"/>
          <w:szCs w:val="24"/>
        </w:rPr>
        <w:t>第一部分磋商公告</w:t>
      </w:r>
      <w:r>
        <w:rPr>
          <w:rFonts w:hint="eastAsia" w:ascii="宋体" w:hAnsi="宋体" w:eastAsia="宋体" w:cs="宋体"/>
          <w:b w:val="0"/>
          <w:sz w:val="24"/>
          <w:szCs w:val="24"/>
        </w:rPr>
        <w:tab/>
      </w:r>
      <w:r>
        <w:rPr>
          <w:rFonts w:hint="eastAsia" w:ascii="宋体" w:hAnsi="宋体" w:eastAsia="宋体" w:cs="宋体"/>
          <w:b w:val="0"/>
          <w:sz w:val="24"/>
          <w:szCs w:val="24"/>
        </w:rPr>
        <w:t>2</w:t>
      </w:r>
      <w:r>
        <w:rPr>
          <w:rFonts w:hint="eastAsia" w:ascii="宋体" w:hAnsi="宋体" w:eastAsia="宋体" w:cs="宋体"/>
          <w:b w:val="0"/>
          <w:sz w:val="24"/>
          <w:szCs w:val="24"/>
        </w:rPr>
        <w:fldChar w:fldCharType="end"/>
      </w:r>
    </w:p>
    <w:p w14:paraId="1A17F0EA">
      <w:pPr>
        <w:pStyle w:val="21"/>
        <w:rPr>
          <w:rFonts w:ascii="宋体" w:hAnsi="宋体" w:eastAsia="宋体" w:cs="宋体"/>
          <w:b w:val="0"/>
          <w:sz w:val="24"/>
          <w:szCs w:val="24"/>
        </w:rPr>
      </w:pPr>
      <w:r>
        <w:fldChar w:fldCharType="begin"/>
      </w:r>
      <w:r>
        <w:instrText xml:space="preserve"> HYPERLINK \l "_Toc306901436" </w:instrText>
      </w:r>
      <w:r>
        <w:fldChar w:fldCharType="separate"/>
      </w:r>
      <w:r>
        <w:rPr>
          <w:rStyle w:val="35"/>
          <w:rFonts w:hint="eastAsia" w:ascii="宋体" w:hAnsi="宋体" w:eastAsia="宋体" w:cs="宋体"/>
          <w:b w:val="0"/>
          <w:color w:val="auto"/>
          <w:sz w:val="24"/>
          <w:szCs w:val="24"/>
        </w:rPr>
        <w:t>第二部分采购需求</w:t>
      </w:r>
      <w:r>
        <w:rPr>
          <w:rFonts w:hint="eastAsia" w:ascii="宋体" w:hAnsi="宋体" w:eastAsia="宋体" w:cs="宋体"/>
          <w:b w:val="0"/>
          <w:sz w:val="24"/>
          <w:szCs w:val="24"/>
        </w:rPr>
        <w:tab/>
      </w:r>
      <w:r>
        <w:rPr>
          <w:rFonts w:hint="eastAsia" w:ascii="宋体" w:hAnsi="宋体" w:eastAsia="宋体" w:cs="宋体"/>
          <w:b w:val="0"/>
          <w:sz w:val="24"/>
          <w:szCs w:val="24"/>
        </w:rPr>
        <w:t>6</w:t>
      </w:r>
      <w:r>
        <w:rPr>
          <w:rFonts w:hint="eastAsia" w:ascii="宋体" w:hAnsi="宋体" w:eastAsia="宋体" w:cs="宋体"/>
          <w:b w:val="0"/>
          <w:sz w:val="24"/>
          <w:szCs w:val="24"/>
        </w:rPr>
        <w:fldChar w:fldCharType="end"/>
      </w:r>
    </w:p>
    <w:p w14:paraId="0262272F">
      <w:pPr>
        <w:pStyle w:val="21"/>
        <w:rPr>
          <w:rFonts w:ascii="宋体" w:hAnsi="宋体" w:eastAsia="宋体" w:cs="宋体"/>
          <w:b w:val="0"/>
          <w:sz w:val="24"/>
          <w:szCs w:val="24"/>
        </w:rPr>
      </w:pPr>
      <w:r>
        <w:fldChar w:fldCharType="begin"/>
      </w:r>
      <w:r>
        <w:instrText xml:space="preserve"> HYPERLINK \l "_Toc306901444" </w:instrText>
      </w:r>
      <w:r>
        <w:fldChar w:fldCharType="separate"/>
      </w:r>
      <w:r>
        <w:rPr>
          <w:rStyle w:val="35"/>
          <w:rFonts w:hint="eastAsia" w:ascii="宋体" w:hAnsi="宋体" w:eastAsia="宋体" w:cs="宋体"/>
          <w:b w:val="0"/>
          <w:color w:val="auto"/>
          <w:sz w:val="24"/>
          <w:szCs w:val="24"/>
        </w:rPr>
        <w:t>第三部分供应商须知</w:t>
      </w:r>
      <w:r>
        <w:rPr>
          <w:rFonts w:hint="eastAsia" w:ascii="宋体" w:hAnsi="宋体" w:eastAsia="宋体" w:cs="宋体"/>
          <w:b w:val="0"/>
          <w:sz w:val="24"/>
          <w:szCs w:val="24"/>
        </w:rPr>
        <w:tab/>
      </w:r>
      <w:r>
        <w:rPr>
          <w:rFonts w:hint="eastAsia" w:ascii="宋体" w:hAnsi="宋体" w:eastAsia="宋体" w:cs="宋体"/>
          <w:b w:val="0"/>
          <w:sz w:val="24"/>
          <w:szCs w:val="24"/>
        </w:rPr>
        <w:t>2</w:t>
      </w:r>
      <w:r>
        <w:rPr>
          <w:rFonts w:hint="eastAsia" w:ascii="宋体" w:hAnsi="宋体" w:eastAsia="宋体" w:cs="宋体"/>
          <w:b w:val="0"/>
          <w:sz w:val="24"/>
          <w:szCs w:val="24"/>
        </w:rPr>
        <w:fldChar w:fldCharType="end"/>
      </w:r>
      <w:r>
        <w:rPr>
          <w:rFonts w:hint="eastAsia" w:ascii="宋体" w:hAnsi="宋体" w:eastAsia="宋体" w:cs="宋体"/>
          <w:b w:val="0"/>
          <w:sz w:val="24"/>
          <w:szCs w:val="24"/>
        </w:rPr>
        <w:t>1</w:t>
      </w:r>
    </w:p>
    <w:p w14:paraId="381B9794">
      <w:pPr>
        <w:pStyle w:val="21"/>
        <w:rPr>
          <w:rFonts w:ascii="宋体" w:hAnsi="宋体" w:eastAsia="宋体" w:cs="宋体"/>
          <w:b w:val="0"/>
          <w:sz w:val="24"/>
          <w:szCs w:val="24"/>
        </w:rPr>
      </w:pPr>
      <w:r>
        <w:fldChar w:fldCharType="begin"/>
      </w:r>
      <w:r>
        <w:instrText xml:space="preserve"> HYPERLINK \l "_Toc306901457" </w:instrText>
      </w:r>
      <w:r>
        <w:fldChar w:fldCharType="separate"/>
      </w:r>
      <w:r>
        <w:rPr>
          <w:rStyle w:val="35"/>
          <w:rFonts w:hint="eastAsia" w:ascii="宋体" w:hAnsi="宋体" w:eastAsia="宋体" w:cs="宋体"/>
          <w:b w:val="0"/>
          <w:color w:val="auto"/>
          <w:sz w:val="24"/>
          <w:szCs w:val="24"/>
        </w:rPr>
        <w:t>第四部分评标办法及评分标准</w:t>
      </w:r>
      <w:bookmarkStart w:id="0" w:name="_Hlt361670781"/>
      <w:r>
        <w:rPr>
          <w:rFonts w:hint="eastAsia" w:ascii="宋体" w:hAnsi="宋体" w:eastAsia="宋体" w:cs="宋体"/>
          <w:b w:val="0"/>
          <w:sz w:val="24"/>
          <w:szCs w:val="24"/>
        </w:rPr>
        <w:tab/>
      </w:r>
      <w:bookmarkEnd w:id="0"/>
      <w:r>
        <w:rPr>
          <w:rFonts w:hint="eastAsia" w:ascii="宋体" w:hAnsi="宋体" w:eastAsia="宋体" w:cs="宋体"/>
          <w:b w:val="0"/>
          <w:sz w:val="24"/>
          <w:szCs w:val="24"/>
        </w:rPr>
        <w:fldChar w:fldCharType="end"/>
      </w:r>
      <w:r>
        <w:rPr>
          <w:rFonts w:hint="eastAsia" w:ascii="宋体" w:hAnsi="宋体" w:eastAsia="宋体" w:cs="宋体"/>
          <w:b w:val="0"/>
          <w:sz w:val="24"/>
          <w:szCs w:val="24"/>
        </w:rPr>
        <w:t>35</w:t>
      </w:r>
    </w:p>
    <w:p w14:paraId="2C252A5F">
      <w:pPr>
        <w:pStyle w:val="21"/>
        <w:rPr>
          <w:rFonts w:ascii="宋体" w:hAnsi="宋体" w:eastAsia="宋体" w:cs="宋体"/>
          <w:b w:val="0"/>
          <w:sz w:val="24"/>
          <w:szCs w:val="24"/>
        </w:rPr>
      </w:pPr>
      <w:r>
        <w:fldChar w:fldCharType="begin"/>
      </w:r>
      <w:r>
        <w:instrText xml:space="preserve"> HYPERLINK \l "_Toc306901461" </w:instrText>
      </w:r>
      <w:r>
        <w:fldChar w:fldCharType="separate"/>
      </w:r>
      <w:r>
        <w:rPr>
          <w:rStyle w:val="35"/>
          <w:rFonts w:hint="eastAsia" w:ascii="宋体" w:hAnsi="宋体" w:eastAsia="宋体" w:cs="宋体"/>
          <w:b w:val="0"/>
          <w:color w:val="auto"/>
          <w:sz w:val="24"/>
          <w:szCs w:val="24"/>
        </w:rPr>
        <w:t>第五部分合同</w:t>
      </w:r>
      <w:r>
        <w:rPr>
          <w:rFonts w:hint="eastAsia" w:ascii="宋体" w:hAnsi="宋体" w:eastAsia="宋体" w:cs="宋体"/>
          <w:b w:val="0"/>
          <w:sz w:val="24"/>
          <w:szCs w:val="24"/>
        </w:rPr>
        <w:tab/>
      </w:r>
      <w:r>
        <w:rPr>
          <w:rFonts w:hint="eastAsia" w:ascii="宋体" w:hAnsi="宋体" w:eastAsia="宋体" w:cs="宋体"/>
          <w:b w:val="0"/>
          <w:sz w:val="24"/>
          <w:szCs w:val="24"/>
        </w:rPr>
        <w:t>3</w:t>
      </w:r>
      <w:r>
        <w:rPr>
          <w:rFonts w:hint="eastAsia" w:ascii="宋体" w:hAnsi="宋体" w:eastAsia="宋体" w:cs="宋体"/>
          <w:b w:val="0"/>
          <w:sz w:val="24"/>
          <w:szCs w:val="24"/>
        </w:rPr>
        <w:fldChar w:fldCharType="end"/>
      </w:r>
      <w:r>
        <w:rPr>
          <w:rFonts w:hint="eastAsia" w:ascii="宋体" w:hAnsi="宋体" w:eastAsia="宋体" w:cs="宋体"/>
          <w:b w:val="0"/>
          <w:sz w:val="24"/>
          <w:szCs w:val="24"/>
        </w:rPr>
        <w:t>9</w:t>
      </w:r>
    </w:p>
    <w:p w14:paraId="3EBF2128">
      <w:pPr>
        <w:pStyle w:val="21"/>
        <w:rPr>
          <w:rFonts w:ascii="宋体" w:hAnsi="宋体" w:eastAsia="宋体" w:cs="宋体"/>
          <w:b w:val="0"/>
          <w:sz w:val="32"/>
          <w:szCs w:val="32"/>
        </w:rPr>
      </w:pPr>
      <w:r>
        <w:fldChar w:fldCharType="begin"/>
      </w:r>
      <w:r>
        <w:instrText xml:space="preserve"> HYPERLINK \l "_Toc306901462" </w:instrText>
      </w:r>
      <w:r>
        <w:fldChar w:fldCharType="separate"/>
      </w:r>
      <w:r>
        <w:rPr>
          <w:rStyle w:val="35"/>
          <w:rFonts w:hint="eastAsia" w:ascii="宋体" w:hAnsi="宋体" w:eastAsia="宋体" w:cs="宋体"/>
          <w:b w:val="0"/>
          <w:color w:val="auto"/>
          <w:sz w:val="24"/>
          <w:szCs w:val="24"/>
        </w:rPr>
        <w:t>第六部分磋商响应文件格式</w:t>
      </w:r>
      <w:r>
        <w:rPr>
          <w:rFonts w:hint="eastAsia" w:ascii="宋体" w:hAnsi="宋体" w:eastAsia="宋体" w:cs="宋体"/>
          <w:b w:val="0"/>
          <w:sz w:val="24"/>
          <w:szCs w:val="24"/>
        </w:rPr>
        <w:tab/>
      </w:r>
      <w:r>
        <w:rPr>
          <w:rFonts w:hint="eastAsia" w:ascii="宋体" w:hAnsi="宋体" w:eastAsia="宋体" w:cs="宋体"/>
          <w:b w:val="0"/>
          <w:sz w:val="24"/>
          <w:szCs w:val="24"/>
        </w:rPr>
        <w:t>7</w:t>
      </w:r>
      <w:r>
        <w:rPr>
          <w:rFonts w:hint="eastAsia" w:ascii="宋体" w:hAnsi="宋体" w:eastAsia="宋体" w:cs="宋体"/>
          <w:b w:val="0"/>
          <w:sz w:val="24"/>
          <w:szCs w:val="24"/>
        </w:rPr>
        <w:fldChar w:fldCharType="end"/>
      </w:r>
      <w:r>
        <w:rPr>
          <w:rFonts w:hint="eastAsia" w:ascii="宋体" w:hAnsi="宋体" w:eastAsia="宋体" w:cs="宋体"/>
          <w:b w:val="0"/>
          <w:sz w:val="24"/>
          <w:szCs w:val="24"/>
        </w:rPr>
        <w:t>0</w:t>
      </w:r>
    </w:p>
    <w:p w14:paraId="1F29498A">
      <w:pPr>
        <w:shd w:val="clear" w:color="auto" w:fill="FFFFFF"/>
        <w:spacing w:line="360" w:lineRule="auto"/>
        <w:jc w:val="center"/>
        <w:textAlignment w:val="bottom"/>
        <w:rPr>
          <w:rFonts w:ascii="宋体" w:hAnsi="宋体" w:eastAsia="宋体" w:cs="宋体"/>
          <w:b/>
          <w:kern w:val="0"/>
          <w:szCs w:val="36"/>
        </w:rPr>
      </w:pPr>
      <w:r>
        <w:rPr>
          <w:rFonts w:hint="eastAsia" w:ascii="宋体" w:hAnsi="宋体" w:eastAsia="宋体" w:cs="宋体"/>
          <w:sz w:val="30"/>
          <w:szCs w:val="30"/>
        </w:rPr>
        <w:fldChar w:fldCharType="end"/>
      </w:r>
      <w:r>
        <w:rPr>
          <w:rFonts w:hint="eastAsia" w:ascii="宋体" w:hAnsi="宋体" w:eastAsia="宋体" w:cs="宋体"/>
          <w:b/>
          <w:sz w:val="44"/>
          <w:szCs w:val="44"/>
        </w:rPr>
        <w:br w:type="page"/>
      </w:r>
      <w:bookmarkStart w:id="1" w:name="_Toc306901436"/>
      <w:bookmarkStart w:id="2" w:name="_Toc173810692"/>
      <w:r>
        <w:rPr>
          <w:rFonts w:hint="eastAsia" w:ascii="宋体" w:hAnsi="宋体" w:eastAsia="宋体" w:cs="宋体"/>
          <w:b/>
          <w:kern w:val="0"/>
          <w:szCs w:val="36"/>
        </w:rPr>
        <w:t>第一部分竞争性磋商公告</w:t>
      </w:r>
    </w:p>
    <w:p w14:paraId="4E1CBC3A">
      <w:pPr>
        <w:shd w:val="clear" w:color="auto" w:fill="FFFFFF"/>
        <w:spacing w:line="360" w:lineRule="auto"/>
        <w:ind w:firstLine="422" w:firstLineChars="200"/>
        <w:textAlignment w:val="bottom"/>
        <w:rPr>
          <w:rFonts w:ascii="宋体" w:hAnsi="宋体" w:eastAsia="宋体" w:cs="宋体"/>
          <w:b/>
          <w:kern w:val="0"/>
          <w:sz w:val="21"/>
          <w:szCs w:val="21"/>
        </w:rPr>
      </w:pPr>
      <w:r>
        <w:rPr>
          <w:rFonts w:ascii="宋体" w:hAnsi="宋体" w:eastAsia="宋体" w:cs="宋体"/>
          <w:b/>
          <w:kern w:val="0"/>
          <w:sz w:val="21"/>
          <w:szCs w:val="21"/>
        </w:rPr>
        <mc:AlternateContent>
          <mc:Choice Requires="wps">
            <w:drawing>
              <wp:anchor distT="0" distB="0" distL="114300" distR="114300" simplePos="0" relativeHeight="251660288" behindDoc="1" locked="0" layoutInCell="1" allowOverlap="1">
                <wp:simplePos x="0" y="0"/>
                <wp:positionH relativeFrom="column">
                  <wp:posOffset>-25400</wp:posOffset>
                </wp:positionH>
                <wp:positionV relativeFrom="page">
                  <wp:posOffset>1422400</wp:posOffset>
                </wp:positionV>
                <wp:extent cx="6149340" cy="1009650"/>
                <wp:effectExtent l="6350" t="6350" r="16510" b="12700"/>
                <wp:wrapTight wrapText="bothSides">
                  <wp:wrapPolygon>
                    <wp:start x="-33" y="-204"/>
                    <wp:lineTo x="-33" y="21396"/>
                    <wp:lineTo x="21633" y="21396"/>
                    <wp:lineTo x="21633" y="-204"/>
                    <wp:lineTo x="-33" y="-204"/>
                  </wp:wrapPolygon>
                </wp:wrapTight>
                <wp:docPr id="2" name="文本框 5"/>
                <wp:cNvGraphicFramePr/>
                <a:graphic xmlns:a="http://schemas.openxmlformats.org/drawingml/2006/main">
                  <a:graphicData uri="http://schemas.microsoft.com/office/word/2010/wordprocessingShape">
                    <wps:wsp>
                      <wps:cNvSpPr txBox="1"/>
                      <wps:spPr>
                        <a:xfrm>
                          <a:off x="0" y="0"/>
                          <a:ext cx="6149340" cy="100965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14:paraId="49B7940D">
                            <w:pPr>
                              <w:spacing w:line="340" w:lineRule="exact"/>
                              <w:rPr>
                                <w:rFonts w:ascii="宋体" w:hAnsi="宋体" w:eastAsia="宋体" w:cs="宋体"/>
                                <w:b/>
                                <w:kern w:val="0"/>
                                <w:sz w:val="21"/>
                                <w:szCs w:val="21"/>
                              </w:rPr>
                            </w:pPr>
                            <w:r>
                              <w:rPr>
                                <w:rFonts w:hint="eastAsia" w:ascii="宋体" w:hAnsi="宋体" w:eastAsia="宋体" w:cs="宋体"/>
                                <w:sz w:val="21"/>
                                <w:szCs w:val="21"/>
                              </w:rPr>
                              <w:t>项目概况</w:t>
                            </w:r>
                          </w:p>
                          <w:p w14:paraId="3547D5D6">
                            <w:pPr>
                              <w:spacing w:line="340" w:lineRule="exact"/>
                            </w:pPr>
                            <w:r>
                              <w:rPr>
                                <w:rFonts w:hint="eastAsia" w:ascii="宋体" w:hAnsi="宋体" w:eastAsia="宋体" w:cs="宋体"/>
                                <w:b/>
                                <w:bCs/>
                                <w:kern w:val="0"/>
                                <w:sz w:val="21"/>
                                <w:szCs w:val="21"/>
                                <w:lang w:eastAsia="zh-CN"/>
                              </w:rPr>
                              <w:t>台州市黄岩第二高级中学体能训练场、科技楼顶渗漏和阶梯教室等改造工程</w:t>
                            </w:r>
                            <w:r>
                              <w:rPr>
                                <w:rFonts w:hint="eastAsia" w:ascii="宋体" w:hAnsi="宋体" w:eastAsia="宋体" w:cs="宋体"/>
                                <w:color w:val="000000"/>
                                <w:sz w:val="21"/>
                                <w:szCs w:val="21"/>
                              </w:rPr>
                              <w:t>采购项目的潜在供应商应在浙江政府采购网（http://zfcg.czt.zj.gov.cn）获取（下载）采购文件，并于</w:t>
                            </w:r>
                            <w:r>
                              <w:rPr>
                                <w:rFonts w:hint="eastAsia" w:ascii="宋体" w:hAnsi="宋体" w:eastAsia="宋体" w:cs="宋体"/>
                                <w:color w:val="000000" w:themeColor="text1"/>
                                <w:sz w:val="21"/>
                                <w:szCs w:val="21"/>
                                <w14:textFill>
                                  <w14:solidFill>
                                    <w14:schemeClr w14:val="tx1"/>
                                  </w14:solidFill>
                                </w14:textFill>
                              </w:rPr>
                              <w:t>202</w:t>
                            </w:r>
                            <w:r>
                              <w:rPr>
                                <w:rFonts w:hint="eastAsia" w:ascii="宋体" w:hAnsi="宋体" w:eastAsia="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日9:00(</w:t>
                            </w:r>
                            <w:r>
                              <w:rPr>
                                <w:rFonts w:hint="eastAsia" w:ascii="宋体" w:hAnsi="宋体" w:eastAsia="宋体" w:cs="宋体"/>
                                <w:color w:val="000000"/>
                                <w:sz w:val="21"/>
                                <w:szCs w:val="21"/>
                              </w:rPr>
                              <w:t>北京时间)前提交(上传)响应文件</w:t>
                            </w:r>
                            <w:r>
                              <w:rPr>
                                <w:rFonts w:hint="eastAsia" w:ascii="宋体" w:hAnsi="宋体" w:cs="宋体"/>
                                <w:color w:val="000000"/>
                                <w:sz w:val="21"/>
                                <w:szCs w:val="21"/>
                              </w:rPr>
                              <w:tab/>
                            </w:r>
                            <w:r>
                              <w:rPr>
                                <w:rFonts w:hint="eastAsia" w:ascii="宋体" w:hAnsi="宋体" w:eastAsia="宋体" w:cs="宋体"/>
                                <w:bCs/>
                                <w:kern w:val="0"/>
                                <w:sz w:val="21"/>
                                <w:szCs w:val="21"/>
                              </w:rPr>
                              <w:t>：</w:t>
                            </w:r>
                          </w:p>
                        </w:txbxContent>
                      </wps:txbx>
                      <wps:bodyPr wrap="square" anchor="t" anchorCtr="0" upright="1"/>
                    </wps:wsp>
                  </a:graphicData>
                </a:graphic>
              </wp:anchor>
            </w:drawing>
          </mc:Choice>
          <mc:Fallback>
            <w:pict>
              <v:shape id="文本框 5" o:spid="_x0000_s1026" o:spt="202" type="#_x0000_t202" style="position:absolute;left:0pt;margin-left:-2pt;margin-top:112pt;height:79.5pt;width:484.2pt;mso-position-vertical-relative:page;mso-wrap-distance-left:9pt;mso-wrap-distance-right:9pt;z-index:-251656192;mso-width-relative:page;mso-height-relative:page;" fillcolor="#FFFFFF" filled="t" stroked="t" coordsize="21600,21600" wrapcoords="-33 -204 -33 21396 21633 21396 21633 -204 -33 -204" o:gfxdata="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ohHHzcAAAACgEAAA8AAAAAAAAAAQAgAAAAIgAAAGRycy9kb3ducmV2LnhtbFBL&#10;AQIUABQAAAAIAIdO4kA7y7DSKwIAAG0EAAAOAAAAAAAAAAEAIAAAACsBAABkcnMvZTJvRG9jLnht&#10;bFBLBQYAAAAABgAGAFkBAADIBQAAAAA=&#10;">
                <v:fill on="t" focussize="0,0"/>
                <v:stroke weight="1pt" color="#000000" joinstyle="miter"/>
                <v:imagedata o:title=""/>
                <o:lock v:ext="edit" aspectratio="f"/>
                <v:textbox>
                  <w:txbxContent>
                    <w:p w14:paraId="49B7940D">
                      <w:pPr>
                        <w:spacing w:line="340" w:lineRule="exact"/>
                        <w:rPr>
                          <w:rFonts w:ascii="宋体" w:hAnsi="宋体" w:eastAsia="宋体" w:cs="宋体"/>
                          <w:b/>
                          <w:kern w:val="0"/>
                          <w:sz w:val="21"/>
                          <w:szCs w:val="21"/>
                        </w:rPr>
                      </w:pPr>
                      <w:r>
                        <w:rPr>
                          <w:rFonts w:hint="eastAsia" w:ascii="宋体" w:hAnsi="宋体" w:eastAsia="宋体" w:cs="宋体"/>
                          <w:sz w:val="21"/>
                          <w:szCs w:val="21"/>
                        </w:rPr>
                        <w:t>项目概况</w:t>
                      </w:r>
                    </w:p>
                    <w:p w14:paraId="3547D5D6">
                      <w:pPr>
                        <w:spacing w:line="340" w:lineRule="exact"/>
                      </w:pPr>
                      <w:r>
                        <w:rPr>
                          <w:rFonts w:hint="eastAsia" w:ascii="宋体" w:hAnsi="宋体" w:eastAsia="宋体" w:cs="宋体"/>
                          <w:b/>
                          <w:bCs/>
                          <w:kern w:val="0"/>
                          <w:sz w:val="21"/>
                          <w:szCs w:val="21"/>
                          <w:lang w:eastAsia="zh-CN"/>
                        </w:rPr>
                        <w:t>台州市黄岩第二高级中学体能训练场、科技楼顶渗漏和阶梯教室等改造工程</w:t>
                      </w:r>
                      <w:r>
                        <w:rPr>
                          <w:rFonts w:hint="eastAsia" w:ascii="宋体" w:hAnsi="宋体" w:eastAsia="宋体" w:cs="宋体"/>
                          <w:color w:val="000000"/>
                          <w:sz w:val="21"/>
                          <w:szCs w:val="21"/>
                        </w:rPr>
                        <w:t>采购项目的潜在供应商应在浙江政府采购网（http://zfcg.czt.zj.gov.cn）获取（下载）采购文件，并于</w:t>
                      </w:r>
                      <w:r>
                        <w:rPr>
                          <w:rFonts w:hint="eastAsia" w:ascii="宋体" w:hAnsi="宋体" w:eastAsia="宋体" w:cs="宋体"/>
                          <w:color w:val="000000" w:themeColor="text1"/>
                          <w:sz w:val="21"/>
                          <w:szCs w:val="21"/>
                          <w14:textFill>
                            <w14:solidFill>
                              <w14:schemeClr w14:val="tx1"/>
                            </w14:solidFill>
                          </w14:textFill>
                        </w:rPr>
                        <w:t>202</w:t>
                      </w:r>
                      <w:r>
                        <w:rPr>
                          <w:rFonts w:hint="eastAsia" w:ascii="宋体" w:hAnsi="宋体" w:eastAsia="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日9:00(</w:t>
                      </w:r>
                      <w:r>
                        <w:rPr>
                          <w:rFonts w:hint="eastAsia" w:ascii="宋体" w:hAnsi="宋体" w:eastAsia="宋体" w:cs="宋体"/>
                          <w:color w:val="000000"/>
                          <w:sz w:val="21"/>
                          <w:szCs w:val="21"/>
                        </w:rPr>
                        <w:t>北京时间)前提交(上传)响应文件</w:t>
                      </w:r>
                      <w:r>
                        <w:rPr>
                          <w:rFonts w:hint="eastAsia" w:ascii="宋体" w:hAnsi="宋体" w:cs="宋体"/>
                          <w:color w:val="000000"/>
                          <w:sz w:val="21"/>
                          <w:szCs w:val="21"/>
                        </w:rPr>
                        <w:tab/>
                      </w:r>
                      <w:r>
                        <w:rPr>
                          <w:rFonts w:hint="eastAsia" w:ascii="宋体" w:hAnsi="宋体" w:eastAsia="宋体" w:cs="宋体"/>
                          <w:bCs/>
                          <w:kern w:val="0"/>
                          <w:sz w:val="21"/>
                          <w:szCs w:val="21"/>
                        </w:rPr>
                        <w:t>：</w:t>
                      </w:r>
                    </w:p>
                  </w:txbxContent>
                </v:textbox>
                <w10:wrap type="tight"/>
              </v:shape>
            </w:pict>
          </mc:Fallback>
        </mc:AlternateContent>
      </w:r>
    </w:p>
    <w:p w14:paraId="66222B03">
      <w:pPr>
        <w:spacing w:line="360" w:lineRule="auto"/>
        <w:rPr>
          <w:rFonts w:ascii="宋体" w:hAnsi="宋体" w:eastAsia="宋体" w:cs="宋体"/>
          <w:sz w:val="21"/>
          <w:szCs w:val="21"/>
        </w:rPr>
      </w:pPr>
      <w:bookmarkStart w:id="3" w:name="_Toc291082828"/>
      <w:bookmarkStart w:id="4" w:name="_Toc291142569"/>
      <w:r>
        <w:rPr>
          <w:rFonts w:hint="eastAsia" w:ascii="宋体" w:hAnsi="宋体" w:eastAsia="宋体" w:cs="宋体"/>
          <w:sz w:val="21"/>
          <w:szCs w:val="21"/>
        </w:rPr>
        <w:t>一、</w:t>
      </w:r>
      <w:r>
        <w:rPr>
          <w:rFonts w:hint="eastAsia" w:ascii="宋体" w:hAnsi="宋体" w:eastAsia="宋体" w:cs="宋体"/>
          <w:b/>
          <w:sz w:val="21"/>
          <w:szCs w:val="21"/>
        </w:rPr>
        <w:t>项目基本情况：</w:t>
      </w:r>
    </w:p>
    <w:p w14:paraId="7A42406F">
      <w:pPr>
        <w:spacing w:line="360" w:lineRule="auto"/>
        <w:rPr>
          <w:rFonts w:ascii="宋体" w:hAnsi="宋体" w:eastAsia="宋体" w:cs="宋体"/>
          <w:kern w:val="0"/>
          <w:sz w:val="21"/>
          <w:szCs w:val="21"/>
        </w:rPr>
      </w:pPr>
      <w:r>
        <w:rPr>
          <w:rFonts w:hint="eastAsia" w:ascii="宋体" w:hAnsi="宋体" w:eastAsia="宋体" w:cs="宋体"/>
          <w:kern w:val="0"/>
          <w:sz w:val="21"/>
          <w:szCs w:val="21"/>
        </w:rPr>
        <w:t>1.项目编号：</w:t>
      </w:r>
      <w:bookmarkEnd w:id="3"/>
      <w:bookmarkEnd w:id="4"/>
      <w:r>
        <w:rPr>
          <w:rFonts w:hint="eastAsia" w:ascii="宋体" w:hAnsi="宋体" w:eastAsia="宋体" w:cs="宋体"/>
          <w:kern w:val="0"/>
          <w:sz w:val="21"/>
          <w:szCs w:val="21"/>
          <w:lang w:eastAsia="zh-CN"/>
        </w:rPr>
        <w:t>JC-CS2025-022</w:t>
      </w:r>
      <w:r>
        <w:rPr>
          <w:rFonts w:hint="eastAsia" w:ascii="宋体" w:hAnsi="宋体" w:eastAsia="宋体" w:cs="宋体"/>
          <w:kern w:val="0"/>
          <w:sz w:val="21"/>
          <w:szCs w:val="21"/>
        </w:rPr>
        <w:t>号</w:t>
      </w:r>
    </w:p>
    <w:p w14:paraId="3B938D4E">
      <w:pPr>
        <w:spacing w:line="360" w:lineRule="auto"/>
        <w:rPr>
          <w:rFonts w:hint="eastAsia" w:ascii="宋体" w:hAnsi="宋体" w:eastAsia="宋体" w:cs="宋体"/>
          <w:kern w:val="0"/>
          <w:sz w:val="21"/>
          <w:szCs w:val="21"/>
          <w:lang w:eastAsia="zh-CN"/>
        </w:rPr>
      </w:pPr>
      <w:r>
        <w:rPr>
          <w:rFonts w:hint="eastAsia" w:ascii="宋体" w:hAnsi="宋体" w:eastAsia="宋体" w:cs="宋体"/>
          <w:kern w:val="0"/>
          <w:sz w:val="21"/>
          <w:szCs w:val="21"/>
        </w:rPr>
        <w:t>2.项目名称：</w:t>
      </w:r>
      <w:r>
        <w:rPr>
          <w:rFonts w:hint="eastAsia" w:ascii="宋体" w:hAnsi="宋体" w:eastAsia="宋体" w:cs="宋体"/>
          <w:kern w:val="0"/>
          <w:sz w:val="21"/>
          <w:szCs w:val="21"/>
          <w:lang w:eastAsia="zh-CN"/>
        </w:rPr>
        <w:t>台州市黄岩第二高级中学体能训练场、科技楼顶渗漏和阶梯教室等改造工程</w:t>
      </w:r>
    </w:p>
    <w:p w14:paraId="2556711F">
      <w:pPr>
        <w:spacing w:line="360" w:lineRule="auto"/>
        <w:rPr>
          <w:rFonts w:ascii="宋体" w:hAnsi="宋体" w:eastAsia="宋体" w:cs="宋体"/>
          <w:kern w:val="0"/>
          <w:sz w:val="21"/>
          <w:szCs w:val="21"/>
        </w:rPr>
      </w:pPr>
      <w:bookmarkStart w:id="5" w:name="_Toc291082830"/>
      <w:bookmarkStart w:id="6" w:name="_Toc291142571"/>
      <w:r>
        <w:rPr>
          <w:rFonts w:hint="eastAsia" w:ascii="宋体" w:hAnsi="宋体" w:eastAsia="宋体" w:cs="宋体"/>
          <w:kern w:val="0"/>
          <w:sz w:val="21"/>
          <w:szCs w:val="21"/>
        </w:rPr>
        <w:t>3.采购方式：竞争性磋商</w:t>
      </w:r>
    </w:p>
    <w:p w14:paraId="352FF44F">
      <w:pPr>
        <w:spacing w:line="360" w:lineRule="auto"/>
        <w:rPr>
          <w:rFonts w:ascii="宋体" w:hAnsi="宋体" w:eastAsia="宋体" w:cs="宋体"/>
          <w:kern w:val="0"/>
          <w:sz w:val="21"/>
          <w:szCs w:val="21"/>
        </w:rPr>
      </w:pPr>
      <w:r>
        <w:rPr>
          <w:rFonts w:hint="eastAsia" w:ascii="宋体" w:hAnsi="宋体" w:eastAsia="宋体" w:cs="宋体"/>
          <w:kern w:val="0"/>
          <w:sz w:val="21"/>
          <w:szCs w:val="21"/>
        </w:rPr>
        <w:t>4.预算金额（招标控制价）：</w:t>
      </w:r>
      <w:r>
        <w:rPr>
          <w:rFonts w:hint="eastAsia" w:ascii="宋体" w:hAnsi="宋体" w:eastAsia="宋体" w:cs="宋体"/>
          <w:kern w:val="0"/>
          <w:sz w:val="21"/>
          <w:szCs w:val="21"/>
          <w:lang w:val="en-US" w:eastAsia="zh-CN"/>
        </w:rPr>
        <w:t>1186926</w:t>
      </w:r>
      <w:r>
        <w:rPr>
          <w:rFonts w:hint="eastAsia" w:ascii="宋体" w:hAnsi="宋体" w:eastAsia="宋体" w:cs="宋体"/>
          <w:kern w:val="0"/>
          <w:sz w:val="21"/>
          <w:szCs w:val="21"/>
        </w:rPr>
        <w:t>元</w:t>
      </w:r>
    </w:p>
    <w:p w14:paraId="39F82A60">
      <w:pPr>
        <w:spacing w:line="360" w:lineRule="auto"/>
        <w:rPr>
          <w:rFonts w:ascii="宋体" w:hAnsi="宋体" w:eastAsia="宋体" w:cs="宋体"/>
          <w:color w:val="FF0000"/>
          <w:kern w:val="0"/>
          <w:sz w:val="21"/>
          <w:szCs w:val="21"/>
        </w:rPr>
      </w:pPr>
      <w:r>
        <w:rPr>
          <w:rFonts w:hint="eastAsia" w:ascii="宋体" w:hAnsi="宋体" w:eastAsia="宋体" w:cs="宋体"/>
          <w:kern w:val="0"/>
          <w:sz w:val="21"/>
          <w:szCs w:val="21"/>
        </w:rPr>
        <w:t>5.最高投标限价：</w:t>
      </w:r>
      <w:r>
        <w:rPr>
          <w:rFonts w:hint="eastAsia" w:ascii="宋体" w:hAnsi="宋体" w:eastAsia="宋体" w:cs="宋体"/>
          <w:kern w:val="0"/>
          <w:sz w:val="21"/>
          <w:szCs w:val="21"/>
          <w:lang w:val="en-US" w:eastAsia="zh-CN"/>
        </w:rPr>
        <w:t>930000</w:t>
      </w:r>
      <w:r>
        <w:rPr>
          <w:rFonts w:hint="eastAsia" w:ascii="宋体" w:hAnsi="宋体" w:eastAsia="宋体" w:cs="宋体"/>
          <w:kern w:val="0"/>
          <w:sz w:val="21"/>
          <w:szCs w:val="21"/>
        </w:rPr>
        <w:t>元</w:t>
      </w:r>
    </w:p>
    <w:p w14:paraId="7FC38AE0">
      <w:pPr>
        <w:spacing w:line="360" w:lineRule="auto"/>
        <w:rPr>
          <w:rFonts w:ascii="宋体" w:hAnsi="宋体" w:eastAsia="宋体" w:cs="宋体"/>
          <w:kern w:val="0"/>
          <w:sz w:val="21"/>
          <w:szCs w:val="21"/>
        </w:rPr>
      </w:pPr>
      <w:r>
        <w:rPr>
          <w:rFonts w:hint="eastAsia" w:ascii="宋体" w:hAnsi="宋体" w:eastAsia="宋体" w:cs="宋体"/>
          <w:kern w:val="0"/>
          <w:sz w:val="21"/>
          <w:szCs w:val="21"/>
        </w:rPr>
        <w:t>6.采购需求：</w:t>
      </w:r>
    </w:p>
    <w:p w14:paraId="33A74557">
      <w:pPr>
        <w:widowControl/>
        <w:spacing w:line="320" w:lineRule="exact"/>
        <w:ind w:firstLine="525" w:firstLineChars="250"/>
        <w:jc w:val="left"/>
        <w:rPr>
          <w:rFonts w:ascii="宋体" w:hAnsi="宋体" w:eastAsia="宋体" w:cs="宋体"/>
          <w:sz w:val="21"/>
          <w:szCs w:val="21"/>
        </w:rPr>
      </w:pPr>
      <w:r>
        <w:rPr>
          <w:rFonts w:hint="eastAsia" w:ascii="宋体" w:hAnsi="宋体" w:eastAsia="宋体" w:cs="宋体"/>
          <w:kern w:val="0"/>
          <w:sz w:val="21"/>
          <w:szCs w:val="21"/>
        </w:rPr>
        <w:t>数量：1           </w:t>
      </w:r>
    </w:p>
    <w:p w14:paraId="71771941">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预算金额（元）：</w:t>
      </w:r>
      <w:r>
        <w:rPr>
          <w:rFonts w:hint="eastAsia" w:ascii="宋体" w:hAnsi="宋体" w:eastAsia="宋体" w:cs="宋体"/>
          <w:kern w:val="0"/>
          <w:sz w:val="21"/>
          <w:szCs w:val="21"/>
          <w:lang w:val="en-US" w:eastAsia="zh-CN"/>
        </w:rPr>
        <w:t>1186926</w:t>
      </w:r>
      <w:r>
        <w:rPr>
          <w:rFonts w:hint="eastAsia" w:ascii="宋体" w:hAnsi="宋体" w:eastAsia="宋体" w:cs="宋体"/>
          <w:kern w:val="0"/>
          <w:sz w:val="21"/>
          <w:szCs w:val="21"/>
        </w:rPr>
        <w:t> </w:t>
      </w:r>
    </w:p>
    <w:p w14:paraId="1773C32F">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单位：项 </w:t>
      </w:r>
    </w:p>
    <w:p w14:paraId="24CF7795">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简要规格描述：详见磋商文件。 </w:t>
      </w:r>
    </w:p>
    <w:p w14:paraId="360BB290">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rPr>
        <w:t>   备注： </w:t>
      </w:r>
    </w:p>
    <w:p w14:paraId="25064F5B">
      <w:pPr>
        <w:pStyle w:val="2"/>
        <w:ind w:firstLine="210"/>
        <w:rPr>
          <w:rFonts w:eastAsiaTheme="minorEastAsia"/>
        </w:rPr>
      </w:pPr>
    </w:p>
    <w:bookmarkEnd w:id="5"/>
    <w:bookmarkEnd w:id="6"/>
    <w:p w14:paraId="2576D249">
      <w:pPr>
        <w:numPr>
          <w:ilvl w:val="0"/>
          <w:numId w:val="1"/>
        </w:numPr>
        <w:spacing w:line="360" w:lineRule="auto"/>
        <w:rPr>
          <w:rFonts w:ascii="宋体" w:hAnsi="宋体" w:eastAsia="宋体" w:cs="宋体"/>
          <w:kern w:val="0"/>
          <w:sz w:val="21"/>
          <w:szCs w:val="21"/>
        </w:rPr>
      </w:pPr>
      <w:bookmarkStart w:id="7" w:name="_Toc291142593"/>
      <w:bookmarkStart w:id="8" w:name="_Toc291082852"/>
      <w:r>
        <w:rPr>
          <w:rFonts w:hint="eastAsia" w:ascii="宋体" w:hAnsi="宋体" w:eastAsia="宋体" w:cs="宋体"/>
          <w:kern w:val="0"/>
          <w:sz w:val="21"/>
          <w:szCs w:val="21"/>
        </w:rPr>
        <w:t>合同履行期限</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合同签订后30日内完成全部工作</w:t>
      </w:r>
      <w:r>
        <w:rPr>
          <w:rFonts w:hint="eastAsia" w:ascii="宋体" w:hAnsi="宋体" w:eastAsia="宋体" w:cs="宋体"/>
          <w:color w:val="auto"/>
          <w:sz w:val="21"/>
          <w:szCs w:val="21"/>
          <w:highlight w:val="none"/>
        </w:rPr>
        <w:t>。</w:t>
      </w:r>
      <w:r>
        <w:rPr>
          <w:rFonts w:hint="eastAsia" w:ascii="宋体" w:hAnsi="宋体" w:eastAsia="宋体" w:cs="宋体"/>
          <w:kern w:val="0"/>
          <w:sz w:val="21"/>
          <w:szCs w:val="21"/>
          <w:highlight w:val="none"/>
        </w:rPr>
        <w:t> </w:t>
      </w:r>
    </w:p>
    <w:p w14:paraId="3315C597">
      <w:pPr>
        <w:spacing w:line="360" w:lineRule="auto"/>
        <w:rPr>
          <w:rFonts w:ascii="宋体" w:hAnsi="宋体" w:eastAsia="宋体" w:cs="宋体"/>
          <w:kern w:val="0"/>
          <w:sz w:val="21"/>
          <w:szCs w:val="21"/>
        </w:rPr>
      </w:pPr>
      <w:r>
        <w:rPr>
          <w:rFonts w:hint="eastAsia" w:ascii="宋体" w:hAnsi="宋体" w:eastAsia="宋体" w:cs="宋体"/>
          <w:kern w:val="0"/>
          <w:sz w:val="21"/>
          <w:szCs w:val="21"/>
        </w:rPr>
        <w:t>8.本项目不接受联合体投标</w:t>
      </w:r>
    </w:p>
    <w:p w14:paraId="4E59613F">
      <w:pPr>
        <w:spacing w:line="360" w:lineRule="auto"/>
        <w:rPr>
          <w:rFonts w:ascii="宋体" w:hAnsi="宋体" w:eastAsia="宋体" w:cs="宋体"/>
          <w:b/>
          <w:sz w:val="21"/>
          <w:szCs w:val="21"/>
        </w:rPr>
      </w:pPr>
      <w:r>
        <w:rPr>
          <w:rFonts w:ascii="宋体" w:hAnsi="宋体" w:eastAsia="宋体" w:cs="宋体"/>
          <w:b/>
          <w:sz w:val="21"/>
          <w:szCs w:val="21"/>
        </w:rPr>
        <w:t>二、申请人的资格要求：</w:t>
      </w:r>
    </w:p>
    <w:p w14:paraId="7BBA9813">
      <w:pPr>
        <w:spacing w:line="360" w:lineRule="auto"/>
        <w:rPr>
          <w:rFonts w:ascii="宋体" w:hAnsi="宋体" w:eastAsia="宋体" w:cs="宋体"/>
          <w:kern w:val="0"/>
          <w:sz w:val="21"/>
          <w:szCs w:val="21"/>
        </w:rPr>
      </w:pPr>
      <w:r>
        <w:rPr>
          <w:rFonts w:hint="eastAsia" w:ascii="宋体" w:hAnsi="宋体" w:eastAsia="宋体" w:cs="宋体"/>
          <w:kern w:val="0"/>
          <w:sz w:val="21"/>
          <w:szCs w:val="21"/>
        </w:rPr>
        <w:t>1.满足《中华人民共和国政府采购法》第二十二条规定；未被“信用中国”（</w:t>
      </w:r>
      <w:r>
        <w:rPr>
          <w:rFonts w:ascii="宋体" w:hAnsi="宋体" w:eastAsia="宋体" w:cs="宋体"/>
          <w:kern w:val="0"/>
          <w:sz w:val="21"/>
          <w:szCs w:val="21"/>
        </w:rPr>
        <w:t>www.creditchina.gov.cn)</w:t>
      </w:r>
      <w:r>
        <w:rPr>
          <w:rFonts w:hint="eastAsia" w:ascii="宋体" w:hAnsi="宋体" w:eastAsia="宋体" w:cs="宋体"/>
          <w:kern w:val="0"/>
          <w:sz w:val="21"/>
          <w:szCs w:val="21"/>
        </w:rPr>
        <w:t>、中国政府采购网（</w:t>
      </w:r>
      <w:r>
        <w:rPr>
          <w:rFonts w:ascii="宋体" w:hAnsi="宋体" w:eastAsia="宋体" w:cs="宋体"/>
          <w:kern w:val="0"/>
          <w:sz w:val="21"/>
          <w:szCs w:val="21"/>
        </w:rPr>
        <w:t>www.ccgp.gov.cn</w:t>
      </w:r>
      <w:r>
        <w:rPr>
          <w:rFonts w:hint="eastAsia" w:ascii="宋体" w:hAnsi="宋体" w:eastAsia="宋体" w:cs="宋体"/>
          <w:kern w:val="0"/>
          <w:sz w:val="21"/>
          <w:szCs w:val="21"/>
        </w:rPr>
        <w:t>）列入失信被执行人、重大税收违法案件当事人名单、政府采购严重违法失信行为记录名单。</w:t>
      </w:r>
    </w:p>
    <w:p w14:paraId="77F90C49">
      <w:pPr>
        <w:spacing w:line="360" w:lineRule="auto"/>
        <w:rPr>
          <w:rFonts w:ascii="宋体" w:hAnsi="宋体" w:eastAsia="宋体" w:cs="宋体"/>
          <w:kern w:val="0"/>
          <w:sz w:val="21"/>
          <w:szCs w:val="21"/>
        </w:rPr>
      </w:pPr>
      <w:r>
        <w:rPr>
          <w:rFonts w:hint="eastAsia" w:ascii="宋体" w:hAnsi="宋体" w:eastAsia="宋体" w:cs="宋体"/>
          <w:kern w:val="0"/>
          <w:sz w:val="21"/>
          <w:szCs w:val="21"/>
        </w:rPr>
        <w:t>2.</w:t>
      </w:r>
      <w:r>
        <w:rPr>
          <w:rFonts w:hint="eastAsia" w:ascii="宋体" w:hAnsi="宋体" w:eastAsia="宋体" w:cs="宋体"/>
          <w:sz w:val="21"/>
          <w:szCs w:val="21"/>
        </w:rPr>
        <w:t>落实政府采购政策需满足的资格要求：专门面向中小企业/小微企业采购。</w:t>
      </w:r>
    </w:p>
    <w:p w14:paraId="1BE508BF">
      <w:pPr>
        <w:spacing w:line="360" w:lineRule="auto"/>
        <w:rPr>
          <w:rFonts w:ascii="宋体" w:hAnsi="宋体" w:eastAsia="宋体" w:cs="宋体"/>
          <w:kern w:val="0"/>
          <w:sz w:val="21"/>
          <w:szCs w:val="21"/>
        </w:rPr>
      </w:pPr>
      <w:r>
        <w:rPr>
          <w:rFonts w:hint="eastAsia" w:ascii="宋体" w:hAnsi="宋体" w:eastAsia="宋体" w:cs="宋体"/>
          <w:kern w:val="0"/>
          <w:sz w:val="21"/>
          <w:szCs w:val="21"/>
        </w:rPr>
        <w:t>3.本项目的特定资格要求：</w:t>
      </w:r>
    </w:p>
    <w:p w14:paraId="1A10DF66">
      <w:pPr>
        <w:spacing w:line="360" w:lineRule="auto"/>
        <w:rPr>
          <w:rFonts w:ascii="宋体" w:hAnsi="宋体" w:eastAsia="宋体" w:cs="宋体"/>
          <w:color w:val="FF0000"/>
          <w:kern w:val="0"/>
          <w:sz w:val="21"/>
          <w:szCs w:val="21"/>
          <w:highlight w:val="none"/>
        </w:rPr>
      </w:pPr>
      <w:r>
        <w:rPr>
          <w:rFonts w:hint="eastAsia" w:ascii="宋体" w:hAnsi="宋体" w:eastAsia="宋体" w:cs="宋体"/>
          <w:kern w:val="0"/>
          <w:sz w:val="21"/>
          <w:szCs w:val="21"/>
        </w:rPr>
        <w:t xml:space="preserve">（1） </w:t>
      </w:r>
      <w:r>
        <w:rPr>
          <w:rFonts w:hint="eastAsia" w:ascii="宋体" w:hAnsi="宋体" w:eastAsia="宋体" w:cs="宋体"/>
          <w:color w:val="000000" w:themeColor="text1"/>
          <w:kern w:val="0"/>
          <w:sz w:val="21"/>
          <w:szCs w:val="21"/>
          <w14:textFill>
            <w14:solidFill>
              <w14:schemeClr w14:val="tx1"/>
            </w14:solidFill>
          </w14:textFill>
        </w:rPr>
        <w:t>投标</w:t>
      </w:r>
      <w:r>
        <w:rPr>
          <w:rFonts w:hint="eastAsia" w:ascii="宋体" w:hAnsi="宋体" w:eastAsia="宋体" w:cs="宋体"/>
          <w:color w:val="000000" w:themeColor="text1"/>
          <w:kern w:val="0"/>
          <w:sz w:val="21"/>
          <w:szCs w:val="21"/>
          <w:highlight w:val="none"/>
          <w14:textFill>
            <w14:solidFill>
              <w14:schemeClr w14:val="tx1"/>
            </w14:solidFill>
          </w14:textFill>
        </w:rPr>
        <w:t>人具有</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市政公用工程施工总承包三</w:t>
      </w:r>
      <w:r>
        <w:rPr>
          <w:rFonts w:hint="eastAsia" w:ascii="宋体" w:hAnsi="宋体" w:eastAsia="宋体" w:cs="宋体"/>
          <w:color w:val="000000" w:themeColor="text1"/>
          <w:kern w:val="0"/>
          <w:sz w:val="21"/>
          <w:szCs w:val="21"/>
          <w:highlight w:val="none"/>
          <w14:textFill>
            <w14:solidFill>
              <w14:schemeClr w14:val="tx1"/>
            </w14:solidFill>
          </w14:textFill>
        </w:rPr>
        <w:t>级及以上资质；</w:t>
      </w:r>
    </w:p>
    <w:p w14:paraId="4CA608CF">
      <w:pPr>
        <w:spacing w:line="360" w:lineRule="auto"/>
      </w:pPr>
      <w:r>
        <w:rPr>
          <w:rFonts w:hint="eastAsia" w:ascii="宋体" w:hAnsi="宋体" w:eastAsia="宋体" w:cs="宋体"/>
          <w:kern w:val="0"/>
          <w:sz w:val="21"/>
          <w:szCs w:val="21"/>
        </w:rPr>
        <w:t>（2） 浙江省省外企业须具有有效的《省外企业进浙承接业务备案证明》或“浙江省建筑市场监管公共服务系统”对外发布的通过审核形成的备案信息网页截图（仅指浙江省省外企业）；</w:t>
      </w:r>
    </w:p>
    <w:p w14:paraId="03019A47">
      <w:pPr>
        <w:spacing w:line="360" w:lineRule="auto"/>
        <w:rPr>
          <w:rFonts w:ascii="宋体" w:hAnsi="宋体" w:eastAsia="宋体" w:cs="宋体"/>
          <w:kern w:val="0"/>
          <w:sz w:val="21"/>
          <w:szCs w:val="21"/>
        </w:rPr>
      </w:pPr>
      <w:r>
        <w:rPr>
          <w:rFonts w:hint="eastAsia" w:ascii="宋体" w:hAnsi="宋体" w:eastAsia="宋体" w:cs="宋体"/>
          <w:kern w:val="0"/>
          <w:sz w:val="21"/>
          <w:szCs w:val="21"/>
        </w:rPr>
        <w:t>（3）企业具有安全生产许可证，且在有效期内；</w:t>
      </w:r>
    </w:p>
    <w:bookmarkEnd w:id="7"/>
    <w:bookmarkEnd w:id="8"/>
    <w:p w14:paraId="4328101F">
      <w:pPr>
        <w:pStyle w:val="26"/>
        <w:widowControl w:val="0"/>
        <w:spacing w:beforeAutospacing="0" w:afterAutospacing="0" w:line="360" w:lineRule="auto"/>
        <w:jc w:val="both"/>
        <w:rPr>
          <w:rFonts w:hint="default" w:eastAsia="宋体" w:cs="宋体"/>
          <w:b/>
          <w:kern w:val="2"/>
          <w:sz w:val="21"/>
          <w:szCs w:val="21"/>
        </w:rPr>
      </w:pPr>
      <w:bookmarkStart w:id="9" w:name="_Toc291082866"/>
      <w:bookmarkStart w:id="10" w:name="_Toc291142607"/>
      <w:r>
        <w:rPr>
          <w:rFonts w:eastAsia="宋体" w:cs="宋体"/>
          <w:b/>
          <w:kern w:val="2"/>
          <w:sz w:val="21"/>
          <w:szCs w:val="21"/>
        </w:rPr>
        <w:t>三、获取（下载）采购文件</w:t>
      </w:r>
    </w:p>
    <w:p w14:paraId="31895816">
      <w:pPr>
        <w:spacing w:line="360" w:lineRule="auto"/>
        <w:ind w:firstLine="420" w:firstLineChars="200"/>
        <w:rPr>
          <w:rFonts w:ascii="宋体" w:hAnsi="宋体" w:eastAsia="宋体" w:cs="宋体"/>
          <w:kern w:val="0"/>
          <w:sz w:val="21"/>
          <w:szCs w:val="21"/>
        </w:rPr>
      </w:pPr>
      <w:r>
        <w:rPr>
          <w:rFonts w:hint="eastAsia" w:ascii="宋体" w:hAnsi="宋体" w:eastAsia="宋体" w:cs="宋体"/>
          <w:kern w:val="0"/>
          <w:sz w:val="21"/>
          <w:szCs w:val="21"/>
        </w:rPr>
        <w:t>1.时间：磋商公告发布之日起至提交磋商响应文件截止时间前。</w:t>
      </w:r>
    </w:p>
    <w:p w14:paraId="6DB97B93">
      <w:pPr>
        <w:spacing w:line="360" w:lineRule="auto"/>
        <w:ind w:firstLine="420" w:firstLineChars="200"/>
        <w:rPr>
          <w:rFonts w:ascii="宋体" w:hAnsi="宋体" w:eastAsia="宋体" w:cs="宋体"/>
          <w:kern w:val="0"/>
          <w:sz w:val="21"/>
          <w:szCs w:val="21"/>
        </w:rPr>
      </w:pPr>
      <w:r>
        <w:rPr>
          <w:rFonts w:hint="eastAsia" w:ascii="宋体" w:hAnsi="宋体" w:eastAsia="宋体" w:cs="宋体"/>
          <w:kern w:val="0"/>
          <w:sz w:val="21"/>
          <w:szCs w:val="21"/>
        </w:rPr>
        <w:t>2.地点（网址）：浙江政府采购网（http</w:t>
      </w:r>
      <w:r>
        <w:rPr>
          <w:rFonts w:hint="eastAsia" w:ascii="宋体" w:hAnsi="宋体" w:eastAsia="宋体" w:cs="宋体"/>
          <w:sz w:val="21"/>
          <w:szCs w:val="21"/>
        </w:rPr>
        <w:t>:</w:t>
      </w:r>
      <w:r>
        <w:rPr>
          <w:rFonts w:hint="eastAsia" w:ascii="宋体" w:hAnsi="宋体" w:eastAsia="宋体" w:cs="宋体"/>
          <w:kern w:val="0"/>
          <w:sz w:val="21"/>
          <w:szCs w:val="21"/>
        </w:rPr>
        <w:t>//zfcg.czt.zj.gov.cn） </w:t>
      </w:r>
    </w:p>
    <w:p w14:paraId="1A62F1E8">
      <w:pPr>
        <w:spacing w:line="360" w:lineRule="auto"/>
        <w:ind w:firstLine="420" w:firstLineChars="200"/>
        <w:rPr>
          <w:rFonts w:ascii="宋体" w:hAnsi="宋体" w:eastAsia="宋体" w:cs="宋体"/>
          <w:kern w:val="0"/>
          <w:sz w:val="21"/>
          <w:szCs w:val="21"/>
        </w:rPr>
      </w:pPr>
      <w:r>
        <w:rPr>
          <w:rFonts w:hint="eastAsia" w:ascii="宋体" w:hAnsi="宋体" w:eastAsia="宋体" w:cs="宋体"/>
          <w:kern w:val="0"/>
          <w:sz w:val="21"/>
          <w:szCs w:val="21"/>
        </w:rPr>
        <w:t>3.方式：</w:t>
      </w:r>
      <w:r>
        <w:rPr>
          <w:rFonts w:hint="eastAsia" w:ascii="宋体" w:hAnsi="宋体" w:eastAsia="宋体" w:cs="宋体"/>
          <w:sz w:val="21"/>
          <w:szCs w:val="21"/>
        </w:rPr>
        <w:t>供应商登录政采云平台https://www.zcygov.cn/在线申请获取采购文件（进入“项目采购”应用，在获取采购文件菜单中选择项目，申请获取采购文件）</w:t>
      </w:r>
      <w:r>
        <w:rPr>
          <w:rFonts w:hint="eastAsia" w:ascii="宋体" w:hAnsi="宋体" w:eastAsia="宋体" w:cs="宋体"/>
          <w:kern w:val="0"/>
          <w:sz w:val="21"/>
          <w:szCs w:val="21"/>
        </w:rPr>
        <w:t> </w:t>
      </w:r>
    </w:p>
    <w:p w14:paraId="45181FFE">
      <w:pPr>
        <w:spacing w:line="360" w:lineRule="auto"/>
        <w:ind w:firstLine="420" w:firstLineChars="200"/>
        <w:rPr>
          <w:rFonts w:ascii="宋体" w:hAnsi="宋体" w:eastAsia="宋体" w:cs="宋体"/>
          <w:kern w:val="0"/>
          <w:sz w:val="21"/>
          <w:szCs w:val="21"/>
        </w:rPr>
      </w:pPr>
      <w:r>
        <w:rPr>
          <w:rFonts w:hint="eastAsia" w:ascii="宋体" w:hAnsi="宋体" w:eastAsia="宋体" w:cs="宋体"/>
          <w:kern w:val="0"/>
          <w:sz w:val="21"/>
          <w:szCs w:val="21"/>
        </w:rPr>
        <w:t>4.售价（元）：0 </w:t>
      </w:r>
    </w:p>
    <w:p w14:paraId="1F864CCB">
      <w:pPr>
        <w:pStyle w:val="26"/>
        <w:spacing w:beforeAutospacing="0" w:afterAutospacing="0" w:line="360" w:lineRule="auto"/>
        <w:rPr>
          <w:rFonts w:hint="default" w:eastAsia="宋体" w:cs="宋体"/>
          <w:sz w:val="21"/>
          <w:szCs w:val="21"/>
        </w:rPr>
      </w:pPr>
      <w:r>
        <w:rPr>
          <w:rFonts w:eastAsia="宋体" w:cs="宋体"/>
          <w:b/>
          <w:kern w:val="2"/>
          <w:sz w:val="21"/>
          <w:szCs w:val="21"/>
        </w:rPr>
        <w:t>四、</w:t>
      </w:r>
      <w:bookmarkEnd w:id="9"/>
      <w:bookmarkEnd w:id="10"/>
      <w:r>
        <w:rPr>
          <w:rFonts w:eastAsia="宋体" w:cs="宋体"/>
          <w:b/>
          <w:kern w:val="2"/>
          <w:sz w:val="21"/>
          <w:szCs w:val="21"/>
        </w:rPr>
        <w:t>响应文件提交（上传）</w:t>
      </w:r>
    </w:p>
    <w:p w14:paraId="0C3AFAAB">
      <w:pPr>
        <w:pStyle w:val="26"/>
        <w:spacing w:beforeAutospacing="0" w:afterAutospacing="0" w:line="360" w:lineRule="auto"/>
        <w:ind w:firstLine="420" w:firstLineChars="200"/>
        <w:rPr>
          <w:rFonts w:hint="default" w:eastAsia="宋体" w:cs="宋体"/>
          <w:sz w:val="21"/>
          <w:szCs w:val="21"/>
          <w:highlight w:val="none"/>
        </w:rPr>
      </w:pPr>
      <w:r>
        <w:rPr>
          <w:rFonts w:eastAsia="宋体" w:cs="宋体"/>
          <w:sz w:val="21"/>
          <w:szCs w:val="21"/>
        </w:rPr>
        <w:t>1. 截止时间</w:t>
      </w:r>
      <w:r>
        <w:rPr>
          <w:rFonts w:eastAsia="宋体" w:cs="宋体"/>
          <w:sz w:val="21"/>
          <w:szCs w:val="21"/>
          <w:highlight w:val="none"/>
        </w:rPr>
        <w:t>：202</w:t>
      </w:r>
      <w:r>
        <w:rPr>
          <w:rFonts w:hint="eastAsia" w:eastAsia="宋体" w:cs="宋体"/>
          <w:sz w:val="21"/>
          <w:szCs w:val="21"/>
          <w:highlight w:val="none"/>
          <w:lang w:val="en-US" w:eastAsia="zh-CN"/>
        </w:rPr>
        <w:t>5</w:t>
      </w:r>
      <w:r>
        <w:rPr>
          <w:rFonts w:eastAsia="宋体" w:cs="宋体"/>
          <w:sz w:val="21"/>
          <w:szCs w:val="21"/>
          <w:highlight w:val="none"/>
        </w:rPr>
        <w:t>年</w:t>
      </w:r>
      <w:r>
        <w:rPr>
          <w:rFonts w:hint="eastAsia" w:eastAsia="宋体" w:cs="宋体"/>
          <w:sz w:val="21"/>
          <w:szCs w:val="21"/>
          <w:highlight w:val="none"/>
          <w:lang w:val="en-US" w:eastAsia="zh-CN"/>
        </w:rPr>
        <w:t>7</w:t>
      </w:r>
      <w:r>
        <w:rPr>
          <w:rFonts w:eastAsia="宋体" w:cs="宋体"/>
          <w:sz w:val="21"/>
          <w:szCs w:val="21"/>
          <w:highlight w:val="none"/>
        </w:rPr>
        <w:t>月</w:t>
      </w:r>
      <w:r>
        <w:rPr>
          <w:rFonts w:hint="eastAsia" w:eastAsia="宋体" w:cs="宋体"/>
          <w:sz w:val="21"/>
          <w:szCs w:val="21"/>
          <w:highlight w:val="none"/>
          <w:lang w:val="en-US" w:eastAsia="zh-CN"/>
        </w:rPr>
        <w:t>7</w:t>
      </w:r>
      <w:r>
        <w:rPr>
          <w:rFonts w:eastAsia="宋体" w:cs="宋体"/>
          <w:sz w:val="21"/>
          <w:szCs w:val="21"/>
          <w:highlight w:val="none"/>
        </w:rPr>
        <w:t>日9:00（北京时间）</w:t>
      </w:r>
    </w:p>
    <w:p w14:paraId="1629492A">
      <w:pPr>
        <w:pStyle w:val="26"/>
        <w:spacing w:beforeAutospacing="0" w:afterAutospacing="0" w:line="360" w:lineRule="auto"/>
        <w:ind w:firstLine="420" w:firstLineChars="200"/>
        <w:rPr>
          <w:rFonts w:hint="default" w:eastAsia="宋体" w:cs="宋体"/>
          <w:sz w:val="21"/>
          <w:szCs w:val="21"/>
          <w:highlight w:val="none"/>
        </w:rPr>
      </w:pPr>
      <w:r>
        <w:rPr>
          <w:rFonts w:eastAsia="宋体" w:cs="宋体"/>
          <w:sz w:val="21"/>
          <w:szCs w:val="21"/>
          <w:highlight w:val="none"/>
        </w:rPr>
        <w:t>2.地点（网址）：浙江政府采购云平台（http://www.zcygov.cn）线上递交</w:t>
      </w:r>
    </w:p>
    <w:p w14:paraId="28236DF3">
      <w:pPr>
        <w:widowControl/>
        <w:spacing w:line="320" w:lineRule="exact"/>
        <w:rPr>
          <w:rFonts w:ascii="宋体" w:hAnsi="宋体" w:eastAsia="宋体" w:cs="宋体"/>
          <w:kern w:val="0"/>
          <w:sz w:val="21"/>
          <w:szCs w:val="21"/>
          <w:highlight w:val="none"/>
        </w:rPr>
      </w:pPr>
      <w:r>
        <w:rPr>
          <w:rFonts w:hint="eastAsia" w:ascii="宋体" w:hAnsi="宋体" w:eastAsia="宋体" w:cs="宋体"/>
          <w:b/>
          <w:kern w:val="0"/>
          <w:sz w:val="21"/>
          <w:highlight w:val="none"/>
        </w:rPr>
        <w:t>五、响应文件开启</w:t>
      </w:r>
      <w:r>
        <w:rPr>
          <w:rFonts w:hint="eastAsia" w:ascii="宋体" w:hAnsi="宋体" w:eastAsia="宋体" w:cs="宋体"/>
          <w:kern w:val="0"/>
          <w:sz w:val="21"/>
          <w:szCs w:val="21"/>
          <w:highlight w:val="none"/>
        </w:rPr>
        <w:t> </w:t>
      </w:r>
    </w:p>
    <w:p w14:paraId="7619889F">
      <w:pPr>
        <w:widowControl/>
        <w:spacing w:line="320" w:lineRule="exact"/>
        <w:jc w:val="left"/>
        <w:rPr>
          <w:rFonts w:ascii="宋体" w:hAnsi="宋体" w:eastAsia="宋体" w:cs="宋体"/>
          <w:kern w:val="0"/>
          <w:sz w:val="21"/>
          <w:szCs w:val="21"/>
        </w:rPr>
      </w:pPr>
      <w:r>
        <w:rPr>
          <w:rFonts w:hint="eastAsia" w:ascii="宋体" w:hAnsi="宋体" w:eastAsia="宋体" w:cs="宋体"/>
          <w:kern w:val="0"/>
          <w:sz w:val="21"/>
          <w:szCs w:val="21"/>
          <w:highlight w:val="none"/>
        </w:rPr>
        <w:t>    开启时间：</w:t>
      </w:r>
      <w:r>
        <w:rPr>
          <w:rFonts w:hint="eastAsia" w:eastAsia="宋体" w:cs="宋体"/>
          <w:sz w:val="21"/>
          <w:szCs w:val="21"/>
          <w:highlight w:val="none"/>
        </w:rPr>
        <w:t>202</w:t>
      </w:r>
      <w:r>
        <w:rPr>
          <w:rFonts w:hint="eastAsia" w:eastAsia="宋体" w:cs="宋体"/>
          <w:sz w:val="21"/>
          <w:szCs w:val="21"/>
          <w:highlight w:val="none"/>
          <w:lang w:val="en-US" w:eastAsia="zh-CN"/>
        </w:rPr>
        <w:t>5</w:t>
      </w:r>
      <w:r>
        <w:rPr>
          <w:rFonts w:hint="eastAsia" w:eastAsia="宋体" w:cs="宋体"/>
          <w:sz w:val="21"/>
          <w:szCs w:val="21"/>
          <w:highlight w:val="none"/>
        </w:rPr>
        <w:t>年</w:t>
      </w:r>
      <w:r>
        <w:rPr>
          <w:rFonts w:hint="eastAsia" w:eastAsia="宋体" w:cs="宋体"/>
          <w:sz w:val="21"/>
          <w:szCs w:val="21"/>
          <w:highlight w:val="none"/>
          <w:lang w:val="en-US" w:eastAsia="zh-CN"/>
        </w:rPr>
        <w:t>7</w:t>
      </w:r>
      <w:r>
        <w:rPr>
          <w:rFonts w:hint="eastAsia" w:eastAsia="宋体" w:cs="宋体"/>
          <w:sz w:val="21"/>
          <w:szCs w:val="21"/>
          <w:highlight w:val="none"/>
        </w:rPr>
        <w:t>月</w:t>
      </w:r>
      <w:r>
        <w:rPr>
          <w:rFonts w:hint="eastAsia" w:eastAsia="宋体" w:cs="宋体"/>
          <w:sz w:val="21"/>
          <w:szCs w:val="21"/>
          <w:highlight w:val="none"/>
          <w:lang w:val="en-US" w:eastAsia="zh-CN"/>
        </w:rPr>
        <w:t>7</w:t>
      </w:r>
      <w:r>
        <w:rPr>
          <w:rFonts w:hint="eastAsia" w:eastAsia="宋体" w:cs="宋体"/>
          <w:sz w:val="21"/>
          <w:szCs w:val="21"/>
          <w:highlight w:val="none"/>
        </w:rPr>
        <w:t>日9:00</w:t>
      </w:r>
      <w:r>
        <w:rPr>
          <w:rFonts w:hint="eastAsia" w:ascii="宋体" w:hAnsi="宋体" w:eastAsia="宋体" w:cs="宋体"/>
          <w:kern w:val="0"/>
          <w:sz w:val="21"/>
          <w:szCs w:val="21"/>
        </w:rPr>
        <w:t>（北京时间）</w:t>
      </w:r>
    </w:p>
    <w:p w14:paraId="400E8A23">
      <w:pPr>
        <w:widowControl/>
        <w:spacing w:line="320" w:lineRule="exact"/>
        <w:ind w:right="-22" w:rightChars="-6" w:firstLine="630"/>
        <w:jc w:val="left"/>
        <w:rPr>
          <w:rFonts w:ascii="宋体" w:hAnsi="宋体" w:eastAsia="宋体" w:cs="宋体"/>
          <w:kern w:val="0"/>
          <w:sz w:val="21"/>
          <w:szCs w:val="21"/>
        </w:rPr>
      </w:pPr>
      <w:r>
        <w:rPr>
          <w:rFonts w:hint="eastAsia" w:ascii="宋体" w:hAnsi="宋体" w:eastAsia="宋体" w:cs="宋体"/>
          <w:kern w:val="0"/>
          <w:sz w:val="21"/>
          <w:szCs w:val="21"/>
        </w:rPr>
        <w:t>地点（网址）：“政府采购云平台”（http://www.zcygov.cn/）</w:t>
      </w:r>
    </w:p>
    <w:p w14:paraId="4FD907D7">
      <w:pPr>
        <w:widowControl/>
        <w:tabs>
          <w:tab w:val="left" w:pos="1635"/>
        </w:tabs>
        <w:spacing w:line="320" w:lineRule="exact"/>
        <w:ind w:firstLine="630"/>
        <w:jc w:val="left"/>
        <w:rPr>
          <w:rFonts w:ascii="宋体" w:hAnsi="宋体" w:eastAsia="宋体" w:cs="宋体"/>
          <w:kern w:val="0"/>
          <w:sz w:val="21"/>
          <w:szCs w:val="21"/>
        </w:rPr>
      </w:pPr>
      <w:r>
        <w:rPr>
          <w:rFonts w:ascii="宋体" w:hAnsi="宋体" w:eastAsia="宋体" w:cs="宋体"/>
          <w:kern w:val="0"/>
          <w:sz w:val="21"/>
          <w:szCs w:val="21"/>
        </w:rPr>
        <w:tab/>
      </w:r>
    </w:p>
    <w:p w14:paraId="0EACB718">
      <w:pPr>
        <w:widowControl/>
        <w:spacing w:line="320" w:lineRule="exact"/>
        <w:rPr>
          <w:rFonts w:ascii="宋体" w:hAnsi="宋体" w:eastAsia="宋体" w:cs="宋体"/>
          <w:kern w:val="0"/>
          <w:sz w:val="21"/>
          <w:szCs w:val="21"/>
        </w:rPr>
      </w:pPr>
      <w:r>
        <w:rPr>
          <w:rFonts w:hint="eastAsia" w:ascii="宋体" w:hAnsi="宋体" w:eastAsia="宋体" w:cs="宋体"/>
          <w:b/>
          <w:kern w:val="0"/>
          <w:sz w:val="21"/>
        </w:rPr>
        <w:t>六、公告期限</w:t>
      </w:r>
    </w:p>
    <w:p w14:paraId="40A3F314">
      <w:pPr>
        <w:widowControl/>
        <w:spacing w:line="320" w:lineRule="exact"/>
        <w:ind w:firstLine="630"/>
        <w:jc w:val="left"/>
        <w:rPr>
          <w:rFonts w:ascii="宋体" w:hAnsi="宋体" w:eastAsia="宋体" w:cs="宋体"/>
          <w:kern w:val="0"/>
          <w:sz w:val="21"/>
          <w:szCs w:val="21"/>
        </w:rPr>
      </w:pPr>
      <w:r>
        <w:rPr>
          <w:rFonts w:hint="eastAsia" w:ascii="宋体" w:hAnsi="宋体" w:eastAsia="宋体" w:cs="宋体"/>
          <w:kern w:val="0"/>
          <w:sz w:val="21"/>
          <w:szCs w:val="21"/>
        </w:rPr>
        <w:t>自本公告发布之日起3个工作日。</w:t>
      </w:r>
    </w:p>
    <w:p w14:paraId="22A879ED">
      <w:pPr>
        <w:widowControl/>
        <w:spacing w:line="320" w:lineRule="exact"/>
        <w:ind w:firstLine="630"/>
        <w:jc w:val="left"/>
        <w:rPr>
          <w:rFonts w:ascii="宋体" w:hAnsi="宋体" w:eastAsia="宋体" w:cs="宋体"/>
          <w:kern w:val="0"/>
          <w:sz w:val="21"/>
          <w:szCs w:val="21"/>
        </w:rPr>
      </w:pPr>
    </w:p>
    <w:p w14:paraId="1EC8E54F">
      <w:pPr>
        <w:widowControl/>
        <w:spacing w:line="320" w:lineRule="exact"/>
        <w:rPr>
          <w:rFonts w:ascii="宋体" w:hAnsi="宋体" w:eastAsia="宋体" w:cs="宋体"/>
          <w:kern w:val="0"/>
          <w:sz w:val="21"/>
          <w:szCs w:val="21"/>
        </w:rPr>
      </w:pPr>
      <w:r>
        <w:rPr>
          <w:rFonts w:hint="eastAsia" w:ascii="宋体" w:hAnsi="宋体" w:eastAsia="宋体" w:cs="宋体"/>
          <w:b/>
          <w:kern w:val="0"/>
          <w:sz w:val="21"/>
        </w:rPr>
        <w:t>七、其他补充事宜</w:t>
      </w:r>
      <w:r>
        <w:rPr>
          <w:rFonts w:hint="eastAsia" w:ascii="宋体" w:hAnsi="宋体" w:eastAsia="宋体" w:cs="宋体"/>
          <w:kern w:val="0"/>
          <w:sz w:val="21"/>
          <w:szCs w:val="21"/>
        </w:rPr>
        <w:t> </w:t>
      </w:r>
    </w:p>
    <w:p w14:paraId="7C9BD442">
      <w:pPr>
        <w:widowControl/>
        <w:spacing w:line="320" w:lineRule="exact"/>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1.《浙江省财政厅关于进一步发挥政府采购政策功能全力推动经济稳进提质的通知》（浙财采监（2022）3号）、《浙江省财政厅关于进一步促进政府采购公平竞争打造最优营商环境的通知》（浙财采监（2021）22号）已分别于2023年1月29日和2023年2月1日开始实施，此前有关规定与上述文件内容不一致的，按上述文件要求执行。</w:t>
      </w:r>
    </w:p>
    <w:p w14:paraId="3E1068B2">
      <w:pPr>
        <w:widowControl/>
        <w:spacing w:line="320" w:lineRule="exact"/>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05060B7">
      <w:pPr>
        <w:widowControl/>
        <w:spacing w:line="320" w:lineRule="exact"/>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E9DA2FF">
      <w:pPr>
        <w:widowControl/>
        <w:spacing w:line="320" w:lineRule="exact"/>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4.</w:t>
      </w:r>
      <w:r>
        <w:rPr>
          <w:rFonts w:hint="eastAsia" w:ascii="宋体" w:hAnsi="宋体" w:cs="宋体"/>
          <w:b/>
          <w:bCs/>
          <w:sz w:val="21"/>
          <w:szCs w:val="21"/>
        </w:rPr>
        <w:t>开标时间后30分钟内，供应商须登录“政采云”平台，用“项目采购-开标评标”功能解密投标文件，投标人未按时解密或解密失败的，其上传的电子投标文件自动失效，CA及解密电脑设备自备。</w:t>
      </w:r>
    </w:p>
    <w:p w14:paraId="3338FC19">
      <w:pPr>
        <w:spacing w:line="360" w:lineRule="auto"/>
        <w:ind w:firstLine="422" w:firstLineChars="200"/>
        <w:rPr>
          <w:rFonts w:ascii="宋体" w:hAnsi="宋体" w:eastAsia="宋体" w:cs="宋体"/>
          <w:b/>
          <w:bCs/>
          <w:sz w:val="21"/>
          <w:szCs w:val="21"/>
        </w:rPr>
      </w:pPr>
    </w:p>
    <w:p w14:paraId="7C821258">
      <w:pPr>
        <w:spacing w:line="360" w:lineRule="auto"/>
        <w:ind w:firstLine="422" w:firstLineChars="200"/>
        <w:rPr>
          <w:rFonts w:ascii="宋体" w:hAnsi="宋体" w:eastAsia="宋体" w:cs="宋体"/>
          <w:b/>
          <w:bCs/>
          <w:sz w:val="21"/>
          <w:szCs w:val="21"/>
        </w:rPr>
      </w:pPr>
      <w:r>
        <w:rPr>
          <w:rFonts w:hint="eastAsia" w:ascii="宋体" w:hAnsi="宋体" w:eastAsia="宋体" w:cs="宋体"/>
          <w:b/>
          <w:bCs/>
          <w:sz w:val="21"/>
          <w:szCs w:val="21"/>
        </w:rPr>
        <w:t>八、联系方式：</w:t>
      </w:r>
    </w:p>
    <w:p w14:paraId="21590862">
      <w:pPr>
        <w:pStyle w:val="26"/>
        <w:spacing w:beforeAutospacing="0" w:afterAutospacing="0" w:line="360" w:lineRule="auto"/>
        <w:ind w:firstLine="420" w:firstLineChars="200"/>
        <w:rPr>
          <w:rFonts w:hint="default" w:eastAsia="宋体" w:cs="宋体"/>
          <w:sz w:val="21"/>
          <w:szCs w:val="21"/>
        </w:rPr>
      </w:pPr>
      <w:r>
        <w:rPr>
          <w:rFonts w:eastAsia="宋体" w:cs="宋体"/>
          <w:sz w:val="21"/>
          <w:szCs w:val="21"/>
        </w:rPr>
        <w:t>1.采购人信息</w:t>
      </w:r>
    </w:p>
    <w:p w14:paraId="4F13BA28">
      <w:pPr>
        <w:pStyle w:val="26"/>
        <w:spacing w:beforeAutospacing="0" w:afterAutospacing="0" w:line="360" w:lineRule="auto"/>
        <w:ind w:firstLine="420" w:firstLineChars="200"/>
        <w:rPr>
          <w:rFonts w:hint="default" w:eastAsia="宋体" w:cs="宋体"/>
          <w:sz w:val="21"/>
          <w:szCs w:val="21"/>
        </w:rPr>
      </w:pPr>
      <w:r>
        <w:rPr>
          <w:rFonts w:eastAsia="宋体" w:cs="宋体"/>
          <w:sz w:val="21"/>
          <w:szCs w:val="21"/>
        </w:rPr>
        <w:t>名  称：</w:t>
      </w:r>
      <w:r>
        <w:rPr>
          <w:rFonts w:hint="eastAsia" w:eastAsia="宋体" w:cs="宋体"/>
          <w:sz w:val="21"/>
          <w:szCs w:val="21"/>
          <w:u w:val="single"/>
          <w:lang w:eastAsia="zh-CN"/>
        </w:rPr>
        <w:t>台州市黄岩第二高级中学</w:t>
      </w:r>
      <w:r>
        <w:rPr>
          <w:rFonts w:eastAsia="宋体" w:cs="宋体"/>
          <w:sz w:val="21"/>
          <w:szCs w:val="21"/>
        </w:rPr>
        <w:t> </w:t>
      </w:r>
    </w:p>
    <w:p w14:paraId="30E7E6E1">
      <w:pPr>
        <w:pStyle w:val="26"/>
        <w:spacing w:beforeAutospacing="0" w:afterAutospacing="0" w:line="360" w:lineRule="auto"/>
        <w:ind w:firstLine="420" w:firstLineChars="200"/>
        <w:rPr>
          <w:rFonts w:hint="default" w:eastAsia="宋体" w:cs="宋体"/>
          <w:color w:val="FF0000"/>
          <w:sz w:val="21"/>
          <w:szCs w:val="21"/>
          <w:u w:val="single"/>
        </w:rPr>
      </w:pPr>
      <w:r>
        <w:rPr>
          <w:rFonts w:eastAsia="宋体" w:cs="宋体"/>
          <w:sz w:val="21"/>
          <w:szCs w:val="21"/>
        </w:rPr>
        <w:t>地  址：</w:t>
      </w:r>
      <w:r>
        <w:rPr>
          <w:rFonts w:eastAsia="宋体" w:cs="宋体"/>
          <w:sz w:val="21"/>
          <w:szCs w:val="21"/>
          <w:u w:val="single"/>
        </w:rPr>
        <w:t>台州市黄岩区西城街道黄长路988号</w:t>
      </w:r>
    </w:p>
    <w:p w14:paraId="6E72177A">
      <w:pPr>
        <w:pStyle w:val="26"/>
        <w:spacing w:beforeAutospacing="0" w:afterAutospacing="0" w:line="360" w:lineRule="auto"/>
        <w:ind w:firstLine="420" w:firstLineChars="200"/>
        <w:rPr>
          <w:rFonts w:hint="default" w:eastAsia="宋体" w:cs="宋体"/>
          <w:color w:val="auto"/>
          <w:sz w:val="21"/>
          <w:szCs w:val="21"/>
          <w:lang w:val="en-US" w:eastAsia="zh-CN"/>
        </w:rPr>
      </w:pPr>
      <w:r>
        <w:rPr>
          <w:rFonts w:eastAsia="宋体" w:cs="宋体"/>
          <w:color w:val="auto"/>
          <w:sz w:val="21"/>
          <w:szCs w:val="21"/>
        </w:rPr>
        <w:t>项目联系人（询问）：</w:t>
      </w:r>
      <w:r>
        <w:rPr>
          <w:rFonts w:hint="eastAsia" w:eastAsia="宋体" w:cs="宋体"/>
          <w:color w:val="auto"/>
          <w:sz w:val="21"/>
          <w:szCs w:val="21"/>
          <w:u w:val="single"/>
          <w:lang w:val="en-US" w:eastAsia="zh-CN"/>
        </w:rPr>
        <w:t>林老师</w:t>
      </w:r>
    </w:p>
    <w:p w14:paraId="4B3D5EDC">
      <w:pPr>
        <w:pStyle w:val="26"/>
        <w:spacing w:beforeAutospacing="0" w:afterAutospacing="0" w:line="360" w:lineRule="auto"/>
        <w:ind w:firstLine="420" w:firstLineChars="200"/>
        <w:rPr>
          <w:rFonts w:hint="default" w:eastAsia="宋体" w:cs="宋体"/>
          <w:color w:val="auto"/>
          <w:sz w:val="21"/>
          <w:szCs w:val="21"/>
        </w:rPr>
      </w:pPr>
      <w:r>
        <w:rPr>
          <w:rFonts w:eastAsia="宋体" w:cs="宋体"/>
          <w:color w:val="auto"/>
          <w:sz w:val="21"/>
          <w:szCs w:val="21"/>
        </w:rPr>
        <w:t>项目联系方式（询问）：</w:t>
      </w:r>
      <w:r>
        <w:rPr>
          <w:rFonts w:hint="eastAsia" w:eastAsia="宋体" w:cs="宋体"/>
          <w:color w:val="auto"/>
          <w:sz w:val="21"/>
          <w:szCs w:val="21"/>
          <w:u w:val="single"/>
          <w:lang w:val="en-US" w:eastAsia="zh-CN"/>
        </w:rPr>
        <w:t>13456688815</w:t>
      </w:r>
      <w:r>
        <w:rPr>
          <w:rFonts w:eastAsia="宋体" w:cs="宋体"/>
          <w:color w:val="auto"/>
          <w:sz w:val="21"/>
          <w:szCs w:val="21"/>
          <w:u w:val="single"/>
        </w:rPr>
        <w:t>。</w:t>
      </w:r>
    </w:p>
    <w:p w14:paraId="3F0DA2DE">
      <w:pPr>
        <w:pStyle w:val="26"/>
        <w:spacing w:beforeAutospacing="0" w:afterAutospacing="0" w:line="360" w:lineRule="auto"/>
        <w:ind w:firstLine="420" w:firstLineChars="200"/>
        <w:rPr>
          <w:rFonts w:hint="default" w:eastAsia="宋体" w:cs="宋体"/>
          <w:color w:val="auto"/>
          <w:sz w:val="21"/>
          <w:szCs w:val="21"/>
        </w:rPr>
      </w:pPr>
      <w:r>
        <w:rPr>
          <w:rFonts w:eastAsia="宋体" w:cs="宋体"/>
          <w:color w:val="auto"/>
          <w:sz w:val="21"/>
          <w:szCs w:val="21"/>
        </w:rPr>
        <w:t>质疑联系人：</w:t>
      </w:r>
      <w:r>
        <w:rPr>
          <w:rFonts w:hint="eastAsia" w:eastAsia="宋体" w:cs="宋体"/>
          <w:color w:val="auto"/>
          <w:sz w:val="21"/>
          <w:szCs w:val="21"/>
          <w:u w:val="single"/>
          <w:lang w:val="en-US" w:eastAsia="zh-CN"/>
        </w:rPr>
        <w:t>林老师</w:t>
      </w:r>
      <w:r>
        <w:rPr>
          <w:rFonts w:eastAsia="宋体" w:cs="宋体"/>
          <w:color w:val="auto"/>
          <w:sz w:val="21"/>
          <w:szCs w:val="21"/>
          <w:u w:val="single"/>
        </w:rPr>
        <w:t>；</w:t>
      </w:r>
    </w:p>
    <w:p w14:paraId="58088384">
      <w:pPr>
        <w:pStyle w:val="26"/>
        <w:spacing w:beforeAutospacing="0" w:afterAutospacing="0" w:line="360" w:lineRule="auto"/>
        <w:ind w:firstLine="420" w:firstLineChars="200"/>
        <w:rPr>
          <w:rFonts w:hint="default" w:eastAsia="宋体" w:cs="宋体"/>
          <w:color w:val="auto"/>
          <w:sz w:val="21"/>
          <w:szCs w:val="21"/>
          <w:u w:val="single"/>
        </w:rPr>
      </w:pPr>
      <w:r>
        <w:rPr>
          <w:rFonts w:eastAsia="宋体" w:cs="宋体"/>
          <w:color w:val="auto"/>
          <w:sz w:val="21"/>
          <w:szCs w:val="21"/>
        </w:rPr>
        <w:t>质疑联系方式：</w:t>
      </w:r>
      <w:r>
        <w:rPr>
          <w:rFonts w:hint="eastAsia" w:eastAsia="宋体" w:cs="宋体"/>
          <w:color w:val="auto"/>
          <w:sz w:val="21"/>
          <w:szCs w:val="21"/>
          <w:u w:val="single"/>
          <w:lang w:val="en-US" w:eastAsia="zh-CN"/>
        </w:rPr>
        <w:t>13456688815</w:t>
      </w:r>
      <w:r>
        <w:rPr>
          <w:rFonts w:eastAsia="宋体" w:cs="宋体"/>
          <w:color w:val="auto"/>
          <w:sz w:val="21"/>
          <w:szCs w:val="21"/>
          <w:u w:val="single"/>
        </w:rPr>
        <w:t>。</w:t>
      </w:r>
    </w:p>
    <w:p w14:paraId="388CF474">
      <w:pPr>
        <w:pStyle w:val="26"/>
        <w:spacing w:beforeAutospacing="0" w:afterAutospacing="0" w:line="360" w:lineRule="auto"/>
        <w:ind w:firstLine="420" w:firstLineChars="200"/>
        <w:rPr>
          <w:rFonts w:hint="default" w:eastAsia="宋体" w:cs="宋体"/>
          <w:sz w:val="21"/>
          <w:szCs w:val="21"/>
        </w:rPr>
      </w:pPr>
      <w:r>
        <w:rPr>
          <w:rFonts w:eastAsia="宋体" w:cs="宋体"/>
          <w:sz w:val="21"/>
          <w:szCs w:val="21"/>
        </w:rPr>
        <w:t>2.采购代理机构信息</w:t>
      </w:r>
    </w:p>
    <w:p w14:paraId="2CF7901C">
      <w:pPr>
        <w:pStyle w:val="26"/>
        <w:spacing w:beforeAutospacing="0" w:afterAutospacing="0" w:line="360" w:lineRule="auto"/>
        <w:ind w:firstLine="420" w:firstLineChars="200"/>
        <w:rPr>
          <w:rFonts w:hint="default" w:eastAsia="宋体" w:cs="宋体"/>
          <w:sz w:val="21"/>
          <w:szCs w:val="21"/>
        </w:rPr>
      </w:pPr>
      <w:r>
        <w:rPr>
          <w:rFonts w:eastAsia="宋体" w:cs="宋体"/>
          <w:sz w:val="21"/>
          <w:szCs w:val="21"/>
        </w:rPr>
        <w:t>名  称：</w:t>
      </w:r>
      <w:r>
        <w:rPr>
          <w:rFonts w:eastAsia="宋体" w:cs="宋体"/>
          <w:sz w:val="21"/>
          <w:szCs w:val="21"/>
          <w:u w:val="single"/>
        </w:rPr>
        <w:t> 台州市玖诚工程管理有限公司</w:t>
      </w:r>
    </w:p>
    <w:p w14:paraId="3A7B1C3A">
      <w:pPr>
        <w:pStyle w:val="26"/>
        <w:spacing w:beforeAutospacing="0" w:afterAutospacing="0" w:line="360" w:lineRule="auto"/>
        <w:ind w:firstLine="420" w:firstLineChars="200"/>
        <w:rPr>
          <w:rFonts w:hint="default" w:eastAsia="宋体" w:cs="宋体"/>
          <w:sz w:val="21"/>
          <w:szCs w:val="21"/>
        </w:rPr>
      </w:pPr>
      <w:r>
        <w:rPr>
          <w:rFonts w:eastAsia="宋体" w:cs="宋体"/>
          <w:sz w:val="21"/>
          <w:szCs w:val="21"/>
        </w:rPr>
        <w:t>地  址：</w:t>
      </w:r>
      <w:r>
        <w:rPr>
          <w:rFonts w:eastAsia="宋体" w:cs="宋体"/>
          <w:sz w:val="21"/>
          <w:szCs w:val="21"/>
          <w:u w:val="single"/>
        </w:rPr>
        <w:t>浙江省台州市椒江区白云街道解放南路291号弄道台里文创园</w:t>
      </w:r>
    </w:p>
    <w:p w14:paraId="116F8B78">
      <w:pPr>
        <w:pStyle w:val="26"/>
        <w:spacing w:beforeAutospacing="0" w:afterAutospacing="0" w:line="360" w:lineRule="auto"/>
        <w:ind w:firstLine="420" w:firstLineChars="200"/>
        <w:rPr>
          <w:rFonts w:hint="default" w:eastAsia="宋体" w:cs="宋体"/>
          <w:sz w:val="21"/>
          <w:szCs w:val="21"/>
        </w:rPr>
      </w:pPr>
      <w:r>
        <w:rPr>
          <w:rFonts w:eastAsia="宋体" w:cs="宋体"/>
          <w:sz w:val="21"/>
          <w:szCs w:val="21"/>
        </w:rPr>
        <w:t>项目联系人（询问）：</w:t>
      </w:r>
      <w:r>
        <w:rPr>
          <w:rFonts w:eastAsia="宋体" w:cs="宋体"/>
          <w:sz w:val="21"/>
          <w:szCs w:val="21"/>
          <w:u w:val="single"/>
        </w:rPr>
        <w:t>陈先生</w:t>
      </w:r>
    </w:p>
    <w:p w14:paraId="3D23D0CC">
      <w:pPr>
        <w:pStyle w:val="26"/>
        <w:spacing w:beforeAutospacing="0" w:afterAutospacing="0" w:line="360" w:lineRule="auto"/>
        <w:ind w:firstLine="420" w:firstLineChars="200"/>
        <w:rPr>
          <w:rFonts w:hint="default" w:eastAsia="宋体" w:cs="宋体"/>
          <w:sz w:val="21"/>
          <w:szCs w:val="21"/>
        </w:rPr>
      </w:pPr>
      <w:r>
        <w:rPr>
          <w:rFonts w:eastAsia="宋体" w:cs="宋体"/>
          <w:sz w:val="21"/>
          <w:szCs w:val="21"/>
        </w:rPr>
        <w:t>项目联系方式（询问）：</w:t>
      </w:r>
      <w:r>
        <w:rPr>
          <w:rFonts w:eastAsia="宋体" w:cs="宋体"/>
          <w:sz w:val="21"/>
          <w:szCs w:val="21"/>
          <w:u w:val="single"/>
        </w:rPr>
        <w:t>13416810088</w:t>
      </w:r>
    </w:p>
    <w:p w14:paraId="7DC6F492">
      <w:pPr>
        <w:pStyle w:val="26"/>
        <w:spacing w:beforeAutospacing="0" w:afterAutospacing="0" w:line="360" w:lineRule="auto"/>
        <w:ind w:firstLine="420" w:firstLineChars="200"/>
        <w:rPr>
          <w:rFonts w:hint="eastAsia" w:eastAsia="宋体" w:cs="宋体"/>
          <w:sz w:val="21"/>
          <w:szCs w:val="21"/>
          <w:lang w:eastAsia="zh-CN"/>
        </w:rPr>
      </w:pPr>
      <w:r>
        <w:rPr>
          <w:rFonts w:eastAsia="宋体" w:cs="宋体"/>
          <w:sz w:val="21"/>
          <w:szCs w:val="21"/>
        </w:rPr>
        <w:t>质疑联系人：</w:t>
      </w:r>
      <w:r>
        <w:rPr>
          <w:rFonts w:eastAsia="宋体" w:cs="宋体"/>
          <w:sz w:val="21"/>
          <w:szCs w:val="21"/>
          <w:u w:val="single"/>
        </w:rPr>
        <w:t>蔡</w:t>
      </w:r>
      <w:r>
        <w:rPr>
          <w:rFonts w:hint="eastAsia" w:eastAsia="宋体" w:cs="宋体"/>
          <w:sz w:val="21"/>
          <w:szCs w:val="21"/>
          <w:u w:val="single"/>
          <w:lang w:val="en-US" w:eastAsia="zh-CN"/>
        </w:rPr>
        <w:t>先生</w:t>
      </w:r>
    </w:p>
    <w:p w14:paraId="5A924D4D">
      <w:pPr>
        <w:pStyle w:val="26"/>
        <w:spacing w:beforeAutospacing="0" w:afterAutospacing="0" w:line="360" w:lineRule="auto"/>
        <w:ind w:firstLine="420" w:firstLineChars="200"/>
        <w:rPr>
          <w:rFonts w:hint="default" w:eastAsia="宋体" w:cs="宋体"/>
          <w:sz w:val="21"/>
          <w:szCs w:val="21"/>
        </w:rPr>
      </w:pPr>
      <w:r>
        <w:rPr>
          <w:rFonts w:eastAsia="宋体" w:cs="宋体"/>
          <w:sz w:val="21"/>
          <w:szCs w:val="21"/>
        </w:rPr>
        <w:t>质疑联系方式：</w:t>
      </w:r>
      <w:r>
        <w:rPr>
          <w:rFonts w:hint="eastAsia" w:eastAsia="宋体" w:cs="宋体"/>
          <w:sz w:val="21"/>
          <w:szCs w:val="21"/>
          <w:u w:val="single"/>
        </w:rPr>
        <w:t>13957618595</w:t>
      </w:r>
    </w:p>
    <w:p w14:paraId="0C737EF9">
      <w:pPr>
        <w:spacing w:line="360" w:lineRule="auto"/>
        <w:ind w:firstLine="210" w:firstLineChars="100"/>
        <w:rPr>
          <w:rFonts w:ascii="宋体" w:hAnsi="宋体" w:cs="宋体"/>
          <w:b/>
          <w:bCs/>
          <w:sz w:val="24"/>
          <w:szCs w:val="32"/>
        </w:rPr>
      </w:pPr>
      <w:r>
        <w:rPr>
          <w:rFonts w:hint="eastAsia" w:ascii="宋体" w:hAnsi="宋体" w:eastAsia="宋体" w:cs="宋体"/>
          <w:sz w:val="21"/>
          <w:szCs w:val="21"/>
        </w:rPr>
        <w:t>3.</w:t>
      </w:r>
      <w:r>
        <w:rPr>
          <w:rFonts w:hint="eastAsia" w:ascii="宋体" w:hAnsi="宋体" w:cs="宋体"/>
          <w:b/>
          <w:bCs/>
          <w:sz w:val="24"/>
          <w:szCs w:val="32"/>
        </w:rPr>
        <w:t>同级政府采购监督管理部门：</w:t>
      </w:r>
    </w:p>
    <w:p w14:paraId="579C4AA8">
      <w:pPr>
        <w:spacing w:line="360" w:lineRule="auto"/>
        <w:ind w:firstLine="420" w:firstLineChars="200"/>
        <w:rPr>
          <w:rFonts w:ascii="宋体" w:hAnsi="宋体" w:cs="宋体"/>
          <w:sz w:val="21"/>
          <w:szCs w:val="21"/>
          <w:u w:val="single"/>
        </w:rPr>
      </w:pPr>
      <w:r>
        <w:rPr>
          <w:rFonts w:hint="eastAsia" w:ascii="宋体" w:hAnsi="宋体" w:eastAsia="宋体" w:cs="宋体"/>
          <w:sz w:val="21"/>
          <w:szCs w:val="21"/>
        </w:rPr>
        <w:t>名 称：</w:t>
      </w:r>
      <w:r>
        <w:rPr>
          <w:rFonts w:hint="eastAsia" w:ascii="宋体" w:hAnsi="宋体" w:eastAsia="宋体" w:cs="宋体"/>
          <w:sz w:val="21"/>
          <w:szCs w:val="21"/>
          <w:u w:val="single"/>
        </w:rPr>
        <w:t>台州市财政局政府采购监管处</w:t>
      </w:r>
    </w:p>
    <w:p w14:paraId="69EF31D2">
      <w:pPr>
        <w:spacing w:line="360" w:lineRule="auto"/>
        <w:ind w:firstLine="420" w:firstLineChars="200"/>
        <w:rPr>
          <w:rFonts w:ascii="宋体" w:hAnsi="宋体" w:cs="宋体"/>
          <w:sz w:val="21"/>
          <w:szCs w:val="21"/>
          <w:u w:val="single"/>
        </w:rPr>
      </w:pPr>
      <w:r>
        <w:rPr>
          <w:rFonts w:hint="eastAsia" w:ascii="宋体" w:hAnsi="宋体" w:eastAsia="宋体" w:cs="宋体"/>
          <w:sz w:val="21"/>
          <w:szCs w:val="21"/>
        </w:rPr>
        <w:t>地 址：</w:t>
      </w:r>
      <w:r>
        <w:rPr>
          <w:rFonts w:hint="eastAsia" w:ascii="宋体" w:hAnsi="宋体" w:eastAsia="宋体" w:cs="宋体"/>
          <w:sz w:val="21"/>
          <w:szCs w:val="21"/>
          <w:u w:val="single"/>
        </w:rPr>
        <w:t>台州市纬一路66号</w:t>
      </w:r>
    </w:p>
    <w:p w14:paraId="59757D02">
      <w:pPr>
        <w:spacing w:line="360" w:lineRule="auto"/>
        <w:ind w:firstLine="420" w:firstLineChars="200"/>
        <w:rPr>
          <w:rFonts w:ascii="宋体" w:hAnsi="宋体" w:cs="宋体"/>
          <w:sz w:val="21"/>
          <w:szCs w:val="21"/>
          <w:u w:val="single"/>
        </w:rPr>
      </w:pPr>
      <w:r>
        <w:rPr>
          <w:rFonts w:hint="eastAsia" w:ascii="宋体" w:hAnsi="宋体" w:eastAsia="宋体" w:cs="宋体"/>
          <w:sz w:val="21"/>
          <w:szCs w:val="21"/>
        </w:rPr>
        <w:t>联系人：</w:t>
      </w:r>
      <w:r>
        <w:rPr>
          <w:rFonts w:hint="eastAsia" w:ascii="宋体" w:hAnsi="宋体" w:eastAsia="宋体" w:cs="宋体"/>
          <w:sz w:val="21"/>
          <w:szCs w:val="21"/>
          <w:u w:val="single"/>
        </w:rPr>
        <w:t>陈老师/李老师</w:t>
      </w:r>
    </w:p>
    <w:p w14:paraId="141E9CA7">
      <w:pPr>
        <w:pStyle w:val="26"/>
        <w:spacing w:beforeAutospacing="0" w:afterAutospacing="0" w:line="360" w:lineRule="auto"/>
        <w:ind w:firstLine="420" w:firstLineChars="200"/>
        <w:rPr>
          <w:rFonts w:hint="default" w:eastAsia="宋体" w:cs="宋体"/>
          <w:sz w:val="21"/>
          <w:szCs w:val="21"/>
          <w:u w:val="single"/>
        </w:rPr>
      </w:pPr>
      <w:r>
        <w:rPr>
          <w:rFonts w:eastAsia="宋体" w:cs="宋体"/>
          <w:sz w:val="21"/>
          <w:szCs w:val="21"/>
        </w:rPr>
        <w:t>联系电话：</w:t>
      </w:r>
      <w:r>
        <w:rPr>
          <w:rFonts w:eastAsia="宋体" w:cs="宋体"/>
          <w:sz w:val="21"/>
          <w:szCs w:val="21"/>
          <w:u w:val="single"/>
        </w:rPr>
        <w:t>0576-88206705/0576-88206731</w:t>
      </w:r>
    </w:p>
    <w:p w14:paraId="4A6FD1A5">
      <w:pPr>
        <w:pStyle w:val="26"/>
        <w:spacing w:beforeAutospacing="0" w:afterAutospacing="0" w:line="264" w:lineRule="auto"/>
        <w:ind w:firstLine="420" w:firstLineChars="200"/>
        <w:rPr>
          <w:rFonts w:hint="default" w:eastAsia="宋体" w:cs="宋体"/>
          <w:sz w:val="21"/>
          <w:szCs w:val="21"/>
        </w:rPr>
      </w:pPr>
      <w:r>
        <w:rPr>
          <w:rFonts w:eastAsia="宋体" w:cs="宋体"/>
          <w:sz w:val="21"/>
          <w:szCs w:val="21"/>
        </w:rPr>
        <w:t>若对项目采购电子交易系统操作有疑问，可登录政采云（https://www.zcygov.cn/），点击右侧咨询小采，获取采小蜜智能服务管家帮助，或拨打政采云服务热线400-881-7190获取热线服务帮助。        </w:t>
      </w:r>
    </w:p>
    <w:p w14:paraId="16E52348">
      <w:pPr>
        <w:pStyle w:val="26"/>
        <w:spacing w:beforeAutospacing="0" w:afterAutospacing="0" w:line="360" w:lineRule="auto"/>
        <w:ind w:firstLine="420" w:firstLineChars="200"/>
        <w:rPr>
          <w:rFonts w:hint="default" w:eastAsia="宋体" w:cs="宋体"/>
          <w:sz w:val="21"/>
          <w:szCs w:val="21"/>
          <w:u w:val="single"/>
        </w:rPr>
      </w:pPr>
      <w:r>
        <w:rPr>
          <w:rFonts w:eastAsia="宋体" w:cs="宋体"/>
          <w:sz w:val="21"/>
          <w:szCs w:val="21"/>
        </w:rPr>
        <w:t>CA问题联系电话（人工）：汇信CA 400-888-4636；天谷CA 400-087-8198</w:t>
      </w:r>
    </w:p>
    <w:p w14:paraId="259124F9">
      <w:pPr>
        <w:spacing w:line="360" w:lineRule="auto"/>
        <w:jc w:val="right"/>
        <w:rPr>
          <w:rFonts w:ascii="宋体" w:hAnsi="宋体" w:eastAsia="宋体" w:cs="宋体"/>
          <w:sz w:val="21"/>
          <w:szCs w:val="21"/>
        </w:rPr>
      </w:pPr>
    </w:p>
    <w:p w14:paraId="4C1A24AB">
      <w:pPr>
        <w:spacing w:line="360" w:lineRule="auto"/>
        <w:jc w:val="right"/>
        <w:rPr>
          <w:rFonts w:ascii="宋体" w:hAnsi="宋体" w:eastAsia="宋体" w:cs="宋体"/>
          <w:sz w:val="21"/>
          <w:szCs w:val="21"/>
        </w:rPr>
      </w:pPr>
      <w:r>
        <w:rPr>
          <w:rFonts w:hint="eastAsia" w:ascii="宋体" w:hAnsi="宋体" w:eastAsia="宋体" w:cs="宋体"/>
          <w:sz w:val="21"/>
          <w:szCs w:val="21"/>
        </w:rPr>
        <w:t>台州市玖诚工程管理有限公司</w:t>
      </w:r>
    </w:p>
    <w:p w14:paraId="3DEA1195">
      <w:pPr>
        <w:spacing w:line="360" w:lineRule="auto"/>
        <w:ind w:firstLine="7140" w:firstLineChars="3400"/>
        <w:rPr>
          <w:rFonts w:ascii="宋体" w:hAnsi="宋体" w:eastAsia="宋体" w:cs="宋体"/>
          <w:sz w:val="21"/>
          <w:szCs w:val="21"/>
        </w:rPr>
      </w:pPr>
      <w:r>
        <w:rPr>
          <w:rFonts w:hint="eastAsia" w:ascii="宋体" w:hAnsi="宋体" w:eastAsia="宋体" w:cs="宋体"/>
          <w:sz w:val="21"/>
          <w:szCs w:val="21"/>
        </w:rPr>
        <w:t>202</w:t>
      </w:r>
      <w:r>
        <w:rPr>
          <w:rFonts w:hint="eastAsia" w:ascii="宋体" w:hAnsi="宋体" w:eastAsia="宋体" w:cs="宋体"/>
          <w:sz w:val="21"/>
          <w:szCs w:val="21"/>
          <w:lang w:val="en-US" w:eastAsia="zh-CN"/>
        </w:rPr>
        <w:t>5</w:t>
      </w:r>
      <w:r>
        <w:rPr>
          <w:rFonts w:hint="eastAsia" w:ascii="宋体" w:hAnsi="宋体" w:eastAsia="宋体" w:cs="宋体"/>
          <w:sz w:val="21"/>
          <w:szCs w:val="21"/>
        </w:rPr>
        <w:t>年</w:t>
      </w:r>
      <w:r>
        <w:rPr>
          <w:rFonts w:hint="eastAsia" w:ascii="宋体" w:hAnsi="宋体" w:eastAsia="宋体" w:cs="宋体"/>
          <w:sz w:val="21"/>
          <w:szCs w:val="21"/>
          <w:lang w:val="en-US" w:eastAsia="zh-CN"/>
        </w:rPr>
        <w:t>6</w:t>
      </w:r>
      <w:r>
        <w:rPr>
          <w:rFonts w:hint="eastAsia" w:ascii="宋体" w:hAnsi="宋体" w:eastAsia="宋体" w:cs="宋体"/>
          <w:sz w:val="21"/>
          <w:szCs w:val="21"/>
        </w:rPr>
        <w:t>月</w:t>
      </w:r>
    </w:p>
    <w:p w14:paraId="7A0B93C9">
      <w:pPr>
        <w:autoSpaceDE w:val="0"/>
        <w:autoSpaceDN w:val="0"/>
        <w:adjustRightInd w:val="0"/>
        <w:spacing w:line="360" w:lineRule="auto"/>
        <w:jc w:val="center"/>
        <w:outlineLvl w:val="0"/>
        <w:rPr>
          <w:rFonts w:ascii="宋体" w:hAnsi="宋体" w:eastAsia="宋体" w:cs="宋体"/>
          <w:b/>
          <w:szCs w:val="36"/>
        </w:rPr>
      </w:pPr>
    </w:p>
    <w:p w14:paraId="43A81F4D">
      <w:pPr>
        <w:pStyle w:val="44"/>
        <w:rPr>
          <w:rFonts w:ascii="宋体" w:hAnsi="宋体" w:eastAsia="宋体" w:cs="宋体"/>
          <w:b/>
          <w:szCs w:val="36"/>
        </w:rPr>
      </w:pPr>
    </w:p>
    <w:p w14:paraId="31E14DD5">
      <w:pPr>
        <w:pStyle w:val="44"/>
        <w:rPr>
          <w:rFonts w:ascii="宋体" w:hAnsi="宋体" w:eastAsia="宋体" w:cs="宋体"/>
          <w:b/>
          <w:szCs w:val="36"/>
        </w:rPr>
      </w:pPr>
    </w:p>
    <w:p w14:paraId="21DC2B92">
      <w:pPr>
        <w:pStyle w:val="44"/>
        <w:rPr>
          <w:rFonts w:ascii="宋体" w:hAnsi="宋体" w:eastAsia="宋体" w:cs="宋体"/>
          <w:b/>
          <w:szCs w:val="36"/>
        </w:rPr>
      </w:pPr>
    </w:p>
    <w:p w14:paraId="0EF6F5E8">
      <w:pPr>
        <w:pStyle w:val="44"/>
        <w:rPr>
          <w:rFonts w:ascii="宋体" w:hAnsi="宋体" w:eastAsia="宋体" w:cs="宋体"/>
          <w:b/>
          <w:szCs w:val="36"/>
        </w:rPr>
      </w:pPr>
    </w:p>
    <w:p w14:paraId="1EA87E38">
      <w:pPr>
        <w:pStyle w:val="44"/>
        <w:rPr>
          <w:rFonts w:ascii="宋体" w:hAnsi="宋体" w:eastAsia="宋体" w:cs="宋体"/>
          <w:b/>
          <w:szCs w:val="36"/>
        </w:rPr>
      </w:pPr>
    </w:p>
    <w:p w14:paraId="4C0D4192">
      <w:pPr>
        <w:widowControl/>
        <w:jc w:val="left"/>
        <w:rPr>
          <w:rFonts w:ascii="宋体" w:hAnsi="宋体" w:eastAsia="宋体" w:cs="宋体"/>
          <w:b/>
          <w:szCs w:val="36"/>
          <w:lang w:val="zh-CN"/>
        </w:rPr>
      </w:pPr>
      <w:r>
        <w:rPr>
          <w:rFonts w:ascii="宋体" w:hAnsi="宋体" w:eastAsia="宋体" w:cs="宋体"/>
          <w:b/>
          <w:szCs w:val="36"/>
        </w:rPr>
        <w:br w:type="page"/>
      </w:r>
    </w:p>
    <w:p w14:paraId="460646CC">
      <w:pPr>
        <w:pStyle w:val="44"/>
        <w:rPr>
          <w:rFonts w:ascii="宋体" w:hAnsi="宋体" w:eastAsia="宋体" w:cs="宋体"/>
          <w:b/>
          <w:szCs w:val="36"/>
        </w:rPr>
      </w:pPr>
    </w:p>
    <w:p w14:paraId="79AC469A">
      <w:pPr>
        <w:autoSpaceDE w:val="0"/>
        <w:autoSpaceDN w:val="0"/>
        <w:adjustRightInd w:val="0"/>
        <w:spacing w:line="360" w:lineRule="auto"/>
        <w:jc w:val="center"/>
        <w:outlineLvl w:val="0"/>
        <w:rPr>
          <w:rFonts w:ascii="宋体" w:hAnsi="宋体" w:eastAsia="宋体" w:cs="宋体"/>
          <w:b/>
          <w:sz w:val="32"/>
          <w:szCs w:val="32"/>
        </w:rPr>
      </w:pPr>
      <w:r>
        <w:rPr>
          <w:rFonts w:hint="eastAsia" w:ascii="宋体" w:hAnsi="宋体" w:eastAsia="宋体" w:cs="宋体"/>
          <w:b/>
          <w:sz w:val="32"/>
          <w:szCs w:val="32"/>
        </w:rPr>
        <w:t>第二部分采购需求</w:t>
      </w:r>
      <w:bookmarkEnd w:id="1"/>
    </w:p>
    <w:p w14:paraId="5D940D0B">
      <w:pPr>
        <w:pStyle w:val="3"/>
        <w:snapToGrid w:val="0"/>
        <w:spacing w:line="360" w:lineRule="auto"/>
        <w:rPr>
          <w:rFonts w:hint="eastAsia" w:ascii="宋体" w:hAnsi="宋体" w:eastAsia="宋体" w:cs="宋体"/>
          <w:bCs/>
          <w:szCs w:val="21"/>
          <w:lang w:eastAsia="zh-CN"/>
        </w:rPr>
      </w:pPr>
      <w:bookmarkStart w:id="11" w:name="_Toc306901444"/>
      <w:r>
        <w:rPr>
          <w:rFonts w:hint="eastAsia" w:ascii="宋体" w:hAnsi="宋体" w:eastAsia="宋体" w:cs="宋体"/>
          <w:b/>
          <w:szCs w:val="21"/>
        </w:rPr>
        <w:t>一、采购项目：</w:t>
      </w:r>
      <w:r>
        <w:rPr>
          <w:rFonts w:hint="eastAsia" w:ascii="宋体" w:hAnsi="宋体" w:eastAsia="宋体" w:cs="宋体"/>
          <w:bCs/>
          <w:szCs w:val="21"/>
          <w:lang w:eastAsia="zh-CN"/>
        </w:rPr>
        <w:t>台州市黄岩第二高级中学体能训练场、科技楼顶渗漏和阶梯教室等改造工程</w:t>
      </w:r>
    </w:p>
    <w:p w14:paraId="466BD9CD">
      <w:pPr>
        <w:snapToGrid w:val="0"/>
        <w:spacing w:line="360" w:lineRule="auto"/>
        <w:jc w:val="left"/>
        <w:rPr>
          <w:rFonts w:ascii="宋体" w:hAnsi="宋体" w:eastAsia="宋体" w:cs="宋体"/>
          <w:b/>
          <w:bCs/>
          <w:kern w:val="0"/>
          <w:sz w:val="21"/>
          <w:szCs w:val="21"/>
        </w:rPr>
      </w:pPr>
      <w:r>
        <w:rPr>
          <w:rFonts w:hint="eastAsia" w:ascii="宋体" w:hAnsi="宋体" w:eastAsia="宋体" w:cs="宋体"/>
          <w:b/>
          <w:bCs/>
          <w:kern w:val="0"/>
          <w:sz w:val="21"/>
          <w:szCs w:val="21"/>
        </w:rPr>
        <w:t>二、采购概况、范围及要求：</w:t>
      </w:r>
      <w:bookmarkStart w:id="12" w:name="OLE_LINK4"/>
    </w:p>
    <w:p w14:paraId="3B483C1E">
      <w:pPr>
        <w:snapToGrid w:val="0"/>
        <w:spacing w:line="360" w:lineRule="auto"/>
        <w:ind w:firstLine="420" w:firstLineChars="200"/>
        <w:jc w:val="left"/>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kern w:val="0"/>
          <w:sz w:val="21"/>
          <w:szCs w:val="21"/>
        </w:rPr>
        <w:t>▲1、</w:t>
      </w:r>
      <w:bookmarkEnd w:id="12"/>
      <w:r>
        <w:rPr>
          <w:rFonts w:hint="eastAsia" w:ascii="宋体" w:hAnsi="宋体" w:eastAsia="宋体" w:cs="宋体"/>
          <w:kern w:val="0"/>
          <w:sz w:val="21"/>
          <w:szCs w:val="21"/>
        </w:rPr>
        <w:t>采购招标控制</w:t>
      </w:r>
      <w:r>
        <w:rPr>
          <w:rFonts w:hint="eastAsia" w:ascii="宋体" w:hAnsi="宋体" w:eastAsia="宋体" w:cs="宋体"/>
          <w:color w:val="000000" w:themeColor="text1"/>
          <w:kern w:val="0"/>
          <w:sz w:val="21"/>
          <w:szCs w:val="21"/>
          <w14:textFill>
            <w14:solidFill>
              <w14:schemeClr w14:val="tx1"/>
            </w14:solidFill>
          </w14:textFill>
        </w:rPr>
        <w:t>价：</w:t>
      </w:r>
      <w:r>
        <w:rPr>
          <w:rFonts w:hint="eastAsia" w:ascii="宋体" w:hAnsi="宋体" w:eastAsia="宋体" w:cs="宋体"/>
          <w:kern w:val="0"/>
          <w:sz w:val="21"/>
          <w:szCs w:val="21"/>
          <w:lang w:val="en-US" w:eastAsia="zh-CN"/>
        </w:rPr>
        <w:t>1186926</w:t>
      </w:r>
      <w:r>
        <w:rPr>
          <w:rFonts w:hint="eastAsia" w:ascii="宋体" w:hAnsi="宋体" w:eastAsia="宋体" w:cs="宋体"/>
          <w:color w:val="000000" w:themeColor="text1"/>
          <w:kern w:val="0"/>
          <w:sz w:val="21"/>
          <w:szCs w:val="21"/>
          <w14:textFill>
            <w14:solidFill>
              <w14:schemeClr w14:val="tx1"/>
            </w14:solidFill>
          </w14:textFill>
        </w:rPr>
        <w:t>元。</w:t>
      </w:r>
    </w:p>
    <w:p w14:paraId="57C39CE4">
      <w:pPr>
        <w:pStyle w:val="56"/>
        <w:snapToGrid w:val="0"/>
        <w:spacing w:before="0" w:beforeAutospacing="0" w:after="0" w:afterAutospacing="0" w:line="360" w:lineRule="auto"/>
        <w:ind w:firstLine="420" w:firstLineChars="200"/>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▲2、采购工期：</w:t>
      </w:r>
      <w:r>
        <w:rPr>
          <w:rFonts w:hint="eastAsia" w:ascii="宋体" w:hAnsi="宋体" w:eastAsia="宋体" w:cs="宋体"/>
          <w:color w:val="auto"/>
          <w:kern w:val="0"/>
          <w:sz w:val="21"/>
          <w:szCs w:val="21"/>
          <w:lang w:val="en-US" w:eastAsia="zh-CN"/>
        </w:rPr>
        <w:t>合同签订后30日内完成全部工作。</w:t>
      </w:r>
    </w:p>
    <w:p w14:paraId="06468D06">
      <w:pPr>
        <w:widowControl/>
        <w:spacing w:line="360" w:lineRule="auto"/>
        <w:ind w:firstLine="630" w:firstLineChars="300"/>
        <w:jc w:val="left"/>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3、项目概况：该工程由</w:t>
      </w:r>
      <w:r>
        <w:rPr>
          <w:rFonts w:hint="eastAsia" w:ascii="宋体" w:hAnsi="宋体" w:eastAsia="宋体" w:cs="宋体"/>
          <w:color w:val="000000" w:themeColor="text1"/>
          <w:kern w:val="0"/>
          <w:sz w:val="21"/>
          <w:szCs w:val="21"/>
          <w:lang w:eastAsia="zh-CN"/>
          <w14:textFill>
            <w14:solidFill>
              <w14:schemeClr w14:val="tx1"/>
            </w14:solidFill>
          </w14:textFill>
        </w:rPr>
        <w:t>台州市黄岩第二高级中学</w:t>
      </w:r>
      <w:r>
        <w:rPr>
          <w:rFonts w:hint="eastAsia" w:ascii="宋体" w:hAnsi="宋体" w:eastAsia="宋体" w:cs="宋体"/>
          <w:color w:val="000000" w:themeColor="text1"/>
          <w:kern w:val="0"/>
          <w:sz w:val="21"/>
          <w:szCs w:val="21"/>
          <w14:textFill>
            <w14:solidFill>
              <w14:schemeClr w14:val="tx1"/>
            </w14:solidFill>
          </w14:textFill>
        </w:rPr>
        <w:t>负责建设，工程建设地点位于浙江省台州市黄岩区西城街道黄长路988号。</w:t>
      </w:r>
      <w:r>
        <w:rPr>
          <w:rFonts w:hint="eastAsia" w:ascii="宋体" w:hAnsi="宋体" w:eastAsia="宋体" w:cs="宋体"/>
          <w:color w:val="000000" w:themeColor="text1"/>
          <w:kern w:val="0"/>
          <w:sz w:val="21"/>
          <w:szCs w:val="21"/>
          <w:u w:val="single"/>
          <w14:textFill>
            <w14:solidFill>
              <w14:schemeClr w14:val="tx1"/>
            </w14:solidFill>
          </w14:textFill>
        </w:rPr>
        <w:t>建设内容包括1.运动场体能训练场地改造：原破损水泥地面拆除153m2,原绿化区域苗木砍伐、移植；挖除土方，回填塘渣，浇捣15cm厚混凝土地面,表面铺设20厚透气性塑胶面层；单双杠、肋木架等训练设施移位及基础浇捣；树池花岗岩侧石安装等；2.科技楼屋顶平屋面及檐沟重新细石砼找平，铺贴SBS防水卷材；女儿墙破损风化水泥砂浆凿除，重新粉刷，涂刷外墙弹性涂料；教室内墙面、天棚改造，更换实木平开门，电气线路安装工程；3.阶梯教室墙面乳胶漆翻新，讲台背景墙PVC膜饰面木塑板布置；地面钢构地台焊接，铺设舞台板及石塑地板；石膏板天棚改造；电气线路安装工程。</w:t>
      </w:r>
    </w:p>
    <w:p w14:paraId="3DE81408">
      <w:pPr>
        <w:snapToGrid w:val="0"/>
        <w:spacing w:line="360" w:lineRule="auto"/>
        <w:ind w:firstLine="420" w:firstLineChars="200"/>
        <w:jc w:val="left"/>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4、采购范围：本工程施工图范围内的建筑、安装工程施工，具体详见工程量清单及工程施工图纸。</w:t>
      </w:r>
    </w:p>
    <w:p w14:paraId="59F6D863">
      <w:pPr>
        <w:widowControl/>
        <w:snapToGrid w:val="0"/>
        <w:spacing w:line="360" w:lineRule="auto"/>
        <w:ind w:firstLine="420" w:firstLineChars="200"/>
        <w:jc w:val="left"/>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5、采购清单：具体详见预算书。</w:t>
      </w:r>
    </w:p>
    <w:p w14:paraId="2B5047EE">
      <w:pPr>
        <w:snapToGrid w:val="0"/>
        <w:spacing w:line="400" w:lineRule="exact"/>
        <w:jc w:val="left"/>
        <w:rPr>
          <w:rFonts w:ascii="宋体" w:hAnsi="宋体" w:eastAsia="宋体" w:cs="宋体"/>
          <w:b/>
          <w:bCs/>
          <w:kern w:val="0"/>
          <w:sz w:val="21"/>
          <w:szCs w:val="21"/>
        </w:rPr>
      </w:pPr>
      <w:r>
        <w:rPr>
          <w:rFonts w:hint="eastAsia" w:ascii="宋体" w:hAnsi="宋体" w:eastAsia="宋体" w:cs="宋体"/>
          <w:b/>
          <w:bCs/>
          <w:kern w:val="0"/>
          <w:sz w:val="21"/>
          <w:szCs w:val="21"/>
        </w:rPr>
        <w:t>三、规范要求</w:t>
      </w:r>
    </w:p>
    <w:p w14:paraId="4A992653">
      <w:pPr>
        <w:pStyle w:val="3"/>
        <w:snapToGrid w:val="0"/>
        <w:spacing w:line="400" w:lineRule="exact"/>
        <w:ind w:firstLine="420" w:firstLineChars="200"/>
        <w:rPr>
          <w:rFonts w:ascii="宋体" w:hAnsi="宋体" w:eastAsia="宋体" w:cs="宋体"/>
          <w:bCs/>
          <w:kern w:val="0"/>
          <w:szCs w:val="21"/>
        </w:rPr>
      </w:pPr>
      <w:r>
        <w:rPr>
          <w:rFonts w:hint="eastAsia" w:ascii="宋体" w:hAnsi="宋体" w:eastAsia="宋体" w:cs="宋体"/>
          <w:bCs/>
          <w:kern w:val="0"/>
          <w:szCs w:val="21"/>
        </w:rPr>
        <w:t>1.依据设计施工图纸和技术规范要求，本工程项目的材料、设备、施工必须达到现行中华人民共和国及省、市、行业的一切有关法规、规范的要求，如标准及规范要求有出入则以较严格者为准。</w:t>
      </w:r>
    </w:p>
    <w:p w14:paraId="7B13C694">
      <w:pPr>
        <w:pStyle w:val="3"/>
        <w:snapToGrid w:val="0"/>
        <w:spacing w:line="400" w:lineRule="exact"/>
        <w:ind w:firstLine="420" w:firstLineChars="200"/>
        <w:rPr>
          <w:rFonts w:ascii="宋体" w:hAnsi="宋体" w:eastAsia="宋体" w:cs="宋体"/>
          <w:bCs/>
          <w:kern w:val="0"/>
          <w:szCs w:val="21"/>
        </w:rPr>
      </w:pPr>
      <w:r>
        <w:rPr>
          <w:rFonts w:hint="eastAsia" w:ascii="宋体" w:hAnsi="宋体" w:eastAsia="宋体" w:cs="宋体"/>
          <w:bCs/>
          <w:kern w:val="0"/>
          <w:szCs w:val="21"/>
        </w:rPr>
        <w:t>2.技术规范由供应商方自备，如有不足之处或未能达到国家最新标准时，供应商应使施工及选用的设备和材料符合最新版本的国家标准、规范。</w:t>
      </w:r>
    </w:p>
    <w:p w14:paraId="04E22D30">
      <w:pPr>
        <w:pStyle w:val="3"/>
        <w:snapToGrid w:val="0"/>
        <w:spacing w:line="400" w:lineRule="exact"/>
        <w:rPr>
          <w:rFonts w:ascii="宋体" w:hAnsi="宋体" w:eastAsia="宋体" w:cs="宋体"/>
          <w:b/>
          <w:kern w:val="0"/>
          <w:szCs w:val="21"/>
        </w:rPr>
      </w:pPr>
      <w:r>
        <w:rPr>
          <w:rFonts w:hint="eastAsia" w:ascii="宋体" w:hAnsi="宋体" w:eastAsia="宋体" w:cs="宋体"/>
          <w:b/>
          <w:kern w:val="0"/>
          <w:szCs w:val="21"/>
        </w:rPr>
        <w:t>四、施工要求</w:t>
      </w:r>
    </w:p>
    <w:p w14:paraId="2FA4996B">
      <w:pPr>
        <w:pStyle w:val="57"/>
        <w:ind w:firstLine="420"/>
        <w:rPr>
          <w:rFonts w:ascii="宋体" w:hAnsi="宋体" w:eastAsia="宋体" w:cs="宋体"/>
          <w:color w:val="auto"/>
        </w:rPr>
      </w:pPr>
      <w:r>
        <w:rPr>
          <w:rFonts w:hint="eastAsia" w:ascii="宋体" w:hAnsi="宋体" w:eastAsia="宋体" w:cs="宋体"/>
          <w:color w:val="auto"/>
        </w:rPr>
        <w:t>1、本工程施工严格按照规范要求进行施工，达到各项拟定的设计指标，确保工程质量达到国家合格验收标准。</w:t>
      </w:r>
    </w:p>
    <w:p w14:paraId="53CD0F26">
      <w:pPr>
        <w:pStyle w:val="57"/>
        <w:ind w:firstLine="420"/>
        <w:rPr>
          <w:rFonts w:ascii="宋体" w:hAnsi="宋体" w:eastAsia="宋体" w:cs="宋体"/>
          <w:color w:val="auto"/>
        </w:rPr>
      </w:pPr>
      <w:r>
        <w:rPr>
          <w:rFonts w:hint="eastAsia" w:ascii="宋体" w:hAnsi="宋体" w:eastAsia="宋体" w:cs="宋体"/>
          <w:color w:val="auto"/>
        </w:rPr>
        <w:t>2、本工程施工必须严格按照工程技术要求及行业规范进行施工，并无条件地接受采购人及监理全方位、全过程的监督管理。</w:t>
      </w:r>
    </w:p>
    <w:p w14:paraId="54C044A9">
      <w:pPr>
        <w:pStyle w:val="57"/>
        <w:ind w:firstLine="420"/>
        <w:rPr>
          <w:rFonts w:ascii="宋体" w:hAnsi="宋体" w:eastAsia="宋体" w:cs="宋体"/>
          <w:color w:val="auto"/>
        </w:rPr>
      </w:pPr>
      <w:r>
        <w:rPr>
          <w:rFonts w:hint="eastAsia" w:ascii="宋体" w:hAnsi="宋体" w:eastAsia="宋体" w:cs="宋体"/>
          <w:color w:val="auto"/>
        </w:rPr>
        <w:t>3、所有材料设备必须在检验合格经采购人及监理同意后，方可用于本工程。</w:t>
      </w:r>
    </w:p>
    <w:p w14:paraId="36F779B7">
      <w:pPr>
        <w:pStyle w:val="57"/>
        <w:ind w:firstLine="420"/>
        <w:rPr>
          <w:rFonts w:ascii="宋体" w:hAnsi="宋体" w:eastAsia="宋体" w:cs="宋体"/>
          <w:color w:val="auto"/>
        </w:rPr>
      </w:pPr>
      <w:r>
        <w:rPr>
          <w:rFonts w:hint="eastAsia" w:ascii="宋体" w:hAnsi="宋体" w:eastAsia="宋体" w:cs="宋体"/>
          <w:color w:val="auto"/>
        </w:rPr>
        <w:t>4、隐蔽工程必须经采购人及监理检查、验收后，方可进行下一道工序。</w:t>
      </w:r>
    </w:p>
    <w:p w14:paraId="0750F123">
      <w:pPr>
        <w:pStyle w:val="57"/>
        <w:ind w:firstLine="420"/>
        <w:rPr>
          <w:rFonts w:ascii="宋体" w:hAnsi="宋体" w:eastAsia="宋体" w:cs="宋体"/>
          <w:color w:val="auto"/>
        </w:rPr>
      </w:pPr>
      <w:r>
        <w:rPr>
          <w:rFonts w:hint="eastAsia" w:ascii="宋体" w:hAnsi="宋体" w:eastAsia="宋体" w:cs="宋体"/>
          <w:color w:val="auto"/>
        </w:rPr>
        <w:t>5、在免费保修期内，成交供应商对有缺陷的部位必须无偿地给予修理与更换，并承担一切由此引起的对采购人或第三者的直接损失，除非该缺陷是由于人为破坏或合同规定的不可抗因素造成的损坏。</w:t>
      </w:r>
    </w:p>
    <w:p w14:paraId="2851AC9D">
      <w:pPr>
        <w:pStyle w:val="57"/>
        <w:ind w:firstLine="420"/>
        <w:rPr>
          <w:rFonts w:ascii="宋体" w:hAnsi="宋体" w:eastAsia="宋体" w:cs="宋体"/>
          <w:color w:val="auto"/>
        </w:rPr>
      </w:pPr>
      <w:r>
        <w:rPr>
          <w:rFonts w:hint="eastAsia" w:ascii="宋体" w:hAnsi="宋体" w:eastAsia="宋体" w:cs="宋体"/>
          <w:color w:val="auto"/>
        </w:rPr>
        <w:t>6、供应商必须对所承包的工程的质量负全部责任，其责任不因其他材料生产商提供的保证书而减轻或更改。</w:t>
      </w:r>
    </w:p>
    <w:p w14:paraId="16AD8B43">
      <w:pPr>
        <w:pStyle w:val="57"/>
        <w:ind w:firstLine="420"/>
        <w:rPr>
          <w:rFonts w:ascii="宋体" w:hAnsi="宋体" w:eastAsia="宋体" w:cs="宋体"/>
          <w:color w:val="auto"/>
        </w:rPr>
      </w:pPr>
      <w:r>
        <w:rPr>
          <w:rFonts w:hint="eastAsia" w:ascii="宋体" w:hAnsi="宋体" w:eastAsia="宋体" w:cs="宋体"/>
          <w:color w:val="auto"/>
        </w:rPr>
        <w:t>7、施工时注意做好必要的劳动保护工作。</w:t>
      </w:r>
    </w:p>
    <w:p w14:paraId="1E037530">
      <w:pPr>
        <w:pStyle w:val="57"/>
        <w:ind w:firstLine="0" w:firstLineChars="0"/>
        <w:rPr>
          <w:rFonts w:ascii="宋体" w:hAnsi="宋体" w:eastAsia="宋体" w:cs="宋体"/>
          <w:b/>
          <w:bCs/>
          <w:color w:val="auto"/>
        </w:rPr>
      </w:pPr>
      <w:r>
        <w:rPr>
          <w:rFonts w:hint="eastAsia" w:ascii="宋体" w:hAnsi="宋体" w:eastAsia="宋体" w:cs="宋体"/>
          <w:b/>
          <w:bCs/>
          <w:color w:val="auto"/>
        </w:rPr>
        <w:t>五、工程管理要求</w:t>
      </w:r>
    </w:p>
    <w:p w14:paraId="33D9CAD6">
      <w:pPr>
        <w:pStyle w:val="57"/>
        <w:ind w:firstLine="420"/>
        <w:rPr>
          <w:rFonts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本项目允许</w:t>
      </w:r>
      <w:r>
        <w:rPr>
          <w:rFonts w:hint="eastAsia" w:ascii="宋体" w:hAnsi="宋体" w:eastAsia="宋体" w:cs="宋体"/>
          <w:color w:val="auto"/>
          <w:highlight w:val="none"/>
        </w:rPr>
        <w:t>分包。分包的工程内容：承包人不得将工程主体、关键性工作分包。工程的其他部分或工作如需分包，须经发包人同意 。</w:t>
      </w:r>
    </w:p>
    <w:p w14:paraId="08F9390E">
      <w:pPr>
        <w:pStyle w:val="15"/>
        <w:snapToGrid w:val="0"/>
        <w:spacing w:line="400" w:lineRule="exact"/>
        <w:ind w:firstLine="420" w:firstLineChars="200"/>
        <w:rPr>
          <w:rFonts w:hAnsi="宋体" w:eastAsia="宋体" w:cs="宋体"/>
          <w:szCs w:val="21"/>
        </w:rPr>
      </w:pPr>
      <w:r>
        <w:rPr>
          <w:rFonts w:hint="eastAsia" w:hAnsi="宋体" w:eastAsia="宋体" w:cs="宋体"/>
          <w:szCs w:val="21"/>
        </w:rPr>
        <w:t>2、供应商应严格按已确认施工技术方案组织施工，并无条件地接受采购人代表对施工质量的监督和管理。施工过程中，施工方必须要严格把关，按照相应规范标准要求施工，如出现不符合标准要求的情况，施工方必须无条件返工，直至达到规范标准要求。所发生的费用均由施工方承担。</w:t>
      </w:r>
    </w:p>
    <w:p w14:paraId="2E19E256">
      <w:pPr>
        <w:pStyle w:val="16"/>
        <w:spacing w:line="400" w:lineRule="exact"/>
        <w:ind w:left="0" w:leftChars="0" w:firstLine="482" w:firstLineChars="200"/>
        <w:jc w:val="left"/>
        <w:rPr>
          <w:rFonts w:eastAsia="宋体"/>
          <w:b/>
          <w:bCs/>
          <w:color w:val="auto"/>
        </w:rPr>
      </w:pPr>
      <w:r>
        <w:rPr>
          <w:rFonts w:hint="eastAsia" w:ascii="宋体" w:hAnsi="宋体" w:eastAsia="宋体" w:cs="宋体"/>
          <w:b/>
          <w:sz w:val="24"/>
        </w:rPr>
        <w:t>▲</w:t>
      </w:r>
      <w:r>
        <w:rPr>
          <w:rFonts w:hint="eastAsia" w:ascii="宋体" w:hAnsi="宋体" w:eastAsia="宋体" w:cs="宋体"/>
          <w:b/>
          <w:sz w:val="21"/>
          <w:szCs w:val="21"/>
        </w:rPr>
        <w:t>3、</w:t>
      </w:r>
      <w:r>
        <w:rPr>
          <w:rFonts w:hint="eastAsia" w:ascii="宋体" w:hAnsi="宋体" w:eastAsia="宋体" w:cs="宋体"/>
          <w:b/>
          <w:color w:val="auto"/>
          <w:sz w:val="21"/>
          <w:szCs w:val="21"/>
        </w:rPr>
        <w:t>供应商在响应文件中的承诺的项目经理须同时具备以下条件：</w:t>
      </w:r>
      <w:r>
        <w:rPr>
          <w:rFonts w:hint="eastAsia" w:ascii="宋体" w:hAnsi="宋体" w:eastAsia="宋体" w:cs="宋体"/>
          <w:b/>
          <w:bCs/>
          <w:color w:val="auto"/>
          <w:sz w:val="21"/>
          <w:szCs w:val="21"/>
        </w:rPr>
        <w:t>①</w:t>
      </w:r>
      <w:r>
        <w:rPr>
          <w:rFonts w:hint="eastAsia" w:ascii="宋体" w:hAnsi="宋体" w:eastAsia="宋体" w:cs="宋体"/>
          <w:b/>
          <w:bCs/>
          <w:color w:val="auto"/>
          <w:sz w:val="21"/>
          <w:szCs w:val="21"/>
          <w:lang w:val="en-US" w:eastAsia="zh-CN"/>
        </w:rPr>
        <w:t>市政</w:t>
      </w:r>
      <w:r>
        <w:rPr>
          <w:rFonts w:hint="eastAsia" w:ascii="宋体" w:hAnsi="宋体" w:eastAsia="宋体" w:cs="宋体"/>
          <w:b/>
          <w:bCs/>
          <w:color w:val="auto"/>
          <w:sz w:val="21"/>
          <w:szCs w:val="21"/>
        </w:rPr>
        <w:t>工程专业二级及以上建造师注册证书（不含临时建造师）和三类人员“B”类证书。②拟委任项目经理未在其他在建项目上任项目经理。</w:t>
      </w:r>
    </w:p>
    <w:p w14:paraId="177DB8FB">
      <w:pPr>
        <w:pStyle w:val="57"/>
        <w:ind w:firstLine="420"/>
        <w:rPr>
          <w:rFonts w:ascii="宋体" w:hAnsi="宋体" w:eastAsia="宋体" w:cs="宋体"/>
          <w:color w:val="auto"/>
        </w:rPr>
      </w:pPr>
      <w:r>
        <w:rPr>
          <w:rFonts w:hint="eastAsia" w:ascii="宋体" w:hAnsi="宋体" w:eastAsia="宋体" w:cs="宋体"/>
          <w:color w:val="auto"/>
        </w:rPr>
        <w:t>4、供应商在响应文件中的承诺的管理人员未经采购人同意，不得调换和撤离，并按工程进度及时到位。采购人有权要求撤换工作不负责任、管理不力、贻误工期和造成严重的安全事故和工程质量事故、违法乱纪的专业技术、管理人员、技术负责人，直至采购人满意为止。如相应资质的专业技术人员未按要求到位，视作违约，采购人有权单方面终止合同。</w:t>
      </w:r>
    </w:p>
    <w:p w14:paraId="46AF81E2">
      <w:pPr>
        <w:pStyle w:val="57"/>
        <w:ind w:firstLine="420"/>
        <w:rPr>
          <w:rFonts w:ascii="宋体" w:hAnsi="宋体" w:eastAsia="宋体" w:cs="宋体"/>
          <w:color w:val="auto"/>
        </w:rPr>
      </w:pPr>
      <w:r>
        <w:rPr>
          <w:rFonts w:hint="eastAsia" w:ascii="宋体" w:hAnsi="宋体" w:eastAsia="宋体" w:cs="宋体"/>
          <w:color w:val="auto"/>
        </w:rPr>
        <w:t>5、供应商在工程施工全过程中要认真做好产品保护。因失窃或失火造成的损失均由承包方负责，凡由此而损及采购人利益时，采购人将向成交施工单位索赔。</w:t>
      </w:r>
    </w:p>
    <w:p w14:paraId="3200ED2A">
      <w:pPr>
        <w:pStyle w:val="6"/>
        <w:snapToGrid w:val="0"/>
        <w:spacing w:line="400" w:lineRule="exact"/>
        <w:rPr>
          <w:rFonts w:ascii="宋体" w:hAnsi="宋体" w:eastAsia="宋体" w:cs="宋体"/>
          <w:bCs w:val="0"/>
          <w:sz w:val="21"/>
          <w:szCs w:val="21"/>
        </w:rPr>
      </w:pPr>
      <w:r>
        <w:rPr>
          <w:rFonts w:hint="eastAsia" w:ascii="宋体" w:hAnsi="宋体" w:eastAsia="宋体" w:cs="宋体"/>
          <w:bCs w:val="0"/>
          <w:sz w:val="21"/>
          <w:szCs w:val="21"/>
        </w:rPr>
        <w:t>六、报价要求</w:t>
      </w:r>
    </w:p>
    <w:p w14:paraId="30C78A0A">
      <w:pPr>
        <w:snapToGrid w:val="0"/>
        <w:spacing w:line="400" w:lineRule="exact"/>
        <w:ind w:firstLine="420" w:firstLineChars="200"/>
        <w:rPr>
          <w:rFonts w:ascii="宋体" w:hAnsi="宋体" w:eastAsia="宋体" w:cs="宋体"/>
          <w:bCs/>
          <w:sz w:val="21"/>
          <w:szCs w:val="21"/>
        </w:rPr>
      </w:pPr>
      <w:r>
        <w:rPr>
          <w:rFonts w:hint="eastAsia" w:ascii="宋体" w:hAnsi="宋体" w:eastAsia="宋体" w:cs="宋体"/>
          <w:bCs/>
          <w:sz w:val="21"/>
          <w:szCs w:val="21"/>
        </w:rPr>
        <w:t>1、</w:t>
      </w:r>
      <w:r>
        <w:rPr>
          <w:rFonts w:hint="eastAsia" w:ascii="宋体" w:hAnsi="宋体" w:eastAsia="宋体" w:cs="宋体"/>
          <w:sz w:val="21"/>
          <w:szCs w:val="21"/>
        </w:rPr>
        <w:t>供应商应按规定的要求填写相应表格，在填报价格及费用时应充分考虑国家现行技术标准、规范和施工说明要求。</w:t>
      </w:r>
    </w:p>
    <w:p w14:paraId="34BF59EC">
      <w:pPr>
        <w:tabs>
          <w:tab w:val="left" w:pos="0"/>
        </w:tabs>
        <w:snapToGrid w:val="0"/>
        <w:spacing w:line="400" w:lineRule="exact"/>
        <w:ind w:firstLine="420" w:firstLineChars="200"/>
        <w:rPr>
          <w:rFonts w:ascii="宋体" w:hAnsi="宋体" w:eastAsia="宋体" w:cs="宋体"/>
          <w:bCs/>
          <w:sz w:val="21"/>
          <w:szCs w:val="21"/>
        </w:rPr>
      </w:pPr>
      <w:r>
        <w:rPr>
          <w:rFonts w:hint="eastAsia" w:ascii="宋体" w:hAnsi="宋体" w:eastAsia="宋体" w:cs="宋体"/>
          <w:bCs/>
          <w:sz w:val="21"/>
          <w:szCs w:val="21"/>
        </w:rPr>
        <w:t>2、合同价格采用固定结算率、可调总价，工程量按实结算。</w:t>
      </w:r>
    </w:p>
    <w:p w14:paraId="5369A9DB">
      <w:pPr>
        <w:tabs>
          <w:tab w:val="left" w:pos="0"/>
        </w:tabs>
        <w:snapToGrid w:val="0"/>
        <w:spacing w:line="400" w:lineRule="exact"/>
        <w:ind w:firstLine="420" w:firstLineChars="200"/>
        <w:rPr>
          <w:rFonts w:ascii="宋体" w:hAnsi="宋体" w:eastAsia="宋体" w:cs="宋体"/>
          <w:bCs/>
          <w:sz w:val="21"/>
          <w:szCs w:val="21"/>
        </w:rPr>
      </w:pPr>
      <w:r>
        <w:rPr>
          <w:rFonts w:hint="eastAsia" w:ascii="宋体" w:hAnsi="宋体" w:eastAsia="宋体" w:cs="宋体"/>
          <w:bCs/>
          <w:sz w:val="21"/>
          <w:szCs w:val="21"/>
        </w:rPr>
        <w:t>3、供应商需充分考虑以下影响因素，由此产生的费用计入投标报价中：</w:t>
      </w:r>
    </w:p>
    <w:p w14:paraId="7CF7F35B">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（1）本工程施工用水用电由供应商自行考虑，相关费用计入投标报价。</w:t>
      </w:r>
    </w:p>
    <w:p w14:paraId="3D970EB1">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（2）环境保护、工程围护、交通维护、警示措施必须按有关部门的要求，并承担相关费用。</w:t>
      </w:r>
    </w:p>
    <w:p w14:paraId="7C631CC9">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（3）本工程施工过程中，对原有设施需进行保护，如造成破坏的需进行原样恢复并承担相关费用，请考虑到投标报价中。</w:t>
      </w:r>
    </w:p>
    <w:p w14:paraId="7757DA83">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（4）供应商应自行到工地踏勘以充分了解工地位置、情况、道路、储存空间、装卸限制及任何其他足以影响承包价的情况，任何因忽视或误解工地情况而导致的索赔或工期延长申请将不被批准。</w:t>
      </w:r>
    </w:p>
    <w:p w14:paraId="703BEEB8">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（5）关于结算的约定：工程竣工验收合格后，承包人按合同等要求及时报送结算，结算的编制应规范、准确，以事实为依据，遵循实事求是的原则。</w:t>
      </w:r>
    </w:p>
    <w:p w14:paraId="1420B5FE">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（6）本工程与施工交接的已完建筑物、室内设施的成品保护及所有已完工程及设备的保护，若在施工过程中有损坏的，必须原样修复。</w:t>
      </w:r>
    </w:p>
    <w:p w14:paraId="1EA9093A">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（7）与施工交接的已完建（构）筑物、各种管线的保护措施及费用请承包人考虑计入投标总价。</w:t>
      </w:r>
    </w:p>
    <w:p w14:paraId="3CFE1FB0">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（8）本工程所采用的材料，承包人在投标报价时必须考虑材料运至工地，到工地后的卸车、二次搬运、保管、验收所产生的费用。工程结算时，不作调整。承包人必须服从采购人安排并按采购人要求实施。</w:t>
      </w:r>
    </w:p>
    <w:p w14:paraId="0C12A137">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9）施工用水、用电及开户费费用按实际发生费用考虑进入投标报价中，由承包人支付。因受现场条件及工期等因素影响，施工期间不保证24小时正常供电，因此而引起的工期及相关费用的损失由承包人自行负责，承包人应自备发电机。</w:t>
      </w:r>
    </w:p>
    <w:p w14:paraId="19876783">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（10）停水、停电等施工应急预案的技术措施及设备设施配置（必须选配功率合适的发电机备用,相应费用计入总报价,工程结算时，不得增加。</w:t>
      </w:r>
    </w:p>
    <w:p w14:paraId="39E0B6C4">
      <w:pPr>
        <w:snapToGrid w:val="0"/>
        <w:spacing w:line="400" w:lineRule="exact"/>
        <w:ind w:firstLine="420" w:firstLineChars="200"/>
        <w:rPr>
          <w:rFonts w:ascii="宋体" w:hAnsi="宋体" w:eastAsia="宋体" w:cs="宋体"/>
          <w:bCs/>
          <w:sz w:val="21"/>
          <w:szCs w:val="21"/>
        </w:rPr>
      </w:pPr>
      <w:r>
        <w:rPr>
          <w:rFonts w:hint="eastAsia" w:ascii="宋体" w:hAnsi="宋体" w:eastAsia="宋体" w:cs="宋体"/>
          <w:bCs/>
          <w:sz w:val="21"/>
          <w:szCs w:val="21"/>
        </w:rPr>
        <w:t>4、具体采购数量按实结算，但不得调整综合单价，根据政府采购法第五十条款：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14:paraId="45DA7BE2">
      <w:pPr>
        <w:pStyle w:val="2"/>
        <w:snapToGrid w:val="0"/>
        <w:spacing w:line="400" w:lineRule="exact"/>
        <w:ind w:firstLine="210"/>
        <w:rPr>
          <w:rFonts w:ascii="宋体" w:hAnsi="宋体" w:eastAsia="宋体" w:cs="宋体"/>
          <w:szCs w:val="21"/>
        </w:rPr>
      </w:pPr>
      <w:r>
        <w:rPr>
          <w:rFonts w:hint="eastAsia" w:ascii="宋体" w:hAnsi="宋体" w:eastAsia="宋体" w:cs="宋体"/>
          <w:bCs/>
          <w:szCs w:val="21"/>
        </w:rPr>
        <w:t>▲</w:t>
      </w:r>
      <w:r>
        <w:rPr>
          <w:rFonts w:hint="eastAsia" w:ascii="宋体" w:hAnsi="宋体" w:eastAsia="宋体" w:cs="宋体"/>
          <w:szCs w:val="21"/>
        </w:rPr>
        <w:t>七、商务条款</w:t>
      </w:r>
    </w:p>
    <w:p w14:paraId="5A356F86">
      <w:pPr>
        <w:pStyle w:val="2"/>
        <w:snapToGrid w:val="0"/>
        <w:spacing w:line="400" w:lineRule="exact"/>
        <w:ind w:firstLineChars="200"/>
        <w:rPr>
          <w:rFonts w:hint="eastAsia" w:ascii="宋体" w:hAnsi="宋体" w:eastAsia="宋体" w:cs="宋体"/>
          <w:color w:val="auto"/>
          <w:szCs w:val="21"/>
        </w:rPr>
      </w:pPr>
      <w:r>
        <w:rPr>
          <w:rFonts w:hint="eastAsia" w:ascii="宋体" w:hAnsi="宋体" w:eastAsia="宋体" w:cs="宋体"/>
          <w:color w:val="auto"/>
          <w:szCs w:val="21"/>
        </w:rPr>
        <w:t>1、付款方式</w:t>
      </w:r>
    </w:p>
    <w:p w14:paraId="228E741C">
      <w:pPr>
        <w:pStyle w:val="2"/>
        <w:snapToGrid w:val="0"/>
        <w:spacing w:line="400" w:lineRule="exact"/>
        <w:ind w:firstLineChars="200"/>
        <w:rPr>
          <w:rFonts w:hint="eastAsia" w:ascii="宋体" w:hAnsi="宋体" w:eastAsia="宋体" w:cs="宋体"/>
          <w:szCs w:val="21"/>
          <w:highlight w:val="none"/>
          <w:lang w:val="en-US" w:eastAsia="zh-CN"/>
        </w:rPr>
      </w:pPr>
      <w:r>
        <w:rPr>
          <w:rFonts w:hint="eastAsia" w:ascii="宋体" w:hAnsi="宋体" w:eastAsia="宋体" w:cs="宋体"/>
          <w:color w:val="auto"/>
          <w:sz w:val="21"/>
          <w:szCs w:val="21"/>
          <w:highlight w:val="none"/>
          <w:u w:val="single"/>
        </w:rPr>
        <w:t>本项目支付一次预付款，金额为签约合同价的</w:t>
      </w:r>
      <w:r>
        <w:rPr>
          <w:rFonts w:hint="eastAsia" w:hAnsi="仿宋"/>
          <w:color w:val="auto"/>
          <w:sz w:val="21"/>
          <w:szCs w:val="21"/>
          <w:highlight w:val="none"/>
          <w:u w:val="single"/>
        </w:rPr>
        <w:t>10%</w:t>
      </w:r>
      <w:r>
        <w:rPr>
          <w:rFonts w:hint="eastAsia" w:ascii="宋体" w:hAnsi="宋体" w:eastAsia="宋体" w:cs="宋体"/>
          <w:color w:val="auto"/>
          <w:sz w:val="21"/>
          <w:szCs w:val="21"/>
          <w:highlight w:val="none"/>
          <w:u w:val="single"/>
        </w:rPr>
        <w:t>，后续款项待完工并验收通过后，一次性支付结算审定金额的100%；</w:t>
      </w:r>
      <w:r>
        <w:rPr>
          <w:rFonts w:hint="eastAsia" w:ascii="宋体" w:hAnsi="宋体" w:eastAsia="宋体" w:cs="宋体"/>
          <w:b/>
          <w:bCs/>
          <w:color w:val="auto"/>
          <w:sz w:val="21"/>
          <w:szCs w:val="21"/>
          <w:highlight w:val="none"/>
          <w:u w:val="single"/>
        </w:rPr>
        <w:t>结算审定金额不得超过签约合同价，若超过签约合同价的，以签约合同价作为最高结算价</w:t>
      </w:r>
      <w:r>
        <w:rPr>
          <w:rFonts w:hint="eastAsia" w:ascii="宋体" w:hAnsi="宋体" w:eastAsia="宋体" w:cs="宋体"/>
          <w:color w:val="auto"/>
          <w:sz w:val="21"/>
          <w:szCs w:val="21"/>
          <w:highlight w:val="none"/>
        </w:rPr>
        <w:t>。</w:t>
      </w:r>
    </w:p>
    <w:p w14:paraId="5EA4F969">
      <w:pPr>
        <w:pStyle w:val="2"/>
        <w:snapToGrid w:val="0"/>
        <w:spacing w:line="400" w:lineRule="exact"/>
        <w:ind w:firstLineChars="200"/>
        <w:rPr>
          <w:rFonts w:ascii="宋体" w:hAnsi="宋体" w:eastAsia="宋体" w:cs="宋体"/>
          <w:szCs w:val="21"/>
          <w:highlight w:val="none"/>
        </w:rPr>
      </w:pPr>
      <w:r>
        <w:rPr>
          <w:rFonts w:hint="eastAsia" w:ascii="宋体" w:hAnsi="宋体" w:eastAsia="宋体" w:cs="宋体"/>
          <w:szCs w:val="21"/>
          <w:highlight w:val="none"/>
        </w:rPr>
        <w:t>2、保修要求</w:t>
      </w:r>
    </w:p>
    <w:p w14:paraId="565DA09E">
      <w:pPr>
        <w:snapToGrid w:val="0"/>
        <w:spacing w:line="400" w:lineRule="exact"/>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（1）质保期2年。</w:t>
      </w:r>
    </w:p>
    <w:p w14:paraId="44F42B67">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（2）成交供应商应与采购人签订工程质量保修书，承包人在质量保修期内，按照有关法律、法规、规章的管理规定和双方约定，承担本工程质量保修责任。</w:t>
      </w:r>
    </w:p>
    <w:p w14:paraId="0CF13333">
      <w:pPr>
        <w:pStyle w:val="2"/>
        <w:snapToGrid w:val="0"/>
        <w:spacing w:line="400" w:lineRule="exact"/>
        <w:ind w:firstLineChars="200"/>
        <w:rPr>
          <w:rFonts w:ascii="宋体" w:hAnsi="宋体" w:eastAsia="宋体" w:cs="宋体"/>
          <w:bCs/>
          <w:szCs w:val="21"/>
        </w:rPr>
      </w:pPr>
      <w:r>
        <w:rPr>
          <w:rFonts w:hint="eastAsia" w:ascii="宋体" w:hAnsi="宋体" w:eastAsia="宋体" w:cs="宋体"/>
          <w:bCs/>
          <w:szCs w:val="21"/>
        </w:rPr>
        <w:t>（3）成交供应商要对其所提供的施工、材料、设备及其内在工程质量负全部责任。</w:t>
      </w:r>
    </w:p>
    <w:p w14:paraId="1B125AD1">
      <w:pPr>
        <w:widowControl/>
        <w:snapToGrid w:val="0"/>
        <w:spacing w:line="400" w:lineRule="exact"/>
        <w:ind w:firstLine="420" w:firstLineChars="200"/>
        <w:rPr>
          <w:rFonts w:ascii="宋体" w:hAnsi="宋体" w:eastAsia="宋体" w:cs="宋体"/>
          <w:sz w:val="21"/>
          <w:szCs w:val="21"/>
        </w:rPr>
      </w:pPr>
    </w:p>
    <w:bookmarkEnd w:id="11"/>
    <w:p w14:paraId="466B3D83">
      <w:pPr>
        <w:widowControl/>
        <w:jc w:val="left"/>
        <w:rPr>
          <w:rFonts w:ascii="宋体" w:hAnsi="宋体" w:eastAsia="宋体" w:cs="宋体"/>
          <w:b/>
          <w:kern w:val="0"/>
          <w:szCs w:val="36"/>
        </w:rPr>
      </w:pPr>
      <w:r>
        <w:rPr>
          <w:rFonts w:ascii="宋体" w:hAnsi="宋体" w:eastAsia="宋体" w:cs="宋体"/>
          <w:b/>
          <w:kern w:val="0"/>
          <w:szCs w:val="36"/>
        </w:rPr>
        <w:br w:type="page"/>
      </w:r>
    </w:p>
    <w:p w14:paraId="0D728702">
      <w:pPr>
        <w:shd w:val="clear" w:color="auto" w:fill="FFFFFF"/>
        <w:spacing w:line="360" w:lineRule="auto"/>
        <w:jc w:val="center"/>
        <w:textAlignment w:val="bottom"/>
        <w:rPr>
          <w:rFonts w:ascii="宋体" w:hAnsi="宋体" w:eastAsia="宋体" w:cs="宋体"/>
          <w:b/>
          <w:kern w:val="0"/>
          <w:szCs w:val="36"/>
        </w:rPr>
      </w:pPr>
      <w:r>
        <w:rPr>
          <w:rFonts w:hint="eastAsia" w:ascii="宋体" w:hAnsi="宋体" w:eastAsia="宋体" w:cs="宋体"/>
          <w:b/>
          <w:kern w:val="0"/>
          <w:szCs w:val="36"/>
        </w:rPr>
        <w:t>第三部分供应商须知</w:t>
      </w:r>
    </w:p>
    <w:p w14:paraId="0D9EF751">
      <w:pPr>
        <w:shd w:val="clear" w:color="auto" w:fill="FFFFFF"/>
        <w:spacing w:line="360" w:lineRule="auto"/>
        <w:jc w:val="center"/>
        <w:textAlignment w:val="bottom"/>
        <w:rPr>
          <w:rFonts w:ascii="宋体" w:hAnsi="宋体" w:eastAsia="宋体" w:cs="宋体"/>
          <w:b/>
          <w:kern w:val="0"/>
          <w:sz w:val="24"/>
        </w:rPr>
      </w:pPr>
      <w:r>
        <w:rPr>
          <w:rFonts w:hint="eastAsia" w:ascii="宋体" w:hAnsi="宋体" w:eastAsia="宋体" w:cs="宋体"/>
          <w:b/>
          <w:kern w:val="0"/>
          <w:sz w:val="24"/>
        </w:rPr>
        <w:t>前附表</w:t>
      </w:r>
    </w:p>
    <w:tbl>
      <w:tblPr>
        <w:tblStyle w:val="29"/>
        <w:tblW w:w="963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96"/>
        <w:gridCol w:w="1467"/>
        <w:gridCol w:w="7675"/>
      </w:tblGrid>
      <w:tr w14:paraId="13559A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4" w:hRule="atLeast"/>
          <w:jc w:val="center"/>
        </w:trPr>
        <w:tc>
          <w:tcPr>
            <w:tcW w:w="496" w:type="dxa"/>
            <w:noWrap/>
            <w:vAlign w:val="center"/>
          </w:tcPr>
          <w:p w14:paraId="37FFD579">
            <w:pPr>
              <w:spacing w:before="24" w:beforeLines="10" w:line="264" w:lineRule="auto"/>
              <w:jc w:val="center"/>
              <w:rPr>
                <w:rFonts w:ascii="宋体" w:hAnsi="宋体" w:eastAsia="宋体" w:cs="宋体"/>
                <w:b/>
                <w:sz w:val="21"/>
                <w:szCs w:val="21"/>
              </w:rPr>
            </w:pPr>
          </w:p>
          <w:p w14:paraId="1F18C4F9">
            <w:pPr>
              <w:spacing w:before="24" w:beforeLines="10" w:line="264" w:lineRule="auto"/>
              <w:jc w:val="center"/>
              <w:rPr>
                <w:rFonts w:ascii="宋体" w:hAnsi="宋体" w:eastAsia="宋体" w:cs="宋体"/>
                <w:b/>
                <w:sz w:val="21"/>
                <w:szCs w:val="21"/>
              </w:rPr>
            </w:pPr>
            <w:r>
              <w:rPr>
                <w:rFonts w:hint="eastAsia" w:ascii="宋体" w:hAnsi="宋体" w:eastAsia="宋体" w:cs="宋体"/>
                <w:b/>
                <w:sz w:val="21"/>
                <w:szCs w:val="21"/>
              </w:rPr>
              <w:t>序号</w:t>
            </w:r>
          </w:p>
        </w:tc>
        <w:tc>
          <w:tcPr>
            <w:tcW w:w="1467" w:type="dxa"/>
            <w:noWrap/>
            <w:vAlign w:val="center"/>
          </w:tcPr>
          <w:p w14:paraId="78F9527C">
            <w:pPr>
              <w:spacing w:before="24" w:beforeLines="10" w:line="264" w:lineRule="auto"/>
              <w:jc w:val="center"/>
              <w:rPr>
                <w:rFonts w:ascii="宋体" w:hAnsi="宋体" w:eastAsia="宋体" w:cs="宋体"/>
                <w:b/>
                <w:sz w:val="21"/>
                <w:szCs w:val="21"/>
              </w:rPr>
            </w:pPr>
            <w:r>
              <w:rPr>
                <w:rFonts w:hint="eastAsia" w:ascii="宋体" w:hAnsi="宋体" w:eastAsia="宋体" w:cs="宋体"/>
                <w:b/>
                <w:sz w:val="21"/>
                <w:szCs w:val="21"/>
              </w:rPr>
              <w:t>项目</w:t>
            </w:r>
          </w:p>
        </w:tc>
        <w:tc>
          <w:tcPr>
            <w:tcW w:w="7675" w:type="dxa"/>
            <w:noWrap/>
            <w:vAlign w:val="center"/>
          </w:tcPr>
          <w:p w14:paraId="3E65DDE7">
            <w:pPr>
              <w:spacing w:before="24" w:beforeLines="10" w:line="264" w:lineRule="auto"/>
              <w:jc w:val="center"/>
              <w:rPr>
                <w:rFonts w:ascii="宋体" w:hAnsi="宋体" w:eastAsia="宋体" w:cs="宋体"/>
                <w:b/>
                <w:sz w:val="21"/>
                <w:szCs w:val="21"/>
              </w:rPr>
            </w:pPr>
            <w:r>
              <w:rPr>
                <w:rFonts w:hint="eastAsia" w:ascii="宋体" w:hAnsi="宋体" w:eastAsia="宋体" w:cs="宋体"/>
                <w:b/>
                <w:sz w:val="21"/>
                <w:szCs w:val="21"/>
              </w:rPr>
              <w:t>内容</w:t>
            </w:r>
          </w:p>
        </w:tc>
      </w:tr>
      <w:tr w14:paraId="5C698D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496" w:type="dxa"/>
            <w:noWrap/>
            <w:vAlign w:val="center"/>
          </w:tcPr>
          <w:p w14:paraId="430CE8E7">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1</w:t>
            </w:r>
          </w:p>
        </w:tc>
        <w:tc>
          <w:tcPr>
            <w:tcW w:w="1467" w:type="dxa"/>
            <w:noWrap/>
            <w:vAlign w:val="center"/>
          </w:tcPr>
          <w:p w14:paraId="10971465">
            <w:pPr>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落实的政府采购政策</w:t>
            </w:r>
          </w:p>
        </w:tc>
        <w:tc>
          <w:tcPr>
            <w:tcW w:w="7675" w:type="dxa"/>
            <w:noWrap/>
            <w:vAlign w:val="center"/>
          </w:tcPr>
          <w:p w14:paraId="54914057">
            <w:pPr>
              <w:widowControl/>
              <w:jc w:val="left"/>
              <w:rPr>
                <w:sz w:val="21"/>
                <w:szCs w:val="21"/>
              </w:rPr>
            </w:pPr>
            <w:r>
              <w:rPr>
                <w:rFonts w:hint="eastAsia" w:ascii="宋体" w:hAnsi="宋体" w:eastAsia="宋体" w:cs="宋体"/>
                <w:b/>
                <w:bCs/>
                <w:kern w:val="0"/>
                <w:sz w:val="21"/>
                <w:szCs w:val="21"/>
              </w:rPr>
              <w:t>（1）中小企业预留份额情况：根据《政府采购促进中小企业发展管理办法》财库〔2020〕46 号文件的规定，本项目是属于预留份额专门面向中小企业采购的项目。</w:t>
            </w:r>
          </w:p>
          <w:p w14:paraId="7D1D656C">
            <w:pPr>
              <w:widowControl/>
              <w:jc w:val="left"/>
              <w:rPr>
                <w:sz w:val="21"/>
                <w:szCs w:val="21"/>
              </w:rPr>
            </w:pPr>
            <w:r>
              <w:rPr>
                <w:rFonts w:hint="eastAsia" w:ascii="宋体" w:hAnsi="宋体" w:eastAsia="宋体" w:cs="宋体"/>
                <w:kern w:val="0"/>
                <w:sz w:val="21"/>
                <w:szCs w:val="21"/>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06F4E52">
            <w:pPr>
              <w:widowControl/>
              <w:jc w:val="left"/>
              <w:rPr>
                <w:sz w:val="21"/>
                <w:szCs w:val="21"/>
              </w:rPr>
            </w:pPr>
            <w:r>
              <w:rPr>
                <w:rFonts w:hint="eastAsia" w:ascii="宋体" w:hAnsi="宋体" w:eastAsia="宋体" w:cs="宋体"/>
                <w:kern w:val="0"/>
                <w:sz w:val="21"/>
                <w:szCs w:val="21"/>
              </w:rPr>
              <w:t>（3）根据《工业和信息化部、国家统计局、国家发展和改革委员会、财政部关于印发中小企业划型标准规定的通知》（工信部联企业[2011]300 号）规定，本项目采购标的对应的中小企业划分标准所属行业为：</w:t>
            </w:r>
            <w:r>
              <w:rPr>
                <w:rFonts w:hint="eastAsia" w:ascii="宋体" w:hAnsi="宋体" w:eastAsia="宋体" w:cs="宋体"/>
                <w:b/>
                <w:bCs/>
                <w:kern w:val="0"/>
                <w:sz w:val="21"/>
                <w:szCs w:val="21"/>
              </w:rPr>
              <w:t>（三）建筑业</w:t>
            </w:r>
            <w:r>
              <w:rPr>
                <w:rFonts w:hint="eastAsia" w:ascii="宋体" w:hAnsi="宋体" w:eastAsia="宋体" w:cs="宋体"/>
                <w:kern w:val="0"/>
                <w:sz w:val="21"/>
                <w:szCs w:val="21"/>
              </w:rPr>
              <w:t>。</w:t>
            </w:r>
          </w:p>
          <w:p w14:paraId="5750BF2F">
            <w:pPr>
              <w:widowControl/>
              <w:jc w:val="left"/>
              <w:rPr>
                <w:sz w:val="21"/>
                <w:szCs w:val="21"/>
              </w:rPr>
            </w:pPr>
            <w:r>
              <w:rPr>
                <w:rFonts w:hint="eastAsia" w:ascii="宋体" w:hAnsi="宋体" w:eastAsia="宋体" w:cs="宋体"/>
                <w:kern w:val="0"/>
                <w:sz w:val="21"/>
                <w:szCs w:val="21"/>
              </w:rPr>
              <w:t>（4）以联合体形式参加政府采购活动，联合体各方均为小微企业的，联合体视同小微企业。</w:t>
            </w:r>
          </w:p>
          <w:p w14:paraId="29D4DCC9">
            <w:pPr>
              <w:widowControl/>
              <w:jc w:val="left"/>
              <w:rPr>
                <w:sz w:val="21"/>
                <w:szCs w:val="21"/>
              </w:rPr>
            </w:pPr>
            <w:r>
              <w:rPr>
                <w:rFonts w:hint="eastAsia" w:ascii="宋体" w:hAnsi="宋体" w:eastAsia="宋体" w:cs="宋体"/>
                <w:kern w:val="0"/>
                <w:sz w:val="21"/>
                <w:szCs w:val="21"/>
              </w:rPr>
              <w:t>（5）符合小微企业划分标准的个体工商户，视同小微企业。</w:t>
            </w:r>
          </w:p>
          <w:p w14:paraId="07378BA2">
            <w:pPr>
              <w:widowControl/>
              <w:jc w:val="left"/>
              <w:rPr>
                <w:sz w:val="21"/>
                <w:szCs w:val="21"/>
              </w:rPr>
            </w:pPr>
            <w:r>
              <w:rPr>
                <w:rFonts w:hint="eastAsia" w:ascii="宋体" w:hAnsi="宋体" w:eastAsia="宋体" w:cs="宋体"/>
                <w:kern w:val="0"/>
                <w:sz w:val="21"/>
                <w:szCs w:val="21"/>
              </w:rPr>
              <w:t>（6）残疾人福利性单位视同小微企业。残疾人福利性单位参加政府采购活动时，应当出具《残疾人福利性单位声明函》。</w:t>
            </w:r>
          </w:p>
          <w:p w14:paraId="3C6476AC">
            <w:pPr>
              <w:widowControl/>
              <w:jc w:val="left"/>
              <w:rPr>
                <w:rFonts w:ascii="宋体" w:hAnsi="宋体" w:eastAsia="宋体" w:cs="宋体"/>
                <w:bCs/>
                <w:sz w:val="21"/>
                <w:szCs w:val="21"/>
              </w:rPr>
            </w:pPr>
            <w:r>
              <w:rPr>
                <w:rFonts w:hint="eastAsia" w:ascii="宋体" w:hAnsi="宋体" w:eastAsia="宋体" w:cs="宋体"/>
                <w:kern w:val="0"/>
                <w:sz w:val="21"/>
                <w:szCs w:val="21"/>
              </w:rPr>
              <w:t>（7）监狱企业视同小微企业。监狱企业参加政府采购活动时，应当出具《监狱企业声明函》以及省级以上监狱管理局、戒毒管理局（含新疆生产建设兵团）提供的属于监狱企业的证明文件</w:t>
            </w:r>
          </w:p>
        </w:tc>
      </w:tr>
      <w:tr w14:paraId="02E948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496" w:type="dxa"/>
            <w:noWrap/>
            <w:vAlign w:val="center"/>
          </w:tcPr>
          <w:p w14:paraId="689D4305">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2</w:t>
            </w:r>
          </w:p>
        </w:tc>
        <w:tc>
          <w:tcPr>
            <w:tcW w:w="1467" w:type="dxa"/>
            <w:noWrap/>
            <w:vAlign w:val="center"/>
          </w:tcPr>
          <w:p w14:paraId="331E2FC4">
            <w:pPr>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项目名称</w:t>
            </w:r>
          </w:p>
        </w:tc>
        <w:tc>
          <w:tcPr>
            <w:tcW w:w="7675" w:type="dxa"/>
            <w:noWrap/>
            <w:vAlign w:val="center"/>
          </w:tcPr>
          <w:p w14:paraId="7330D446">
            <w:pPr>
              <w:spacing w:before="24" w:beforeLines="10" w:line="264" w:lineRule="auto"/>
              <w:rPr>
                <w:rFonts w:hint="eastAsia" w:ascii="宋体" w:hAnsi="宋体" w:eastAsia="宋体" w:cs="宋体"/>
                <w:bCs/>
                <w:sz w:val="21"/>
                <w:szCs w:val="21"/>
                <w:lang w:eastAsia="zh-CN"/>
              </w:rPr>
            </w:pPr>
            <w:r>
              <w:rPr>
                <w:rFonts w:hint="eastAsia" w:ascii="宋体" w:hAnsi="宋体" w:eastAsia="宋体" w:cs="宋体"/>
                <w:bCs/>
                <w:sz w:val="21"/>
                <w:szCs w:val="21"/>
                <w:lang w:eastAsia="zh-CN"/>
              </w:rPr>
              <w:t>台州市黄岩第二高级中学体能训练场、科技楼顶渗漏和阶梯教室等改造工程</w:t>
            </w:r>
          </w:p>
        </w:tc>
      </w:tr>
      <w:tr w14:paraId="579E54B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496" w:type="dxa"/>
            <w:noWrap/>
            <w:vAlign w:val="center"/>
          </w:tcPr>
          <w:p w14:paraId="0E9215AA">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3</w:t>
            </w:r>
          </w:p>
        </w:tc>
        <w:tc>
          <w:tcPr>
            <w:tcW w:w="1467" w:type="dxa"/>
            <w:noWrap/>
            <w:vAlign w:val="center"/>
          </w:tcPr>
          <w:p w14:paraId="1B48E2CD">
            <w:pPr>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采购内容</w:t>
            </w:r>
          </w:p>
        </w:tc>
        <w:tc>
          <w:tcPr>
            <w:tcW w:w="7675" w:type="dxa"/>
            <w:noWrap/>
            <w:vAlign w:val="center"/>
          </w:tcPr>
          <w:p w14:paraId="39B3C403">
            <w:pPr>
              <w:spacing w:before="24" w:beforeLines="10" w:line="264" w:lineRule="auto"/>
              <w:rPr>
                <w:rFonts w:ascii="宋体" w:hAnsi="宋体" w:eastAsia="宋体" w:cs="宋体"/>
                <w:bCs/>
                <w:sz w:val="21"/>
                <w:szCs w:val="21"/>
              </w:rPr>
            </w:pPr>
            <w:r>
              <w:rPr>
                <w:rFonts w:hint="eastAsia" w:ascii="宋体" w:hAnsi="宋体" w:eastAsia="宋体" w:cs="宋体"/>
                <w:bCs/>
                <w:sz w:val="21"/>
                <w:szCs w:val="21"/>
              </w:rPr>
              <w:t>详见本磋商响应文件“第二部分采购需求”内容</w:t>
            </w:r>
          </w:p>
        </w:tc>
      </w:tr>
      <w:tr w14:paraId="0D2D84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496" w:type="dxa"/>
            <w:noWrap/>
            <w:vAlign w:val="center"/>
          </w:tcPr>
          <w:p w14:paraId="0B5195E7">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4</w:t>
            </w:r>
          </w:p>
        </w:tc>
        <w:tc>
          <w:tcPr>
            <w:tcW w:w="1467" w:type="dxa"/>
            <w:noWrap/>
            <w:vAlign w:val="center"/>
          </w:tcPr>
          <w:p w14:paraId="6CDDF0BA">
            <w:pPr>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采购方式</w:t>
            </w:r>
          </w:p>
        </w:tc>
        <w:tc>
          <w:tcPr>
            <w:tcW w:w="7675" w:type="dxa"/>
            <w:noWrap/>
            <w:vAlign w:val="center"/>
          </w:tcPr>
          <w:p w14:paraId="5DF3B0C1">
            <w:pPr>
              <w:spacing w:before="24" w:beforeLines="10" w:line="264" w:lineRule="auto"/>
              <w:rPr>
                <w:rFonts w:ascii="宋体" w:hAnsi="宋体" w:eastAsia="宋体" w:cs="宋体"/>
                <w:bCs/>
                <w:sz w:val="21"/>
                <w:szCs w:val="21"/>
              </w:rPr>
            </w:pPr>
            <w:r>
              <w:rPr>
                <w:rFonts w:hint="eastAsia" w:ascii="宋体" w:hAnsi="宋体" w:eastAsia="宋体" w:cs="宋体"/>
                <w:bCs/>
                <w:sz w:val="21"/>
                <w:szCs w:val="21"/>
              </w:rPr>
              <w:t>竞争性磋商</w:t>
            </w:r>
          </w:p>
        </w:tc>
      </w:tr>
      <w:tr w14:paraId="4FEB72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496" w:type="dxa"/>
            <w:noWrap/>
            <w:vAlign w:val="center"/>
          </w:tcPr>
          <w:p w14:paraId="0947B989">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5</w:t>
            </w:r>
          </w:p>
        </w:tc>
        <w:tc>
          <w:tcPr>
            <w:tcW w:w="1467" w:type="dxa"/>
            <w:noWrap/>
            <w:vAlign w:val="center"/>
          </w:tcPr>
          <w:p w14:paraId="4FE501B0">
            <w:pPr>
              <w:spacing w:before="24" w:beforeLines="10" w:line="264" w:lineRule="auto"/>
              <w:jc w:val="center"/>
              <w:rPr>
                <w:rFonts w:ascii="宋体" w:hAnsi="宋体" w:eastAsia="宋体" w:cs="宋体"/>
                <w:bCs/>
                <w:sz w:val="21"/>
                <w:szCs w:val="21"/>
              </w:rPr>
            </w:pPr>
            <w:r>
              <w:rPr>
                <w:rFonts w:hint="eastAsia" w:ascii="宋体" w:hAnsi="宋体" w:eastAsia="宋体" w:cs="宋体"/>
                <w:b/>
                <w:sz w:val="21"/>
                <w:szCs w:val="21"/>
              </w:rPr>
              <w:t>▲</w:t>
            </w:r>
            <w:r>
              <w:rPr>
                <w:rFonts w:hint="eastAsia" w:ascii="宋体" w:hAnsi="宋体" w:eastAsia="宋体" w:cs="宋体"/>
                <w:bCs/>
                <w:sz w:val="21"/>
                <w:szCs w:val="21"/>
              </w:rPr>
              <w:t>服务期限</w:t>
            </w:r>
          </w:p>
        </w:tc>
        <w:tc>
          <w:tcPr>
            <w:tcW w:w="7675" w:type="dxa"/>
            <w:noWrap/>
            <w:vAlign w:val="center"/>
          </w:tcPr>
          <w:p w14:paraId="35210340">
            <w:pPr>
              <w:spacing w:before="24" w:beforeLines="10" w:line="264" w:lineRule="auto"/>
              <w:rPr>
                <w:rFonts w:hint="default" w:ascii="宋体" w:hAnsi="宋体" w:eastAsia="宋体" w:cs="宋体"/>
                <w:bCs/>
                <w:sz w:val="21"/>
                <w:szCs w:val="21"/>
                <w:lang w:val="en-US"/>
              </w:rPr>
            </w:pPr>
            <w:r>
              <w:rPr>
                <w:rFonts w:hint="eastAsia" w:ascii="宋体" w:hAnsi="宋体" w:eastAsia="宋体" w:cs="宋体"/>
                <w:color w:val="auto"/>
                <w:kern w:val="0"/>
                <w:sz w:val="21"/>
                <w:szCs w:val="21"/>
                <w:lang w:val="en-US" w:eastAsia="zh-CN"/>
              </w:rPr>
              <w:t>合同签订后30日内完成全部工作。</w:t>
            </w:r>
          </w:p>
        </w:tc>
      </w:tr>
      <w:tr w14:paraId="400515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496" w:type="dxa"/>
            <w:noWrap/>
            <w:vAlign w:val="center"/>
          </w:tcPr>
          <w:p w14:paraId="77D64AD7">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6</w:t>
            </w:r>
          </w:p>
        </w:tc>
        <w:tc>
          <w:tcPr>
            <w:tcW w:w="1467" w:type="dxa"/>
            <w:noWrap/>
            <w:vAlign w:val="center"/>
          </w:tcPr>
          <w:p w14:paraId="22B6015A">
            <w:pPr>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评标办法</w:t>
            </w:r>
          </w:p>
        </w:tc>
        <w:tc>
          <w:tcPr>
            <w:tcW w:w="7675" w:type="dxa"/>
            <w:noWrap/>
            <w:vAlign w:val="center"/>
          </w:tcPr>
          <w:p w14:paraId="13C1B828">
            <w:pPr>
              <w:spacing w:before="24" w:beforeLines="10" w:line="264" w:lineRule="auto"/>
              <w:jc w:val="left"/>
              <w:rPr>
                <w:rFonts w:ascii="宋体" w:hAnsi="宋体" w:eastAsia="宋体" w:cs="宋体"/>
                <w:sz w:val="21"/>
                <w:szCs w:val="21"/>
              </w:rPr>
            </w:pPr>
            <w:r>
              <w:rPr>
                <w:rFonts w:hint="eastAsia" w:ascii="宋体" w:hAnsi="宋体" w:eastAsia="宋体" w:cs="宋体"/>
                <w:bCs/>
                <w:kern w:val="0"/>
                <w:sz w:val="21"/>
                <w:szCs w:val="21"/>
              </w:rPr>
              <w:t>综合评分法</w:t>
            </w:r>
          </w:p>
        </w:tc>
      </w:tr>
      <w:tr w14:paraId="281248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496" w:type="dxa"/>
            <w:noWrap/>
            <w:vAlign w:val="center"/>
          </w:tcPr>
          <w:p w14:paraId="153B3848">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7</w:t>
            </w:r>
          </w:p>
        </w:tc>
        <w:tc>
          <w:tcPr>
            <w:tcW w:w="1467" w:type="dxa"/>
            <w:noWrap/>
            <w:vAlign w:val="center"/>
          </w:tcPr>
          <w:p w14:paraId="1C21FC0E">
            <w:pPr>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▲磋商响应文件有效期</w:t>
            </w:r>
          </w:p>
        </w:tc>
        <w:tc>
          <w:tcPr>
            <w:tcW w:w="7675" w:type="dxa"/>
            <w:noWrap/>
            <w:vAlign w:val="center"/>
          </w:tcPr>
          <w:p w14:paraId="418C43CA">
            <w:pPr>
              <w:pStyle w:val="26"/>
              <w:snapToGrid w:val="0"/>
              <w:spacing w:before="24" w:beforeLines="10" w:beforeAutospacing="0" w:afterAutospacing="0" w:line="264" w:lineRule="auto"/>
              <w:rPr>
                <w:rFonts w:hint="default" w:eastAsia="宋体" w:cs="宋体"/>
                <w:bCs/>
                <w:sz w:val="21"/>
                <w:szCs w:val="21"/>
              </w:rPr>
            </w:pPr>
            <w:r>
              <w:rPr>
                <w:rFonts w:eastAsia="宋体" w:cs="宋体"/>
                <w:bCs/>
                <w:sz w:val="21"/>
                <w:szCs w:val="21"/>
              </w:rPr>
              <w:t>磋商响应有效期为90天，磋商响应有效期从提交磋商响应文件的截止之日起算。</w:t>
            </w:r>
          </w:p>
        </w:tc>
      </w:tr>
      <w:tr w14:paraId="418D25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496" w:type="dxa"/>
            <w:noWrap/>
            <w:vAlign w:val="center"/>
          </w:tcPr>
          <w:p w14:paraId="42A3BAD7">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8</w:t>
            </w:r>
          </w:p>
        </w:tc>
        <w:tc>
          <w:tcPr>
            <w:tcW w:w="1467" w:type="dxa"/>
            <w:noWrap/>
            <w:vAlign w:val="center"/>
          </w:tcPr>
          <w:p w14:paraId="1A97869D">
            <w:pPr>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履约</w:t>
            </w:r>
          </w:p>
          <w:p w14:paraId="02E1DA54">
            <w:pPr>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保证金</w:t>
            </w:r>
          </w:p>
        </w:tc>
        <w:tc>
          <w:tcPr>
            <w:tcW w:w="7675" w:type="dxa"/>
            <w:noWrap/>
            <w:vAlign w:val="center"/>
          </w:tcPr>
          <w:p w14:paraId="5C9E2739">
            <w:pPr>
              <w:spacing w:before="24" w:beforeLines="10" w:line="264" w:lineRule="auto"/>
              <w:rPr>
                <w:rFonts w:ascii="宋体" w:hAnsi="宋体" w:eastAsia="宋体" w:cs="宋体"/>
                <w:sz w:val="21"/>
                <w:szCs w:val="21"/>
              </w:rPr>
            </w:pPr>
            <w:r>
              <w:rPr>
                <w:rFonts w:hint="eastAsia" w:ascii="宋体" w:hAnsi="宋体" w:eastAsia="宋体" w:cs="宋体"/>
                <w:sz w:val="21"/>
                <w:szCs w:val="21"/>
              </w:rPr>
              <w:t>本项目不设履约保证金</w:t>
            </w:r>
          </w:p>
        </w:tc>
      </w:tr>
      <w:tr w14:paraId="7E83BF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8" w:hRule="atLeast"/>
          <w:jc w:val="center"/>
        </w:trPr>
        <w:tc>
          <w:tcPr>
            <w:tcW w:w="496" w:type="dxa"/>
            <w:noWrap/>
            <w:vAlign w:val="center"/>
          </w:tcPr>
          <w:p w14:paraId="68BD9515">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9</w:t>
            </w:r>
          </w:p>
        </w:tc>
        <w:tc>
          <w:tcPr>
            <w:tcW w:w="1467" w:type="dxa"/>
            <w:noWrap/>
            <w:vAlign w:val="center"/>
          </w:tcPr>
          <w:p w14:paraId="7A16A501">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响应文件</w:t>
            </w:r>
          </w:p>
          <w:p w14:paraId="06E0F50F">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要求</w:t>
            </w:r>
          </w:p>
        </w:tc>
        <w:tc>
          <w:tcPr>
            <w:tcW w:w="7675" w:type="dxa"/>
            <w:noWrap/>
            <w:vAlign w:val="center"/>
          </w:tcPr>
          <w:p w14:paraId="72A6791C">
            <w:pPr>
              <w:widowControl/>
              <w:spacing w:before="24" w:beforeLines="10" w:line="264" w:lineRule="auto"/>
              <w:jc w:val="left"/>
              <w:rPr>
                <w:rFonts w:ascii="宋体" w:hAnsi="宋体" w:eastAsia="宋体" w:cs="宋体"/>
                <w:sz w:val="21"/>
                <w:szCs w:val="21"/>
              </w:rPr>
            </w:pPr>
            <w:r>
              <w:rPr>
                <w:rFonts w:hint="eastAsia" w:ascii="宋体" w:hAnsi="宋体" w:eastAsia="宋体" w:cs="宋体"/>
                <w:kern w:val="0"/>
                <w:sz w:val="21"/>
                <w:szCs w:val="21"/>
              </w:rPr>
              <w:t>（1）“电子加密磋商响应文件”：在线上传递交一份。</w:t>
            </w:r>
          </w:p>
          <w:p w14:paraId="6E70464D">
            <w:pPr>
              <w:widowControl/>
              <w:spacing w:before="24" w:beforeLines="10" w:line="264" w:lineRule="auto"/>
              <w:jc w:val="left"/>
              <w:rPr>
                <w:rFonts w:ascii="宋体" w:hAnsi="宋体" w:eastAsia="宋体" w:cs="宋体"/>
                <w:sz w:val="21"/>
                <w:szCs w:val="21"/>
              </w:rPr>
            </w:pPr>
            <w:r>
              <w:rPr>
                <w:rFonts w:hint="eastAsia" w:ascii="宋体" w:hAnsi="宋体" w:eastAsia="宋体" w:cs="宋体"/>
                <w:kern w:val="0"/>
                <w:sz w:val="21"/>
                <w:szCs w:val="21"/>
              </w:rPr>
              <w:t>（2）“备份磋商响应文件”（如有）：以介质存储的数据电文形式（U 盘）并密封包装后递交一份。</w:t>
            </w:r>
          </w:p>
        </w:tc>
      </w:tr>
      <w:tr w14:paraId="1AC1C3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96" w:hRule="atLeast"/>
          <w:jc w:val="center"/>
        </w:trPr>
        <w:tc>
          <w:tcPr>
            <w:tcW w:w="496" w:type="dxa"/>
            <w:noWrap/>
            <w:vAlign w:val="center"/>
          </w:tcPr>
          <w:p w14:paraId="4B44D6BC">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10</w:t>
            </w:r>
          </w:p>
        </w:tc>
        <w:tc>
          <w:tcPr>
            <w:tcW w:w="1467" w:type="dxa"/>
            <w:noWrap/>
            <w:vAlign w:val="center"/>
          </w:tcPr>
          <w:p w14:paraId="16D9DEA4">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响应文件的上传和递交</w:t>
            </w:r>
          </w:p>
        </w:tc>
        <w:tc>
          <w:tcPr>
            <w:tcW w:w="7675" w:type="dxa"/>
            <w:noWrap/>
            <w:vAlign w:val="center"/>
          </w:tcPr>
          <w:p w14:paraId="0474BD80">
            <w:pPr>
              <w:widowControl/>
              <w:spacing w:before="24" w:beforeLines="10" w:line="264" w:lineRule="auto"/>
              <w:jc w:val="left"/>
              <w:rPr>
                <w:rFonts w:ascii="宋体" w:hAnsi="宋体" w:eastAsia="宋体" w:cs="宋体"/>
                <w:kern w:val="0"/>
                <w:sz w:val="21"/>
                <w:szCs w:val="21"/>
              </w:rPr>
            </w:pPr>
            <w:r>
              <w:rPr>
                <w:rFonts w:hint="eastAsia" w:ascii="宋体" w:hAnsi="宋体" w:eastAsia="宋体" w:cs="宋体"/>
                <w:b/>
                <w:bCs/>
                <w:kern w:val="0"/>
                <w:sz w:val="21"/>
                <w:szCs w:val="21"/>
              </w:rPr>
              <w:t>（1）“电子加密磋商响应文件”的上传、递交：</w:t>
            </w:r>
          </w:p>
          <w:p w14:paraId="7291F758">
            <w:pPr>
              <w:widowControl/>
              <w:spacing w:before="24" w:beforeLines="10" w:line="264" w:lineRule="auto"/>
              <w:jc w:val="left"/>
              <w:rPr>
                <w:rFonts w:ascii="宋体" w:hAnsi="宋体" w:eastAsia="宋体" w:cs="宋体"/>
                <w:kern w:val="0"/>
                <w:sz w:val="21"/>
                <w:szCs w:val="21"/>
              </w:rPr>
            </w:pPr>
            <w:r>
              <w:rPr>
                <w:rFonts w:hint="eastAsia" w:ascii="宋体" w:hAnsi="宋体" w:eastAsia="宋体" w:cs="宋体"/>
                <w:kern w:val="0"/>
                <w:sz w:val="21"/>
                <w:szCs w:val="21"/>
              </w:rPr>
              <w:t>a.供应商应在磋商截止时间前将“电子加密磋商响应文件”成功上传递交至“政府采购云平台”，否则视为无效。</w:t>
            </w:r>
          </w:p>
          <w:p w14:paraId="410A36D9">
            <w:pPr>
              <w:widowControl/>
              <w:spacing w:before="24" w:beforeLines="10" w:line="264" w:lineRule="auto"/>
              <w:jc w:val="left"/>
              <w:rPr>
                <w:rFonts w:ascii="宋体" w:hAnsi="宋体" w:eastAsia="宋体" w:cs="宋体"/>
                <w:kern w:val="0"/>
                <w:sz w:val="21"/>
                <w:szCs w:val="21"/>
              </w:rPr>
            </w:pPr>
            <w:r>
              <w:rPr>
                <w:rFonts w:hint="eastAsia" w:ascii="宋体" w:hAnsi="宋体" w:eastAsia="宋体" w:cs="宋体"/>
                <w:kern w:val="0"/>
                <w:sz w:val="21"/>
                <w:szCs w:val="21"/>
              </w:rPr>
              <w:t>b.“电子加密响应文件”成功上传递交后，供应商可自行打印响应文件接收回执。</w:t>
            </w:r>
          </w:p>
          <w:p w14:paraId="3A0D6262">
            <w:pPr>
              <w:widowControl/>
              <w:spacing w:before="24" w:beforeLines="10" w:line="264" w:lineRule="auto"/>
              <w:jc w:val="left"/>
              <w:rPr>
                <w:rFonts w:ascii="宋体" w:hAnsi="宋体" w:eastAsia="宋体" w:cs="宋体"/>
                <w:kern w:val="0"/>
                <w:sz w:val="21"/>
                <w:szCs w:val="21"/>
              </w:rPr>
            </w:pPr>
            <w:r>
              <w:rPr>
                <w:rFonts w:hint="eastAsia" w:ascii="宋体" w:hAnsi="宋体" w:eastAsia="宋体" w:cs="宋体"/>
                <w:b/>
                <w:bCs/>
                <w:kern w:val="0"/>
                <w:sz w:val="21"/>
                <w:szCs w:val="21"/>
              </w:rPr>
              <w:t>（2）“备份磋商响应文件”的密封包装、递交（如有）：</w:t>
            </w:r>
          </w:p>
          <w:p w14:paraId="20F8CE9A">
            <w:pPr>
              <w:pStyle w:val="26"/>
              <w:snapToGrid w:val="0"/>
              <w:spacing w:before="24" w:beforeLines="10" w:beforeAutospacing="0" w:afterAutospacing="0" w:line="264" w:lineRule="auto"/>
              <w:rPr>
                <w:rFonts w:hint="default" w:eastAsia="宋体" w:cs="宋体"/>
                <w:sz w:val="21"/>
                <w:szCs w:val="21"/>
              </w:rPr>
            </w:pPr>
            <w:r>
              <w:rPr>
                <w:rFonts w:eastAsia="宋体" w:cs="宋体"/>
                <w:sz w:val="21"/>
                <w:szCs w:val="21"/>
              </w:rPr>
              <w:t>a.供应商如提交备份响应文件，以介质存储的数据电文形式的备份响应文件应当密封，封皮应注明供应商名称、项目名称并加盖公章。（详见第六部分磋商响应文件格式-文件袋封面格式）</w:t>
            </w:r>
          </w:p>
          <w:p w14:paraId="042609D2">
            <w:pPr>
              <w:pStyle w:val="26"/>
              <w:snapToGrid w:val="0"/>
              <w:spacing w:before="24" w:beforeLines="10" w:beforeAutospacing="0" w:afterAutospacing="0" w:line="264" w:lineRule="auto"/>
              <w:rPr>
                <w:rFonts w:hint="default" w:eastAsia="宋体" w:cs="宋体"/>
                <w:sz w:val="21"/>
                <w:szCs w:val="21"/>
              </w:rPr>
            </w:pPr>
            <w:r>
              <w:rPr>
                <w:rFonts w:eastAsia="宋体" w:cs="宋体"/>
                <w:sz w:val="21"/>
                <w:szCs w:val="21"/>
              </w:rPr>
              <w:t>b.磋商截止时间前将以介质存储的数据电文形式的备份响应文件单独密封后邮寄至采购代理机构，或磋商截止时间前派人将以介质存储的数据电文形式的备份磋商响应文件密封提交到开标室</w:t>
            </w:r>
            <w:r>
              <w:rPr>
                <w:rFonts w:eastAsia="宋体" w:cs="宋体"/>
                <w:b/>
                <w:bCs/>
                <w:sz w:val="21"/>
                <w:szCs w:val="21"/>
              </w:rPr>
              <w:t>（采用快递形式邮寄的建议在磋商截止时间</w:t>
            </w:r>
            <w:r>
              <w:rPr>
                <w:rFonts w:eastAsia="宋体" w:cs="宋体"/>
                <w:sz w:val="21"/>
                <w:szCs w:val="21"/>
              </w:rPr>
              <w:t>前一个工作日下午16:00整</w:t>
            </w:r>
            <w:r>
              <w:rPr>
                <w:rFonts w:eastAsia="宋体" w:cs="宋体"/>
                <w:b/>
                <w:bCs/>
                <w:sz w:val="21"/>
                <w:szCs w:val="21"/>
              </w:rPr>
              <w:t>送达，邮寄地址、收件人及电话详见代理机构联系方式）。</w:t>
            </w:r>
            <w:r>
              <w:rPr>
                <w:rFonts w:eastAsia="宋体" w:cs="宋体"/>
                <w:sz w:val="21"/>
                <w:szCs w:val="21"/>
              </w:rPr>
              <w:t>逾期送达或未密封的磋商响应文件将被采购人及采购代理机构拒收。</w:t>
            </w:r>
          </w:p>
          <w:p w14:paraId="4F529C1F">
            <w:pPr>
              <w:widowControl/>
              <w:spacing w:before="24" w:beforeLines="10" w:line="264" w:lineRule="auto"/>
              <w:jc w:val="left"/>
              <w:rPr>
                <w:rFonts w:ascii="宋体" w:hAnsi="宋体" w:eastAsia="宋体" w:cs="宋体"/>
                <w:kern w:val="0"/>
                <w:sz w:val="21"/>
                <w:szCs w:val="21"/>
              </w:rPr>
            </w:pPr>
            <w:r>
              <w:rPr>
                <w:rFonts w:hint="eastAsia" w:ascii="宋体" w:hAnsi="宋体" w:eastAsia="宋体" w:cs="宋体"/>
                <w:kern w:val="0"/>
                <w:sz w:val="21"/>
                <w:szCs w:val="21"/>
              </w:rPr>
              <w:t>（3）响应文件提交截止时间前，供应商仅递交了“备份磋商响应文件”</w:t>
            </w:r>
          </w:p>
          <w:p w14:paraId="177FCB74">
            <w:pPr>
              <w:widowControl/>
              <w:spacing w:before="24" w:beforeLines="10" w:line="264" w:lineRule="auto"/>
              <w:jc w:val="left"/>
              <w:rPr>
                <w:rFonts w:ascii="宋体" w:hAnsi="宋体" w:eastAsia="宋体" w:cs="宋体"/>
                <w:kern w:val="0"/>
                <w:sz w:val="21"/>
                <w:szCs w:val="21"/>
              </w:rPr>
            </w:pPr>
            <w:r>
              <w:rPr>
                <w:rFonts w:hint="eastAsia" w:ascii="宋体" w:hAnsi="宋体" w:eastAsia="宋体" w:cs="宋体"/>
                <w:kern w:val="0"/>
                <w:sz w:val="21"/>
                <w:szCs w:val="21"/>
              </w:rPr>
              <w:t>而未将电子加密磋商响应文件上传至“政府采购云平台”的，视为无效。</w:t>
            </w:r>
          </w:p>
          <w:p w14:paraId="5E1EB047">
            <w:pPr>
              <w:widowControl/>
              <w:spacing w:before="24" w:beforeLines="10" w:line="264" w:lineRule="auto"/>
              <w:jc w:val="left"/>
              <w:rPr>
                <w:rFonts w:ascii="宋体" w:hAnsi="宋体" w:eastAsia="宋体" w:cs="宋体"/>
                <w:kern w:val="0"/>
                <w:sz w:val="21"/>
                <w:szCs w:val="21"/>
              </w:rPr>
            </w:pPr>
            <w:r>
              <w:rPr>
                <w:rFonts w:hint="eastAsia" w:ascii="宋体" w:hAnsi="宋体" w:eastAsia="宋体" w:cs="宋体"/>
                <w:b/>
                <w:bCs/>
                <w:kern w:val="0"/>
                <w:sz w:val="21"/>
                <w:szCs w:val="21"/>
              </w:rPr>
              <w:t>注：</w:t>
            </w:r>
            <w:r>
              <w:rPr>
                <w:rFonts w:hint="eastAsia" w:ascii="宋体" w:hAnsi="宋体" w:eastAsia="宋体" w:cs="宋体"/>
                <w:b/>
                <w:bCs/>
                <w:sz w:val="21"/>
                <w:szCs w:val="21"/>
              </w:rPr>
              <w:t>备份响应文件仅在在线解密异常处理时使用。响应文件已按时解密的，备份响应文件自动失效。</w:t>
            </w:r>
          </w:p>
        </w:tc>
      </w:tr>
      <w:tr w14:paraId="051EED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98" w:hRule="atLeast"/>
          <w:jc w:val="center"/>
        </w:trPr>
        <w:tc>
          <w:tcPr>
            <w:tcW w:w="496" w:type="dxa"/>
            <w:noWrap/>
            <w:vAlign w:val="center"/>
          </w:tcPr>
          <w:p w14:paraId="659229CC">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11</w:t>
            </w:r>
          </w:p>
        </w:tc>
        <w:tc>
          <w:tcPr>
            <w:tcW w:w="1467" w:type="dxa"/>
            <w:noWrap/>
            <w:vAlign w:val="center"/>
          </w:tcPr>
          <w:p w14:paraId="1ED90316">
            <w:pPr>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▲响应文件磋商</w:t>
            </w:r>
          </w:p>
          <w:p w14:paraId="77D32CEB">
            <w:pPr>
              <w:spacing w:before="24" w:beforeLines="10" w:line="264" w:lineRule="auto"/>
              <w:jc w:val="center"/>
              <w:rPr>
                <w:rFonts w:ascii="宋体" w:hAnsi="宋体" w:eastAsia="宋体" w:cs="宋体"/>
                <w:sz w:val="21"/>
                <w:szCs w:val="21"/>
              </w:rPr>
            </w:pPr>
            <w:r>
              <w:rPr>
                <w:rFonts w:hint="eastAsia" w:ascii="宋体" w:hAnsi="宋体" w:eastAsia="宋体" w:cs="宋体"/>
                <w:bCs/>
                <w:sz w:val="21"/>
                <w:szCs w:val="21"/>
              </w:rPr>
              <w:t>截止时间</w:t>
            </w:r>
          </w:p>
        </w:tc>
        <w:tc>
          <w:tcPr>
            <w:tcW w:w="7675" w:type="dxa"/>
            <w:noWrap/>
            <w:vAlign w:val="center"/>
          </w:tcPr>
          <w:p w14:paraId="0525B66A">
            <w:pPr>
              <w:spacing w:before="24" w:beforeLines="10" w:line="264" w:lineRule="auto"/>
              <w:rPr>
                <w:rFonts w:ascii="宋体" w:hAnsi="宋体" w:eastAsia="宋体" w:cs="宋体"/>
                <w:sz w:val="21"/>
                <w:szCs w:val="21"/>
              </w:rPr>
            </w:pPr>
            <w:r>
              <w:rPr>
                <w:rFonts w:hint="eastAsia" w:ascii="宋体" w:hAnsi="宋体" w:eastAsia="宋体" w:cs="宋体"/>
                <w:sz w:val="21"/>
                <w:szCs w:val="21"/>
              </w:rPr>
              <w:t>供应商应当在</w:t>
            </w:r>
            <w:r>
              <w:rPr>
                <w:rFonts w:hint="eastAsia" w:ascii="宋体" w:hAnsi="宋体" w:eastAsia="宋体" w:cs="宋体"/>
                <w:b/>
                <w:bCs/>
                <w:sz w:val="21"/>
                <w:szCs w:val="21"/>
              </w:rPr>
              <w:t>磋商截止时间：</w:t>
            </w:r>
            <w:r>
              <w:rPr>
                <w:rFonts w:hint="eastAsia" w:ascii="宋体" w:hAnsi="宋体" w:eastAsia="宋体" w:cs="宋体"/>
                <w:b/>
                <w:bCs/>
                <w:sz w:val="21"/>
                <w:szCs w:val="21"/>
                <w:highlight w:val="yellow"/>
              </w:rPr>
              <w:t>202</w:t>
            </w:r>
            <w:r>
              <w:rPr>
                <w:rFonts w:hint="eastAsia" w:ascii="宋体" w:hAnsi="宋体" w:eastAsia="宋体" w:cs="宋体"/>
                <w:b/>
                <w:bCs/>
                <w:sz w:val="21"/>
                <w:szCs w:val="21"/>
                <w:highlight w:val="yellow"/>
                <w:lang w:val="en-US" w:eastAsia="zh-CN"/>
              </w:rPr>
              <w:t>5</w:t>
            </w:r>
            <w:r>
              <w:rPr>
                <w:rFonts w:hint="eastAsia" w:ascii="宋体" w:hAnsi="宋体" w:eastAsia="宋体" w:cs="宋体"/>
                <w:b/>
                <w:bCs/>
                <w:sz w:val="21"/>
                <w:szCs w:val="21"/>
                <w:highlight w:val="yellow"/>
              </w:rPr>
              <w:t>年</w:t>
            </w:r>
            <w:r>
              <w:rPr>
                <w:rFonts w:hint="eastAsia" w:ascii="宋体" w:hAnsi="宋体" w:eastAsia="宋体" w:cs="宋体"/>
                <w:b/>
                <w:bCs/>
                <w:sz w:val="21"/>
                <w:szCs w:val="21"/>
                <w:highlight w:val="yellow"/>
                <w:lang w:val="en-US" w:eastAsia="zh-CN"/>
              </w:rPr>
              <w:t>7</w:t>
            </w:r>
            <w:r>
              <w:rPr>
                <w:rFonts w:hint="eastAsia" w:ascii="宋体" w:hAnsi="宋体" w:eastAsia="宋体" w:cs="宋体"/>
                <w:b/>
                <w:bCs/>
                <w:sz w:val="21"/>
                <w:szCs w:val="21"/>
                <w:highlight w:val="yellow"/>
              </w:rPr>
              <w:t>月</w:t>
            </w:r>
            <w:r>
              <w:rPr>
                <w:rFonts w:hint="eastAsia" w:ascii="宋体" w:hAnsi="宋体" w:eastAsia="宋体" w:cs="宋体"/>
                <w:b/>
                <w:bCs/>
                <w:sz w:val="21"/>
                <w:szCs w:val="21"/>
                <w:highlight w:val="yellow"/>
                <w:lang w:val="en-US" w:eastAsia="zh-CN"/>
              </w:rPr>
              <w:t>7</w:t>
            </w:r>
            <w:r>
              <w:rPr>
                <w:rFonts w:hint="eastAsia" w:ascii="宋体" w:hAnsi="宋体" w:eastAsia="宋体" w:cs="宋体"/>
                <w:b/>
                <w:bCs/>
                <w:sz w:val="21"/>
                <w:szCs w:val="21"/>
                <w:highlight w:val="yellow"/>
              </w:rPr>
              <w:t>日</w:t>
            </w:r>
            <w:r>
              <w:rPr>
                <w:rFonts w:hint="eastAsia" w:ascii="宋体" w:hAnsi="宋体" w:eastAsia="宋体" w:cs="宋体"/>
                <w:b/>
                <w:bCs/>
                <w:sz w:val="21"/>
                <w:szCs w:val="21"/>
              </w:rPr>
              <w:t>9:00（北京时间）前</w:t>
            </w:r>
            <w:r>
              <w:rPr>
                <w:rFonts w:hint="eastAsia" w:ascii="宋体" w:hAnsi="宋体" w:eastAsia="宋体" w:cs="宋体"/>
                <w:sz w:val="21"/>
                <w:szCs w:val="21"/>
              </w:rPr>
              <w:t>完成电子响应文件的传输提交，磋商截止时间前可以补充、修回电子磋商响应文件。补充或者修改电子磋商响应文件的，应当先行撤改或者撤回原文件，补充、修改后重新传输提交。磋商截止时间前未完成传输的，视为撤回电子磋商响应文件。</w:t>
            </w:r>
          </w:p>
        </w:tc>
      </w:tr>
      <w:tr w14:paraId="533FAE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496" w:type="dxa"/>
            <w:noWrap/>
            <w:vAlign w:val="center"/>
          </w:tcPr>
          <w:p w14:paraId="235A8E3F">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12</w:t>
            </w:r>
          </w:p>
        </w:tc>
        <w:tc>
          <w:tcPr>
            <w:tcW w:w="1467" w:type="dxa"/>
            <w:noWrap/>
            <w:vAlign w:val="center"/>
          </w:tcPr>
          <w:p w14:paraId="3289696A">
            <w:pPr>
              <w:snapToGrid w:val="0"/>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开标时间</w:t>
            </w:r>
          </w:p>
          <w:p w14:paraId="35C2272C">
            <w:pPr>
              <w:snapToGrid w:val="0"/>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及地点</w:t>
            </w:r>
          </w:p>
        </w:tc>
        <w:tc>
          <w:tcPr>
            <w:tcW w:w="7675" w:type="dxa"/>
            <w:noWrap/>
            <w:vAlign w:val="center"/>
          </w:tcPr>
          <w:p w14:paraId="5838AF06">
            <w:pPr>
              <w:spacing w:before="24" w:beforeLines="10" w:line="264" w:lineRule="auto"/>
              <w:jc w:val="left"/>
              <w:rPr>
                <w:rFonts w:ascii="宋体" w:hAnsi="宋体" w:eastAsia="宋体" w:cs="宋体"/>
                <w:b/>
                <w:sz w:val="21"/>
                <w:szCs w:val="21"/>
              </w:rPr>
            </w:pPr>
            <w:r>
              <w:rPr>
                <w:rFonts w:hint="eastAsia" w:ascii="宋体" w:hAnsi="宋体" w:eastAsia="宋体" w:cs="宋体"/>
                <w:b/>
                <w:sz w:val="21"/>
                <w:szCs w:val="21"/>
              </w:rPr>
              <w:t>开标时间：</w:t>
            </w:r>
            <w:r>
              <w:rPr>
                <w:rFonts w:hint="eastAsia" w:ascii="宋体" w:hAnsi="宋体" w:eastAsia="宋体" w:cs="宋体"/>
                <w:b/>
                <w:bCs/>
                <w:sz w:val="21"/>
                <w:szCs w:val="21"/>
                <w:highlight w:val="yellow"/>
              </w:rPr>
              <w:t>202</w:t>
            </w:r>
            <w:r>
              <w:rPr>
                <w:rFonts w:hint="eastAsia" w:ascii="宋体" w:hAnsi="宋体" w:eastAsia="宋体" w:cs="宋体"/>
                <w:b/>
                <w:bCs/>
                <w:sz w:val="21"/>
                <w:szCs w:val="21"/>
                <w:highlight w:val="yellow"/>
                <w:lang w:val="en-US" w:eastAsia="zh-CN"/>
              </w:rPr>
              <w:t>5</w:t>
            </w:r>
            <w:r>
              <w:rPr>
                <w:rFonts w:hint="eastAsia" w:ascii="宋体" w:hAnsi="宋体" w:eastAsia="宋体" w:cs="宋体"/>
                <w:b/>
                <w:bCs/>
                <w:sz w:val="21"/>
                <w:szCs w:val="21"/>
                <w:highlight w:val="yellow"/>
              </w:rPr>
              <w:t>年</w:t>
            </w:r>
            <w:r>
              <w:rPr>
                <w:rFonts w:hint="eastAsia" w:ascii="宋体" w:hAnsi="宋体" w:eastAsia="宋体" w:cs="宋体"/>
                <w:b/>
                <w:bCs/>
                <w:sz w:val="21"/>
                <w:szCs w:val="21"/>
                <w:highlight w:val="yellow"/>
                <w:lang w:val="en-US" w:eastAsia="zh-CN"/>
              </w:rPr>
              <w:t>7</w:t>
            </w:r>
            <w:r>
              <w:rPr>
                <w:rFonts w:hint="eastAsia" w:ascii="宋体" w:hAnsi="宋体" w:eastAsia="宋体" w:cs="宋体"/>
                <w:b/>
                <w:bCs/>
                <w:sz w:val="21"/>
                <w:szCs w:val="21"/>
                <w:highlight w:val="yellow"/>
              </w:rPr>
              <w:t>月</w:t>
            </w:r>
            <w:r>
              <w:rPr>
                <w:rFonts w:hint="eastAsia" w:ascii="宋体" w:hAnsi="宋体" w:eastAsia="宋体" w:cs="宋体"/>
                <w:b/>
                <w:bCs/>
                <w:sz w:val="21"/>
                <w:szCs w:val="21"/>
                <w:highlight w:val="yellow"/>
                <w:lang w:val="en-US" w:eastAsia="zh-CN"/>
              </w:rPr>
              <w:t>7</w:t>
            </w:r>
            <w:r>
              <w:rPr>
                <w:rFonts w:hint="eastAsia" w:ascii="宋体" w:hAnsi="宋体" w:eastAsia="宋体" w:cs="宋体"/>
                <w:b/>
                <w:bCs/>
                <w:sz w:val="21"/>
                <w:szCs w:val="21"/>
                <w:highlight w:val="yellow"/>
              </w:rPr>
              <w:t>日</w:t>
            </w:r>
            <w:r>
              <w:rPr>
                <w:rFonts w:hint="eastAsia" w:ascii="宋体" w:hAnsi="宋体" w:eastAsia="宋体" w:cs="宋体"/>
                <w:b/>
                <w:bCs/>
                <w:sz w:val="21"/>
                <w:szCs w:val="21"/>
              </w:rPr>
              <w:t>9:00</w:t>
            </w:r>
            <w:r>
              <w:rPr>
                <w:rFonts w:hint="eastAsia" w:ascii="宋体" w:hAnsi="宋体" w:eastAsia="宋体" w:cs="宋体"/>
                <w:b/>
                <w:sz w:val="21"/>
                <w:szCs w:val="21"/>
              </w:rPr>
              <w:t>（北京时间）</w:t>
            </w:r>
          </w:p>
          <w:p w14:paraId="4A1465AA">
            <w:pPr>
              <w:pStyle w:val="3"/>
              <w:rPr>
                <w:rFonts w:eastAsia="宋体"/>
              </w:rPr>
            </w:pPr>
            <w:r>
              <w:rPr>
                <w:rFonts w:hint="eastAsia" w:eastAsia="宋体"/>
                <w:b/>
              </w:rPr>
              <w:t>地点：</w:t>
            </w:r>
          </w:p>
        </w:tc>
      </w:tr>
      <w:tr w14:paraId="511BD5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496" w:type="dxa"/>
            <w:tcBorders>
              <w:bottom w:val="single" w:color="auto" w:sz="4" w:space="0"/>
            </w:tcBorders>
            <w:noWrap/>
            <w:vAlign w:val="center"/>
          </w:tcPr>
          <w:p w14:paraId="60E47259">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13</w:t>
            </w:r>
          </w:p>
        </w:tc>
        <w:tc>
          <w:tcPr>
            <w:tcW w:w="1467" w:type="dxa"/>
            <w:tcBorders>
              <w:bottom w:val="single" w:color="auto" w:sz="4" w:space="0"/>
            </w:tcBorders>
            <w:noWrap/>
            <w:vAlign w:val="center"/>
          </w:tcPr>
          <w:p w14:paraId="76153FD2">
            <w:pPr>
              <w:snapToGrid w:val="0"/>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备份响应文件拒收</w:t>
            </w:r>
          </w:p>
          <w:p w14:paraId="4EFB031B">
            <w:pPr>
              <w:snapToGrid w:val="0"/>
              <w:spacing w:before="24" w:beforeLines="10" w:line="264" w:lineRule="auto"/>
              <w:jc w:val="center"/>
              <w:rPr>
                <w:rFonts w:ascii="宋体" w:hAnsi="宋体" w:eastAsia="宋体" w:cs="宋体"/>
                <w:bCs/>
                <w:sz w:val="21"/>
                <w:szCs w:val="21"/>
              </w:rPr>
            </w:pPr>
            <w:r>
              <w:rPr>
                <w:rFonts w:hint="eastAsia" w:ascii="宋体" w:hAnsi="宋体" w:eastAsia="宋体" w:cs="宋体"/>
                <w:bCs/>
                <w:sz w:val="21"/>
                <w:szCs w:val="21"/>
              </w:rPr>
              <w:t>（如有）</w:t>
            </w:r>
          </w:p>
        </w:tc>
        <w:tc>
          <w:tcPr>
            <w:tcW w:w="7675" w:type="dxa"/>
            <w:tcBorders>
              <w:bottom w:val="single" w:color="auto" w:sz="4" w:space="0"/>
            </w:tcBorders>
            <w:noWrap/>
            <w:vAlign w:val="center"/>
          </w:tcPr>
          <w:p w14:paraId="13F7339D">
            <w:pPr>
              <w:spacing w:before="24" w:beforeLines="10" w:line="264" w:lineRule="auto"/>
              <w:jc w:val="left"/>
              <w:rPr>
                <w:rFonts w:ascii="宋体" w:hAnsi="宋体" w:eastAsia="宋体" w:cs="宋体"/>
                <w:b/>
                <w:kern w:val="0"/>
                <w:sz w:val="21"/>
                <w:szCs w:val="21"/>
              </w:rPr>
            </w:pPr>
            <w:r>
              <w:rPr>
                <w:rFonts w:hint="eastAsia" w:ascii="宋体" w:hAnsi="宋体" w:eastAsia="宋体" w:cs="宋体"/>
                <w:b/>
                <w:kern w:val="0"/>
                <w:sz w:val="21"/>
                <w:szCs w:val="21"/>
              </w:rPr>
              <w:t>供应商若递交备份磋商响应文件时，如出现下列情况之一的，将予以拒收：</w:t>
            </w:r>
          </w:p>
          <w:p w14:paraId="2079F9D2">
            <w:pPr>
              <w:spacing w:before="24" w:beforeLines="10" w:line="264" w:lineRule="auto"/>
              <w:jc w:val="left"/>
              <w:rPr>
                <w:rFonts w:ascii="宋体" w:hAnsi="宋体" w:eastAsia="宋体" w:cs="宋体"/>
                <w:bCs/>
                <w:sz w:val="21"/>
                <w:szCs w:val="21"/>
              </w:rPr>
            </w:pPr>
            <w:r>
              <w:rPr>
                <w:rFonts w:hint="eastAsia" w:ascii="宋体" w:hAnsi="宋体" w:eastAsia="宋体" w:cs="宋体"/>
                <w:bCs/>
                <w:sz w:val="21"/>
                <w:szCs w:val="21"/>
              </w:rPr>
              <w:t>1、未按规定密封或标记的磋商响应文件；</w:t>
            </w:r>
          </w:p>
          <w:p w14:paraId="62C81E92">
            <w:pPr>
              <w:spacing w:before="24" w:beforeLines="10" w:line="264" w:lineRule="auto"/>
              <w:jc w:val="left"/>
              <w:rPr>
                <w:rFonts w:ascii="宋体" w:hAnsi="宋体" w:eastAsia="宋体" w:cs="宋体"/>
                <w:bCs/>
                <w:sz w:val="21"/>
                <w:szCs w:val="21"/>
              </w:rPr>
            </w:pPr>
            <w:r>
              <w:rPr>
                <w:rFonts w:hint="eastAsia" w:ascii="宋体" w:hAnsi="宋体" w:eastAsia="宋体" w:cs="宋体"/>
                <w:bCs/>
                <w:sz w:val="21"/>
                <w:szCs w:val="21"/>
              </w:rPr>
              <w:t>2、由于包装不妥，在送交途中严重破损或失散的；</w:t>
            </w:r>
          </w:p>
          <w:p w14:paraId="292686CA">
            <w:pPr>
              <w:widowControl/>
              <w:spacing w:before="24" w:beforeLines="10" w:line="264" w:lineRule="auto"/>
              <w:jc w:val="left"/>
              <w:rPr>
                <w:rFonts w:ascii="宋体" w:hAnsi="宋体" w:eastAsia="宋体" w:cs="宋体"/>
                <w:sz w:val="21"/>
                <w:szCs w:val="21"/>
              </w:rPr>
            </w:pPr>
            <w:r>
              <w:rPr>
                <w:rFonts w:hint="eastAsia" w:ascii="宋体" w:hAnsi="宋体" w:eastAsia="宋体" w:cs="宋体"/>
                <w:bCs/>
                <w:sz w:val="21"/>
                <w:szCs w:val="21"/>
              </w:rPr>
              <w:t>3、超过磋商截止时间送达的。</w:t>
            </w:r>
          </w:p>
        </w:tc>
      </w:tr>
      <w:tr w14:paraId="589CD9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496" w:type="dxa"/>
            <w:tcBorders>
              <w:bottom w:val="single" w:color="auto" w:sz="4" w:space="0"/>
            </w:tcBorders>
            <w:noWrap/>
            <w:vAlign w:val="center"/>
          </w:tcPr>
          <w:p w14:paraId="77E6DF40">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14</w:t>
            </w:r>
          </w:p>
        </w:tc>
        <w:tc>
          <w:tcPr>
            <w:tcW w:w="1467" w:type="dxa"/>
            <w:tcBorders>
              <w:bottom w:val="single" w:color="auto" w:sz="4" w:space="0"/>
            </w:tcBorders>
            <w:noWrap/>
            <w:vAlign w:val="center"/>
          </w:tcPr>
          <w:p w14:paraId="59A029BC">
            <w:pPr>
              <w:autoSpaceDE w:val="0"/>
              <w:autoSpaceDN w:val="0"/>
              <w:adjustRightInd w:val="0"/>
              <w:spacing w:before="24" w:beforeLines="10" w:line="264" w:lineRule="auto"/>
              <w:jc w:val="center"/>
              <w:rPr>
                <w:rFonts w:ascii="宋体" w:hAnsi="宋体" w:eastAsia="宋体" w:cs="宋体"/>
                <w:sz w:val="21"/>
                <w:szCs w:val="21"/>
                <w:lang w:val="zh-CN"/>
              </w:rPr>
            </w:pPr>
            <w:r>
              <w:rPr>
                <w:rFonts w:hint="eastAsia" w:ascii="宋体" w:hAnsi="宋体" w:eastAsia="宋体" w:cs="宋体"/>
                <w:sz w:val="21"/>
                <w:szCs w:val="21"/>
                <w:lang w:val="zh-CN"/>
              </w:rPr>
              <w:t>实质性条款</w:t>
            </w:r>
          </w:p>
        </w:tc>
        <w:tc>
          <w:tcPr>
            <w:tcW w:w="7675" w:type="dxa"/>
            <w:tcBorders>
              <w:bottom w:val="single" w:color="auto" w:sz="4" w:space="0"/>
            </w:tcBorders>
            <w:noWrap/>
            <w:vAlign w:val="center"/>
          </w:tcPr>
          <w:p w14:paraId="5BFDC257">
            <w:pPr>
              <w:autoSpaceDE w:val="0"/>
              <w:autoSpaceDN w:val="0"/>
              <w:adjustRightInd w:val="0"/>
              <w:spacing w:before="24" w:beforeLines="10" w:line="264" w:lineRule="auto"/>
              <w:rPr>
                <w:rFonts w:ascii="宋体" w:hAnsi="宋体" w:eastAsia="宋体" w:cs="宋体"/>
                <w:kern w:val="0"/>
                <w:sz w:val="21"/>
                <w:szCs w:val="21"/>
                <w:lang w:val="zh-CN"/>
              </w:rPr>
            </w:pPr>
            <w:r>
              <w:rPr>
                <w:rFonts w:hint="eastAsia" w:ascii="宋体" w:hAnsi="宋体" w:eastAsia="宋体" w:cs="宋体"/>
                <w:kern w:val="0"/>
                <w:sz w:val="21"/>
                <w:szCs w:val="21"/>
                <w:lang w:val="zh-CN"/>
              </w:rPr>
              <w:t>带</w:t>
            </w:r>
            <w:r>
              <w:rPr>
                <w:rFonts w:hint="eastAsia" w:ascii="宋体" w:hAnsi="宋体" w:eastAsia="宋体" w:cs="宋体"/>
                <w:bCs/>
                <w:sz w:val="21"/>
                <w:szCs w:val="21"/>
              </w:rPr>
              <w:t>▲是实质性条款，磋商响应文件须作出实质性响应，否则作无效标处理。</w:t>
            </w:r>
          </w:p>
        </w:tc>
      </w:tr>
      <w:tr w14:paraId="12E81B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jc w:val="center"/>
        </w:trPr>
        <w:tc>
          <w:tcPr>
            <w:tcW w:w="496" w:type="dxa"/>
            <w:tcBorders>
              <w:top w:val="single" w:color="auto" w:sz="4" w:space="0"/>
              <w:bottom w:val="single" w:color="auto" w:sz="4" w:space="0"/>
            </w:tcBorders>
            <w:noWrap/>
            <w:vAlign w:val="center"/>
          </w:tcPr>
          <w:p w14:paraId="43AA720F">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15</w:t>
            </w:r>
          </w:p>
        </w:tc>
        <w:tc>
          <w:tcPr>
            <w:tcW w:w="1467" w:type="dxa"/>
            <w:tcBorders>
              <w:top w:val="single" w:color="auto" w:sz="4" w:space="0"/>
              <w:bottom w:val="single" w:color="auto" w:sz="4" w:space="0"/>
            </w:tcBorders>
            <w:noWrap/>
            <w:vAlign w:val="center"/>
          </w:tcPr>
          <w:p w14:paraId="4B25EA83">
            <w:pPr>
              <w:autoSpaceDE w:val="0"/>
              <w:autoSpaceDN w:val="0"/>
              <w:adjustRightInd w:val="0"/>
              <w:spacing w:before="24" w:beforeLines="10" w:line="264" w:lineRule="auto"/>
              <w:jc w:val="center"/>
              <w:rPr>
                <w:rFonts w:ascii="宋体" w:hAnsi="宋体" w:eastAsia="宋体" w:cs="宋体"/>
                <w:bCs/>
                <w:sz w:val="21"/>
                <w:szCs w:val="21"/>
                <w:lang w:val="zh-CN"/>
              </w:rPr>
            </w:pPr>
            <w:r>
              <w:rPr>
                <w:rFonts w:hint="eastAsia" w:ascii="宋体" w:hAnsi="宋体" w:eastAsia="宋体" w:cs="宋体"/>
                <w:bCs/>
                <w:sz w:val="21"/>
                <w:szCs w:val="21"/>
              </w:rPr>
              <w:t>▲项目最高限价</w:t>
            </w:r>
          </w:p>
        </w:tc>
        <w:tc>
          <w:tcPr>
            <w:tcW w:w="7675" w:type="dxa"/>
            <w:tcBorders>
              <w:top w:val="single" w:color="auto" w:sz="4" w:space="0"/>
              <w:bottom w:val="single" w:color="auto" w:sz="4" w:space="0"/>
            </w:tcBorders>
            <w:noWrap/>
            <w:vAlign w:val="center"/>
          </w:tcPr>
          <w:p w14:paraId="37DE1415">
            <w:pPr>
              <w:autoSpaceDE w:val="0"/>
              <w:autoSpaceDN w:val="0"/>
              <w:adjustRightInd w:val="0"/>
              <w:spacing w:before="24" w:beforeLines="10" w:line="264" w:lineRule="auto"/>
              <w:rPr>
                <w:rFonts w:ascii="宋体" w:hAnsi="宋体" w:eastAsia="宋体" w:cs="宋体"/>
                <w:bCs/>
                <w:sz w:val="21"/>
                <w:szCs w:val="21"/>
                <w:lang w:val="zh-CN"/>
              </w:rPr>
            </w:pPr>
            <w:r>
              <w:rPr>
                <w:rFonts w:hint="eastAsia" w:ascii="宋体" w:hAnsi="宋体" w:eastAsia="宋体" w:cs="宋体"/>
                <w:bCs/>
                <w:sz w:val="21"/>
                <w:szCs w:val="21"/>
              </w:rPr>
              <w:t>最高限价为</w:t>
            </w:r>
            <w:r>
              <w:rPr>
                <w:rFonts w:hint="eastAsia" w:ascii="宋体" w:hAnsi="宋体" w:eastAsia="宋体" w:cs="宋体"/>
                <w:b/>
                <w:sz w:val="21"/>
                <w:szCs w:val="21"/>
                <w:u w:val="single"/>
                <w:lang w:val="en-US" w:eastAsia="zh-CN"/>
              </w:rPr>
              <w:t>930000</w:t>
            </w:r>
            <w:r>
              <w:rPr>
                <w:rFonts w:hint="eastAsia" w:ascii="宋体" w:hAnsi="宋体" w:eastAsia="宋体" w:cs="宋体"/>
                <w:b/>
                <w:sz w:val="21"/>
                <w:szCs w:val="21"/>
                <w:lang w:val="zh-CN"/>
              </w:rPr>
              <w:t>元</w:t>
            </w:r>
            <w:r>
              <w:rPr>
                <w:rFonts w:hint="eastAsia" w:ascii="宋体" w:hAnsi="宋体" w:eastAsia="宋体" w:cs="宋体"/>
                <w:bCs/>
                <w:sz w:val="21"/>
                <w:szCs w:val="21"/>
              </w:rPr>
              <w:t>。如供应商的磋商报价超过最高限价，其磋商响应文件作无效标处理。</w:t>
            </w:r>
          </w:p>
        </w:tc>
      </w:tr>
      <w:tr w14:paraId="15DF18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jc w:val="center"/>
        </w:trPr>
        <w:tc>
          <w:tcPr>
            <w:tcW w:w="496" w:type="dxa"/>
            <w:tcBorders>
              <w:top w:val="single" w:color="auto" w:sz="4" w:space="0"/>
              <w:bottom w:val="single" w:color="auto" w:sz="4" w:space="0"/>
            </w:tcBorders>
            <w:noWrap/>
            <w:vAlign w:val="center"/>
          </w:tcPr>
          <w:p w14:paraId="2F181A60">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16</w:t>
            </w:r>
          </w:p>
        </w:tc>
        <w:tc>
          <w:tcPr>
            <w:tcW w:w="1467" w:type="dxa"/>
            <w:tcBorders>
              <w:top w:val="single" w:color="auto" w:sz="4" w:space="0"/>
              <w:bottom w:val="single" w:color="auto" w:sz="4" w:space="0"/>
            </w:tcBorders>
            <w:noWrap/>
            <w:vAlign w:val="center"/>
          </w:tcPr>
          <w:p w14:paraId="5C3DCE10">
            <w:pPr>
              <w:autoSpaceDE w:val="0"/>
              <w:autoSpaceDN w:val="0"/>
              <w:adjustRightInd w:val="0"/>
              <w:spacing w:line="300" w:lineRule="exact"/>
              <w:jc w:val="center"/>
              <w:rPr>
                <w:rFonts w:ascii="宋体" w:hAnsi="宋体" w:eastAsia="宋体" w:cs="宋体"/>
                <w:bCs/>
                <w:sz w:val="21"/>
                <w:szCs w:val="21"/>
              </w:rPr>
            </w:pPr>
            <w:r>
              <w:rPr>
                <w:rFonts w:hint="eastAsia" w:ascii="宋体" w:hAnsi="宋体" w:eastAsia="宋体" w:cs="宋体"/>
                <w:kern w:val="0"/>
                <w:sz w:val="21"/>
                <w:szCs w:val="21"/>
              </w:rPr>
              <w:t>代理服务费</w:t>
            </w:r>
          </w:p>
        </w:tc>
        <w:tc>
          <w:tcPr>
            <w:tcW w:w="7675" w:type="dxa"/>
            <w:tcBorders>
              <w:top w:val="single" w:color="auto" w:sz="4" w:space="0"/>
              <w:bottom w:val="single" w:color="auto" w:sz="4" w:space="0"/>
            </w:tcBorders>
            <w:noWrap/>
            <w:vAlign w:val="center"/>
          </w:tcPr>
          <w:p w14:paraId="059DEAF7">
            <w:pPr>
              <w:autoSpaceDE w:val="0"/>
              <w:autoSpaceDN w:val="0"/>
              <w:spacing w:before="24" w:beforeLines="10"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按照下列表格中招标类计算标准（差额定率累进法）规定的工程招标费率的80%向采购人收取招标代理费，代理服务费结算时不足8000元的，按8000元收取。</w:t>
            </w:r>
          </w:p>
          <w:tbl>
            <w:tblPr>
              <w:tblStyle w:val="2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3"/>
              <w:gridCol w:w="1458"/>
              <w:gridCol w:w="1346"/>
              <w:gridCol w:w="1739"/>
            </w:tblGrid>
            <w:tr w14:paraId="2CDCB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49" w:type="pct"/>
                  <w:vAlign w:val="center"/>
                </w:tcPr>
                <w:p w14:paraId="164BA6DA">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服务类型、费率、中标金额（万元）</w:t>
                  </w:r>
                </w:p>
              </w:tc>
              <w:tc>
                <w:tcPr>
                  <w:tcW w:w="978" w:type="pct"/>
                  <w:vAlign w:val="center"/>
                </w:tcPr>
                <w:p w14:paraId="6F4CB79C">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货物招标</w:t>
                  </w:r>
                </w:p>
              </w:tc>
              <w:tc>
                <w:tcPr>
                  <w:tcW w:w="903" w:type="pct"/>
                  <w:vAlign w:val="center"/>
                </w:tcPr>
                <w:p w14:paraId="6D2CC146">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服务招标</w:t>
                  </w:r>
                </w:p>
              </w:tc>
              <w:tc>
                <w:tcPr>
                  <w:tcW w:w="1167" w:type="pct"/>
                  <w:vAlign w:val="center"/>
                </w:tcPr>
                <w:p w14:paraId="68FF7FF5">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工程招标</w:t>
                  </w:r>
                </w:p>
              </w:tc>
            </w:tr>
            <w:tr w14:paraId="2821C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49" w:type="pct"/>
                  <w:vAlign w:val="center"/>
                </w:tcPr>
                <w:p w14:paraId="2AA42EDE">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100以下</w:t>
                  </w:r>
                </w:p>
              </w:tc>
              <w:tc>
                <w:tcPr>
                  <w:tcW w:w="978" w:type="pct"/>
                  <w:vAlign w:val="center"/>
                </w:tcPr>
                <w:p w14:paraId="77A6B278">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1.50%</w:t>
                  </w:r>
                </w:p>
              </w:tc>
              <w:tc>
                <w:tcPr>
                  <w:tcW w:w="903" w:type="pct"/>
                  <w:vAlign w:val="center"/>
                </w:tcPr>
                <w:p w14:paraId="51198BCC">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1.50%</w:t>
                  </w:r>
                </w:p>
              </w:tc>
              <w:tc>
                <w:tcPr>
                  <w:tcW w:w="1167" w:type="pct"/>
                  <w:vAlign w:val="center"/>
                </w:tcPr>
                <w:p w14:paraId="5C14E1A8">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1.00%</w:t>
                  </w:r>
                </w:p>
              </w:tc>
            </w:tr>
            <w:tr w14:paraId="3EF83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49" w:type="pct"/>
                  <w:vAlign w:val="center"/>
                </w:tcPr>
                <w:p w14:paraId="33E8223A">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100-500</w:t>
                  </w:r>
                </w:p>
              </w:tc>
              <w:tc>
                <w:tcPr>
                  <w:tcW w:w="978" w:type="pct"/>
                  <w:vAlign w:val="center"/>
                </w:tcPr>
                <w:p w14:paraId="6B75D133">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1.10%</w:t>
                  </w:r>
                </w:p>
              </w:tc>
              <w:tc>
                <w:tcPr>
                  <w:tcW w:w="903" w:type="pct"/>
                  <w:vAlign w:val="center"/>
                </w:tcPr>
                <w:p w14:paraId="21E79255">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0.80%</w:t>
                  </w:r>
                </w:p>
              </w:tc>
              <w:tc>
                <w:tcPr>
                  <w:tcW w:w="1167" w:type="pct"/>
                  <w:vAlign w:val="center"/>
                </w:tcPr>
                <w:p w14:paraId="4BE583A5">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0.70%</w:t>
                  </w:r>
                </w:p>
              </w:tc>
            </w:tr>
            <w:tr w14:paraId="3BF9F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49" w:type="pct"/>
                  <w:vAlign w:val="center"/>
                </w:tcPr>
                <w:p w14:paraId="535717C4">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500-1000</w:t>
                  </w:r>
                </w:p>
              </w:tc>
              <w:tc>
                <w:tcPr>
                  <w:tcW w:w="978" w:type="pct"/>
                  <w:vAlign w:val="center"/>
                </w:tcPr>
                <w:p w14:paraId="4F379085">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0.80%</w:t>
                  </w:r>
                </w:p>
              </w:tc>
              <w:tc>
                <w:tcPr>
                  <w:tcW w:w="903" w:type="pct"/>
                  <w:vAlign w:val="center"/>
                </w:tcPr>
                <w:p w14:paraId="21B021C0">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0.45%</w:t>
                  </w:r>
                </w:p>
              </w:tc>
              <w:tc>
                <w:tcPr>
                  <w:tcW w:w="1167" w:type="pct"/>
                  <w:vAlign w:val="center"/>
                </w:tcPr>
                <w:p w14:paraId="7D0B77A5">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0.55%</w:t>
                  </w:r>
                </w:p>
              </w:tc>
            </w:tr>
            <w:tr w14:paraId="01070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49" w:type="pct"/>
                  <w:vAlign w:val="center"/>
                </w:tcPr>
                <w:p w14:paraId="009D0E6A">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1000-5000</w:t>
                  </w:r>
                </w:p>
              </w:tc>
              <w:tc>
                <w:tcPr>
                  <w:tcW w:w="978" w:type="pct"/>
                  <w:vAlign w:val="center"/>
                </w:tcPr>
                <w:p w14:paraId="243EAE75">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0.50%</w:t>
                  </w:r>
                </w:p>
              </w:tc>
              <w:tc>
                <w:tcPr>
                  <w:tcW w:w="903" w:type="pct"/>
                  <w:vAlign w:val="center"/>
                </w:tcPr>
                <w:p w14:paraId="13B78FF5">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0.25%</w:t>
                  </w:r>
                </w:p>
              </w:tc>
              <w:tc>
                <w:tcPr>
                  <w:tcW w:w="1167" w:type="pct"/>
                  <w:vAlign w:val="center"/>
                </w:tcPr>
                <w:p w14:paraId="041A53A1">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0.35%</w:t>
                  </w:r>
                </w:p>
              </w:tc>
            </w:tr>
            <w:tr w14:paraId="726BF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49" w:type="pct"/>
                  <w:vAlign w:val="center"/>
                </w:tcPr>
                <w:p w14:paraId="06255CD4">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5000-10000</w:t>
                  </w:r>
                </w:p>
              </w:tc>
              <w:tc>
                <w:tcPr>
                  <w:tcW w:w="978" w:type="pct"/>
                  <w:vAlign w:val="center"/>
                </w:tcPr>
                <w:p w14:paraId="6266F457">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0.25%</w:t>
                  </w:r>
                </w:p>
              </w:tc>
              <w:tc>
                <w:tcPr>
                  <w:tcW w:w="903" w:type="pct"/>
                  <w:vAlign w:val="center"/>
                </w:tcPr>
                <w:p w14:paraId="22B88797">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0.10%</w:t>
                  </w:r>
                </w:p>
              </w:tc>
              <w:tc>
                <w:tcPr>
                  <w:tcW w:w="1167" w:type="pct"/>
                  <w:vAlign w:val="center"/>
                </w:tcPr>
                <w:p w14:paraId="1C3683D3">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0.20%</w:t>
                  </w:r>
                </w:p>
              </w:tc>
            </w:tr>
            <w:tr w14:paraId="0239F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49" w:type="pct"/>
                  <w:vAlign w:val="center"/>
                </w:tcPr>
                <w:p w14:paraId="3245985E">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10000-100000</w:t>
                  </w:r>
                </w:p>
              </w:tc>
              <w:tc>
                <w:tcPr>
                  <w:tcW w:w="978" w:type="pct"/>
                  <w:vAlign w:val="center"/>
                </w:tcPr>
                <w:p w14:paraId="32F31302">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0.05%</w:t>
                  </w:r>
                </w:p>
              </w:tc>
              <w:tc>
                <w:tcPr>
                  <w:tcW w:w="903" w:type="pct"/>
                  <w:vAlign w:val="center"/>
                </w:tcPr>
                <w:p w14:paraId="322D0ACB">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0.05%</w:t>
                  </w:r>
                </w:p>
              </w:tc>
              <w:tc>
                <w:tcPr>
                  <w:tcW w:w="1167" w:type="pct"/>
                  <w:vAlign w:val="center"/>
                </w:tcPr>
                <w:p w14:paraId="0503EA23">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0.05%</w:t>
                  </w:r>
                </w:p>
              </w:tc>
            </w:tr>
            <w:tr w14:paraId="37B52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49" w:type="pct"/>
                  <w:vAlign w:val="center"/>
                </w:tcPr>
                <w:p w14:paraId="04232FEF">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100000以上</w:t>
                  </w:r>
                </w:p>
              </w:tc>
              <w:tc>
                <w:tcPr>
                  <w:tcW w:w="978" w:type="pct"/>
                  <w:vAlign w:val="center"/>
                </w:tcPr>
                <w:p w14:paraId="54F2986D">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0.01%</w:t>
                  </w:r>
                </w:p>
              </w:tc>
              <w:tc>
                <w:tcPr>
                  <w:tcW w:w="903" w:type="pct"/>
                  <w:vAlign w:val="center"/>
                </w:tcPr>
                <w:p w14:paraId="79CE6BB2">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0.01%</w:t>
                  </w:r>
                </w:p>
              </w:tc>
              <w:tc>
                <w:tcPr>
                  <w:tcW w:w="1167" w:type="pct"/>
                  <w:vAlign w:val="center"/>
                </w:tcPr>
                <w:p w14:paraId="7F0681F9">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0.01%</w:t>
                  </w:r>
                </w:p>
              </w:tc>
            </w:tr>
          </w:tbl>
          <w:p w14:paraId="58A72147">
            <w:pPr>
              <w:autoSpaceDE w:val="0"/>
              <w:autoSpaceDN w:val="0"/>
              <w:adjustRightInd w:val="0"/>
              <w:spacing w:line="300" w:lineRule="exact"/>
              <w:rPr>
                <w:rFonts w:ascii="宋体" w:hAnsi="宋体" w:eastAsia="宋体" w:cs="宋体"/>
                <w:bCs/>
                <w:sz w:val="21"/>
                <w:szCs w:val="21"/>
              </w:rPr>
            </w:pPr>
          </w:p>
        </w:tc>
      </w:tr>
      <w:tr w14:paraId="0E250A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7" w:hRule="atLeast"/>
          <w:jc w:val="center"/>
        </w:trPr>
        <w:tc>
          <w:tcPr>
            <w:tcW w:w="496" w:type="dxa"/>
            <w:tcBorders>
              <w:top w:val="single" w:color="auto" w:sz="4" w:space="0"/>
            </w:tcBorders>
            <w:noWrap/>
            <w:vAlign w:val="center"/>
          </w:tcPr>
          <w:p w14:paraId="68D6FAC7">
            <w:pPr>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17</w:t>
            </w:r>
          </w:p>
        </w:tc>
        <w:tc>
          <w:tcPr>
            <w:tcW w:w="1467" w:type="dxa"/>
            <w:tcBorders>
              <w:top w:val="single" w:color="auto" w:sz="4" w:space="0"/>
            </w:tcBorders>
            <w:noWrap/>
            <w:vAlign w:val="center"/>
          </w:tcPr>
          <w:p w14:paraId="1A37D6CB">
            <w:pPr>
              <w:autoSpaceDE w:val="0"/>
              <w:autoSpaceDN w:val="0"/>
              <w:adjustRightInd w:val="0"/>
              <w:spacing w:before="24" w:beforeLines="10" w:line="264" w:lineRule="auto"/>
              <w:jc w:val="center"/>
              <w:rPr>
                <w:rFonts w:ascii="宋体" w:hAnsi="宋体" w:eastAsia="宋体" w:cs="宋体"/>
                <w:sz w:val="21"/>
                <w:szCs w:val="21"/>
              </w:rPr>
            </w:pPr>
            <w:r>
              <w:rPr>
                <w:rFonts w:hint="eastAsia" w:ascii="宋体" w:hAnsi="宋体" w:eastAsia="宋体" w:cs="宋体"/>
                <w:sz w:val="21"/>
                <w:szCs w:val="21"/>
              </w:rPr>
              <w:t>解释权</w:t>
            </w:r>
          </w:p>
        </w:tc>
        <w:tc>
          <w:tcPr>
            <w:tcW w:w="7675" w:type="dxa"/>
            <w:tcBorders>
              <w:top w:val="single" w:color="auto" w:sz="4" w:space="0"/>
            </w:tcBorders>
            <w:noWrap/>
            <w:vAlign w:val="center"/>
          </w:tcPr>
          <w:p w14:paraId="4C9DA066">
            <w:pPr>
              <w:autoSpaceDE w:val="0"/>
              <w:autoSpaceDN w:val="0"/>
              <w:adjustRightInd w:val="0"/>
              <w:spacing w:before="24" w:beforeLines="10" w:line="264" w:lineRule="auto"/>
              <w:rPr>
                <w:rFonts w:ascii="宋体" w:hAnsi="宋体" w:eastAsia="宋体" w:cs="宋体"/>
                <w:sz w:val="21"/>
                <w:szCs w:val="21"/>
              </w:rPr>
            </w:pPr>
            <w:r>
              <w:rPr>
                <w:rFonts w:hint="eastAsia" w:ascii="宋体" w:hAnsi="宋体" w:eastAsia="宋体" w:cs="宋体"/>
                <w:sz w:val="21"/>
                <w:szCs w:val="21"/>
              </w:rPr>
              <w:t>本磋商文件解释权属于采购人和采购代理机构。</w:t>
            </w:r>
          </w:p>
        </w:tc>
      </w:tr>
    </w:tbl>
    <w:p w14:paraId="76398690">
      <w:pPr>
        <w:autoSpaceDE w:val="0"/>
        <w:autoSpaceDN w:val="0"/>
        <w:adjustRightInd w:val="0"/>
        <w:spacing w:line="360" w:lineRule="auto"/>
        <w:jc w:val="center"/>
        <w:outlineLvl w:val="1"/>
        <w:rPr>
          <w:rFonts w:ascii="宋体"/>
          <w:sz w:val="21"/>
          <w:szCs w:val="21"/>
        </w:rPr>
      </w:pPr>
    </w:p>
    <w:p w14:paraId="6DBEA0D3">
      <w:pPr>
        <w:spacing w:line="360" w:lineRule="auto"/>
        <w:ind w:left="-360" w:leftChars="-100" w:right="-360" w:rightChars="-100" w:firstLine="422" w:firstLineChars="200"/>
        <w:rPr>
          <w:rFonts w:ascii="宋体" w:hAnsi="宋体" w:cs="宋体" w:eastAsiaTheme="minorEastAsia"/>
          <w:b/>
          <w:bCs/>
          <w:sz w:val="21"/>
          <w:szCs w:val="21"/>
        </w:rPr>
      </w:pPr>
    </w:p>
    <w:p w14:paraId="547D940A">
      <w:pPr>
        <w:spacing w:line="360" w:lineRule="auto"/>
        <w:ind w:left="-360" w:leftChars="-100" w:right="-360" w:rightChars="-100" w:firstLine="420" w:firstLineChars="200"/>
        <w:rPr>
          <w:rFonts w:ascii="宋体" w:hAnsi="宋体" w:cs="宋体"/>
          <w:b/>
          <w:bCs/>
          <w:sz w:val="21"/>
          <w:szCs w:val="21"/>
        </w:rPr>
      </w:pPr>
      <w:bookmarkStart w:id="13" w:name="_Toc302983095"/>
      <w:bookmarkStart w:id="14" w:name="_Toc306901446"/>
      <w:r>
        <w:rPr>
          <w:rFonts w:hint="eastAsia" w:ascii="宋体" w:hAnsi="宋体" w:cs="宋体"/>
          <w:b/>
          <w:bCs/>
          <w:sz w:val="21"/>
          <w:szCs w:val="21"/>
        </w:rPr>
        <w:t>其余事项：中标供应商如有融资需求，可使用以下银行的政采贷服务。</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8"/>
        <w:gridCol w:w="1548"/>
        <w:gridCol w:w="1217"/>
        <w:gridCol w:w="2815"/>
      </w:tblGrid>
      <w:tr w14:paraId="2C7DE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70A5305A">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银行</w:t>
            </w:r>
          </w:p>
        </w:tc>
        <w:tc>
          <w:tcPr>
            <w:tcW w:w="1548" w:type="dxa"/>
            <w:vAlign w:val="center"/>
          </w:tcPr>
          <w:p w14:paraId="0C3CDC0B">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贷款年利率</w:t>
            </w:r>
          </w:p>
        </w:tc>
        <w:tc>
          <w:tcPr>
            <w:tcW w:w="1217" w:type="dxa"/>
            <w:vAlign w:val="center"/>
          </w:tcPr>
          <w:p w14:paraId="15D2427A">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联系人</w:t>
            </w:r>
          </w:p>
        </w:tc>
        <w:tc>
          <w:tcPr>
            <w:tcW w:w="2815" w:type="dxa"/>
            <w:vAlign w:val="center"/>
          </w:tcPr>
          <w:p w14:paraId="3E4D09CD">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联系电话</w:t>
            </w:r>
          </w:p>
        </w:tc>
      </w:tr>
      <w:tr w14:paraId="58F39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745D96DA">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中国工商银行</w:t>
            </w:r>
          </w:p>
        </w:tc>
        <w:tc>
          <w:tcPr>
            <w:tcW w:w="1548" w:type="dxa"/>
            <w:vAlign w:val="center"/>
          </w:tcPr>
          <w:p w14:paraId="45710EB9">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3.8%起</w:t>
            </w:r>
          </w:p>
        </w:tc>
        <w:tc>
          <w:tcPr>
            <w:tcW w:w="1217" w:type="dxa"/>
            <w:vAlign w:val="center"/>
          </w:tcPr>
          <w:p w14:paraId="1D4EADD8">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卢嘉诚</w:t>
            </w:r>
          </w:p>
        </w:tc>
        <w:tc>
          <w:tcPr>
            <w:tcW w:w="2815" w:type="dxa"/>
            <w:vAlign w:val="center"/>
          </w:tcPr>
          <w:p w14:paraId="6E6FFAC0">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13867658508</w:t>
            </w:r>
          </w:p>
        </w:tc>
      </w:tr>
      <w:tr w14:paraId="441AD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14BFF5E4">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中国农业银行</w:t>
            </w:r>
          </w:p>
        </w:tc>
        <w:tc>
          <w:tcPr>
            <w:tcW w:w="1548" w:type="dxa"/>
            <w:vAlign w:val="center"/>
          </w:tcPr>
          <w:p w14:paraId="2348DCFC">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3.8%起</w:t>
            </w:r>
          </w:p>
        </w:tc>
        <w:tc>
          <w:tcPr>
            <w:tcW w:w="1217" w:type="dxa"/>
            <w:vAlign w:val="center"/>
          </w:tcPr>
          <w:p w14:paraId="3D526904">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龚盛</w:t>
            </w:r>
          </w:p>
        </w:tc>
        <w:tc>
          <w:tcPr>
            <w:tcW w:w="2815" w:type="dxa"/>
            <w:vAlign w:val="center"/>
          </w:tcPr>
          <w:p w14:paraId="1D93A482">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15858682216</w:t>
            </w:r>
          </w:p>
        </w:tc>
      </w:tr>
      <w:tr w14:paraId="3C273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53F0EAF0">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中国建设银行</w:t>
            </w:r>
          </w:p>
        </w:tc>
        <w:tc>
          <w:tcPr>
            <w:tcW w:w="1548" w:type="dxa"/>
            <w:vAlign w:val="center"/>
          </w:tcPr>
          <w:p w14:paraId="5C71DE1D">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3.8%起</w:t>
            </w:r>
          </w:p>
        </w:tc>
        <w:tc>
          <w:tcPr>
            <w:tcW w:w="1217" w:type="dxa"/>
            <w:vAlign w:val="center"/>
          </w:tcPr>
          <w:p w14:paraId="1762F214">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梅晶晶</w:t>
            </w:r>
          </w:p>
        </w:tc>
        <w:tc>
          <w:tcPr>
            <w:tcW w:w="2815" w:type="dxa"/>
            <w:vAlign w:val="center"/>
          </w:tcPr>
          <w:p w14:paraId="49EDA030">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88525339/13736585303</w:t>
            </w:r>
          </w:p>
        </w:tc>
      </w:tr>
      <w:tr w14:paraId="67D23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4685EB06">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中国银行</w:t>
            </w:r>
          </w:p>
        </w:tc>
        <w:tc>
          <w:tcPr>
            <w:tcW w:w="1548" w:type="dxa"/>
            <w:vAlign w:val="center"/>
          </w:tcPr>
          <w:p w14:paraId="1A9624A4">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3.75%起</w:t>
            </w:r>
          </w:p>
        </w:tc>
        <w:tc>
          <w:tcPr>
            <w:tcW w:w="1217" w:type="dxa"/>
            <w:vAlign w:val="center"/>
          </w:tcPr>
          <w:p w14:paraId="0D086ACB">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王海</w:t>
            </w:r>
          </w:p>
        </w:tc>
        <w:tc>
          <w:tcPr>
            <w:tcW w:w="2815" w:type="dxa"/>
            <w:vAlign w:val="center"/>
          </w:tcPr>
          <w:p w14:paraId="16F59E9A">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13857677798</w:t>
            </w:r>
          </w:p>
        </w:tc>
      </w:tr>
      <w:tr w14:paraId="5794D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079DBD75">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浦发银行台州分行</w:t>
            </w:r>
          </w:p>
        </w:tc>
        <w:tc>
          <w:tcPr>
            <w:tcW w:w="1548" w:type="dxa"/>
            <w:vAlign w:val="center"/>
          </w:tcPr>
          <w:p w14:paraId="4979F29E">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4.05%起</w:t>
            </w:r>
          </w:p>
        </w:tc>
        <w:tc>
          <w:tcPr>
            <w:tcW w:w="1217" w:type="dxa"/>
            <w:vAlign w:val="center"/>
          </w:tcPr>
          <w:p w14:paraId="665D6B51">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王渊</w:t>
            </w:r>
          </w:p>
        </w:tc>
        <w:tc>
          <w:tcPr>
            <w:tcW w:w="2815" w:type="dxa"/>
            <w:vAlign w:val="center"/>
          </w:tcPr>
          <w:p w14:paraId="28EAED0D">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13616676319</w:t>
            </w:r>
          </w:p>
        </w:tc>
      </w:tr>
      <w:tr w14:paraId="52A86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033259C7">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浦发银行椒江分行</w:t>
            </w:r>
          </w:p>
        </w:tc>
        <w:tc>
          <w:tcPr>
            <w:tcW w:w="1548" w:type="dxa"/>
            <w:vAlign w:val="center"/>
          </w:tcPr>
          <w:p w14:paraId="3DAAD659">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4.05%起</w:t>
            </w:r>
          </w:p>
        </w:tc>
        <w:tc>
          <w:tcPr>
            <w:tcW w:w="1217" w:type="dxa"/>
            <w:vAlign w:val="center"/>
          </w:tcPr>
          <w:p w14:paraId="5DEDF0DF">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孙瑞华</w:t>
            </w:r>
          </w:p>
        </w:tc>
        <w:tc>
          <w:tcPr>
            <w:tcW w:w="2815" w:type="dxa"/>
            <w:vAlign w:val="center"/>
          </w:tcPr>
          <w:p w14:paraId="0C3E7202">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13857688081</w:t>
            </w:r>
          </w:p>
        </w:tc>
      </w:tr>
      <w:tr w14:paraId="450B0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21558632">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交通银行台州分行</w:t>
            </w:r>
          </w:p>
        </w:tc>
        <w:tc>
          <w:tcPr>
            <w:tcW w:w="1548" w:type="dxa"/>
            <w:vAlign w:val="center"/>
          </w:tcPr>
          <w:p w14:paraId="6909EC27">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3.75%起</w:t>
            </w:r>
          </w:p>
        </w:tc>
        <w:tc>
          <w:tcPr>
            <w:tcW w:w="1217" w:type="dxa"/>
            <w:vAlign w:val="center"/>
          </w:tcPr>
          <w:p w14:paraId="3CB572A7">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周翔宇</w:t>
            </w:r>
          </w:p>
        </w:tc>
        <w:tc>
          <w:tcPr>
            <w:tcW w:w="2815" w:type="dxa"/>
            <w:vAlign w:val="center"/>
          </w:tcPr>
          <w:p w14:paraId="17FC4C62">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13867697018</w:t>
            </w:r>
          </w:p>
        </w:tc>
      </w:tr>
      <w:tr w14:paraId="5290B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53CB5E36">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招商银行台州分行</w:t>
            </w:r>
          </w:p>
        </w:tc>
        <w:tc>
          <w:tcPr>
            <w:tcW w:w="1548" w:type="dxa"/>
            <w:vAlign w:val="center"/>
          </w:tcPr>
          <w:p w14:paraId="3BEA1535">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4.32%起</w:t>
            </w:r>
          </w:p>
        </w:tc>
        <w:tc>
          <w:tcPr>
            <w:tcW w:w="1217" w:type="dxa"/>
            <w:vAlign w:val="center"/>
          </w:tcPr>
          <w:p w14:paraId="1E3C790F">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王海玲</w:t>
            </w:r>
          </w:p>
        </w:tc>
        <w:tc>
          <w:tcPr>
            <w:tcW w:w="2815" w:type="dxa"/>
            <w:vAlign w:val="center"/>
          </w:tcPr>
          <w:p w14:paraId="10FCF005">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13566413827</w:t>
            </w:r>
          </w:p>
        </w:tc>
      </w:tr>
      <w:tr w14:paraId="17D84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14284B27">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浙商银行台州分行</w:t>
            </w:r>
          </w:p>
        </w:tc>
        <w:tc>
          <w:tcPr>
            <w:tcW w:w="1548" w:type="dxa"/>
            <w:vAlign w:val="center"/>
          </w:tcPr>
          <w:p w14:paraId="68D7C120">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5.01%起</w:t>
            </w:r>
          </w:p>
        </w:tc>
        <w:tc>
          <w:tcPr>
            <w:tcW w:w="1217" w:type="dxa"/>
            <w:vAlign w:val="center"/>
          </w:tcPr>
          <w:p w14:paraId="3818DE0A">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章涉漪</w:t>
            </w:r>
          </w:p>
        </w:tc>
        <w:tc>
          <w:tcPr>
            <w:tcW w:w="2815" w:type="dxa"/>
            <w:vAlign w:val="center"/>
          </w:tcPr>
          <w:p w14:paraId="2D0AF150">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81880185/13606681262</w:t>
            </w:r>
          </w:p>
        </w:tc>
      </w:tr>
      <w:tr w14:paraId="49036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605E4A8A">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中信银行台州分行</w:t>
            </w:r>
          </w:p>
        </w:tc>
        <w:tc>
          <w:tcPr>
            <w:tcW w:w="1548" w:type="dxa"/>
            <w:vAlign w:val="center"/>
          </w:tcPr>
          <w:p w14:paraId="1C5E8AA5">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4.15%起</w:t>
            </w:r>
          </w:p>
        </w:tc>
        <w:tc>
          <w:tcPr>
            <w:tcW w:w="1217" w:type="dxa"/>
            <w:vAlign w:val="center"/>
          </w:tcPr>
          <w:p w14:paraId="71F98EBD">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陈金园</w:t>
            </w:r>
          </w:p>
        </w:tc>
        <w:tc>
          <w:tcPr>
            <w:tcW w:w="2815" w:type="dxa"/>
            <w:vAlign w:val="center"/>
          </w:tcPr>
          <w:p w14:paraId="0DE5EEB6">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13586052161</w:t>
            </w:r>
          </w:p>
        </w:tc>
      </w:tr>
      <w:tr w14:paraId="3409E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239DAEBD">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华夏银行台州分行</w:t>
            </w:r>
          </w:p>
        </w:tc>
        <w:tc>
          <w:tcPr>
            <w:tcW w:w="1548" w:type="dxa"/>
            <w:vAlign w:val="center"/>
          </w:tcPr>
          <w:p w14:paraId="7345499F">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4.5%起</w:t>
            </w:r>
          </w:p>
        </w:tc>
        <w:tc>
          <w:tcPr>
            <w:tcW w:w="1217" w:type="dxa"/>
            <w:vAlign w:val="center"/>
          </w:tcPr>
          <w:p w14:paraId="4426451C">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邱明达</w:t>
            </w:r>
          </w:p>
        </w:tc>
        <w:tc>
          <w:tcPr>
            <w:tcW w:w="2815" w:type="dxa"/>
            <w:vAlign w:val="center"/>
          </w:tcPr>
          <w:p w14:paraId="0B360FD4">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81871518/13736252233</w:t>
            </w:r>
          </w:p>
        </w:tc>
      </w:tr>
      <w:tr w14:paraId="13F93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7A90BE78">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泰隆银行开发区支行</w:t>
            </w:r>
          </w:p>
        </w:tc>
        <w:tc>
          <w:tcPr>
            <w:tcW w:w="1548" w:type="dxa"/>
            <w:vAlign w:val="center"/>
          </w:tcPr>
          <w:p w14:paraId="1DE800F9">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5.6%起</w:t>
            </w:r>
          </w:p>
        </w:tc>
        <w:tc>
          <w:tcPr>
            <w:tcW w:w="1217" w:type="dxa"/>
            <w:vAlign w:val="center"/>
          </w:tcPr>
          <w:p w14:paraId="687A2234">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梁宛莉</w:t>
            </w:r>
          </w:p>
        </w:tc>
        <w:tc>
          <w:tcPr>
            <w:tcW w:w="2815" w:type="dxa"/>
            <w:vAlign w:val="center"/>
          </w:tcPr>
          <w:p w14:paraId="307F0540">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13306869100</w:t>
            </w:r>
          </w:p>
        </w:tc>
      </w:tr>
      <w:tr w14:paraId="46662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5A0D992F">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民泰银行椒江支行</w:t>
            </w:r>
          </w:p>
        </w:tc>
        <w:tc>
          <w:tcPr>
            <w:tcW w:w="1548" w:type="dxa"/>
            <w:vAlign w:val="center"/>
          </w:tcPr>
          <w:p w14:paraId="56BA8EE4">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5.8%起</w:t>
            </w:r>
          </w:p>
        </w:tc>
        <w:tc>
          <w:tcPr>
            <w:tcW w:w="1217" w:type="dxa"/>
            <w:vAlign w:val="center"/>
          </w:tcPr>
          <w:p w14:paraId="4E08B378">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陈慧珠</w:t>
            </w:r>
          </w:p>
        </w:tc>
        <w:tc>
          <w:tcPr>
            <w:tcW w:w="2815" w:type="dxa"/>
            <w:vAlign w:val="center"/>
          </w:tcPr>
          <w:p w14:paraId="3ED9D8FD">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13857699669</w:t>
            </w:r>
          </w:p>
        </w:tc>
      </w:tr>
      <w:tr w14:paraId="2E243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57CA8C0E">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绍兴银行台州分行</w:t>
            </w:r>
          </w:p>
        </w:tc>
        <w:tc>
          <w:tcPr>
            <w:tcW w:w="1548" w:type="dxa"/>
            <w:vAlign w:val="center"/>
          </w:tcPr>
          <w:p w14:paraId="106BD872">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5.1%起</w:t>
            </w:r>
          </w:p>
        </w:tc>
        <w:tc>
          <w:tcPr>
            <w:tcW w:w="1217" w:type="dxa"/>
            <w:vAlign w:val="center"/>
          </w:tcPr>
          <w:p w14:paraId="145B3B59">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郭庭斌</w:t>
            </w:r>
          </w:p>
        </w:tc>
        <w:tc>
          <w:tcPr>
            <w:tcW w:w="2815" w:type="dxa"/>
            <w:vAlign w:val="center"/>
          </w:tcPr>
          <w:p w14:paraId="0B008613">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15958633119</w:t>
            </w:r>
          </w:p>
        </w:tc>
      </w:tr>
      <w:tr w14:paraId="71EAD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3E84710D">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温州银行台州分行</w:t>
            </w:r>
          </w:p>
        </w:tc>
        <w:tc>
          <w:tcPr>
            <w:tcW w:w="1548" w:type="dxa"/>
            <w:vAlign w:val="center"/>
          </w:tcPr>
          <w:p w14:paraId="79F1C388">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4.55%起</w:t>
            </w:r>
          </w:p>
        </w:tc>
        <w:tc>
          <w:tcPr>
            <w:tcW w:w="1217" w:type="dxa"/>
            <w:vAlign w:val="center"/>
          </w:tcPr>
          <w:p w14:paraId="4AE72101">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王晓波</w:t>
            </w:r>
          </w:p>
        </w:tc>
        <w:tc>
          <w:tcPr>
            <w:tcW w:w="2815" w:type="dxa"/>
            <w:vAlign w:val="center"/>
          </w:tcPr>
          <w:p w14:paraId="1FEA1315">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15824005475</w:t>
            </w:r>
          </w:p>
        </w:tc>
      </w:tr>
      <w:tr w14:paraId="4A627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5A9886C6">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平安银行台州分行</w:t>
            </w:r>
          </w:p>
        </w:tc>
        <w:tc>
          <w:tcPr>
            <w:tcW w:w="1548" w:type="dxa"/>
            <w:vAlign w:val="center"/>
          </w:tcPr>
          <w:p w14:paraId="287748E6">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6.53%起</w:t>
            </w:r>
          </w:p>
        </w:tc>
        <w:tc>
          <w:tcPr>
            <w:tcW w:w="1217" w:type="dxa"/>
            <w:vAlign w:val="center"/>
          </w:tcPr>
          <w:p w14:paraId="033479C6">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李俊丽</w:t>
            </w:r>
          </w:p>
        </w:tc>
        <w:tc>
          <w:tcPr>
            <w:tcW w:w="2815" w:type="dxa"/>
            <w:vAlign w:val="center"/>
          </w:tcPr>
          <w:p w14:paraId="0F3048B8">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15906861025</w:t>
            </w:r>
          </w:p>
        </w:tc>
      </w:tr>
      <w:tr w14:paraId="1864F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3FC72A97">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宁波银行台州分行</w:t>
            </w:r>
          </w:p>
        </w:tc>
        <w:tc>
          <w:tcPr>
            <w:tcW w:w="1548" w:type="dxa"/>
            <w:vAlign w:val="center"/>
          </w:tcPr>
          <w:p w14:paraId="56B9BA4C">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4.35%起</w:t>
            </w:r>
          </w:p>
        </w:tc>
        <w:tc>
          <w:tcPr>
            <w:tcW w:w="1217" w:type="dxa"/>
            <w:vAlign w:val="center"/>
          </w:tcPr>
          <w:p w14:paraId="2E2CCE7A">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戴莉丽</w:t>
            </w:r>
          </w:p>
        </w:tc>
        <w:tc>
          <w:tcPr>
            <w:tcW w:w="2815" w:type="dxa"/>
            <w:vAlign w:val="center"/>
          </w:tcPr>
          <w:p w14:paraId="07F9E222">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13566627207</w:t>
            </w:r>
          </w:p>
        </w:tc>
      </w:tr>
      <w:tr w14:paraId="28E59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74080E35">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金华银行台州分行</w:t>
            </w:r>
          </w:p>
        </w:tc>
        <w:tc>
          <w:tcPr>
            <w:tcW w:w="1548" w:type="dxa"/>
            <w:vAlign w:val="center"/>
          </w:tcPr>
          <w:p w14:paraId="741600C9">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4.05%起</w:t>
            </w:r>
          </w:p>
        </w:tc>
        <w:tc>
          <w:tcPr>
            <w:tcW w:w="1217" w:type="dxa"/>
            <w:vAlign w:val="center"/>
          </w:tcPr>
          <w:p w14:paraId="0B2910D7">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金雪婷</w:t>
            </w:r>
          </w:p>
        </w:tc>
        <w:tc>
          <w:tcPr>
            <w:tcW w:w="2815" w:type="dxa"/>
            <w:vAlign w:val="center"/>
          </w:tcPr>
          <w:p w14:paraId="4177B849">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81886670/15968661569</w:t>
            </w:r>
          </w:p>
        </w:tc>
      </w:tr>
      <w:tr w14:paraId="61C56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0B64A2AD">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台州银行</w:t>
            </w:r>
          </w:p>
        </w:tc>
        <w:tc>
          <w:tcPr>
            <w:tcW w:w="1548" w:type="dxa"/>
            <w:vAlign w:val="center"/>
          </w:tcPr>
          <w:p w14:paraId="2EC18497">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5.6%起</w:t>
            </w:r>
          </w:p>
        </w:tc>
        <w:tc>
          <w:tcPr>
            <w:tcW w:w="1217" w:type="dxa"/>
            <w:vAlign w:val="center"/>
          </w:tcPr>
          <w:p w14:paraId="5108621B">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洪婷</w:t>
            </w:r>
          </w:p>
        </w:tc>
        <w:tc>
          <w:tcPr>
            <w:tcW w:w="2815" w:type="dxa"/>
            <w:vAlign w:val="center"/>
          </w:tcPr>
          <w:p w14:paraId="49A88A10">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15858624999</w:t>
            </w:r>
          </w:p>
        </w:tc>
      </w:tr>
      <w:tr w14:paraId="20C71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6C73D302">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邮储银行台州分行</w:t>
            </w:r>
          </w:p>
        </w:tc>
        <w:tc>
          <w:tcPr>
            <w:tcW w:w="1548" w:type="dxa"/>
            <w:vAlign w:val="center"/>
          </w:tcPr>
          <w:p w14:paraId="3272F607">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3.85%起</w:t>
            </w:r>
          </w:p>
        </w:tc>
        <w:tc>
          <w:tcPr>
            <w:tcW w:w="1217" w:type="dxa"/>
            <w:vAlign w:val="center"/>
          </w:tcPr>
          <w:p w14:paraId="7F553F95">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董庆</w:t>
            </w:r>
          </w:p>
        </w:tc>
        <w:tc>
          <w:tcPr>
            <w:tcW w:w="2815" w:type="dxa"/>
            <w:vAlign w:val="center"/>
          </w:tcPr>
          <w:p w14:paraId="04753D8E">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81888982/18957683735</w:t>
            </w:r>
          </w:p>
        </w:tc>
      </w:tr>
    </w:tbl>
    <w:p w14:paraId="11FBD448">
      <w:pPr>
        <w:pStyle w:val="50"/>
        <w:spacing w:line="360" w:lineRule="auto"/>
        <w:rPr>
          <w:rFonts w:hint="eastAsia" w:cs="宋体" w:asciiTheme="minorEastAsia" w:hAnsiTheme="minorEastAsia" w:eastAsiaTheme="minorEastAsia"/>
          <w:szCs w:val="21"/>
        </w:rPr>
      </w:pPr>
    </w:p>
    <w:p w14:paraId="050B8CE0">
      <w:pPr>
        <w:spacing w:line="360" w:lineRule="auto"/>
        <w:ind w:left="-180" w:leftChars="-50" w:right="-180" w:rightChars="-50" w:firstLine="211" w:firstLineChars="100"/>
        <w:rPr>
          <w:rFonts w:hint="eastAsia"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合同保函联系方式</w:t>
      </w:r>
    </w:p>
    <w:p w14:paraId="27282220">
      <w:pPr>
        <w:spacing w:line="360" w:lineRule="auto"/>
        <w:ind w:firstLine="735" w:firstLineChars="350"/>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合同履约保函联系方式</w:t>
      </w:r>
    </w:p>
    <w:tbl>
      <w:tblPr>
        <w:tblStyle w:val="30"/>
        <w:tblpPr w:leftFromText="180" w:rightFromText="180" w:vertAnchor="text" w:horzAnchor="page" w:tblpX="1917" w:tblpY="290"/>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853"/>
        <w:gridCol w:w="1862"/>
        <w:gridCol w:w="988"/>
        <w:gridCol w:w="1565"/>
      </w:tblGrid>
      <w:tr w14:paraId="1298E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trPr>
        <w:tc>
          <w:tcPr>
            <w:tcW w:w="3853" w:type="dxa"/>
            <w:vAlign w:val="center"/>
          </w:tcPr>
          <w:p w14:paraId="49B1FAAB">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保险公司名称</w:t>
            </w:r>
          </w:p>
        </w:tc>
        <w:tc>
          <w:tcPr>
            <w:tcW w:w="1862" w:type="dxa"/>
            <w:vAlign w:val="center"/>
          </w:tcPr>
          <w:p w14:paraId="4BEA522E">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保费率</w:t>
            </w:r>
          </w:p>
        </w:tc>
        <w:tc>
          <w:tcPr>
            <w:tcW w:w="988" w:type="dxa"/>
            <w:vAlign w:val="center"/>
          </w:tcPr>
          <w:p w14:paraId="775F834D">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联系人</w:t>
            </w:r>
          </w:p>
        </w:tc>
        <w:tc>
          <w:tcPr>
            <w:tcW w:w="1565" w:type="dxa"/>
            <w:vAlign w:val="center"/>
          </w:tcPr>
          <w:p w14:paraId="263D23F3">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联系电话</w:t>
            </w:r>
          </w:p>
        </w:tc>
      </w:tr>
      <w:tr w14:paraId="75209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853" w:type="dxa"/>
            <w:vAlign w:val="center"/>
          </w:tcPr>
          <w:p w14:paraId="0F12202A">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中国人寿财产保险股份有限公司台州中心支公司</w:t>
            </w:r>
          </w:p>
        </w:tc>
        <w:tc>
          <w:tcPr>
            <w:tcW w:w="1862" w:type="dxa"/>
            <w:vAlign w:val="center"/>
          </w:tcPr>
          <w:p w14:paraId="4568A0FB">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年费率1%，最低保费500元</w:t>
            </w:r>
          </w:p>
        </w:tc>
        <w:tc>
          <w:tcPr>
            <w:tcW w:w="988" w:type="dxa"/>
            <w:vAlign w:val="center"/>
          </w:tcPr>
          <w:p w14:paraId="59F4A016">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徐凌</w:t>
            </w:r>
          </w:p>
        </w:tc>
        <w:tc>
          <w:tcPr>
            <w:tcW w:w="1565" w:type="dxa"/>
            <w:vAlign w:val="center"/>
          </w:tcPr>
          <w:p w14:paraId="18AE6335">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13905168070</w:t>
            </w:r>
          </w:p>
        </w:tc>
      </w:tr>
      <w:tr w14:paraId="1A96E0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53" w:type="dxa"/>
            <w:vAlign w:val="center"/>
          </w:tcPr>
          <w:p w14:paraId="7EF4C740">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永诚财产保险股份有限公司台州分公司</w:t>
            </w:r>
          </w:p>
        </w:tc>
        <w:tc>
          <w:tcPr>
            <w:tcW w:w="1862" w:type="dxa"/>
            <w:vAlign w:val="center"/>
          </w:tcPr>
          <w:p w14:paraId="0F8CD053">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年费率1%，最低保费1000元</w:t>
            </w:r>
          </w:p>
        </w:tc>
        <w:tc>
          <w:tcPr>
            <w:tcW w:w="988" w:type="dxa"/>
            <w:vAlign w:val="center"/>
          </w:tcPr>
          <w:p w14:paraId="2820AD30">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尹刚强</w:t>
            </w:r>
          </w:p>
        </w:tc>
        <w:tc>
          <w:tcPr>
            <w:tcW w:w="1565" w:type="dxa"/>
            <w:vAlign w:val="center"/>
          </w:tcPr>
          <w:p w14:paraId="08A0C449">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13750668184</w:t>
            </w:r>
          </w:p>
        </w:tc>
      </w:tr>
      <w:tr w14:paraId="1E498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4" w:hRule="atLeast"/>
        </w:trPr>
        <w:tc>
          <w:tcPr>
            <w:tcW w:w="3853" w:type="dxa"/>
            <w:vAlign w:val="center"/>
          </w:tcPr>
          <w:p w14:paraId="2936944F">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华泰财产保险有限公司台州中心支公司</w:t>
            </w:r>
          </w:p>
        </w:tc>
        <w:tc>
          <w:tcPr>
            <w:tcW w:w="1862" w:type="dxa"/>
            <w:vAlign w:val="center"/>
          </w:tcPr>
          <w:p w14:paraId="2DE46268">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年费率0.5%，最低保费1000元</w:t>
            </w:r>
          </w:p>
        </w:tc>
        <w:tc>
          <w:tcPr>
            <w:tcW w:w="988" w:type="dxa"/>
            <w:vAlign w:val="center"/>
          </w:tcPr>
          <w:p w14:paraId="2DA0031A">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王灵芳</w:t>
            </w:r>
          </w:p>
        </w:tc>
        <w:tc>
          <w:tcPr>
            <w:tcW w:w="1565" w:type="dxa"/>
            <w:vAlign w:val="center"/>
          </w:tcPr>
          <w:p w14:paraId="6EA3D5AF">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88869818 13586123199</w:t>
            </w:r>
          </w:p>
        </w:tc>
      </w:tr>
      <w:tr w14:paraId="4C79D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trPr>
        <w:tc>
          <w:tcPr>
            <w:tcW w:w="3853" w:type="dxa"/>
            <w:vAlign w:val="center"/>
          </w:tcPr>
          <w:p w14:paraId="04EF6238">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中国大地财产保险股份有限公司台州中心支公司</w:t>
            </w:r>
          </w:p>
        </w:tc>
        <w:tc>
          <w:tcPr>
            <w:tcW w:w="1862" w:type="dxa"/>
            <w:vAlign w:val="center"/>
          </w:tcPr>
          <w:p w14:paraId="6E97B125">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年费率1.5%，最低保费1000元</w:t>
            </w:r>
          </w:p>
        </w:tc>
        <w:tc>
          <w:tcPr>
            <w:tcW w:w="988" w:type="dxa"/>
            <w:vAlign w:val="center"/>
          </w:tcPr>
          <w:p w14:paraId="4C73B820">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徐小明</w:t>
            </w:r>
          </w:p>
        </w:tc>
        <w:tc>
          <w:tcPr>
            <w:tcW w:w="1565" w:type="dxa"/>
            <w:vAlign w:val="center"/>
          </w:tcPr>
          <w:p w14:paraId="0E6B7BD2">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88552788      13968603112</w:t>
            </w:r>
          </w:p>
        </w:tc>
      </w:tr>
      <w:tr w14:paraId="35DA4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4" w:hRule="atLeast"/>
        </w:trPr>
        <w:tc>
          <w:tcPr>
            <w:tcW w:w="3853" w:type="dxa"/>
            <w:vAlign w:val="center"/>
          </w:tcPr>
          <w:p w14:paraId="7896D0B6">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阳光保险台州中心支公司</w:t>
            </w:r>
          </w:p>
        </w:tc>
        <w:tc>
          <w:tcPr>
            <w:tcW w:w="1862" w:type="dxa"/>
            <w:vAlign w:val="center"/>
          </w:tcPr>
          <w:p w14:paraId="4CD1C277">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年费率1%，最低保费500元</w:t>
            </w:r>
          </w:p>
        </w:tc>
        <w:tc>
          <w:tcPr>
            <w:tcW w:w="988" w:type="dxa"/>
            <w:vAlign w:val="center"/>
          </w:tcPr>
          <w:p w14:paraId="261E1BE2">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林高明</w:t>
            </w:r>
          </w:p>
        </w:tc>
        <w:tc>
          <w:tcPr>
            <w:tcW w:w="1565" w:type="dxa"/>
            <w:vAlign w:val="center"/>
          </w:tcPr>
          <w:p w14:paraId="6C207FF8">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15888682693</w:t>
            </w:r>
          </w:p>
        </w:tc>
      </w:tr>
      <w:tr w14:paraId="1FF00E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53" w:type="dxa"/>
            <w:vAlign w:val="center"/>
          </w:tcPr>
          <w:p w14:paraId="1238F558">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中华联合财产保险股份有限公司台州中心支公司</w:t>
            </w:r>
          </w:p>
        </w:tc>
        <w:tc>
          <w:tcPr>
            <w:tcW w:w="1862" w:type="dxa"/>
            <w:vAlign w:val="center"/>
          </w:tcPr>
          <w:p w14:paraId="2E28E352">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年费率2%，最低保费500元</w:t>
            </w:r>
          </w:p>
        </w:tc>
        <w:tc>
          <w:tcPr>
            <w:tcW w:w="988" w:type="dxa"/>
            <w:vAlign w:val="center"/>
          </w:tcPr>
          <w:p w14:paraId="71A59D06">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王仙高</w:t>
            </w:r>
          </w:p>
        </w:tc>
        <w:tc>
          <w:tcPr>
            <w:tcW w:w="1565" w:type="dxa"/>
            <w:vAlign w:val="center"/>
          </w:tcPr>
          <w:p w14:paraId="7985E005">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13858600221</w:t>
            </w:r>
          </w:p>
        </w:tc>
      </w:tr>
      <w:tr w14:paraId="5A236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53" w:type="dxa"/>
            <w:vAlign w:val="center"/>
          </w:tcPr>
          <w:p w14:paraId="5779CF0C">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中国人民财产保险股份有限公司台州中心支公司</w:t>
            </w:r>
          </w:p>
        </w:tc>
        <w:tc>
          <w:tcPr>
            <w:tcW w:w="1862" w:type="dxa"/>
            <w:vAlign w:val="center"/>
          </w:tcPr>
          <w:p w14:paraId="7708F299">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年费率0.3%，最低保费1000元</w:t>
            </w:r>
          </w:p>
        </w:tc>
        <w:tc>
          <w:tcPr>
            <w:tcW w:w="988" w:type="dxa"/>
            <w:vAlign w:val="center"/>
          </w:tcPr>
          <w:p w14:paraId="2D4FBF5C">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王仙春</w:t>
            </w:r>
          </w:p>
        </w:tc>
        <w:tc>
          <w:tcPr>
            <w:tcW w:w="1565" w:type="dxa"/>
            <w:vAlign w:val="center"/>
          </w:tcPr>
          <w:p w14:paraId="676CF5ED">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13515769179</w:t>
            </w:r>
          </w:p>
        </w:tc>
      </w:tr>
      <w:tr w14:paraId="2FB273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53" w:type="dxa"/>
            <w:vAlign w:val="center"/>
          </w:tcPr>
          <w:p w14:paraId="1B14C251">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永安财产保险股份有限公司台州中心支公司</w:t>
            </w:r>
          </w:p>
        </w:tc>
        <w:tc>
          <w:tcPr>
            <w:tcW w:w="1862" w:type="dxa"/>
            <w:vAlign w:val="center"/>
          </w:tcPr>
          <w:p w14:paraId="066F66B6">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年费率0.3%，最低保费1000</w:t>
            </w:r>
          </w:p>
        </w:tc>
        <w:tc>
          <w:tcPr>
            <w:tcW w:w="988" w:type="dxa"/>
            <w:vAlign w:val="center"/>
          </w:tcPr>
          <w:p w14:paraId="7AC3F9F4">
            <w:pPr>
              <w:tabs>
                <w:tab w:val="left" w:pos="3360"/>
              </w:tabs>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王春宇</w:t>
            </w:r>
          </w:p>
        </w:tc>
        <w:tc>
          <w:tcPr>
            <w:tcW w:w="1565" w:type="dxa"/>
            <w:vAlign w:val="center"/>
          </w:tcPr>
          <w:p w14:paraId="4B58FB6D">
            <w:pPr>
              <w:tabs>
                <w:tab w:val="left" w:pos="3360"/>
              </w:tabs>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13676675331</w:t>
            </w:r>
          </w:p>
        </w:tc>
      </w:tr>
    </w:tbl>
    <w:p w14:paraId="6BF71CAA">
      <w:pPr>
        <w:spacing w:line="360" w:lineRule="auto"/>
        <w:jc w:val="center"/>
        <w:rPr>
          <w:rFonts w:hint="eastAsia" w:cs="宋体" w:asciiTheme="minorEastAsia" w:hAnsiTheme="minorEastAsia" w:eastAsiaTheme="minorEastAsia"/>
          <w:sz w:val="21"/>
          <w:szCs w:val="21"/>
        </w:rPr>
      </w:pPr>
    </w:p>
    <w:p w14:paraId="02138CA3">
      <w:pPr>
        <w:spacing w:line="360" w:lineRule="auto"/>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预付款保函联系方式</w:t>
      </w:r>
    </w:p>
    <w:tbl>
      <w:tblPr>
        <w:tblStyle w:val="29"/>
        <w:tblW w:w="0" w:type="auto"/>
        <w:tblInd w:w="1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624"/>
        <w:gridCol w:w="2274"/>
        <w:gridCol w:w="985"/>
        <w:gridCol w:w="2158"/>
      </w:tblGrid>
      <w:tr w14:paraId="28AEC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3624" w:type="dxa"/>
            <w:vAlign w:val="center"/>
          </w:tcPr>
          <w:p w14:paraId="43070BD4">
            <w:pPr>
              <w:spacing w:line="360" w:lineRule="auto"/>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保险公司名称</w:t>
            </w:r>
          </w:p>
        </w:tc>
        <w:tc>
          <w:tcPr>
            <w:tcW w:w="2274" w:type="dxa"/>
            <w:vAlign w:val="center"/>
          </w:tcPr>
          <w:p w14:paraId="005D89DB">
            <w:pPr>
              <w:spacing w:line="360" w:lineRule="auto"/>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保费率</w:t>
            </w:r>
          </w:p>
        </w:tc>
        <w:tc>
          <w:tcPr>
            <w:tcW w:w="985" w:type="dxa"/>
            <w:vAlign w:val="center"/>
          </w:tcPr>
          <w:p w14:paraId="1F7E45C4">
            <w:pPr>
              <w:spacing w:line="360" w:lineRule="auto"/>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联系人</w:t>
            </w:r>
          </w:p>
        </w:tc>
        <w:tc>
          <w:tcPr>
            <w:tcW w:w="2158" w:type="dxa"/>
            <w:vAlign w:val="center"/>
          </w:tcPr>
          <w:p w14:paraId="4A473450">
            <w:pPr>
              <w:spacing w:line="360" w:lineRule="auto"/>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联系电话</w:t>
            </w:r>
          </w:p>
        </w:tc>
      </w:tr>
      <w:tr w14:paraId="73DC94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24" w:type="dxa"/>
            <w:vAlign w:val="center"/>
          </w:tcPr>
          <w:p w14:paraId="5510C163">
            <w:pPr>
              <w:spacing w:line="360" w:lineRule="auto"/>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中国人寿财产保险股份有限公司台州中心支公司</w:t>
            </w:r>
          </w:p>
        </w:tc>
        <w:tc>
          <w:tcPr>
            <w:tcW w:w="2274" w:type="dxa"/>
            <w:vAlign w:val="center"/>
          </w:tcPr>
          <w:p w14:paraId="7ED7D604">
            <w:pPr>
              <w:spacing w:line="360" w:lineRule="auto"/>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年费率3%，最低保费500元</w:t>
            </w:r>
          </w:p>
        </w:tc>
        <w:tc>
          <w:tcPr>
            <w:tcW w:w="985" w:type="dxa"/>
            <w:vAlign w:val="center"/>
          </w:tcPr>
          <w:p w14:paraId="393A5C9A">
            <w:pPr>
              <w:spacing w:line="360" w:lineRule="auto"/>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徐凌</w:t>
            </w:r>
          </w:p>
        </w:tc>
        <w:tc>
          <w:tcPr>
            <w:tcW w:w="2158" w:type="dxa"/>
            <w:vAlign w:val="center"/>
          </w:tcPr>
          <w:p w14:paraId="0EFF513F">
            <w:pPr>
              <w:spacing w:line="360" w:lineRule="auto"/>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13905168070</w:t>
            </w:r>
          </w:p>
        </w:tc>
      </w:tr>
      <w:tr w14:paraId="0F784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24" w:type="dxa"/>
            <w:vAlign w:val="center"/>
          </w:tcPr>
          <w:p w14:paraId="70374927">
            <w:pPr>
              <w:spacing w:line="360" w:lineRule="auto"/>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阳光保险台州中心支公司</w:t>
            </w:r>
          </w:p>
        </w:tc>
        <w:tc>
          <w:tcPr>
            <w:tcW w:w="2274" w:type="dxa"/>
            <w:vAlign w:val="center"/>
          </w:tcPr>
          <w:p w14:paraId="13FE4D7D">
            <w:pPr>
              <w:spacing w:line="360" w:lineRule="auto"/>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年费率1%，最低保费500元</w:t>
            </w:r>
          </w:p>
        </w:tc>
        <w:tc>
          <w:tcPr>
            <w:tcW w:w="985" w:type="dxa"/>
            <w:vAlign w:val="center"/>
          </w:tcPr>
          <w:p w14:paraId="1DEF72AE">
            <w:pPr>
              <w:spacing w:line="360" w:lineRule="auto"/>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林高明</w:t>
            </w:r>
          </w:p>
        </w:tc>
        <w:tc>
          <w:tcPr>
            <w:tcW w:w="2158" w:type="dxa"/>
            <w:vAlign w:val="center"/>
          </w:tcPr>
          <w:p w14:paraId="060F2E85">
            <w:pPr>
              <w:spacing w:line="360" w:lineRule="auto"/>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15888682693</w:t>
            </w:r>
          </w:p>
        </w:tc>
      </w:tr>
      <w:tr w14:paraId="34F40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24" w:type="dxa"/>
            <w:vAlign w:val="center"/>
          </w:tcPr>
          <w:p w14:paraId="1409B83C">
            <w:pPr>
              <w:spacing w:line="360" w:lineRule="auto"/>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天安财产保险股份有限公司台州中心支公司</w:t>
            </w:r>
          </w:p>
        </w:tc>
        <w:tc>
          <w:tcPr>
            <w:tcW w:w="2274" w:type="dxa"/>
            <w:vAlign w:val="center"/>
          </w:tcPr>
          <w:p w14:paraId="53ED9928">
            <w:pPr>
              <w:spacing w:line="360" w:lineRule="auto"/>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年费率1%-2%，最低保费500元</w:t>
            </w:r>
          </w:p>
        </w:tc>
        <w:tc>
          <w:tcPr>
            <w:tcW w:w="985" w:type="dxa"/>
            <w:vAlign w:val="center"/>
          </w:tcPr>
          <w:p w14:paraId="5D1978AF">
            <w:pPr>
              <w:spacing w:line="360" w:lineRule="auto"/>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罗赛</w:t>
            </w:r>
          </w:p>
        </w:tc>
        <w:tc>
          <w:tcPr>
            <w:tcW w:w="2158" w:type="dxa"/>
            <w:vAlign w:val="center"/>
          </w:tcPr>
          <w:p w14:paraId="3537B3A8">
            <w:pPr>
              <w:spacing w:line="360" w:lineRule="auto"/>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13736605643</w:t>
            </w:r>
          </w:p>
        </w:tc>
      </w:tr>
    </w:tbl>
    <w:p w14:paraId="330BA83A">
      <w:pPr>
        <w:autoSpaceDE w:val="0"/>
        <w:autoSpaceDN w:val="0"/>
        <w:adjustRightInd w:val="0"/>
        <w:spacing w:line="360" w:lineRule="auto"/>
        <w:outlineLvl w:val="1"/>
        <w:rPr>
          <w:rFonts w:ascii="宋体" w:hAnsi="宋体" w:eastAsia="宋体" w:cs="宋体"/>
          <w:b/>
          <w:bCs/>
          <w:sz w:val="24"/>
          <w:lang w:val="zh-CN"/>
        </w:rPr>
      </w:pPr>
      <w:r>
        <w:rPr>
          <w:rFonts w:hint="eastAsia" w:cs="宋体" w:asciiTheme="minorEastAsia" w:hAnsiTheme="minorEastAsia" w:eastAsiaTheme="minorEastAsia"/>
          <w:sz w:val="21"/>
          <w:szCs w:val="21"/>
        </w:rPr>
        <w:br w:type="page"/>
      </w:r>
      <w:r>
        <w:rPr>
          <w:rFonts w:hint="eastAsia" w:ascii="宋体" w:hAnsi="宋体" w:eastAsia="宋体" w:cs="宋体"/>
          <w:b/>
          <w:bCs/>
          <w:sz w:val="24"/>
          <w:lang w:val="zh-CN"/>
        </w:rPr>
        <w:t>一、</w:t>
      </w:r>
      <w:bookmarkEnd w:id="13"/>
      <w:bookmarkEnd w:id="14"/>
      <w:r>
        <w:rPr>
          <w:rFonts w:hint="eastAsia" w:ascii="宋体" w:hAnsi="宋体" w:eastAsia="宋体" w:cs="宋体"/>
          <w:b/>
          <w:bCs/>
          <w:sz w:val="24"/>
          <w:lang w:val="zh-CN"/>
        </w:rPr>
        <w:t>总则</w:t>
      </w:r>
    </w:p>
    <w:p w14:paraId="34F70584">
      <w:pPr>
        <w:snapToGrid w:val="0"/>
        <w:spacing w:line="360" w:lineRule="auto"/>
        <w:ind w:firstLine="413" w:firstLineChars="196"/>
        <w:jc w:val="left"/>
        <w:outlineLvl w:val="1"/>
        <w:rPr>
          <w:rFonts w:ascii="宋体" w:hAnsi="宋体" w:eastAsia="宋体" w:cs="宋体"/>
          <w:b/>
          <w:sz w:val="21"/>
          <w:szCs w:val="21"/>
        </w:rPr>
      </w:pPr>
      <w:r>
        <w:rPr>
          <w:rFonts w:hint="eastAsia" w:ascii="宋体" w:hAnsi="宋体" w:eastAsia="宋体" w:cs="宋体"/>
          <w:b/>
          <w:sz w:val="21"/>
          <w:szCs w:val="21"/>
          <w:lang w:val="zh-CN"/>
        </w:rPr>
        <w:t>（一）</w:t>
      </w:r>
      <w:r>
        <w:rPr>
          <w:rFonts w:hint="eastAsia" w:ascii="宋体" w:hAnsi="宋体" w:eastAsia="宋体" w:cs="宋体"/>
          <w:b/>
          <w:sz w:val="21"/>
          <w:szCs w:val="21"/>
        </w:rPr>
        <w:t>适用范围</w:t>
      </w:r>
    </w:p>
    <w:p w14:paraId="383C9984">
      <w:pPr>
        <w:autoSpaceDE w:val="0"/>
        <w:autoSpaceDN w:val="0"/>
        <w:adjustRightInd w:val="0"/>
        <w:spacing w:line="360" w:lineRule="auto"/>
        <w:ind w:firstLine="480"/>
        <w:rPr>
          <w:rFonts w:ascii="宋体" w:hAnsi="宋体" w:eastAsia="宋体" w:cs="宋体"/>
          <w:sz w:val="21"/>
          <w:szCs w:val="21"/>
          <w:lang w:val="zh-CN"/>
        </w:rPr>
      </w:pPr>
      <w:r>
        <w:rPr>
          <w:rFonts w:hint="eastAsia" w:ascii="宋体" w:hAnsi="宋体" w:eastAsia="宋体" w:cs="宋体"/>
          <w:sz w:val="21"/>
          <w:szCs w:val="21"/>
          <w:lang w:val="zh-CN"/>
        </w:rPr>
        <w:t>本磋商文件适用于本次项目的磋商、评审、确定成交供应商、验收、合同履约、付款等行为（法律、法规另有规定的，从其规定）。</w:t>
      </w:r>
    </w:p>
    <w:p w14:paraId="4DB12635">
      <w:pPr>
        <w:autoSpaceDE w:val="0"/>
        <w:autoSpaceDN w:val="0"/>
        <w:adjustRightInd w:val="0"/>
        <w:spacing w:line="360" w:lineRule="auto"/>
        <w:ind w:firstLine="480"/>
        <w:rPr>
          <w:rFonts w:ascii="宋体" w:hAnsi="宋体" w:eastAsia="宋体" w:cs="宋体"/>
          <w:b/>
          <w:bCs/>
          <w:sz w:val="21"/>
          <w:szCs w:val="21"/>
        </w:rPr>
      </w:pPr>
      <w:bookmarkStart w:id="15" w:name="_Toc306901451"/>
      <w:bookmarkStart w:id="16" w:name="_Toc302983099"/>
      <w:r>
        <w:rPr>
          <w:rFonts w:hint="eastAsia" w:ascii="宋体" w:hAnsi="宋体" w:eastAsia="宋体" w:cs="宋体"/>
          <w:b/>
          <w:bCs/>
          <w:sz w:val="21"/>
          <w:szCs w:val="21"/>
        </w:rPr>
        <w:t>（二）定义</w:t>
      </w:r>
    </w:p>
    <w:p w14:paraId="368C2B3A">
      <w:pPr>
        <w:autoSpaceDE w:val="0"/>
        <w:autoSpaceDN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zh-CN"/>
        </w:rPr>
        <w:t>“采购组织机构”指受采购人委托，在委托的范围内办理政府采购事宜的机构。</w:t>
      </w:r>
    </w:p>
    <w:p w14:paraId="023DD889">
      <w:pPr>
        <w:autoSpaceDE w:val="0"/>
        <w:autoSpaceDN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rPr>
        <w:t>2、采购人：是指依法进行政府采购的国家机关、事业单位、团体组织。</w:t>
      </w:r>
    </w:p>
    <w:p w14:paraId="4DB6060E">
      <w:pPr>
        <w:autoSpaceDE w:val="0"/>
        <w:autoSpaceDN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rPr>
        <w:t>3、供应商：是指参加本政府采购项目磋商的供应商。</w:t>
      </w:r>
    </w:p>
    <w:p w14:paraId="45635A81">
      <w:pPr>
        <w:autoSpaceDE w:val="0"/>
        <w:autoSpaceDN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rPr>
        <w:t>4、货物：是指各种形态和种类的物品，包括原材料、燃料、设备、产品等。</w:t>
      </w:r>
    </w:p>
    <w:p w14:paraId="79077508">
      <w:pPr>
        <w:autoSpaceDE w:val="0"/>
        <w:autoSpaceDN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rPr>
        <w:t>5、服务：是指除货物和工程以外的政府采购对象，包括各类专业服务、信息网络开发服务、金融保险服务、运输服务，以及维修与维护服务等。</w:t>
      </w:r>
    </w:p>
    <w:p w14:paraId="2B49663A">
      <w:pPr>
        <w:autoSpaceDE w:val="0"/>
        <w:autoSpaceDN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rPr>
        <w:t>6、“书面形式”包括信函、传真等。</w:t>
      </w:r>
    </w:p>
    <w:p w14:paraId="6BE73FC9">
      <w:pPr>
        <w:autoSpaceDE w:val="0"/>
        <w:autoSpaceDN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rPr>
        <w:t>7、“▲”系指实质性要求条款。</w:t>
      </w:r>
    </w:p>
    <w:p w14:paraId="7BF1FD49">
      <w:pPr>
        <w:autoSpaceDE w:val="0"/>
        <w:autoSpaceDN w:val="0"/>
        <w:adjustRightInd w:val="0"/>
        <w:spacing w:line="360" w:lineRule="auto"/>
        <w:ind w:firstLine="480"/>
        <w:rPr>
          <w:rFonts w:ascii="宋体" w:hAnsi="宋体" w:eastAsia="宋体" w:cs="宋体"/>
          <w:b/>
          <w:bCs/>
          <w:sz w:val="21"/>
          <w:szCs w:val="21"/>
        </w:rPr>
      </w:pPr>
      <w:r>
        <w:rPr>
          <w:rFonts w:hint="eastAsia" w:ascii="宋体" w:hAnsi="宋体" w:eastAsia="宋体" w:cs="宋体"/>
          <w:b/>
          <w:bCs/>
          <w:sz w:val="21"/>
          <w:szCs w:val="21"/>
        </w:rPr>
        <w:t>（三）磋商费用</w:t>
      </w:r>
    </w:p>
    <w:p w14:paraId="3F9B6DB1">
      <w:pPr>
        <w:autoSpaceDE w:val="0"/>
        <w:autoSpaceDN w:val="0"/>
        <w:adjustRightIn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1、不论磋商结果如何，供应商均应自行承担所有与磋商有关的全部费用（磋商文件有相关规定除外）。</w:t>
      </w:r>
    </w:p>
    <w:p w14:paraId="5B0D07D3">
      <w:pPr>
        <w:autoSpaceDE w:val="0"/>
        <w:autoSpaceDN w:val="0"/>
        <w:adjustRightIn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2、招标代理费：按照下列表格中招标类计算标准（差额定率累进法）规定的工程招标费率的80%向采购人收取招标代理费，代理服务费结算时不足8000元的，按8000元收取。</w:t>
      </w:r>
    </w:p>
    <w:tbl>
      <w:tblPr>
        <w:tblStyle w:val="2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2"/>
        <w:gridCol w:w="1809"/>
        <w:gridCol w:w="1670"/>
        <w:gridCol w:w="2158"/>
      </w:tblGrid>
      <w:tr w14:paraId="1AEB7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49" w:type="pct"/>
            <w:vAlign w:val="center"/>
          </w:tcPr>
          <w:p w14:paraId="36F2CFD4">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服务类型、费率、中标金额（万元）</w:t>
            </w:r>
          </w:p>
        </w:tc>
        <w:tc>
          <w:tcPr>
            <w:tcW w:w="978" w:type="pct"/>
            <w:vAlign w:val="center"/>
          </w:tcPr>
          <w:p w14:paraId="6019928D">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货物招标</w:t>
            </w:r>
          </w:p>
        </w:tc>
        <w:tc>
          <w:tcPr>
            <w:tcW w:w="903" w:type="pct"/>
            <w:vAlign w:val="center"/>
          </w:tcPr>
          <w:p w14:paraId="3B81F3F5">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服务招标</w:t>
            </w:r>
          </w:p>
        </w:tc>
        <w:tc>
          <w:tcPr>
            <w:tcW w:w="1167" w:type="pct"/>
            <w:vAlign w:val="center"/>
          </w:tcPr>
          <w:p w14:paraId="546ECC4D">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工程招标</w:t>
            </w:r>
          </w:p>
        </w:tc>
      </w:tr>
      <w:tr w14:paraId="7CF08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49" w:type="pct"/>
            <w:vAlign w:val="center"/>
          </w:tcPr>
          <w:p w14:paraId="53D553A1">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100以下</w:t>
            </w:r>
          </w:p>
        </w:tc>
        <w:tc>
          <w:tcPr>
            <w:tcW w:w="978" w:type="pct"/>
            <w:vAlign w:val="center"/>
          </w:tcPr>
          <w:p w14:paraId="61A32345">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1.50%</w:t>
            </w:r>
          </w:p>
        </w:tc>
        <w:tc>
          <w:tcPr>
            <w:tcW w:w="903" w:type="pct"/>
            <w:vAlign w:val="center"/>
          </w:tcPr>
          <w:p w14:paraId="7DB817A0">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1.50%</w:t>
            </w:r>
          </w:p>
        </w:tc>
        <w:tc>
          <w:tcPr>
            <w:tcW w:w="1167" w:type="pct"/>
            <w:vAlign w:val="center"/>
          </w:tcPr>
          <w:p w14:paraId="3AC83768">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1.00%</w:t>
            </w:r>
          </w:p>
        </w:tc>
      </w:tr>
      <w:tr w14:paraId="63790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49" w:type="pct"/>
            <w:vAlign w:val="center"/>
          </w:tcPr>
          <w:p w14:paraId="521A8731">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100-500</w:t>
            </w:r>
          </w:p>
        </w:tc>
        <w:tc>
          <w:tcPr>
            <w:tcW w:w="978" w:type="pct"/>
            <w:vAlign w:val="center"/>
          </w:tcPr>
          <w:p w14:paraId="13928C14">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1.10%</w:t>
            </w:r>
          </w:p>
        </w:tc>
        <w:tc>
          <w:tcPr>
            <w:tcW w:w="903" w:type="pct"/>
            <w:vAlign w:val="center"/>
          </w:tcPr>
          <w:p w14:paraId="7023D9AA">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0.80%</w:t>
            </w:r>
          </w:p>
        </w:tc>
        <w:tc>
          <w:tcPr>
            <w:tcW w:w="1167" w:type="pct"/>
            <w:vAlign w:val="center"/>
          </w:tcPr>
          <w:p w14:paraId="03424EFB">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0.70%</w:t>
            </w:r>
          </w:p>
        </w:tc>
      </w:tr>
      <w:tr w14:paraId="38900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49" w:type="pct"/>
            <w:vAlign w:val="center"/>
          </w:tcPr>
          <w:p w14:paraId="64828195">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500-1000</w:t>
            </w:r>
          </w:p>
        </w:tc>
        <w:tc>
          <w:tcPr>
            <w:tcW w:w="978" w:type="pct"/>
            <w:vAlign w:val="center"/>
          </w:tcPr>
          <w:p w14:paraId="70A7B9B2">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0.80%</w:t>
            </w:r>
          </w:p>
        </w:tc>
        <w:tc>
          <w:tcPr>
            <w:tcW w:w="903" w:type="pct"/>
            <w:vAlign w:val="center"/>
          </w:tcPr>
          <w:p w14:paraId="07D4C0C0">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0.45%</w:t>
            </w:r>
          </w:p>
        </w:tc>
        <w:tc>
          <w:tcPr>
            <w:tcW w:w="1167" w:type="pct"/>
            <w:vAlign w:val="center"/>
          </w:tcPr>
          <w:p w14:paraId="7FFA28A6">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0.55%</w:t>
            </w:r>
          </w:p>
        </w:tc>
      </w:tr>
      <w:tr w14:paraId="5FF7A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49" w:type="pct"/>
            <w:vAlign w:val="center"/>
          </w:tcPr>
          <w:p w14:paraId="3E6490B5">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1000-5000</w:t>
            </w:r>
          </w:p>
        </w:tc>
        <w:tc>
          <w:tcPr>
            <w:tcW w:w="978" w:type="pct"/>
            <w:vAlign w:val="center"/>
          </w:tcPr>
          <w:p w14:paraId="2988C76C">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0.50%</w:t>
            </w:r>
          </w:p>
        </w:tc>
        <w:tc>
          <w:tcPr>
            <w:tcW w:w="903" w:type="pct"/>
            <w:vAlign w:val="center"/>
          </w:tcPr>
          <w:p w14:paraId="6A98DC90">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0.25%</w:t>
            </w:r>
          </w:p>
        </w:tc>
        <w:tc>
          <w:tcPr>
            <w:tcW w:w="1167" w:type="pct"/>
            <w:vAlign w:val="center"/>
          </w:tcPr>
          <w:p w14:paraId="6CEB80F9">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0.35%</w:t>
            </w:r>
          </w:p>
        </w:tc>
      </w:tr>
      <w:tr w14:paraId="01BDB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49" w:type="pct"/>
            <w:vAlign w:val="center"/>
          </w:tcPr>
          <w:p w14:paraId="46CD484B">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5000-10000</w:t>
            </w:r>
          </w:p>
        </w:tc>
        <w:tc>
          <w:tcPr>
            <w:tcW w:w="978" w:type="pct"/>
            <w:vAlign w:val="center"/>
          </w:tcPr>
          <w:p w14:paraId="48747D99">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0.25%</w:t>
            </w:r>
          </w:p>
        </w:tc>
        <w:tc>
          <w:tcPr>
            <w:tcW w:w="903" w:type="pct"/>
            <w:vAlign w:val="center"/>
          </w:tcPr>
          <w:p w14:paraId="7966D624">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0.10%</w:t>
            </w:r>
          </w:p>
        </w:tc>
        <w:tc>
          <w:tcPr>
            <w:tcW w:w="1167" w:type="pct"/>
            <w:vAlign w:val="center"/>
          </w:tcPr>
          <w:p w14:paraId="3F207258">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0.20%</w:t>
            </w:r>
          </w:p>
        </w:tc>
      </w:tr>
      <w:tr w14:paraId="64600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49" w:type="pct"/>
            <w:vAlign w:val="center"/>
          </w:tcPr>
          <w:p w14:paraId="58807975">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10000-100000</w:t>
            </w:r>
          </w:p>
        </w:tc>
        <w:tc>
          <w:tcPr>
            <w:tcW w:w="978" w:type="pct"/>
            <w:vAlign w:val="center"/>
          </w:tcPr>
          <w:p w14:paraId="1D8AE1EA">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0.05%</w:t>
            </w:r>
          </w:p>
        </w:tc>
        <w:tc>
          <w:tcPr>
            <w:tcW w:w="903" w:type="pct"/>
            <w:vAlign w:val="center"/>
          </w:tcPr>
          <w:p w14:paraId="35CBED8B">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0.05%</w:t>
            </w:r>
          </w:p>
        </w:tc>
        <w:tc>
          <w:tcPr>
            <w:tcW w:w="1167" w:type="pct"/>
            <w:vAlign w:val="center"/>
          </w:tcPr>
          <w:p w14:paraId="4AEA4CBE">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0.05%</w:t>
            </w:r>
          </w:p>
        </w:tc>
      </w:tr>
      <w:tr w14:paraId="07BD0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49" w:type="pct"/>
            <w:vAlign w:val="center"/>
          </w:tcPr>
          <w:p w14:paraId="76078C4F">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100000以上</w:t>
            </w:r>
          </w:p>
        </w:tc>
        <w:tc>
          <w:tcPr>
            <w:tcW w:w="978" w:type="pct"/>
            <w:vAlign w:val="center"/>
          </w:tcPr>
          <w:p w14:paraId="2D20DED3">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0.01%</w:t>
            </w:r>
          </w:p>
        </w:tc>
        <w:tc>
          <w:tcPr>
            <w:tcW w:w="903" w:type="pct"/>
            <w:vAlign w:val="center"/>
          </w:tcPr>
          <w:p w14:paraId="6C37B427">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0.01%</w:t>
            </w:r>
          </w:p>
        </w:tc>
        <w:tc>
          <w:tcPr>
            <w:tcW w:w="1167" w:type="pct"/>
            <w:vAlign w:val="center"/>
          </w:tcPr>
          <w:p w14:paraId="25A6597D">
            <w:pPr>
              <w:autoSpaceDE w:val="0"/>
              <w:autoSpaceDN w:val="0"/>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0.01%</w:t>
            </w:r>
          </w:p>
        </w:tc>
      </w:tr>
    </w:tbl>
    <w:p w14:paraId="7C61FD5D">
      <w:pPr>
        <w:autoSpaceDE w:val="0"/>
        <w:autoSpaceDN w:val="0"/>
        <w:adjustRightInd w:val="0"/>
        <w:spacing w:line="360" w:lineRule="auto"/>
        <w:ind w:firstLine="480"/>
        <w:rPr>
          <w:rFonts w:ascii="宋体" w:hAnsi="宋体" w:eastAsia="宋体" w:cs="宋体"/>
          <w:b/>
          <w:bCs/>
          <w:sz w:val="21"/>
          <w:szCs w:val="21"/>
        </w:rPr>
      </w:pPr>
      <w:r>
        <w:rPr>
          <w:rFonts w:hint="eastAsia" w:ascii="宋体" w:hAnsi="宋体" w:eastAsia="宋体" w:cs="宋体"/>
          <w:b/>
          <w:bCs/>
          <w:sz w:val="21"/>
          <w:szCs w:val="21"/>
        </w:rPr>
        <w:t>（四）联合体投标</w:t>
      </w:r>
    </w:p>
    <w:p w14:paraId="20313A1F">
      <w:pPr>
        <w:autoSpaceDE w:val="0"/>
        <w:autoSpaceDN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rPr>
        <w:t>本项目不接受联合体投标</w:t>
      </w:r>
      <w:r>
        <w:rPr>
          <w:rFonts w:hint="eastAsia" w:ascii="宋体" w:hAnsi="宋体" w:eastAsia="宋体" w:cs="宋体"/>
          <w:sz w:val="21"/>
          <w:szCs w:val="21"/>
          <w:lang w:val="zh-CN"/>
        </w:rPr>
        <w:t>。</w:t>
      </w:r>
    </w:p>
    <w:p w14:paraId="44A3EAC5">
      <w:pPr>
        <w:autoSpaceDE w:val="0"/>
        <w:autoSpaceDN w:val="0"/>
        <w:adjustRightInd w:val="0"/>
        <w:spacing w:line="360" w:lineRule="auto"/>
        <w:ind w:firstLine="480"/>
        <w:rPr>
          <w:rFonts w:ascii="宋体" w:hAnsi="宋体" w:eastAsia="宋体" w:cs="宋体"/>
          <w:b/>
          <w:bCs/>
          <w:sz w:val="21"/>
          <w:szCs w:val="21"/>
          <w:lang w:val="zh-CN"/>
        </w:rPr>
      </w:pPr>
      <w:r>
        <w:rPr>
          <w:rFonts w:hint="eastAsia" w:ascii="宋体" w:hAnsi="宋体" w:eastAsia="宋体" w:cs="宋体"/>
          <w:b/>
          <w:bCs/>
          <w:sz w:val="21"/>
          <w:szCs w:val="21"/>
        </w:rPr>
        <w:t>（五）</w:t>
      </w:r>
      <w:r>
        <w:rPr>
          <w:rFonts w:hint="eastAsia" w:ascii="宋体" w:hAnsi="宋体" w:eastAsia="宋体" w:cs="宋体"/>
          <w:b/>
          <w:bCs/>
          <w:sz w:val="21"/>
          <w:szCs w:val="21"/>
          <w:lang w:val="zh-CN"/>
        </w:rPr>
        <w:t>转包与分包</w:t>
      </w:r>
    </w:p>
    <w:p w14:paraId="7A1144E6">
      <w:pPr>
        <w:autoSpaceDE w:val="0"/>
        <w:autoSpaceDN w:val="0"/>
        <w:adjustRightInd w:val="0"/>
        <w:spacing w:line="360" w:lineRule="auto"/>
        <w:ind w:firstLine="480"/>
        <w:rPr>
          <w:rFonts w:ascii="宋体" w:hAnsi="宋体" w:eastAsia="宋体" w:cs="宋体"/>
          <w:sz w:val="21"/>
          <w:szCs w:val="21"/>
          <w:lang w:val="zh-CN"/>
        </w:rPr>
      </w:pPr>
      <w:r>
        <w:rPr>
          <w:rFonts w:hint="eastAsia" w:ascii="宋体" w:hAnsi="宋体" w:eastAsia="宋体" w:cs="宋体"/>
          <w:sz w:val="21"/>
          <w:szCs w:val="21"/>
          <w:lang w:val="zh-CN"/>
        </w:rPr>
        <w:t>1、本项目不允许转包。</w:t>
      </w:r>
    </w:p>
    <w:p w14:paraId="0CE6ED5B">
      <w:pPr>
        <w:autoSpaceDE w:val="0"/>
        <w:autoSpaceDN w:val="0"/>
        <w:adjustRightInd w:val="0"/>
        <w:spacing w:line="360" w:lineRule="auto"/>
        <w:ind w:firstLine="480"/>
        <w:rPr>
          <w:rFonts w:ascii="宋体" w:hAnsi="宋体" w:eastAsia="宋体" w:cs="宋体"/>
          <w:sz w:val="21"/>
          <w:szCs w:val="21"/>
          <w:highlight w:val="none"/>
          <w:lang w:val="zh-CN"/>
        </w:rPr>
      </w:pPr>
      <w:r>
        <w:rPr>
          <w:rFonts w:hint="eastAsia" w:ascii="宋体" w:hAnsi="宋体" w:eastAsia="宋体" w:cs="宋体"/>
          <w:sz w:val="21"/>
          <w:szCs w:val="21"/>
          <w:highlight w:val="none"/>
          <w:lang w:val="zh-CN"/>
        </w:rPr>
        <w:t>2、本项目允许分包</w:t>
      </w:r>
      <w:r>
        <w:rPr>
          <w:rFonts w:hint="eastAsia" w:ascii="宋体" w:hAnsi="宋体" w:eastAsia="宋体" w:cs="宋体"/>
          <w:sz w:val="21"/>
          <w:szCs w:val="21"/>
          <w:highlight w:val="none"/>
          <w:lang w:val="en-US" w:eastAsia="zh-CN"/>
        </w:rPr>
        <w:t>。分包的工程内容：承包人不得将工程主体、关键性工作分包。工程的其他部分或工作如需分包，须经发包人同意 。</w:t>
      </w:r>
    </w:p>
    <w:p w14:paraId="726D6AF3">
      <w:pPr>
        <w:autoSpaceDE w:val="0"/>
        <w:autoSpaceDN w:val="0"/>
        <w:adjustRightInd w:val="0"/>
        <w:spacing w:line="360" w:lineRule="auto"/>
        <w:ind w:firstLine="480"/>
        <w:rPr>
          <w:rFonts w:ascii="宋体" w:hAnsi="宋体" w:eastAsia="宋体" w:cs="宋体"/>
          <w:b/>
          <w:bCs/>
          <w:sz w:val="21"/>
          <w:szCs w:val="21"/>
        </w:rPr>
      </w:pPr>
      <w:r>
        <w:rPr>
          <w:rFonts w:hint="eastAsia" w:ascii="宋体" w:hAnsi="宋体" w:eastAsia="宋体" w:cs="宋体"/>
          <w:b/>
          <w:bCs/>
          <w:sz w:val="21"/>
          <w:szCs w:val="21"/>
        </w:rPr>
        <w:t>（六）特别说明</w:t>
      </w:r>
    </w:p>
    <w:p w14:paraId="03696EA1">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1.使用综合评分法的采购项目，提供相同品牌产品且通过资格审查、符合性审查的不同供应商参加同一合同项下</w:t>
      </w:r>
      <w:r>
        <w:rPr>
          <w:rFonts w:hint="eastAsia" w:ascii="宋体" w:hAnsi="宋体" w:eastAsia="宋体" w:cs="宋体"/>
          <w:sz w:val="21"/>
          <w:szCs w:val="21"/>
        </w:rPr>
        <w:t>磋商</w:t>
      </w:r>
      <w:r>
        <w:rPr>
          <w:rFonts w:hint="eastAsia" w:ascii="宋体" w:hAnsi="宋体" w:eastAsia="宋体" w:cs="宋体"/>
          <w:sz w:val="21"/>
          <w:szCs w:val="21"/>
          <w:lang w:val="zh-CN"/>
        </w:rPr>
        <w:t>的，按一家供应商计算，评审后得分最高的同品牌供应商获得中标人推荐资格；评审得分相同的，由采购人或者采购人委托评标委员会按照磋商文件规定的方式确定一个供应商获得中标人推荐资格，磋商文件未规定的采取随机抽取方式确定，其他同品牌供应商不作为中标候选人。</w:t>
      </w:r>
    </w:p>
    <w:p w14:paraId="7B1E2F62">
      <w:pPr>
        <w:snapToGrid w:val="0"/>
        <w:spacing w:line="360" w:lineRule="auto"/>
        <w:ind w:firstLine="420" w:firstLineChars="200"/>
        <w:rPr>
          <w:rFonts w:ascii="宋体" w:hAnsi="宋体" w:eastAsia="宋体" w:cs="宋体"/>
          <w:sz w:val="24"/>
          <w:lang w:val="zh-CN"/>
        </w:rPr>
      </w:pPr>
      <w:r>
        <w:rPr>
          <w:rFonts w:hint="eastAsia" w:ascii="宋体" w:hAnsi="宋体" w:eastAsia="宋体" w:cs="宋体"/>
          <w:sz w:val="21"/>
          <w:szCs w:val="21"/>
          <w:lang w:val="zh-CN"/>
        </w:rPr>
        <w:t>非单一产品采购项目，多家供应商提供的核心产品品牌相同的，按前款规定处理</w:t>
      </w:r>
      <w:r>
        <w:rPr>
          <w:rFonts w:hint="eastAsia" w:ascii="宋体" w:hAnsi="宋体" w:eastAsia="宋体" w:cs="宋体"/>
          <w:sz w:val="24"/>
          <w:lang w:val="zh-CN"/>
        </w:rPr>
        <w:t>。</w:t>
      </w:r>
    </w:p>
    <w:p w14:paraId="6FB0F43D">
      <w:pPr>
        <w:snapToGrid w:val="0"/>
        <w:spacing w:line="360" w:lineRule="auto"/>
        <w:ind w:firstLine="480" w:firstLineChars="20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1"/>
          <w:szCs w:val="21"/>
          <w:lang w:val="zh-CN"/>
        </w:rPr>
        <w:t>2.</w:t>
      </w:r>
      <w:r>
        <w:rPr>
          <w:rFonts w:hint="eastAsia" w:ascii="宋体" w:hAnsi="宋体" w:eastAsia="宋体" w:cs="宋体"/>
          <w:sz w:val="21"/>
          <w:szCs w:val="21"/>
        </w:rPr>
        <w:t>供应商磋商</w:t>
      </w:r>
      <w:r>
        <w:rPr>
          <w:rFonts w:hint="eastAsia" w:ascii="宋体" w:hAnsi="宋体" w:eastAsia="宋体" w:cs="宋体"/>
          <w:sz w:val="21"/>
          <w:szCs w:val="21"/>
          <w:lang w:val="zh-CN"/>
        </w:rPr>
        <w:t>所使用的资格、信誉、荣誉、业绩与企业认证必须为本法人所拥有。</w:t>
      </w:r>
      <w:r>
        <w:rPr>
          <w:rFonts w:hint="eastAsia" w:ascii="宋体" w:hAnsi="宋体" w:eastAsia="宋体" w:cs="宋体"/>
          <w:sz w:val="21"/>
          <w:szCs w:val="21"/>
        </w:rPr>
        <w:t>供应商磋商</w:t>
      </w:r>
      <w:r>
        <w:rPr>
          <w:rFonts w:hint="eastAsia" w:ascii="宋体" w:hAnsi="宋体" w:eastAsia="宋体" w:cs="宋体"/>
          <w:sz w:val="21"/>
          <w:szCs w:val="21"/>
          <w:lang w:val="zh-CN"/>
        </w:rPr>
        <w:t>所使用的采购项目实施人员必须为本法人员工（或必须为本法人或控股公司正式员工）。</w:t>
      </w:r>
    </w:p>
    <w:p w14:paraId="3BD82FED">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3.供应商应仔细阅读磋商文件的所有内容，按照磋商文件的要求提交磋商响应文件，并对所提供的全部资料的真实性承担法律责任。</w:t>
      </w:r>
    </w:p>
    <w:p w14:paraId="413A3E11">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4.</w:t>
      </w:r>
      <w:r>
        <w:rPr>
          <w:rFonts w:hint="eastAsia" w:ascii="宋体" w:hAnsi="宋体" w:eastAsia="宋体" w:cs="宋体"/>
          <w:sz w:val="21"/>
          <w:szCs w:val="21"/>
        </w:rPr>
        <w:t>供应商</w:t>
      </w:r>
      <w:r>
        <w:rPr>
          <w:rFonts w:hint="eastAsia" w:ascii="宋体" w:hAnsi="宋体" w:eastAsia="宋体" w:cs="宋体"/>
          <w:sz w:val="21"/>
          <w:szCs w:val="21"/>
          <w:lang w:val="zh-CN"/>
        </w:rPr>
        <w:t>在</w:t>
      </w:r>
      <w:r>
        <w:rPr>
          <w:rFonts w:hint="eastAsia" w:ascii="宋体" w:hAnsi="宋体" w:eastAsia="宋体" w:cs="宋体"/>
          <w:sz w:val="21"/>
          <w:szCs w:val="21"/>
        </w:rPr>
        <w:t>磋商</w:t>
      </w:r>
      <w:r>
        <w:rPr>
          <w:rFonts w:hint="eastAsia" w:ascii="宋体" w:hAnsi="宋体" w:eastAsia="宋体" w:cs="宋体"/>
          <w:sz w:val="21"/>
          <w:szCs w:val="21"/>
          <w:lang w:val="zh-CN"/>
        </w:rPr>
        <w:t>活动中提供任何虚假材料，其</w:t>
      </w:r>
      <w:r>
        <w:rPr>
          <w:rFonts w:hint="eastAsia" w:ascii="宋体" w:hAnsi="宋体" w:eastAsia="宋体" w:cs="宋体"/>
          <w:sz w:val="21"/>
          <w:szCs w:val="21"/>
        </w:rPr>
        <w:t>磋商</w:t>
      </w:r>
      <w:r>
        <w:rPr>
          <w:rFonts w:hint="eastAsia" w:ascii="宋体" w:hAnsi="宋体" w:eastAsia="宋体" w:cs="宋体"/>
          <w:sz w:val="21"/>
          <w:szCs w:val="21"/>
          <w:lang w:val="zh-CN"/>
        </w:rPr>
        <w:t>无效，并报监管部门查处；中标后发现的，中标人须依照《中华人民共和国消费者权益保护法》第49条之规定赔偿采购人，且民事赔偿并不免除违法供应商的行政与刑事责任。</w:t>
      </w:r>
    </w:p>
    <w:p w14:paraId="57310E97">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5.为采购项目提供整体设计、规范编制或者项目管理、监理、检测等服务的供应商，不得再参加该采购项目的其他采购活动。</w:t>
      </w:r>
    </w:p>
    <w:p w14:paraId="1E2BB1C2">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6.</w:t>
      </w:r>
      <w:r>
        <w:rPr>
          <w:rFonts w:hint="eastAsia" w:ascii="宋体" w:hAnsi="宋体" w:eastAsia="宋体" w:cs="宋体"/>
          <w:b/>
          <w:bCs/>
          <w:sz w:val="21"/>
          <w:szCs w:val="21"/>
        </w:rPr>
        <w:t>供应商</w:t>
      </w:r>
      <w:r>
        <w:rPr>
          <w:rFonts w:hint="eastAsia" w:ascii="宋体" w:hAnsi="宋体" w:eastAsia="宋体" w:cs="宋体"/>
          <w:b/>
          <w:bCs/>
          <w:sz w:val="21"/>
          <w:szCs w:val="21"/>
          <w:lang w:val="zh-CN"/>
        </w:rPr>
        <w:t>信用信息查询渠道及截止时点、信用信息查询记录和证据留存的具体方式、信用信息的使用规则：</w:t>
      </w:r>
    </w:p>
    <w:p w14:paraId="17D7B672">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sym w:font="Wingdings" w:char="0081"/>
      </w:r>
      <w:r>
        <w:rPr>
          <w:rFonts w:hint="eastAsia" w:ascii="宋体" w:hAnsi="宋体" w:eastAsia="宋体" w:cs="宋体"/>
          <w:sz w:val="21"/>
          <w:szCs w:val="21"/>
          <w:lang w:val="zh-CN"/>
        </w:rPr>
        <w:t>查询渠道：中国政府采购网（网址：http://www.ccgp.gov.cn）、信用中国（网址：</w:t>
      </w:r>
      <w:r>
        <w:fldChar w:fldCharType="begin"/>
      </w:r>
      <w:r>
        <w:instrText xml:space="preserve"> HYPERLINK "http://www.creditchina.gov.cn" </w:instrText>
      </w:r>
      <w:r>
        <w:fldChar w:fldCharType="separate"/>
      </w:r>
      <w:r>
        <w:rPr>
          <w:rFonts w:hint="eastAsia" w:ascii="宋体" w:hAnsi="宋体" w:eastAsia="宋体" w:cs="宋体"/>
          <w:sz w:val="21"/>
          <w:szCs w:val="21"/>
          <w:lang w:val="zh-CN"/>
        </w:rPr>
        <w:t>http://www.creditchina.gov.cn</w:t>
      </w:r>
      <w:r>
        <w:rPr>
          <w:rFonts w:hint="eastAsia" w:ascii="宋体" w:hAnsi="宋体" w:eastAsia="宋体" w:cs="宋体"/>
          <w:sz w:val="21"/>
          <w:szCs w:val="21"/>
          <w:lang w:val="zh-CN"/>
        </w:rPr>
        <w:fldChar w:fldCharType="end"/>
      </w:r>
      <w:r>
        <w:rPr>
          <w:rFonts w:hint="eastAsia" w:ascii="宋体" w:hAnsi="宋体" w:eastAsia="宋体" w:cs="宋体"/>
          <w:sz w:val="21"/>
          <w:szCs w:val="21"/>
          <w:lang w:val="zh-CN"/>
        </w:rPr>
        <w:t>）。</w:t>
      </w:r>
    </w:p>
    <w:p w14:paraId="484AD1C7">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sym w:font="Wingdings" w:char="F082"/>
      </w:r>
      <w:r>
        <w:rPr>
          <w:rFonts w:hint="eastAsia" w:ascii="宋体" w:hAnsi="宋体" w:eastAsia="宋体" w:cs="宋体"/>
          <w:sz w:val="21"/>
          <w:szCs w:val="21"/>
          <w:lang w:val="zh-CN"/>
        </w:rPr>
        <w:t>截止时间：开标后评标前。</w:t>
      </w:r>
    </w:p>
    <w:p w14:paraId="650CCE7F">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sym w:font="Wingdings" w:char="F083"/>
      </w:r>
      <w:r>
        <w:rPr>
          <w:rFonts w:hint="eastAsia" w:ascii="宋体" w:hAnsi="宋体" w:eastAsia="宋体" w:cs="宋体"/>
          <w:sz w:val="21"/>
          <w:szCs w:val="21"/>
          <w:lang w:val="zh-CN"/>
        </w:rPr>
        <w:t>信用信息查询记录和证据留存的具体方式：将在规定查询时间内打印信用信息查询记录及相关证据，并将与其他采购文件一并保存。</w:t>
      </w:r>
    </w:p>
    <w:p w14:paraId="6DAB5404">
      <w:pPr>
        <w:autoSpaceDE w:val="0"/>
        <w:autoSpaceDN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lang w:val="zh-CN"/>
        </w:rPr>
        <w:sym w:font="Wingdings" w:char="0084"/>
      </w:r>
      <w:r>
        <w:rPr>
          <w:rFonts w:hint="eastAsia" w:ascii="宋体" w:hAnsi="宋体" w:eastAsia="宋体" w:cs="宋体"/>
          <w:sz w:val="21"/>
          <w:szCs w:val="21"/>
          <w:lang w:val="zh-CN"/>
        </w:rPr>
        <w:t>使用规则：对列入失信被执行人、重大税收违法案件当事人名单、政府采购严重违法失信行为记录名单的供应商，拒绝其参与采购活动</w:t>
      </w:r>
      <w:r>
        <w:rPr>
          <w:rFonts w:hint="eastAsia" w:ascii="宋体" w:hAnsi="宋体" w:eastAsia="宋体" w:cs="宋体"/>
          <w:sz w:val="21"/>
          <w:szCs w:val="21"/>
        </w:rPr>
        <w:t>。</w:t>
      </w:r>
    </w:p>
    <w:bookmarkEnd w:id="15"/>
    <w:bookmarkEnd w:id="16"/>
    <w:p w14:paraId="1382834D">
      <w:pPr>
        <w:autoSpaceDE w:val="0"/>
        <w:autoSpaceDN w:val="0"/>
        <w:adjustRightInd w:val="0"/>
        <w:spacing w:line="360" w:lineRule="auto"/>
        <w:ind w:firstLine="480"/>
        <w:rPr>
          <w:rFonts w:ascii="宋体" w:hAnsi="宋体" w:eastAsia="宋体" w:cs="宋体"/>
          <w:b/>
          <w:bCs/>
          <w:sz w:val="21"/>
          <w:szCs w:val="21"/>
        </w:rPr>
      </w:pPr>
      <w:r>
        <w:rPr>
          <w:rFonts w:hint="eastAsia" w:ascii="宋体" w:hAnsi="宋体" w:eastAsia="宋体" w:cs="宋体"/>
          <w:sz w:val="21"/>
          <w:szCs w:val="21"/>
          <w:lang w:val="zh-CN"/>
        </w:rPr>
        <w:t>▲</w:t>
      </w:r>
      <w:r>
        <w:rPr>
          <w:rFonts w:hint="eastAsia" w:ascii="宋体" w:hAnsi="宋体" w:eastAsia="宋体" w:cs="宋体"/>
          <w:b/>
          <w:bCs/>
          <w:sz w:val="21"/>
          <w:szCs w:val="21"/>
        </w:rPr>
        <w:t>7.项目经理在建项目要求：</w:t>
      </w:r>
    </w:p>
    <w:p w14:paraId="1DC6C114">
      <w:pPr>
        <w:autoSpaceDE w:val="0"/>
        <w:autoSpaceDN w:val="0"/>
        <w:adjustRightInd w:val="0"/>
        <w:spacing w:line="360" w:lineRule="auto"/>
        <w:ind w:firstLine="480"/>
        <w:rPr>
          <w:rFonts w:ascii="宋体" w:hAnsi="宋体" w:eastAsia="宋体" w:cs="宋体"/>
          <w:b/>
          <w:bCs/>
          <w:sz w:val="21"/>
          <w:szCs w:val="21"/>
        </w:rPr>
      </w:pPr>
      <w:r>
        <w:rPr>
          <w:rFonts w:hint="eastAsia" w:ascii="宋体" w:hAnsi="宋体" w:eastAsia="宋体" w:cs="宋体"/>
          <w:b/>
          <w:bCs/>
          <w:sz w:val="21"/>
          <w:szCs w:val="21"/>
        </w:rPr>
        <w:t>项目经理承接项目按照《注册建造师执业管理办法（试行）》（建市[2008]48号）第九条执行，同时在本工程投标文件提交截止日前，原承接（包括已办理项目经理变更手续）的工程项目未通过竣工（交工）验收的（以竣工或交工验收记录为准），项目经理不得参加投标。发生下列情形之一的除外：</w:t>
      </w:r>
    </w:p>
    <w:p w14:paraId="200FD1E2">
      <w:pPr>
        <w:autoSpaceDE w:val="0"/>
        <w:autoSpaceDN w:val="0"/>
        <w:adjustRightInd w:val="0"/>
        <w:spacing w:line="360" w:lineRule="auto"/>
        <w:ind w:firstLine="480"/>
        <w:rPr>
          <w:rFonts w:ascii="宋体" w:hAnsi="宋体" w:eastAsia="宋体" w:cs="宋体"/>
          <w:b/>
          <w:bCs/>
          <w:sz w:val="21"/>
          <w:szCs w:val="21"/>
        </w:rPr>
      </w:pPr>
      <w:r>
        <w:rPr>
          <w:rFonts w:hint="eastAsia" w:ascii="宋体" w:hAnsi="宋体" w:eastAsia="宋体" w:cs="宋体"/>
          <w:b/>
          <w:bCs/>
          <w:sz w:val="21"/>
          <w:szCs w:val="21"/>
        </w:rPr>
        <w:t>1）原承接的项目与本工程属于同一工程相邻分段发包或分期施工的；</w:t>
      </w:r>
    </w:p>
    <w:p w14:paraId="22E04345">
      <w:pPr>
        <w:autoSpaceDE w:val="0"/>
        <w:autoSpaceDN w:val="0"/>
        <w:adjustRightInd w:val="0"/>
        <w:spacing w:line="360" w:lineRule="auto"/>
        <w:ind w:firstLine="480"/>
        <w:rPr>
          <w:rFonts w:ascii="宋体" w:hAnsi="宋体" w:eastAsia="宋体" w:cs="宋体"/>
          <w:b/>
          <w:bCs/>
          <w:sz w:val="21"/>
          <w:szCs w:val="21"/>
        </w:rPr>
      </w:pPr>
      <w:r>
        <w:rPr>
          <w:rFonts w:hint="eastAsia" w:ascii="宋体" w:hAnsi="宋体" w:eastAsia="宋体" w:cs="宋体"/>
          <w:b/>
          <w:bCs/>
          <w:sz w:val="21"/>
          <w:szCs w:val="21"/>
        </w:rPr>
        <w:t>2）因非承包方原因致使工程项目停工超过120天（含），经建设单位同意的（并须提供经工程所在地建设（建筑业）行政主管部门同意停工的书面证明）。</w:t>
      </w:r>
    </w:p>
    <w:p w14:paraId="47ECA8A7">
      <w:pPr>
        <w:autoSpaceDE w:val="0"/>
        <w:autoSpaceDN w:val="0"/>
        <w:adjustRightInd w:val="0"/>
        <w:spacing w:line="360" w:lineRule="auto"/>
        <w:ind w:firstLine="480"/>
        <w:rPr>
          <w:rFonts w:ascii="宋体" w:hAnsi="宋体" w:eastAsia="宋体" w:cs="宋体"/>
          <w:b/>
          <w:bCs/>
          <w:sz w:val="21"/>
          <w:szCs w:val="21"/>
        </w:rPr>
      </w:pPr>
      <w:r>
        <w:rPr>
          <w:rFonts w:hint="eastAsia" w:ascii="宋体" w:hAnsi="宋体" w:eastAsia="宋体" w:cs="宋体"/>
          <w:b/>
          <w:bCs/>
          <w:sz w:val="21"/>
          <w:szCs w:val="21"/>
        </w:rPr>
        <w:t>3）合同约定的工程已完工，承包方向建设单位提交竣工（交工）报告时间已超过120天（含），且经建设单位同意可承接其他项目的（并须提供经工程所在地建设（建筑业）行政主管部门书面证明和竣工（交工）报告）。</w:t>
      </w:r>
    </w:p>
    <w:p w14:paraId="67B2D6B4">
      <w:pPr>
        <w:autoSpaceDE w:val="0"/>
        <w:autoSpaceDN w:val="0"/>
        <w:adjustRightInd w:val="0"/>
        <w:spacing w:line="360" w:lineRule="auto"/>
        <w:ind w:firstLine="480"/>
        <w:rPr>
          <w:rFonts w:ascii="宋体" w:hAnsi="宋体" w:eastAsia="宋体" w:cs="宋体"/>
          <w:b/>
          <w:bCs/>
          <w:sz w:val="21"/>
          <w:szCs w:val="21"/>
        </w:rPr>
      </w:pPr>
      <w:r>
        <w:rPr>
          <w:rFonts w:hint="eastAsia" w:ascii="宋体" w:hAnsi="宋体" w:eastAsia="宋体" w:cs="宋体"/>
          <w:b/>
          <w:bCs/>
          <w:sz w:val="21"/>
          <w:szCs w:val="21"/>
        </w:rPr>
        <w:t>如发生以上情形，投标人应在递交投标文件的同时将有关书面证明材料（以电子文档形式上传）提交给采购人，投标截止日后提供的证明材料视为瞒报、漏报，将不予认可。</w:t>
      </w:r>
    </w:p>
    <w:p w14:paraId="088E54B6">
      <w:pPr>
        <w:autoSpaceDE w:val="0"/>
        <w:autoSpaceDN w:val="0"/>
        <w:adjustRightInd w:val="0"/>
        <w:spacing w:line="360" w:lineRule="auto"/>
        <w:ind w:firstLine="480"/>
        <w:rPr>
          <w:rFonts w:ascii="宋体" w:hAnsi="宋体" w:eastAsia="宋体" w:cs="宋体"/>
          <w:b/>
          <w:bCs/>
          <w:sz w:val="21"/>
          <w:szCs w:val="21"/>
        </w:rPr>
      </w:pPr>
      <w:r>
        <w:rPr>
          <w:rFonts w:hint="eastAsia" w:ascii="宋体" w:hAnsi="宋体" w:eastAsia="宋体" w:cs="宋体"/>
          <w:b/>
          <w:bCs/>
          <w:sz w:val="21"/>
          <w:szCs w:val="21"/>
        </w:rPr>
        <w:t>项目经理在原承接项目的中标候选人公示、中标公示、中标通知书、合同、施工许可证、现场公告牌、管理部门的网站或文件中载明担任项目经理岗位的，均视为已承接该项目。</w:t>
      </w:r>
    </w:p>
    <w:p w14:paraId="44B1E811">
      <w:pPr>
        <w:autoSpaceDE w:val="0"/>
        <w:autoSpaceDN w:val="0"/>
        <w:adjustRightInd w:val="0"/>
        <w:spacing w:line="360" w:lineRule="auto"/>
        <w:ind w:firstLine="422" w:firstLineChars="200"/>
        <w:rPr>
          <w:rFonts w:ascii="宋体" w:hAnsi="宋体" w:eastAsia="宋体" w:cs="宋体"/>
          <w:b/>
          <w:sz w:val="21"/>
          <w:szCs w:val="21"/>
        </w:rPr>
      </w:pPr>
      <w:r>
        <w:rPr>
          <w:rFonts w:hint="eastAsia" w:ascii="宋体" w:hAnsi="宋体" w:eastAsia="宋体" w:cs="宋体"/>
          <w:b/>
          <w:sz w:val="21"/>
          <w:szCs w:val="21"/>
        </w:rPr>
        <w:t>二、磋商文件</w:t>
      </w:r>
    </w:p>
    <w:p w14:paraId="619AC777">
      <w:pPr>
        <w:autoSpaceDE w:val="0"/>
        <w:autoSpaceDN w:val="0"/>
        <w:adjustRightInd w:val="0"/>
        <w:spacing w:line="360" w:lineRule="auto"/>
        <w:ind w:firstLine="422" w:firstLineChars="200"/>
        <w:rPr>
          <w:rFonts w:ascii="宋体" w:hAnsi="宋体" w:eastAsia="宋体" w:cs="宋体"/>
          <w:b/>
          <w:sz w:val="21"/>
          <w:szCs w:val="21"/>
        </w:rPr>
      </w:pPr>
      <w:r>
        <w:rPr>
          <w:rFonts w:hint="eastAsia" w:ascii="宋体" w:hAnsi="宋体" w:eastAsia="宋体" w:cs="宋体"/>
          <w:b/>
          <w:sz w:val="21"/>
          <w:szCs w:val="21"/>
        </w:rPr>
        <w:t>（</w:t>
      </w:r>
      <w:r>
        <w:rPr>
          <w:rFonts w:hint="eastAsia" w:ascii="宋体" w:hAnsi="宋体" w:eastAsia="宋体" w:cs="宋体"/>
          <w:b/>
          <w:sz w:val="21"/>
          <w:szCs w:val="21"/>
          <w:lang w:val="zh-CN"/>
        </w:rPr>
        <w:t>一</w:t>
      </w:r>
      <w:r>
        <w:rPr>
          <w:rFonts w:hint="eastAsia" w:ascii="宋体" w:hAnsi="宋体" w:eastAsia="宋体" w:cs="宋体"/>
          <w:b/>
          <w:sz w:val="21"/>
          <w:szCs w:val="21"/>
        </w:rPr>
        <w:t>）磋商</w:t>
      </w:r>
      <w:r>
        <w:rPr>
          <w:rFonts w:hint="eastAsia" w:ascii="宋体" w:hAnsi="宋体" w:eastAsia="宋体" w:cs="宋体"/>
          <w:b/>
          <w:sz w:val="21"/>
          <w:szCs w:val="21"/>
          <w:lang w:val="zh-CN"/>
        </w:rPr>
        <w:t>文件的构成</w:t>
      </w:r>
    </w:p>
    <w:p w14:paraId="45598009">
      <w:pPr>
        <w:autoSpaceDE w:val="0"/>
        <w:autoSpaceDN w:val="0"/>
        <w:adjustRightIn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本</w:t>
      </w:r>
      <w:r>
        <w:rPr>
          <w:rFonts w:hint="eastAsia" w:ascii="宋体" w:hAnsi="宋体" w:eastAsia="宋体" w:cs="宋体"/>
          <w:sz w:val="21"/>
          <w:szCs w:val="21"/>
        </w:rPr>
        <w:t>磋商</w:t>
      </w:r>
      <w:r>
        <w:rPr>
          <w:rFonts w:hint="eastAsia" w:ascii="宋体" w:hAnsi="宋体" w:eastAsia="宋体" w:cs="宋体"/>
          <w:sz w:val="21"/>
          <w:szCs w:val="21"/>
          <w:lang w:val="zh-CN"/>
        </w:rPr>
        <w:t>文件由以下部份组成：</w:t>
      </w:r>
    </w:p>
    <w:p w14:paraId="219EE517">
      <w:pPr>
        <w:numPr>
          <w:ilvl w:val="0"/>
          <w:numId w:val="2"/>
        </w:numPr>
        <w:autoSpaceDE w:val="0"/>
        <w:autoSpaceDN w:val="0"/>
        <w:adjustRightInd w:val="0"/>
        <w:spacing w:line="360" w:lineRule="auto"/>
        <w:rPr>
          <w:rFonts w:ascii="宋体" w:hAnsi="宋体" w:eastAsia="宋体" w:cs="宋体"/>
          <w:sz w:val="21"/>
          <w:szCs w:val="21"/>
          <w:lang w:val="zh-CN"/>
        </w:rPr>
      </w:pPr>
      <w:r>
        <w:rPr>
          <w:rFonts w:hint="eastAsia" w:ascii="宋体" w:hAnsi="宋体" w:eastAsia="宋体" w:cs="宋体"/>
          <w:sz w:val="21"/>
          <w:szCs w:val="21"/>
        </w:rPr>
        <w:t>竞争性磋商</w:t>
      </w:r>
      <w:r>
        <w:rPr>
          <w:rFonts w:hint="eastAsia" w:ascii="宋体" w:hAnsi="宋体" w:eastAsia="宋体" w:cs="宋体"/>
          <w:sz w:val="21"/>
          <w:szCs w:val="21"/>
          <w:lang w:val="zh-CN"/>
        </w:rPr>
        <w:t>公告</w:t>
      </w:r>
    </w:p>
    <w:p w14:paraId="6324CFB7">
      <w:pPr>
        <w:numPr>
          <w:ilvl w:val="0"/>
          <w:numId w:val="2"/>
        </w:numPr>
        <w:autoSpaceDE w:val="0"/>
        <w:autoSpaceDN w:val="0"/>
        <w:adjustRightInd w:val="0"/>
        <w:spacing w:line="360" w:lineRule="auto"/>
        <w:rPr>
          <w:rFonts w:ascii="宋体" w:hAnsi="宋体" w:eastAsia="宋体" w:cs="宋体"/>
          <w:sz w:val="21"/>
          <w:szCs w:val="21"/>
          <w:lang w:val="zh-CN"/>
        </w:rPr>
      </w:pPr>
      <w:r>
        <w:rPr>
          <w:rFonts w:hint="eastAsia" w:ascii="宋体" w:hAnsi="宋体" w:eastAsia="宋体" w:cs="宋体"/>
          <w:sz w:val="21"/>
          <w:szCs w:val="21"/>
        </w:rPr>
        <w:t>采购</w:t>
      </w:r>
      <w:r>
        <w:rPr>
          <w:rFonts w:hint="eastAsia" w:ascii="宋体" w:hAnsi="宋体" w:eastAsia="宋体" w:cs="宋体"/>
          <w:sz w:val="21"/>
          <w:szCs w:val="21"/>
          <w:lang w:val="zh-CN"/>
        </w:rPr>
        <w:t>需求</w:t>
      </w:r>
    </w:p>
    <w:p w14:paraId="60B25E24">
      <w:pPr>
        <w:numPr>
          <w:ilvl w:val="0"/>
          <w:numId w:val="2"/>
        </w:numPr>
        <w:autoSpaceDE w:val="0"/>
        <w:autoSpaceDN w:val="0"/>
        <w:adjustRightInd w:val="0"/>
        <w:spacing w:line="360" w:lineRule="auto"/>
        <w:rPr>
          <w:rFonts w:ascii="宋体" w:hAnsi="宋体" w:eastAsia="宋体" w:cs="宋体"/>
          <w:sz w:val="21"/>
          <w:szCs w:val="21"/>
          <w:lang w:val="zh-CN"/>
        </w:rPr>
      </w:pPr>
      <w:r>
        <w:rPr>
          <w:rFonts w:hint="eastAsia" w:ascii="宋体" w:hAnsi="宋体" w:eastAsia="宋体" w:cs="宋体"/>
          <w:sz w:val="21"/>
          <w:szCs w:val="21"/>
        </w:rPr>
        <w:t>供应商</w:t>
      </w:r>
      <w:r>
        <w:rPr>
          <w:rFonts w:hint="eastAsia" w:ascii="宋体" w:hAnsi="宋体" w:eastAsia="宋体" w:cs="宋体"/>
          <w:sz w:val="21"/>
          <w:szCs w:val="21"/>
          <w:lang w:val="zh-CN"/>
        </w:rPr>
        <w:t>须知</w:t>
      </w:r>
    </w:p>
    <w:p w14:paraId="52393F26">
      <w:pPr>
        <w:numPr>
          <w:ilvl w:val="0"/>
          <w:numId w:val="2"/>
        </w:numPr>
        <w:autoSpaceDE w:val="0"/>
        <w:autoSpaceDN w:val="0"/>
        <w:adjustRightInd w:val="0"/>
        <w:spacing w:line="360" w:lineRule="auto"/>
        <w:rPr>
          <w:rFonts w:ascii="宋体" w:hAnsi="宋体" w:eastAsia="宋体" w:cs="宋体"/>
          <w:sz w:val="21"/>
          <w:szCs w:val="21"/>
          <w:lang w:val="zh-CN"/>
        </w:rPr>
      </w:pPr>
      <w:r>
        <w:rPr>
          <w:rFonts w:hint="eastAsia" w:ascii="宋体" w:hAnsi="宋体" w:eastAsia="宋体" w:cs="宋体"/>
          <w:sz w:val="21"/>
          <w:szCs w:val="21"/>
          <w:lang w:val="zh-CN"/>
        </w:rPr>
        <w:t>评标办法及评分标准</w:t>
      </w:r>
    </w:p>
    <w:p w14:paraId="20440F9B">
      <w:pPr>
        <w:numPr>
          <w:ilvl w:val="0"/>
          <w:numId w:val="2"/>
        </w:numPr>
        <w:autoSpaceDE w:val="0"/>
        <w:autoSpaceDN w:val="0"/>
        <w:adjustRightInd w:val="0"/>
        <w:spacing w:line="360" w:lineRule="auto"/>
        <w:rPr>
          <w:rFonts w:ascii="宋体" w:hAnsi="宋体" w:eastAsia="宋体" w:cs="宋体"/>
          <w:sz w:val="21"/>
          <w:szCs w:val="21"/>
          <w:lang w:val="zh-CN"/>
        </w:rPr>
      </w:pPr>
      <w:r>
        <w:rPr>
          <w:rFonts w:hint="eastAsia" w:ascii="宋体" w:hAnsi="宋体" w:eastAsia="宋体" w:cs="宋体"/>
          <w:sz w:val="21"/>
          <w:szCs w:val="21"/>
          <w:lang w:val="zh-CN"/>
        </w:rPr>
        <w:t>合同主要条款</w:t>
      </w:r>
    </w:p>
    <w:p w14:paraId="3F556CB9">
      <w:pPr>
        <w:numPr>
          <w:ilvl w:val="0"/>
          <w:numId w:val="2"/>
        </w:numPr>
        <w:autoSpaceDE w:val="0"/>
        <w:autoSpaceDN w:val="0"/>
        <w:adjustRightInd w:val="0"/>
        <w:spacing w:line="360" w:lineRule="auto"/>
        <w:rPr>
          <w:rFonts w:ascii="宋体" w:hAnsi="宋体" w:eastAsia="宋体" w:cs="宋体"/>
          <w:sz w:val="21"/>
          <w:szCs w:val="21"/>
          <w:lang w:val="zh-CN"/>
        </w:rPr>
      </w:pPr>
      <w:r>
        <w:rPr>
          <w:rFonts w:hint="eastAsia" w:ascii="宋体" w:hAnsi="宋体" w:eastAsia="宋体" w:cs="宋体"/>
          <w:sz w:val="21"/>
          <w:szCs w:val="21"/>
        </w:rPr>
        <w:t>磋商响应</w:t>
      </w:r>
      <w:r>
        <w:rPr>
          <w:rFonts w:hint="eastAsia" w:ascii="宋体" w:hAnsi="宋体" w:eastAsia="宋体" w:cs="宋体"/>
          <w:sz w:val="21"/>
          <w:szCs w:val="21"/>
          <w:lang w:val="zh-CN"/>
        </w:rPr>
        <w:t>文件格式</w:t>
      </w:r>
    </w:p>
    <w:p w14:paraId="7394605A">
      <w:pPr>
        <w:autoSpaceDE w:val="0"/>
        <w:autoSpaceDN w:val="0"/>
        <w:adjustRightIn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7、</w:t>
      </w:r>
      <w:r>
        <w:rPr>
          <w:rFonts w:hint="eastAsia" w:ascii="宋体" w:hAnsi="宋体" w:eastAsia="宋体" w:cs="宋体"/>
          <w:sz w:val="21"/>
          <w:szCs w:val="21"/>
        </w:rPr>
        <w:t>本项目磋商文件的澄清、答复、修改、补充的内容</w:t>
      </w:r>
    </w:p>
    <w:p w14:paraId="18538312">
      <w:pPr>
        <w:autoSpaceDE w:val="0"/>
        <w:autoSpaceDN w:val="0"/>
        <w:adjustRightInd w:val="0"/>
        <w:spacing w:line="360" w:lineRule="auto"/>
        <w:ind w:firstLine="422" w:firstLineChars="200"/>
        <w:rPr>
          <w:rFonts w:ascii="宋体" w:hAnsi="宋体" w:eastAsia="宋体" w:cs="宋体"/>
          <w:b/>
          <w:sz w:val="21"/>
          <w:szCs w:val="21"/>
          <w:lang w:val="zh-CN"/>
        </w:rPr>
      </w:pPr>
      <w:r>
        <w:rPr>
          <w:rFonts w:hint="eastAsia" w:ascii="宋体" w:hAnsi="宋体" w:eastAsia="宋体" w:cs="宋体"/>
          <w:b/>
          <w:sz w:val="21"/>
          <w:szCs w:val="21"/>
          <w:lang w:val="zh-CN"/>
        </w:rPr>
        <w:t>（二）</w:t>
      </w:r>
      <w:r>
        <w:rPr>
          <w:rFonts w:hint="eastAsia" w:ascii="宋体" w:hAnsi="宋体" w:eastAsia="宋体" w:cs="宋体"/>
          <w:b/>
          <w:sz w:val="21"/>
          <w:szCs w:val="21"/>
        </w:rPr>
        <w:t>磋商</w:t>
      </w:r>
      <w:r>
        <w:rPr>
          <w:rFonts w:hint="eastAsia" w:ascii="宋体" w:hAnsi="宋体" w:eastAsia="宋体" w:cs="宋体"/>
          <w:b/>
          <w:sz w:val="21"/>
          <w:szCs w:val="21"/>
          <w:lang w:val="zh-CN"/>
        </w:rPr>
        <w:t>文件的澄清与修改</w:t>
      </w:r>
    </w:p>
    <w:p w14:paraId="4AA44B02">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1.</w:t>
      </w:r>
      <w:r>
        <w:rPr>
          <w:rFonts w:hint="eastAsia" w:ascii="宋体" w:hAnsi="宋体" w:eastAsia="宋体" w:cs="宋体"/>
          <w:sz w:val="21"/>
          <w:szCs w:val="21"/>
        </w:rPr>
        <w:t>供应商</w:t>
      </w:r>
      <w:r>
        <w:rPr>
          <w:rFonts w:hint="eastAsia" w:ascii="宋体" w:hAnsi="宋体" w:eastAsia="宋体" w:cs="宋体"/>
          <w:sz w:val="21"/>
          <w:szCs w:val="21"/>
          <w:lang w:val="zh-CN"/>
        </w:rPr>
        <w:t>如发现</w:t>
      </w:r>
      <w:r>
        <w:rPr>
          <w:rFonts w:hint="eastAsia" w:ascii="宋体" w:hAnsi="宋体" w:eastAsia="宋体" w:cs="宋体"/>
          <w:sz w:val="21"/>
          <w:szCs w:val="21"/>
        </w:rPr>
        <w:t>磋商</w:t>
      </w:r>
      <w:r>
        <w:rPr>
          <w:rFonts w:hint="eastAsia" w:ascii="宋体" w:hAnsi="宋体" w:eastAsia="宋体" w:cs="宋体"/>
          <w:sz w:val="21"/>
          <w:szCs w:val="21"/>
          <w:lang w:val="zh-CN"/>
        </w:rPr>
        <w:t>文件及其评标办法中存在含糊不清、相互矛盾、多种含义以及歧视性不公正条款或违法违规等有疑点需要质疑的，可以自收到</w:t>
      </w:r>
      <w:r>
        <w:rPr>
          <w:rFonts w:hint="eastAsia" w:ascii="宋体" w:hAnsi="宋体" w:eastAsia="宋体" w:cs="宋体"/>
          <w:sz w:val="21"/>
          <w:szCs w:val="21"/>
        </w:rPr>
        <w:t>磋商</w:t>
      </w:r>
      <w:r>
        <w:rPr>
          <w:rFonts w:hint="eastAsia" w:ascii="宋体" w:hAnsi="宋体" w:eastAsia="宋体" w:cs="宋体"/>
          <w:sz w:val="21"/>
          <w:szCs w:val="21"/>
          <w:lang w:val="zh-CN"/>
        </w:rPr>
        <w:t>文件之日（发售截止日之后收到采购文件的，以发售截止日为准）或者采购文件公告期限届满之日（即为</w:t>
      </w:r>
      <w:r>
        <w:rPr>
          <w:rFonts w:hint="eastAsia" w:ascii="宋体" w:hAnsi="宋体" w:eastAsia="宋体" w:cs="宋体"/>
          <w:sz w:val="21"/>
          <w:szCs w:val="21"/>
        </w:rPr>
        <w:t>磋商</w:t>
      </w:r>
      <w:r>
        <w:rPr>
          <w:rFonts w:hint="eastAsia" w:ascii="宋体" w:hAnsi="宋体" w:eastAsia="宋体" w:cs="宋体"/>
          <w:sz w:val="21"/>
          <w:szCs w:val="21"/>
          <w:lang w:val="zh-CN"/>
        </w:rPr>
        <w:t>公告发布后的第</w:t>
      </w:r>
      <w:r>
        <w:rPr>
          <w:rFonts w:hint="eastAsia" w:ascii="宋体" w:hAnsi="宋体" w:eastAsia="宋体" w:cs="宋体"/>
          <w:sz w:val="21"/>
          <w:szCs w:val="21"/>
        </w:rPr>
        <w:t>4</w:t>
      </w:r>
      <w:r>
        <w:rPr>
          <w:rFonts w:hint="eastAsia" w:ascii="宋体" w:hAnsi="宋体" w:eastAsia="宋体" w:cs="宋体"/>
          <w:sz w:val="21"/>
          <w:szCs w:val="21"/>
          <w:lang w:val="zh-CN"/>
        </w:rPr>
        <w:t>个工作日）起7个工作日内，以书面形式向采购人和采购代理机构提出质疑。逾期不得再对</w:t>
      </w:r>
      <w:r>
        <w:rPr>
          <w:rFonts w:hint="eastAsia" w:ascii="宋体" w:hAnsi="宋体" w:eastAsia="宋体" w:cs="宋体"/>
          <w:sz w:val="21"/>
          <w:szCs w:val="21"/>
        </w:rPr>
        <w:t>磋商</w:t>
      </w:r>
      <w:r>
        <w:rPr>
          <w:rFonts w:hint="eastAsia" w:ascii="宋体" w:hAnsi="宋体" w:eastAsia="宋体" w:cs="宋体"/>
          <w:sz w:val="21"/>
          <w:szCs w:val="21"/>
          <w:lang w:val="zh-CN"/>
        </w:rPr>
        <w:t>文件内容提出质疑，并视为对</w:t>
      </w:r>
      <w:r>
        <w:rPr>
          <w:rFonts w:hint="eastAsia" w:ascii="宋体" w:hAnsi="宋体" w:eastAsia="宋体" w:cs="宋体"/>
          <w:sz w:val="21"/>
          <w:szCs w:val="21"/>
        </w:rPr>
        <w:t>磋商</w:t>
      </w:r>
      <w:r>
        <w:rPr>
          <w:rFonts w:hint="eastAsia" w:ascii="宋体" w:hAnsi="宋体" w:eastAsia="宋体" w:cs="宋体"/>
          <w:sz w:val="21"/>
          <w:szCs w:val="21"/>
          <w:lang w:val="zh-CN"/>
        </w:rPr>
        <w:t>文件内容认可。</w:t>
      </w:r>
    </w:p>
    <w:p w14:paraId="384DC764">
      <w:pPr>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2.采购代理机构对已发出的</w:t>
      </w:r>
      <w:r>
        <w:rPr>
          <w:rFonts w:hint="eastAsia" w:ascii="宋体" w:hAnsi="宋体" w:eastAsia="宋体" w:cs="宋体"/>
          <w:sz w:val="21"/>
          <w:szCs w:val="21"/>
        </w:rPr>
        <w:t>磋商</w:t>
      </w:r>
      <w:r>
        <w:rPr>
          <w:rFonts w:hint="eastAsia" w:ascii="宋体" w:hAnsi="宋体" w:eastAsia="宋体" w:cs="宋体"/>
          <w:sz w:val="21"/>
          <w:szCs w:val="21"/>
          <w:lang w:val="zh-CN"/>
        </w:rPr>
        <w:t>文件进行必要的澄清或者修改，澄清或者修改内容可能影响</w:t>
      </w:r>
      <w:r>
        <w:rPr>
          <w:rFonts w:hint="eastAsia" w:ascii="宋体" w:hAnsi="宋体" w:eastAsia="宋体" w:cs="宋体"/>
          <w:sz w:val="21"/>
          <w:szCs w:val="21"/>
        </w:rPr>
        <w:t>磋商响应</w:t>
      </w:r>
      <w:r>
        <w:rPr>
          <w:rFonts w:hint="eastAsia" w:ascii="宋体" w:hAnsi="宋体" w:eastAsia="宋体" w:cs="宋体"/>
          <w:sz w:val="21"/>
          <w:szCs w:val="21"/>
          <w:lang w:val="zh-CN"/>
        </w:rPr>
        <w:t>文件编制的，采购代理机构于磋商响应文件提交截止时间至少</w:t>
      </w:r>
      <w:r>
        <w:rPr>
          <w:rFonts w:hint="eastAsia" w:ascii="宋体" w:hAnsi="宋体" w:eastAsia="宋体" w:cs="宋体"/>
          <w:sz w:val="21"/>
          <w:szCs w:val="21"/>
        </w:rPr>
        <w:t>3个工作日</w:t>
      </w:r>
      <w:r>
        <w:rPr>
          <w:rFonts w:hint="eastAsia" w:ascii="宋体" w:hAnsi="宋体" w:eastAsia="宋体" w:cs="宋体"/>
          <w:sz w:val="21"/>
          <w:szCs w:val="21"/>
          <w:lang w:val="zh-CN"/>
        </w:rPr>
        <w:t>前在“浙江省政府采购网”网站上发布澄清或更正公告；不足</w:t>
      </w:r>
      <w:r>
        <w:rPr>
          <w:rFonts w:hint="eastAsia" w:ascii="宋体" w:hAnsi="宋体" w:eastAsia="宋体" w:cs="宋体"/>
          <w:sz w:val="21"/>
          <w:szCs w:val="21"/>
        </w:rPr>
        <w:t>3个工作日</w:t>
      </w:r>
      <w:r>
        <w:rPr>
          <w:rFonts w:hint="eastAsia" w:ascii="宋体" w:hAnsi="宋体" w:eastAsia="宋体" w:cs="宋体"/>
          <w:sz w:val="21"/>
          <w:szCs w:val="21"/>
          <w:lang w:val="zh-CN"/>
        </w:rPr>
        <w:t>的，采购代理机构有权顺延提交</w:t>
      </w:r>
      <w:r>
        <w:rPr>
          <w:rFonts w:hint="eastAsia" w:ascii="宋体" w:hAnsi="宋体" w:eastAsia="宋体" w:cs="宋体"/>
          <w:sz w:val="21"/>
          <w:szCs w:val="21"/>
        </w:rPr>
        <w:t>磋商响应</w:t>
      </w:r>
      <w:r>
        <w:rPr>
          <w:rFonts w:hint="eastAsia" w:ascii="宋体" w:hAnsi="宋体" w:eastAsia="宋体" w:cs="宋体"/>
          <w:sz w:val="21"/>
          <w:szCs w:val="21"/>
          <w:lang w:val="zh-CN"/>
        </w:rPr>
        <w:t>文件的截止时间。</w:t>
      </w:r>
    </w:p>
    <w:p w14:paraId="47A2BB13">
      <w:pPr>
        <w:autoSpaceDE w:val="0"/>
        <w:autoSpaceDN w:val="0"/>
        <w:adjustRightInd w:val="0"/>
        <w:spacing w:line="360" w:lineRule="auto"/>
        <w:ind w:firstLine="420" w:firstLineChars="200"/>
        <w:rPr>
          <w:rFonts w:ascii="宋体" w:hAnsi="宋体" w:eastAsia="宋体" w:cs="宋体"/>
          <w:b/>
          <w:sz w:val="21"/>
          <w:szCs w:val="21"/>
          <w:lang w:val="zh-CN"/>
        </w:rPr>
      </w:pPr>
      <w:r>
        <w:rPr>
          <w:rFonts w:hint="eastAsia" w:ascii="宋体" w:hAnsi="宋体" w:eastAsia="宋体" w:cs="宋体"/>
          <w:sz w:val="21"/>
          <w:szCs w:val="21"/>
          <w:lang w:val="zh-CN"/>
        </w:rPr>
        <w:t>3.当</w:t>
      </w:r>
      <w:r>
        <w:rPr>
          <w:rFonts w:hint="eastAsia" w:ascii="宋体" w:hAnsi="宋体" w:eastAsia="宋体" w:cs="宋体"/>
          <w:sz w:val="21"/>
          <w:szCs w:val="21"/>
        </w:rPr>
        <w:t>磋商</w:t>
      </w:r>
      <w:r>
        <w:rPr>
          <w:rFonts w:hint="eastAsia" w:ascii="宋体" w:hAnsi="宋体" w:eastAsia="宋体" w:cs="宋体"/>
          <w:sz w:val="21"/>
          <w:szCs w:val="21"/>
          <w:lang w:val="zh-CN"/>
        </w:rPr>
        <w:t>文件与</w:t>
      </w:r>
      <w:r>
        <w:rPr>
          <w:rFonts w:hint="eastAsia" w:ascii="宋体" w:hAnsi="宋体" w:eastAsia="宋体" w:cs="宋体"/>
          <w:sz w:val="21"/>
          <w:szCs w:val="21"/>
        </w:rPr>
        <w:t>磋商</w:t>
      </w:r>
      <w:r>
        <w:rPr>
          <w:rFonts w:hint="eastAsia" w:ascii="宋体" w:hAnsi="宋体" w:eastAsia="宋体" w:cs="宋体"/>
          <w:sz w:val="21"/>
          <w:szCs w:val="21"/>
          <w:lang w:val="zh-CN"/>
        </w:rPr>
        <w:t>文件的澄清、修改、补充等在同一内容的表述上不一致时，以最后发出的书面文件为准。</w:t>
      </w:r>
    </w:p>
    <w:p w14:paraId="5B1A0F36">
      <w:pPr>
        <w:autoSpaceDE w:val="0"/>
        <w:autoSpaceDN w:val="0"/>
        <w:adjustRightInd w:val="0"/>
        <w:spacing w:line="360" w:lineRule="auto"/>
        <w:ind w:firstLine="422" w:firstLineChars="200"/>
        <w:rPr>
          <w:rFonts w:ascii="宋体" w:hAnsi="宋体" w:eastAsia="宋体" w:cs="宋体"/>
          <w:b/>
          <w:sz w:val="21"/>
          <w:szCs w:val="21"/>
        </w:rPr>
      </w:pPr>
      <w:r>
        <w:rPr>
          <w:rFonts w:hint="eastAsia" w:ascii="宋体" w:hAnsi="宋体" w:eastAsia="宋体" w:cs="宋体"/>
          <w:b/>
          <w:sz w:val="21"/>
          <w:szCs w:val="21"/>
        </w:rPr>
        <w:t>三</w:t>
      </w:r>
      <w:r>
        <w:rPr>
          <w:rFonts w:hint="eastAsia" w:ascii="宋体" w:hAnsi="宋体" w:eastAsia="宋体" w:cs="宋体"/>
          <w:b/>
          <w:sz w:val="21"/>
          <w:szCs w:val="21"/>
          <w:lang w:val="zh-CN"/>
        </w:rPr>
        <w:t>、磋商响应文件</w:t>
      </w:r>
      <w:r>
        <w:rPr>
          <w:rFonts w:hint="eastAsia" w:ascii="宋体" w:hAnsi="宋体" w:eastAsia="宋体" w:cs="宋体"/>
          <w:b/>
          <w:sz w:val="21"/>
          <w:szCs w:val="21"/>
        </w:rPr>
        <w:t>的编制</w:t>
      </w:r>
    </w:p>
    <w:p w14:paraId="4FFF6152">
      <w:pPr>
        <w:autoSpaceDE w:val="0"/>
        <w:autoSpaceDN w:val="0"/>
        <w:adjustRightInd w:val="0"/>
        <w:spacing w:line="360" w:lineRule="auto"/>
        <w:ind w:firstLine="422" w:firstLineChars="200"/>
        <w:rPr>
          <w:rFonts w:ascii="宋体" w:hAnsi="宋体" w:eastAsia="宋体" w:cs="宋体"/>
          <w:b/>
          <w:sz w:val="21"/>
          <w:szCs w:val="21"/>
          <w:lang w:val="zh-CN"/>
        </w:rPr>
      </w:pPr>
      <w:r>
        <w:rPr>
          <w:rFonts w:hint="eastAsia" w:ascii="宋体" w:hAnsi="宋体" w:eastAsia="宋体" w:cs="宋体"/>
          <w:b/>
          <w:sz w:val="21"/>
          <w:szCs w:val="21"/>
          <w:lang w:val="zh-CN"/>
        </w:rPr>
        <w:t>（一）磋商响应文件的组成</w:t>
      </w:r>
    </w:p>
    <w:p w14:paraId="0E7B7579">
      <w:pPr>
        <w:autoSpaceDE w:val="0"/>
        <w:autoSpaceDN w:val="0"/>
        <w:adjustRightInd w:val="0"/>
        <w:spacing w:line="360" w:lineRule="auto"/>
        <w:ind w:firstLine="420" w:firstLineChars="200"/>
        <w:rPr>
          <w:rFonts w:ascii="宋体" w:hAnsi="宋体" w:eastAsia="宋体" w:cs="宋体"/>
          <w:bCs/>
          <w:sz w:val="21"/>
          <w:szCs w:val="21"/>
          <w:lang w:val="zh-CN"/>
        </w:rPr>
      </w:pPr>
      <w:r>
        <w:rPr>
          <w:rFonts w:hint="eastAsia" w:ascii="宋体" w:hAnsi="宋体" w:eastAsia="宋体" w:cs="宋体"/>
          <w:bCs/>
          <w:sz w:val="21"/>
          <w:szCs w:val="21"/>
        </w:rPr>
        <w:t>1、供应商</w:t>
      </w:r>
      <w:r>
        <w:rPr>
          <w:rFonts w:hint="eastAsia" w:ascii="宋体" w:hAnsi="宋体" w:eastAsia="宋体" w:cs="宋体"/>
          <w:bCs/>
          <w:sz w:val="21"/>
          <w:szCs w:val="21"/>
          <w:lang w:val="zh-CN"/>
        </w:rPr>
        <w:t>应仔细阅读</w:t>
      </w:r>
      <w:r>
        <w:rPr>
          <w:rFonts w:hint="eastAsia" w:ascii="宋体" w:hAnsi="宋体" w:eastAsia="宋体" w:cs="宋体"/>
          <w:bCs/>
          <w:sz w:val="21"/>
          <w:szCs w:val="21"/>
        </w:rPr>
        <w:t>磋商</w:t>
      </w:r>
      <w:r>
        <w:rPr>
          <w:rFonts w:hint="eastAsia" w:ascii="宋体" w:hAnsi="宋体" w:eastAsia="宋体" w:cs="宋体"/>
          <w:bCs/>
          <w:sz w:val="21"/>
          <w:szCs w:val="21"/>
          <w:lang w:val="zh-CN"/>
        </w:rPr>
        <w:t>文件的所有内容，按照</w:t>
      </w:r>
      <w:r>
        <w:rPr>
          <w:rFonts w:hint="eastAsia" w:ascii="宋体" w:hAnsi="宋体" w:eastAsia="宋体" w:cs="宋体"/>
          <w:bCs/>
          <w:sz w:val="21"/>
          <w:szCs w:val="21"/>
        </w:rPr>
        <w:t>磋商</w:t>
      </w:r>
      <w:r>
        <w:rPr>
          <w:rFonts w:hint="eastAsia" w:ascii="宋体" w:hAnsi="宋体" w:eastAsia="宋体" w:cs="宋体"/>
          <w:bCs/>
          <w:sz w:val="21"/>
          <w:szCs w:val="21"/>
          <w:lang w:val="zh-CN"/>
        </w:rPr>
        <w:t>文件的要求编制和提交</w:t>
      </w:r>
      <w:r>
        <w:rPr>
          <w:rFonts w:hint="eastAsia" w:ascii="宋体" w:hAnsi="宋体" w:eastAsia="宋体" w:cs="宋体"/>
          <w:bCs/>
          <w:sz w:val="21"/>
          <w:szCs w:val="21"/>
        </w:rPr>
        <w:t>磋商响应</w:t>
      </w:r>
      <w:r>
        <w:rPr>
          <w:rFonts w:hint="eastAsia" w:ascii="宋体" w:hAnsi="宋体" w:eastAsia="宋体" w:cs="宋体"/>
          <w:bCs/>
          <w:sz w:val="21"/>
          <w:szCs w:val="21"/>
          <w:lang w:val="zh-CN"/>
        </w:rPr>
        <w:t>文件，并对所提供的全部资料的真实性承担法律责任。</w:t>
      </w:r>
    </w:p>
    <w:p w14:paraId="521DF123">
      <w:pPr>
        <w:autoSpaceDE w:val="0"/>
        <w:autoSpaceDN w:val="0"/>
        <w:adjustRightInd w:val="0"/>
        <w:spacing w:line="360" w:lineRule="auto"/>
        <w:ind w:firstLine="420" w:firstLineChars="200"/>
        <w:rPr>
          <w:rFonts w:ascii="宋体" w:hAnsi="宋体" w:eastAsia="宋体" w:cs="宋体"/>
          <w:b/>
          <w:sz w:val="21"/>
          <w:szCs w:val="21"/>
          <w:lang w:val="zh-CN"/>
        </w:rPr>
      </w:pPr>
      <w:r>
        <w:rPr>
          <w:rFonts w:hint="eastAsia" w:ascii="宋体" w:hAnsi="宋体" w:eastAsia="宋体" w:cs="宋体"/>
          <w:bCs/>
          <w:sz w:val="21"/>
          <w:szCs w:val="21"/>
        </w:rPr>
        <w:t>2、磋商响应文件由资格证明文件、商务与技术文件、报价文件组成。</w:t>
      </w:r>
      <w:r>
        <w:rPr>
          <w:rFonts w:hint="eastAsia" w:ascii="宋体" w:hAnsi="宋体" w:eastAsia="宋体" w:cs="宋体"/>
          <w:b/>
          <w:sz w:val="21"/>
          <w:szCs w:val="21"/>
          <w:lang w:val="zh-CN"/>
        </w:rPr>
        <w:t>【特别提示：如有要求提供资料原件的，原件另行包装，并与磋商响应文件一起提交，磋商响应截止时间后所有原件不予接收。资料原件也可以用与原件相符的公证原件替代】</w:t>
      </w:r>
    </w:p>
    <w:p w14:paraId="26A23C79">
      <w:pPr>
        <w:snapToGrid w:val="0"/>
        <w:spacing w:line="360" w:lineRule="auto"/>
        <w:ind w:firstLine="422" w:firstLineChars="200"/>
        <w:rPr>
          <w:rFonts w:ascii="宋体" w:hAnsi="宋体" w:eastAsia="宋体" w:cs="宋体"/>
          <w:b/>
          <w:sz w:val="21"/>
          <w:szCs w:val="21"/>
        </w:rPr>
      </w:pPr>
      <w:r>
        <w:rPr>
          <w:rFonts w:hint="eastAsia" w:ascii="宋体" w:hAnsi="宋体" w:eastAsia="宋体" w:cs="宋体"/>
          <w:b/>
          <w:sz w:val="21"/>
          <w:szCs w:val="21"/>
        </w:rPr>
        <w:t>▲3、资格证明文件的组成：</w:t>
      </w:r>
    </w:p>
    <w:p w14:paraId="50034522">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（1）磋商承诺函（格式见附件）；</w:t>
      </w:r>
    </w:p>
    <w:p w14:paraId="288002D1">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（2）授权委托书（格式见附件）（若法定代表人亲自办理磋商事宜的或自然人参加磋商的，则无须提供）；</w:t>
      </w:r>
    </w:p>
    <w:p w14:paraId="51F8E11E">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w:t>
      </w:r>
      <w:r>
        <w:rPr>
          <w:rFonts w:hint="eastAsia" w:ascii="宋体" w:hAnsi="宋体" w:eastAsia="宋体" w:cs="宋体"/>
          <w:sz w:val="21"/>
          <w:szCs w:val="21"/>
        </w:rPr>
        <w:t>3</w:t>
      </w:r>
      <w:r>
        <w:rPr>
          <w:rFonts w:hint="eastAsia" w:ascii="宋体" w:hAnsi="宋体" w:eastAsia="宋体" w:cs="宋体"/>
          <w:sz w:val="21"/>
          <w:szCs w:val="21"/>
          <w:lang w:val="zh-CN"/>
        </w:rPr>
        <w:t>）法人或者其他组织的营业执照等证明文件，自然人的身份证明；</w:t>
      </w:r>
    </w:p>
    <w:p w14:paraId="53E129E4">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w:t>
      </w:r>
      <w:r>
        <w:rPr>
          <w:rFonts w:hint="eastAsia" w:ascii="宋体" w:hAnsi="宋体" w:eastAsia="宋体" w:cs="宋体"/>
          <w:sz w:val="21"/>
          <w:szCs w:val="21"/>
        </w:rPr>
        <w:t>4</w:t>
      </w:r>
      <w:r>
        <w:rPr>
          <w:rFonts w:hint="eastAsia" w:ascii="宋体" w:hAnsi="宋体" w:eastAsia="宋体" w:cs="宋体"/>
          <w:sz w:val="21"/>
          <w:szCs w:val="21"/>
          <w:lang w:val="zh-CN"/>
        </w:rPr>
        <w:t>）具有履行合同所必需设备和专业技术能力的承诺函；</w:t>
      </w:r>
    </w:p>
    <w:p w14:paraId="0011028C">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zh-CN"/>
        </w:rPr>
        <w:t>（</w:t>
      </w:r>
      <w:r>
        <w:rPr>
          <w:rFonts w:hint="eastAsia" w:ascii="宋体" w:hAnsi="宋体" w:eastAsia="宋体" w:cs="宋体"/>
          <w:sz w:val="21"/>
          <w:szCs w:val="21"/>
        </w:rPr>
        <w:t>5</w:t>
      </w:r>
      <w:r>
        <w:rPr>
          <w:rFonts w:hint="eastAsia" w:ascii="宋体" w:hAnsi="宋体" w:eastAsia="宋体" w:cs="宋体"/>
          <w:sz w:val="21"/>
          <w:szCs w:val="21"/>
          <w:lang w:val="zh-CN"/>
        </w:rPr>
        <w:t>）无重大违法记录声明书；</w:t>
      </w:r>
    </w:p>
    <w:p w14:paraId="279B6BDC">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zh-CN"/>
        </w:rPr>
        <w:t>（</w:t>
      </w:r>
      <w:r>
        <w:rPr>
          <w:rFonts w:hint="eastAsia" w:ascii="宋体" w:hAnsi="宋体" w:eastAsia="宋体" w:cs="宋体"/>
          <w:sz w:val="21"/>
          <w:szCs w:val="21"/>
        </w:rPr>
        <w:t>6）提供中小企业声明函；</w:t>
      </w:r>
    </w:p>
    <w:p w14:paraId="108596D7">
      <w:pPr>
        <w:autoSpaceDE w:val="0"/>
        <w:autoSpaceDN w:val="0"/>
        <w:adjustRightInd w:val="0"/>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rPr>
        <w:t>（7）</w:t>
      </w:r>
      <w:r>
        <w:rPr>
          <w:rFonts w:hint="eastAsia" w:ascii="宋体" w:hAnsi="宋体" w:eastAsia="宋体" w:cs="宋体"/>
          <w:sz w:val="21"/>
          <w:szCs w:val="21"/>
          <w:lang w:val="zh-CN"/>
        </w:rPr>
        <w:t>提供采购公告中符合供应商特定条件的有效资质证书、安全生产许可证、浙江省省外企业须具有有效的《省外企业进浙承接业务备案证明》或“浙江省建筑市场监管公共服务系统”对外发布的通过审核形成的备案信息网页截图（仅指浙江省省外企业）（供应商特定条件中有要求的必须提供），以及需要说明的其他资料。</w:t>
      </w:r>
    </w:p>
    <w:p w14:paraId="14776D57">
      <w:pPr>
        <w:autoSpaceDE w:val="0"/>
        <w:autoSpaceDN w:val="0"/>
        <w:adjustRightInd w:val="0"/>
        <w:snapToGrid w:val="0"/>
        <w:spacing w:line="360" w:lineRule="auto"/>
        <w:ind w:firstLine="480"/>
        <w:rPr>
          <w:rFonts w:ascii="宋体" w:hAnsi="宋体" w:eastAsia="宋体" w:cs="宋体"/>
          <w:sz w:val="21"/>
          <w:szCs w:val="21"/>
          <w:lang w:val="zh-CN"/>
        </w:rPr>
      </w:pPr>
      <w:r>
        <w:rPr>
          <w:rFonts w:hint="eastAsia" w:ascii="宋体" w:hAnsi="宋体" w:eastAsia="宋体" w:cs="宋体"/>
          <w:b/>
          <w:bCs/>
          <w:sz w:val="21"/>
          <w:szCs w:val="21"/>
          <w:lang w:val="zh-CN"/>
        </w:rPr>
        <w:t>▲注：开标前采购机构不安排资格预审，由采购机构负责审查，若供应商不按要求提供资格审查材料，其磋商响应文件作无效标处理。</w:t>
      </w:r>
    </w:p>
    <w:p w14:paraId="7C7DA662">
      <w:pPr>
        <w:tabs>
          <w:tab w:val="left" w:pos="5955"/>
        </w:tabs>
        <w:snapToGrid w:val="0"/>
        <w:spacing w:line="360" w:lineRule="auto"/>
        <w:ind w:firstLine="422" w:firstLineChars="200"/>
        <w:rPr>
          <w:rFonts w:ascii="宋体" w:hAnsi="宋体" w:eastAsia="宋体" w:cs="宋体"/>
          <w:b/>
          <w:sz w:val="21"/>
          <w:szCs w:val="21"/>
        </w:rPr>
      </w:pPr>
      <w:r>
        <w:rPr>
          <w:rFonts w:hint="eastAsia" w:ascii="宋体" w:hAnsi="宋体" w:eastAsia="宋体" w:cs="宋体"/>
          <w:b/>
          <w:sz w:val="21"/>
          <w:szCs w:val="21"/>
        </w:rPr>
        <w:t>4、商务与技术标的组成：</w:t>
      </w:r>
      <w:r>
        <w:rPr>
          <w:rFonts w:hint="eastAsia" w:ascii="宋体" w:hAnsi="宋体" w:eastAsia="宋体" w:cs="宋体"/>
          <w:b/>
          <w:sz w:val="21"/>
          <w:szCs w:val="21"/>
        </w:rPr>
        <w:tab/>
      </w:r>
    </w:p>
    <w:p w14:paraId="07F1D27F">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（1）供应商基本情况表（</w:t>
      </w:r>
      <w:r>
        <w:rPr>
          <w:rFonts w:hint="eastAsia" w:ascii="宋体" w:hAnsi="宋体" w:eastAsia="宋体" w:cs="宋体"/>
          <w:sz w:val="21"/>
          <w:szCs w:val="21"/>
          <w:lang w:val="zh-CN"/>
        </w:rPr>
        <w:t>格式</w:t>
      </w:r>
      <w:r>
        <w:rPr>
          <w:rFonts w:hint="eastAsia" w:ascii="宋体" w:hAnsi="宋体" w:eastAsia="宋体" w:cs="宋体"/>
          <w:sz w:val="21"/>
          <w:szCs w:val="21"/>
        </w:rPr>
        <w:t>见附件）；</w:t>
      </w:r>
    </w:p>
    <w:p w14:paraId="53672312">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2</w:t>
      </w:r>
      <w:r>
        <w:rPr>
          <w:rFonts w:hint="eastAsia" w:ascii="宋体" w:hAnsi="宋体" w:eastAsia="宋体" w:cs="宋体"/>
          <w:sz w:val="21"/>
          <w:szCs w:val="21"/>
        </w:rPr>
        <w:t>）商务响应表（</w:t>
      </w:r>
      <w:r>
        <w:rPr>
          <w:rFonts w:hint="eastAsia" w:ascii="宋体" w:hAnsi="宋体" w:eastAsia="宋体" w:cs="宋体"/>
          <w:sz w:val="21"/>
          <w:szCs w:val="21"/>
          <w:lang w:val="zh-CN"/>
        </w:rPr>
        <w:t>格式</w:t>
      </w:r>
      <w:r>
        <w:rPr>
          <w:rFonts w:hint="eastAsia" w:ascii="宋体" w:hAnsi="宋体" w:eastAsia="宋体" w:cs="宋体"/>
          <w:sz w:val="21"/>
          <w:szCs w:val="21"/>
        </w:rPr>
        <w:t>见附件）；</w:t>
      </w:r>
    </w:p>
    <w:p w14:paraId="72770207">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3</w:t>
      </w:r>
      <w:r>
        <w:rPr>
          <w:rFonts w:hint="eastAsia" w:ascii="宋体" w:hAnsi="宋体" w:eastAsia="宋体" w:cs="宋体"/>
          <w:sz w:val="21"/>
          <w:szCs w:val="21"/>
        </w:rPr>
        <w:t>）类似项目业绩（</w:t>
      </w:r>
      <w:r>
        <w:rPr>
          <w:rFonts w:hint="eastAsia" w:ascii="宋体" w:hAnsi="宋体" w:eastAsia="宋体" w:cs="宋体"/>
          <w:sz w:val="21"/>
          <w:szCs w:val="21"/>
          <w:lang w:val="zh-CN"/>
        </w:rPr>
        <w:t>格式</w:t>
      </w:r>
      <w:r>
        <w:rPr>
          <w:rFonts w:hint="eastAsia" w:ascii="宋体" w:hAnsi="宋体" w:eastAsia="宋体" w:cs="宋体"/>
          <w:sz w:val="21"/>
          <w:szCs w:val="21"/>
        </w:rPr>
        <w:t>见附件）；</w:t>
      </w:r>
    </w:p>
    <w:p w14:paraId="2A83B443">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4</w:t>
      </w:r>
      <w:r>
        <w:rPr>
          <w:rFonts w:hint="eastAsia" w:ascii="宋体" w:hAnsi="宋体" w:eastAsia="宋体" w:cs="宋体"/>
          <w:sz w:val="21"/>
          <w:szCs w:val="21"/>
        </w:rPr>
        <w:t>）项目经理简历表（见</w:t>
      </w:r>
      <w:r>
        <w:rPr>
          <w:rFonts w:hint="eastAsia" w:ascii="宋体" w:hAnsi="宋体" w:eastAsia="宋体" w:cs="宋体"/>
          <w:sz w:val="21"/>
          <w:szCs w:val="21"/>
          <w:lang w:val="zh-CN"/>
        </w:rPr>
        <w:t>格式</w:t>
      </w:r>
      <w:r>
        <w:rPr>
          <w:rFonts w:hint="eastAsia" w:ascii="宋体" w:hAnsi="宋体" w:eastAsia="宋体" w:cs="宋体"/>
          <w:sz w:val="21"/>
          <w:szCs w:val="21"/>
        </w:rPr>
        <w:t>附件）；</w:t>
      </w:r>
    </w:p>
    <w:p w14:paraId="1AC74983">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5</w:t>
      </w:r>
      <w:r>
        <w:rPr>
          <w:rFonts w:hint="eastAsia" w:ascii="宋体" w:hAnsi="宋体" w:eastAsia="宋体" w:cs="宋体"/>
          <w:sz w:val="21"/>
          <w:szCs w:val="21"/>
        </w:rPr>
        <w:t>）技术负责人简历表（见</w:t>
      </w:r>
      <w:r>
        <w:rPr>
          <w:rFonts w:hint="eastAsia" w:ascii="宋体" w:hAnsi="宋体" w:eastAsia="宋体" w:cs="宋体"/>
          <w:sz w:val="21"/>
          <w:szCs w:val="21"/>
          <w:lang w:val="zh-CN"/>
        </w:rPr>
        <w:t>格式</w:t>
      </w:r>
      <w:r>
        <w:rPr>
          <w:rFonts w:hint="eastAsia" w:ascii="宋体" w:hAnsi="宋体" w:eastAsia="宋体" w:cs="宋体"/>
          <w:sz w:val="21"/>
          <w:szCs w:val="21"/>
        </w:rPr>
        <w:t>附件）；</w:t>
      </w:r>
    </w:p>
    <w:p w14:paraId="556802E3">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6</w:t>
      </w:r>
      <w:r>
        <w:rPr>
          <w:rFonts w:hint="eastAsia" w:ascii="宋体" w:hAnsi="宋体" w:eastAsia="宋体" w:cs="宋体"/>
          <w:sz w:val="21"/>
          <w:szCs w:val="21"/>
        </w:rPr>
        <w:t>）</w:t>
      </w:r>
      <w:r>
        <w:rPr>
          <w:rFonts w:hint="eastAsia" w:ascii="宋体" w:hAnsi="宋体" w:eastAsia="宋体" w:cs="宋体"/>
          <w:kern w:val="0"/>
          <w:sz w:val="21"/>
          <w:szCs w:val="21"/>
        </w:rPr>
        <w:t>项目管理班子配备情况表</w:t>
      </w:r>
      <w:r>
        <w:rPr>
          <w:rFonts w:hint="eastAsia" w:ascii="宋体" w:hAnsi="宋体" w:eastAsia="宋体" w:cs="宋体"/>
          <w:sz w:val="21"/>
          <w:szCs w:val="21"/>
        </w:rPr>
        <w:t>（</w:t>
      </w:r>
      <w:r>
        <w:rPr>
          <w:rFonts w:hint="eastAsia" w:ascii="宋体" w:hAnsi="宋体" w:eastAsia="宋体" w:cs="宋体"/>
          <w:sz w:val="21"/>
          <w:szCs w:val="21"/>
          <w:lang w:val="zh-CN"/>
        </w:rPr>
        <w:t>格式</w:t>
      </w:r>
      <w:r>
        <w:rPr>
          <w:rFonts w:hint="eastAsia" w:ascii="宋体" w:hAnsi="宋体" w:eastAsia="宋体" w:cs="宋体"/>
          <w:sz w:val="21"/>
          <w:szCs w:val="21"/>
        </w:rPr>
        <w:t>见附件）</w:t>
      </w:r>
    </w:p>
    <w:p w14:paraId="19AB7702">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7</w:t>
      </w:r>
      <w:r>
        <w:rPr>
          <w:rFonts w:hint="eastAsia" w:ascii="宋体" w:hAnsi="宋体" w:eastAsia="宋体" w:cs="宋体"/>
          <w:sz w:val="21"/>
          <w:szCs w:val="21"/>
        </w:rPr>
        <w:t>）</w:t>
      </w:r>
      <w:r>
        <w:rPr>
          <w:rFonts w:hint="eastAsia" w:ascii="宋体" w:hAnsi="宋体" w:eastAsia="宋体" w:cs="宋体"/>
          <w:kern w:val="0"/>
          <w:sz w:val="21"/>
          <w:szCs w:val="21"/>
        </w:rPr>
        <w:t>拟投入的主要施工设备表</w:t>
      </w:r>
      <w:r>
        <w:rPr>
          <w:rFonts w:hint="eastAsia" w:ascii="宋体" w:hAnsi="宋体" w:eastAsia="宋体" w:cs="宋体"/>
          <w:sz w:val="21"/>
          <w:szCs w:val="21"/>
        </w:rPr>
        <w:t>（</w:t>
      </w:r>
      <w:r>
        <w:rPr>
          <w:rFonts w:hint="eastAsia" w:ascii="宋体" w:hAnsi="宋体" w:eastAsia="宋体" w:cs="宋体"/>
          <w:sz w:val="21"/>
          <w:szCs w:val="21"/>
          <w:lang w:val="zh-CN"/>
        </w:rPr>
        <w:t>格式</w:t>
      </w:r>
      <w:r>
        <w:rPr>
          <w:rFonts w:hint="eastAsia" w:ascii="宋体" w:hAnsi="宋体" w:eastAsia="宋体" w:cs="宋体"/>
          <w:sz w:val="21"/>
          <w:szCs w:val="21"/>
        </w:rPr>
        <w:t>见附件）；</w:t>
      </w:r>
    </w:p>
    <w:p w14:paraId="0AC440E4">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8</w:t>
      </w:r>
      <w:r>
        <w:rPr>
          <w:rFonts w:hint="eastAsia" w:ascii="宋体" w:hAnsi="宋体" w:eastAsia="宋体" w:cs="宋体"/>
          <w:sz w:val="21"/>
          <w:szCs w:val="21"/>
        </w:rPr>
        <w:t>）施工进度保证措施；</w:t>
      </w:r>
    </w:p>
    <w:p w14:paraId="7931978A">
      <w:pPr>
        <w:spacing w:line="360" w:lineRule="auto"/>
        <w:ind w:firstLine="420" w:firstLineChars="200"/>
        <w:rPr>
          <w:rFonts w:ascii="宋体" w:hAnsi="宋体" w:eastAsia="宋体" w:cs="宋体"/>
          <w:sz w:val="21"/>
          <w:szCs w:val="21"/>
        </w:rPr>
      </w:pPr>
      <w:r>
        <w:rPr>
          <w:rFonts w:hint="eastAsia" w:ascii="宋体" w:hAnsi="宋体" w:eastAsia="宋体" w:cs="宋体"/>
          <w:kern w:val="0"/>
          <w:sz w:val="21"/>
          <w:szCs w:val="21"/>
        </w:rPr>
        <w:t>（</w:t>
      </w:r>
      <w:r>
        <w:rPr>
          <w:rFonts w:ascii="宋体" w:hAnsi="宋体" w:eastAsia="宋体" w:cs="宋体"/>
          <w:kern w:val="0"/>
          <w:sz w:val="21"/>
          <w:szCs w:val="21"/>
        </w:rPr>
        <w:t>9</w:t>
      </w:r>
      <w:r>
        <w:rPr>
          <w:rFonts w:hint="eastAsia" w:ascii="宋体" w:hAnsi="宋体" w:eastAsia="宋体" w:cs="宋体"/>
          <w:kern w:val="0"/>
          <w:sz w:val="21"/>
          <w:szCs w:val="21"/>
        </w:rPr>
        <w:t>）</w:t>
      </w:r>
      <w:r>
        <w:rPr>
          <w:rFonts w:hint="eastAsia" w:ascii="宋体" w:hAnsi="宋体" w:eastAsia="宋体" w:cs="宋体"/>
          <w:sz w:val="21"/>
          <w:szCs w:val="21"/>
        </w:rPr>
        <w:t>质量保修期方案；</w:t>
      </w:r>
    </w:p>
    <w:p w14:paraId="77261E17">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（10）施工</w:t>
      </w:r>
      <w:r>
        <w:rPr>
          <w:rFonts w:hint="eastAsia" w:ascii="宋体" w:hAnsi="宋体" w:eastAsia="宋体" w:cs="宋体"/>
          <w:sz w:val="21"/>
          <w:szCs w:val="21"/>
          <w:lang w:val="en-US" w:eastAsia="zh-CN"/>
        </w:rPr>
        <w:t>组织设计</w:t>
      </w:r>
      <w:r>
        <w:rPr>
          <w:rFonts w:hint="eastAsia" w:ascii="宋体" w:hAnsi="宋体" w:eastAsia="宋体" w:cs="宋体"/>
          <w:sz w:val="21"/>
          <w:szCs w:val="21"/>
        </w:rPr>
        <w:t>；</w:t>
      </w:r>
    </w:p>
    <w:p w14:paraId="09175913">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（11）针对本项目的重难点分析；</w:t>
      </w:r>
    </w:p>
    <w:p w14:paraId="1A27842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（12）质量保证措施；</w:t>
      </w:r>
    </w:p>
    <w:p w14:paraId="14C2FDA1">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w:t>
      </w:r>
      <w:r>
        <w:rPr>
          <w:rFonts w:hint="eastAsia" w:ascii="宋体" w:hAnsi="宋体" w:eastAsia="宋体" w:cs="宋体"/>
          <w:sz w:val="21"/>
          <w:szCs w:val="21"/>
          <w:lang w:eastAsia="zh-CN"/>
        </w:rPr>
        <w:t>）</w:t>
      </w:r>
      <w:r>
        <w:rPr>
          <w:rFonts w:hint="eastAsia" w:ascii="宋体" w:hAnsi="宋体" w:eastAsia="宋体" w:cs="宋体"/>
          <w:sz w:val="21"/>
          <w:szCs w:val="21"/>
        </w:rPr>
        <w:t>安全文明施工保证措施</w:t>
      </w:r>
      <w:r>
        <w:rPr>
          <w:rFonts w:hint="eastAsia" w:ascii="宋体" w:hAnsi="宋体" w:eastAsia="宋体" w:cs="宋体"/>
          <w:sz w:val="21"/>
          <w:szCs w:val="21"/>
          <w:lang w:eastAsia="zh-CN"/>
        </w:rPr>
        <w:t>；</w:t>
      </w:r>
    </w:p>
    <w:p w14:paraId="332E7FEB">
      <w:pPr>
        <w:spacing w:line="360" w:lineRule="auto"/>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（14）合理化建议；</w:t>
      </w:r>
    </w:p>
    <w:p w14:paraId="1AA54164">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5</w:t>
      </w:r>
      <w:r>
        <w:rPr>
          <w:rFonts w:hint="eastAsia" w:ascii="宋体" w:hAnsi="宋体" w:eastAsia="宋体" w:cs="宋体"/>
          <w:sz w:val="21"/>
          <w:szCs w:val="21"/>
        </w:rPr>
        <w:t>）供应商认为需要提供的其他资料（包括可能影响供应商商务与技术标评分的各类证明材料）。</w:t>
      </w:r>
    </w:p>
    <w:p w14:paraId="76ED20BE">
      <w:pPr>
        <w:snapToGrid w:val="0"/>
        <w:spacing w:line="360" w:lineRule="auto"/>
        <w:ind w:firstLine="422" w:firstLineChars="200"/>
        <w:rPr>
          <w:rFonts w:ascii="宋体" w:hAnsi="宋体" w:eastAsia="宋体" w:cs="宋体"/>
          <w:b/>
          <w:sz w:val="21"/>
          <w:szCs w:val="21"/>
        </w:rPr>
      </w:pPr>
      <w:r>
        <w:rPr>
          <w:rFonts w:hint="eastAsia" w:ascii="宋体" w:hAnsi="宋体" w:eastAsia="宋体" w:cs="宋体"/>
          <w:b/>
          <w:sz w:val="21"/>
          <w:szCs w:val="21"/>
        </w:rPr>
        <w:t>5、报价标的组成：</w:t>
      </w:r>
    </w:p>
    <w:p w14:paraId="78EB041A">
      <w:pPr>
        <w:tabs>
          <w:tab w:val="left" w:pos="3870"/>
          <w:tab w:val="left" w:pos="4085"/>
        </w:tabs>
        <w:snapToGrid w:val="0"/>
        <w:spacing w:line="360" w:lineRule="auto"/>
        <w:ind w:firstLine="422" w:firstLineChars="200"/>
        <w:jc w:val="left"/>
        <w:rPr>
          <w:rFonts w:ascii="宋体" w:hAnsi="宋体" w:eastAsia="宋体" w:cs="宋体"/>
          <w:b/>
          <w:kern w:val="0"/>
          <w:sz w:val="21"/>
        </w:rPr>
      </w:pPr>
      <w:r>
        <w:rPr>
          <w:rFonts w:hint="eastAsia" w:ascii="宋体" w:hAnsi="宋体" w:eastAsia="宋体" w:cs="宋体"/>
          <w:b/>
          <w:kern w:val="0"/>
          <w:sz w:val="21"/>
        </w:rPr>
        <w:t>▲（1）报价内容由首次报价一览表以及供应商认为其他需要说明的内容组成。</w:t>
      </w:r>
    </w:p>
    <w:p w14:paraId="2DCE1DC0">
      <w:pPr>
        <w:tabs>
          <w:tab w:val="left" w:pos="3870"/>
          <w:tab w:val="left" w:pos="4085"/>
        </w:tabs>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▲（2）此报价为供应商针对本项目报出的唯一的首次报价，包含其它一切所要涉及到的费用，有选择的报价将被拒绝。</w:t>
      </w:r>
    </w:p>
    <w:p w14:paraId="66FD58CB">
      <w:pPr>
        <w:tabs>
          <w:tab w:val="left" w:pos="3870"/>
          <w:tab w:val="left" w:pos="4085"/>
        </w:tabs>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3）总报价应包括磋商文件、磋商文件所注明的全部内容以及报价中须包含所有一切人员工资、各种加班费、节假日补贴、各种社会保险、安全保险、食宿与交通、材料费、机械费、人工费、辅助材料费、建筑垃圾清运费、保险费、管理费、规费以及所有税收、利润、采购代理服务费等，完成合同所需的一切本身和不可缺的所有工作开支、政策性文件规定及合同包含的所有风险、责任等各项全部费用并承担一切风险责任。如发生不可抗拒力及突发性事件，中标方要无条件服从采购方指挥，配合采购方一切行动，相关费用包括在投标价内，采购方不再另行支付其它费用。</w:t>
      </w:r>
    </w:p>
    <w:p w14:paraId="6C0EBEAE">
      <w:pPr>
        <w:tabs>
          <w:tab w:val="left" w:pos="3870"/>
          <w:tab w:val="left" w:pos="4085"/>
        </w:tabs>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（4）</w:t>
      </w:r>
      <w:r>
        <w:rPr>
          <w:rFonts w:hint="eastAsia" w:ascii="宋体" w:hAnsi="宋体" w:cs="宋体"/>
          <w:b/>
          <w:bCs/>
          <w:sz w:val="22"/>
          <w:szCs w:val="22"/>
          <w:lang w:val="zh-CN"/>
        </w:rPr>
        <w:t>本项目专门面向中小企业采购，价格评审时，小微企业的投标价格不作扣除</w:t>
      </w:r>
      <w:r>
        <w:rPr>
          <w:rFonts w:hint="eastAsia" w:ascii="宋体" w:hAnsi="宋体" w:eastAsia="宋体"/>
          <w:kern w:val="0"/>
          <w:sz w:val="21"/>
        </w:rPr>
        <w:t>。</w:t>
      </w:r>
    </w:p>
    <w:p w14:paraId="4048831F">
      <w:pPr>
        <w:tabs>
          <w:tab w:val="left" w:pos="3870"/>
          <w:tab w:val="left" w:pos="4085"/>
        </w:tabs>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（5）相关报价表需打印或用不退色的墨水填写，磋商响应报价表不得涂改和增删，如有错漏必须修改，修改处须由同一签署人签字或盖章。由于字迹模糊或表达不清引起的后果由供应商负责。</w:t>
      </w:r>
    </w:p>
    <w:p w14:paraId="3D902698">
      <w:pPr>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（6）报价有关表格应按磋商采购文件中相关附表格式填写。</w:t>
      </w:r>
    </w:p>
    <w:p w14:paraId="0FB9BCE4">
      <w:pPr>
        <w:snapToGrid w:val="0"/>
        <w:spacing w:line="360" w:lineRule="auto"/>
        <w:ind w:left="480"/>
        <w:rPr>
          <w:rFonts w:ascii="宋体" w:hAnsi="宋体" w:eastAsia="宋体" w:cs="宋体"/>
          <w:sz w:val="21"/>
          <w:lang w:val="zh-CN"/>
        </w:rPr>
      </w:pPr>
      <w:r>
        <w:rPr>
          <w:rFonts w:hint="eastAsia" w:ascii="宋体" w:hAnsi="宋体" w:eastAsia="宋体" w:cs="宋体"/>
          <w:b/>
          <w:kern w:val="0"/>
          <w:sz w:val="21"/>
        </w:rPr>
        <w:t>（二）、磋商响应文件的制作、份数及递交要求</w:t>
      </w:r>
    </w:p>
    <w:p w14:paraId="3F98DA30">
      <w:pPr>
        <w:autoSpaceDE w:val="0"/>
        <w:autoSpaceDN w:val="0"/>
        <w:adjustRightInd w:val="0"/>
        <w:snapToGrid w:val="0"/>
        <w:spacing w:line="360" w:lineRule="auto"/>
        <w:ind w:firstLine="480"/>
        <w:rPr>
          <w:rFonts w:ascii="宋体" w:hAnsi="宋体" w:eastAsia="宋体" w:cs="宋体"/>
          <w:b/>
          <w:sz w:val="21"/>
        </w:rPr>
      </w:pPr>
      <w:r>
        <w:rPr>
          <w:rFonts w:hint="eastAsia" w:ascii="宋体" w:hAnsi="宋体" w:eastAsia="宋体" w:cs="宋体"/>
          <w:b/>
          <w:sz w:val="21"/>
        </w:rPr>
        <w:t>1、磋商响应文件的制作要求</w:t>
      </w:r>
    </w:p>
    <w:p w14:paraId="563ED4C8">
      <w:pPr>
        <w:autoSpaceDE w:val="0"/>
        <w:autoSpaceDN w:val="0"/>
        <w:adjustRightInd w:val="0"/>
        <w:snapToGrid w:val="0"/>
        <w:spacing w:line="360" w:lineRule="auto"/>
        <w:ind w:firstLine="480"/>
        <w:rPr>
          <w:rFonts w:ascii="宋体" w:hAnsi="宋体" w:eastAsia="宋体" w:cs="宋体"/>
          <w:kern w:val="0"/>
          <w:sz w:val="21"/>
        </w:rPr>
      </w:pPr>
      <w:r>
        <w:rPr>
          <w:rFonts w:hint="eastAsia" w:ascii="宋体" w:hAnsi="宋体" w:eastAsia="宋体" w:cs="宋体"/>
          <w:sz w:val="21"/>
        </w:rPr>
        <w:t>（1）供应商应按照磋商响应文件组成内容及项目磋商需求和浙江政府采购云平台要求制作制作磋商响应文件，</w:t>
      </w:r>
      <w:r>
        <w:rPr>
          <w:rFonts w:hint="eastAsia" w:ascii="宋体" w:hAnsi="宋体" w:eastAsia="宋体" w:cs="宋体"/>
          <w:kern w:val="0"/>
          <w:sz w:val="21"/>
        </w:rPr>
        <w:t>不按</w:t>
      </w:r>
      <w:r>
        <w:rPr>
          <w:rFonts w:hint="eastAsia" w:ascii="宋体" w:hAnsi="宋体" w:eastAsia="宋体" w:cs="宋体"/>
          <w:sz w:val="21"/>
        </w:rPr>
        <w:t>磋商采购文件</w:t>
      </w:r>
      <w:r>
        <w:rPr>
          <w:rFonts w:hint="eastAsia" w:ascii="宋体" w:hAnsi="宋体" w:eastAsia="宋体" w:cs="宋体"/>
          <w:kern w:val="0"/>
          <w:sz w:val="21"/>
        </w:rPr>
        <w:t>要求和浙江政府采购云平台要求制作</w:t>
      </w:r>
      <w:r>
        <w:rPr>
          <w:rFonts w:hint="eastAsia" w:ascii="宋体" w:hAnsi="宋体" w:eastAsia="宋体" w:cs="宋体"/>
          <w:sz w:val="21"/>
        </w:rPr>
        <w:t>磋商响应文件</w:t>
      </w:r>
      <w:r>
        <w:rPr>
          <w:rFonts w:hint="eastAsia" w:ascii="宋体" w:hAnsi="宋体" w:eastAsia="宋体" w:cs="宋体"/>
          <w:kern w:val="0"/>
          <w:sz w:val="21"/>
        </w:rPr>
        <w:t>的将视情处理（拒收、扣分等），由此产生的责任由</w:t>
      </w:r>
      <w:r>
        <w:rPr>
          <w:rFonts w:hint="eastAsia" w:ascii="宋体" w:hAnsi="宋体" w:eastAsia="宋体" w:cs="宋体"/>
          <w:sz w:val="21"/>
        </w:rPr>
        <w:t>磋商供应商</w:t>
      </w:r>
      <w:r>
        <w:rPr>
          <w:rFonts w:hint="eastAsia" w:ascii="宋体" w:hAnsi="宋体" w:eastAsia="宋体" w:cs="宋体"/>
          <w:kern w:val="0"/>
          <w:sz w:val="21"/>
        </w:rPr>
        <w:t>自行承担。</w:t>
      </w:r>
    </w:p>
    <w:p w14:paraId="186A5E86">
      <w:pPr>
        <w:snapToGrid w:val="0"/>
        <w:spacing w:line="360" w:lineRule="auto"/>
        <w:ind w:firstLine="422" w:firstLineChars="200"/>
        <w:rPr>
          <w:rFonts w:ascii="宋体" w:hAnsi="宋体" w:eastAsia="宋体" w:cs="宋体"/>
          <w:b/>
          <w:bCs/>
          <w:sz w:val="21"/>
          <w:szCs w:val="21"/>
        </w:rPr>
      </w:pPr>
      <w:r>
        <w:rPr>
          <w:rFonts w:hint="eastAsia" w:ascii="宋体" w:hAnsi="宋体" w:eastAsia="宋体" w:cs="宋体"/>
          <w:b/>
          <w:bCs/>
          <w:sz w:val="21"/>
          <w:szCs w:val="21"/>
        </w:rPr>
        <w:t>电子磋商响应文件部分：供应商应根据“供应商-政府采购项目电子交易操作指南”及本磋商响应文件规定的格式和顺序编制电子磋商响应文件并进行关联定位。</w:t>
      </w:r>
    </w:p>
    <w:p w14:paraId="7B51D2BF">
      <w:pPr>
        <w:snapToGrid w:val="0"/>
        <w:spacing w:line="360" w:lineRule="auto"/>
        <w:ind w:firstLine="422" w:firstLineChars="200"/>
        <w:rPr>
          <w:rFonts w:ascii="宋体" w:hAnsi="宋体" w:eastAsia="宋体" w:cs="宋体"/>
          <w:sz w:val="21"/>
          <w:szCs w:val="21"/>
        </w:rPr>
      </w:pPr>
      <w:r>
        <w:rPr>
          <w:rFonts w:hint="eastAsia" w:ascii="宋体" w:hAnsi="宋体" w:eastAsia="宋体" w:cs="宋体"/>
          <w:b/>
          <w:bCs/>
          <w:sz w:val="21"/>
          <w:szCs w:val="21"/>
        </w:rPr>
        <w:t>备份磋商响应文件应与政采云平台上传的电子磋商响应文件一致。</w:t>
      </w:r>
    </w:p>
    <w:p w14:paraId="724B6786">
      <w:pPr>
        <w:autoSpaceDE w:val="0"/>
        <w:autoSpaceDN w:val="0"/>
        <w:adjustRightInd w:val="0"/>
        <w:snapToGrid w:val="0"/>
        <w:spacing w:line="360" w:lineRule="auto"/>
        <w:ind w:firstLine="480" w:firstLineChars="200"/>
        <w:rPr>
          <w:rFonts w:ascii="宋体" w:hAnsi="宋体" w:eastAsia="宋体" w:cs="宋体"/>
          <w:kern w:val="0"/>
          <w:sz w:val="21"/>
          <w:lang w:val="zh-CN"/>
        </w:rPr>
      </w:pPr>
      <w:r>
        <w:rPr>
          <w:rFonts w:hint="eastAsia" w:ascii="宋体" w:hAnsi="宋体" w:eastAsia="宋体" w:cs="宋体"/>
          <w:bCs/>
          <w:sz w:val="24"/>
        </w:rPr>
        <w:t>▲</w:t>
      </w:r>
      <w:r>
        <w:rPr>
          <w:rFonts w:hint="eastAsia" w:ascii="宋体" w:hAnsi="宋体" w:eastAsia="宋体" w:cs="宋体"/>
          <w:sz w:val="21"/>
        </w:rPr>
        <w:t>（2）供应商应对所提供的全部资料的真实性承担法律责任，磋商响应文件</w:t>
      </w:r>
      <w:r>
        <w:rPr>
          <w:rFonts w:hint="eastAsia" w:ascii="宋体" w:hAnsi="宋体" w:eastAsia="宋体" w:cs="宋体"/>
          <w:sz w:val="21"/>
          <w:lang w:val="zh-CN"/>
        </w:rPr>
        <w:t>内容中有要求盖章的地方，</w:t>
      </w:r>
      <w:r>
        <w:rPr>
          <w:rFonts w:hint="eastAsia" w:ascii="宋体" w:hAnsi="宋体" w:eastAsia="宋体" w:cs="宋体"/>
          <w:kern w:val="0"/>
          <w:sz w:val="21"/>
          <w:lang w:val="zh-CN"/>
        </w:rPr>
        <w:t>必须加盖</w:t>
      </w:r>
      <w:r>
        <w:rPr>
          <w:rFonts w:hint="eastAsia" w:ascii="宋体" w:hAnsi="宋体" w:eastAsia="宋体" w:cs="宋体"/>
          <w:sz w:val="21"/>
        </w:rPr>
        <w:t>磋商供应商</w:t>
      </w:r>
      <w:r>
        <w:rPr>
          <w:rFonts w:hint="eastAsia" w:ascii="宋体" w:hAnsi="宋体" w:eastAsia="宋体" w:cs="宋体"/>
          <w:kern w:val="0"/>
          <w:sz w:val="21"/>
          <w:lang w:val="zh-CN"/>
        </w:rPr>
        <w:t>的公章（或CA电子公章）以及法定代表人或全权代表的盖章或签字（CA电子签章或签字），其中</w:t>
      </w:r>
      <w:r>
        <w:rPr>
          <w:rFonts w:hint="eastAsia" w:ascii="宋体" w:hAnsi="宋体" w:eastAsia="宋体" w:cs="宋体"/>
          <w:sz w:val="21"/>
        </w:rPr>
        <w:t>所有证书类文件提供的复印件</w:t>
      </w:r>
      <w:r>
        <w:rPr>
          <w:rFonts w:hint="eastAsia" w:ascii="宋体" w:hAnsi="宋体" w:eastAsia="宋体" w:cs="宋体"/>
          <w:kern w:val="0"/>
          <w:sz w:val="21"/>
        </w:rPr>
        <w:t>必须全部加盖单位公章（或CA电子公章）且</w:t>
      </w:r>
      <w:r>
        <w:rPr>
          <w:rFonts w:hint="eastAsia" w:ascii="宋体" w:hAnsi="宋体" w:eastAsia="宋体" w:cs="宋体"/>
          <w:sz w:val="21"/>
        </w:rPr>
        <w:t>必须在有效期内的。</w:t>
      </w:r>
    </w:p>
    <w:p w14:paraId="318AE8B6">
      <w:pPr>
        <w:snapToGrid w:val="0"/>
        <w:spacing w:line="360" w:lineRule="auto"/>
        <w:ind w:firstLine="420" w:firstLineChars="200"/>
        <w:jc w:val="left"/>
        <w:rPr>
          <w:rFonts w:ascii="宋体" w:hAnsi="宋体" w:eastAsia="宋体" w:cs="宋体"/>
          <w:sz w:val="21"/>
        </w:rPr>
      </w:pPr>
      <w:r>
        <w:rPr>
          <w:rFonts w:hint="eastAsia" w:ascii="宋体" w:hAnsi="宋体" w:eastAsia="宋体" w:cs="宋体"/>
          <w:kern w:val="0"/>
          <w:sz w:val="21"/>
          <w:lang w:val="zh-CN"/>
        </w:rPr>
        <w:t>（</w:t>
      </w:r>
      <w:r>
        <w:rPr>
          <w:rFonts w:hint="eastAsia" w:ascii="宋体" w:hAnsi="宋体" w:eastAsia="宋体" w:cs="宋体"/>
          <w:kern w:val="0"/>
          <w:sz w:val="21"/>
        </w:rPr>
        <w:t>3</w:t>
      </w:r>
      <w:r>
        <w:rPr>
          <w:rFonts w:hint="eastAsia" w:ascii="宋体" w:hAnsi="宋体" w:eastAsia="宋体" w:cs="宋体"/>
          <w:kern w:val="0"/>
          <w:sz w:val="21"/>
          <w:lang w:val="zh-CN"/>
        </w:rPr>
        <w:t>）</w:t>
      </w:r>
      <w:r>
        <w:rPr>
          <w:rFonts w:hint="eastAsia" w:ascii="宋体" w:hAnsi="宋体" w:eastAsia="宋体" w:cs="宋体"/>
          <w:sz w:val="21"/>
        </w:rPr>
        <w:t>磋商响应文件以及磋商供应商与采购组织机构就有关磋商事宜的所有来往函电，均应以中文汉语书写。除签字、盖章、专用名称等特殊情形外，以中文汉语以外的文字表述的磋商响应文件视同未提供。</w:t>
      </w:r>
    </w:p>
    <w:p w14:paraId="0611E8E3">
      <w:pPr>
        <w:snapToGrid w:val="0"/>
        <w:spacing w:line="360" w:lineRule="auto"/>
        <w:ind w:firstLine="420" w:firstLineChars="200"/>
        <w:jc w:val="left"/>
        <w:rPr>
          <w:rFonts w:ascii="宋体" w:hAnsi="宋体" w:eastAsia="宋体" w:cs="宋体"/>
          <w:sz w:val="21"/>
        </w:rPr>
      </w:pPr>
      <w:r>
        <w:rPr>
          <w:rFonts w:hint="eastAsia" w:ascii="宋体" w:hAnsi="宋体" w:eastAsia="宋体" w:cs="宋体"/>
          <w:sz w:val="21"/>
        </w:rPr>
        <w:t>（4）磋商计量单位，磋商采购文件已有明确规定的，使用磋商采购文件规定的计量单位；磋商采购文件没有规定的，应采用中华人民共和国法定计量单位（货币单位：人民币元），否则视同未响应。</w:t>
      </w:r>
    </w:p>
    <w:p w14:paraId="40D5BC75">
      <w:pPr>
        <w:autoSpaceDE w:val="0"/>
        <w:autoSpaceDN w:val="0"/>
        <w:adjustRightInd w:val="0"/>
        <w:snapToGrid w:val="0"/>
        <w:spacing w:line="360" w:lineRule="auto"/>
        <w:ind w:firstLine="480"/>
        <w:rPr>
          <w:rFonts w:ascii="宋体" w:hAnsi="宋体" w:eastAsia="宋体" w:cs="宋体"/>
          <w:sz w:val="21"/>
        </w:rPr>
      </w:pPr>
      <w:r>
        <w:rPr>
          <w:rFonts w:hint="eastAsia" w:ascii="宋体" w:hAnsi="宋体" w:eastAsia="宋体" w:cs="宋体"/>
          <w:sz w:val="21"/>
        </w:rPr>
        <w:t>（5）若磋商供应商不按采购文件的要求提供资格审查材料，其风险由磋商供应商自行承担。</w:t>
      </w:r>
    </w:p>
    <w:p w14:paraId="1A335307">
      <w:pPr>
        <w:autoSpaceDE w:val="0"/>
        <w:autoSpaceDN w:val="0"/>
        <w:adjustRightInd w:val="0"/>
        <w:snapToGrid w:val="0"/>
        <w:spacing w:line="360" w:lineRule="auto"/>
        <w:ind w:firstLine="480"/>
        <w:rPr>
          <w:rFonts w:ascii="宋体" w:hAnsi="宋体" w:eastAsia="宋体" w:cs="宋体"/>
        </w:rPr>
      </w:pPr>
      <w:r>
        <w:rPr>
          <w:rFonts w:hint="eastAsia" w:ascii="宋体" w:hAnsi="宋体" w:eastAsia="宋体" w:cs="宋体"/>
          <w:kern w:val="0"/>
          <w:sz w:val="21"/>
        </w:rPr>
        <w:t>（6）</w:t>
      </w:r>
      <w:r>
        <w:rPr>
          <w:rFonts w:hint="eastAsia" w:ascii="宋体" w:hAnsi="宋体" w:eastAsia="宋体" w:cs="宋体"/>
          <w:sz w:val="21"/>
        </w:rPr>
        <w:t>与本次磋商无关的内容请不要制作在内，确保磋商响应文件有针对性、简洁明了。</w:t>
      </w:r>
    </w:p>
    <w:p w14:paraId="3CC3FBF2">
      <w:pPr>
        <w:autoSpaceDE w:val="0"/>
        <w:autoSpaceDN w:val="0"/>
        <w:adjustRightInd w:val="0"/>
        <w:snapToGrid w:val="0"/>
        <w:spacing w:line="360" w:lineRule="auto"/>
        <w:ind w:firstLine="417" w:firstLineChars="198"/>
        <w:rPr>
          <w:rFonts w:ascii="宋体" w:hAnsi="宋体" w:eastAsia="宋体" w:cs="宋体"/>
          <w:b/>
          <w:sz w:val="21"/>
        </w:rPr>
      </w:pPr>
      <w:r>
        <w:rPr>
          <w:rFonts w:hint="eastAsia" w:ascii="宋体" w:hAnsi="宋体" w:eastAsia="宋体" w:cs="宋体"/>
          <w:b/>
          <w:sz w:val="21"/>
        </w:rPr>
        <w:t>2、磋商响应文件份数：</w:t>
      </w:r>
    </w:p>
    <w:p w14:paraId="5319F296">
      <w:pPr>
        <w:autoSpaceDE w:val="0"/>
        <w:autoSpaceDN w:val="0"/>
        <w:adjustRightInd w:val="0"/>
        <w:snapToGrid w:val="0"/>
        <w:spacing w:line="360" w:lineRule="auto"/>
        <w:ind w:firstLine="417" w:firstLineChars="198"/>
        <w:rPr>
          <w:rFonts w:ascii="宋体" w:hAnsi="宋体" w:eastAsia="宋体" w:cs="宋体"/>
          <w:b/>
          <w:sz w:val="21"/>
        </w:rPr>
      </w:pPr>
      <w:r>
        <w:rPr>
          <w:rFonts w:hint="eastAsia" w:ascii="宋体" w:hAnsi="宋体" w:eastAsia="宋体" w:cs="宋体"/>
          <w:b/>
          <w:sz w:val="21"/>
        </w:rPr>
        <w:t>（1）电子磋商响应文件一份：通过政采云平台电子投标工具（政采云电子投标客户端）生成的，一份为加密标书。</w:t>
      </w:r>
    </w:p>
    <w:p w14:paraId="07A8D335">
      <w:pPr>
        <w:autoSpaceDE w:val="0"/>
        <w:autoSpaceDN w:val="0"/>
        <w:adjustRightInd w:val="0"/>
        <w:snapToGrid w:val="0"/>
        <w:spacing w:line="360" w:lineRule="auto"/>
        <w:ind w:firstLine="417" w:firstLineChars="198"/>
        <w:rPr>
          <w:rFonts w:ascii="宋体" w:hAnsi="宋体" w:eastAsia="宋体" w:cs="宋体"/>
          <w:b/>
          <w:sz w:val="21"/>
        </w:rPr>
      </w:pPr>
      <w:r>
        <w:rPr>
          <w:rFonts w:hint="eastAsia" w:ascii="宋体" w:hAnsi="宋体" w:eastAsia="宋体" w:cs="宋体"/>
          <w:b/>
          <w:sz w:val="21"/>
        </w:rPr>
        <w:t>（2）备份磋商响应文件（政采云平台上最后生成的具备电子签章的备份磋商响应文件，文件名后缀为备份文件四字的首字母）：电子邮件提交一份，由投标人自行确定是否提交；若提交请将备份磋商响应文件打包压缩加密后以电子邮件的形式发送至529957556@qq.com。</w:t>
      </w:r>
    </w:p>
    <w:p w14:paraId="2F5D2AC9">
      <w:pPr>
        <w:autoSpaceDE w:val="0"/>
        <w:autoSpaceDN w:val="0"/>
        <w:adjustRightInd w:val="0"/>
        <w:snapToGrid w:val="0"/>
        <w:spacing w:line="360" w:lineRule="auto"/>
        <w:ind w:firstLine="417" w:firstLineChars="198"/>
        <w:rPr>
          <w:rFonts w:ascii="宋体" w:hAnsi="宋体" w:eastAsia="宋体" w:cs="宋体"/>
          <w:b/>
          <w:sz w:val="21"/>
        </w:rPr>
      </w:pPr>
      <w:r>
        <w:rPr>
          <w:rFonts w:hint="eastAsia" w:ascii="宋体" w:hAnsi="宋体" w:eastAsia="宋体" w:cs="宋体"/>
          <w:b/>
          <w:sz w:val="21"/>
        </w:rPr>
        <w:t>（3）中标供应商应提供与电子磋商响应文件内容一致的纸质磋商响应文件各一正二副，装订成册，采用胶订或线订，不得采用活页夹等可随时拆换的方式装订。（胶订或线订以外装订形式视为活页装订）中标人在领取中标通知书时提供纸质磋商响应文件。</w:t>
      </w:r>
    </w:p>
    <w:p w14:paraId="76878717">
      <w:pPr>
        <w:autoSpaceDE w:val="0"/>
        <w:autoSpaceDN w:val="0"/>
        <w:adjustRightInd w:val="0"/>
        <w:snapToGrid w:val="0"/>
        <w:spacing w:line="360" w:lineRule="auto"/>
        <w:ind w:firstLine="480"/>
        <w:rPr>
          <w:rFonts w:ascii="宋体" w:hAnsi="宋体" w:eastAsia="宋体" w:cs="宋体"/>
          <w:b/>
          <w:sz w:val="21"/>
        </w:rPr>
      </w:pPr>
      <w:r>
        <w:rPr>
          <w:rFonts w:hint="eastAsia" w:ascii="宋体" w:hAnsi="宋体" w:eastAsia="宋体" w:cs="宋体"/>
          <w:b/>
          <w:kern w:val="0"/>
          <w:sz w:val="21"/>
        </w:rPr>
        <w:t>3、</w:t>
      </w:r>
      <w:r>
        <w:rPr>
          <w:rFonts w:hint="eastAsia" w:ascii="宋体" w:hAnsi="宋体" w:eastAsia="宋体" w:cs="宋体"/>
          <w:b/>
          <w:sz w:val="21"/>
        </w:rPr>
        <w:t>磋商响应文件的递交要求</w:t>
      </w:r>
    </w:p>
    <w:p w14:paraId="0D939F93">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bookmarkStart w:id="17" w:name="_Toc531359012"/>
      <w:bookmarkStart w:id="18" w:name="_Toc530551857"/>
      <w:bookmarkStart w:id="19" w:name="_Toc34895557"/>
      <w:r>
        <w:rPr>
          <w:rFonts w:hint="eastAsia" w:ascii="宋体" w:hAnsi="宋体" w:eastAsia="宋体" w:cs="宋体"/>
          <w:kern w:val="0"/>
          <w:sz w:val="21"/>
        </w:rPr>
        <w:t>（1）磋商响应文件导入</w:t>
      </w:r>
      <w:bookmarkEnd w:id="17"/>
      <w:bookmarkEnd w:id="18"/>
      <w:r>
        <w:rPr>
          <w:rFonts w:hint="eastAsia" w:ascii="宋体" w:hAnsi="宋体" w:eastAsia="宋体" w:cs="宋体"/>
          <w:kern w:val="0"/>
          <w:sz w:val="21"/>
        </w:rPr>
        <w:t>和加密</w:t>
      </w:r>
      <w:bookmarkEnd w:id="19"/>
    </w:p>
    <w:p w14:paraId="1A8D2D41">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①磋商供应商应当按照资格证明文件、商务与技术文件和报价文件三部分分别导入相应位置，各文件之间不得导错位置；</w:t>
      </w:r>
    </w:p>
    <w:p w14:paraId="23B832F8">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②磋商响应文件编制好后应当生成电子加密磋商文件，生成电子加密磋商文件具体流程详见【浙江省】供应商-政府采购项目电子交易操作指南网址：</w:t>
      </w:r>
      <w:r>
        <w:fldChar w:fldCharType="begin"/>
      </w:r>
      <w:r>
        <w:instrText xml:space="preserve"> HYPERLINK "https://service.zcygov.cn/" \l "/knowledges/CW1EtGwBFdiHxlNd6I3m/6IMVAG0BFdiHxlNdQ8Na" </w:instrText>
      </w:r>
      <w:r>
        <w:fldChar w:fldCharType="separate"/>
      </w:r>
      <w:r>
        <w:rPr>
          <w:rFonts w:hint="eastAsia" w:ascii="宋体" w:hAnsi="宋体" w:eastAsia="宋体" w:cs="宋体"/>
          <w:kern w:val="0"/>
          <w:sz w:val="21"/>
        </w:rPr>
        <w:t>https://service.zcygov.cn/#/knowledges/CW1EtGwBFdiHxlNd6I3m/6IMVAG0BFdiHxlNdQ8Na</w:t>
      </w:r>
      <w:r>
        <w:rPr>
          <w:rFonts w:hint="eastAsia" w:ascii="宋体" w:hAnsi="宋体" w:eastAsia="宋体" w:cs="宋体"/>
          <w:kern w:val="0"/>
          <w:sz w:val="21"/>
        </w:rPr>
        <w:fldChar w:fldCharType="end"/>
      </w:r>
    </w:p>
    <w:p w14:paraId="11E2BE65">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（2）磋商响应文件的提交</w:t>
      </w:r>
    </w:p>
    <w:p w14:paraId="5D9B9132">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①磋商响应文件提交截止时间：见磋商须知“前附表”；</w:t>
      </w:r>
    </w:p>
    <w:p w14:paraId="1CBFD5BB">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②磋商响应文件提交地点：见磋商须知“前附表”。</w:t>
      </w:r>
    </w:p>
    <w:p w14:paraId="73482C43">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（3）不予接收的磋商响应文件情形</w:t>
      </w:r>
    </w:p>
    <w:p w14:paraId="048BD7E0">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①磋商截止时间前未完成传输的磋商响应文件；</w:t>
      </w:r>
    </w:p>
    <w:p w14:paraId="16FA2280">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②未生成加密的磋商响应文件；</w:t>
      </w:r>
    </w:p>
    <w:p w14:paraId="3E2BA5C5">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（4）如有特殊情况，采购代理机构延长截止时间和开标时间，采购代理机构和磋商供应商的权利和义务将受到新的截止时间和开标时间的约束。</w:t>
      </w:r>
    </w:p>
    <w:p w14:paraId="2C6FDFA7">
      <w:pPr>
        <w:tabs>
          <w:tab w:val="left" w:pos="1898"/>
        </w:tabs>
        <w:autoSpaceDE w:val="0"/>
        <w:autoSpaceDN w:val="0"/>
        <w:adjustRightInd w:val="0"/>
        <w:snapToGrid w:val="0"/>
        <w:spacing w:line="360" w:lineRule="auto"/>
        <w:ind w:firstLine="422" w:firstLineChars="200"/>
        <w:rPr>
          <w:rFonts w:ascii="宋体" w:hAnsi="宋体" w:eastAsia="宋体" w:cs="宋体"/>
          <w:b/>
          <w:kern w:val="0"/>
          <w:sz w:val="21"/>
        </w:rPr>
      </w:pPr>
      <w:r>
        <w:rPr>
          <w:rFonts w:hint="eastAsia" w:ascii="宋体" w:hAnsi="宋体" w:eastAsia="宋体" w:cs="宋体"/>
          <w:b/>
          <w:kern w:val="0"/>
          <w:sz w:val="21"/>
        </w:rPr>
        <w:t>4、磋商响应文件的补充、修改和撤回。</w:t>
      </w:r>
    </w:p>
    <w:p w14:paraId="62A75DE0">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1）在磋商截止时间前，磋商供应商可对已提交的磋商响应文件进行补充、修改或撤回。补充、修改磋商响应文件的，应当先行撤回原文件，补充、修改后重新生成加密的磋商响应文件并重新上传提交；补充、修改后重新提交的磋商响应文件应按磋商文件的规定编制、加密、导入和提交。</w:t>
      </w:r>
    </w:p>
    <w:p w14:paraId="0FD743A4">
      <w:pPr>
        <w:tabs>
          <w:tab w:val="left" w:pos="1418"/>
        </w:tabs>
        <w:autoSpaceDE w:val="0"/>
        <w:autoSpaceDN w:val="0"/>
        <w:adjustRightInd w:val="0"/>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（2）</w:t>
      </w:r>
      <w:r>
        <w:rPr>
          <w:rFonts w:hint="eastAsia" w:ascii="宋体" w:hAnsi="宋体" w:eastAsia="宋体" w:cs="宋体"/>
          <w:kern w:val="0"/>
          <w:sz w:val="21"/>
          <w:lang w:val="zh-CN"/>
        </w:rPr>
        <w:t>在磋商响应文件递交截止时间后,磋商供应商不得修改或撤回已</w:t>
      </w:r>
      <w:r>
        <w:rPr>
          <w:rFonts w:hint="eastAsia" w:ascii="宋体" w:hAnsi="宋体" w:eastAsia="宋体" w:cs="宋体"/>
          <w:kern w:val="0"/>
          <w:sz w:val="21"/>
        </w:rPr>
        <w:t>提交</w:t>
      </w:r>
      <w:r>
        <w:rPr>
          <w:rFonts w:hint="eastAsia" w:ascii="宋体" w:hAnsi="宋体" w:eastAsia="宋体" w:cs="宋体"/>
          <w:kern w:val="0"/>
          <w:sz w:val="21"/>
          <w:lang w:val="zh-CN"/>
        </w:rPr>
        <w:t>的磋商响应文件。</w:t>
      </w:r>
    </w:p>
    <w:p w14:paraId="68673182">
      <w:pPr>
        <w:tabs>
          <w:tab w:val="left" w:pos="1418"/>
        </w:tabs>
        <w:autoSpaceDE w:val="0"/>
        <w:autoSpaceDN w:val="0"/>
        <w:adjustRightInd w:val="0"/>
        <w:snapToGrid w:val="0"/>
        <w:spacing w:line="360" w:lineRule="auto"/>
        <w:ind w:left="480"/>
        <w:rPr>
          <w:rFonts w:ascii="宋体" w:hAnsi="宋体" w:eastAsia="宋体" w:cs="宋体"/>
          <w:kern w:val="0"/>
          <w:sz w:val="21"/>
        </w:rPr>
      </w:pPr>
      <w:r>
        <w:rPr>
          <w:rFonts w:hint="eastAsia" w:ascii="宋体" w:hAnsi="宋体" w:eastAsia="宋体" w:cs="宋体"/>
          <w:b/>
          <w:kern w:val="0"/>
          <w:sz w:val="21"/>
        </w:rPr>
        <w:t>（三）磋商响应文件的有效期</w:t>
      </w:r>
    </w:p>
    <w:p w14:paraId="7263D017">
      <w:pPr>
        <w:snapToGrid w:val="0"/>
        <w:spacing w:line="360" w:lineRule="auto"/>
        <w:ind w:firstLine="422" w:firstLineChars="200"/>
        <w:rPr>
          <w:rFonts w:ascii="宋体" w:hAnsi="宋体" w:eastAsia="宋体" w:cs="宋体"/>
          <w:sz w:val="21"/>
          <w:szCs w:val="21"/>
          <w:lang w:val="en-GB"/>
        </w:rPr>
      </w:pPr>
      <w:r>
        <w:rPr>
          <w:rFonts w:hint="eastAsia" w:ascii="宋体" w:hAnsi="宋体" w:eastAsia="宋体" w:cs="宋体"/>
          <w:b/>
          <w:sz w:val="21"/>
          <w:szCs w:val="21"/>
        </w:rPr>
        <w:t>▲</w:t>
      </w:r>
      <w:r>
        <w:rPr>
          <w:rFonts w:hint="eastAsia" w:ascii="宋体" w:hAnsi="宋体" w:eastAsia="宋体" w:cs="宋体"/>
          <w:sz w:val="21"/>
        </w:rPr>
        <w:t>1、</w:t>
      </w:r>
      <w:r>
        <w:rPr>
          <w:rFonts w:hint="eastAsia" w:ascii="宋体" w:hAnsi="宋体" w:eastAsia="宋体" w:cs="宋体"/>
          <w:sz w:val="21"/>
          <w:szCs w:val="21"/>
          <w:lang w:val="zh-CN"/>
        </w:rPr>
        <w:t>自磋商响应</w:t>
      </w:r>
      <w:r>
        <w:rPr>
          <w:rFonts w:hint="eastAsia" w:ascii="宋体" w:hAnsi="宋体" w:eastAsia="宋体" w:cs="宋体"/>
          <w:sz w:val="21"/>
          <w:szCs w:val="21"/>
        </w:rPr>
        <w:t>文件</w:t>
      </w:r>
      <w:r>
        <w:rPr>
          <w:rFonts w:hint="eastAsia" w:ascii="宋体" w:hAnsi="宋体" w:eastAsia="宋体" w:cs="宋体"/>
          <w:sz w:val="21"/>
          <w:szCs w:val="21"/>
          <w:lang w:val="zh-CN"/>
        </w:rPr>
        <w:t>提交截止之日起90天磋商响应文件应保持有效。有效期短于这个规定期限的磋商响应文件将被拒绝。</w:t>
      </w:r>
      <w:r>
        <w:rPr>
          <w:rFonts w:hint="eastAsia" w:ascii="宋体" w:hAnsi="宋体" w:eastAsia="宋体" w:cs="宋体"/>
          <w:sz w:val="21"/>
          <w:szCs w:val="21"/>
        </w:rPr>
        <w:t>成交</w:t>
      </w:r>
      <w:r>
        <w:rPr>
          <w:rFonts w:hint="eastAsia" w:ascii="宋体" w:hAnsi="宋体" w:eastAsia="宋体" w:cs="宋体"/>
          <w:sz w:val="21"/>
          <w:szCs w:val="21"/>
          <w:lang w:val="zh-CN"/>
        </w:rPr>
        <w:t>磋商响应文件有</w:t>
      </w:r>
      <w:r>
        <w:rPr>
          <w:rFonts w:hint="eastAsia" w:ascii="宋体" w:hAnsi="宋体" w:eastAsia="宋体" w:cs="宋体"/>
          <w:sz w:val="21"/>
          <w:szCs w:val="21"/>
          <w:lang w:val="en-GB"/>
        </w:rPr>
        <w:t>效期顺延至合同履行完毕，在此有效期内未经同意，</w:t>
      </w:r>
      <w:r>
        <w:rPr>
          <w:rFonts w:hint="eastAsia" w:ascii="宋体" w:hAnsi="宋体" w:eastAsia="宋体" w:cs="宋体"/>
          <w:sz w:val="21"/>
          <w:szCs w:val="21"/>
          <w:lang w:val="zh-CN"/>
        </w:rPr>
        <w:t>磋商响应</w:t>
      </w:r>
      <w:r>
        <w:rPr>
          <w:rFonts w:hint="eastAsia" w:ascii="宋体" w:hAnsi="宋体" w:eastAsia="宋体" w:cs="宋体"/>
          <w:sz w:val="21"/>
          <w:szCs w:val="21"/>
          <w:lang w:val="en-GB"/>
        </w:rPr>
        <w:t>文件的一切内容和补充承诺均为持续有效且不予改变。</w:t>
      </w:r>
    </w:p>
    <w:p w14:paraId="16D682D0">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2、在特殊情况下，采购人可与磋商供应商协商延长磋商响应文件的有效期，这种要求和答复均以书面形式进行。</w:t>
      </w:r>
    </w:p>
    <w:p w14:paraId="672B7FD4">
      <w:pPr>
        <w:tabs>
          <w:tab w:val="left" w:pos="1418"/>
        </w:tabs>
        <w:autoSpaceDE w:val="0"/>
        <w:autoSpaceDN w:val="0"/>
        <w:adjustRightInd w:val="0"/>
        <w:snapToGrid w:val="0"/>
        <w:spacing w:line="360" w:lineRule="auto"/>
        <w:ind w:left="60"/>
        <w:rPr>
          <w:rFonts w:ascii="宋体" w:hAnsi="宋体" w:eastAsia="宋体" w:cs="宋体"/>
          <w:b/>
          <w:kern w:val="0"/>
          <w:sz w:val="21"/>
        </w:rPr>
      </w:pPr>
      <w:r>
        <w:rPr>
          <w:rFonts w:hint="eastAsia" w:ascii="宋体" w:hAnsi="宋体" w:eastAsia="宋体" w:cs="宋体"/>
          <w:b/>
          <w:kern w:val="0"/>
          <w:sz w:val="21"/>
        </w:rPr>
        <w:t>四、磋商</w:t>
      </w:r>
    </w:p>
    <w:p w14:paraId="34213817">
      <w:pPr>
        <w:pStyle w:val="3"/>
        <w:spacing w:line="360" w:lineRule="auto"/>
        <w:ind w:left="60" w:firstLine="420" w:firstLineChars="200"/>
        <w:rPr>
          <w:rFonts w:ascii="宋体" w:hAnsi="宋体" w:eastAsia="宋体" w:cs="宋体"/>
        </w:rPr>
      </w:pPr>
      <w:r>
        <w:rPr>
          <w:rFonts w:hint="eastAsia" w:ascii="宋体" w:hAnsi="宋体" w:eastAsia="宋体" w:cs="宋体"/>
        </w:rPr>
        <w:t>本项目通过政府采购云平台进行开标、资格审查、评审、询标，供应商均应当准时在线参加，否则产生的风险由供应商自行承担（供应商务必不要离开电脑太久，并留意手机短信，建议供应商提前做好检查“政府采购云平台”内，关于“项目采购”的岗位权限是否勾选。如有问题，请致电400-881-7190）。</w:t>
      </w:r>
    </w:p>
    <w:p w14:paraId="5637320E">
      <w:pPr>
        <w:autoSpaceDE w:val="0"/>
        <w:autoSpaceDN w:val="0"/>
        <w:adjustRightInd w:val="0"/>
        <w:snapToGrid w:val="0"/>
        <w:spacing w:line="360" w:lineRule="auto"/>
        <w:ind w:firstLine="211" w:firstLineChars="100"/>
        <w:rPr>
          <w:rFonts w:ascii="宋体" w:hAnsi="宋体" w:eastAsia="宋体" w:cs="宋体"/>
          <w:b/>
          <w:sz w:val="21"/>
        </w:rPr>
      </w:pPr>
      <w:r>
        <w:rPr>
          <w:rFonts w:hint="eastAsia" w:ascii="宋体" w:hAnsi="宋体" w:eastAsia="宋体" w:cs="宋体"/>
          <w:b/>
          <w:sz w:val="21"/>
        </w:rPr>
        <w:t>（一）磋商事项</w:t>
      </w:r>
    </w:p>
    <w:p w14:paraId="18AC1AC9">
      <w:pPr>
        <w:autoSpaceDE w:val="0"/>
        <w:autoSpaceDN w:val="0"/>
        <w:adjustRightInd w:val="0"/>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lang w:val="zh-CN"/>
        </w:rPr>
        <w:t>1、采购代理机构在“磋商公告”规定的时间和地点进行开标。供应商的供应商代表应当在线参加，否则视同认可开标结果，事后不得对采购相关人员、开标过程和开标结果提出质疑。</w:t>
      </w:r>
    </w:p>
    <w:p w14:paraId="29939DF1">
      <w:pPr>
        <w:autoSpaceDE w:val="0"/>
        <w:autoSpaceDN w:val="0"/>
        <w:adjustRightInd w:val="0"/>
        <w:spacing w:line="360" w:lineRule="auto"/>
        <w:ind w:firstLine="420" w:firstLineChars="200"/>
        <w:jc w:val="left"/>
        <w:rPr>
          <w:rFonts w:ascii="宋体" w:hAnsi="宋体" w:eastAsia="宋体" w:cs="宋体"/>
          <w:sz w:val="21"/>
          <w:szCs w:val="21"/>
          <w:lang w:val="zh-CN"/>
        </w:rPr>
      </w:pPr>
      <w:r>
        <w:rPr>
          <w:rFonts w:hint="eastAsia" w:ascii="宋体" w:hAnsi="宋体" w:eastAsia="宋体" w:cs="宋体"/>
          <w:sz w:val="21"/>
          <w:szCs w:val="21"/>
          <w:lang w:val="zh-CN"/>
        </w:rPr>
        <w:t>2、评标委员会成员不得参加开标活动。</w:t>
      </w:r>
    </w:p>
    <w:p w14:paraId="7608E487">
      <w:pPr>
        <w:autoSpaceDE w:val="0"/>
        <w:autoSpaceDN w:val="0"/>
        <w:adjustRightInd w:val="0"/>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lang w:val="zh-CN"/>
        </w:rPr>
        <w:t>3、本次开标采用先评审资格证明文件和商务与技术文件，后评审报价文件的方式进行。</w:t>
      </w:r>
    </w:p>
    <w:p w14:paraId="5F938B96">
      <w:pPr>
        <w:autoSpaceDE w:val="0"/>
        <w:autoSpaceDN w:val="0"/>
        <w:adjustRightInd w:val="0"/>
        <w:snapToGrid w:val="0"/>
        <w:spacing w:line="360" w:lineRule="auto"/>
        <w:ind w:firstLine="211" w:firstLineChars="100"/>
        <w:rPr>
          <w:rFonts w:ascii="宋体" w:hAnsi="宋体" w:eastAsia="宋体" w:cs="宋体"/>
          <w:kern w:val="0"/>
          <w:sz w:val="21"/>
        </w:rPr>
      </w:pPr>
      <w:r>
        <w:rPr>
          <w:rFonts w:hint="eastAsia" w:ascii="宋体" w:hAnsi="宋体" w:eastAsia="宋体" w:cs="宋体"/>
          <w:b/>
          <w:sz w:val="21"/>
        </w:rPr>
        <w:t>（二）磋商程序</w:t>
      </w:r>
    </w:p>
    <w:p w14:paraId="3AF842C8">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1、开启开标场地的录音录像采集设备，并确保其正常运行。</w:t>
      </w:r>
    </w:p>
    <w:p w14:paraId="7855EC90">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2、对提交了电子备份磋商文件的磋商供应商，代理机构工作人员应做好磋商响应文件签收记录并通过发送网络形式及时告知供应商。</w:t>
      </w:r>
    </w:p>
    <w:p w14:paraId="29B36AC6">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3、主持人宣布开标，介绍开标现场的人员情况，宣读递交磋商响应文件的供应商名单、开标纪律、应当回避的情形等注意事项。</w:t>
      </w:r>
    </w:p>
    <w:p w14:paraId="29C866DC">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4、向各供应商发出电子加密磋商响应文件【开始解密】通知（解密时间为开标时间后30分钟内），供应商在规定的时间内无法完成已递交的“电子加密响应文件”解密的，如已按规定递交了备份响应文件的，将由采购组织机构按“政府采购云平台”操作规范将备份磋商响应文件上传至“政府采购云平台”，上传成功后，“电子加密磋商响应文件”自动失效。</w:t>
      </w:r>
    </w:p>
    <w:p w14:paraId="3F070791">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5、磋商小组必须按照客观、公正、审慎的原则，根据磋商文件规定的评审程序、评审方法和评审标准进行独立评审。未实质性响应磋商文件的响应文件按无效响应处理，磋商小组应当告知提交响应文件的供应商。</w:t>
      </w:r>
    </w:p>
    <w:p w14:paraId="4B2071F3">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6、磋商小组所有成员集中与单一供应商分别进行磋商，并给予所有参加磋商的供应商平等的磋商机会。</w:t>
      </w:r>
    </w:p>
    <w:p w14:paraId="494C21F9">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7、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w:t>
      </w:r>
      <w:r>
        <w:rPr>
          <w:rFonts w:hint="eastAsia" w:ascii="宋体" w:hAnsi="宋体" w:eastAsia="宋体" w:cs="宋体"/>
          <w:b/>
          <w:bCs/>
          <w:sz w:val="21"/>
        </w:rPr>
        <w:t>通过政府采购云平台通知所有参加磋商的供应商</w:t>
      </w:r>
      <w:r>
        <w:rPr>
          <w:rFonts w:hint="eastAsia" w:ascii="宋体" w:hAnsi="宋体" w:eastAsia="宋体" w:cs="宋体"/>
          <w:sz w:val="21"/>
        </w:rPr>
        <w:t>。供应商应当按照磋商文件的变动情况和磋商小组的要求重新提交响应文件，并加盖单位CA签章，上传政府采购云平台。</w:t>
      </w:r>
    </w:p>
    <w:p w14:paraId="4D295FC1">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8、磋商文件能够详细列明采购标的的技术、服务要求的，磋商结束后，磋商小组将要求所有实质性响应的供应商在规定时间内提交最终报价，最终报价是供应商响应文件的有效组成部分。</w:t>
      </w:r>
    </w:p>
    <w:p w14:paraId="4E96FA04">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9、经磋商确定最终采购需求和提交最终报价的供应商后，由磋商小组采用综合评分法对提交最终报价的供应商的响应文件和最终报价进行综合评分。</w:t>
      </w:r>
    </w:p>
    <w:p w14:paraId="62228F8D">
      <w:pPr>
        <w:pStyle w:val="15"/>
        <w:snapToGrid w:val="0"/>
        <w:spacing w:line="360" w:lineRule="auto"/>
        <w:ind w:firstLine="420" w:firstLineChars="200"/>
        <w:rPr>
          <w:rFonts w:hAnsi="宋体" w:eastAsia="宋体" w:cs="宋体"/>
        </w:rPr>
      </w:pPr>
      <w:r>
        <w:rPr>
          <w:rFonts w:hint="eastAsia" w:hAnsi="宋体" w:eastAsia="宋体" w:cs="宋体"/>
        </w:rPr>
        <w:t>10、磋商小组根据综合评分情况，按照评审得分由高到低顺序确定预成交供应商，编写评审报告。</w:t>
      </w:r>
    </w:p>
    <w:p w14:paraId="4E8A3CAB">
      <w:pPr>
        <w:pStyle w:val="15"/>
        <w:snapToGrid w:val="0"/>
        <w:spacing w:line="360" w:lineRule="auto"/>
        <w:ind w:firstLine="420" w:firstLineChars="200"/>
        <w:rPr>
          <w:rFonts w:hAnsi="宋体" w:eastAsia="宋体" w:cs="宋体"/>
        </w:rPr>
      </w:pPr>
      <w:r>
        <w:rPr>
          <w:rFonts w:hint="eastAsia" w:hAnsi="宋体" w:eastAsia="宋体" w:cs="宋体"/>
        </w:rPr>
        <w:t>11、采购组织机构对磋商小组专家成员进行评价；</w:t>
      </w:r>
    </w:p>
    <w:p w14:paraId="1F088459">
      <w:pPr>
        <w:pStyle w:val="15"/>
        <w:snapToGrid w:val="0"/>
        <w:spacing w:line="360" w:lineRule="auto"/>
        <w:ind w:firstLine="420" w:firstLineChars="200"/>
        <w:rPr>
          <w:rFonts w:hAnsi="宋体" w:eastAsia="宋体" w:cs="宋体"/>
        </w:rPr>
      </w:pPr>
      <w:r>
        <w:rPr>
          <w:rFonts w:hint="eastAsia" w:hAnsi="宋体" w:eastAsia="宋体" w:cs="宋体"/>
        </w:rPr>
        <w:t>12、主持人到磋商采购会现场宣布磋商结果（含技术得分、最终报价、报价得分及总得分），磋商采购会议结束。</w:t>
      </w:r>
    </w:p>
    <w:p w14:paraId="3FFBC79C">
      <w:pPr>
        <w:pStyle w:val="15"/>
        <w:snapToGrid w:val="0"/>
        <w:spacing w:line="360" w:lineRule="auto"/>
        <w:ind w:firstLine="422" w:firstLineChars="200"/>
        <w:rPr>
          <w:rFonts w:hAnsi="宋体" w:eastAsia="宋体" w:cs="宋体"/>
        </w:rPr>
      </w:pPr>
      <w:r>
        <w:rPr>
          <w:rFonts w:hint="eastAsia" w:hAnsi="宋体" w:eastAsia="宋体" w:cs="宋体"/>
          <w:b/>
        </w:rPr>
        <w:t>（二）澄清问题的形式</w:t>
      </w:r>
    </w:p>
    <w:p w14:paraId="194FF9F5">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1）评审中需要供应商对磋商响应文件作出澄清、说明或者补正的，评标委员会将以书面形式（或通过“政府采购云平台”）进行询标。给予供应商提交澄清说明或补正的时间不得少于半小时，供应商已经明确表示澄清说明或补正完毕的除外。供应商务必在线等待，留意手机短信，及时在线澄清、说明或补正。</w:t>
      </w:r>
    </w:p>
    <w:p w14:paraId="512110EB">
      <w:pPr>
        <w:snapToGrid w:val="0"/>
        <w:spacing w:line="360" w:lineRule="auto"/>
        <w:ind w:firstLine="420" w:firstLineChars="200"/>
        <w:rPr>
          <w:rFonts w:ascii="宋体" w:hAnsi="宋体" w:eastAsia="宋体" w:cs="宋体"/>
          <w:sz w:val="21"/>
        </w:rPr>
      </w:pPr>
      <w:r>
        <w:rPr>
          <w:rFonts w:hint="eastAsia" w:ascii="宋体" w:hAnsi="宋体" w:eastAsia="宋体" w:cs="宋体"/>
          <w:sz w:val="21"/>
        </w:rPr>
        <w:t>（2）供应商的的澄清、说明或补正将作为磋商响应文件的一部分。</w:t>
      </w:r>
    </w:p>
    <w:p w14:paraId="7076AB64">
      <w:pPr>
        <w:snapToGrid w:val="0"/>
        <w:spacing w:line="360" w:lineRule="auto"/>
        <w:ind w:firstLine="422" w:firstLineChars="200"/>
        <w:rPr>
          <w:rFonts w:ascii="宋体" w:hAnsi="宋体" w:eastAsia="宋体" w:cs="宋体"/>
          <w:sz w:val="21"/>
        </w:rPr>
      </w:pPr>
      <w:r>
        <w:rPr>
          <w:rFonts w:hint="eastAsia" w:ascii="宋体" w:hAnsi="宋体" w:eastAsia="宋体" w:cs="宋体"/>
          <w:b/>
          <w:sz w:val="21"/>
        </w:rPr>
        <w:t>（三）错误修正</w:t>
      </w:r>
    </w:p>
    <w:p w14:paraId="5E289384">
      <w:pPr>
        <w:pStyle w:val="26"/>
        <w:snapToGrid w:val="0"/>
        <w:spacing w:beforeAutospacing="0" w:afterAutospacing="0" w:line="360" w:lineRule="auto"/>
        <w:ind w:firstLine="420" w:firstLineChars="200"/>
        <w:jc w:val="both"/>
        <w:rPr>
          <w:rFonts w:hint="default" w:eastAsia="宋体" w:cs="宋体"/>
          <w:sz w:val="21"/>
        </w:rPr>
      </w:pPr>
      <w:r>
        <w:rPr>
          <w:rFonts w:eastAsia="宋体" w:cs="宋体"/>
          <w:sz w:val="21"/>
        </w:rPr>
        <w:t>磋商响应文件报价出现前后不一致的，除磋商采购文件另有规定外，按照下列规定修正：</w:t>
      </w:r>
    </w:p>
    <w:p w14:paraId="79ABE38B">
      <w:pPr>
        <w:pStyle w:val="26"/>
        <w:snapToGrid w:val="0"/>
        <w:spacing w:beforeAutospacing="0" w:afterAutospacing="0" w:line="360" w:lineRule="auto"/>
        <w:jc w:val="both"/>
        <w:rPr>
          <w:rFonts w:hint="default" w:eastAsia="宋体" w:cs="宋体"/>
          <w:sz w:val="21"/>
        </w:rPr>
      </w:pPr>
      <w:r>
        <w:rPr>
          <w:rFonts w:eastAsia="宋体" w:cs="宋体"/>
          <w:sz w:val="21"/>
        </w:rPr>
        <w:t>　　1、磋商响应文件中首次报价一览表内容与磋商响应文件中相应内容不一致的，以首次报价一览表为准；</w:t>
      </w:r>
    </w:p>
    <w:p w14:paraId="0F41B4E5">
      <w:pPr>
        <w:pStyle w:val="26"/>
        <w:snapToGrid w:val="0"/>
        <w:spacing w:beforeAutospacing="0" w:afterAutospacing="0" w:line="360" w:lineRule="auto"/>
        <w:jc w:val="both"/>
        <w:rPr>
          <w:rFonts w:hint="default" w:eastAsia="宋体" w:cs="宋体"/>
          <w:sz w:val="21"/>
        </w:rPr>
      </w:pPr>
      <w:r>
        <w:rPr>
          <w:rFonts w:eastAsia="宋体" w:cs="宋体"/>
          <w:sz w:val="21"/>
        </w:rPr>
        <w:t>　　2、大写金额和小写金额不一致的，以大写金额为准；</w:t>
      </w:r>
    </w:p>
    <w:p w14:paraId="2F4E80A2">
      <w:pPr>
        <w:pStyle w:val="26"/>
        <w:snapToGrid w:val="0"/>
        <w:spacing w:beforeAutospacing="0" w:afterAutospacing="0" w:line="360" w:lineRule="auto"/>
        <w:jc w:val="both"/>
        <w:rPr>
          <w:rFonts w:hint="default" w:eastAsia="宋体" w:cs="宋体"/>
          <w:sz w:val="21"/>
        </w:rPr>
      </w:pPr>
      <w:r>
        <w:rPr>
          <w:rFonts w:eastAsia="宋体" w:cs="宋体"/>
          <w:sz w:val="21"/>
        </w:rPr>
        <w:t>　　3、单价金额小数点或者百分比有明显错位的，以首次报价一览表的总价为准，并修改单价；</w:t>
      </w:r>
    </w:p>
    <w:p w14:paraId="6746BCDA">
      <w:pPr>
        <w:pStyle w:val="26"/>
        <w:snapToGrid w:val="0"/>
        <w:spacing w:beforeAutospacing="0" w:afterAutospacing="0" w:line="360" w:lineRule="auto"/>
        <w:jc w:val="both"/>
        <w:rPr>
          <w:rFonts w:hint="default" w:eastAsia="宋体" w:cs="宋体"/>
          <w:sz w:val="21"/>
        </w:rPr>
      </w:pPr>
      <w:r>
        <w:rPr>
          <w:rFonts w:eastAsia="宋体" w:cs="宋体"/>
          <w:sz w:val="21"/>
        </w:rPr>
        <w:t>　　4、总价金额与按单价汇总金额不一致的，以单价金额计算结果为准。</w:t>
      </w:r>
    </w:p>
    <w:p w14:paraId="1379C4EA">
      <w:pPr>
        <w:pStyle w:val="26"/>
        <w:snapToGrid w:val="0"/>
        <w:spacing w:beforeAutospacing="0" w:afterAutospacing="0" w:line="360" w:lineRule="auto"/>
        <w:ind w:firstLine="480"/>
        <w:jc w:val="both"/>
        <w:rPr>
          <w:rFonts w:hint="default" w:eastAsia="宋体" w:cs="宋体"/>
          <w:sz w:val="21"/>
        </w:rPr>
      </w:pPr>
      <w:r>
        <w:rPr>
          <w:rFonts w:eastAsia="宋体" w:cs="宋体"/>
          <w:sz w:val="21"/>
        </w:rPr>
        <w:t>同时出现两种以上不一致的，按照前款规定的顺序修正。修正应当采用书面形式，并加盖公章，或者由法定代表人或其授权的代表签字。修正后的报价经磋商供应商确认后产生约束力，磋商供应商不确认的，将终止磋商。</w:t>
      </w:r>
    </w:p>
    <w:p w14:paraId="5484DEFF">
      <w:pPr>
        <w:pStyle w:val="26"/>
        <w:snapToGrid w:val="0"/>
        <w:spacing w:beforeAutospacing="0" w:afterAutospacing="0" w:line="360" w:lineRule="auto"/>
        <w:ind w:firstLine="480"/>
        <w:rPr>
          <w:rFonts w:hint="default" w:eastAsia="宋体" w:cs="宋体"/>
          <w:b/>
          <w:sz w:val="21"/>
        </w:rPr>
      </w:pPr>
      <w:r>
        <w:rPr>
          <w:rFonts w:eastAsia="宋体" w:cs="宋体"/>
          <w:b/>
          <w:sz w:val="21"/>
        </w:rPr>
        <w:t>（四）磋商过程中出现以下情形，导致电子交易平台无法正常运行，或者无法保证电子交易的公平、公正和安全时，采购组织机构可中止电子交易活动：</w:t>
      </w:r>
    </w:p>
    <w:p w14:paraId="5D7AC4E9">
      <w:pPr>
        <w:adjustRightInd w:val="0"/>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1、电子交易平台发生故障而无法登录访问的； </w:t>
      </w:r>
    </w:p>
    <w:p w14:paraId="7652DD02">
      <w:pPr>
        <w:adjustRightInd w:val="0"/>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2、电子交易平台应用或数据库出现错误，不能进行正常操作的；</w:t>
      </w:r>
    </w:p>
    <w:p w14:paraId="2B60B40A">
      <w:pPr>
        <w:adjustRightInd w:val="0"/>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3、电子交易平台发现严重安全漏洞，有潜在泄密危险的；</w:t>
      </w:r>
    </w:p>
    <w:p w14:paraId="3CF49A38">
      <w:pPr>
        <w:adjustRightInd w:val="0"/>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4、病毒发作导致不能进行正常操作的； </w:t>
      </w:r>
    </w:p>
    <w:p w14:paraId="4E1ABF9B">
      <w:pPr>
        <w:adjustRightInd w:val="0"/>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5、其他无法保证电子交易的公平、公正和安全的情况。</w:t>
      </w:r>
    </w:p>
    <w:p w14:paraId="27760895">
      <w:pPr>
        <w:adjustRightInd w:val="0"/>
        <w:snapToGrid w:val="0"/>
        <w:spacing w:line="360" w:lineRule="auto"/>
        <w:ind w:firstLine="420" w:firstLineChars="200"/>
        <w:jc w:val="left"/>
        <w:rPr>
          <w:rFonts w:ascii="宋体" w:hAnsi="宋体" w:eastAsia="宋体" w:cs="宋体"/>
          <w:sz w:val="21"/>
        </w:rPr>
      </w:pPr>
      <w:r>
        <w:rPr>
          <w:rFonts w:hint="eastAsia" w:ascii="宋体" w:hAnsi="宋体" w:eastAsia="宋体" w:cs="宋体"/>
          <w:kern w:val="0"/>
          <w:sz w:val="21"/>
        </w:rPr>
        <w:t>出现前款规定情形，不影响采购公平、公正性的，采购组织机构可以待上述情形消除后继续组织电子交易活动；影响或可能影响采购公平、公正性的，应当重新采购。</w:t>
      </w:r>
    </w:p>
    <w:p w14:paraId="3E2E8C68">
      <w:pPr>
        <w:pStyle w:val="26"/>
        <w:snapToGrid w:val="0"/>
        <w:spacing w:beforeAutospacing="0" w:afterAutospacing="0" w:line="360" w:lineRule="auto"/>
        <w:ind w:firstLine="480"/>
        <w:rPr>
          <w:rFonts w:hint="default" w:eastAsia="宋体" w:cs="宋体"/>
          <w:sz w:val="21"/>
        </w:rPr>
      </w:pPr>
      <w:r>
        <w:rPr>
          <w:rFonts w:eastAsia="宋体" w:cs="宋体"/>
          <w:b/>
          <w:sz w:val="21"/>
        </w:rPr>
        <w:t>（五）磋商供应商存在下列情况之一的，响应无效，终止磋商</w:t>
      </w:r>
    </w:p>
    <w:p w14:paraId="1BE8ED7F">
      <w:pPr>
        <w:adjustRightInd w:val="0"/>
        <w:snapToGrid w:val="0"/>
        <w:spacing w:line="360" w:lineRule="auto"/>
        <w:ind w:firstLine="420" w:firstLineChars="200"/>
        <w:jc w:val="left"/>
        <w:rPr>
          <w:rFonts w:ascii="宋体" w:hAnsi="宋体" w:eastAsia="宋体" w:cs="宋体"/>
          <w:b/>
          <w:sz w:val="21"/>
        </w:rPr>
      </w:pPr>
      <w:r>
        <w:rPr>
          <w:rFonts w:hint="eastAsia" w:ascii="宋体" w:hAnsi="宋体" w:eastAsia="宋体" w:cs="宋体"/>
          <w:kern w:val="0"/>
          <w:sz w:val="21"/>
        </w:rPr>
        <w:t>1、磋商响应文件中的报价货物跟商务与技术内容中的供应货物出现重大偏差的。</w:t>
      </w:r>
    </w:p>
    <w:p w14:paraId="77698936">
      <w:pPr>
        <w:pStyle w:val="26"/>
        <w:tabs>
          <w:tab w:val="left" w:pos="7380"/>
        </w:tabs>
        <w:adjustRightInd w:val="0"/>
        <w:snapToGrid w:val="0"/>
        <w:spacing w:beforeAutospacing="0" w:afterAutospacing="0" w:line="360" w:lineRule="auto"/>
        <w:ind w:firstLine="420" w:firstLineChars="200"/>
        <w:rPr>
          <w:rFonts w:hint="default" w:eastAsia="宋体" w:cs="宋体"/>
          <w:sz w:val="21"/>
        </w:rPr>
      </w:pPr>
      <w:r>
        <w:rPr>
          <w:rFonts w:eastAsia="宋体" w:cs="宋体"/>
          <w:sz w:val="21"/>
        </w:rPr>
        <w:t>2、不具备磋商采购文件中规定的资格要求的。</w:t>
      </w:r>
    </w:p>
    <w:p w14:paraId="35AB0260">
      <w:pPr>
        <w:pStyle w:val="26"/>
        <w:adjustRightInd w:val="0"/>
        <w:snapToGrid w:val="0"/>
        <w:spacing w:beforeAutospacing="0" w:afterAutospacing="0" w:line="360" w:lineRule="auto"/>
        <w:ind w:firstLine="420" w:firstLineChars="200"/>
        <w:rPr>
          <w:rFonts w:hint="default" w:eastAsia="宋体" w:cs="宋体"/>
          <w:sz w:val="21"/>
        </w:rPr>
      </w:pPr>
      <w:r>
        <w:rPr>
          <w:rFonts w:eastAsia="宋体" w:cs="宋体"/>
          <w:sz w:val="21"/>
        </w:rPr>
        <w:t>3、</w:t>
      </w:r>
      <w:r>
        <w:rPr>
          <w:rFonts w:eastAsia="宋体" w:cs="宋体"/>
          <w:sz w:val="21"/>
          <w:szCs w:val="21"/>
        </w:rPr>
        <w:t>未实质性响应磋商文件中打“</w:t>
      </w:r>
      <w:r>
        <w:rPr>
          <w:rFonts w:eastAsia="宋体" w:cs="宋体"/>
          <w:sz w:val="21"/>
          <w:szCs w:val="21"/>
          <w:lang w:val="zh-CN"/>
        </w:rPr>
        <w:t>▲</w:t>
      </w:r>
      <w:r>
        <w:rPr>
          <w:rFonts w:eastAsia="宋体" w:cs="宋体"/>
          <w:sz w:val="21"/>
          <w:szCs w:val="21"/>
        </w:rPr>
        <w:t>”条款或者磋商响应文件含有采购人不能接受的附加条件的</w:t>
      </w:r>
      <w:r>
        <w:rPr>
          <w:rFonts w:eastAsia="宋体" w:cs="宋体"/>
          <w:sz w:val="21"/>
        </w:rPr>
        <w:t>。</w:t>
      </w:r>
    </w:p>
    <w:p w14:paraId="0C6A110F">
      <w:pPr>
        <w:adjustRightInd w:val="0"/>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4</w:t>
      </w:r>
      <w:r>
        <w:rPr>
          <w:rFonts w:hint="eastAsia" w:ascii="宋体" w:hAnsi="宋体" w:eastAsia="宋体" w:cs="宋体"/>
          <w:sz w:val="21"/>
        </w:rPr>
        <w:t>、磋商响应文件实质性内容填写不全或模糊不清，无法辨认的。</w:t>
      </w:r>
    </w:p>
    <w:p w14:paraId="7698BBAD">
      <w:pPr>
        <w:pStyle w:val="26"/>
        <w:adjustRightInd w:val="0"/>
        <w:snapToGrid w:val="0"/>
        <w:spacing w:beforeAutospacing="0" w:afterAutospacing="0" w:line="360" w:lineRule="auto"/>
        <w:ind w:firstLine="420" w:firstLineChars="200"/>
        <w:rPr>
          <w:rFonts w:hint="default" w:eastAsia="宋体" w:cs="宋体"/>
          <w:sz w:val="21"/>
        </w:rPr>
      </w:pPr>
      <w:r>
        <w:rPr>
          <w:rFonts w:eastAsia="宋体" w:cs="宋体"/>
          <w:sz w:val="21"/>
        </w:rPr>
        <w:t>5、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14:paraId="513221A5">
      <w:pPr>
        <w:pStyle w:val="26"/>
        <w:adjustRightInd w:val="0"/>
        <w:snapToGrid w:val="0"/>
        <w:spacing w:beforeAutospacing="0" w:afterAutospacing="0" w:line="360" w:lineRule="auto"/>
        <w:ind w:firstLine="420" w:firstLineChars="200"/>
        <w:rPr>
          <w:rFonts w:hint="default" w:eastAsia="宋体" w:cs="宋体"/>
          <w:sz w:val="21"/>
        </w:rPr>
      </w:pPr>
      <w:r>
        <w:rPr>
          <w:rFonts w:eastAsia="宋体" w:cs="宋体"/>
          <w:sz w:val="21"/>
        </w:rPr>
        <w:t>6、</w:t>
      </w:r>
      <w:r>
        <w:rPr>
          <w:rFonts w:eastAsia="宋体" w:cs="宋体"/>
          <w:sz w:val="21"/>
          <w:szCs w:val="21"/>
        </w:rPr>
        <w:t>报价超过磋商文件中规定的最高限价的</w:t>
      </w:r>
      <w:r>
        <w:rPr>
          <w:rFonts w:eastAsia="宋体" w:cs="宋体"/>
          <w:sz w:val="21"/>
        </w:rPr>
        <w:t>。</w:t>
      </w:r>
    </w:p>
    <w:p w14:paraId="343387D5">
      <w:pPr>
        <w:tabs>
          <w:tab w:val="left" w:pos="1898"/>
        </w:tabs>
        <w:autoSpaceDE w:val="0"/>
        <w:autoSpaceDN w:val="0"/>
        <w:adjustRightInd w:val="0"/>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7、磋商参数未如实填写，完全复制粘贴磋商采购参数的。</w:t>
      </w:r>
    </w:p>
    <w:p w14:paraId="438DB528">
      <w:pPr>
        <w:tabs>
          <w:tab w:val="left" w:pos="1898"/>
        </w:tabs>
        <w:autoSpaceDE w:val="0"/>
        <w:autoSpaceDN w:val="0"/>
        <w:adjustRightInd w:val="0"/>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8、</w:t>
      </w:r>
      <w:r>
        <w:rPr>
          <w:rFonts w:hint="eastAsia" w:ascii="宋体" w:hAnsi="宋体" w:eastAsia="宋体" w:cs="宋体"/>
          <w:sz w:val="21"/>
          <w:szCs w:val="21"/>
        </w:rPr>
        <w:t>磋商响应文件中技术方案不明确，存在一个或一个以上备选（替代）方案的</w:t>
      </w:r>
      <w:r>
        <w:rPr>
          <w:rFonts w:hint="eastAsia" w:ascii="宋体" w:hAnsi="宋体" w:eastAsia="宋体" w:cs="宋体"/>
          <w:kern w:val="0"/>
          <w:sz w:val="21"/>
        </w:rPr>
        <w:t>。</w:t>
      </w:r>
    </w:p>
    <w:p w14:paraId="786FBB43">
      <w:pPr>
        <w:tabs>
          <w:tab w:val="left" w:pos="1898"/>
        </w:tabs>
        <w:autoSpaceDE w:val="0"/>
        <w:autoSpaceDN w:val="0"/>
        <w:adjustRightInd w:val="0"/>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9、磋商响应文件提供虚假材料的。</w:t>
      </w:r>
    </w:p>
    <w:p w14:paraId="75BDB367">
      <w:pPr>
        <w:autoSpaceDE w:val="0"/>
        <w:autoSpaceDN w:val="0"/>
        <w:adjustRightInd w:val="0"/>
        <w:snapToGrid w:val="0"/>
        <w:spacing w:line="360" w:lineRule="auto"/>
        <w:ind w:firstLine="420" w:firstLineChars="200"/>
        <w:jc w:val="left"/>
        <w:rPr>
          <w:rFonts w:ascii="宋体" w:hAnsi="宋体" w:eastAsia="宋体" w:cs="宋体"/>
          <w:kern w:val="0"/>
          <w:sz w:val="21"/>
        </w:rPr>
      </w:pPr>
      <w:r>
        <w:rPr>
          <w:rFonts w:hint="eastAsia" w:ascii="宋体" w:hAnsi="宋体" w:eastAsia="宋体" w:cs="宋体"/>
          <w:kern w:val="0"/>
          <w:sz w:val="21"/>
        </w:rPr>
        <w:t>10、法律、法规和磋商文件中规定的其他实质性要求的（包括被拒绝的条款）。</w:t>
      </w:r>
    </w:p>
    <w:p w14:paraId="1E7E9CF9">
      <w:pPr>
        <w:pStyle w:val="26"/>
        <w:adjustRightInd w:val="0"/>
        <w:snapToGrid w:val="0"/>
        <w:spacing w:beforeAutospacing="0" w:afterAutospacing="0" w:line="360" w:lineRule="auto"/>
        <w:ind w:firstLine="420" w:firstLineChars="200"/>
        <w:rPr>
          <w:rFonts w:hint="default" w:eastAsia="宋体" w:cs="宋体"/>
          <w:sz w:val="21"/>
        </w:rPr>
      </w:pPr>
      <w:r>
        <w:rPr>
          <w:rFonts w:eastAsia="宋体" w:cs="宋体"/>
          <w:sz w:val="21"/>
        </w:rPr>
        <w:t>11、项目负责人承接项目按照《注册建造师执业管理办法（试行）》（建市[2008]48号）第九条执行，同时在本工程投标文件提交截止日前，原承接（包括已办理项目负责人变更手续）的工程项目未通过竣工（交工）验收的（以竣工或交工验收记录为准）。</w:t>
      </w:r>
    </w:p>
    <w:p w14:paraId="5DAD93F7">
      <w:pPr>
        <w:autoSpaceDE w:val="0"/>
        <w:autoSpaceDN w:val="0"/>
        <w:adjustRightInd w:val="0"/>
        <w:snapToGrid w:val="0"/>
        <w:spacing w:line="360" w:lineRule="auto"/>
        <w:ind w:firstLine="422" w:firstLineChars="200"/>
        <w:jc w:val="left"/>
        <w:rPr>
          <w:rFonts w:ascii="宋体" w:hAnsi="宋体" w:eastAsia="宋体" w:cs="宋体"/>
          <w:kern w:val="0"/>
          <w:sz w:val="21"/>
        </w:rPr>
      </w:pPr>
      <w:r>
        <w:rPr>
          <w:rFonts w:hint="eastAsia" w:ascii="宋体" w:hAnsi="宋体" w:eastAsia="宋体" w:cs="宋体"/>
          <w:b/>
          <w:kern w:val="0"/>
          <w:sz w:val="21"/>
        </w:rPr>
        <w:t>（六）有下列情况之一的，本次磋商终止。</w:t>
      </w:r>
    </w:p>
    <w:p w14:paraId="0A22DF71">
      <w:pPr>
        <w:autoSpaceDE w:val="0"/>
        <w:autoSpaceDN w:val="0"/>
        <w:spacing w:line="360" w:lineRule="auto"/>
        <w:ind w:firstLine="420" w:firstLineChars="200"/>
        <w:textAlignment w:val="bottom"/>
        <w:rPr>
          <w:rFonts w:ascii="宋体" w:hAnsi="宋体" w:eastAsia="宋体" w:cs="宋体"/>
          <w:sz w:val="21"/>
          <w:szCs w:val="21"/>
        </w:rPr>
      </w:pPr>
      <w:r>
        <w:rPr>
          <w:rFonts w:hint="eastAsia" w:ascii="宋体" w:hAnsi="宋体" w:eastAsia="宋体" w:cs="宋体"/>
          <w:sz w:val="21"/>
          <w:szCs w:val="21"/>
        </w:rPr>
        <w:t>（1）出现影响采购公正的违法、违规、欺骗行为的；</w:t>
      </w:r>
    </w:p>
    <w:p w14:paraId="7CF85E69">
      <w:pPr>
        <w:autoSpaceDE w:val="0"/>
        <w:autoSpaceDN w:val="0"/>
        <w:spacing w:line="360" w:lineRule="auto"/>
        <w:ind w:firstLine="420" w:firstLineChars="200"/>
        <w:textAlignment w:val="bottom"/>
        <w:rPr>
          <w:rFonts w:ascii="宋体" w:hAnsi="宋体" w:eastAsia="宋体" w:cs="宋体"/>
          <w:sz w:val="21"/>
          <w:szCs w:val="21"/>
        </w:rPr>
      </w:pPr>
      <w:r>
        <w:rPr>
          <w:rFonts w:hint="eastAsia" w:ascii="宋体" w:hAnsi="宋体" w:eastAsia="宋体" w:cs="宋体"/>
          <w:sz w:val="21"/>
          <w:szCs w:val="21"/>
        </w:rPr>
        <w:t>（2）因重大变故，采购任务取消的；</w:t>
      </w:r>
    </w:p>
    <w:p w14:paraId="2751D58D">
      <w:pPr>
        <w:autoSpaceDE w:val="0"/>
        <w:autoSpaceDN w:val="0"/>
        <w:adjustRightInd w:val="0"/>
        <w:spacing w:line="360" w:lineRule="auto"/>
        <w:ind w:firstLine="420" w:firstLineChars="200"/>
        <w:rPr>
          <w:rFonts w:ascii="宋体" w:hAnsi="宋体" w:eastAsia="宋体" w:cs="宋体"/>
          <w:sz w:val="21"/>
        </w:rPr>
      </w:pPr>
      <w:r>
        <w:rPr>
          <w:rFonts w:hint="eastAsia" w:ascii="宋体" w:hAnsi="宋体" w:eastAsia="宋体" w:cs="宋体"/>
          <w:sz w:val="21"/>
          <w:szCs w:val="21"/>
        </w:rPr>
        <w:t>（3）提交磋商响应文件供应商或符合资格条件供应商或实质性响应供应商不足三家的。</w:t>
      </w:r>
    </w:p>
    <w:p w14:paraId="771AE9D4">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spacing w:line="360" w:lineRule="auto"/>
        <w:ind w:right="25" w:firstLine="422" w:firstLineChars="200"/>
        <w:jc w:val="left"/>
        <w:rPr>
          <w:rFonts w:ascii="宋体" w:hAnsi="宋体" w:eastAsia="宋体" w:cs="宋体"/>
          <w:b/>
          <w:kern w:val="0"/>
          <w:sz w:val="21"/>
        </w:rPr>
      </w:pPr>
      <w:r>
        <w:rPr>
          <w:rFonts w:hint="eastAsia" w:ascii="宋体" w:hAnsi="宋体" w:eastAsia="宋体" w:cs="宋体"/>
          <w:b/>
          <w:kern w:val="0"/>
          <w:sz w:val="21"/>
        </w:rPr>
        <w:t>（七）磋商原则和方法</w:t>
      </w:r>
    </w:p>
    <w:p w14:paraId="7DB61F1D">
      <w:pPr>
        <w:pStyle w:val="15"/>
        <w:snapToGrid w:val="0"/>
        <w:spacing w:line="360" w:lineRule="auto"/>
        <w:ind w:firstLine="525" w:firstLineChars="250"/>
        <w:rPr>
          <w:rFonts w:hAnsi="宋体" w:eastAsia="宋体" w:cs="宋体"/>
        </w:rPr>
      </w:pPr>
      <w:r>
        <w:rPr>
          <w:rFonts w:hint="eastAsia" w:hAnsi="宋体" w:eastAsia="宋体" w:cs="宋体"/>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14:paraId="3E58CA04">
      <w:pPr>
        <w:pStyle w:val="15"/>
        <w:snapToGrid w:val="0"/>
        <w:spacing w:line="360" w:lineRule="auto"/>
        <w:ind w:firstLine="525" w:firstLineChars="250"/>
        <w:rPr>
          <w:rFonts w:hAnsi="宋体" w:eastAsia="宋体" w:cs="宋体"/>
        </w:rPr>
      </w:pPr>
      <w:r>
        <w:rPr>
          <w:rFonts w:hint="eastAsia" w:hAnsi="宋体" w:eastAsia="宋体" w:cs="宋体"/>
        </w:rPr>
        <w:t>2、磋商办法。具体磋商内容及评分标准等详见《评审方法及评分标准》。</w:t>
      </w:r>
    </w:p>
    <w:p w14:paraId="3B6E6C42">
      <w:pPr>
        <w:pStyle w:val="15"/>
        <w:snapToGrid w:val="0"/>
        <w:spacing w:line="360" w:lineRule="auto"/>
        <w:ind w:firstLine="422" w:firstLineChars="200"/>
        <w:rPr>
          <w:rFonts w:hAnsi="宋体" w:eastAsia="宋体" w:cs="宋体"/>
        </w:rPr>
      </w:pPr>
      <w:r>
        <w:rPr>
          <w:rFonts w:hint="eastAsia" w:hAnsi="宋体" w:eastAsia="宋体" w:cs="宋体"/>
          <w:b/>
        </w:rPr>
        <w:t>（八）评审过程的监控</w:t>
      </w:r>
    </w:p>
    <w:p w14:paraId="7264BD4D">
      <w:pPr>
        <w:pStyle w:val="26"/>
        <w:snapToGrid w:val="0"/>
        <w:spacing w:beforeAutospacing="0" w:afterAutospacing="0" w:line="360" w:lineRule="auto"/>
        <w:ind w:firstLine="420" w:firstLineChars="200"/>
        <w:jc w:val="both"/>
        <w:rPr>
          <w:rFonts w:hint="default" w:eastAsia="宋体" w:cs="宋体"/>
          <w:sz w:val="21"/>
        </w:rPr>
      </w:pPr>
      <w:r>
        <w:rPr>
          <w:rFonts w:eastAsia="宋体" w:cs="宋体"/>
          <w:sz w:val="21"/>
        </w:rPr>
        <w:t>本项目评审过程实行全程录音、录像监控，政府采购监管部门视情进行现场监督，供应商在评审过程中所进行的试图影响评审结果的不公正活动，可能导致其被拒绝磋商。</w:t>
      </w:r>
    </w:p>
    <w:p w14:paraId="4DE125A2">
      <w:pPr>
        <w:pStyle w:val="26"/>
        <w:snapToGrid w:val="0"/>
        <w:spacing w:beforeAutospacing="0" w:afterAutospacing="0" w:line="360" w:lineRule="auto"/>
        <w:ind w:firstLine="422" w:firstLineChars="200"/>
        <w:jc w:val="both"/>
        <w:rPr>
          <w:rFonts w:hint="default" w:eastAsia="宋体" w:cs="宋体"/>
          <w:sz w:val="21"/>
        </w:rPr>
      </w:pPr>
      <w:r>
        <w:rPr>
          <w:rFonts w:eastAsia="宋体" w:cs="宋体"/>
          <w:b/>
          <w:sz w:val="21"/>
        </w:rPr>
        <w:t>五、磋商结果确定</w:t>
      </w:r>
    </w:p>
    <w:p w14:paraId="16CE8E7C">
      <w:pPr>
        <w:pStyle w:val="26"/>
        <w:snapToGrid w:val="0"/>
        <w:spacing w:beforeAutospacing="0" w:afterAutospacing="0" w:line="360" w:lineRule="auto"/>
        <w:ind w:firstLine="525" w:firstLineChars="250"/>
        <w:jc w:val="both"/>
        <w:rPr>
          <w:rFonts w:hint="default" w:eastAsia="宋体" w:cs="宋体"/>
          <w:sz w:val="21"/>
        </w:rPr>
      </w:pPr>
      <w:r>
        <w:rPr>
          <w:rFonts w:eastAsia="宋体" w:cs="宋体"/>
          <w:sz w:val="21"/>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32E00DB2">
      <w:pPr>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2、发布成交结果公告。采购组织机构应当在成交供应商确定后2个工作日内，在省级以上财政部门指定的政府采购信息发布媒体及相关网站上公告成交结果，并将磋商文件随同公告。</w:t>
      </w:r>
    </w:p>
    <w:p w14:paraId="038C0B12">
      <w:pPr>
        <w:snapToGrid w:val="0"/>
        <w:spacing w:line="360" w:lineRule="auto"/>
        <w:ind w:firstLine="420" w:firstLineChars="200"/>
        <w:rPr>
          <w:rFonts w:ascii="宋体" w:hAnsi="宋体" w:eastAsia="宋体" w:cs="宋体"/>
          <w:kern w:val="0"/>
          <w:sz w:val="21"/>
        </w:rPr>
      </w:pPr>
      <w:r>
        <w:rPr>
          <w:rFonts w:hint="eastAsia" w:ascii="宋体" w:hAnsi="宋体" w:eastAsia="宋体" w:cs="宋体"/>
          <w:kern w:val="0"/>
          <w:sz w:val="21"/>
        </w:rPr>
        <w:t>3、发出成交通知书。采购组织机构在发布成交结果同时，向成交供应商发出成交通知书。</w:t>
      </w:r>
    </w:p>
    <w:p w14:paraId="1632D515">
      <w:pPr>
        <w:snapToGrid w:val="0"/>
        <w:spacing w:line="360" w:lineRule="auto"/>
        <w:ind w:firstLine="422" w:firstLineChars="200"/>
        <w:rPr>
          <w:rFonts w:ascii="宋体" w:hAnsi="宋体" w:eastAsia="宋体" w:cs="宋体"/>
          <w:b/>
          <w:kern w:val="0"/>
          <w:sz w:val="21"/>
        </w:rPr>
      </w:pPr>
      <w:r>
        <w:rPr>
          <w:rFonts w:hint="eastAsia" w:ascii="宋体" w:hAnsi="宋体" w:eastAsia="宋体" w:cs="宋体"/>
          <w:b/>
          <w:kern w:val="0"/>
          <w:sz w:val="21"/>
        </w:rPr>
        <w:t>六、合同签订及公告</w:t>
      </w:r>
    </w:p>
    <w:p w14:paraId="357AA91C">
      <w:pPr>
        <w:pStyle w:val="10"/>
        <w:snapToGrid w:val="0"/>
        <w:spacing w:line="360" w:lineRule="auto"/>
        <w:ind w:firstLine="422" w:firstLineChars="200"/>
        <w:rPr>
          <w:rFonts w:ascii="宋体" w:hAnsi="宋体" w:eastAsia="宋体" w:cs="宋体"/>
          <w:b/>
          <w:sz w:val="21"/>
        </w:rPr>
      </w:pPr>
      <w:r>
        <w:rPr>
          <w:rFonts w:hint="eastAsia" w:ascii="宋体" w:hAnsi="宋体" w:eastAsia="宋体" w:cs="宋体"/>
          <w:b/>
          <w:sz w:val="21"/>
        </w:rPr>
        <w:t>（一）签订合同</w:t>
      </w:r>
    </w:p>
    <w:p w14:paraId="65BF2DD7">
      <w:pPr>
        <w:pStyle w:val="26"/>
        <w:snapToGrid w:val="0"/>
        <w:spacing w:beforeAutospacing="0" w:afterAutospacing="0" w:line="360" w:lineRule="auto"/>
        <w:ind w:firstLine="525" w:firstLineChars="250"/>
        <w:jc w:val="both"/>
        <w:rPr>
          <w:rFonts w:hint="default" w:eastAsia="宋体" w:cs="宋体"/>
          <w:sz w:val="21"/>
        </w:rPr>
      </w:pPr>
      <w:r>
        <w:rPr>
          <w:rFonts w:eastAsia="宋体" w:cs="宋体"/>
          <w:sz w:val="21"/>
        </w:rPr>
        <w:t>1、采购人应当自成交通知书发出之日起30日内，按照磋商采购文件确定的合同文本以及采购标的、规格型号、采购金额、采购数量和服务要求等事项签订政府采购合同。</w:t>
      </w:r>
    </w:p>
    <w:p w14:paraId="7458FDF4">
      <w:pPr>
        <w:pStyle w:val="26"/>
        <w:snapToGrid w:val="0"/>
        <w:spacing w:beforeAutospacing="0" w:afterAutospacing="0" w:line="360" w:lineRule="auto"/>
        <w:ind w:firstLine="525" w:firstLineChars="250"/>
        <w:jc w:val="both"/>
        <w:rPr>
          <w:rFonts w:hint="default" w:eastAsia="宋体" w:cs="宋体"/>
          <w:sz w:val="21"/>
        </w:rPr>
      </w:pPr>
      <w:r>
        <w:rPr>
          <w:rFonts w:eastAsia="宋体" w:cs="宋体"/>
          <w:sz w:val="21"/>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66BE17BC">
      <w:pPr>
        <w:pStyle w:val="26"/>
        <w:snapToGrid w:val="0"/>
        <w:spacing w:beforeAutospacing="0" w:afterAutospacing="0" w:line="360" w:lineRule="auto"/>
        <w:ind w:firstLine="525" w:firstLineChars="250"/>
        <w:jc w:val="both"/>
        <w:rPr>
          <w:rFonts w:hint="default" w:eastAsia="宋体" w:cs="宋体"/>
          <w:sz w:val="21"/>
        </w:rPr>
      </w:pPr>
      <w:r>
        <w:rPr>
          <w:rFonts w:eastAsia="宋体" w:cs="宋体"/>
          <w:sz w:val="21"/>
        </w:rPr>
        <w:t>3、成交供应商无故拖延、拒签合同的,取消成交资格。</w:t>
      </w:r>
    </w:p>
    <w:p w14:paraId="5ACC0BF1">
      <w:pPr>
        <w:pStyle w:val="26"/>
        <w:snapToGrid w:val="0"/>
        <w:spacing w:beforeAutospacing="0" w:afterAutospacing="0" w:line="360" w:lineRule="auto"/>
        <w:ind w:firstLine="525" w:firstLineChars="250"/>
        <w:jc w:val="both"/>
        <w:rPr>
          <w:rFonts w:hint="default" w:eastAsia="宋体" w:cs="宋体"/>
          <w:sz w:val="21"/>
        </w:rPr>
      </w:pPr>
      <w:r>
        <w:rPr>
          <w:rFonts w:eastAsia="宋体" w:cs="宋体"/>
          <w:sz w:val="21"/>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14:paraId="5B7E18C3">
      <w:pPr>
        <w:pStyle w:val="26"/>
        <w:snapToGrid w:val="0"/>
        <w:spacing w:beforeAutospacing="0" w:afterAutospacing="0" w:line="360" w:lineRule="auto"/>
        <w:ind w:firstLine="525" w:firstLineChars="250"/>
        <w:jc w:val="both"/>
        <w:rPr>
          <w:rFonts w:hint="default" w:eastAsia="宋体" w:cs="宋体"/>
          <w:sz w:val="21"/>
        </w:rPr>
      </w:pPr>
      <w:r>
        <w:rPr>
          <w:rFonts w:eastAsia="宋体" w:cs="宋体"/>
          <w:sz w:val="21"/>
        </w:rPr>
        <w:t>5、询问或者质疑事项可能影响成交结果的，采购人应当暂停签订合同，已经签订合同的，应当中止履行合同（成交结果的质疑期为成交结果公告期限届满之日起七个工作日）。</w:t>
      </w:r>
    </w:p>
    <w:p w14:paraId="050FA49B">
      <w:pPr>
        <w:pStyle w:val="26"/>
        <w:snapToGrid w:val="0"/>
        <w:spacing w:beforeAutospacing="0" w:afterAutospacing="0" w:line="360" w:lineRule="auto"/>
        <w:ind w:firstLine="527" w:firstLineChars="250"/>
        <w:jc w:val="both"/>
        <w:rPr>
          <w:rFonts w:hint="default" w:eastAsia="宋体" w:cs="宋体"/>
          <w:b/>
          <w:sz w:val="21"/>
        </w:rPr>
      </w:pPr>
      <w:r>
        <w:rPr>
          <w:rFonts w:eastAsia="宋体" w:cs="宋体"/>
          <w:b/>
          <w:sz w:val="21"/>
        </w:rPr>
        <w:t>（二）合同公告及备案</w:t>
      </w:r>
    </w:p>
    <w:p w14:paraId="6C2F215F">
      <w:pPr>
        <w:pStyle w:val="26"/>
        <w:snapToGrid w:val="0"/>
        <w:spacing w:beforeAutospacing="0" w:afterAutospacing="0" w:line="360" w:lineRule="auto"/>
        <w:ind w:firstLine="525" w:firstLineChars="250"/>
        <w:jc w:val="both"/>
        <w:rPr>
          <w:rFonts w:hint="default" w:eastAsia="宋体" w:cs="宋体"/>
          <w:b/>
          <w:sz w:val="30"/>
          <w:szCs w:val="30"/>
        </w:rPr>
      </w:pPr>
      <w:r>
        <w:rPr>
          <w:rFonts w:eastAsia="宋体" w:cs="宋体"/>
          <w:sz w:val="21"/>
        </w:rPr>
        <w:t>采购人应当自政府采购合同签订之日起2个工作日内，在省级以上财政部门指定的政府采购信息发布媒体及相关网站上公告。</w:t>
      </w:r>
      <w:bookmarkEnd w:id="2"/>
      <w:bookmarkStart w:id="20" w:name="_Toc306901457"/>
      <w:bookmarkStart w:id="21" w:name="_Toc173810699"/>
    </w:p>
    <w:p w14:paraId="2DD4D02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jc w:val="center"/>
        <w:rPr>
          <w:rFonts w:ascii="宋体" w:hAnsi="宋体" w:eastAsia="宋体" w:cs="宋体"/>
          <w:b/>
          <w:sz w:val="30"/>
          <w:szCs w:val="30"/>
        </w:rPr>
      </w:pPr>
    </w:p>
    <w:p w14:paraId="1562583C">
      <w:pPr>
        <w:rPr>
          <w:rFonts w:ascii="宋体" w:hAnsi="宋体" w:eastAsia="宋体" w:cs="宋体"/>
          <w:b/>
          <w:sz w:val="30"/>
          <w:szCs w:val="30"/>
        </w:rPr>
      </w:pPr>
      <w:r>
        <w:rPr>
          <w:rFonts w:hint="eastAsia" w:ascii="宋体" w:hAnsi="宋体" w:eastAsia="宋体" w:cs="宋体"/>
          <w:b/>
          <w:sz w:val="30"/>
          <w:szCs w:val="30"/>
        </w:rPr>
        <w:br w:type="page"/>
      </w:r>
    </w:p>
    <w:p w14:paraId="5561F86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jc w:val="center"/>
        <w:rPr>
          <w:rFonts w:ascii="宋体" w:hAnsi="宋体" w:eastAsia="宋体" w:cs="宋体"/>
          <w:b/>
          <w:sz w:val="30"/>
          <w:szCs w:val="30"/>
        </w:rPr>
      </w:pPr>
      <w:r>
        <w:rPr>
          <w:rFonts w:hint="eastAsia" w:ascii="宋体" w:hAnsi="宋体" w:eastAsia="宋体" w:cs="宋体"/>
          <w:b/>
          <w:sz w:val="30"/>
          <w:szCs w:val="30"/>
        </w:rPr>
        <w:t>第四部分评标办法及评分标准</w:t>
      </w:r>
      <w:bookmarkEnd w:id="20"/>
    </w:p>
    <w:bookmarkEnd w:id="21"/>
    <w:p w14:paraId="7E23C2DE">
      <w:pPr>
        <w:shd w:val="clear" w:color="auto" w:fill="FFFFFF"/>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一、采购组织机构将组织磋商小组，磋商小组由3人以上单数组成，其中技术专家不少于三分之二，对供应商提供的磋商响应文件进行综合评审。</w:t>
      </w:r>
    </w:p>
    <w:p w14:paraId="6264EB84">
      <w:pPr>
        <w:snapToGrid w:val="0"/>
        <w:spacing w:line="360" w:lineRule="auto"/>
        <w:ind w:firstLine="420" w:firstLineChars="200"/>
        <w:rPr>
          <w:rFonts w:ascii="宋体" w:hAnsi="宋体" w:eastAsia="宋体" w:cs="宋体"/>
          <w:sz w:val="21"/>
          <w:szCs w:val="21"/>
        </w:rPr>
      </w:pPr>
      <w:r>
        <w:rPr>
          <w:rFonts w:hint="eastAsia" w:ascii="宋体" w:hAnsi="宋体" w:eastAsia="宋体" w:cs="宋体"/>
          <w:bCs/>
          <w:kern w:val="0"/>
          <w:sz w:val="21"/>
          <w:szCs w:val="21"/>
          <w:lang w:val="zh-CN"/>
        </w:rPr>
        <w:t>二、本次磋商项目的评审方法为</w:t>
      </w:r>
      <w:r>
        <w:rPr>
          <w:rFonts w:hint="eastAsia" w:ascii="宋体" w:hAnsi="宋体" w:eastAsia="宋体" w:cs="宋体"/>
          <w:b/>
          <w:kern w:val="0"/>
          <w:sz w:val="21"/>
          <w:szCs w:val="21"/>
          <w:lang w:val="zh-CN"/>
        </w:rPr>
        <w:t>综合评分法</w:t>
      </w:r>
      <w:r>
        <w:rPr>
          <w:rFonts w:hint="eastAsia" w:ascii="宋体" w:hAnsi="宋体" w:eastAsia="宋体" w:cs="宋体"/>
          <w:bCs/>
          <w:kern w:val="0"/>
          <w:sz w:val="21"/>
          <w:szCs w:val="21"/>
          <w:lang w:val="zh-CN"/>
        </w:rPr>
        <w:t>，总计100分</w:t>
      </w:r>
      <w:r>
        <w:rPr>
          <w:rFonts w:hint="eastAsia" w:ascii="宋体" w:hAnsi="宋体" w:eastAsia="宋体" w:cs="宋体"/>
          <w:bCs/>
          <w:sz w:val="21"/>
          <w:szCs w:val="21"/>
          <w:lang w:val="zh-CN"/>
        </w:rPr>
        <w:t>（商务与技术文件为</w:t>
      </w:r>
      <w:r>
        <w:rPr>
          <w:rFonts w:hint="eastAsia" w:ascii="宋体" w:hAnsi="宋体" w:eastAsia="宋体" w:cs="宋体"/>
          <w:b/>
          <w:sz w:val="21"/>
          <w:szCs w:val="21"/>
          <w:lang w:val="en-US" w:eastAsia="zh-CN"/>
        </w:rPr>
        <w:t>7</w:t>
      </w:r>
      <w:r>
        <w:rPr>
          <w:rFonts w:hint="eastAsia" w:ascii="宋体" w:hAnsi="宋体" w:eastAsia="宋体" w:cs="宋体"/>
          <w:b/>
          <w:sz w:val="21"/>
          <w:szCs w:val="21"/>
        </w:rPr>
        <w:t>0</w:t>
      </w:r>
      <w:r>
        <w:rPr>
          <w:rFonts w:hint="eastAsia" w:ascii="宋体" w:hAnsi="宋体" w:eastAsia="宋体" w:cs="宋体"/>
          <w:bCs/>
          <w:sz w:val="21"/>
          <w:szCs w:val="21"/>
          <w:lang w:val="zh-CN"/>
        </w:rPr>
        <w:t>分，报价文件为</w:t>
      </w:r>
      <w:r>
        <w:rPr>
          <w:rFonts w:hint="eastAsia" w:ascii="宋体" w:hAnsi="宋体" w:eastAsia="宋体" w:cs="宋体"/>
          <w:b/>
          <w:sz w:val="21"/>
          <w:szCs w:val="21"/>
          <w:lang w:val="en-US" w:eastAsia="zh-CN"/>
        </w:rPr>
        <w:t>3</w:t>
      </w:r>
      <w:r>
        <w:rPr>
          <w:rFonts w:hint="eastAsia" w:ascii="宋体" w:hAnsi="宋体" w:eastAsia="宋体" w:cs="宋体"/>
          <w:b/>
          <w:sz w:val="21"/>
          <w:szCs w:val="21"/>
        </w:rPr>
        <w:t>0</w:t>
      </w:r>
      <w:r>
        <w:rPr>
          <w:rFonts w:hint="eastAsia" w:ascii="宋体" w:hAnsi="宋体" w:eastAsia="宋体" w:cs="宋体"/>
          <w:bCs/>
          <w:sz w:val="21"/>
          <w:szCs w:val="21"/>
          <w:lang w:val="zh-CN"/>
        </w:rPr>
        <w:t>分）</w:t>
      </w:r>
      <w:r>
        <w:rPr>
          <w:rFonts w:hint="eastAsia" w:ascii="宋体" w:hAnsi="宋体" w:eastAsia="宋体" w:cs="宋体"/>
          <w:sz w:val="21"/>
          <w:szCs w:val="21"/>
        </w:rPr>
        <w:t>。</w:t>
      </w:r>
    </w:p>
    <w:p w14:paraId="5F28A54E">
      <w:pPr>
        <w:shd w:val="clear" w:color="auto" w:fill="FFFFFF"/>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（一）商务与技术文件中的客观分由磋商小组讨论后统一打分；其余在规定的分值内单独评定打分。</w:t>
      </w:r>
    </w:p>
    <w:p w14:paraId="596406F7">
      <w:pPr>
        <w:shd w:val="clear" w:color="auto" w:fill="FFFFFF"/>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（二）各磋商供应商商务与技术文件得分按照磋商小组成员的独立评分结果汇总后的算术平均分计算，计算公式为：</w:t>
      </w:r>
    </w:p>
    <w:p w14:paraId="7304DED7">
      <w:pPr>
        <w:shd w:val="clear" w:color="auto" w:fill="FFFFFF"/>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商务与技术文件得分=磋商小组所有成员评分合计数/磋商小组组成人员数。</w:t>
      </w:r>
    </w:p>
    <w:p w14:paraId="142B687A">
      <w:pPr>
        <w:shd w:val="clear" w:color="auto" w:fill="FFFFFF"/>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（三）综合评分法中的价格分统一采用低价优先法计算，即满足磋商文件要求且最后报价最低的供应商的价格作为磋商基准价，其报价得满分。其他供应商的价格分统一按照下列公式计算：</w:t>
      </w:r>
    </w:p>
    <w:p w14:paraId="0A7C5E51">
      <w:pPr>
        <w:shd w:val="clear" w:color="auto" w:fill="FFFFFF"/>
        <w:spacing w:line="360" w:lineRule="auto"/>
        <w:ind w:firstLine="420" w:firstLineChars="200"/>
        <w:jc w:val="left"/>
        <w:textAlignment w:val="bottom"/>
        <w:rPr>
          <w:rFonts w:ascii="宋体" w:hAnsi="宋体" w:eastAsia="宋体" w:cs="宋体"/>
          <w:bCs/>
          <w:kern w:val="0"/>
          <w:sz w:val="21"/>
          <w:szCs w:val="21"/>
          <w:u w:val="single"/>
          <w:lang w:val="zh-CN"/>
        </w:rPr>
      </w:pPr>
      <w:r>
        <w:rPr>
          <w:rFonts w:hint="eastAsia" w:ascii="宋体" w:hAnsi="宋体" w:eastAsia="宋体" w:cs="宋体"/>
          <w:bCs/>
          <w:kern w:val="0"/>
          <w:sz w:val="21"/>
          <w:szCs w:val="21"/>
          <w:u w:val="single"/>
          <w:lang w:val="zh-CN"/>
        </w:rPr>
        <w:t>磋商报价得分=(磋商基准价</w:t>
      </w:r>
      <w:r>
        <w:rPr>
          <w:rFonts w:hint="eastAsia" w:ascii="宋体" w:hAnsi="宋体" w:eastAsia="宋体" w:cs="宋体"/>
          <w:bCs/>
          <w:kern w:val="0"/>
          <w:sz w:val="21"/>
          <w:szCs w:val="21"/>
          <w:u w:val="single"/>
        </w:rPr>
        <w:t>/</w:t>
      </w:r>
      <w:r>
        <w:rPr>
          <w:rFonts w:hint="eastAsia" w:ascii="宋体" w:hAnsi="宋体" w:eastAsia="宋体" w:cs="宋体"/>
          <w:bCs/>
          <w:kern w:val="0"/>
          <w:sz w:val="21"/>
          <w:szCs w:val="21"/>
          <w:u w:val="single"/>
          <w:lang w:val="zh-CN"/>
        </w:rPr>
        <w:t>最后磋商报价)×</w:t>
      </w:r>
      <w:r>
        <w:rPr>
          <w:rFonts w:hint="eastAsia" w:ascii="宋体" w:hAnsi="宋体" w:eastAsia="宋体" w:cs="宋体"/>
          <w:bCs/>
          <w:kern w:val="0"/>
          <w:sz w:val="21"/>
          <w:szCs w:val="21"/>
          <w:u w:val="single"/>
          <w:lang w:val="en-US" w:eastAsia="zh-CN"/>
        </w:rPr>
        <w:t>3</w:t>
      </w:r>
      <w:r>
        <w:rPr>
          <w:rFonts w:hint="eastAsia" w:ascii="宋体" w:hAnsi="宋体" w:eastAsia="宋体" w:cs="宋体"/>
          <w:bCs/>
          <w:kern w:val="0"/>
          <w:sz w:val="21"/>
          <w:szCs w:val="21"/>
          <w:u w:val="single"/>
        </w:rPr>
        <w:t>0</w:t>
      </w:r>
      <w:r>
        <w:rPr>
          <w:rFonts w:hint="eastAsia" w:ascii="宋体" w:hAnsi="宋体" w:eastAsia="宋体" w:cs="宋体"/>
          <w:bCs/>
          <w:kern w:val="0"/>
          <w:sz w:val="21"/>
          <w:szCs w:val="21"/>
          <w:u w:val="single"/>
          <w:lang w:val="zh-CN"/>
        </w:rPr>
        <w:t>%×100 。</w:t>
      </w:r>
    </w:p>
    <w:p w14:paraId="6B243082">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bCs/>
          <w:kern w:val="0"/>
          <w:sz w:val="21"/>
          <w:szCs w:val="21"/>
          <w:lang w:val="zh-CN"/>
        </w:rPr>
        <w:t>注：</w:t>
      </w:r>
      <w:r>
        <w:rPr>
          <w:rFonts w:hint="eastAsia" w:cs="宋体" w:asciiTheme="minorEastAsia" w:hAnsiTheme="minorEastAsia" w:eastAsiaTheme="minorEastAsia"/>
          <w:b/>
          <w:bCs/>
          <w:sz w:val="21"/>
          <w:szCs w:val="21"/>
          <w:u w:val="single"/>
          <w:lang w:val="zh-CN"/>
        </w:rPr>
        <w:t>对于投标报价明显低于成本价，且</w:t>
      </w:r>
      <w:r>
        <w:rPr>
          <w:rFonts w:hint="eastAsia" w:cs="宋体" w:asciiTheme="minorEastAsia" w:hAnsiTheme="minorEastAsia" w:eastAsiaTheme="minorEastAsia"/>
          <w:b/>
          <w:bCs/>
          <w:sz w:val="21"/>
          <w:szCs w:val="21"/>
          <w:u w:val="single"/>
        </w:rPr>
        <w:t>投标人不能合理说明原因并提供证明材料的</w:t>
      </w:r>
      <w:r>
        <w:rPr>
          <w:rFonts w:hint="eastAsia" w:cs="宋体" w:asciiTheme="minorEastAsia" w:hAnsiTheme="minorEastAsia" w:eastAsiaTheme="minorEastAsia"/>
          <w:b/>
          <w:bCs/>
          <w:sz w:val="21"/>
          <w:szCs w:val="21"/>
          <w:u w:val="single"/>
          <w:lang w:val="zh-CN"/>
        </w:rPr>
        <w:t>，</w:t>
      </w:r>
      <w:r>
        <w:rPr>
          <w:rFonts w:hint="eastAsia" w:cs="宋体" w:asciiTheme="minorEastAsia" w:hAnsiTheme="minorEastAsia" w:eastAsiaTheme="minorEastAsia"/>
          <w:b/>
          <w:bCs/>
          <w:sz w:val="21"/>
          <w:szCs w:val="21"/>
          <w:u w:val="single"/>
        </w:rPr>
        <w:t>评标</w:t>
      </w:r>
      <w:r>
        <w:rPr>
          <w:rFonts w:hint="eastAsia" w:cs="宋体" w:asciiTheme="minorEastAsia" w:hAnsiTheme="minorEastAsia" w:eastAsiaTheme="minorEastAsia"/>
          <w:b/>
          <w:bCs/>
          <w:sz w:val="21"/>
          <w:szCs w:val="21"/>
          <w:u w:val="single"/>
          <w:lang w:val="zh-CN"/>
        </w:rPr>
        <w:t>小组认为其有可能影响商品质量和不能诚信履约的</w:t>
      </w:r>
      <w:r>
        <w:rPr>
          <w:rFonts w:hint="eastAsia" w:cs="宋体" w:asciiTheme="minorEastAsia" w:hAnsiTheme="minorEastAsia" w:eastAsiaTheme="minorEastAsia"/>
          <w:b/>
          <w:bCs/>
          <w:sz w:val="21"/>
          <w:szCs w:val="21"/>
          <w:u w:val="single"/>
        </w:rPr>
        <w:t>作</w:t>
      </w:r>
      <w:r>
        <w:rPr>
          <w:rFonts w:hint="eastAsia" w:cs="宋体" w:asciiTheme="minorEastAsia" w:hAnsiTheme="minorEastAsia" w:eastAsiaTheme="minorEastAsia"/>
          <w:b/>
          <w:bCs/>
          <w:sz w:val="21"/>
          <w:szCs w:val="21"/>
          <w:u w:val="single"/>
          <w:lang w:val="zh-CN"/>
        </w:rPr>
        <w:t>无效标处理。</w:t>
      </w:r>
    </w:p>
    <w:p w14:paraId="1ED29068">
      <w:pPr>
        <w:spacing w:line="360" w:lineRule="auto"/>
        <w:ind w:firstLine="400" w:firstLineChars="200"/>
        <w:rPr>
          <w:rFonts w:cs="宋体" w:asciiTheme="minorEastAsia" w:hAnsiTheme="minorEastAsia" w:eastAsiaTheme="minorEastAsia"/>
          <w:b/>
          <w:bCs/>
          <w:sz w:val="22"/>
          <w:szCs w:val="22"/>
          <w:lang w:val="zh-CN"/>
        </w:rPr>
      </w:pPr>
      <w:r>
        <w:rPr>
          <w:rFonts w:hint="eastAsia" w:cs="宋体" w:asciiTheme="minorEastAsia" w:hAnsiTheme="minorEastAsia" w:eastAsiaTheme="minorEastAsia"/>
          <w:sz w:val="20"/>
          <w:szCs w:val="20"/>
          <w:lang w:val="zh-CN"/>
        </w:rPr>
        <w:t>（四）</w:t>
      </w:r>
      <w:r>
        <w:rPr>
          <w:rFonts w:hint="eastAsia" w:cs="宋体" w:asciiTheme="minorEastAsia" w:hAnsiTheme="minorEastAsia" w:eastAsiaTheme="minorEastAsia"/>
          <w:sz w:val="22"/>
          <w:szCs w:val="22"/>
          <w:lang w:val="zh-CN"/>
        </w:rPr>
        <w:t>政府采购政策及优惠：</w:t>
      </w:r>
      <w:r>
        <w:rPr>
          <w:rFonts w:hint="eastAsia" w:cs="宋体" w:asciiTheme="minorEastAsia" w:hAnsiTheme="minorEastAsia" w:eastAsiaTheme="minorEastAsia"/>
          <w:b/>
          <w:bCs/>
          <w:sz w:val="22"/>
          <w:szCs w:val="22"/>
          <w:lang w:val="zh-CN"/>
        </w:rPr>
        <w:t>本项目专门面向中小企业采购，价格评审时，小微企业的投标价格不作扣除。</w:t>
      </w:r>
    </w:p>
    <w:p w14:paraId="79D0468B">
      <w:pPr>
        <w:snapToGrid w:val="0"/>
        <w:spacing w:line="360" w:lineRule="auto"/>
        <w:ind w:firstLine="420"/>
        <w:rPr>
          <w:lang w:val="zh-CN"/>
        </w:rPr>
      </w:pPr>
      <w:r>
        <w:rPr>
          <w:rFonts w:hint="eastAsia" w:ascii="宋体" w:hAnsi="宋体" w:eastAsia="宋体" w:cs="宋体"/>
          <w:sz w:val="21"/>
          <w:szCs w:val="21"/>
        </w:rPr>
        <w:t>注：得分以系统计算为准，保留2位小数。</w:t>
      </w:r>
    </w:p>
    <w:p w14:paraId="4BF08493">
      <w:pPr>
        <w:shd w:val="clear" w:color="auto" w:fill="FFFFFF"/>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三、在最大限度地满足磋商文件实质性要求前提下，磋商小组按照磋商文件中规定的各项因素进行综合评审后，以评审总得分最高的供应商为成交候选供应商。</w:t>
      </w:r>
    </w:p>
    <w:p w14:paraId="01E8C94E">
      <w:pPr>
        <w:shd w:val="clear" w:color="auto" w:fill="FFFFFF"/>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四、如综合得分相同，最后报价低者为先；如综合得分且最后报价相同的，货物类采购项目以技术性能得分较高者为先，服务类采购项目以实力信誉及业绩得分较高者为先。</w:t>
      </w:r>
    </w:p>
    <w:p w14:paraId="0D32143F">
      <w:pPr>
        <w:shd w:val="clear" w:color="auto" w:fill="FFFFFF"/>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五、提供相同品牌产品的不同供应商参加同一合同项下磋商的，按一家供应商认定：</w:t>
      </w:r>
    </w:p>
    <w:p w14:paraId="57160D1A">
      <w:pPr>
        <w:shd w:val="clear" w:color="auto" w:fill="FFFFFF"/>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（1）采用最低评标价法的采购项目，以其中通过资格审查、符合性审查且报价最低的参加评标；报价相同的，由磋商小组集体确定一个供应商参加磋商，其他供应商不再参加。</w:t>
      </w:r>
    </w:p>
    <w:p w14:paraId="313BD77A">
      <w:pPr>
        <w:shd w:val="clear" w:color="auto" w:fill="FFFFFF"/>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（2）使用综合评分法的采购项目，评审后得分最高的同品牌供应商获得成交推荐资格；评审得分相同的，由磋商小组集体推荐一个供应商作为成交候选人，其他同品牌供应商不作为成交候选人。</w:t>
      </w:r>
    </w:p>
    <w:p w14:paraId="7BE9529E">
      <w:pPr>
        <w:shd w:val="clear" w:color="auto" w:fill="FFFFFF"/>
        <w:spacing w:line="360" w:lineRule="auto"/>
        <w:ind w:firstLine="422" w:firstLineChars="200"/>
        <w:jc w:val="left"/>
        <w:textAlignment w:val="bottom"/>
        <w:rPr>
          <w:rFonts w:ascii="宋体" w:hAnsi="宋体" w:eastAsia="宋体" w:cs="宋体"/>
          <w:b/>
          <w:kern w:val="0"/>
          <w:sz w:val="21"/>
          <w:szCs w:val="21"/>
          <w:lang w:val="zh-CN"/>
        </w:rPr>
      </w:pPr>
    </w:p>
    <w:p w14:paraId="440AE5EF">
      <w:pPr>
        <w:rPr>
          <w:rFonts w:ascii="宋体" w:hAnsi="宋体" w:eastAsia="宋体" w:cs="宋体"/>
          <w:b/>
          <w:kern w:val="0"/>
          <w:sz w:val="21"/>
          <w:szCs w:val="21"/>
          <w:lang w:val="zh-CN"/>
        </w:rPr>
      </w:pPr>
      <w:r>
        <w:rPr>
          <w:rFonts w:hint="eastAsia" w:ascii="宋体" w:hAnsi="宋体" w:eastAsia="宋体" w:cs="宋体"/>
          <w:b/>
          <w:kern w:val="0"/>
          <w:sz w:val="21"/>
          <w:szCs w:val="21"/>
          <w:lang w:val="zh-CN"/>
        </w:rPr>
        <w:br w:type="page"/>
      </w:r>
    </w:p>
    <w:p w14:paraId="5202F5AB">
      <w:pPr>
        <w:shd w:val="clear" w:color="auto" w:fill="FFFFFF"/>
        <w:spacing w:line="360" w:lineRule="auto"/>
        <w:ind w:firstLine="422" w:firstLineChars="200"/>
        <w:jc w:val="left"/>
        <w:textAlignment w:val="bottom"/>
        <w:rPr>
          <w:rFonts w:ascii="宋体" w:hAnsi="宋体" w:eastAsia="宋体" w:cs="宋体"/>
          <w:b/>
          <w:kern w:val="0"/>
          <w:sz w:val="21"/>
          <w:szCs w:val="21"/>
          <w:lang w:val="zh-CN"/>
        </w:rPr>
      </w:pPr>
      <w:r>
        <w:rPr>
          <w:rFonts w:hint="eastAsia" w:ascii="宋体" w:hAnsi="宋体" w:eastAsia="宋体" w:cs="宋体"/>
          <w:b/>
          <w:kern w:val="0"/>
          <w:sz w:val="21"/>
          <w:szCs w:val="21"/>
          <w:lang w:val="zh-CN"/>
        </w:rPr>
        <w:t>六、本次评分具体分值细化条款如下表：</w:t>
      </w:r>
    </w:p>
    <w:tbl>
      <w:tblPr>
        <w:tblStyle w:val="29"/>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116"/>
        <w:gridCol w:w="4678"/>
        <w:gridCol w:w="1928"/>
        <w:gridCol w:w="737"/>
      </w:tblGrid>
      <w:tr w14:paraId="43BF8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50" w:type="dxa"/>
            <w:vAlign w:val="center"/>
          </w:tcPr>
          <w:p w14:paraId="3E01B512">
            <w:pPr>
              <w:adjustRightInd w:val="0"/>
              <w:snapToGrid w:val="0"/>
              <w:spacing w:line="312"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序号</w:t>
            </w:r>
          </w:p>
        </w:tc>
        <w:tc>
          <w:tcPr>
            <w:tcW w:w="7722" w:type="dxa"/>
            <w:gridSpan w:val="3"/>
            <w:vAlign w:val="center"/>
          </w:tcPr>
          <w:p w14:paraId="628C5B9D">
            <w:pPr>
              <w:adjustRightInd w:val="0"/>
              <w:snapToGrid w:val="0"/>
              <w:spacing w:line="312"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评分项目</w:t>
            </w:r>
          </w:p>
        </w:tc>
        <w:tc>
          <w:tcPr>
            <w:tcW w:w="737" w:type="dxa"/>
            <w:vAlign w:val="center"/>
          </w:tcPr>
          <w:p w14:paraId="3DA37B57">
            <w:pPr>
              <w:adjustRightInd w:val="0"/>
              <w:snapToGrid w:val="0"/>
              <w:spacing w:line="312"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分值</w:t>
            </w:r>
          </w:p>
        </w:tc>
      </w:tr>
      <w:tr w14:paraId="6D33B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jc w:val="center"/>
        </w:trPr>
        <w:tc>
          <w:tcPr>
            <w:tcW w:w="750" w:type="dxa"/>
            <w:vMerge w:val="restart"/>
            <w:vAlign w:val="center"/>
          </w:tcPr>
          <w:p w14:paraId="24F50D06">
            <w:pPr>
              <w:adjustRightInd w:val="0"/>
              <w:snapToGrid w:val="0"/>
              <w:spacing w:line="312" w:lineRule="auto"/>
              <w:ind w:firstLine="30"/>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技术商务分70分</w:t>
            </w:r>
          </w:p>
        </w:tc>
        <w:tc>
          <w:tcPr>
            <w:tcW w:w="1116" w:type="dxa"/>
            <w:vAlign w:val="center"/>
          </w:tcPr>
          <w:p w14:paraId="680159FF">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体系</w:t>
            </w:r>
          </w:p>
          <w:p w14:paraId="16E67C08">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认证</w:t>
            </w:r>
          </w:p>
          <w:p w14:paraId="23310411">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情况</w:t>
            </w:r>
          </w:p>
          <w:p w14:paraId="2A75CCC1">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(3分）</w:t>
            </w:r>
          </w:p>
        </w:tc>
        <w:tc>
          <w:tcPr>
            <w:tcW w:w="6606" w:type="dxa"/>
            <w:gridSpan w:val="2"/>
            <w:vAlign w:val="center"/>
          </w:tcPr>
          <w:p w14:paraId="043CD405">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1、响应供应商通过质量管理体系认证且有效的得1分；</w:t>
            </w:r>
          </w:p>
          <w:p w14:paraId="2C9E775E">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2、响应供应商通过职业健康安全管理体系认证且有效的得1分；</w:t>
            </w:r>
          </w:p>
          <w:p w14:paraId="565629CA">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3、响应供应商通过环境管理体系认证且有效的得1分；</w:t>
            </w:r>
          </w:p>
          <w:p w14:paraId="428DFFA7">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w:t>
            </w:r>
            <w:r>
              <w:rPr>
                <w:rFonts w:hint="eastAsia" w:asciiTheme="minorEastAsia" w:hAnsiTheme="minorEastAsia" w:eastAsiaTheme="minorEastAsia"/>
                <w:b/>
                <w:sz w:val="21"/>
                <w:szCs w:val="21"/>
              </w:rPr>
              <w:t>须提供有效期内证书原件扫描件以及在国家认证认可监督管理委员会官方网站（http://www.cnca.gov.cn/）查询的认证结果截图扫描件，未提供或缺项不得分</w:t>
            </w:r>
            <w:r>
              <w:rPr>
                <w:rFonts w:hint="eastAsia" w:asciiTheme="minorEastAsia" w:hAnsiTheme="minorEastAsia" w:eastAsiaTheme="minorEastAsia"/>
                <w:sz w:val="21"/>
                <w:szCs w:val="21"/>
              </w:rPr>
              <w:t>）</w:t>
            </w:r>
          </w:p>
        </w:tc>
        <w:tc>
          <w:tcPr>
            <w:tcW w:w="737" w:type="dxa"/>
            <w:vAlign w:val="center"/>
          </w:tcPr>
          <w:p w14:paraId="5C957844">
            <w:pPr>
              <w:adjustRightInd w:val="0"/>
              <w:snapToGrid w:val="0"/>
              <w:spacing w:line="312" w:lineRule="auto"/>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0-3</w:t>
            </w:r>
          </w:p>
        </w:tc>
      </w:tr>
      <w:tr w14:paraId="1C9AB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50" w:type="dxa"/>
            <w:vMerge w:val="continue"/>
            <w:vAlign w:val="center"/>
          </w:tcPr>
          <w:p w14:paraId="740BBC58">
            <w:pPr>
              <w:adjustRightInd w:val="0"/>
              <w:snapToGrid w:val="0"/>
              <w:spacing w:line="312" w:lineRule="auto"/>
              <w:ind w:firstLine="30"/>
              <w:rPr>
                <w:rFonts w:hint="eastAsia" w:asciiTheme="minorEastAsia" w:hAnsiTheme="minorEastAsia" w:eastAsiaTheme="minorEastAsia"/>
                <w:b/>
                <w:sz w:val="21"/>
                <w:szCs w:val="21"/>
              </w:rPr>
            </w:pPr>
          </w:p>
        </w:tc>
        <w:tc>
          <w:tcPr>
            <w:tcW w:w="1116" w:type="dxa"/>
            <w:vAlign w:val="center"/>
          </w:tcPr>
          <w:p w14:paraId="01455ECE">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类似</w:t>
            </w:r>
          </w:p>
          <w:p w14:paraId="5D52A86D">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业绩</w:t>
            </w:r>
          </w:p>
          <w:p w14:paraId="47144227">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（1.5分）</w:t>
            </w:r>
          </w:p>
        </w:tc>
        <w:tc>
          <w:tcPr>
            <w:tcW w:w="6606" w:type="dxa"/>
            <w:gridSpan w:val="2"/>
            <w:vAlign w:val="center"/>
          </w:tcPr>
          <w:p w14:paraId="6F3AAE54">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响应供应商自2022年1月1日（含）（以合同签订日期为准）承接过类似项目的，每提供一个项目业绩得0.5分，最高得1.5分。</w:t>
            </w:r>
          </w:p>
          <w:p w14:paraId="393EB664">
            <w:pPr>
              <w:adjustRightInd w:val="0"/>
              <w:snapToGrid w:val="0"/>
              <w:spacing w:line="312" w:lineRule="auto"/>
              <w:ind w:firstLine="30"/>
              <w:jc w:val="left"/>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（须同时提供合同及竣工验收资料扫描件并加盖公章。未提供或缺项不得分）</w:t>
            </w:r>
          </w:p>
        </w:tc>
        <w:tc>
          <w:tcPr>
            <w:tcW w:w="737" w:type="dxa"/>
            <w:vAlign w:val="center"/>
          </w:tcPr>
          <w:p w14:paraId="35E7E721">
            <w:pPr>
              <w:adjustRightInd w:val="0"/>
              <w:snapToGrid w:val="0"/>
              <w:spacing w:line="312" w:lineRule="auto"/>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0-1.5</w:t>
            </w:r>
          </w:p>
        </w:tc>
      </w:tr>
      <w:tr w14:paraId="2D564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750" w:type="dxa"/>
            <w:vMerge w:val="continue"/>
            <w:vAlign w:val="center"/>
          </w:tcPr>
          <w:p w14:paraId="777008A8">
            <w:pPr>
              <w:adjustRightInd w:val="0"/>
              <w:snapToGrid w:val="0"/>
              <w:spacing w:line="312" w:lineRule="auto"/>
              <w:ind w:firstLine="30"/>
              <w:rPr>
                <w:rFonts w:hint="eastAsia" w:asciiTheme="minorEastAsia" w:hAnsiTheme="minorEastAsia" w:eastAsiaTheme="minorEastAsia"/>
                <w:b/>
                <w:sz w:val="21"/>
                <w:szCs w:val="21"/>
              </w:rPr>
            </w:pPr>
          </w:p>
        </w:tc>
        <w:tc>
          <w:tcPr>
            <w:tcW w:w="1116" w:type="dxa"/>
            <w:vMerge w:val="restart"/>
            <w:vAlign w:val="center"/>
          </w:tcPr>
          <w:p w14:paraId="20091529">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项目团队</w:t>
            </w:r>
          </w:p>
          <w:p w14:paraId="177D90C0">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（7分）</w:t>
            </w:r>
          </w:p>
          <w:p w14:paraId="4726DAD5">
            <w:pPr>
              <w:adjustRightInd w:val="0"/>
              <w:snapToGrid w:val="0"/>
              <w:spacing w:line="312" w:lineRule="auto"/>
              <w:ind w:firstLine="30"/>
              <w:jc w:val="center"/>
              <w:rPr>
                <w:rFonts w:hint="eastAsia" w:asciiTheme="minorEastAsia" w:hAnsiTheme="minorEastAsia" w:eastAsiaTheme="minorEastAsia"/>
                <w:b/>
                <w:sz w:val="21"/>
                <w:szCs w:val="21"/>
              </w:rPr>
            </w:pPr>
          </w:p>
        </w:tc>
        <w:tc>
          <w:tcPr>
            <w:tcW w:w="4678" w:type="dxa"/>
            <w:vAlign w:val="center"/>
          </w:tcPr>
          <w:p w14:paraId="38A6095A">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1、项目负责人具有人社部颁发的</w:t>
            </w:r>
            <w:r>
              <w:rPr>
                <w:rFonts w:hint="eastAsia" w:asciiTheme="minorEastAsia" w:hAnsiTheme="minorEastAsia" w:eastAsiaTheme="minorEastAsia"/>
                <w:sz w:val="21"/>
                <w:szCs w:val="21"/>
                <w:lang w:val="en-US" w:eastAsia="zh-CN"/>
              </w:rPr>
              <w:t>市政</w:t>
            </w:r>
            <w:r>
              <w:rPr>
                <w:rFonts w:hint="eastAsia" w:asciiTheme="minorEastAsia" w:hAnsiTheme="minorEastAsia" w:eastAsiaTheme="minorEastAsia"/>
                <w:sz w:val="21"/>
                <w:szCs w:val="21"/>
              </w:rPr>
              <w:t>相关</w:t>
            </w:r>
            <w:r>
              <w:rPr>
                <w:rFonts w:hint="eastAsia" w:asciiTheme="minorEastAsia" w:hAnsiTheme="minorEastAsia" w:eastAsiaTheme="minorEastAsia"/>
                <w:sz w:val="21"/>
                <w:szCs w:val="21"/>
                <w:lang w:val="en-US" w:eastAsia="zh-CN"/>
              </w:rPr>
              <w:t>专业</w:t>
            </w:r>
            <w:r>
              <w:rPr>
                <w:rFonts w:hint="eastAsia" w:asciiTheme="minorEastAsia" w:hAnsiTheme="minorEastAsia" w:eastAsiaTheme="minorEastAsia"/>
                <w:sz w:val="21"/>
                <w:szCs w:val="21"/>
              </w:rPr>
              <w:t>（中级）及以上工程师职称证书的，得1分。</w:t>
            </w:r>
          </w:p>
          <w:p w14:paraId="54C191B8">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2、承诺拟派项目负责人到位率≥85%得1分，到位率小于85%不得分，提供项目经理到位率承诺书，否则不得分。</w:t>
            </w:r>
          </w:p>
        </w:tc>
        <w:tc>
          <w:tcPr>
            <w:tcW w:w="1928" w:type="dxa"/>
            <w:vMerge w:val="restart"/>
            <w:vAlign w:val="center"/>
          </w:tcPr>
          <w:p w14:paraId="21001963">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w:t>
            </w:r>
            <w:r>
              <w:rPr>
                <w:rFonts w:hint="eastAsia" w:asciiTheme="minorEastAsia" w:hAnsiTheme="minorEastAsia" w:eastAsiaTheme="minorEastAsia"/>
                <w:b/>
                <w:sz w:val="21"/>
                <w:szCs w:val="21"/>
              </w:rPr>
              <w:t>须提供有效证书及投保人为其缴纳的近3个月社保的证明（须为加盖社保部门印章的证明文件）原件扫描件，无社保的退休人员（但不得超过65周岁）须提供与响应供应商签订的劳动合同原件扫描件，未提供或缺项不得分。</w:t>
            </w:r>
            <w:r>
              <w:rPr>
                <w:rFonts w:hint="eastAsia" w:asciiTheme="minorEastAsia" w:hAnsiTheme="minorEastAsia" w:eastAsiaTheme="minorEastAsia"/>
                <w:sz w:val="21"/>
                <w:szCs w:val="21"/>
              </w:rPr>
              <w:t>）</w:t>
            </w:r>
          </w:p>
        </w:tc>
        <w:tc>
          <w:tcPr>
            <w:tcW w:w="737" w:type="dxa"/>
            <w:vAlign w:val="center"/>
          </w:tcPr>
          <w:p w14:paraId="1BDAA0C4">
            <w:pPr>
              <w:adjustRightInd w:val="0"/>
              <w:snapToGrid w:val="0"/>
              <w:spacing w:line="312" w:lineRule="auto"/>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0-2</w:t>
            </w:r>
          </w:p>
        </w:tc>
      </w:tr>
      <w:tr w14:paraId="5EB6D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50" w:type="dxa"/>
            <w:vMerge w:val="continue"/>
            <w:vAlign w:val="center"/>
          </w:tcPr>
          <w:p w14:paraId="614A3335">
            <w:pPr>
              <w:adjustRightInd w:val="0"/>
              <w:snapToGrid w:val="0"/>
              <w:spacing w:line="312" w:lineRule="auto"/>
              <w:ind w:firstLine="30"/>
              <w:rPr>
                <w:rFonts w:hint="eastAsia" w:asciiTheme="minorEastAsia" w:hAnsiTheme="minorEastAsia" w:eastAsiaTheme="minorEastAsia"/>
                <w:b/>
                <w:sz w:val="21"/>
                <w:szCs w:val="21"/>
              </w:rPr>
            </w:pPr>
          </w:p>
        </w:tc>
        <w:tc>
          <w:tcPr>
            <w:tcW w:w="1116" w:type="dxa"/>
            <w:vMerge w:val="continue"/>
            <w:vAlign w:val="center"/>
          </w:tcPr>
          <w:p w14:paraId="769B5217">
            <w:pPr>
              <w:adjustRightInd w:val="0"/>
              <w:snapToGrid w:val="0"/>
              <w:spacing w:line="312" w:lineRule="auto"/>
              <w:ind w:firstLine="30"/>
              <w:jc w:val="center"/>
              <w:rPr>
                <w:rFonts w:hint="eastAsia" w:asciiTheme="minorEastAsia" w:hAnsiTheme="minorEastAsia" w:eastAsiaTheme="minorEastAsia"/>
                <w:b/>
                <w:sz w:val="21"/>
                <w:szCs w:val="21"/>
              </w:rPr>
            </w:pPr>
          </w:p>
        </w:tc>
        <w:tc>
          <w:tcPr>
            <w:tcW w:w="4678" w:type="dxa"/>
            <w:vAlign w:val="center"/>
          </w:tcPr>
          <w:p w14:paraId="3FA93464">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技术负责人具有二级及以上市政工程专业注册建造师证书的，得1分。</w:t>
            </w:r>
          </w:p>
        </w:tc>
        <w:tc>
          <w:tcPr>
            <w:tcW w:w="1928" w:type="dxa"/>
            <w:vMerge w:val="continue"/>
            <w:vAlign w:val="center"/>
          </w:tcPr>
          <w:p w14:paraId="594BB9DE">
            <w:pPr>
              <w:adjustRightInd w:val="0"/>
              <w:snapToGrid w:val="0"/>
              <w:spacing w:line="312" w:lineRule="auto"/>
              <w:jc w:val="left"/>
              <w:rPr>
                <w:rFonts w:hint="eastAsia" w:asciiTheme="minorEastAsia" w:hAnsiTheme="minorEastAsia" w:eastAsiaTheme="minorEastAsia"/>
                <w:sz w:val="21"/>
                <w:szCs w:val="21"/>
              </w:rPr>
            </w:pPr>
          </w:p>
        </w:tc>
        <w:tc>
          <w:tcPr>
            <w:tcW w:w="737" w:type="dxa"/>
            <w:vAlign w:val="center"/>
          </w:tcPr>
          <w:p w14:paraId="492655CF">
            <w:pPr>
              <w:adjustRightInd w:val="0"/>
              <w:snapToGrid w:val="0"/>
              <w:spacing w:line="312" w:lineRule="auto"/>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0-1</w:t>
            </w:r>
          </w:p>
        </w:tc>
      </w:tr>
      <w:tr w14:paraId="74F81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jc w:val="center"/>
        </w:trPr>
        <w:tc>
          <w:tcPr>
            <w:tcW w:w="750" w:type="dxa"/>
            <w:vMerge w:val="continue"/>
            <w:vAlign w:val="center"/>
          </w:tcPr>
          <w:p w14:paraId="265935A1">
            <w:pPr>
              <w:adjustRightInd w:val="0"/>
              <w:snapToGrid w:val="0"/>
              <w:spacing w:line="312" w:lineRule="auto"/>
              <w:ind w:firstLine="30"/>
              <w:rPr>
                <w:rFonts w:hint="eastAsia" w:asciiTheme="minorEastAsia" w:hAnsiTheme="minorEastAsia" w:eastAsiaTheme="minorEastAsia"/>
                <w:b/>
                <w:sz w:val="21"/>
                <w:szCs w:val="21"/>
              </w:rPr>
            </w:pPr>
          </w:p>
        </w:tc>
        <w:tc>
          <w:tcPr>
            <w:tcW w:w="1116" w:type="dxa"/>
            <w:vMerge w:val="continue"/>
            <w:vAlign w:val="center"/>
          </w:tcPr>
          <w:p w14:paraId="476B3B54">
            <w:pPr>
              <w:adjustRightInd w:val="0"/>
              <w:snapToGrid w:val="0"/>
              <w:spacing w:line="312" w:lineRule="auto"/>
              <w:ind w:firstLine="30"/>
              <w:jc w:val="center"/>
              <w:rPr>
                <w:rFonts w:hint="eastAsia" w:asciiTheme="minorEastAsia" w:hAnsiTheme="minorEastAsia" w:eastAsiaTheme="minorEastAsia"/>
                <w:b/>
                <w:sz w:val="21"/>
                <w:szCs w:val="21"/>
              </w:rPr>
            </w:pPr>
          </w:p>
        </w:tc>
        <w:tc>
          <w:tcPr>
            <w:tcW w:w="4678" w:type="dxa"/>
            <w:vAlign w:val="center"/>
          </w:tcPr>
          <w:p w14:paraId="77CFD72F">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项目组成员：</w:t>
            </w:r>
          </w:p>
          <w:p w14:paraId="7B7F25D3">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1、（除项目负责人、技术负责人外）具有二级及以上注册建造师证书或造价师证书的每提供1人得1分。</w:t>
            </w:r>
          </w:p>
          <w:p w14:paraId="57DB0451">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2、具有人社部颁发的工程师及以上职称证书的，每提供1人得1分；助理工程师职称证书的，每提供1人得0.5分。</w:t>
            </w:r>
          </w:p>
          <w:p w14:paraId="08416A3A">
            <w:pPr>
              <w:adjustRightInd w:val="0"/>
              <w:snapToGrid w:val="0"/>
              <w:spacing w:line="312" w:lineRule="auto"/>
              <w:jc w:val="left"/>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（注：本项最高得4分，同一人按最高得分项计分，不重复计分。）</w:t>
            </w:r>
          </w:p>
        </w:tc>
        <w:tc>
          <w:tcPr>
            <w:tcW w:w="1928" w:type="dxa"/>
            <w:vMerge w:val="continue"/>
            <w:vAlign w:val="center"/>
          </w:tcPr>
          <w:p w14:paraId="5094DB88">
            <w:pPr>
              <w:adjustRightInd w:val="0"/>
              <w:snapToGrid w:val="0"/>
              <w:spacing w:line="312" w:lineRule="auto"/>
              <w:jc w:val="left"/>
              <w:rPr>
                <w:rFonts w:hint="eastAsia" w:asciiTheme="minorEastAsia" w:hAnsiTheme="minorEastAsia" w:eastAsiaTheme="minorEastAsia"/>
                <w:sz w:val="21"/>
                <w:szCs w:val="21"/>
              </w:rPr>
            </w:pPr>
          </w:p>
        </w:tc>
        <w:tc>
          <w:tcPr>
            <w:tcW w:w="737" w:type="dxa"/>
            <w:vAlign w:val="center"/>
          </w:tcPr>
          <w:p w14:paraId="79B6CD8A">
            <w:pPr>
              <w:adjustRightInd w:val="0"/>
              <w:snapToGrid w:val="0"/>
              <w:spacing w:line="312" w:lineRule="auto"/>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0-4</w:t>
            </w:r>
          </w:p>
        </w:tc>
      </w:tr>
      <w:tr w14:paraId="3961C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8" w:hRule="atLeast"/>
          <w:jc w:val="center"/>
        </w:trPr>
        <w:tc>
          <w:tcPr>
            <w:tcW w:w="750" w:type="dxa"/>
            <w:vMerge w:val="continue"/>
            <w:vAlign w:val="center"/>
          </w:tcPr>
          <w:p w14:paraId="6DC50EAD">
            <w:pPr>
              <w:adjustRightInd w:val="0"/>
              <w:snapToGrid w:val="0"/>
              <w:spacing w:line="312" w:lineRule="auto"/>
              <w:ind w:firstLine="30"/>
              <w:rPr>
                <w:rFonts w:hint="eastAsia" w:asciiTheme="minorEastAsia" w:hAnsiTheme="minorEastAsia" w:eastAsiaTheme="minorEastAsia"/>
                <w:b/>
                <w:sz w:val="21"/>
                <w:szCs w:val="21"/>
              </w:rPr>
            </w:pPr>
          </w:p>
        </w:tc>
        <w:tc>
          <w:tcPr>
            <w:tcW w:w="1116" w:type="dxa"/>
            <w:vAlign w:val="center"/>
          </w:tcPr>
          <w:p w14:paraId="3BD0EF92">
            <w:pPr>
              <w:adjustRightInd w:val="0"/>
              <w:snapToGrid w:val="0"/>
              <w:spacing w:line="312" w:lineRule="auto"/>
              <w:ind w:firstLine="30"/>
              <w:jc w:val="center"/>
              <w:rPr>
                <w:rFonts w:ascii="宋体" w:hAnsi="宋体"/>
                <w:b/>
                <w:sz w:val="21"/>
                <w:szCs w:val="21"/>
              </w:rPr>
            </w:pPr>
            <w:r>
              <w:rPr>
                <w:rFonts w:hint="eastAsia" w:ascii="宋体" w:hAnsi="宋体"/>
                <w:b/>
                <w:sz w:val="21"/>
                <w:szCs w:val="21"/>
              </w:rPr>
              <w:t>管理</w:t>
            </w:r>
          </w:p>
          <w:p w14:paraId="59837D18">
            <w:pPr>
              <w:adjustRightInd w:val="0"/>
              <w:snapToGrid w:val="0"/>
              <w:spacing w:line="312" w:lineRule="auto"/>
              <w:ind w:firstLine="30"/>
              <w:jc w:val="center"/>
              <w:rPr>
                <w:rFonts w:ascii="宋体" w:hAnsi="宋体"/>
                <w:b/>
                <w:sz w:val="21"/>
                <w:szCs w:val="21"/>
              </w:rPr>
            </w:pPr>
            <w:r>
              <w:rPr>
                <w:rFonts w:hint="eastAsia" w:ascii="宋体" w:hAnsi="宋体"/>
                <w:b/>
                <w:sz w:val="21"/>
                <w:szCs w:val="21"/>
              </w:rPr>
              <w:t>人员</w:t>
            </w:r>
          </w:p>
          <w:p w14:paraId="2462DF62">
            <w:pPr>
              <w:adjustRightInd w:val="0"/>
              <w:snapToGrid w:val="0"/>
              <w:spacing w:line="312" w:lineRule="auto"/>
              <w:ind w:firstLine="30"/>
              <w:jc w:val="center"/>
              <w:rPr>
                <w:rFonts w:ascii="宋体" w:hAnsi="宋体"/>
                <w:b/>
                <w:sz w:val="21"/>
                <w:szCs w:val="21"/>
              </w:rPr>
            </w:pPr>
            <w:r>
              <w:rPr>
                <w:rFonts w:hint="eastAsia" w:ascii="宋体" w:hAnsi="宋体"/>
                <w:b/>
                <w:sz w:val="21"/>
                <w:szCs w:val="21"/>
              </w:rPr>
              <w:t>配置</w:t>
            </w:r>
          </w:p>
          <w:p w14:paraId="00206808">
            <w:pPr>
              <w:adjustRightInd w:val="0"/>
              <w:snapToGrid w:val="0"/>
              <w:spacing w:line="312" w:lineRule="auto"/>
              <w:ind w:firstLine="30"/>
              <w:jc w:val="center"/>
              <w:rPr>
                <w:rFonts w:ascii="宋体" w:hAnsi="宋体"/>
                <w:b/>
                <w:sz w:val="21"/>
                <w:szCs w:val="21"/>
              </w:rPr>
            </w:pPr>
            <w:r>
              <w:rPr>
                <w:rFonts w:hint="eastAsia" w:ascii="宋体" w:hAnsi="宋体"/>
                <w:b/>
                <w:sz w:val="21"/>
                <w:szCs w:val="21"/>
              </w:rPr>
              <w:t>（5分）</w:t>
            </w:r>
          </w:p>
        </w:tc>
        <w:tc>
          <w:tcPr>
            <w:tcW w:w="6606" w:type="dxa"/>
            <w:gridSpan w:val="2"/>
            <w:vAlign w:val="center"/>
          </w:tcPr>
          <w:p w14:paraId="76439B92">
            <w:pPr>
              <w:adjustRightInd w:val="0"/>
              <w:snapToGrid w:val="0"/>
              <w:spacing w:line="312" w:lineRule="auto"/>
              <w:jc w:val="left"/>
              <w:rPr>
                <w:rFonts w:ascii="宋体" w:hAnsi="宋体"/>
                <w:sz w:val="21"/>
                <w:szCs w:val="21"/>
              </w:rPr>
            </w:pPr>
            <w:r>
              <w:rPr>
                <w:rFonts w:hint="eastAsia" w:ascii="宋体" w:hAnsi="宋体"/>
                <w:sz w:val="21"/>
                <w:szCs w:val="21"/>
              </w:rPr>
              <w:t>根据本项目的特点派驻现场的工程技术管理人员（技术负责人、施工员、安全员、资料员、质量员等）的专业配置是否齐全（同时提供岗位证书和及响应供应商为其缴纳的社保证明扫描件）等情况进行打分：</w:t>
            </w:r>
          </w:p>
          <w:p w14:paraId="1AB437BD">
            <w:pPr>
              <w:adjustRightInd w:val="0"/>
              <w:snapToGrid w:val="0"/>
              <w:spacing w:line="312" w:lineRule="auto"/>
              <w:ind w:firstLine="315" w:firstLineChars="150"/>
              <w:jc w:val="left"/>
              <w:rPr>
                <w:rFonts w:ascii="宋体" w:hAnsi="宋体"/>
                <w:sz w:val="21"/>
                <w:szCs w:val="21"/>
              </w:rPr>
            </w:pPr>
            <w:r>
              <w:rPr>
                <w:rFonts w:hint="eastAsia" w:ascii="宋体" w:hAnsi="宋体"/>
                <w:sz w:val="21"/>
                <w:szCs w:val="21"/>
              </w:rPr>
              <w:t>技术负责人、施工员、安全员、资料员、质量员配置</w:t>
            </w:r>
            <w:r>
              <w:rPr>
                <w:rFonts w:ascii="宋体" w:hAnsi="宋体"/>
                <w:sz w:val="21"/>
                <w:szCs w:val="21"/>
              </w:rPr>
              <w:t>齐全的得</w:t>
            </w:r>
            <w:r>
              <w:rPr>
                <w:rFonts w:hint="eastAsia" w:ascii="宋体" w:hAnsi="宋体"/>
                <w:sz w:val="21"/>
                <w:szCs w:val="21"/>
              </w:rPr>
              <w:t>5</w:t>
            </w:r>
            <w:r>
              <w:rPr>
                <w:rFonts w:ascii="宋体" w:hAnsi="宋体"/>
                <w:sz w:val="21"/>
                <w:szCs w:val="21"/>
              </w:rPr>
              <w:t>分</w:t>
            </w:r>
            <w:r>
              <w:rPr>
                <w:rFonts w:hint="eastAsia" w:ascii="宋体" w:hAnsi="宋体"/>
                <w:sz w:val="21"/>
                <w:szCs w:val="21"/>
              </w:rPr>
              <w:t>。提供不完全的不得分。</w:t>
            </w:r>
          </w:p>
          <w:p w14:paraId="0ECB0DBA">
            <w:pPr>
              <w:adjustRightInd w:val="0"/>
              <w:snapToGrid w:val="0"/>
              <w:spacing w:line="312" w:lineRule="auto"/>
              <w:ind w:firstLine="30"/>
              <w:jc w:val="left"/>
              <w:rPr>
                <w:rFonts w:ascii="宋体" w:hAnsi="宋体"/>
                <w:sz w:val="21"/>
                <w:szCs w:val="21"/>
              </w:rPr>
            </w:pPr>
            <w:r>
              <w:rPr>
                <w:rFonts w:hint="eastAsia" w:ascii="宋体" w:hAnsi="宋体"/>
                <w:b/>
                <w:sz w:val="21"/>
                <w:szCs w:val="21"/>
              </w:rPr>
              <w:t>（注：须提供有效证书复印件及供应商为其缴纳的近3个月社保的证明（须为加盖社保部门印章的证明文件）复印件，无社保的退休人员（但不得超过65周岁）须提供与供应商签订的劳动合同影印件或扫描件，否则不得分</w:t>
            </w:r>
            <w:r>
              <w:rPr>
                <w:rFonts w:hint="eastAsia" w:ascii="宋体" w:hAnsi="宋体"/>
                <w:sz w:val="21"/>
                <w:szCs w:val="21"/>
              </w:rPr>
              <w:t>。</w:t>
            </w:r>
            <w:r>
              <w:rPr>
                <w:rFonts w:hint="eastAsia" w:ascii="宋体" w:hAnsi="宋体"/>
                <w:b/>
                <w:sz w:val="21"/>
                <w:szCs w:val="21"/>
              </w:rPr>
              <w:t>）</w:t>
            </w:r>
          </w:p>
        </w:tc>
        <w:tc>
          <w:tcPr>
            <w:tcW w:w="737" w:type="dxa"/>
            <w:vAlign w:val="center"/>
          </w:tcPr>
          <w:p w14:paraId="1EDA57AA">
            <w:pPr>
              <w:adjustRightInd w:val="0"/>
              <w:snapToGrid w:val="0"/>
              <w:spacing w:line="312" w:lineRule="auto"/>
              <w:jc w:val="center"/>
              <w:rPr>
                <w:rFonts w:ascii="宋体" w:hAnsi="宋体"/>
                <w:sz w:val="21"/>
                <w:szCs w:val="21"/>
              </w:rPr>
            </w:pPr>
            <w:r>
              <w:rPr>
                <w:rFonts w:hint="eastAsia" w:ascii="宋体" w:hAnsi="宋体"/>
                <w:sz w:val="21"/>
                <w:szCs w:val="21"/>
              </w:rPr>
              <w:t>0-5</w:t>
            </w:r>
          </w:p>
        </w:tc>
      </w:tr>
      <w:tr w14:paraId="2CA78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50" w:type="dxa"/>
            <w:vMerge w:val="continue"/>
            <w:vAlign w:val="center"/>
          </w:tcPr>
          <w:p w14:paraId="76F53B58">
            <w:pPr>
              <w:adjustRightInd w:val="0"/>
              <w:snapToGrid w:val="0"/>
              <w:spacing w:line="312" w:lineRule="auto"/>
              <w:ind w:firstLine="30"/>
              <w:rPr>
                <w:rFonts w:hint="eastAsia" w:asciiTheme="minorEastAsia" w:hAnsiTheme="minorEastAsia" w:eastAsiaTheme="minorEastAsia"/>
                <w:b/>
                <w:sz w:val="21"/>
                <w:szCs w:val="21"/>
              </w:rPr>
            </w:pPr>
          </w:p>
        </w:tc>
        <w:tc>
          <w:tcPr>
            <w:tcW w:w="1116" w:type="dxa"/>
            <w:vAlign w:val="center"/>
          </w:tcPr>
          <w:p w14:paraId="38F2A744">
            <w:pPr>
              <w:adjustRightInd w:val="0"/>
              <w:snapToGrid w:val="0"/>
              <w:spacing w:line="312" w:lineRule="auto"/>
              <w:ind w:firstLine="30"/>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施工进度保证措施（8分）</w:t>
            </w:r>
          </w:p>
        </w:tc>
        <w:tc>
          <w:tcPr>
            <w:tcW w:w="6606" w:type="dxa"/>
            <w:gridSpan w:val="2"/>
            <w:vAlign w:val="center"/>
          </w:tcPr>
          <w:p w14:paraId="308AB201">
            <w:pPr>
              <w:pStyle w:val="15"/>
              <w:adjustRightInd w:val="0"/>
              <w:snapToGrid w:val="0"/>
              <w:spacing w:line="312" w:lineRule="auto"/>
              <w:jc w:val="left"/>
              <w:rPr>
                <w:rFonts w:hint="eastAsia" w:asciiTheme="minorEastAsia" w:hAnsiTheme="minorEastAsia" w:eastAsiaTheme="minorEastAsia"/>
                <w:szCs w:val="21"/>
              </w:rPr>
            </w:pPr>
            <w:r>
              <w:rPr>
                <w:rFonts w:hint="eastAsia" w:asciiTheme="minorEastAsia" w:hAnsiTheme="minorEastAsia" w:eastAsiaTheme="minorEastAsia"/>
                <w:sz w:val="21"/>
                <w:szCs w:val="21"/>
              </w:rPr>
              <w:t>根据提供的施工进度计划、关键节点和线路的保证措施是否具有针对性和可行性进行给分：</w:t>
            </w:r>
            <w:r>
              <w:rPr>
                <w:rFonts w:hint="eastAsia" w:asciiTheme="minorEastAsia" w:hAnsiTheme="minorEastAsia" w:eastAsiaTheme="minorEastAsia"/>
                <w:sz w:val="21"/>
                <w:szCs w:val="21"/>
                <w:lang w:val="en-US" w:eastAsia="zh-CN"/>
              </w:rPr>
              <w:t>一档8分，二档6分，三档4分，四档2分，未涉及不得分。</w:t>
            </w:r>
          </w:p>
        </w:tc>
        <w:tc>
          <w:tcPr>
            <w:tcW w:w="737" w:type="dxa"/>
            <w:vAlign w:val="center"/>
          </w:tcPr>
          <w:p w14:paraId="53DBA721">
            <w:pPr>
              <w:adjustRightInd w:val="0"/>
              <w:snapToGrid w:val="0"/>
              <w:spacing w:line="312" w:lineRule="auto"/>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0-8</w:t>
            </w:r>
          </w:p>
        </w:tc>
      </w:tr>
      <w:tr w14:paraId="263B7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50" w:type="dxa"/>
            <w:vMerge w:val="continue"/>
            <w:vAlign w:val="center"/>
          </w:tcPr>
          <w:p w14:paraId="317A9E30">
            <w:pPr>
              <w:adjustRightInd w:val="0"/>
              <w:snapToGrid w:val="0"/>
              <w:spacing w:line="312" w:lineRule="auto"/>
              <w:ind w:firstLine="30"/>
              <w:rPr>
                <w:rFonts w:hint="eastAsia" w:asciiTheme="minorEastAsia" w:hAnsiTheme="minorEastAsia" w:eastAsiaTheme="minorEastAsia"/>
                <w:b/>
                <w:sz w:val="21"/>
                <w:szCs w:val="21"/>
              </w:rPr>
            </w:pPr>
          </w:p>
        </w:tc>
        <w:tc>
          <w:tcPr>
            <w:tcW w:w="1116" w:type="dxa"/>
            <w:vMerge w:val="restart"/>
            <w:vAlign w:val="center"/>
          </w:tcPr>
          <w:p w14:paraId="4813564D">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质量保修期方案</w:t>
            </w:r>
          </w:p>
          <w:p w14:paraId="28E2B106">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（9分）</w:t>
            </w:r>
          </w:p>
        </w:tc>
        <w:tc>
          <w:tcPr>
            <w:tcW w:w="6606" w:type="dxa"/>
            <w:gridSpan w:val="2"/>
            <w:vAlign w:val="center"/>
          </w:tcPr>
          <w:p w14:paraId="1BADFFFC">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根据供应商提供后期免费维修承诺：</w:t>
            </w:r>
          </w:p>
          <w:p w14:paraId="7D4220FD">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1、承诺维修响应时间为1小时以内，并在24小时内修理或更换完毕的，得3分；</w:t>
            </w:r>
          </w:p>
          <w:p w14:paraId="6CF87DD2">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2、承诺维修响应时间为2小时以内，并在48小时内修理或更换完毕的，得1.5分；</w:t>
            </w:r>
          </w:p>
          <w:p w14:paraId="13FFE17F">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3、未提供或其他不得分。</w:t>
            </w:r>
          </w:p>
        </w:tc>
        <w:tc>
          <w:tcPr>
            <w:tcW w:w="737" w:type="dxa"/>
            <w:vAlign w:val="center"/>
          </w:tcPr>
          <w:p w14:paraId="5A7A7085">
            <w:pPr>
              <w:adjustRightInd w:val="0"/>
              <w:snapToGrid w:val="0"/>
              <w:spacing w:line="312" w:lineRule="auto"/>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0-3</w:t>
            </w:r>
          </w:p>
        </w:tc>
      </w:tr>
      <w:tr w14:paraId="07EA3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50" w:type="dxa"/>
            <w:vMerge w:val="continue"/>
            <w:vAlign w:val="center"/>
          </w:tcPr>
          <w:p w14:paraId="53777CF3">
            <w:pPr>
              <w:adjustRightInd w:val="0"/>
              <w:snapToGrid w:val="0"/>
              <w:spacing w:line="312" w:lineRule="auto"/>
              <w:ind w:firstLine="30"/>
              <w:rPr>
                <w:rFonts w:hint="eastAsia" w:asciiTheme="minorEastAsia" w:hAnsiTheme="minorEastAsia" w:eastAsiaTheme="minorEastAsia"/>
                <w:b/>
                <w:sz w:val="21"/>
                <w:szCs w:val="21"/>
              </w:rPr>
            </w:pPr>
          </w:p>
        </w:tc>
        <w:tc>
          <w:tcPr>
            <w:tcW w:w="1116" w:type="dxa"/>
            <w:vMerge w:val="continue"/>
            <w:vAlign w:val="center"/>
          </w:tcPr>
          <w:p w14:paraId="2A0168C5">
            <w:pPr>
              <w:adjustRightInd w:val="0"/>
              <w:snapToGrid w:val="0"/>
              <w:spacing w:line="312" w:lineRule="auto"/>
              <w:ind w:firstLine="30"/>
              <w:jc w:val="center"/>
              <w:rPr>
                <w:rFonts w:hint="eastAsia" w:asciiTheme="minorEastAsia" w:hAnsiTheme="minorEastAsia" w:eastAsiaTheme="minorEastAsia"/>
                <w:b/>
                <w:sz w:val="21"/>
                <w:szCs w:val="21"/>
              </w:rPr>
            </w:pPr>
          </w:p>
        </w:tc>
        <w:tc>
          <w:tcPr>
            <w:tcW w:w="6606" w:type="dxa"/>
            <w:gridSpan w:val="2"/>
            <w:vAlign w:val="center"/>
          </w:tcPr>
          <w:p w14:paraId="553924FF">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根据供应商拟定的保修服务方案，包括回访、定期检测、保修标准，采取方式及措施等全部内容</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维修方案是否及时、完整合理、长效可行</w:t>
            </w:r>
            <w:r>
              <w:rPr>
                <w:rFonts w:hint="eastAsia" w:asciiTheme="minorEastAsia" w:hAnsiTheme="minorEastAsia" w:eastAsiaTheme="minorEastAsia"/>
                <w:sz w:val="21"/>
                <w:szCs w:val="21"/>
                <w:lang w:val="en-US" w:eastAsia="zh-CN"/>
              </w:rPr>
              <w:t>以及</w:t>
            </w:r>
            <w:r>
              <w:rPr>
                <w:rFonts w:hint="eastAsia" w:asciiTheme="minorEastAsia" w:hAnsiTheme="minorEastAsia" w:eastAsiaTheme="minorEastAsia"/>
                <w:sz w:val="21"/>
                <w:szCs w:val="21"/>
              </w:rPr>
              <w:t>项目实施过程中突发事件处理机制与预案</w:t>
            </w:r>
            <w:r>
              <w:rPr>
                <w:rFonts w:hint="eastAsia" w:asciiTheme="minorEastAsia" w:hAnsiTheme="minorEastAsia" w:eastAsiaTheme="minorEastAsia"/>
                <w:sz w:val="21"/>
                <w:szCs w:val="21"/>
                <w:lang w:val="en-US" w:eastAsia="zh-CN"/>
              </w:rPr>
              <w:t>是否详尽明晰、有针对性</w:t>
            </w:r>
            <w:r>
              <w:rPr>
                <w:rFonts w:hint="eastAsia" w:asciiTheme="minorEastAsia" w:hAnsiTheme="minorEastAsia" w:eastAsiaTheme="minorEastAsia"/>
                <w:sz w:val="21"/>
                <w:szCs w:val="21"/>
              </w:rPr>
              <w:t>进行给分：</w:t>
            </w:r>
            <w:r>
              <w:rPr>
                <w:rFonts w:hint="eastAsia" w:asciiTheme="minorEastAsia" w:hAnsiTheme="minorEastAsia" w:eastAsiaTheme="minorEastAsia"/>
                <w:sz w:val="21"/>
                <w:szCs w:val="21"/>
                <w:lang w:val="en-US" w:eastAsia="zh-CN"/>
              </w:rPr>
              <w:t>一档6分，二档4.5分，三档3分，四档1.5分，未涉及不得分。</w:t>
            </w:r>
          </w:p>
        </w:tc>
        <w:tc>
          <w:tcPr>
            <w:tcW w:w="737" w:type="dxa"/>
            <w:vAlign w:val="center"/>
          </w:tcPr>
          <w:p w14:paraId="0C4D2DFF">
            <w:pPr>
              <w:adjustRightInd w:val="0"/>
              <w:snapToGrid w:val="0"/>
              <w:spacing w:line="312" w:lineRule="auto"/>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0-6</w:t>
            </w:r>
          </w:p>
        </w:tc>
      </w:tr>
      <w:tr w14:paraId="38CD9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50" w:type="dxa"/>
            <w:vMerge w:val="continue"/>
            <w:vAlign w:val="center"/>
          </w:tcPr>
          <w:p w14:paraId="4048CAC7">
            <w:pPr>
              <w:adjustRightInd w:val="0"/>
              <w:snapToGrid w:val="0"/>
              <w:spacing w:line="312" w:lineRule="auto"/>
              <w:ind w:firstLine="30"/>
              <w:rPr>
                <w:rFonts w:hint="eastAsia" w:asciiTheme="minorEastAsia" w:hAnsiTheme="minorEastAsia" w:eastAsiaTheme="minorEastAsia"/>
                <w:b/>
                <w:sz w:val="21"/>
                <w:szCs w:val="21"/>
              </w:rPr>
            </w:pPr>
          </w:p>
        </w:tc>
        <w:tc>
          <w:tcPr>
            <w:tcW w:w="1116" w:type="dxa"/>
            <w:vAlign w:val="center"/>
          </w:tcPr>
          <w:p w14:paraId="43980BBC">
            <w:pPr>
              <w:adjustRightInd w:val="0"/>
              <w:snapToGrid w:val="0"/>
              <w:spacing w:line="312" w:lineRule="auto"/>
              <w:ind w:firstLine="30"/>
              <w:jc w:val="center"/>
              <w:rPr>
                <w:rFonts w:ascii="宋体" w:hAnsi="宋体"/>
                <w:b/>
                <w:sz w:val="21"/>
                <w:szCs w:val="21"/>
              </w:rPr>
            </w:pPr>
            <w:r>
              <w:rPr>
                <w:rFonts w:hint="eastAsia" w:ascii="宋体" w:hAnsi="宋体"/>
                <w:b/>
                <w:sz w:val="21"/>
                <w:szCs w:val="21"/>
              </w:rPr>
              <w:t>施工组织设计</w:t>
            </w:r>
          </w:p>
          <w:p w14:paraId="3B07042A">
            <w:pPr>
              <w:adjustRightInd w:val="0"/>
              <w:snapToGrid w:val="0"/>
              <w:spacing w:line="312" w:lineRule="auto"/>
              <w:ind w:firstLine="30"/>
              <w:jc w:val="center"/>
              <w:rPr>
                <w:rFonts w:ascii="宋体" w:hAnsi="宋体"/>
                <w:b/>
                <w:sz w:val="21"/>
                <w:szCs w:val="21"/>
              </w:rPr>
            </w:pPr>
            <w:r>
              <w:rPr>
                <w:rFonts w:hint="eastAsia" w:ascii="宋体" w:hAnsi="宋体"/>
                <w:b/>
                <w:sz w:val="21"/>
                <w:szCs w:val="21"/>
              </w:rPr>
              <w:t>（9分）</w:t>
            </w:r>
          </w:p>
        </w:tc>
        <w:tc>
          <w:tcPr>
            <w:tcW w:w="6606" w:type="dxa"/>
            <w:gridSpan w:val="2"/>
            <w:vAlign w:val="center"/>
          </w:tcPr>
          <w:p w14:paraId="5E3A049F">
            <w:pPr>
              <w:adjustRightInd w:val="0"/>
              <w:snapToGrid w:val="0"/>
              <w:spacing w:line="312" w:lineRule="auto"/>
              <w:jc w:val="left"/>
              <w:rPr>
                <w:rFonts w:ascii="宋体" w:hAnsi="宋体"/>
                <w:sz w:val="21"/>
                <w:szCs w:val="21"/>
              </w:rPr>
            </w:pPr>
            <w:r>
              <w:rPr>
                <w:rFonts w:hint="eastAsia" w:ascii="宋体" w:hAnsi="宋体"/>
                <w:sz w:val="21"/>
                <w:szCs w:val="21"/>
              </w:rPr>
              <w:t>根据施工部署、现场平面布置及管理、材料供应计划、施工机械进出场和施工机械施工计划是否完善合理进行给分</w:t>
            </w:r>
            <w:r>
              <w:rPr>
                <w:rFonts w:hint="eastAsia" w:ascii="宋体" w:hAnsi="宋体" w:eastAsia="宋体"/>
                <w:sz w:val="21"/>
                <w:szCs w:val="21"/>
                <w:lang w:eastAsia="zh-CN"/>
              </w:rPr>
              <w:t>，</w:t>
            </w:r>
            <w:r>
              <w:rPr>
                <w:rFonts w:hint="eastAsia" w:asciiTheme="minorEastAsia" w:hAnsiTheme="minorEastAsia" w:eastAsiaTheme="minorEastAsia"/>
                <w:sz w:val="21"/>
                <w:szCs w:val="21"/>
                <w:lang w:val="en-US" w:eastAsia="zh-CN"/>
              </w:rPr>
              <w:t>一档9分，二档7分，三档5分，四档3分，五档1分，未涉及不得分。</w:t>
            </w:r>
          </w:p>
        </w:tc>
        <w:tc>
          <w:tcPr>
            <w:tcW w:w="737" w:type="dxa"/>
            <w:vAlign w:val="center"/>
          </w:tcPr>
          <w:p w14:paraId="72D036A7">
            <w:pPr>
              <w:adjustRightInd w:val="0"/>
              <w:snapToGrid w:val="0"/>
              <w:spacing w:line="312" w:lineRule="auto"/>
              <w:ind w:firstLine="30"/>
              <w:jc w:val="center"/>
              <w:rPr>
                <w:rFonts w:ascii="宋体" w:hAnsi="宋体"/>
                <w:b/>
                <w:sz w:val="21"/>
                <w:szCs w:val="21"/>
              </w:rPr>
            </w:pPr>
            <w:r>
              <w:rPr>
                <w:rFonts w:hint="eastAsia" w:ascii="宋体" w:hAnsi="宋体"/>
                <w:b/>
                <w:sz w:val="21"/>
                <w:szCs w:val="21"/>
              </w:rPr>
              <w:t>0-9</w:t>
            </w:r>
          </w:p>
        </w:tc>
      </w:tr>
      <w:tr w14:paraId="5AB9A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50" w:type="dxa"/>
            <w:vMerge w:val="continue"/>
            <w:vAlign w:val="center"/>
          </w:tcPr>
          <w:p w14:paraId="433DDC24">
            <w:pPr>
              <w:adjustRightInd w:val="0"/>
              <w:snapToGrid w:val="0"/>
              <w:spacing w:line="312" w:lineRule="auto"/>
              <w:ind w:firstLine="30"/>
              <w:rPr>
                <w:rFonts w:hint="eastAsia" w:asciiTheme="minorEastAsia" w:hAnsiTheme="minorEastAsia" w:eastAsiaTheme="minorEastAsia"/>
                <w:b/>
                <w:sz w:val="21"/>
                <w:szCs w:val="21"/>
              </w:rPr>
            </w:pPr>
          </w:p>
        </w:tc>
        <w:tc>
          <w:tcPr>
            <w:tcW w:w="1116" w:type="dxa"/>
            <w:vAlign w:val="center"/>
          </w:tcPr>
          <w:p w14:paraId="37331C75">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针对本项目的重难点分析</w:t>
            </w:r>
          </w:p>
          <w:p w14:paraId="3ED78401">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（8分）</w:t>
            </w:r>
          </w:p>
        </w:tc>
        <w:tc>
          <w:tcPr>
            <w:tcW w:w="6606" w:type="dxa"/>
            <w:gridSpan w:val="2"/>
            <w:vAlign w:val="center"/>
          </w:tcPr>
          <w:p w14:paraId="5669B546">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根据供应商针对本工程的特点，阐述本工程的重点和难点的分析情况是否科学合理</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lang w:val="en-US" w:eastAsia="zh-CN"/>
              </w:rPr>
              <w:t>具有针对性和可行性</w:t>
            </w:r>
            <w:r>
              <w:rPr>
                <w:rFonts w:hint="eastAsia" w:asciiTheme="minorEastAsia" w:hAnsiTheme="minorEastAsia" w:eastAsiaTheme="minorEastAsia"/>
                <w:sz w:val="21"/>
                <w:szCs w:val="21"/>
              </w:rPr>
              <w:t>进行给分：</w:t>
            </w:r>
            <w:r>
              <w:rPr>
                <w:rFonts w:hint="eastAsia" w:asciiTheme="minorEastAsia" w:hAnsiTheme="minorEastAsia" w:eastAsiaTheme="minorEastAsia"/>
                <w:sz w:val="21"/>
                <w:szCs w:val="21"/>
                <w:lang w:val="en-US" w:eastAsia="zh-CN"/>
              </w:rPr>
              <w:t>一档8分，二档6分，三档4分，四档2分，未涉及不得分。</w:t>
            </w:r>
          </w:p>
        </w:tc>
        <w:tc>
          <w:tcPr>
            <w:tcW w:w="737" w:type="dxa"/>
            <w:vAlign w:val="center"/>
          </w:tcPr>
          <w:p w14:paraId="305C29BA">
            <w:pPr>
              <w:adjustRightInd w:val="0"/>
              <w:snapToGrid w:val="0"/>
              <w:spacing w:line="312" w:lineRule="auto"/>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0-8</w:t>
            </w:r>
          </w:p>
        </w:tc>
      </w:tr>
      <w:tr w14:paraId="74B66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50" w:type="dxa"/>
            <w:vMerge w:val="continue"/>
            <w:vAlign w:val="center"/>
          </w:tcPr>
          <w:p w14:paraId="1E9FEC94">
            <w:pPr>
              <w:adjustRightInd w:val="0"/>
              <w:snapToGrid w:val="0"/>
              <w:spacing w:line="312" w:lineRule="auto"/>
              <w:ind w:firstLine="30"/>
              <w:rPr>
                <w:rFonts w:hint="eastAsia" w:asciiTheme="minorEastAsia" w:hAnsiTheme="minorEastAsia" w:eastAsiaTheme="minorEastAsia"/>
                <w:b/>
                <w:sz w:val="21"/>
                <w:szCs w:val="21"/>
              </w:rPr>
            </w:pPr>
          </w:p>
        </w:tc>
        <w:tc>
          <w:tcPr>
            <w:tcW w:w="1116" w:type="dxa"/>
            <w:vAlign w:val="center"/>
          </w:tcPr>
          <w:p w14:paraId="78439C30">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质量保证措施</w:t>
            </w:r>
          </w:p>
          <w:p w14:paraId="54CBE701">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（8分）</w:t>
            </w:r>
          </w:p>
        </w:tc>
        <w:tc>
          <w:tcPr>
            <w:tcW w:w="6606" w:type="dxa"/>
            <w:gridSpan w:val="2"/>
            <w:vAlign w:val="center"/>
          </w:tcPr>
          <w:p w14:paraId="38434123">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项目质量保证措施</w:t>
            </w:r>
            <w:r>
              <w:rPr>
                <w:rFonts w:hint="eastAsia" w:asciiTheme="minorEastAsia" w:hAnsiTheme="minorEastAsia" w:eastAsiaTheme="minorEastAsia"/>
                <w:sz w:val="21"/>
                <w:szCs w:val="21"/>
                <w:lang w:val="en-US" w:eastAsia="zh-CN"/>
              </w:rPr>
              <w:t>的</w:t>
            </w:r>
            <w:r>
              <w:rPr>
                <w:rFonts w:hint="eastAsia" w:asciiTheme="minorEastAsia" w:hAnsiTheme="minorEastAsia" w:eastAsiaTheme="minorEastAsia"/>
                <w:sz w:val="21"/>
                <w:szCs w:val="21"/>
              </w:rPr>
              <w:t>完备周全</w:t>
            </w:r>
            <w:r>
              <w:rPr>
                <w:rFonts w:hint="eastAsia" w:asciiTheme="minorEastAsia" w:hAnsiTheme="minorEastAsia" w:eastAsiaTheme="minorEastAsia"/>
                <w:sz w:val="21"/>
                <w:szCs w:val="21"/>
                <w:lang w:val="en-US" w:eastAsia="zh-CN"/>
              </w:rPr>
              <w:t>性</w:t>
            </w:r>
            <w:r>
              <w:rPr>
                <w:rFonts w:hint="eastAsia" w:asciiTheme="minorEastAsia" w:hAnsiTheme="minorEastAsia" w:eastAsiaTheme="minorEastAsia"/>
                <w:sz w:val="21"/>
                <w:szCs w:val="21"/>
              </w:rPr>
              <w:t>，施工过程质量应对措施</w:t>
            </w:r>
            <w:r>
              <w:rPr>
                <w:rFonts w:hint="eastAsia" w:asciiTheme="minorEastAsia" w:hAnsiTheme="minorEastAsia" w:eastAsiaTheme="minorEastAsia"/>
                <w:sz w:val="21"/>
                <w:szCs w:val="21"/>
                <w:lang w:val="en-US" w:eastAsia="zh-CN"/>
              </w:rPr>
              <w:t>的科学合理性</w:t>
            </w:r>
            <w:r>
              <w:rPr>
                <w:rFonts w:hint="eastAsia" w:asciiTheme="minorEastAsia" w:hAnsiTheme="minorEastAsia" w:eastAsiaTheme="minorEastAsia"/>
                <w:sz w:val="21"/>
                <w:szCs w:val="21"/>
              </w:rPr>
              <w:t>进行给分：</w:t>
            </w:r>
            <w:r>
              <w:rPr>
                <w:rFonts w:hint="eastAsia" w:asciiTheme="minorEastAsia" w:hAnsiTheme="minorEastAsia" w:eastAsiaTheme="minorEastAsia"/>
                <w:sz w:val="21"/>
                <w:szCs w:val="21"/>
                <w:lang w:val="en-US" w:eastAsia="zh-CN"/>
              </w:rPr>
              <w:t>一档8分，二档6分，三档4分，四档2分，未涉及不得分。</w:t>
            </w:r>
          </w:p>
        </w:tc>
        <w:tc>
          <w:tcPr>
            <w:tcW w:w="737" w:type="dxa"/>
            <w:vAlign w:val="center"/>
          </w:tcPr>
          <w:p w14:paraId="0726C092">
            <w:pPr>
              <w:adjustRightInd w:val="0"/>
              <w:snapToGrid w:val="0"/>
              <w:spacing w:line="312" w:lineRule="auto"/>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0-8</w:t>
            </w:r>
          </w:p>
        </w:tc>
      </w:tr>
      <w:tr w14:paraId="252E4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50" w:type="dxa"/>
            <w:vMerge w:val="continue"/>
            <w:vAlign w:val="center"/>
          </w:tcPr>
          <w:p w14:paraId="14A3BD4C">
            <w:pPr>
              <w:adjustRightInd w:val="0"/>
              <w:snapToGrid w:val="0"/>
              <w:spacing w:line="312" w:lineRule="auto"/>
              <w:ind w:firstLine="30"/>
              <w:rPr>
                <w:rFonts w:hint="eastAsia" w:asciiTheme="minorEastAsia" w:hAnsiTheme="minorEastAsia" w:eastAsiaTheme="minorEastAsia"/>
                <w:b/>
                <w:sz w:val="21"/>
                <w:szCs w:val="21"/>
              </w:rPr>
            </w:pPr>
          </w:p>
        </w:tc>
        <w:tc>
          <w:tcPr>
            <w:tcW w:w="1116" w:type="dxa"/>
            <w:vAlign w:val="center"/>
          </w:tcPr>
          <w:p w14:paraId="68A1C52E">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安全文明施工保证措施</w:t>
            </w:r>
          </w:p>
          <w:p w14:paraId="211654DF">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（8分）</w:t>
            </w:r>
          </w:p>
        </w:tc>
        <w:tc>
          <w:tcPr>
            <w:tcW w:w="6606" w:type="dxa"/>
            <w:gridSpan w:val="2"/>
            <w:vAlign w:val="center"/>
          </w:tcPr>
          <w:p w14:paraId="54A494C5">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根据供应商提供的安全文明施工方案和保证措施是否具有针对性和科学性进行给分：</w:t>
            </w:r>
            <w:r>
              <w:rPr>
                <w:rFonts w:hint="eastAsia" w:asciiTheme="minorEastAsia" w:hAnsiTheme="minorEastAsia" w:eastAsiaTheme="minorEastAsia"/>
                <w:sz w:val="21"/>
                <w:szCs w:val="21"/>
                <w:lang w:val="en-US" w:eastAsia="zh-CN"/>
              </w:rPr>
              <w:t>一档8分，二档6分，三档4分，四档2分，未涉及不得分。</w:t>
            </w:r>
          </w:p>
        </w:tc>
        <w:tc>
          <w:tcPr>
            <w:tcW w:w="737" w:type="dxa"/>
            <w:vAlign w:val="center"/>
          </w:tcPr>
          <w:p w14:paraId="48EC1D56">
            <w:pPr>
              <w:adjustRightInd w:val="0"/>
              <w:snapToGrid w:val="0"/>
              <w:spacing w:line="312" w:lineRule="auto"/>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0-8</w:t>
            </w:r>
          </w:p>
        </w:tc>
      </w:tr>
      <w:tr w14:paraId="56176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50" w:type="dxa"/>
            <w:vMerge w:val="continue"/>
            <w:vAlign w:val="center"/>
          </w:tcPr>
          <w:p w14:paraId="7BB0A062">
            <w:pPr>
              <w:adjustRightInd w:val="0"/>
              <w:snapToGrid w:val="0"/>
              <w:spacing w:line="312" w:lineRule="auto"/>
              <w:ind w:firstLine="30"/>
              <w:rPr>
                <w:rFonts w:hint="eastAsia" w:asciiTheme="minorEastAsia" w:hAnsiTheme="minorEastAsia" w:eastAsiaTheme="minorEastAsia"/>
                <w:b/>
                <w:sz w:val="21"/>
                <w:szCs w:val="21"/>
              </w:rPr>
            </w:pPr>
          </w:p>
        </w:tc>
        <w:tc>
          <w:tcPr>
            <w:tcW w:w="1116" w:type="dxa"/>
            <w:vAlign w:val="center"/>
          </w:tcPr>
          <w:p w14:paraId="4205CC35">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合理化</w:t>
            </w:r>
          </w:p>
          <w:p w14:paraId="7377E9CA">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建议</w:t>
            </w:r>
          </w:p>
          <w:p w14:paraId="5A50D0BC">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（3.5分）</w:t>
            </w:r>
          </w:p>
        </w:tc>
        <w:tc>
          <w:tcPr>
            <w:tcW w:w="6606" w:type="dxa"/>
            <w:gridSpan w:val="2"/>
            <w:vAlign w:val="center"/>
          </w:tcPr>
          <w:p w14:paraId="305C8F43">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根据投标人依据本项目项目需求、服务要求提出的合理化建议</w:t>
            </w:r>
            <w:r>
              <w:rPr>
                <w:rFonts w:hint="eastAsia" w:asciiTheme="minorEastAsia" w:hAnsiTheme="minorEastAsia" w:eastAsiaTheme="minorEastAsia"/>
                <w:sz w:val="21"/>
                <w:szCs w:val="21"/>
                <w:lang w:val="en-US" w:eastAsia="zh-CN"/>
              </w:rPr>
              <w:t>的可实施性及改进意义</w:t>
            </w:r>
            <w:r>
              <w:rPr>
                <w:rFonts w:hint="eastAsia" w:asciiTheme="minorEastAsia" w:hAnsiTheme="minorEastAsia" w:eastAsiaTheme="minorEastAsia"/>
                <w:sz w:val="21"/>
                <w:szCs w:val="21"/>
              </w:rPr>
              <w:t>进行打分：</w:t>
            </w:r>
            <w:r>
              <w:rPr>
                <w:rFonts w:hint="eastAsia" w:asciiTheme="minorEastAsia" w:hAnsiTheme="minorEastAsia" w:eastAsiaTheme="minorEastAsia"/>
                <w:sz w:val="21"/>
                <w:szCs w:val="21"/>
                <w:lang w:val="en-US" w:eastAsia="zh-CN"/>
              </w:rPr>
              <w:t>一档3.5分，二档2.5分，三档1.5分，四档0.5分，未涉及不得分。</w:t>
            </w:r>
          </w:p>
        </w:tc>
        <w:tc>
          <w:tcPr>
            <w:tcW w:w="737" w:type="dxa"/>
            <w:vAlign w:val="center"/>
          </w:tcPr>
          <w:p w14:paraId="69F0CDE3">
            <w:pPr>
              <w:adjustRightInd w:val="0"/>
              <w:snapToGrid w:val="0"/>
              <w:spacing w:line="312" w:lineRule="auto"/>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0-3.5</w:t>
            </w:r>
          </w:p>
        </w:tc>
      </w:tr>
    </w:tbl>
    <w:p w14:paraId="00CB932C">
      <w:pPr>
        <w:rPr>
          <w:rFonts w:ascii="宋体" w:hAnsi="宋体" w:eastAsia="宋体" w:cs="宋体"/>
          <w:b/>
          <w:bCs/>
          <w:sz w:val="21"/>
          <w:szCs w:val="21"/>
        </w:rPr>
      </w:pPr>
    </w:p>
    <w:p w14:paraId="13428793">
      <w:pPr>
        <w:rPr>
          <w:rFonts w:ascii="宋体" w:hAnsi="宋体" w:eastAsia="宋体" w:cs="宋体"/>
          <w:b/>
          <w:sz w:val="28"/>
          <w:szCs w:val="28"/>
        </w:rPr>
      </w:pPr>
      <w:r>
        <w:rPr>
          <w:rFonts w:hint="eastAsia" w:ascii="宋体" w:hAnsi="宋体" w:eastAsia="宋体" w:cs="宋体"/>
          <w:b/>
          <w:bCs/>
          <w:sz w:val="21"/>
          <w:szCs w:val="21"/>
        </w:rPr>
        <w:t>注：请磋商响应方根据评分细则，设置好“关联定位”，方便专家评审。</w:t>
      </w:r>
      <w:r>
        <w:rPr>
          <w:rFonts w:hint="eastAsia" w:ascii="宋体" w:hAnsi="宋体" w:eastAsia="宋体" w:cs="宋体"/>
          <w:b/>
          <w:sz w:val="28"/>
          <w:szCs w:val="28"/>
        </w:rPr>
        <w:br w:type="page"/>
      </w:r>
    </w:p>
    <w:p w14:paraId="6FBAA17B">
      <w:pPr>
        <w:autoSpaceDE w:val="0"/>
        <w:autoSpaceDN w:val="0"/>
        <w:adjustRightInd w:val="0"/>
        <w:jc w:val="center"/>
        <w:outlineLvl w:val="0"/>
        <w:rPr>
          <w:rFonts w:ascii="宋体" w:hAnsi="宋体" w:eastAsia="宋体" w:cs="宋体"/>
          <w:b/>
          <w:sz w:val="28"/>
          <w:szCs w:val="28"/>
        </w:rPr>
      </w:pPr>
      <w:r>
        <w:rPr>
          <w:rFonts w:hint="eastAsia" w:ascii="宋体" w:hAnsi="宋体" w:eastAsia="宋体" w:cs="宋体"/>
          <w:b/>
          <w:sz w:val="28"/>
          <w:szCs w:val="28"/>
        </w:rPr>
        <w:t>第五部分合同（施工合同）</w:t>
      </w:r>
    </w:p>
    <w:p w14:paraId="08C1AC13">
      <w:pPr>
        <w:spacing w:line="380" w:lineRule="exact"/>
        <w:ind w:firstLine="420" w:firstLineChars="200"/>
        <w:jc w:val="center"/>
        <w:rPr>
          <w:rFonts w:ascii="宋体" w:hAnsi="宋体" w:eastAsia="宋体" w:cs="宋体"/>
          <w:sz w:val="21"/>
          <w:szCs w:val="21"/>
        </w:rPr>
      </w:pPr>
      <w:bookmarkStart w:id="22" w:name="_Toc381081902"/>
      <w:r>
        <w:rPr>
          <w:rFonts w:hint="eastAsia" w:ascii="宋体" w:hAnsi="宋体" w:eastAsia="宋体" w:cs="宋体"/>
          <w:sz w:val="21"/>
          <w:szCs w:val="21"/>
        </w:rPr>
        <w:t>合同文本采用《建设工程施工合同（示范文本）》（GF-2017-0201）。</w:t>
      </w:r>
    </w:p>
    <w:p w14:paraId="78231280">
      <w:pPr>
        <w:spacing w:line="380" w:lineRule="exact"/>
        <w:ind w:firstLine="420" w:firstLineChars="200"/>
        <w:jc w:val="center"/>
        <w:rPr>
          <w:rFonts w:ascii="宋体" w:hAnsi="宋体" w:eastAsia="宋体" w:cs="宋体"/>
          <w:sz w:val="21"/>
          <w:szCs w:val="21"/>
        </w:rPr>
      </w:pPr>
      <w:r>
        <w:rPr>
          <w:rFonts w:hint="eastAsia" w:ascii="宋体" w:hAnsi="宋体" w:eastAsia="宋体" w:cs="宋体"/>
          <w:sz w:val="21"/>
          <w:szCs w:val="21"/>
        </w:rPr>
        <w:t>合同通用条款采用《建设工程施工合同（示范文本）》的通用条款（GF-2017-0201）。</w:t>
      </w:r>
    </w:p>
    <w:p w14:paraId="55C6FA35">
      <w:pPr>
        <w:spacing w:line="380" w:lineRule="exact"/>
        <w:ind w:firstLine="420" w:firstLineChars="200"/>
        <w:jc w:val="center"/>
        <w:rPr>
          <w:rFonts w:ascii="宋体" w:hAnsi="宋体" w:eastAsia="宋体" w:cs="宋体"/>
          <w:b/>
          <w:sz w:val="21"/>
          <w:szCs w:val="21"/>
        </w:rPr>
      </w:pPr>
      <w:r>
        <w:rPr>
          <w:rFonts w:hint="eastAsia" w:ascii="宋体" w:hAnsi="宋体" w:eastAsia="宋体" w:cs="宋体"/>
          <w:sz w:val="21"/>
          <w:szCs w:val="21"/>
        </w:rPr>
        <w:t>合同专用条款中的主要条款将由招标人(发包人)与中标人(承包人)根据投标文件签订。</w:t>
      </w:r>
    </w:p>
    <w:p w14:paraId="14E90B94">
      <w:pPr>
        <w:spacing w:line="360" w:lineRule="auto"/>
        <w:rPr>
          <w:rFonts w:hAnsi="仿宋" w:eastAsiaTheme="minorEastAsia"/>
          <w:b/>
          <w:bCs/>
          <w:sz w:val="21"/>
          <w:szCs w:val="21"/>
        </w:rPr>
      </w:pPr>
    </w:p>
    <w:p w14:paraId="2432E22E">
      <w:pPr>
        <w:spacing w:line="360" w:lineRule="auto"/>
        <w:rPr>
          <w:rFonts w:hAnsi="仿宋" w:eastAsia="宋体"/>
          <w:b/>
          <w:bCs/>
          <w:sz w:val="21"/>
          <w:szCs w:val="21"/>
          <w:u w:val="single"/>
        </w:rPr>
      </w:pPr>
      <w:r>
        <w:rPr>
          <w:rFonts w:hint="eastAsia" w:hAnsi="仿宋"/>
          <w:b/>
          <w:bCs/>
          <w:sz w:val="21"/>
          <w:szCs w:val="21"/>
        </w:rPr>
        <w:t>发包人（全称）：</w:t>
      </w:r>
      <w:r>
        <w:rPr>
          <w:rFonts w:hint="eastAsia" w:hAnsi="仿宋" w:eastAsia="宋体"/>
          <w:b/>
          <w:bCs/>
          <w:sz w:val="21"/>
          <w:szCs w:val="21"/>
          <w:u w:val="single"/>
        </w:rPr>
        <w:t>台州市黄岩第二高级中学</w:t>
      </w:r>
    </w:p>
    <w:p w14:paraId="31894BE7">
      <w:pPr>
        <w:spacing w:line="360" w:lineRule="auto"/>
        <w:rPr>
          <w:rFonts w:hAnsi="仿宋" w:eastAsiaTheme="minorEastAsia"/>
          <w:b/>
          <w:bCs/>
          <w:sz w:val="21"/>
          <w:szCs w:val="21"/>
          <w:u w:val="single"/>
        </w:rPr>
      </w:pPr>
      <w:r>
        <w:rPr>
          <w:rFonts w:hint="eastAsia" w:hAnsi="仿宋"/>
          <w:b/>
          <w:bCs/>
          <w:sz w:val="21"/>
          <w:szCs w:val="21"/>
        </w:rPr>
        <w:t>承包人（全称）：</w:t>
      </w:r>
      <w:r>
        <w:rPr>
          <w:rFonts w:hint="eastAsia" w:hAnsi="仿宋"/>
          <w:b/>
          <w:bCs/>
          <w:sz w:val="21"/>
          <w:szCs w:val="21"/>
          <w:u w:val="single"/>
        </w:rPr>
        <w:t xml:space="preserve">                       </w:t>
      </w:r>
      <w:r>
        <w:rPr>
          <w:rFonts w:hint="eastAsia" w:hAnsi="仿宋" w:eastAsia="宋体"/>
          <w:b/>
          <w:bCs/>
          <w:sz w:val="21"/>
          <w:szCs w:val="21"/>
          <w:u w:val="single"/>
        </w:rPr>
        <w:t xml:space="preserve">      </w:t>
      </w:r>
      <w:r>
        <w:rPr>
          <w:rFonts w:hint="eastAsia" w:hAnsi="仿宋"/>
          <w:b/>
          <w:bCs/>
          <w:sz w:val="21"/>
          <w:szCs w:val="21"/>
          <w:u w:val="single"/>
        </w:rPr>
        <w:t xml:space="preserve">     </w:t>
      </w:r>
    </w:p>
    <w:p w14:paraId="6B0096C5">
      <w:pPr>
        <w:spacing w:line="360" w:lineRule="auto"/>
        <w:jc w:val="center"/>
        <w:rPr>
          <w:rFonts w:ascii="宋体" w:hAnsi="宋体" w:eastAsia="宋体" w:cs="宋体"/>
          <w:b/>
          <w:sz w:val="21"/>
          <w:szCs w:val="21"/>
        </w:rPr>
      </w:pPr>
      <w:r>
        <w:rPr>
          <w:rFonts w:hint="eastAsia" w:ascii="宋体" w:hAnsi="宋体" w:eastAsia="宋体" w:cs="宋体"/>
          <w:b/>
          <w:sz w:val="21"/>
          <w:szCs w:val="21"/>
        </w:rPr>
        <w:t>第一部分协议书</w:t>
      </w:r>
    </w:p>
    <w:p w14:paraId="61C8639B">
      <w:pPr>
        <w:spacing w:line="380" w:lineRule="exact"/>
        <w:ind w:firstLine="420" w:firstLineChars="200"/>
        <w:jc w:val="left"/>
        <w:rPr>
          <w:rFonts w:hAnsi="仿宋"/>
          <w:sz w:val="21"/>
          <w:szCs w:val="21"/>
        </w:rPr>
      </w:pPr>
      <w:r>
        <w:rPr>
          <w:rFonts w:hint="eastAsia" w:ascii="宋体" w:hAnsi="宋体" w:eastAsia="宋体" w:cs="宋体"/>
          <w:sz w:val="21"/>
          <w:szCs w:val="21"/>
        </w:rPr>
        <w:t>根据</w:t>
      </w:r>
      <w:r>
        <w:rPr>
          <w:rFonts w:ascii="Times New Roman" w:hAnsi="Times New Roman" w:eastAsia="宋体"/>
          <w:sz w:val="21"/>
          <w:szCs w:val="21"/>
        </w:rPr>
        <w:t>《</w:t>
      </w:r>
      <w:r>
        <w:rPr>
          <w:rFonts w:hint="eastAsia" w:ascii="Times New Roman" w:hAnsi="Times New Roman" w:eastAsia="宋体"/>
          <w:sz w:val="21"/>
          <w:szCs w:val="21"/>
        </w:rPr>
        <w:t>民法典</w:t>
      </w:r>
      <w:r>
        <w:rPr>
          <w:rFonts w:ascii="Times New Roman" w:hAnsi="Times New Roman" w:eastAsia="宋体"/>
          <w:sz w:val="21"/>
          <w:szCs w:val="21"/>
        </w:rPr>
        <w:t>》</w:t>
      </w:r>
      <w:r>
        <w:rPr>
          <w:rFonts w:hint="eastAsia" w:ascii="宋体" w:hAnsi="宋体" w:eastAsia="宋体" w:cs="宋体"/>
          <w:sz w:val="21"/>
          <w:szCs w:val="21"/>
        </w:rPr>
        <w:t>、《中华人民共和国建筑法》及有关法律规定，遵循平等、自愿、公平和诚实信用的原则，</w:t>
      </w:r>
      <w:r>
        <w:rPr>
          <w:rFonts w:hint="eastAsia" w:hAnsi="仿宋"/>
          <w:sz w:val="21"/>
          <w:szCs w:val="21"/>
        </w:rPr>
        <w:t>双方就</w:t>
      </w:r>
      <w:r>
        <w:rPr>
          <w:rFonts w:hint="eastAsia" w:hAnsi="仿宋" w:eastAsia="宋体"/>
          <w:sz w:val="21"/>
          <w:szCs w:val="21"/>
          <w:u w:val="single"/>
        </w:rPr>
        <w:t>台州市黄岩第二高级中学体能训练场、科技楼顶渗漏和阶梯教室等改造工程</w:t>
      </w:r>
      <w:r>
        <w:rPr>
          <w:rFonts w:hint="eastAsia" w:hAnsi="仿宋"/>
          <w:sz w:val="21"/>
          <w:szCs w:val="21"/>
        </w:rPr>
        <w:t>施工及有关事项协商一致，共同达成如下协议：</w:t>
      </w:r>
    </w:p>
    <w:p w14:paraId="54CEC73F">
      <w:pPr>
        <w:pStyle w:val="8"/>
        <w:keepNext w:val="0"/>
        <w:keepLines w:val="0"/>
        <w:spacing w:before="0" w:after="0" w:line="380" w:lineRule="exact"/>
        <w:rPr>
          <w:rFonts w:ascii="黑体" w:hAnsi="黑体"/>
          <w:bCs w:val="0"/>
          <w:sz w:val="21"/>
          <w:szCs w:val="21"/>
        </w:rPr>
      </w:pPr>
      <w:bookmarkStart w:id="23" w:name="_Toc351203481"/>
      <w:r>
        <w:rPr>
          <w:rFonts w:hint="eastAsia" w:ascii="黑体" w:hAnsi="黑体"/>
          <w:b w:val="0"/>
          <w:sz w:val="21"/>
          <w:szCs w:val="21"/>
        </w:rPr>
        <w:t>一、工程概况</w:t>
      </w:r>
      <w:bookmarkEnd w:id="23"/>
    </w:p>
    <w:p w14:paraId="581A30E7">
      <w:pPr>
        <w:spacing w:line="380" w:lineRule="exact"/>
        <w:ind w:firstLine="411" w:firstLineChars="196"/>
        <w:rPr>
          <w:rFonts w:hAnsi="仿宋"/>
          <w:sz w:val="21"/>
          <w:szCs w:val="21"/>
          <w:u w:val="single"/>
        </w:rPr>
      </w:pPr>
      <w:r>
        <w:rPr>
          <w:rFonts w:hint="eastAsia" w:hAnsi="仿宋"/>
          <w:bCs/>
          <w:sz w:val="21"/>
          <w:szCs w:val="21"/>
        </w:rPr>
        <w:t>1．工程名称</w:t>
      </w:r>
      <w:r>
        <w:rPr>
          <w:rFonts w:hint="eastAsia" w:hAnsi="仿宋"/>
          <w:sz w:val="21"/>
          <w:szCs w:val="21"/>
        </w:rPr>
        <w:t>：</w:t>
      </w:r>
      <w:r>
        <w:rPr>
          <w:rFonts w:hint="eastAsia" w:hAnsi="仿宋" w:eastAsia="宋体"/>
          <w:sz w:val="21"/>
          <w:szCs w:val="21"/>
          <w:u w:val="single"/>
        </w:rPr>
        <w:t>台州市黄岩第二高级中学体能训练场、科技楼顶渗漏和阶梯教室等改造工程</w:t>
      </w:r>
      <w:r>
        <w:rPr>
          <w:rFonts w:hint="eastAsia" w:hAnsi="仿宋"/>
          <w:sz w:val="21"/>
          <w:szCs w:val="21"/>
        </w:rPr>
        <w:t>。</w:t>
      </w:r>
    </w:p>
    <w:p w14:paraId="2ECE8183">
      <w:pPr>
        <w:spacing w:line="380" w:lineRule="exact"/>
        <w:ind w:firstLine="411" w:firstLineChars="196"/>
        <w:rPr>
          <w:rFonts w:hAnsi="仿宋"/>
          <w:bCs/>
          <w:sz w:val="21"/>
          <w:szCs w:val="21"/>
        </w:rPr>
      </w:pPr>
      <w:r>
        <w:rPr>
          <w:rFonts w:hint="eastAsia" w:hAnsi="仿宋"/>
          <w:bCs/>
          <w:sz w:val="21"/>
          <w:szCs w:val="21"/>
        </w:rPr>
        <w:t>2．工程地点：</w:t>
      </w:r>
      <w:r>
        <w:rPr>
          <w:rFonts w:hint="eastAsia" w:hAnsi="仿宋" w:eastAsia="宋体"/>
          <w:sz w:val="21"/>
          <w:szCs w:val="21"/>
          <w:u w:val="single"/>
        </w:rPr>
        <w:t>台州市黄岩区西城街道</w:t>
      </w:r>
      <w:r>
        <w:rPr>
          <w:rFonts w:hint="eastAsia" w:hAnsi="仿宋"/>
          <w:sz w:val="21"/>
          <w:szCs w:val="21"/>
        </w:rPr>
        <w:t>。</w:t>
      </w:r>
    </w:p>
    <w:p w14:paraId="35033D87">
      <w:pPr>
        <w:spacing w:line="380" w:lineRule="exact"/>
        <w:ind w:firstLine="411" w:firstLineChars="196"/>
        <w:rPr>
          <w:rFonts w:hAnsi="仿宋"/>
          <w:bCs/>
          <w:sz w:val="21"/>
          <w:szCs w:val="21"/>
        </w:rPr>
      </w:pPr>
      <w:r>
        <w:rPr>
          <w:rFonts w:hint="eastAsia" w:hAnsi="仿宋"/>
          <w:bCs/>
          <w:sz w:val="21"/>
          <w:szCs w:val="21"/>
        </w:rPr>
        <w:t>3．工程立项批准文号：</w:t>
      </w:r>
      <w:r>
        <w:rPr>
          <w:rFonts w:hint="eastAsia" w:hAnsi="仿宋" w:eastAsiaTheme="minorEastAsia"/>
          <w:bCs/>
          <w:sz w:val="21"/>
          <w:szCs w:val="21"/>
          <w:u w:val="single"/>
        </w:rPr>
        <w:t xml:space="preserve">                    </w:t>
      </w:r>
      <w:r>
        <w:rPr>
          <w:rFonts w:hint="eastAsia" w:hAnsi="仿宋" w:eastAsiaTheme="minorEastAsia"/>
          <w:bCs/>
          <w:sz w:val="21"/>
          <w:szCs w:val="21"/>
        </w:rPr>
        <w:t xml:space="preserve">  </w:t>
      </w:r>
      <w:r>
        <w:rPr>
          <w:rFonts w:hint="eastAsia" w:hAnsi="仿宋"/>
          <w:bCs/>
          <w:sz w:val="21"/>
          <w:szCs w:val="21"/>
        </w:rPr>
        <w:t>。</w:t>
      </w:r>
    </w:p>
    <w:p w14:paraId="0A0D438A">
      <w:pPr>
        <w:spacing w:line="380" w:lineRule="exact"/>
        <w:ind w:firstLine="411" w:firstLineChars="196"/>
        <w:rPr>
          <w:rFonts w:hAnsi="仿宋"/>
          <w:bCs/>
          <w:sz w:val="21"/>
          <w:szCs w:val="21"/>
        </w:rPr>
      </w:pPr>
      <w:r>
        <w:rPr>
          <w:rFonts w:hint="eastAsia" w:hAnsi="仿宋"/>
          <w:bCs/>
          <w:sz w:val="21"/>
          <w:szCs w:val="21"/>
        </w:rPr>
        <w:t>4．资金来源：</w:t>
      </w:r>
      <w:r>
        <w:rPr>
          <w:rFonts w:hint="eastAsia" w:hAnsi="仿宋" w:eastAsiaTheme="minorEastAsia"/>
          <w:bCs/>
          <w:sz w:val="21"/>
          <w:szCs w:val="21"/>
          <w:u w:val="single"/>
        </w:rPr>
        <w:t xml:space="preserve"> </w:t>
      </w:r>
      <w:r>
        <w:rPr>
          <w:rFonts w:hint="eastAsia" w:hAnsi="仿宋" w:eastAsia="宋体"/>
          <w:sz w:val="21"/>
          <w:szCs w:val="21"/>
          <w:u w:val="single"/>
        </w:rPr>
        <w:t>政府100%</w:t>
      </w:r>
      <w:r>
        <w:rPr>
          <w:rFonts w:hint="eastAsia" w:hAnsi="仿宋"/>
          <w:sz w:val="21"/>
          <w:szCs w:val="21"/>
          <w:u w:val="single"/>
        </w:rPr>
        <w:t xml:space="preserve"> </w:t>
      </w:r>
      <w:r>
        <w:rPr>
          <w:rFonts w:hint="eastAsia" w:hAnsi="仿宋" w:eastAsiaTheme="minorEastAsia"/>
          <w:bCs/>
          <w:sz w:val="21"/>
          <w:szCs w:val="21"/>
          <w:u w:val="single"/>
        </w:rPr>
        <w:t xml:space="preserve">   </w:t>
      </w:r>
      <w:r>
        <w:rPr>
          <w:rFonts w:hint="eastAsia" w:hAnsi="仿宋" w:eastAsiaTheme="minorEastAsia"/>
          <w:bCs/>
          <w:sz w:val="21"/>
          <w:szCs w:val="21"/>
        </w:rPr>
        <w:t xml:space="preserve">  </w:t>
      </w:r>
      <w:r>
        <w:rPr>
          <w:rFonts w:hint="eastAsia" w:hAnsi="仿宋"/>
          <w:bCs/>
          <w:sz w:val="21"/>
          <w:szCs w:val="21"/>
        </w:rPr>
        <w:t>。</w:t>
      </w:r>
    </w:p>
    <w:p w14:paraId="63C9203F">
      <w:pPr>
        <w:widowControl/>
        <w:spacing w:line="380" w:lineRule="exact"/>
        <w:ind w:firstLine="420" w:firstLineChars="200"/>
        <w:jc w:val="left"/>
        <w:rPr>
          <w:rFonts w:ascii="宋体" w:hAnsi="宋体" w:eastAsia="宋体" w:cs="宋体"/>
          <w:kern w:val="0"/>
          <w:sz w:val="21"/>
          <w:szCs w:val="21"/>
          <w:u w:val="single"/>
        </w:rPr>
      </w:pPr>
      <w:r>
        <w:rPr>
          <w:rFonts w:hint="eastAsia" w:hAnsi="仿宋"/>
          <w:bCs/>
          <w:sz w:val="21"/>
          <w:szCs w:val="21"/>
        </w:rPr>
        <w:t>5</w:t>
      </w:r>
      <w:r>
        <w:rPr>
          <w:rFonts w:hint="eastAsia" w:ascii="宋体" w:hAnsi="宋体" w:eastAsia="宋体" w:cs="宋体"/>
          <w:bCs/>
          <w:sz w:val="21"/>
          <w:szCs w:val="21"/>
        </w:rPr>
        <w:t>．工程内容：</w:t>
      </w:r>
      <w:r>
        <w:rPr>
          <w:rFonts w:hint="eastAsia" w:ascii="宋体" w:hAnsi="宋体" w:eastAsia="宋体" w:cs="宋体"/>
          <w:kern w:val="0"/>
          <w:sz w:val="21"/>
          <w:szCs w:val="21"/>
          <w:u w:val="single"/>
        </w:rPr>
        <w:t>本工程改造内容主要为：</w:t>
      </w:r>
    </w:p>
    <w:p w14:paraId="4D9EADD0">
      <w:pPr>
        <w:widowControl/>
        <w:spacing w:line="380" w:lineRule="exact"/>
        <w:ind w:firstLine="420" w:firstLineChars="200"/>
        <w:jc w:val="left"/>
        <w:rPr>
          <w:rFonts w:ascii="宋体" w:hAnsi="宋体" w:eastAsia="宋体" w:cs="宋体"/>
          <w:kern w:val="0"/>
          <w:sz w:val="21"/>
          <w:szCs w:val="21"/>
          <w:u w:val="single"/>
        </w:rPr>
      </w:pPr>
      <w:r>
        <w:rPr>
          <w:rFonts w:hint="eastAsia" w:ascii="宋体" w:hAnsi="宋体" w:eastAsia="宋体" w:cs="宋体"/>
          <w:kern w:val="0"/>
          <w:sz w:val="21"/>
          <w:szCs w:val="21"/>
          <w:u w:val="single"/>
        </w:rPr>
        <w:t>1）运动场体能训练场地改造：原破损水泥地面拆除153m2,原绿化区域苗木砍伐、移植；挖除土方，回填塘渣，浇捣15cm厚混凝土地面,表面铺设20厚透气性塑胶面层；单双杠、肋木架等训练设施移位及基础浇捣；树池花岗岩侧石安装等；</w:t>
      </w:r>
    </w:p>
    <w:p w14:paraId="7500F698">
      <w:pPr>
        <w:widowControl/>
        <w:spacing w:line="380" w:lineRule="exact"/>
        <w:ind w:firstLine="420" w:firstLineChars="200"/>
        <w:jc w:val="left"/>
        <w:rPr>
          <w:rFonts w:ascii="宋体" w:hAnsi="宋体" w:eastAsia="宋体" w:cs="宋体"/>
          <w:kern w:val="0"/>
          <w:sz w:val="21"/>
          <w:szCs w:val="21"/>
          <w:u w:val="single"/>
        </w:rPr>
      </w:pPr>
      <w:r>
        <w:rPr>
          <w:rFonts w:hint="eastAsia" w:ascii="宋体" w:hAnsi="宋体" w:eastAsia="宋体" w:cs="宋体"/>
          <w:kern w:val="0"/>
          <w:sz w:val="21"/>
          <w:szCs w:val="21"/>
          <w:u w:val="single"/>
        </w:rPr>
        <w:t>2）科技楼屋顶平屋面及檐沟重新细石砼找平，铺贴SBS防水卷材；女儿墙破损风化水泥砂浆凿除，重新粉刷，涂刷外墙弹性涂料；教室内墙面、天棚改造，更换实木平开门，电气线路安装工程；</w:t>
      </w:r>
    </w:p>
    <w:p w14:paraId="12B4263C">
      <w:pPr>
        <w:widowControl/>
        <w:spacing w:line="380" w:lineRule="exact"/>
        <w:ind w:firstLine="420" w:firstLineChars="200"/>
        <w:jc w:val="left"/>
        <w:rPr>
          <w:rFonts w:ascii="宋体" w:hAnsi="宋体" w:eastAsia="宋体" w:cs="宋体"/>
          <w:kern w:val="0"/>
          <w:sz w:val="21"/>
          <w:szCs w:val="21"/>
          <w:u w:val="single"/>
        </w:rPr>
      </w:pPr>
      <w:r>
        <w:rPr>
          <w:rFonts w:hint="eastAsia" w:ascii="宋体" w:hAnsi="宋体" w:eastAsia="宋体" w:cs="宋体"/>
          <w:kern w:val="0"/>
          <w:sz w:val="21"/>
          <w:szCs w:val="21"/>
          <w:u w:val="single"/>
        </w:rPr>
        <w:t>3）阶梯教室墙面乳胶漆翻新，讲台背景墙PVC膜饰面木塑板布置；地面钢构地台焊接，铺设舞台板及石塑地板；石膏板天棚改造；电气线路安装工程。</w:t>
      </w:r>
    </w:p>
    <w:p w14:paraId="455CF863">
      <w:pPr>
        <w:spacing w:line="380" w:lineRule="exact"/>
        <w:ind w:firstLine="411" w:firstLineChars="196"/>
        <w:rPr>
          <w:rFonts w:hAnsi="仿宋"/>
          <w:bCs/>
          <w:sz w:val="21"/>
          <w:szCs w:val="21"/>
        </w:rPr>
      </w:pPr>
      <w:r>
        <w:rPr>
          <w:rFonts w:hint="eastAsia" w:ascii="宋体" w:hAnsi="宋体" w:eastAsia="宋体" w:cs="宋体"/>
          <w:sz w:val="21"/>
          <w:szCs w:val="21"/>
        </w:rPr>
        <w:t>群</w:t>
      </w:r>
      <w:r>
        <w:rPr>
          <w:rFonts w:hint="eastAsia" w:hAnsi="仿宋"/>
          <w:sz w:val="21"/>
          <w:szCs w:val="21"/>
        </w:rPr>
        <w:t>体工程应附《承包人承揽工程项目一览表》（附件1）。</w:t>
      </w:r>
    </w:p>
    <w:p w14:paraId="49DEF902">
      <w:pPr>
        <w:spacing w:line="380" w:lineRule="exact"/>
        <w:ind w:firstLine="420" w:firstLineChars="200"/>
        <w:rPr>
          <w:rFonts w:hAnsi="仿宋"/>
          <w:sz w:val="21"/>
          <w:szCs w:val="21"/>
        </w:rPr>
      </w:pPr>
      <w:r>
        <w:rPr>
          <w:rFonts w:hint="eastAsia" w:hAnsi="仿宋"/>
          <w:bCs/>
          <w:sz w:val="21"/>
          <w:szCs w:val="21"/>
        </w:rPr>
        <w:t>6．工程承包范围：</w:t>
      </w:r>
      <w:r>
        <w:rPr>
          <w:rFonts w:hint="eastAsia" w:ascii="Times New Roman" w:hAnsi="Times New Roman" w:eastAsia="宋体"/>
          <w:sz w:val="21"/>
          <w:szCs w:val="21"/>
          <w:u w:val="single"/>
        </w:rPr>
        <w:t>发包人提供的施工图纸和预算书所包含的全部工程。</w:t>
      </w:r>
    </w:p>
    <w:p w14:paraId="05AEC4EB">
      <w:pPr>
        <w:pStyle w:val="8"/>
        <w:keepNext w:val="0"/>
        <w:keepLines w:val="0"/>
        <w:spacing w:before="0" w:after="0" w:line="380" w:lineRule="exact"/>
        <w:rPr>
          <w:rFonts w:ascii="黑体" w:hAnsi="黑体"/>
          <w:b w:val="0"/>
          <w:sz w:val="21"/>
          <w:szCs w:val="21"/>
        </w:rPr>
      </w:pPr>
      <w:bookmarkStart w:id="24" w:name="_Toc351203482"/>
      <w:r>
        <w:rPr>
          <w:rFonts w:hint="eastAsia" w:ascii="黑体" w:hAnsi="黑体"/>
          <w:b w:val="0"/>
          <w:sz w:val="21"/>
          <w:szCs w:val="21"/>
        </w:rPr>
        <w:t>二、合同工期</w:t>
      </w:r>
      <w:bookmarkEnd w:id="24"/>
    </w:p>
    <w:p w14:paraId="6F9B0B91">
      <w:pPr>
        <w:spacing w:line="380" w:lineRule="exact"/>
        <w:ind w:firstLine="420" w:firstLineChars="200"/>
        <w:rPr>
          <w:rFonts w:hAnsi="仿宋"/>
          <w:sz w:val="21"/>
          <w:szCs w:val="21"/>
        </w:rPr>
      </w:pPr>
      <w:r>
        <w:rPr>
          <w:rFonts w:hint="eastAsia" w:hAnsi="仿宋"/>
          <w:sz w:val="21"/>
          <w:szCs w:val="21"/>
        </w:rPr>
        <w:t>计划开工日期：</w:t>
      </w:r>
      <w:r>
        <w:rPr>
          <w:rFonts w:hint="eastAsia" w:asciiTheme="minorEastAsia" w:hAnsiTheme="minorEastAsia" w:eastAsiaTheme="minorEastAsia"/>
          <w:sz w:val="21"/>
          <w:szCs w:val="21"/>
          <w:u w:val="single"/>
        </w:rPr>
        <w:t xml:space="preserve">    </w:t>
      </w:r>
      <w:r>
        <w:rPr>
          <w:rFonts w:hint="eastAsia" w:hAnsi="仿宋" w:eastAsiaTheme="minorEastAsia"/>
          <w:sz w:val="21"/>
          <w:szCs w:val="21"/>
        </w:rPr>
        <w:t xml:space="preserve"> </w:t>
      </w:r>
      <w:r>
        <w:rPr>
          <w:rFonts w:hint="eastAsia" w:hAnsi="仿宋"/>
          <w:sz w:val="21"/>
          <w:szCs w:val="21"/>
        </w:rPr>
        <w:t>年</w:t>
      </w:r>
      <w:r>
        <w:rPr>
          <w:rFonts w:hint="eastAsia" w:asciiTheme="minorEastAsia" w:hAnsiTheme="minorEastAsia" w:eastAsiaTheme="minorEastAsia"/>
          <w:sz w:val="21"/>
          <w:szCs w:val="21"/>
          <w:u w:val="single"/>
        </w:rPr>
        <w:t xml:space="preserve">    </w:t>
      </w:r>
      <w:r>
        <w:rPr>
          <w:rFonts w:hint="eastAsia" w:hAnsi="仿宋"/>
          <w:sz w:val="21"/>
          <w:szCs w:val="21"/>
        </w:rPr>
        <w:t>月</w:t>
      </w:r>
      <w:r>
        <w:rPr>
          <w:rFonts w:hint="eastAsia" w:asciiTheme="minorEastAsia" w:hAnsiTheme="minorEastAsia" w:eastAsiaTheme="minorEastAsia"/>
          <w:sz w:val="21"/>
          <w:szCs w:val="21"/>
          <w:u w:val="single"/>
        </w:rPr>
        <w:t xml:space="preserve">    </w:t>
      </w:r>
      <w:r>
        <w:rPr>
          <w:rFonts w:hint="eastAsia" w:hAnsi="仿宋"/>
          <w:sz w:val="21"/>
          <w:szCs w:val="21"/>
        </w:rPr>
        <w:t>日。</w:t>
      </w:r>
    </w:p>
    <w:p w14:paraId="3C29A7D4">
      <w:pPr>
        <w:spacing w:line="380" w:lineRule="exact"/>
        <w:ind w:firstLine="420" w:firstLineChars="200"/>
        <w:rPr>
          <w:rFonts w:hAnsi="仿宋"/>
          <w:sz w:val="21"/>
          <w:szCs w:val="21"/>
        </w:rPr>
      </w:pPr>
      <w:r>
        <w:rPr>
          <w:rFonts w:hint="eastAsia" w:hAnsi="仿宋"/>
          <w:sz w:val="21"/>
          <w:szCs w:val="21"/>
        </w:rPr>
        <w:t>计划竣工日期：</w:t>
      </w:r>
      <w:r>
        <w:rPr>
          <w:rFonts w:hint="eastAsia" w:asciiTheme="minorEastAsia" w:hAnsiTheme="minorEastAsia" w:eastAsiaTheme="minorEastAsia"/>
          <w:sz w:val="21"/>
          <w:szCs w:val="21"/>
          <w:u w:val="single"/>
        </w:rPr>
        <w:t xml:space="preserve">    </w:t>
      </w:r>
      <w:r>
        <w:rPr>
          <w:rFonts w:hint="eastAsia" w:hAnsi="仿宋"/>
          <w:sz w:val="21"/>
          <w:szCs w:val="21"/>
        </w:rPr>
        <w:t>年</w:t>
      </w:r>
      <w:r>
        <w:rPr>
          <w:rFonts w:hint="eastAsia" w:hAnsi="仿宋" w:eastAsiaTheme="minorEastAsia"/>
          <w:sz w:val="21"/>
          <w:szCs w:val="21"/>
        </w:rPr>
        <w:t xml:space="preserve"> </w:t>
      </w:r>
      <w:r>
        <w:rPr>
          <w:rFonts w:hint="eastAsia" w:asciiTheme="minorEastAsia" w:hAnsiTheme="minorEastAsia" w:eastAsiaTheme="minorEastAsia"/>
          <w:sz w:val="21"/>
          <w:szCs w:val="21"/>
          <w:u w:val="single"/>
        </w:rPr>
        <w:t xml:space="preserve">    </w:t>
      </w:r>
      <w:r>
        <w:rPr>
          <w:rFonts w:hint="eastAsia" w:hAnsi="仿宋"/>
          <w:sz w:val="21"/>
          <w:szCs w:val="21"/>
        </w:rPr>
        <w:t>月</w:t>
      </w:r>
      <w:r>
        <w:rPr>
          <w:rFonts w:hint="eastAsia" w:asciiTheme="minorEastAsia" w:hAnsiTheme="minorEastAsia" w:eastAsiaTheme="minorEastAsia"/>
          <w:sz w:val="21"/>
          <w:szCs w:val="21"/>
          <w:u w:val="single"/>
        </w:rPr>
        <w:t xml:space="preserve">    </w:t>
      </w:r>
      <w:r>
        <w:rPr>
          <w:rFonts w:hint="eastAsia" w:hAnsi="仿宋" w:eastAsiaTheme="minorEastAsia"/>
          <w:sz w:val="21"/>
          <w:szCs w:val="21"/>
        </w:rPr>
        <w:t xml:space="preserve"> </w:t>
      </w:r>
      <w:r>
        <w:rPr>
          <w:rFonts w:hint="eastAsia" w:hAnsi="仿宋"/>
          <w:sz w:val="21"/>
          <w:szCs w:val="21"/>
        </w:rPr>
        <w:t>日。</w:t>
      </w:r>
    </w:p>
    <w:p w14:paraId="3474FF37">
      <w:pPr>
        <w:spacing w:line="380" w:lineRule="exact"/>
        <w:ind w:firstLine="420" w:firstLineChars="200"/>
        <w:rPr>
          <w:rFonts w:hAnsi="仿宋"/>
          <w:sz w:val="21"/>
          <w:szCs w:val="21"/>
        </w:rPr>
      </w:pPr>
      <w:r>
        <w:rPr>
          <w:rFonts w:hint="eastAsia" w:hAnsi="仿宋"/>
          <w:sz w:val="21"/>
          <w:szCs w:val="21"/>
        </w:rPr>
        <w:t>工期总日历天数</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u w:val="single"/>
        </w:rPr>
        <w:t xml:space="preserve">    </w:t>
      </w:r>
      <w:r>
        <w:rPr>
          <w:rFonts w:hint="eastAsia" w:hAnsi="仿宋" w:eastAsiaTheme="minorEastAsia"/>
          <w:sz w:val="21"/>
          <w:szCs w:val="21"/>
        </w:rPr>
        <w:t>天</w:t>
      </w:r>
      <w:r>
        <w:rPr>
          <w:rFonts w:hint="eastAsia" w:hAnsi="仿宋"/>
          <w:sz w:val="21"/>
          <w:szCs w:val="21"/>
        </w:rPr>
        <w:t>。自发包人通知开工之日起算。工期总日历天数与根据前述计划开、竣工日期计算的工期天数不一致的，以工期总日历天数为准。</w:t>
      </w:r>
    </w:p>
    <w:p w14:paraId="72D197ED">
      <w:pPr>
        <w:pStyle w:val="8"/>
        <w:keepNext w:val="0"/>
        <w:keepLines w:val="0"/>
        <w:spacing w:before="0" w:after="0" w:line="380" w:lineRule="exact"/>
        <w:rPr>
          <w:rFonts w:ascii="黑体" w:hAnsi="黑体"/>
          <w:bCs w:val="0"/>
          <w:sz w:val="21"/>
          <w:szCs w:val="21"/>
        </w:rPr>
      </w:pPr>
      <w:bookmarkStart w:id="25" w:name="_Toc351203483"/>
      <w:r>
        <w:rPr>
          <w:rFonts w:hint="eastAsia" w:ascii="黑体" w:hAnsi="黑体"/>
          <w:b w:val="0"/>
          <w:sz w:val="21"/>
          <w:szCs w:val="21"/>
        </w:rPr>
        <w:t>三、质量标准</w:t>
      </w:r>
      <w:bookmarkEnd w:id="25"/>
    </w:p>
    <w:p w14:paraId="5C7A4C06">
      <w:pPr>
        <w:spacing w:line="380" w:lineRule="exact"/>
        <w:ind w:firstLine="459"/>
        <w:rPr>
          <w:rFonts w:hAnsi="仿宋"/>
          <w:sz w:val="21"/>
          <w:szCs w:val="21"/>
        </w:rPr>
      </w:pPr>
      <w:r>
        <w:rPr>
          <w:rFonts w:hint="eastAsia" w:hAnsi="仿宋"/>
          <w:sz w:val="21"/>
          <w:szCs w:val="21"/>
        </w:rPr>
        <w:t>工程质量符合</w:t>
      </w:r>
      <w:r>
        <w:rPr>
          <w:rFonts w:hint="eastAsia" w:hAnsi="仿宋" w:eastAsia="宋体"/>
          <w:sz w:val="21"/>
          <w:szCs w:val="21"/>
          <w:u w:val="single"/>
        </w:rPr>
        <w:t>合格</w:t>
      </w:r>
      <w:r>
        <w:rPr>
          <w:rFonts w:hint="eastAsia" w:hAnsi="仿宋"/>
          <w:sz w:val="21"/>
          <w:szCs w:val="21"/>
        </w:rPr>
        <w:t>标准。</w:t>
      </w:r>
    </w:p>
    <w:p w14:paraId="15903569">
      <w:pPr>
        <w:pStyle w:val="8"/>
        <w:keepNext w:val="0"/>
        <w:keepLines w:val="0"/>
        <w:spacing w:before="0" w:after="0" w:line="380" w:lineRule="exact"/>
        <w:rPr>
          <w:rFonts w:ascii="黑体" w:hAnsi="黑体"/>
          <w:bCs w:val="0"/>
          <w:sz w:val="21"/>
          <w:szCs w:val="21"/>
        </w:rPr>
      </w:pPr>
      <w:bookmarkStart w:id="26" w:name="_Toc351203484"/>
      <w:r>
        <w:rPr>
          <w:rFonts w:hint="eastAsia" w:ascii="黑体" w:hAnsi="黑体"/>
          <w:b w:val="0"/>
          <w:sz w:val="21"/>
          <w:szCs w:val="21"/>
        </w:rPr>
        <w:t>四、签约合同价与合同价格形式</w:t>
      </w:r>
      <w:bookmarkEnd w:id="26"/>
    </w:p>
    <w:p w14:paraId="6C5A3A38">
      <w:pPr>
        <w:spacing w:line="380" w:lineRule="exact"/>
        <w:ind w:firstLine="420" w:firstLineChars="200"/>
        <w:rPr>
          <w:rFonts w:hAnsi="仿宋"/>
          <w:sz w:val="21"/>
          <w:szCs w:val="21"/>
        </w:rPr>
      </w:pPr>
      <w:r>
        <w:rPr>
          <w:rFonts w:hint="eastAsia" w:hAnsi="仿宋"/>
          <w:sz w:val="21"/>
          <w:szCs w:val="21"/>
        </w:rPr>
        <w:t>1．签约合同价为：</w:t>
      </w:r>
    </w:p>
    <w:p w14:paraId="1CE042CB">
      <w:pPr>
        <w:spacing w:line="380" w:lineRule="exact"/>
        <w:ind w:firstLine="420" w:firstLineChars="200"/>
        <w:rPr>
          <w:rFonts w:hAnsi="仿宋"/>
          <w:sz w:val="21"/>
          <w:szCs w:val="21"/>
        </w:rPr>
      </w:pPr>
      <w:r>
        <w:rPr>
          <w:rFonts w:hint="eastAsia" w:hAnsi="仿宋"/>
          <w:sz w:val="21"/>
          <w:szCs w:val="21"/>
        </w:rPr>
        <w:t>人民币（大写）</w:t>
      </w:r>
      <w:r>
        <w:rPr>
          <w:rFonts w:hint="eastAsia" w:asciiTheme="minorEastAsia" w:hAnsiTheme="minorEastAsia" w:eastAsiaTheme="minorEastAsia"/>
          <w:sz w:val="21"/>
          <w:szCs w:val="21"/>
          <w:u w:val="single"/>
        </w:rPr>
        <w:t xml:space="preserve">            </w:t>
      </w:r>
      <w:r>
        <w:rPr>
          <w:rFonts w:hint="eastAsia" w:hAnsi="仿宋"/>
          <w:sz w:val="21"/>
          <w:szCs w:val="21"/>
        </w:rPr>
        <w:t>（</w:t>
      </w:r>
      <w:r>
        <w:rPr>
          <w:rFonts w:hint="eastAsia"/>
          <w:sz w:val="21"/>
          <w:szCs w:val="21"/>
        </w:rPr>
        <w:t>¥</w:t>
      </w:r>
      <w:r>
        <w:rPr>
          <w:rFonts w:hint="eastAsia" w:asciiTheme="minorEastAsia" w:hAnsiTheme="minorEastAsia" w:eastAsiaTheme="minorEastAsia"/>
          <w:sz w:val="21"/>
          <w:szCs w:val="21"/>
          <w:u w:val="single"/>
        </w:rPr>
        <w:t xml:space="preserve">        </w:t>
      </w:r>
      <w:r>
        <w:rPr>
          <w:rFonts w:hint="eastAsia" w:hAnsi="仿宋"/>
          <w:sz w:val="21"/>
          <w:szCs w:val="21"/>
        </w:rPr>
        <w:t>元）；</w:t>
      </w:r>
    </w:p>
    <w:p w14:paraId="283CC6C8">
      <w:pPr>
        <w:spacing w:line="380" w:lineRule="exact"/>
        <w:ind w:firstLine="420" w:firstLineChars="200"/>
        <w:rPr>
          <w:rFonts w:hAnsi="仿宋"/>
          <w:sz w:val="21"/>
          <w:szCs w:val="21"/>
          <w:u w:val="single"/>
        </w:rPr>
      </w:pPr>
      <w:r>
        <w:rPr>
          <w:rFonts w:hint="eastAsia" w:hAnsi="仿宋"/>
          <w:sz w:val="21"/>
          <w:szCs w:val="21"/>
        </w:rPr>
        <w:t>2．合同价格形式：</w:t>
      </w:r>
      <w:r>
        <w:rPr>
          <w:rFonts w:hint="eastAsia" w:hAnsi="仿宋" w:eastAsia="宋体"/>
          <w:sz w:val="21"/>
          <w:szCs w:val="21"/>
          <w:u w:val="single"/>
        </w:rPr>
        <w:t>固定结算率、可调总价，工程量按实结算</w:t>
      </w:r>
      <w:r>
        <w:rPr>
          <w:rFonts w:hint="eastAsia" w:hAnsi="仿宋"/>
          <w:sz w:val="21"/>
          <w:szCs w:val="21"/>
          <w:u w:val="single"/>
        </w:rPr>
        <w:t>。</w:t>
      </w:r>
      <w:r>
        <w:rPr>
          <w:rFonts w:hint="eastAsia" w:ascii="宋体" w:hAnsi="宋体" w:eastAsia="宋体" w:cs="宋体"/>
          <w:sz w:val="21"/>
          <w:szCs w:val="21"/>
          <w:u w:val="single"/>
        </w:rPr>
        <w:t>本工程结算率一次性包死，结算率=报标报价/招标控制价*100%；结算审定金额不得超过签约合同价，若超过签约合同价的，以签约合同价作为最高结算价。其他具体详见专用条款。</w:t>
      </w:r>
    </w:p>
    <w:p w14:paraId="06D676D1">
      <w:pPr>
        <w:spacing w:line="380" w:lineRule="exact"/>
        <w:ind w:firstLine="420" w:firstLineChars="200"/>
        <w:rPr>
          <w:rFonts w:hAnsi="仿宋"/>
          <w:sz w:val="21"/>
          <w:szCs w:val="21"/>
        </w:rPr>
      </w:pPr>
      <w:r>
        <w:rPr>
          <w:rFonts w:hint="eastAsia" w:hAnsi="仿宋"/>
          <w:sz w:val="21"/>
          <w:szCs w:val="21"/>
        </w:rPr>
        <w:t>3．发包人向承包人支付工程价款及其他应当支付的款项均须汇入承包人合同协议书中的银行账户。</w:t>
      </w:r>
    </w:p>
    <w:p w14:paraId="5F6CF1B6">
      <w:pPr>
        <w:spacing w:line="380" w:lineRule="exact"/>
        <w:ind w:firstLine="352" w:firstLineChars="168"/>
        <w:rPr>
          <w:rFonts w:hAnsi="仿宋"/>
          <w:sz w:val="21"/>
          <w:szCs w:val="21"/>
        </w:rPr>
      </w:pPr>
      <w:r>
        <w:rPr>
          <w:rFonts w:hint="eastAsia" w:hAnsi="仿宋"/>
          <w:sz w:val="21"/>
          <w:szCs w:val="21"/>
          <w:shd w:val="clear" w:color="auto" w:fill="FFFFFF"/>
        </w:rPr>
        <w:t>承包人完成本合同项下应税行为的计税方式按</w:t>
      </w:r>
      <w:r>
        <w:rPr>
          <w:rFonts w:hint="eastAsia" w:hAnsi="仿宋"/>
          <w:sz w:val="21"/>
          <w:szCs w:val="21"/>
        </w:rPr>
        <w:t>以下第</w:t>
      </w:r>
      <w:r>
        <w:rPr>
          <w:rFonts w:hint="eastAsia" w:hAnsi="仿宋" w:eastAsia="宋体"/>
          <w:sz w:val="21"/>
          <w:szCs w:val="21"/>
          <w:u w:val="single"/>
          <w:shd w:val="clear" w:color="auto" w:fill="FFFFFF"/>
        </w:rPr>
        <w:t>（1）</w:t>
      </w:r>
      <w:r>
        <w:rPr>
          <w:rFonts w:hint="eastAsia" w:hAnsi="仿宋"/>
          <w:sz w:val="21"/>
          <w:szCs w:val="21"/>
          <w:shd w:val="clear" w:color="auto" w:fill="FFFFFF"/>
        </w:rPr>
        <w:t>种方法，并与</w:t>
      </w:r>
      <w:r>
        <w:rPr>
          <w:rFonts w:hint="eastAsia" w:hAnsi="仿宋"/>
          <w:sz w:val="21"/>
          <w:szCs w:val="21"/>
        </w:rPr>
        <w:t>工程计价时采用的计税方法一致。</w:t>
      </w:r>
    </w:p>
    <w:p w14:paraId="3D5140E4">
      <w:pPr>
        <w:spacing w:line="380" w:lineRule="exact"/>
        <w:ind w:firstLine="352" w:firstLineChars="168"/>
        <w:rPr>
          <w:rFonts w:hAnsi="仿宋"/>
          <w:sz w:val="21"/>
          <w:szCs w:val="21"/>
        </w:rPr>
      </w:pPr>
      <w:r>
        <w:rPr>
          <w:rFonts w:hint="eastAsia" w:hAnsi="仿宋"/>
          <w:sz w:val="21"/>
          <w:szCs w:val="21"/>
          <w:shd w:val="clear" w:color="auto" w:fill="FFFFFF"/>
        </w:rPr>
        <w:t>（1）一般计税方法。</w:t>
      </w:r>
    </w:p>
    <w:p w14:paraId="7520F2BC">
      <w:pPr>
        <w:spacing w:line="380" w:lineRule="exact"/>
        <w:ind w:firstLine="352" w:firstLineChars="168"/>
        <w:rPr>
          <w:rFonts w:hAnsi="仿宋"/>
          <w:sz w:val="21"/>
          <w:szCs w:val="21"/>
        </w:rPr>
      </w:pPr>
      <w:r>
        <w:rPr>
          <w:rFonts w:hint="eastAsia" w:hAnsi="仿宋"/>
          <w:sz w:val="21"/>
          <w:szCs w:val="21"/>
        </w:rPr>
        <w:t>（2）</w:t>
      </w:r>
      <w:r>
        <w:rPr>
          <w:rFonts w:hint="eastAsia" w:hAnsi="仿宋"/>
          <w:sz w:val="21"/>
          <w:szCs w:val="21"/>
          <w:shd w:val="clear" w:color="auto" w:fill="FFFFFF"/>
        </w:rPr>
        <w:t>简易计税方法。</w:t>
      </w:r>
    </w:p>
    <w:p w14:paraId="16B8E1A9">
      <w:pPr>
        <w:pStyle w:val="8"/>
        <w:keepNext w:val="0"/>
        <w:keepLines w:val="0"/>
        <w:spacing w:before="0" w:after="0" w:line="380" w:lineRule="exact"/>
        <w:rPr>
          <w:rFonts w:ascii="黑体" w:hAnsi="黑体"/>
          <w:b w:val="0"/>
          <w:sz w:val="21"/>
          <w:szCs w:val="21"/>
        </w:rPr>
      </w:pPr>
      <w:bookmarkStart w:id="27" w:name="_Toc351203485"/>
      <w:r>
        <w:rPr>
          <w:rFonts w:hint="eastAsia" w:ascii="黑体" w:hAnsi="黑体"/>
          <w:b w:val="0"/>
          <w:sz w:val="21"/>
          <w:szCs w:val="21"/>
        </w:rPr>
        <w:t>五、</w:t>
      </w:r>
      <w:bookmarkEnd w:id="27"/>
      <w:r>
        <w:rPr>
          <w:rFonts w:hint="eastAsia" w:ascii="黑体" w:hAnsi="黑体"/>
          <w:b w:val="0"/>
          <w:sz w:val="21"/>
          <w:szCs w:val="21"/>
        </w:rPr>
        <w:t>项目经理</w:t>
      </w:r>
    </w:p>
    <w:p w14:paraId="27EDAAF4">
      <w:pPr>
        <w:spacing w:line="380" w:lineRule="exact"/>
        <w:ind w:firstLine="420" w:firstLineChars="200"/>
        <w:rPr>
          <w:rFonts w:hAnsi="仿宋"/>
          <w:sz w:val="21"/>
          <w:szCs w:val="21"/>
        </w:rPr>
      </w:pPr>
      <w:r>
        <w:rPr>
          <w:rFonts w:hint="eastAsia" w:hAnsi="仿宋"/>
          <w:sz w:val="21"/>
          <w:szCs w:val="21"/>
        </w:rPr>
        <w:t>承包人项目经理：</w:t>
      </w:r>
      <w:r>
        <w:rPr>
          <w:rFonts w:hint="eastAsia" w:asciiTheme="minorEastAsia" w:hAnsiTheme="minorEastAsia" w:eastAsiaTheme="minorEastAsia"/>
          <w:sz w:val="21"/>
          <w:szCs w:val="21"/>
          <w:u w:val="single"/>
        </w:rPr>
        <w:t xml:space="preserve">           </w:t>
      </w:r>
      <w:r>
        <w:rPr>
          <w:rFonts w:hint="eastAsia" w:hAnsi="仿宋"/>
          <w:sz w:val="21"/>
          <w:szCs w:val="21"/>
        </w:rPr>
        <w:t>。</w:t>
      </w:r>
    </w:p>
    <w:p w14:paraId="25ADAEC5">
      <w:pPr>
        <w:pStyle w:val="8"/>
        <w:keepNext w:val="0"/>
        <w:keepLines w:val="0"/>
        <w:spacing w:before="0" w:after="0" w:line="380" w:lineRule="exact"/>
        <w:rPr>
          <w:rFonts w:ascii="黑体" w:hAnsi="黑体"/>
          <w:bCs w:val="0"/>
          <w:sz w:val="21"/>
          <w:szCs w:val="21"/>
        </w:rPr>
      </w:pPr>
      <w:bookmarkStart w:id="28" w:name="_Toc351203486"/>
      <w:r>
        <w:rPr>
          <w:rFonts w:hint="eastAsia" w:ascii="黑体" w:hAnsi="黑体"/>
          <w:b w:val="0"/>
          <w:sz w:val="21"/>
          <w:szCs w:val="21"/>
        </w:rPr>
        <w:t>六、合同文件构成</w:t>
      </w:r>
      <w:bookmarkEnd w:id="28"/>
    </w:p>
    <w:p w14:paraId="1C328CC4">
      <w:pPr>
        <w:spacing w:line="380" w:lineRule="exact"/>
        <w:ind w:firstLine="420" w:firstLineChars="200"/>
        <w:rPr>
          <w:rFonts w:hAnsi="仿宋"/>
          <w:bCs/>
          <w:sz w:val="21"/>
          <w:szCs w:val="21"/>
        </w:rPr>
      </w:pPr>
      <w:r>
        <w:rPr>
          <w:rFonts w:hint="eastAsia" w:hAnsi="仿宋"/>
          <w:bCs/>
          <w:sz w:val="21"/>
          <w:szCs w:val="21"/>
        </w:rPr>
        <w:t>本协议书与下列文件一起构成合同文件：</w:t>
      </w:r>
    </w:p>
    <w:p w14:paraId="4214A7A8">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协议书；</w:t>
      </w:r>
    </w:p>
    <w:p w14:paraId="0965D958">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中标通知书；</w:t>
      </w:r>
    </w:p>
    <w:p w14:paraId="5AF86C76">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磋商响应文件及其附件（含报价明细表）；</w:t>
      </w:r>
    </w:p>
    <w:p w14:paraId="064A0A00">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专用合同条款及其附件；</w:t>
      </w:r>
    </w:p>
    <w:p w14:paraId="7DB18AE7">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磋商文件及磋商补充文件；</w:t>
      </w:r>
    </w:p>
    <w:p w14:paraId="42C30433">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图纸；</w:t>
      </w:r>
    </w:p>
    <w:p w14:paraId="5E37ECA4">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标准、规范及有关技术文件；</w:t>
      </w:r>
    </w:p>
    <w:p w14:paraId="7318D849">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工程质量保修书；</w:t>
      </w:r>
    </w:p>
    <w:p w14:paraId="312C8682">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通用合同条款；</w:t>
      </w:r>
    </w:p>
    <w:p w14:paraId="79988EC1">
      <w:pPr>
        <w:numPr>
          <w:ilvl w:val="0"/>
          <w:numId w:val="3"/>
        </w:numPr>
        <w:autoSpaceDE w:val="0"/>
        <w:autoSpaceDN w:val="0"/>
        <w:adjustRightInd w:val="0"/>
        <w:spacing w:line="380" w:lineRule="exact"/>
        <w:ind w:firstLine="420" w:firstLineChars="200"/>
        <w:rPr>
          <w:rFonts w:hAnsi="仿宋"/>
          <w:sz w:val="21"/>
          <w:szCs w:val="21"/>
        </w:rPr>
      </w:pPr>
      <w:r>
        <w:rPr>
          <w:rFonts w:hint="eastAsia" w:hAnsi="仿宋"/>
          <w:sz w:val="21"/>
          <w:szCs w:val="21"/>
        </w:rPr>
        <w:t>其他合同文件。</w:t>
      </w:r>
    </w:p>
    <w:p w14:paraId="6C6876E0">
      <w:pPr>
        <w:autoSpaceDE w:val="0"/>
        <w:autoSpaceDN w:val="0"/>
        <w:adjustRightInd w:val="0"/>
        <w:spacing w:line="380" w:lineRule="exact"/>
        <w:ind w:firstLine="420" w:firstLineChars="200"/>
        <w:rPr>
          <w:rFonts w:hAnsi="仿宋"/>
          <w:sz w:val="21"/>
          <w:szCs w:val="21"/>
        </w:rPr>
      </w:pPr>
      <w:r>
        <w:rPr>
          <w:rFonts w:hint="eastAsia" w:hAnsi="仿宋"/>
          <w:sz w:val="21"/>
          <w:szCs w:val="21"/>
        </w:rPr>
        <w:t>在合同订立及履行过程中形成的与合同有关的文件均构成合同文件组成部分。</w:t>
      </w:r>
    </w:p>
    <w:p w14:paraId="22DD145F">
      <w:pPr>
        <w:autoSpaceDE w:val="0"/>
        <w:autoSpaceDN w:val="0"/>
        <w:adjustRightInd w:val="0"/>
        <w:spacing w:line="380" w:lineRule="exact"/>
        <w:ind w:firstLine="420" w:firstLineChars="200"/>
        <w:rPr>
          <w:rFonts w:hAnsi="仿宋"/>
          <w:sz w:val="21"/>
          <w:szCs w:val="21"/>
        </w:rPr>
      </w:pPr>
      <w:r>
        <w:rPr>
          <w:rFonts w:hint="eastAsia" w:hAnsi="仿宋"/>
          <w:sz w:val="21"/>
          <w:szCs w:val="21"/>
        </w:rPr>
        <w:t>上述各项合同文件包括合同当事人就该项合同文件所作出的补充和修改，属于同一类内容的文件，应以最新签署的为准。专用合同条款及其附件须经合同当事人签字或盖章。</w:t>
      </w:r>
    </w:p>
    <w:p w14:paraId="01B05165">
      <w:pPr>
        <w:pStyle w:val="8"/>
        <w:keepNext w:val="0"/>
        <w:keepLines w:val="0"/>
        <w:spacing w:before="0" w:after="0" w:line="380" w:lineRule="exact"/>
        <w:ind w:firstLine="315" w:firstLineChars="150"/>
        <w:rPr>
          <w:rFonts w:ascii="黑体" w:hAnsi="黑体"/>
          <w:b w:val="0"/>
          <w:sz w:val="21"/>
          <w:szCs w:val="21"/>
        </w:rPr>
      </w:pPr>
      <w:r>
        <w:rPr>
          <w:rFonts w:hint="eastAsia" w:ascii="黑体" w:hAnsi="黑体"/>
          <w:b w:val="0"/>
          <w:sz w:val="21"/>
          <w:szCs w:val="21"/>
        </w:rPr>
        <w:t>七、创优目标</w:t>
      </w:r>
    </w:p>
    <w:p w14:paraId="301DC515">
      <w:pPr>
        <w:autoSpaceDE w:val="0"/>
        <w:autoSpaceDN w:val="0"/>
        <w:adjustRightInd w:val="0"/>
        <w:spacing w:line="380" w:lineRule="exact"/>
        <w:ind w:firstLine="420" w:firstLineChars="200"/>
        <w:rPr>
          <w:rFonts w:hAnsi="仿宋"/>
          <w:sz w:val="21"/>
          <w:szCs w:val="21"/>
          <w:u w:val="single"/>
        </w:rPr>
      </w:pPr>
      <w:r>
        <w:rPr>
          <w:rFonts w:hint="eastAsia" w:hAnsi="仿宋"/>
          <w:sz w:val="21"/>
          <w:szCs w:val="21"/>
        </w:rPr>
        <w:t>工程质量创</w:t>
      </w:r>
      <w:r>
        <w:rPr>
          <w:rFonts w:hint="eastAsia" w:hAnsi="仿宋"/>
          <w:sz w:val="21"/>
          <w:szCs w:val="21"/>
          <w:u w:val="single"/>
        </w:rPr>
        <w:t>/ 。</w:t>
      </w:r>
    </w:p>
    <w:p w14:paraId="3868F60C">
      <w:pPr>
        <w:autoSpaceDE w:val="0"/>
        <w:autoSpaceDN w:val="0"/>
        <w:adjustRightInd w:val="0"/>
        <w:spacing w:line="380" w:lineRule="exact"/>
        <w:ind w:firstLine="420" w:firstLineChars="200"/>
        <w:rPr>
          <w:rFonts w:hAnsi="仿宋"/>
          <w:sz w:val="21"/>
          <w:szCs w:val="21"/>
          <w:u w:val="single"/>
        </w:rPr>
      </w:pPr>
      <w:r>
        <w:rPr>
          <w:rFonts w:hint="eastAsia" w:hAnsi="仿宋"/>
          <w:sz w:val="21"/>
          <w:szCs w:val="21"/>
        </w:rPr>
        <w:t>安全文明施工创</w:t>
      </w:r>
      <w:r>
        <w:rPr>
          <w:rFonts w:hint="eastAsia" w:hAnsi="仿宋"/>
          <w:sz w:val="21"/>
          <w:szCs w:val="21"/>
          <w:u w:val="single"/>
        </w:rPr>
        <w:t xml:space="preserve">   /      。</w:t>
      </w:r>
    </w:p>
    <w:p w14:paraId="4CE5A926">
      <w:pPr>
        <w:pStyle w:val="8"/>
        <w:keepNext w:val="0"/>
        <w:keepLines w:val="0"/>
        <w:spacing w:before="0" w:after="0" w:line="380" w:lineRule="exact"/>
        <w:ind w:firstLine="420" w:firstLineChars="200"/>
        <w:rPr>
          <w:rFonts w:ascii="黑体" w:hAnsi="黑体"/>
          <w:b w:val="0"/>
          <w:bCs w:val="0"/>
          <w:sz w:val="21"/>
          <w:szCs w:val="21"/>
        </w:rPr>
      </w:pPr>
      <w:bookmarkStart w:id="29" w:name="_Toc351203487"/>
      <w:r>
        <w:rPr>
          <w:rFonts w:hint="eastAsia" w:ascii="黑体" w:hAnsi="黑体"/>
          <w:b w:val="0"/>
          <w:sz w:val="21"/>
          <w:szCs w:val="21"/>
        </w:rPr>
        <w:t>八、承诺</w:t>
      </w:r>
      <w:bookmarkEnd w:id="29"/>
    </w:p>
    <w:p w14:paraId="7D8AE947">
      <w:pPr>
        <w:spacing w:line="380" w:lineRule="exact"/>
        <w:ind w:firstLine="420" w:firstLineChars="200"/>
        <w:rPr>
          <w:rFonts w:hAnsi="仿宋"/>
          <w:bCs/>
          <w:sz w:val="21"/>
          <w:szCs w:val="21"/>
        </w:rPr>
      </w:pPr>
      <w:r>
        <w:rPr>
          <w:rFonts w:hint="eastAsia" w:hAnsi="仿宋"/>
          <w:bCs/>
          <w:sz w:val="21"/>
          <w:szCs w:val="21"/>
        </w:rPr>
        <w:t>1．发包人承诺按照法律规定履行项目审批手续、筹集工程建设资金并按照合同约定的期限和方式支付合同价款。</w:t>
      </w:r>
    </w:p>
    <w:p w14:paraId="461E1123">
      <w:pPr>
        <w:spacing w:line="380" w:lineRule="exact"/>
        <w:ind w:firstLine="420" w:firstLineChars="200"/>
        <w:rPr>
          <w:rFonts w:hAnsi="仿宋"/>
          <w:bCs/>
          <w:sz w:val="21"/>
          <w:szCs w:val="21"/>
        </w:rPr>
      </w:pPr>
      <w:r>
        <w:rPr>
          <w:rFonts w:hint="eastAsia" w:hAnsi="仿宋"/>
          <w:bCs/>
          <w:sz w:val="21"/>
          <w:szCs w:val="21"/>
        </w:rPr>
        <w:t>2．承包人承诺按照法律规定及合同约定组织完成工程施工，确保工程质量和安全，不进行转包及违法分包，并在缺陷责任期及保修期内承担相应的工程维修责任。</w:t>
      </w:r>
    </w:p>
    <w:p w14:paraId="0AE5CBE9">
      <w:pPr>
        <w:tabs>
          <w:tab w:val="left" w:pos="0"/>
        </w:tabs>
        <w:spacing w:line="380" w:lineRule="exact"/>
        <w:ind w:firstLine="420" w:firstLineChars="200"/>
        <w:rPr>
          <w:rFonts w:hAnsi="仿宋"/>
          <w:kern w:val="0"/>
          <w:sz w:val="21"/>
          <w:szCs w:val="21"/>
        </w:rPr>
      </w:pPr>
      <w:r>
        <w:rPr>
          <w:rFonts w:hint="eastAsia" w:hAnsi="仿宋"/>
          <w:bCs/>
          <w:sz w:val="21"/>
          <w:szCs w:val="21"/>
        </w:rPr>
        <w:t xml:space="preserve">3. </w:t>
      </w:r>
      <w:r>
        <w:rPr>
          <w:rFonts w:hint="eastAsia" w:hAnsi="仿宋"/>
          <w:kern w:val="0"/>
          <w:sz w:val="21"/>
          <w:szCs w:val="21"/>
        </w:rPr>
        <w:t>承包人</w:t>
      </w:r>
      <w:r>
        <w:rPr>
          <w:rFonts w:hint="eastAsia" w:hAnsi="仿宋"/>
          <w:bCs/>
          <w:sz w:val="21"/>
          <w:szCs w:val="21"/>
        </w:rPr>
        <w:t>承诺</w:t>
      </w:r>
      <w:r>
        <w:rPr>
          <w:rFonts w:hint="eastAsia" w:hAnsi="仿宋"/>
          <w:kern w:val="0"/>
          <w:sz w:val="21"/>
          <w:szCs w:val="21"/>
        </w:rPr>
        <w:t>不拖欠工人工资，因拖欠工资造成的一切后果，均由承包人承担，发包人有权将应拔付的工程款，先代付工人工资。</w:t>
      </w:r>
    </w:p>
    <w:p w14:paraId="02CBC06F">
      <w:pPr>
        <w:spacing w:line="380" w:lineRule="exact"/>
        <w:ind w:firstLine="420" w:firstLineChars="200"/>
        <w:rPr>
          <w:rFonts w:hAnsi="仿宋"/>
          <w:bCs/>
          <w:sz w:val="21"/>
          <w:szCs w:val="21"/>
        </w:rPr>
      </w:pPr>
      <w:r>
        <w:rPr>
          <w:rFonts w:hint="eastAsia" w:hAnsi="仿宋"/>
          <w:bCs/>
          <w:sz w:val="21"/>
          <w:szCs w:val="21"/>
        </w:rPr>
        <w:t>4．发包人和承包人通过招投标形式签订合同的，双方理解并承诺不再就同一工程另行签订与合同实质性内容相背离的协议。</w:t>
      </w:r>
    </w:p>
    <w:p w14:paraId="2326CA3B">
      <w:pPr>
        <w:spacing w:line="380" w:lineRule="exact"/>
        <w:rPr>
          <w:rFonts w:ascii="黑体" w:hAnsi="黑体" w:eastAsia="黑体"/>
          <w:bCs/>
          <w:sz w:val="21"/>
          <w:szCs w:val="21"/>
        </w:rPr>
      </w:pPr>
      <w:bookmarkStart w:id="30" w:name="_Toc351203488"/>
      <w:r>
        <w:rPr>
          <w:rFonts w:hint="eastAsia" w:ascii="黑体" w:hAnsi="黑体" w:eastAsia="黑体"/>
          <w:sz w:val="21"/>
          <w:szCs w:val="21"/>
        </w:rPr>
        <w:t>九、词语含义</w:t>
      </w:r>
      <w:bookmarkEnd w:id="30"/>
    </w:p>
    <w:p w14:paraId="1CA4D5FF">
      <w:pPr>
        <w:spacing w:line="380" w:lineRule="exact"/>
        <w:ind w:firstLine="420" w:firstLineChars="200"/>
        <w:rPr>
          <w:rFonts w:hAnsi="仿宋"/>
          <w:bCs/>
          <w:sz w:val="21"/>
          <w:szCs w:val="21"/>
        </w:rPr>
      </w:pPr>
      <w:r>
        <w:rPr>
          <w:rFonts w:hint="eastAsia" w:hAnsi="仿宋"/>
          <w:bCs/>
          <w:sz w:val="21"/>
          <w:szCs w:val="21"/>
        </w:rPr>
        <w:t>本协议书中词语含义与第二部分通用合同条款中赋予的含义相同。</w:t>
      </w:r>
    </w:p>
    <w:p w14:paraId="0B9C368C">
      <w:pPr>
        <w:pStyle w:val="8"/>
        <w:keepNext w:val="0"/>
        <w:keepLines w:val="0"/>
        <w:spacing w:before="0" w:after="0" w:line="380" w:lineRule="exact"/>
        <w:rPr>
          <w:rFonts w:ascii="黑体" w:hAnsi="黑体"/>
          <w:bCs w:val="0"/>
          <w:sz w:val="21"/>
          <w:szCs w:val="21"/>
        </w:rPr>
      </w:pPr>
      <w:bookmarkStart w:id="31" w:name="_Toc351203489"/>
      <w:r>
        <w:rPr>
          <w:rFonts w:hint="eastAsia" w:ascii="黑体" w:hAnsi="黑体"/>
          <w:b w:val="0"/>
          <w:sz w:val="21"/>
          <w:szCs w:val="21"/>
        </w:rPr>
        <w:t>十、签订时间</w:t>
      </w:r>
      <w:bookmarkEnd w:id="31"/>
    </w:p>
    <w:p w14:paraId="1A019879">
      <w:pPr>
        <w:spacing w:line="380" w:lineRule="exact"/>
        <w:ind w:firstLine="420" w:firstLineChars="200"/>
        <w:rPr>
          <w:rFonts w:hAnsi="仿宋"/>
          <w:bCs/>
          <w:sz w:val="21"/>
          <w:szCs w:val="21"/>
        </w:rPr>
      </w:pPr>
      <w:r>
        <w:rPr>
          <w:rFonts w:hint="eastAsia" w:hAnsi="仿宋"/>
          <w:bCs/>
          <w:sz w:val="21"/>
          <w:szCs w:val="21"/>
        </w:rPr>
        <w:t>本合同于</w:t>
      </w:r>
      <w:r>
        <w:rPr>
          <w:rFonts w:hint="eastAsia" w:hAnsi="仿宋" w:eastAsia="宋体"/>
          <w:bCs/>
          <w:sz w:val="21"/>
          <w:szCs w:val="21"/>
          <w:u w:val="single"/>
        </w:rPr>
        <w:t>2025</w:t>
      </w:r>
      <w:r>
        <w:rPr>
          <w:rFonts w:hint="eastAsia" w:hAnsi="仿宋" w:eastAsia="宋体"/>
          <w:bCs/>
          <w:sz w:val="21"/>
          <w:szCs w:val="21"/>
        </w:rPr>
        <w:t>年</w:t>
      </w:r>
      <w:r>
        <w:rPr>
          <w:rFonts w:hint="eastAsia" w:asciiTheme="minorEastAsia" w:hAnsiTheme="minorEastAsia" w:eastAsiaTheme="minorEastAsia"/>
          <w:sz w:val="21"/>
          <w:szCs w:val="21"/>
        </w:rPr>
        <w:t xml:space="preserve"> </w:t>
      </w:r>
      <w:r>
        <w:rPr>
          <w:rFonts w:hint="eastAsia" w:asciiTheme="minorEastAsia" w:hAnsiTheme="minorEastAsia" w:eastAsiaTheme="minorEastAsia"/>
          <w:sz w:val="21"/>
          <w:szCs w:val="21"/>
          <w:u w:val="single"/>
        </w:rPr>
        <w:t xml:space="preserve">   </w:t>
      </w:r>
      <w:r>
        <w:rPr>
          <w:rFonts w:hint="eastAsia" w:hAnsi="仿宋"/>
          <w:bCs/>
          <w:sz w:val="21"/>
          <w:szCs w:val="21"/>
        </w:rPr>
        <w:t>月</w:t>
      </w:r>
      <w:r>
        <w:rPr>
          <w:rFonts w:hint="eastAsia" w:asciiTheme="minorEastAsia" w:hAnsiTheme="minorEastAsia" w:eastAsiaTheme="minorEastAsia"/>
          <w:sz w:val="21"/>
          <w:szCs w:val="21"/>
          <w:u w:val="single"/>
        </w:rPr>
        <w:t xml:space="preserve">    </w:t>
      </w:r>
      <w:r>
        <w:rPr>
          <w:rFonts w:hint="eastAsia" w:hAnsi="仿宋"/>
          <w:bCs/>
          <w:sz w:val="21"/>
          <w:szCs w:val="21"/>
        </w:rPr>
        <w:t>日签订。</w:t>
      </w:r>
    </w:p>
    <w:p w14:paraId="279F03DC">
      <w:pPr>
        <w:pStyle w:val="8"/>
        <w:keepNext w:val="0"/>
        <w:keepLines w:val="0"/>
        <w:spacing w:before="0" w:after="0" w:line="380" w:lineRule="exact"/>
        <w:rPr>
          <w:rFonts w:ascii="黑体" w:hAnsi="黑体"/>
          <w:bCs w:val="0"/>
          <w:sz w:val="21"/>
          <w:szCs w:val="21"/>
        </w:rPr>
      </w:pPr>
      <w:bookmarkStart w:id="32" w:name="_Toc351203490"/>
      <w:r>
        <w:rPr>
          <w:rFonts w:hint="eastAsia" w:ascii="黑体" w:hAnsi="黑体"/>
          <w:b w:val="0"/>
          <w:sz w:val="21"/>
          <w:szCs w:val="21"/>
        </w:rPr>
        <w:t>十一、签订地点</w:t>
      </w:r>
      <w:bookmarkEnd w:id="32"/>
    </w:p>
    <w:p w14:paraId="6695BF5D">
      <w:pPr>
        <w:spacing w:line="380" w:lineRule="exact"/>
        <w:ind w:firstLine="420" w:firstLineChars="200"/>
        <w:rPr>
          <w:rFonts w:hAnsi="仿宋"/>
          <w:bCs/>
          <w:sz w:val="21"/>
          <w:szCs w:val="21"/>
        </w:rPr>
      </w:pPr>
      <w:r>
        <w:rPr>
          <w:rFonts w:hint="eastAsia" w:hAnsi="仿宋"/>
          <w:bCs/>
          <w:sz w:val="21"/>
          <w:szCs w:val="21"/>
        </w:rPr>
        <w:t>本合同在</w:t>
      </w:r>
      <w:r>
        <w:rPr>
          <w:rFonts w:hint="eastAsia" w:asciiTheme="minorEastAsia" w:hAnsiTheme="minorEastAsia" w:eastAsiaTheme="minorEastAsia"/>
          <w:sz w:val="21"/>
          <w:szCs w:val="21"/>
          <w:u w:val="single"/>
        </w:rPr>
        <w:t xml:space="preserve">               </w:t>
      </w:r>
      <w:r>
        <w:rPr>
          <w:rFonts w:hint="eastAsia" w:hAnsi="仿宋"/>
          <w:bCs/>
          <w:sz w:val="21"/>
          <w:szCs w:val="21"/>
        </w:rPr>
        <w:t>签订。</w:t>
      </w:r>
    </w:p>
    <w:p w14:paraId="30B1F9D8">
      <w:pPr>
        <w:pStyle w:val="8"/>
        <w:keepNext w:val="0"/>
        <w:keepLines w:val="0"/>
        <w:spacing w:before="0" w:after="0" w:line="380" w:lineRule="exact"/>
        <w:rPr>
          <w:rFonts w:ascii="黑体" w:hAnsi="黑体"/>
          <w:bCs w:val="0"/>
          <w:sz w:val="21"/>
          <w:szCs w:val="21"/>
        </w:rPr>
      </w:pPr>
      <w:bookmarkStart w:id="33" w:name="_Toc351203491"/>
      <w:r>
        <w:rPr>
          <w:rFonts w:hint="eastAsia" w:ascii="黑体" w:hAnsi="黑体"/>
          <w:b w:val="0"/>
          <w:sz w:val="21"/>
          <w:szCs w:val="21"/>
        </w:rPr>
        <w:t>十二、补充协议</w:t>
      </w:r>
      <w:bookmarkEnd w:id="33"/>
    </w:p>
    <w:p w14:paraId="085AAA77">
      <w:pPr>
        <w:spacing w:line="380" w:lineRule="exact"/>
        <w:ind w:firstLine="420" w:firstLineChars="200"/>
        <w:rPr>
          <w:rFonts w:hAnsi="仿宋"/>
          <w:b/>
          <w:bCs/>
          <w:sz w:val="21"/>
          <w:szCs w:val="21"/>
        </w:rPr>
      </w:pPr>
      <w:r>
        <w:rPr>
          <w:rFonts w:hint="eastAsia" w:hAnsi="仿宋"/>
          <w:bCs/>
          <w:sz w:val="21"/>
          <w:szCs w:val="21"/>
        </w:rPr>
        <w:t>合同未尽事宜，合同当事人另行签订补充协议，补充协议是合同的组成部分。</w:t>
      </w:r>
    </w:p>
    <w:p w14:paraId="21978C77">
      <w:pPr>
        <w:pStyle w:val="8"/>
        <w:keepNext w:val="0"/>
        <w:keepLines w:val="0"/>
        <w:spacing w:before="0" w:after="0" w:line="380" w:lineRule="exact"/>
        <w:rPr>
          <w:rFonts w:ascii="黑体" w:hAnsi="黑体"/>
          <w:bCs w:val="0"/>
          <w:sz w:val="21"/>
          <w:szCs w:val="21"/>
        </w:rPr>
      </w:pPr>
      <w:bookmarkStart w:id="34" w:name="_Toc351203492"/>
      <w:r>
        <w:rPr>
          <w:rFonts w:hint="eastAsia" w:ascii="黑体" w:hAnsi="黑体"/>
          <w:b w:val="0"/>
          <w:sz w:val="21"/>
          <w:szCs w:val="21"/>
        </w:rPr>
        <w:t>十三、合同生效</w:t>
      </w:r>
      <w:bookmarkEnd w:id="34"/>
    </w:p>
    <w:p w14:paraId="55D3264F">
      <w:pPr>
        <w:spacing w:line="380" w:lineRule="exact"/>
        <w:ind w:firstLine="420" w:firstLineChars="200"/>
        <w:rPr>
          <w:rFonts w:hAnsi="仿宋"/>
          <w:bCs/>
          <w:sz w:val="21"/>
          <w:szCs w:val="21"/>
        </w:rPr>
      </w:pPr>
      <w:r>
        <w:rPr>
          <w:rFonts w:hint="eastAsia" w:hAnsi="仿宋"/>
          <w:bCs/>
          <w:sz w:val="21"/>
          <w:szCs w:val="21"/>
        </w:rPr>
        <w:t>本合同自</w:t>
      </w:r>
      <w:r>
        <w:rPr>
          <w:rFonts w:hint="eastAsia" w:hAnsi="仿宋"/>
          <w:bCs/>
          <w:sz w:val="21"/>
          <w:szCs w:val="21"/>
          <w:u w:val="single"/>
        </w:rPr>
        <w:t>双方法定代表人或委托代理人签字并加盖公章后</w:t>
      </w:r>
      <w:r>
        <w:rPr>
          <w:rFonts w:hint="eastAsia" w:hAnsi="仿宋"/>
          <w:bCs/>
          <w:sz w:val="21"/>
          <w:szCs w:val="21"/>
        </w:rPr>
        <w:t>生效。</w:t>
      </w:r>
    </w:p>
    <w:p w14:paraId="6E2D09E8">
      <w:pPr>
        <w:pStyle w:val="8"/>
        <w:keepNext w:val="0"/>
        <w:keepLines w:val="0"/>
        <w:spacing w:before="0" w:after="0" w:line="380" w:lineRule="exact"/>
        <w:rPr>
          <w:rFonts w:ascii="黑体" w:hAnsi="黑体"/>
          <w:bCs w:val="0"/>
          <w:sz w:val="21"/>
          <w:szCs w:val="21"/>
        </w:rPr>
      </w:pPr>
      <w:bookmarkStart w:id="35" w:name="_Toc351203493"/>
      <w:r>
        <w:rPr>
          <w:rFonts w:hint="eastAsia" w:ascii="黑体" w:hAnsi="黑体"/>
          <w:b w:val="0"/>
          <w:sz w:val="21"/>
          <w:szCs w:val="21"/>
        </w:rPr>
        <w:t>十四、合同份数</w:t>
      </w:r>
      <w:bookmarkEnd w:id="35"/>
    </w:p>
    <w:p w14:paraId="317127B3">
      <w:pPr>
        <w:spacing w:line="380" w:lineRule="exact"/>
        <w:ind w:firstLine="420" w:firstLineChars="200"/>
        <w:rPr>
          <w:rFonts w:hAnsi="仿宋"/>
          <w:bCs/>
          <w:sz w:val="21"/>
          <w:szCs w:val="21"/>
        </w:rPr>
      </w:pPr>
      <w:r>
        <w:rPr>
          <w:rFonts w:hint="eastAsia" w:hAnsi="仿宋"/>
          <w:bCs/>
          <w:sz w:val="21"/>
          <w:szCs w:val="21"/>
        </w:rPr>
        <w:t>本合同一式</w:t>
      </w:r>
      <w:r>
        <w:rPr>
          <w:rFonts w:hint="eastAsia" w:hAnsi="仿宋" w:eastAsia="宋体"/>
          <w:bCs/>
          <w:sz w:val="21"/>
          <w:szCs w:val="21"/>
          <w:u w:val="single"/>
        </w:rPr>
        <w:t>拾</w:t>
      </w:r>
      <w:r>
        <w:rPr>
          <w:rFonts w:hint="eastAsia" w:hAnsi="仿宋"/>
          <w:bCs/>
          <w:sz w:val="21"/>
          <w:szCs w:val="21"/>
        </w:rPr>
        <w:t>份，均具有同等法律效力，发包人执</w:t>
      </w:r>
      <w:r>
        <w:rPr>
          <w:rFonts w:hint="eastAsia" w:hAnsi="仿宋" w:eastAsia="宋体"/>
          <w:bCs/>
          <w:sz w:val="21"/>
          <w:szCs w:val="21"/>
          <w:u w:val="single"/>
        </w:rPr>
        <w:t>肆</w:t>
      </w:r>
      <w:r>
        <w:rPr>
          <w:rFonts w:hint="eastAsia" w:hAnsi="仿宋"/>
          <w:bCs/>
          <w:sz w:val="21"/>
          <w:szCs w:val="21"/>
        </w:rPr>
        <w:t>份，承包人执</w:t>
      </w:r>
      <w:r>
        <w:rPr>
          <w:rFonts w:hint="eastAsia" w:hAnsi="仿宋" w:eastAsia="宋体"/>
          <w:bCs/>
          <w:sz w:val="21"/>
          <w:szCs w:val="21"/>
          <w:u w:val="single"/>
        </w:rPr>
        <w:t>肆</w:t>
      </w:r>
      <w:r>
        <w:rPr>
          <w:rFonts w:hint="eastAsia" w:hAnsi="仿宋"/>
          <w:bCs/>
          <w:sz w:val="21"/>
          <w:szCs w:val="21"/>
        </w:rPr>
        <w:t>份，招标代理</w:t>
      </w:r>
      <w:r>
        <w:rPr>
          <w:rFonts w:hint="eastAsia" w:hAnsi="仿宋"/>
          <w:bCs/>
          <w:sz w:val="21"/>
          <w:szCs w:val="21"/>
          <w:u w:val="single"/>
        </w:rPr>
        <w:t>壹</w:t>
      </w:r>
      <w:r>
        <w:rPr>
          <w:rFonts w:hint="eastAsia" w:hAnsi="仿宋"/>
          <w:bCs/>
          <w:sz w:val="21"/>
          <w:szCs w:val="21"/>
        </w:rPr>
        <w:t>份。</w:t>
      </w:r>
    </w:p>
    <w:p w14:paraId="4E0E6D63">
      <w:pPr>
        <w:spacing w:line="380" w:lineRule="exact"/>
        <w:rPr>
          <w:rFonts w:hAnsi="仿宋"/>
          <w:sz w:val="21"/>
          <w:szCs w:val="21"/>
        </w:rPr>
      </w:pPr>
    </w:p>
    <w:p w14:paraId="3F5C0BB4">
      <w:pPr>
        <w:spacing w:line="380" w:lineRule="exact"/>
        <w:ind w:firstLine="420" w:firstLineChars="200"/>
        <w:rPr>
          <w:rFonts w:hAnsi="仿宋" w:eastAsia="宋体"/>
          <w:sz w:val="21"/>
          <w:szCs w:val="21"/>
          <w:u w:val="single"/>
        </w:rPr>
      </w:pPr>
      <w:r>
        <w:rPr>
          <w:rFonts w:hint="eastAsia" w:hAnsi="仿宋"/>
          <w:sz w:val="21"/>
          <w:szCs w:val="21"/>
        </w:rPr>
        <w:t xml:space="preserve">发包人：  （公章）             </w:t>
      </w:r>
      <w:r>
        <w:rPr>
          <w:rFonts w:hint="eastAsia" w:hAnsi="仿宋" w:eastAsiaTheme="minorEastAsia"/>
          <w:sz w:val="21"/>
          <w:szCs w:val="21"/>
        </w:rPr>
        <w:t xml:space="preserve">                                          </w:t>
      </w:r>
      <w:r>
        <w:rPr>
          <w:rFonts w:hint="eastAsia" w:asciiTheme="minorEastAsia" w:hAnsiTheme="minorEastAsia" w:eastAsiaTheme="minorEastAsia"/>
          <w:sz w:val="21"/>
          <w:szCs w:val="21"/>
        </w:rPr>
        <w:t>承包人</w:t>
      </w:r>
      <w:r>
        <w:rPr>
          <w:rFonts w:hint="eastAsia" w:hAnsi="仿宋"/>
          <w:sz w:val="21"/>
          <w:szCs w:val="21"/>
        </w:rPr>
        <w:t>：  （公章）</w:t>
      </w:r>
    </w:p>
    <w:p w14:paraId="57A4886D">
      <w:pPr>
        <w:spacing w:line="380" w:lineRule="exact"/>
        <w:ind w:firstLine="420" w:firstLineChars="200"/>
        <w:rPr>
          <w:rFonts w:hAnsi="仿宋" w:eastAsia="宋体"/>
          <w:sz w:val="21"/>
          <w:szCs w:val="21"/>
        </w:rPr>
      </w:pPr>
      <w:r>
        <w:rPr>
          <w:rFonts w:hint="eastAsia" w:hAnsi="仿宋"/>
          <w:sz w:val="21"/>
          <w:szCs w:val="21"/>
        </w:rPr>
        <w:t xml:space="preserve">法定代表人或其委托代理人：   </w:t>
      </w:r>
      <w:r>
        <w:rPr>
          <w:rFonts w:hint="eastAsia" w:hAnsi="仿宋" w:eastAsiaTheme="minorEastAsia"/>
          <w:sz w:val="21"/>
          <w:szCs w:val="21"/>
        </w:rPr>
        <w:t xml:space="preserve">                               </w:t>
      </w:r>
      <w:r>
        <w:rPr>
          <w:rFonts w:hint="eastAsia" w:hAnsi="仿宋"/>
          <w:sz w:val="21"/>
          <w:szCs w:val="21"/>
        </w:rPr>
        <w:t>法定代表人或其委托代理人：</w:t>
      </w:r>
    </w:p>
    <w:p w14:paraId="27DBF292">
      <w:pPr>
        <w:spacing w:line="380" w:lineRule="exact"/>
        <w:ind w:firstLine="420" w:firstLineChars="200"/>
        <w:rPr>
          <w:rFonts w:hAnsi="仿宋" w:eastAsia="宋体"/>
          <w:sz w:val="21"/>
          <w:szCs w:val="21"/>
        </w:rPr>
      </w:pPr>
      <w:r>
        <w:rPr>
          <w:rFonts w:hint="eastAsia" w:hAnsi="仿宋"/>
          <w:sz w:val="21"/>
          <w:szCs w:val="21"/>
        </w:rPr>
        <w:t xml:space="preserve">（签字）                    </w:t>
      </w:r>
      <w:r>
        <w:rPr>
          <w:rFonts w:hint="eastAsia" w:hAnsi="仿宋" w:eastAsiaTheme="minorEastAsia"/>
          <w:sz w:val="21"/>
          <w:szCs w:val="21"/>
        </w:rPr>
        <w:t xml:space="preserve">                                                     </w:t>
      </w:r>
      <w:r>
        <w:rPr>
          <w:rFonts w:hint="eastAsia" w:hAnsi="仿宋"/>
          <w:sz w:val="21"/>
          <w:szCs w:val="21"/>
        </w:rPr>
        <w:t>（签字）</w:t>
      </w:r>
    </w:p>
    <w:p w14:paraId="79B3ACA7">
      <w:pPr>
        <w:tabs>
          <w:tab w:val="left" w:pos="4410"/>
        </w:tabs>
        <w:spacing w:line="380" w:lineRule="exact"/>
        <w:ind w:firstLine="420" w:firstLineChars="200"/>
        <w:rPr>
          <w:rFonts w:hAnsi="仿宋" w:eastAsia="宋体"/>
          <w:sz w:val="21"/>
          <w:szCs w:val="21"/>
        </w:rPr>
      </w:pPr>
      <w:r>
        <w:rPr>
          <w:rFonts w:hint="eastAsia" w:hAnsi="仿宋"/>
          <w:sz w:val="21"/>
          <w:szCs w:val="21"/>
        </w:rPr>
        <w:t>统一社会信用代码：</w:t>
      </w:r>
      <w:r>
        <w:rPr>
          <w:rFonts w:hint="eastAsia" w:hAnsi="仿宋" w:eastAsiaTheme="minorEastAsia"/>
          <w:sz w:val="21"/>
          <w:szCs w:val="21"/>
        </w:rPr>
        <w:t xml:space="preserve">                                                    </w:t>
      </w:r>
      <w:r>
        <w:rPr>
          <w:rFonts w:hint="eastAsia" w:hAnsi="仿宋"/>
          <w:sz w:val="21"/>
          <w:szCs w:val="21"/>
        </w:rPr>
        <w:t>统一社会信用代码：</w:t>
      </w:r>
    </w:p>
    <w:p w14:paraId="312282E7">
      <w:pPr>
        <w:spacing w:line="380" w:lineRule="exact"/>
        <w:ind w:firstLine="420" w:firstLineChars="200"/>
        <w:rPr>
          <w:rFonts w:hAnsi="仿宋" w:eastAsia="宋体"/>
          <w:sz w:val="21"/>
          <w:szCs w:val="21"/>
        </w:rPr>
      </w:pPr>
      <w:r>
        <w:rPr>
          <w:rFonts w:hint="eastAsia" w:hAnsi="仿宋"/>
          <w:sz w:val="21"/>
          <w:szCs w:val="21"/>
        </w:rPr>
        <w:t>地  址：</w:t>
      </w:r>
      <w:r>
        <w:rPr>
          <w:rFonts w:hint="eastAsia" w:hAnsi="仿宋" w:eastAsiaTheme="minorEastAsia"/>
          <w:sz w:val="21"/>
          <w:szCs w:val="21"/>
        </w:rPr>
        <w:t xml:space="preserve">                                                                            </w:t>
      </w:r>
      <w:r>
        <w:rPr>
          <w:rFonts w:hint="eastAsia" w:hAnsi="仿宋"/>
          <w:sz w:val="21"/>
          <w:szCs w:val="21"/>
        </w:rPr>
        <w:t>地  址：</w:t>
      </w:r>
    </w:p>
    <w:p w14:paraId="257C73BA">
      <w:pPr>
        <w:spacing w:line="380" w:lineRule="exact"/>
        <w:ind w:firstLine="420" w:firstLineChars="200"/>
        <w:rPr>
          <w:rFonts w:hAnsi="仿宋" w:eastAsia="宋体"/>
          <w:sz w:val="21"/>
          <w:szCs w:val="21"/>
        </w:rPr>
      </w:pPr>
      <w:r>
        <w:rPr>
          <w:rFonts w:hint="eastAsia" w:hAnsi="仿宋"/>
          <w:sz w:val="21"/>
          <w:szCs w:val="21"/>
        </w:rPr>
        <w:t>邮政编码：</w:t>
      </w:r>
      <w:r>
        <w:rPr>
          <w:rFonts w:hint="eastAsia" w:hAnsi="仿宋" w:eastAsiaTheme="minorEastAsia"/>
          <w:sz w:val="21"/>
          <w:szCs w:val="21"/>
        </w:rPr>
        <w:t xml:space="preserve">                                                                     </w:t>
      </w:r>
      <w:r>
        <w:rPr>
          <w:rFonts w:hint="eastAsia" w:hAnsi="仿宋"/>
          <w:sz w:val="21"/>
          <w:szCs w:val="21"/>
        </w:rPr>
        <w:t>邮政编码：</w:t>
      </w:r>
    </w:p>
    <w:p w14:paraId="09C81394">
      <w:pPr>
        <w:spacing w:line="380" w:lineRule="exact"/>
        <w:ind w:firstLine="420" w:firstLineChars="200"/>
        <w:rPr>
          <w:rFonts w:hAnsi="仿宋" w:eastAsia="宋体"/>
          <w:sz w:val="21"/>
          <w:szCs w:val="21"/>
        </w:rPr>
      </w:pPr>
      <w:r>
        <w:rPr>
          <w:rFonts w:hint="eastAsia" w:hAnsi="仿宋"/>
          <w:sz w:val="21"/>
          <w:szCs w:val="21"/>
        </w:rPr>
        <w:t>法定代表人：</w:t>
      </w:r>
      <w:r>
        <w:rPr>
          <w:rFonts w:hint="eastAsia" w:hAnsi="仿宋" w:eastAsiaTheme="minorEastAsia"/>
          <w:sz w:val="21"/>
          <w:szCs w:val="21"/>
        </w:rPr>
        <w:t xml:space="preserve">                                                                </w:t>
      </w:r>
      <w:r>
        <w:rPr>
          <w:rFonts w:hint="eastAsia" w:hAnsi="仿宋"/>
          <w:sz w:val="21"/>
          <w:szCs w:val="21"/>
        </w:rPr>
        <w:t>法定代表人：</w:t>
      </w:r>
    </w:p>
    <w:p w14:paraId="31835B8A">
      <w:pPr>
        <w:spacing w:line="380" w:lineRule="exact"/>
        <w:ind w:firstLine="420" w:firstLineChars="200"/>
        <w:rPr>
          <w:rFonts w:hAnsi="仿宋"/>
          <w:sz w:val="21"/>
          <w:szCs w:val="21"/>
        </w:rPr>
      </w:pPr>
      <w:r>
        <w:rPr>
          <w:rFonts w:hint="eastAsia" w:hAnsi="仿宋"/>
          <w:sz w:val="21"/>
          <w:szCs w:val="21"/>
        </w:rPr>
        <w:t>委托代理人：</w:t>
      </w:r>
      <w:r>
        <w:rPr>
          <w:rFonts w:hint="eastAsia" w:hAnsi="仿宋" w:eastAsiaTheme="minorEastAsia"/>
          <w:sz w:val="21"/>
          <w:szCs w:val="21"/>
        </w:rPr>
        <w:t xml:space="preserve">                                                                </w:t>
      </w:r>
      <w:r>
        <w:rPr>
          <w:rFonts w:hint="eastAsia" w:hAnsi="仿宋"/>
          <w:sz w:val="21"/>
          <w:szCs w:val="21"/>
        </w:rPr>
        <w:t>委托代理人：</w:t>
      </w:r>
    </w:p>
    <w:p w14:paraId="28CB010B">
      <w:pPr>
        <w:spacing w:line="380" w:lineRule="exact"/>
        <w:ind w:firstLine="420" w:firstLineChars="200"/>
        <w:rPr>
          <w:rFonts w:hAnsi="仿宋" w:eastAsia="宋体"/>
          <w:sz w:val="21"/>
          <w:szCs w:val="21"/>
        </w:rPr>
      </w:pPr>
      <w:r>
        <w:rPr>
          <w:rFonts w:hint="eastAsia" w:hAnsi="仿宋"/>
          <w:sz w:val="21"/>
          <w:szCs w:val="21"/>
        </w:rPr>
        <w:t>电  话：</w:t>
      </w:r>
      <w:r>
        <w:rPr>
          <w:rFonts w:hint="eastAsia" w:hAnsi="仿宋" w:eastAsiaTheme="minorEastAsia"/>
          <w:sz w:val="21"/>
          <w:szCs w:val="21"/>
        </w:rPr>
        <w:t xml:space="preserve">                                                                           </w:t>
      </w:r>
      <w:r>
        <w:rPr>
          <w:rFonts w:hint="eastAsia" w:hAnsi="仿宋"/>
          <w:sz w:val="21"/>
          <w:szCs w:val="21"/>
        </w:rPr>
        <w:t>电  话：</w:t>
      </w:r>
    </w:p>
    <w:p w14:paraId="71E73F99">
      <w:pPr>
        <w:spacing w:line="380" w:lineRule="exact"/>
        <w:ind w:firstLine="420" w:firstLineChars="200"/>
        <w:rPr>
          <w:rFonts w:hAnsi="仿宋" w:eastAsia="宋体"/>
          <w:sz w:val="21"/>
          <w:szCs w:val="21"/>
        </w:rPr>
      </w:pPr>
      <w:r>
        <w:rPr>
          <w:rFonts w:hint="eastAsia" w:hAnsi="仿宋"/>
          <w:sz w:val="21"/>
          <w:szCs w:val="21"/>
        </w:rPr>
        <w:t>传  真：</w:t>
      </w:r>
      <w:r>
        <w:rPr>
          <w:rFonts w:hint="eastAsia" w:hAnsi="仿宋" w:eastAsiaTheme="minorEastAsia"/>
          <w:sz w:val="21"/>
          <w:szCs w:val="21"/>
        </w:rPr>
        <w:t xml:space="preserve">                                                                           </w:t>
      </w:r>
      <w:r>
        <w:rPr>
          <w:rFonts w:hint="eastAsia" w:hAnsi="仿宋"/>
          <w:sz w:val="21"/>
          <w:szCs w:val="21"/>
        </w:rPr>
        <w:t>传  真：</w:t>
      </w:r>
    </w:p>
    <w:p w14:paraId="6E76606A">
      <w:pPr>
        <w:spacing w:line="380" w:lineRule="exact"/>
        <w:ind w:firstLine="420" w:firstLineChars="200"/>
        <w:rPr>
          <w:rFonts w:hAnsi="仿宋" w:eastAsia="宋体"/>
          <w:sz w:val="21"/>
          <w:szCs w:val="21"/>
        </w:rPr>
      </w:pPr>
      <w:r>
        <w:rPr>
          <w:rFonts w:hint="eastAsia" w:hAnsi="仿宋"/>
          <w:sz w:val="21"/>
          <w:szCs w:val="21"/>
        </w:rPr>
        <w:t>电子信箱：</w:t>
      </w:r>
      <w:r>
        <w:rPr>
          <w:rFonts w:hint="eastAsia" w:hAnsi="仿宋" w:eastAsiaTheme="minorEastAsia"/>
          <w:sz w:val="21"/>
          <w:szCs w:val="21"/>
        </w:rPr>
        <w:t xml:space="preserve">                                                                    </w:t>
      </w:r>
      <w:r>
        <w:rPr>
          <w:rFonts w:hint="eastAsia" w:hAnsi="仿宋"/>
          <w:sz w:val="21"/>
          <w:szCs w:val="21"/>
        </w:rPr>
        <w:t>电子信箱：</w:t>
      </w:r>
    </w:p>
    <w:p w14:paraId="16681C39">
      <w:pPr>
        <w:spacing w:line="380" w:lineRule="exact"/>
        <w:ind w:firstLine="420" w:firstLineChars="200"/>
        <w:rPr>
          <w:rFonts w:hAnsi="仿宋" w:eastAsia="宋体"/>
          <w:sz w:val="21"/>
          <w:szCs w:val="21"/>
        </w:rPr>
      </w:pPr>
      <w:r>
        <w:rPr>
          <w:rFonts w:hint="eastAsia" w:hAnsi="仿宋"/>
          <w:sz w:val="21"/>
          <w:szCs w:val="21"/>
        </w:rPr>
        <w:t>开户银行：</w:t>
      </w:r>
      <w:r>
        <w:rPr>
          <w:rFonts w:hint="eastAsia" w:hAnsi="仿宋" w:eastAsiaTheme="minorEastAsia"/>
          <w:sz w:val="21"/>
          <w:szCs w:val="21"/>
        </w:rPr>
        <w:t xml:space="preserve">                                                                   </w:t>
      </w:r>
      <w:r>
        <w:rPr>
          <w:rFonts w:hint="eastAsia" w:hAnsi="仿宋"/>
          <w:sz w:val="21"/>
          <w:szCs w:val="21"/>
        </w:rPr>
        <w:t>开户银行：</w:t>
      </w:r>
    </w:p>
    <w:p w14:paraId="4AA580B1">
      <w:pPr>
        <w:spacing w:line="380" w:lineRule="exact"/>
        <w:ind w:firstLine="420" w:firstLineChars="200"/>
        <w:rPr>
          <w:rFonts w:hAnsi="仿宋" w:eastAsia="宋体"/>
          <w:b/>
          <w:sz w:val="21"/>
          <w:szCs w:val="21"/>
        </w:rPr>
      </w:pPr>
      <w:r>
        <w:rPr>
          <w:rFonts w:hint="eastAsia" w:hAnsi="仿宋"/>
          <w:sz w:val="21"/>
          <w:szCs w:val="21"/>
        </w:rPr>
        <w:t>账  号：</w:t>
      </w:r>
      <w:r>
        <w:rPr>
          <w:rFonts w:hint="eastAsia" w:hAnsi="仿宋" w:eastAsiaTheme="minorEastAsia"/>
          <w:sz w:val="21"/>
          <w:szCs w:val="21"/>
        </w:rPr>
        <w:t xml:space="preserve">                                                                          </w:t>
      </w:r>
      <w:r>
        <w:rPr>
          <w:rFonts w:hint="eastAsia" w:hAnsi="仿宋"/>
          <w:sz w:val="21"/>
          <w:szCs w:val="21"/>
        </w:rPr>
        <w:t>账  号：</w:t>
      </w:r>
    </w:p>
    <w:p w14:paraId="7D9D133C">
      <w:pPr>
        <w:spacing w:line="360" w:lineRule="auto"/>
        <w:jc w:val="center"/>
        <w:rPr>
          <w:rFonts w:ascii="宋体" w:hAnsi="宋体" w:eastAsia="宋体" w:cs="宋体"/>
          <w:b/>
          <w:sz w:val="21"/>
          <w:szCs w:val="21"/>
        </w:rPr>
      </w:pPr>
      <w:r>
        <w:rPr>
          <w:rFonts w:ascii="仿宋" w:hAnsi="仿宋" w:eastAsia="仿宋"/>
          <w:sz w:val="21"/>
          <w:szCs w:val="21"/>
        </w:rPr>
        <w:br w:type="page"/>
      </w:r>
    </w:p>
    <w:p w14:paraId="4F3F6E98">
      <w:pPr>
        <w:spacing w:line="380" w:lineRule="exact"/>
        <w:ind w:firstLine="422" w:firstLineChars="200"/>
        <w:rPr>
          <w:rFonts w:hAnsi="仿宋" w:eastAsia="宋体"/>
          <w:b/>
          <w:sz w:val="21"/>
          <w:szCs w:val="21"/>
        </w:rPr>
      </w:pPr>
    </w:p>
    <w:p w14:paraId="7ED16692">
      <w:pPr>
        <w:spacing w:line="360" w:lineRule="auto"/>
        <w:jc w:val="center"/>
        <w:rPr>
          <w:rFonts w:ascii="宋体" w:hAnsi="宋体" w:eastAsia="宋体" w:cs="宋体"/>
          <w:b/>
          <w:sz w:val="21"/>
          <w:szCs w:val="21"/>
        </w:rPr>
      </w:pPr>
    </w:p>
    <w:p w14:paraId="6566FDAD">
      <w:pPr>
        <w:spacing w:line="360" w:lineRule="auto"/>
        <w:jc w:val="center"/>
        <w:rPr>
          <w:rFonts w:ascii="宋体" w:hAnsi="宋体" w:eastAsia="宋体" w:cs="宋体"/>
          <w:b/>
          <w:sz w:val="21"/>
          <w:szCs w:val="21"/>
        </w:rPr>
      </w:pPr>
    </w:p>
    <w:p w14:paraId="2EC399B0">
      <w:pPr>
        <w:spacing w:line="360" w:lineRule="auto"/>
        <w:jc w:val="center"/>
        <w:rPr>
          <w:rFonts w:ascii="宋体" w:hAnsi="宋体" w:eastAsia="宋体" w:cs="宋体"/>
          <w:b/>
          <w:sz w:val="21"/>
          <w:szCs w:val="21"/>
        </w:rPr>
      </w:pPr>
    </w:p>
    <w:p w14:paraId="107049F6">
      <w:pPr>
        <w:spacing w:line="360" w:lineRule="auto"/>
        <w:jc w:val="center"/>
        <w:rPr>
          <w:rFonts w:ascii="宋体" w:hAnsi="宋体" w:eastAsia="宋体" w:cs="宋体"/>
          <w:b/>
          <w:sz w:val="21"/>
          <w:szCs w:val="21"/>
        </w:rPr>
      </w:pPr>
      <w:r>
        <w:rPr>
          <w:rFonts w:hint="eastAsia" w:ascii="宋体" w:hAnsi="宋体" w:eastAsia="宋体" w:cs="宋体"/>
          <w:b/>
          <w:sz w:val="21"/>
          <w:szCs w:val="21"/>
        </w:rPr>
        <w:t>第二部分通用合同条款（略）</w:t>
      </w:r>
    </w:p>
    <w:p w14:paraId="6C536085">
      <w:pPr>
        <w:pageBreakBefore/>
        <w:spacing w:line="360" w:lineRule="auto"/>
        <w:jc w:val="center"/>
        <w:rPr>
          <w:rFonts w:ascii="宋体" w:hAnsi="宋体" w:eastAsia="宋体" w:cs="宋体"/>
          <w:b/>
          <w:sz w:val="21"/>
          <w:szCs w:val="21"/>
        </w:rPr>
      </w:pPr>
      <w:r>
        <w:rPr>
          <w:rFonts w:hint="eastAsia" w:ascii="宋体" w:hAnsi="宋体" w:eastAsia="宋体" w:cs="宋体"/>
          <w:b/>
          <w:sz w:val="21"/>
          <w:szCs w:val="21"/>
        </w:rPr>
        <w:t>第三部分专用合同条款</w:t>
      </w:r>
    </w:p>
    <w:p w14:paraId="59E058ED">
      <w:pPr>
        <w:pStyle w:val="8"/>
        <w:keepNext w:val="0"/>
        <w:keepLines w:val="0"/>
        <w:spacing w:before="0" w:after="0" w:line="380" w:lineRule="exact"/>
        <w:rPr>
          <w:rFonts w:ascii="黑体" w:hAnsi="黑体"/>
          <w:b w:val="0"/>
          <w:sz w:val="21"/>
          <w:szCs w:val="21"/>
        </w:rPr>
      </w:pPr>
      <w:bookmarkStart w:id="36" w:name="_Toc351203633"/>
      <w:r>
        <w:rPr>
          <w:rFonts w:hint="eastAsia" w:ascii="黑体" w:hAnsi="黑体"/>
          <w:b w:val="0"/>
          <w:sz w:val="21"/>
          <w:szCs w:val="21"/>
        </w:rPr>
        <w:t>1</w:t>
      </w:r>
      <w:bookmarkStart w:id="37" w:name="_Toc292559866"/>
      <w:bookmarkStart w:id="38" w:name="_Toc292559361"/>
      <w:bookmarkStart w:id="39" w:name="_Toc296503156"/>
      <w:bookmarkStart w:id="40" w:name="_Toc296346657"/>
      <w:bookmarkStart w:id="41" w:name="_Toc297048342"/>
      <w:bookmarkStart w:id="42" w:name="_Toc297120456"/>
      <w:bookmarkStart w:id="43" w:name="_Toc296347155"/>
      <w:bookmarkStart w:id="44" w:name="_Toc296891196"/>
      <w:bookmarkStart w:id="45" w:name="_Toc296890984"/>
      <w:bookmarkStart w:id="46" w:name="_Toc296944495"/>
      <w:r>
        <w:rPr>
          <w:rFonts w:hint="eastAsia" w:ascii="黑体" w:hAnsi="黑体"/>
          <w:b w:val="0"/>
          <w:sz w:val="21"/>
          <w:szCs w:val="21"/>
        </w:rPr>
        <w:t>．一般约定</w:t>
      </w:r>
      <w:bookmarkEnd w:id="36"/>
    </w:p>
    <w:bookmarkEnd w:id="37"/>
    <w:bookmarkEnd w:id="38"/>
    <w:bookmarkEnd w:id="39"/>
    <w:bookmarkEnd w:id="40"/>
    <w:bookmarkEnd w:id="41"/>
    <w:bookmarkEnd w:id="42"/>
    <w:bookmarkEnd w:id="43"/>
    <w:bookmarkEnd w:id="44"/>
    <w:bookmarkEnd w:id="45"/>
    <w:bookmarkEnd w:id="46"/>
    <w:p w14:paraId="135A6791">
      <w:pPr>
        <w:spacing w:line="380" w:lineRule="exact"/>
        <w:ind w:firstLine="420" w:firstLineChars="200"/>
        <w:rPr>
          <w:rFonts w:hAnsi="仿宋"/>
          <w:sz w:val="21"/>
          <w:szCs w:val="21"/>
        </w:rPr>
      </w:pPr>
      <w:r>
        <w:rPr>
          <w:rFonts w:hint="eastAsia" w:hAnsi="仿宋"/>
          <w:sz w:val="21"/>
          <w:szCs w:val="21"/>
        </w:rPr>
        <w:t>1.1 词语定义</w:t>
      </w:r>
    </w:p>
    <w:p w14:paraId="0A0B8574">
      <w:pPr>
        <w:spacing w:line="380" w:lineRule="exact"/>
        <w:ind w:firstLine="420" w:firstLineChars="200"/>
        <w:rPr>
          <w:rFonts w:hAnsi="仿宋"/>
          <w:kern w:val="0"/>
          <w:sz w:val="21"/>
          <w:szCs w:val="21"/>
        </w:rPr>
      </w:pPr>
      <w:r>
        <w:rPr>
          <w:rFonts w:hint="eastAsia" w:hAnsi="仿宋"/>
          <w:kern w:val="0"/>
          <w:sz w:val="21"/>
          <w:szCs w:val="21"/>
        </w:rPr>
        <w:t>1.1.1合同</w:t>
      </w:r>
    </w:p>
    <w:p w14:paraId="5951A204">
      <w:pPr>
        <w:spacing w:line="380" w:lineRule="exact"/>
        <w:ind w:firstLine="420" w:firstLineChars="200"/>
        <w:rPr>
          <w:rFonts w:hAnsi="仿宋" w:eastAsiaTheme="minorEastAsia"/>
          <w:kern w:val="0"/>
          <w:sz w:val="21"/>
          <w:szCs w:val="21"/>
          <w:u w:val="single"/>
        </w:rPr>
      </w:pPr>
      <w:r>
        <w:rPr>
          <w:rFonts w:hint="eastAsia" w:hAnsi="仿宋"/>
          <w:kern w:val="0"/>
          <w:sz w:val="21"/>
          <w:szCs w:val="21"/>
        </w:rPr>
        <w:t>1.1.1.10其他合同文件包括：</w:t>
      </w:r>
      <w:r>
        <w:rPr>
          <w:rFonts w:hint="eastAsia" w:ascii="宋体" w:hAnsi="宋体" w:eastAsia="宋体" w:cs="宋体"/>
          <w:kern w:val="0"/>
          <w:sz w:val="21"/>
          <w:szCs w:val="21"/>
          <w:u w:val="single"/>
        </w:rPr>
        <w:t>工程招标文件、除投标函及其附录和已标价工程量清单或预算书外的其它投标文件、经批准的施工组织设计、专项施工方案</w:t>
      </w:r>
      <w:r>
        <w:rPr>
          <w:rFonts w:hint="eastAsia" w:ascii="宋体" w:hAnsi="宋体" w:eastAsia="宋体"/>
          <w:kern w:val="0"/>
          <w:sz w:val="21"/>
          <w:szCs w:val="21"/>
          <w:u w:val="single"/>
        </w:rPr>
        <w:t>。</w:t>
      </w:r>
    </w:p>
    <w:p w14:paraId="3952534F">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1.1.2合同当事人及其他相关方</w:t>
      </w:r>
    </w:p>
    <w:p w14:paraId="40399560">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1.1.2.4监理人：</w:t>
      </w:r>
    </w:p>
    <w:p w14:paraId="3BE64E1C">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名    称：</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109B9D00">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资质类别和等级：</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4777724E">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联系电话：</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5E6E7198">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电子信箱：</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4DA26EA3">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通信地址：</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21E88EE3">
      <w:pPr>
        <w:spacing w:line="380" w:lineRule="exact"/>
        <w:ind w:firstLine="420" w:firstLineChars="200"/>
        <w:rPr>
          <w:rFonts w:hAnsi="仿宋"/>
          <w:sz w:val="21"/>
          <w:szCs w:val="21"/>
        </w:rPr>
      </w:pPr>
      <w:r>
        <w:rPr>
          <w:rFonts w:hint="eastAsia" w:hAnsi="仿宋"/>
          <w:sz w:val="21"/>
          <w:szCs w:val="21"/>
        </w:rPr>
        <w:t>1.1.2.5设计人：</w:t>
      </w:r>
    </w:p>
    <w:p w14:paraId="025A6AE4">
      <w:pPr>
        <w:spacing w:line="380" w:lineRule="exact"/>
        <w:ind w:firstLine="420" w:firstLineChars="200"/>
        <w:rPr>
          <w:rFonts w:hAnsi="仿宋"/>
          <w:sz w:val="21"/>
          <w:szCs w:val="21"/>
        </w:rPr>
      </w:pPr>
      <w:r>
        <w:rPr>
          <w:rFonts w:hint="eastAsia" w:hAnsi="仿宋"/>
          <w:sz w:val="21"/>
          <w:szCs w:val="21"/>
        </w:rPr>
        <w:t>名    称：</w:t>
      </w:r>
      <w:r>
        <w:rPr>
          <w:rFonts w:hint="eastAsia" w:ascii="宋体" w:hAnsi="宋体" w:eastAsia="宋体" w:cs="宋体"/>
          <w:sz w:val="21"/>
          <w:szCs w:val="21"/>
          <w:u w:val="single"/>
        </w:rPr>
        <w:t xml:space="preserve">                                         </w:t>
      </w:r>
      <w:r>
        <w:rPr>
          <w:rFonts w:hint="eastAsia" w:cs="宋体" w:asciiTheme="minorEastAsia" w:hAnsiTheme="minorEastAsia" w:eastAsiaTheme="minorEastAsia"/>
          <w:sz w:val="21"/>
          <w:szCs w:val="21"/>
          <w:u w:val="single"/>
        </w:rPr>
        <w:t xml:space="preserve"> </w:t>
      </w:r>
      <w:r>
        <w:rPr>
          <w:rFonts w:hint="eastAsia" w:ascii="宋体" w:hAnsi="宋体" w:eastAsia="宋体" w:cs="宋体"/>
          <w:sz w:val="21"/>
          <w:szCs w:val="21"/>
          <w:u w:val="single"/>
        </w:rPr>
        <w:t xml:space="preserve">    </w:t>
      </w:r>
      <w:r>
        <w:rPr>
          <w:rFonts w:hint="eastAsia" w:hAnsi="仿宋"/>
          <w:sz w:val="21"/>
          <w:szCs w:val="21"/>
        </w:rPr>
        <w:t>；</w:t>
      </w:r>
    </w:p>
    <w:p w14:paraId="0C46BD55">
      <w:pPr>
        <w:spacing w:line="380" w:lineRule="exact"/>
        <w:ind w:firstLine="420" w:firstLineChars="200"/>
        <w:rPr>
          <w:rFonts w:hAnsi="仿宋"/>
          <w:sz w:val="21"/>
          <w:szCs w:val="21"/>
        </w:rPr>
      </w:pPr>
      <w:r>
        <w:rPr>
          <w:rFonts w:hint="eastAsia" w:hAnsi="仿宋"/>
          <w:sz w:val="21"/>
          <w:szCs w:val="21"/>
        </w:rPr>
        <w:t>资质类别和等级：</w:t>
      </w:r>
      <w:r>
        <w:rPr>
          <w:rFonts w:hint="eastAsia" w:ascii="宋体" w:hAnsi="宋体" w:eastAsia="宋体" w:cs="宋体"/>
          <w:sz w:val="21"/>
          <w:szCs w:val="21"/>
          <w:u w:val="single"/>
        </w:rPr>
        <w:t xml:space="preserve">                                       </w:t>
      </w:r>
      <w:r>
        <w:rPr>
          <w:rFonts w:hint="eastAsia" w:hAnsi="仿宋"/>
          <w:sz w:val="21"/>
          <w:szCs w:val="21"/>
        </w:rPr>
        <w:t>；</w:t>
      </w:r>
    </w:p>
    <w:p w14:paraId="512895DC">
      <w:pPr>
        <w:spacing w:line="380" w:lineRule="exact"/>
        <w:ind w:firstLine="420" w:firstLineChars="200"/>
        <w:rPr>
          <w:rFonts w:hAnsi="仿宋"/>
          <w:sz w:val="21"/>
          <w:szCs w:val="21"/>
        </w:rPr>
      </w:pPr>
      <w:r>
        <w:rPr>
          <w:rFonts w:hint="eastAsia" w:hAnsi="仿宋"/>
          <w:sz w:val="21"/>
          <w:szCs w:val="21"/>
        </w:rPr>
        <w:t>联系电话：</w:t>
      </w:r>
      <w:r>
        <w:rPr>
          <w:rFonts w:hint="eastAsia" w:ascii="宋体" w:hAnsi="宋体" w:eastAsia="宋体" w:cs="宋体"/>
          <w:sz w:val="21"/>
          <w:szCs w:val="21"/>
          <w:u w:val="single"/>
        </w:rPr>
        <w:t xml:space="preserve">                                             </w:t>
      </w:r>
      <w:r>
        <w:rPr>
          <w:rFonts w:hint="eastAsia" w:hAnsi="仿宋"/>
          <w:sz w:val="21"/>
          <w:szCs w:val="21"/>
        </w:rPr>
        <w:t>；</w:t>
      </w:r>
    </w:p>
    <w:p w14:paraId="6DE56147">
      <w:pPr>
        <w:spacing w:line="380" w:lineRule="exact"/>
        <w:ind w:firstLine="420" w:firstLineChars="200"/>
        <w:rPr>
          <w:rFonts w:hAnsi="仿宋"/>
          <w:sz w:val="21"/>
          <w:szCs w:val="21"/>
        </w:rPr>
      </w:pPr>
      <w:r>
        <w:rPr>
          <w:rFonts w:hint="eastAsia" w:hAnsi="仿宋"/>
          <w:sz w:val="21"/>
          <w:szCs w:val="21"/>
        </w:rPr>
        <w:t>电子信箱：</w:t>
      </w:r>
      <w:r>
        <w:rPr>
          <w:rFonts w:hint="eastAsia" w:ascii="宋体" w:hAnsi="宋体" w:eastAsia="宋体" w:cs="宋体"/>
          <w:sz w:val="21"/>
          <w:szCs w:val="21"/>
          <w:u w:val="single"/>
        </w:rPr>
        <w:t xml:space="preserve">                                             </w:t>
      </w:r>
      <w:r>
        <w:rPr>
          <w:rFonts w:hint="eastAsia" w:hAnsi="仿宋"/>
          <w:sz w:val="21"/>
          <w:szCs w:val="21"/>
        </w:rPr>
        <w:t>；</w:t>
      </w:r>
    </w:p>
    <w:p w14:paraId="71F40D2A">
      <w:pPr>
        <w:spacing w:line="380" w:lineRule="exact"/>
        <w:ind w:firstLine="420" w:firstLineChars="200"/>
        <w:rPr>
          <w:rFonts w:hAnsi="仿宋"/>
          <w:sz w:val="21"/>
          <w:szCs w:val="21"/>
        </w:rPr>
      </w:pPr>
      <w:r>
        <w:rPr>
          <w:rFonts w:hint="eastAsia" w:hAnsi="仿宋"/>
          <w:sz w:val="21"/>
          <w:szCs w:val="21"/>
        </w:rPr>
        <w:t>通信地址：</w:t>
      </w:r>
      <w:r>
        <w:rPr>
          <w:rFonts w:hint="eastAsia" w:ascii="宋体" w:hAnsi="宋体" w:eastAsia="宋体" w:cs="宋体"/>
          <w:sz w:val="21"/>
          <w:szCs w:val="21"/>
          <w:u w:val="single"/>
        </w:rPr>
        <w:t xml:space="preserve">                                             </w:t>
      </w:r>
      <w:r>
        <w:rPr>
          <w:rFonts w:hint="eastAsia" w:hAnsi="仿宋"/>
          <w:sz w:val="21"/>
          <w:szCs w:val="21"/>
        </w:rPr>
        <w:t>。</w:t>
      </w:r>
    </w:p>
    <w:p w14:paraId="586D58F8">
      <w:pPr>
        <w:spacing w:line="380" w:lineRule="exact"/>
        <w:ind w:firstLine="420" w:firstLineChars="200"/>
        <w:rPr>
          <w:rFonts w:hAnsi="仿宋"/>
          <w:sz w:val="21"/>
          <w:szCs w:val="21"/>
        </w:rPr>
      </w:pPr>
      <w:r>
        <w:rPr>
          <w:rFonts w:hint="eastAsia" w:hAnsi="仿宋"/>
          <w:sz w:val="21"/>
          <w:szCs w:val="21"/>
        </w:rPr>
        <w:t>1.1.3工程和设备</w:t>
      </w:r>
    </w:p>
    <w:p w14:paraId="11BBD9A0">
      <w:pPr>
        <w:spacing w:line="380" w:lineRule="exact"/>
        <w:ind w:firstLine="420" w:firstLineChars="200"/>
        <w:rPr>
          <w:rFonts w:hAnsi="仿宋"/>
          <w:sz w:val="21"/>
          <w:szCs w:val="21"/>
          <w:u w:val="single"/>
        </w:rPr>
      </w:pPr>
      <w:r>
        <w:rPr>
          <w:rFonts w:hint="eastAsia" w:hAnsi="仿宋"/>
          <w:sz w:val="21"/>
          <w:szCs w:val="21"/>
        </w:rPr>
        <w:t>1.1.3.7作为施工现场组成部分的其他场所包括：</w:t>
      </w:r>
      <w:r>
        <w:rPr>
          <w:rFonts w:hint="eastAsia" w:ascii="宋体" w:hAnsi="宋体" w:eastAsia="宋体" w:cs="宋体"/>
          <w:sz w:val="21"/>
          <w:szCs w:val="21"/>
          <w:u w:val="single"/>
        </w:rPr>
        <w:t xml:space="preserve"> </w:t>
      </w:r>
      <w:r>
        <w:rPr>
          <w:rFonts w:hint="eastAsia" w:cs="宋体" w:asciiTheme="minorEastAsia" w:hAnsiTheme="minorEastAsia" w:eastAsiaTheme="minorEastAsia"/>
          <w:sz w:val="21"/>
          <w:szCs w:val="21"/>
          <w:u w:val="single"/>
        </w:rPr>
        <w:t xml:space="preserve">                 ；</w:t>
      </w:r>
      <w:r>
        <w:rPr>
          <w:rFonts w:hint="eastAsia" w:ascii="宋体" w:hAnsi="宋体" w:eastAsia="宋体" w:cs="宋体"/>
          <w:sz w:val="21"/>
          <w:szCs w:val="21"/>
          <w:u w:val="single"/>
        </w:rPr>
        <w:t xml:space="preserve">                                            </w:t>
      </w:r>
    </w:p>
    <w:p w14:paraId="30313B41">
      <w:pPr>
        <w:spacing w:line="380" w:lineRule="exact"/>
        <w:ind w:firstLine="420" w:firstLineChars="200"/>
        <w:rPr>
          <w:rFonts w:hAnsi="仿宋"/>
          <w:sz w:val="21"/>
          <w:szCs w:val="21"/>
        </w:rPr>
      </w:pPr>
      <w:r>
        <w:rPr>
          <w:rFonts w:hint="eastAsia" w:hAnsi="仿宋"/>
          <w:sz w:val="21"/>
          <w:szCs w:val="21"/>
        </w:rPr>
        <w:t>1.1.3.9永久占地包括：</w:t>
      </w:r>
      <w:r>
        <w:rPr>
          <w:rFonts w:hint="eastAsia" w:ascii="宋体" w:hAnsi="宋体" w:eastAsia="宋体" w:cs="宋体"/>
          <w:sz w:val="21"/>
          <w:szCs w:val="21"/>
          <w:u w:val="single"/>
        </w:rPr>
        <w:t xml:space="preserve">    </w:t>
      </w:r>
      <w:r>
        <w:rPr>
          <w:rFonts w:hint="eastAsia" w:cs="宋体" w:asciiTheme="minorEastAsia" w:hAnsiTheme="minorEastAsia" w:eastAsiaTheme="minorEastAsia"/>
          <w:sz w:val="21"/>
          <w:szCs w:val="21"/>
          <w:u w:val="single"/>
        </w:rPr>
        <w:t xml:space="preserve"> </w:t>
      </w:r>
      <w:r>
        <w:rPr>
          <w:rFonts w:hint="eastAsia" w:ascii="宋体" w:hAnsi="宋体" w:eastAsia="宋体" w:cs="宋体"/>
          <w:sz w:val="21"/>
          <w:szCs w:val="21"/>
          <w:u w:val="single"/>
        </w:rPr>
        <w:t xml:space="preserve">                   </w:t>
      </w:r>
      <w:r>
        <w:rPr>
          <w:rFonts w:hint="eastAsia" w:cs="宋体" w:asciiTheme="minorEastAsia" w:hAnsiTheme="minorEastAsia" w:eastAsiaTheme="minorEastAsia"/>
          <w:sz w:val="21"/>
          <w:szCs w:val="21"/>
          <w:u w:val="single"/>
        </w:rPr>
        <w:t xml:space="preserve">              </w:t>
      </w:r>
      <w:r>
        <w:rPr>
          <w:rFonts w:hint="eastAsia" w:ascii="宋体" w:hAnsi="宋体" w:eastAsia="宋体" w:cs="宋体"/>
          <w:sz w:val="21"/>
          <w:szCs w:val="21"/>
          <w:u w:val="single"/>
        </w:rPr>
        <w:t xml:space="preserve">  </w:t>
      </w:r>
      <w:r>
        <w:rPr>
          <w:rFonts w:hint="eastAsia" w:cs="宋体" w:asciiTheme="minorEastAsia" w:hAnsiTheme="minorEastAsia" w:eastAsiaTheme="minorEastAsia"/>
          <w:sz w:val="21"/>
          <w:szCs w:val="21"/>
          <w:u w:val="single"/>
        </w:rPr>
        <w:t>；</w:t>
      </w:r>
      <w:r>
        <w:rPr>
          <w:rFonts w:hint="eastAsia" w:ascii="宋体" w:hAnsi="宋体" w:eastAsia="宋体" w:cs="宋体"/>
          <w:sz w:val="21"/>
          <w:szCs w:val="21"/>
          <w:u w:val="single"/>
        </w:rPr>
        <w:t xml:space="preserve"> </w:t>
      </w:r>
    </w:p>
    <w:p w14:paraId="60E18381">
      <w:pPr>
        <w:spacing w:line="380" w:lineRule="exact"/>
        <w:ind w:firstLine="420" w:firstLineChars="200"/>
        <w:rPr>
          <w:rFonts w:hAnsi="仿宋"/>
          <w:sz w:val="21"/>
          <w:szCs w:val="21"/>
          <w:u w:val="single"/>
        </w:rPr>
      </w:pPr>
      <w:r>
        <w:rPr>
          <w:rFonts w:hint="eastAsia" w:hAnsi="仿宋"/>
          <w:sz w:val="21"/>
          <w:szCs w:val="21"/>
        </w:rPr>
        <w:t>1.1.3.10临时占地包括：</w:t>
      </w:r>
      <w:r>
        <w:rPr>
          <w:rFonts w:hint="eastAsia" w:ascii="宋体" w:hAnsi="宋体" w:eastAsia="宋体" w:cs="宋体"/>
          <w:sz w:val="21"/>
          <w:szCs w:val="21"/>
          <w:u w:val="single"/>
        </w:rPr>
        <w:t xml:space="preserve">                                      </w:t>
      </w:r>
      <w:r>
        <w:rPr>
          <w:rFonts w:hint="eastAsia" w:cs="宋体" w:asciiTheme="minorEastAsia" w:hAnsiTheme="minorEastAsia" w:eastAsiaTheme="minorEastAsia"/>
          <w:sz w:val="21"/>
          <w:szCs w:val="21"/>
          <w:u w:val="single"/>
        </w:rPr>
        <w:t xml:space="preserve"> ；</w:t>
      </w:r>
      <w:r>
        <w:rPr>
          <w:rFonts w:hint="eastAsia" w:ascii="宋体" w:hAnsi="宋体" w:eastAsia="宋体" w:cs="宋体"/>
          <w:sz w:val="21"/>
          <w:szCs w:val="21"/>
          <w:u w:val="single"/>
        </w:rPr>
        <w:t xml:space="preserve">  </w:t>
      </w:r>
    </w:p>
    <w:p w14:paraId="7244F536">
      <w:pPr>
        <w:spacing w:line="380" w:lineRule="exact"/>
        <w:ind w:firstLine="420" w:firstLineChars="200"/>
        <w:rPr>
          <w:rFonts w:hAnsi="仿宋"/>
          <w:sz w:val="21"/>
          <w:szCs w:val="21"/>
        </w:rPr>
      </w:pPr>
      <w:r>
        <w:rPr>
          <w:rFonts w:hint="eastAsia" w:hAnsi="仿宋"/>
          <w:sz w:val="21"/>
          <w:szCs w:val="21"/>
        </w:rPr>
        <w:t>1.3法律</w:t>
      </w:r>
    </w:p>
    <w:p w14:paraId="6B54236E">
      <w:pPr>
        <w:autoSpaceDE w:val="0"/>
        <w:autoSpaceDN w:val="0"/>
        <w:adjustRightInd w:val="0"/>
        <w:spacing w:line="380" w:lineRule="exact"/>
        <w:ind w:firstLine="420" w:firstLineChars="200"/>
        <w:rPr>
          <w:rFonts w:hAnsi="仿宋"/>
          <w:sz w:val="21"/>
          <w:szCs w:val="21"/>
          <w:u w:val="single"/>
        </w:rPr>
      </w:pPr>
      <w:r>
        <w:rPr>
          <w:rFonts w:hint="eastAsia" w:hAnsi="仿宋"/>
          <w:sz w:val="21"/>
          <w:szCs w:val="21"/>
        </w:rPr>
        <w:t>适用于合同的其他规范性文件：</w:t>
      </w:r>
      <w:r>
        <w:rPr>
          <w:rFonts w:hint="eastAsia" w:hAnsi="仿宋"/>
          <w:sz w:val="21"/>
          <w:szCs w:val="21"/>
          <w:u w:val="single"/>
        </w:rPr>
        <w:t>《建设工程工程量清单计价规范》（GB50500-2013）、《房屋建筑与装饰工程工程量计算规范》(GB 50854-2013)、《通用安装工程工程量计算规范》(GB 50856-2013)、《市政工程工程量计算规范》GB50857-2013、《园林绿化工程工程量计算规范》GB50858-2013、《浙江省房屋建筑与装饰工程预算定额》（2018版）、</w:t>
      </w:r>
      <w:r>
        <w:rPr>
          <w:rFonts w:hint="eastAsia" w:ascii="宋体" w:hAnsi="宋体" w:eastAsia="宋体" w:cs="宋体"/>
          <w:sz w:val="21"/>
          <w:szCs w:val="21"/>
          <w:u w:val="single"/>
        </w:rPr>
        <w:t>《浙江省市政工程预算定额》（</w:t>
      </w:r>
      <w:r>
        <w:rPr>
          <w:rFonts w:hint="eastAsia" w:hAnsi="仿宋"/>
          <w:sz w:val="21"/>
          <w:szCs w:val="21"/>
          <w:u w:val="single"/>
        </w:rPr>
        <w:t>2018</w:t>
      </w:r>
      <w:r>
        <w:rPr>
          <w:rFonts w:hint="eastAsia" w:ascii="宋体" w:hAnsi="宋体" w:eastAsia="宋体" w:cs="宋体"/>
          <w:sz w:val="21"/>
          <w:szCs w:val="21"/>
          <w:u w:val="single"/>
        </w:rPr>
        <w:t>版）、</w:t>
      </w:r>
      <w:r>
        <w:rPr>
          <w:rFonts w:hint="eastAsia" w:hAnsi="仿宋"/>
          <w:sz w:val="21"/>
          <w:szCs w:val="21"/>
          <w:u w:val="single"/>
        </w:rPr>
        <w:t>《浙江省通用安装工程预算定额》（2018版）、《浙江省房屋建筑安装工程修缮预算定额》（2018版）、《浙江省建设工程计价规则》（2018版）、《浙江省建设工程施工机械台班费用定额》（2018版）及政府部门印发的相关补充文件、建建发〔2019〕92号《关于增值税调整后我省建设工程计价规则有关增值税税率及计价系数调整的通知》、台建〔2019〕16号《台州市住房和城乡建设局关于实施“浙江省建设工程计价依据（2018版）”的补充通知》等工程所在地现行的有关工程造价方面规定。</w:t>
      </w:r>
    </w:p>
    <w:p w14:paraId="7B1A442E">
      <w:pPr>
        <w:spacing w:line="380" w:lineRule="exact"/>
        <w:ind w:firstLine="420" w:firstLineChars="200"/>
        <w:rPr>
          <w:rFonts w:hAnsi="仿宋"/>
          <w:sz w:val="21"/>
          <w:szCs w:val="21"/>
        </w:rPr>
      </w:pPr>
      <w:r>
        <w:rPr>
          <w:rFonts w:hint="eastAsia" w:hAnsi="仿宋"/>
          <w:sz w:val="21"/>
          <w:szCs w:val="21"/>
        </w:rPr>
        <w:t>1.4 标准和规范</w:t>
      </w:r>
    </w:p>
    <w:p w14:paraId="4541C342">
      <w:pPr>
        <w:spacing w:line="380" w:lineRule="exact"/>
        <w:ind w:firstLine="420" w:firstLineChars="200"/>
        <w:rPr>
          <w:rFonts w:hAnsi="仿宋"/>
          <w:sz w:val="21"/>
          <w:szCs w:val="21"/>
        </w:rPr>
      </w:pPr>
      <w:r>
        <w:rPr>
          <w:rFonts w:hint="eastAsia" w:hAnsi="仿宋"/>
          <w:sz w:val="21"/>
          <w:szCs w:val="21"/>
        </w:rPr>
        <w:t>1.4.1适用于工程的标准规范包括：</w:t>
      </w:r>
      <w:r>
        <w:rPr>
          <w:rFonts w:hint="eastAsia" w:hAnsi="仿宋"/>
          <w:sz w:val="21"/>
          <w:szCs w:val="21"/>
          <w:u w:val="single"/>
        </w:rPr>
        <w:t>现行的国家、省、市施工验收规范、质量评定标准及有关规定。合同工期内的标准、规范，招标文件中的技术要求等</w:t>
      </w:r>
      <w:r>
        <w:rPr>
          <w:rFonts w:hint="eastAsia" w:hAnsi="仿宋"/>
          <w:sz w:val="21"/>
          <w:szCs w:val="21"/>
        </w:rPr>
        <w:t>。</w:t>
      </w:r>
    </w:p>
    <w:p w14:paraId="514B6BB3">
      <w:pPr>
        <w:spacing w:line="380" w:lineRule="exact"/>
        <w:ind w:firstLine="420" w:firstLineChars="200"/>
        <w:rPr>
          <w:rFonts w:hAnsi="仿宋"/>
          <w:kern w:val="0"/>
          <w:sz w:val="21"/>
          <w:szCs w:val="21"/>
          <w:u w:val="single"/>
        </w:rPr>
      </w:pPr>
      <w:r>
        <w:rPr>
          <w:rFonts w:hint="eastAsia" w:hAnsi="仿宋"/>
          <w:kern w:val="0"/>
          <w:sz w:val="21"/>
          <w:szCs w:val="21"/>
        </w:rPr>
        <w:t>1.4.2发包人提供国外标准、规范的名称：</w:t>
      </w:r>
      <w:r>
        <w:rPr>
          <w:rFonts w:hint="eastAsia" w:ascii="宋体" w:hAnsi="宋体" w:cs="宋体"/>
          <w:kern w:val="0"/>
          <w:szCs w:val="21"/>
          <w:u w:val="single"/>
        </w:rPr>
        <w:t xml:space="preserve">                 </w:t>
      </w:r>
      <w:r>
        <w:rPr>
          <w:rFonts w:hint="eastAsia" w:hAnsi="仿宋"/>
          <w:kern w:val="0"/>
          <w:sz w:val="21"/>
          <w:szCs w:val="21"/>
        </w:rPr>
        <w:t>；</w:t>
      </w:r>
    </w:p>
    <w:p w14:paraId="6BDA0D29">
      <w:pPr>
        <w:spacing w:line="380" w:lineRule="exact"/>
        <w:ind w:firstLine="420" w:firstLineChars="200"/>
        <w:rPr>
          <w:rFonts w:hAnsi="仿宋"/>
          <w:kern w:val="0"/>
          <w:sz w:val="21"/>
          <w:szCs w:val="21"/>
        </w:rPr>
      </w:pPr>
      <w:r>
        <w:rPr>
          <w:rFonts w:hint="eastAsia" w:hAnsi="仿宋"/>
          <w:kern w:val="0"/>
          <w:sz w:val="21"/>
          <w:szCs w:val="21"/>
        </w:rPr>
        <w:t>发包人提供国外标准、规范的份数：</w:t>
      </w:r>
      <w:r>
        <w:rPr>
          <w:rFonts w:hint="eastAsia" w:ascii="宋体" w:hAnsi="宋体" w:cs="宋体"/>
          <w:kern w:val="0"/>
          <w:szCs w:val="21"/>
          <w:u w:val="single"/>
        </w:rPr>
        <w:t xml:space="preserve">                 </w:t>
      </w:r>
      <w:r>
        <w:rPr>
          <w:rFonts w:hint="eastAsia" w:hAnsi="仿宋"/>
          <w:kern w:val="0"/>
          <w:sz w:val="21"/>
          <w:szCs w:val="21"/>
        </w:rPr>
        <w:t>；</w:t>
      </w:r>
    </w:p>
    <w:p w14:paraId="2232134A">
      <w:pPr>
        <w:spacing w:line="380" w:lineRule="exact"/>
        <w:ind w:firstLine="420" w:firstLineChars="200"/>
        <w:rPr>
          <w:rFonts w:hAnsi="仿宋"/>
          <w:sz w:val="21"/>
          <w:szCs w:val="21"/>
        </w:rPr>
      </w:pPr>
      <w:r>
        <w:rPr>
          <w:rFonts w:hint="eastAsia" w:hAnsi="仿宋"/>
          <w:kern w:val="0"/>
          <w:sz w:val="21"/>
          <w:szCs w:val="21"/>
        </w:rPr>
        <w:t>发包人提供国外标准、规范的名称：</w:t>
      </w:r>
      <w:r>
        <w:rPr>
          <w:rFonts w:hint="eastAsia" w:ascii="宋体" w:hAnsi="宋体" w:cs="宋体"/>
          <w:kern w:val="0"/>
          <w:szCs w:val="21"/>
          <w:u w:val="single"/>
        </w:rPr>
        <w:t xml:space="preserve">                 </w:t>
      </w:r>
      <w:r>
        <w:rPr>
          <w:rFonts w:hint="eastAsia" w:hAnsi="仿宋"/>
          <w:kern w:val="0"/>
          <w:sz w:val="21"/>
          <w:szCs w:val="21"/>
        </w:rPr>
        <w:t>。</w:t>
      </w:r>
    </w:p>
    <w:p w14:paraId="251E3AF8">
      <w:pPr>
        <w:spacing w:line="380" w:lineRule="exact"/>
        <w:ind w:firstLine="420" w:firstLineChars="200"/>
        <w:rPr>
          <w:rFonts w:hAnsi="仿宋"/>
          <w:sz w:val="21"/>
          <w:szCs w:val="21"/>
        </w:rPr>
      </w:pPr>
      <w:r>
        <w:rPr>
          <w:rFonts w:hint="eastAsia" w:hAnsi="仿宋"/>
          <w:sz w:val="21"/>
          <w:szCs w:val="21"/>
        </w:rPr>
        <w:t>1.4.3发包人对工程的技术标准和功能要求的特殊要求：</w:t>
      </w:r>
      <w:r>
        <w:rPr>
          <w:rFonts w:hint="eastAsia" w:hAnsi="仿宋"/>
          <w:sz w:val="21"/>
          <w:szCs w:val="21"/>
          <w:u w:val="single"/>
        </w:rPr>
        <w:t>国家没有相应标准、规范且不使用国外标准、规范时，按发包人和承包人商定的方案施工</w:t>
      </w:r>
      <w:r>
        <w:rPr>
          <w:rFonts w:hint="eastAsia" w:hAnsi="仿宋"/>
          <w:sz w:val="21"/>
          <w:szCs w:val="21"/>
        </w:rPr>
        <w:t>。</w:t>
      </w:r>
    </w:p>
    <w:p w14:paraId="698AADCD">
      <w:pPr>
        <w:spacing w:line="380" w:lineRule="exact"/>
        <w:ind w:firstLine="420" w:firstLineChars="200"/>
        <w:rPr>
          <w:rFonts w:hAnsi="仿宋"/>
          <w:sz w:val="21"/>
          <w:szCs w:val="21"/>
        </w:rPr>
      </w:pPr>
      <w:r>
        <w:rPr>
          <w:rFonts w:hint="eastAsia" w:hAnsi="仿宋"/>
          <w:sz w:val="21"/>
          <w:szCs w:val="21"/>
        </w:rPr>
        <w:t>1.5 合同文件的优先顺序</w:t>
      </w:r>
    </w:p>
    <w:p w14:paraId="6EB99A38">
      <w:pPr>
        <w:spacing w:line="380" w:lineRule="exact"/>
        <w:ind w:firstLine="420" w:firstLineChars="200"/>
        <w:rPr>
          <w:rFonts w:hAnsi="仿宋"/>
          <w:sz w:val="21"/>
          <w:szCs w:val="21"/>
        </w:rPr>
      </w:pPr>
      <w:r>
        <w:rPr>
          <w:rFonts w:hint="eastAsia" w:hAnsi="仿宋"/>
          <w:sz w:val="21"/>
          <w:szCs w:val="21"/>
        </w:rPr>
        <w:t>合同文件组成及优先顺序为：</w:t>
      </w:r>
      <w:r>
        <w:rPr>
          <w:rFonts w:hint="eastAsia" w:hAnsi="仿宋"/>
          <w:sz w:val="21"/>
          <w:szCs w:val="21"/>
          <w:u w:val="single"/>
        </w:rPr>
        <w:t>按通用合同条款（</w:t>
      </w:r>
      <w:r>
        <w:rPr>
          <w:rFonts w:hint="eastAsia" w:hAnsi="仿宋"/>
          <w:kern w:val="0"/>
          <w:sz w:val="21"/>
          <w:szCs w:val="21"/>
          <w:u w:val="single"/>
        </w:rPr>
        <w:t>注：</w:t>
      </w:r>
      <w:r>
        <w:rPr>
          <w:rFonts w:hint="eastAsia" w:hAnsi="仿宋"/>
          <w:sz w:val="21"/>
          <w:szCs w:val="21"/>
          <w:u w:val="single"/>
        </w:rPr>
        <w:t>如有特殊要求另编列顺序）。</w:t>
      </w:r>
    </w:p>
    <w:p w14:paraId="3846EFA2">
      <w:pPr>
        <w:spacing w:line="380" w:lineRule="exact"/>
        <w:ind w:firstLine="420" w:firstLineChars="200"/>
        <w:rPr>
          <w:rFonts w:hAnsi="仿宋"/>
          <w:sz w:val="21"/>
          <w:szCs w:val="21"/>
        </w:rPr>
      </w:pPr>
      <w:r>
        <w:rPr>
          <w:rFonts w:hint="eastAsia" w:hAnsi="仿宋"/>
          <w:sz w:val="21"/>
          <w:szCs w:val="21"/>
        </w:rPr>
        <w:t>1.6 图纸和承包人文件</w:t>
      </w:r>
      <w:r>
        <w:rPr>
          <w:rFonts w:hint="eastAsia" w:hAnsi="仿宋"/>
          <w:sz w:val="21"/>
          <w:szCs w:val="21"/>
        </w:rPr>
        <w:tab/>
      </w:r>
    </w:p>
    <w:p w14:paraId="704753CF">
      <w:pPr>
        <w:spacing w:line="380" w:lineRule="exact"/>
        <w:ind w:firstLine="420" w:firstLineChars="200"/>
        <w:rPr>
          <w:rFonts w:hAnsi="仿宋"/>
          <w:sz w:val="21"/>
          <w:szCs w:val="21"/>
        </w:rPr>
      </w:pPr>
      <w:r>
        <w:rPr>
          <w:rFonts w:hint="eastAsia" w:hAnsi="仿宋"/>
          <w:sz w:val="21"/>
          <w:szCs w:val="21"/>
        </w:rPr>
        <w:t>1.6.1图纸的提供</w:t>
      </w:r>
    </w:p>
    <w:p w14:paraId="04C09A07">
      <w:pPr>
        <w:spacing w:line="380" w:lineRule="exact"/>
        <w:ind w:firstLine="420" w:firstLineChars="200"/>
        <w:rPr>
          <w:rFonts w:hAnsi="仿宋"/>
          <w:sz w:val="21"/>
          <w:szCs w:val="21"/>
        </w:rPr>
      </w:pPr>
      <w:r>
        <w:rPr>
          <w:rFonts w:hint="eastAsia" w:hAnsi="仿宋"/>
          <w:sz w:val="21"/>
          <w:szCs w:val="21"/>
        </w:rPr>
        <w:t>发包人向承包人提供图纸的期限：</w:t>
      </w:r>
      <w:r>
        <w:rPr>
          <w:rFonts w:hint="eastAsia" w:hAnsi="仿宋"/>
          <w:sz w:val="21"/>
          <w:szCs w:val="21"/>
          <w:u w:val="single"/>
        </w:rPr>
        <w:t>开工日期14天前</w:t>
      </w:r>
      <w:r>
        <w:rPr>
          <w:rFonts w:hint="eastAsia" w:hAnsi="仿宋"/>
          <w:sz w:val="21"/>
          <w:szCs w:val="21"/>
        </w:rPr>
        <w:t>；</w:t>
      </w:r>
    </w:p>
    <w:p w14:paraId="7C7E6D7A">
      <w:pPr>
        <w:spacing w:line="380" w:lineRule="exact"/>
        <w:rPr>
          <w:rFonts w:hAnsi="仿宋"/>
          <w:sz w:val="21"/>
          <w:szCs w:val="21"/>
        </w:rPr>
      </w:pPr>
      <w:r>
        <w:rPr>
          <w:rFonts w:hint="eastAsia" w:hAnsi="仿宋"/>
          <w:sz w:val="21"/>
          <w:szCs w:val="21"/>
        </w:rPr>
        <w:t>发包人向承包人提供图纸的数量：</w:t>
      </w:r>
      <w:r>
        <w:rPr>
          <w:rFonts w:hint="eastAsia" w:hAnsi="仿宋"/>
          <w:sz w:val="21"/>
          <w:szCs w:val="21"/>
          <w:u w:val="single"/>
        </w:rPr>
        <w:t>纸质施工图〔</w:t>
      </w:r>
      <w:r>
        <w:rPr>
          <w:rFonts w:hint="eastAsia" w:hAnsi="仿宋" w:eastAsia="宋体"/>
          <w:sz w:val="21"/>
          <w:szCs w:val="21"/>
          <w:u w:val="single"/>
        </w:rPr>
        <w:t>四</w:t>
      </w:r>
      <w:r>
        <w:rPr>
          <w:rFonts w:hint="eastAsia" w:hAnsi="仿宋"/>
          <w:sz w:val="21"/>
          <w:szCs w:val="21"/>
          <w:u w:val="single"/>
        </w:rPr>
        <w:t>〕套并附目录清单及与其一致的电子版施工图。</w:t>
      </w:r>
    </w:p>
    <w:p w14:paraId="49BE4848">
      <w:pPr>
        <w:spacing w:line="380" w:lineRule="exact"/>
        <w:ind w:firstLine="420" w:firstLineChars="200"/>
        <w:rPr>
          <w:rFonts w:hAnsi="仿宋"/>
          <w:sz w:val="21"/>
          <w:szCs w:val="21"/>
        </w:rPr>
      </w:pPr>
      <w:r>
        <w:rPr>
          <w:rFonts w:hint="eastAsia" w:hAnsi="仿宋"/>
          <w:sz w:val="21"/>
          <w:szCs w:val="21"/>
        </w:rPr>
        <w:t>发包人向承包人提供图纸的内容：</w:t>
      </w:r>
      <w:r>
        <w:rPr>
          <w:rFonts w:hint="eastAsia" w:hAnsi="仿宋"/>
          <w:sz w:val="21"/>
          <w:szCs w:val="21"/>
          <w:u w:val="single"/>
        </w:rPr>
        <w:t>（</w:t>
      </w:r>
      <w:r>
        <w:rPr>
          <w:rFonts w:hint="eastAsia" w:hAnsi="仿宋"/>
          <w:kern w:val="0"/>
          <w:sz w:val="21"/>
          <w:szCs w:val="21"/>
          <w:u w:val="single"/>
        </w:rPr>
        <w:t>注：</w:t>
      </w:r>
      <w:r>
        <w:rPr>
          <w:rFonts w:hint="eastAsia" w:hAnsi="仿宋"/>
          <w:sz w:val="21"/>
          <w:szCs w:val="21"/>
          <w:u w:val="single"/>
        </w:rPr>
        <w:t>须载明施工图纸名称、工程号、版本、出图日期、目录、已有的变更联系单编号等）</w:t>
      </w:r>
      <w:r>
        <w:rPr>
          <w:rFonts w:hint="eastAsia" w:hAnsi="仿宋"/>
          <w:sz w:val="21"/>
          <w:szCs w:val="21"/>
        </w:rPr>
        <w:t>。</w:t>
      </w:r>
    </w:p>
    <w:p w14:paraId="73A16F7B">
      <w:pPr>
        <w:spacing w:line="380" w:lineRule="exact"/>
        <w:ind w:firstLine="420" w:firstLineChars="200"/>
        <w:rPr>
          <w:rFonts w:hAnsi="仿宋"/>
          <w:sz w:val="21"/>
          <w:szCs w:val="21"/>
        </w:rPr>
      </w:pPr>
      <w:r>
        <w:rPr>
          <w:rFonts w:hint="eastAsia" w:hAnsi="仿宋"/>
          <w:sz w:val="21"/>
          <w:szCs w:val="21"/>
        </w:rPr>
        <w:t>1.6.4承包人文件</w:t>
      </w:r>
    </w:p>
    <w:p w14:paraId="28BE6E08">
      <w:pPr>
        <w:spacing w:line="380" w:lineRule="exact"/>
        <w:ind w:firstLine="420" w:firstLineChars="200"/>
        <w:rPr>
          <w:rFonts w:hAnsi="仿宋"/>
          <w:sz w:val="21"/>
          <w:szCs w:val="21"/>
          <w:u w:val="single"/>
        </w:rPr>
      </w:pPr>
      <w:r>
        <w:rPr>
          <w:rFonts w:hint="eastAsia" w:hAnsi="仿宋"/>
          <w:sz w:val="21"/>
          <w:szCs w:val="21"/>
        </w:rPr>
        <w:t>需要由承包人提供的文件，包括：</w:t>
      </w:r>
      <w:r>
        <w:rPr>
          <w:rFonts w:hint="eastAsia" w:hAnsi="仿宋"/>
          <w:sz w:val="21"/>
          <w:szCs w:val="21"/>
          <w:u w:val="single"/>
        </w:rPr>
        <w:t>资金月使用计划，施工组织设计、专项施工方案、工程总进度计划、工程月进度计划表等</w:t>
      </w:r>
      <w:r>
        <w:rPr>
          <w:rFonts w:hint="eastAsia" w:hAnsi="仿宋"/>
          <w:sz w:val="21"/>
          <w:szCs w:val="21"/>
        </w:rPr>
        <w:t>；</w:t>
      </w:r>
      <w:r>
        <w:rPr>
          <w:rFonts w:hint="eastAsia" w:hAnsi="仿宋"/>
          <w:sz w:val="21"/>
          <w:szCs w:val="21"/>
          <w:u w:val="single"/>
        </w:rPr>
        <w:t>承包人提交修正后的施工组织设计、专项施工方案等的技术标准不低于投标承诺或原承诺标准，且修改或优化</w:t>
      </w:r>
      <w:r>
        <w:rPr>
          <w:rFonts w:hint="eastAsia" w:hAnsi="仿宋" w:cs="仿宋"/>
          <w:sz w:val="21"/>
          <w:szCs w:val="21"/>
          <w:u w:val="single"/>
        </w:rPr>
        <w:t>后的施工组织设计、专项施工方案须报监理人</w:t>
      </w:r>
      <w:r>
        <w:rPr>
          <w:rFonts w:hint="eastAsia" w:hAnsi="仿宋"/>
          <w:sz w:val="21"/>
          <w:szCs w:val="21"/>
          <w:u w:val="single"/>
        </w:rPr>
        <w:t>、发包人批准</w:t>
      </w:r>
      <w:r>
        <w:rPr>
          <w:rFonts w:hint="eastAsia" w:hAnsi="仿宋"/>
          <w:sz w:val="21"/>
          <w:szCs w:val="21"/>
        </w:rPr>
        <w:t>；</w:t>
      </w:r>
    </w:p>
    <w:p w14:paraId="1B202574">
      <w:pPr>
        <w:spacing w:line="380" w:lineRule="exact"/>
        <w:ind w:firstLine="420" w:firstLineChars="200"/>
        <w:rPr>
          <w:rFonts w:hAnsi="仿宋"/>
          <w:sz w:val="21"/>
          <w:szCs w:val="21"/>
        </w:rPr>
      </w:pPr>
      <w:r>
        <w:rPr>
          <w:rFonts w:hint="eastAsia" w:hAnsi="仿宋"/>
          <w:sz w:val="21"/>
          <w:szCs w:val="21"/>
        </w:rPr>
        <w:t>承包人提供的文件的期限为：</w:t>
      </w:r>
      <w:r>
        <w:rPr>
          <w:rFonts w:hint="eastAsia" w:hAnsi="仿宋"/>
          <w:sz w:val="21"/>
          <w:szCs w:val="21"/>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人提交下月进度计划和施工方案</w:t>
      </w:r>
      <w:r>
        <w:rPr>
          <w:rFonts w:hint="eastAsia" w:hAnsi="仿宋"/>
          <w:sz w:val="21"/>
          <w:szCs w:val="21"/>
        </w:rPr>
        <w:t>；</w:t>
      </w:r>
    </w:p>
    <w:p w14:paraId="592F9A64">
      <w:pPr>
        <w:spacing w:line="380" w:lineRule="exact"/>
        <w:ind w:firstLine="420" w:firstLineChars="200"/>
        <w:rPr>
          <w:rFonts w:hAnsi="仿宋"/>
          <w:sz w:val="21"/>
          <w:szCs w:val="21"/>
        </w:rPr>
      </w:pPr>
      <w:r>
        <w:rPr>
          <w:rFonts w:hint="eastAsia" w:hAnsi="仿宋"/>
          <w:sz w:val="21"/>
          <w:szCs w:val="21"/>
        </w:rPr>
        <w:t>承包人提供的文件的数量为：</w:t>
      </w:r>
      <w:r>
        <w:rPr>
          <w:rFonts w:hint="eastAsia" w:hAnsi="仿宋" w:eastAsiaTheme="minorEastAsia"/>
          <w:sz w:val="21"/>
          <w:szCs w:val="21"/>
          <w:u w:val="single"/>
        </w:rPr>
        <w:t xml:space="preserve">                              </w:t>
      </w:r>
      <w:r>
        <w:rPr>
          <w:rFonts w:hint="eastAsia" w:hAnsi="仿宋"/>
          <w:sz w:val="21"/>
          <w:szCs w:val="21"/>
        </w:rPr>
        <w:t>；</w:t>
      </w:r>
    </w:p>
    <w:p w14:paraId="5982AFA6">
      <w:pPr>
        <w:spacing w:line="380" w:lineRule="exact"/>
        <w:ind w:firstLine="420" w:firstLineChars="200"/>
        <w:rPr>
          <w:rFonts w:hAnsi="仿宋"/>
          <w:sz w:val="21"/>
          <w:szCs w:val="21"/>
        </w:rPr>
      </w:pPr>
      <w:r>
        <w:rPr>
          <w:rFonts w:hint="eastAsia" w:hAnsi="仿宋"/>
          <w:sz w:val="21"/>
          <w:szCs w:val="21"/>
        </w:rPr>
        <w:t>承包人提供的文件的形式为：</w:t>
      </w:r>
      <w:r>
        <w:rPr>
          <w:rFonts w:hint="eastAsia" w:hAnsi="仿宋"/>
          <w:sz w:val="21"/>
          <w:szCs w:val="21"/>
          <w:u w:val="single"/>
        </w:rPr>
        <w:t>纸质及电子版本</w:t>
      </w:r>
      <w:r>
        <w:rPr>
          <w:rFonts w:hint="eastAsia" w:hAnsi="仿宋"/>
          <w:sz w:val="21"/>
          <w:szCs w:val="21"/>
        </w:rPr>
        <w:t>；</w:t>
      </w:r>
    </w:p>
    <w:p w14:paraId="36E33679">
      <w:pPr>
        <w:spacing w:line="380" w:lineRule="exact"/>
        <w:ind w:firstLine="420" w:firstLineChars="200"/>
        <w:rPr>
          <w:rFonts w:hAnsi="仿宋"/>
          <w:sz w:val="21"/>
          <w:szCs w:val="21"/>
        </w:rPr>
      </w:pPr>
      <w:r>
        <w:rPr>
          <w:rFonts w:hint="eastAsia" w:hAnsi="仿宋"/>
          <w:sz w:val="21"/>
          <w:szCs w:val="21"/>
        </w:rPr>
        <w:t>发包人审批承包人文件的期限：</w:t>
      </w:r>
      <w:r>
        <w:rPr>
          <w:rFonts w:hint="eastAsia" w:hAnsi="仿宋"/>
          <w:sz w:val="21"/>
          <w:szCs w:val="21"/>
          <w:u w:val="single"/>
        </w:rPr>
        <w:t>收到相应文件后7天内</w:t>
      </w:r>
      <w:r>
        <w:rPr>
          <w:rFonts w:hint="eastAsia" w:hAnsi="仿宋"/>
          <w:sz w:val="21"/>
          <w:szCs w:val="21"/>
        </w:rPr>
        <w:t>。</w:t>
      </w:r>
    </w:p>
    <w:p w14:paraId="133E1A59">
      <w:pPr>
        <w:spacing w:line="380" w:lineRule="exact"/>
        <w:ind w:firstLine="420" w:firstLineChars="200"/>
        <w:rPr>
          <w:rFonts w:hAnsi="仿宋"/>
          <w:sz w:val="21"/>
          <w:szCs w:val="21"/>
        </w:rPr>
      </w:pPr>
      <w:r>
        <w:rPr>
          <w:rFonts w:hint="eastAsia" w:hAnsi="仿宋"/>
          <w:sz w:val="21"/>
          <w:szCs w:val="21"/>
        </w:rPr>
        <w:t>1.6.5现场图纸准备</w:t>
      </w:r>
    </w:p>
    <w:p w14:paraId="45686075">
      <w:pPr>
        <w:spacing w:line="380" w:lineRule="exact"/>
        <w:ind w:firstLine="420" w:firstLineChars="200"/>
        <w:rPr>
          <w:rFonts w:hAnsi="仿宋"/>
          <w:sz w:val="21"/>
          <w:szCs w:val="21"/>
        </w:rPr>
      </w:pPr>
      <w:r>
        <w:rPr>
          <w:rFonts w:hint="eastAsia" w:hAnsi="仿宋"/>
          <w:sz w:val="21"/>
          <w:szCs w:val="21"/>
        </w:rPr>
        <w:t>关于现场图纸准备的约定：</w:t>
      </w:r>
      <w:r>
        <w:rPr>
          <w:rFonts w:hint="eastAsia" w:hAnsi="仿宋"/>
          <w:sz w:val="21"/>
          <w:szCs w:val="21"/>
          <w:u w:val="single"/>
        </w:rPr>
        <w:t>由监理人在现场保管一套完整施工图，供发包人、监理人及有关人员进行工程检查等活动时使用</w:t>
      </w:r>
      <w:r>
        <w:rPr>
          <w:rFonts w:hint="eastAsia" w:hAnsi="仿宋"/>
          <w:sz w:val="21"/>
          <w:szCs w:val="21"/>
        </w:rPr>
        <w:t>。</w:t>
      </w:r>
    </w:p>
    <w:p w14:paraId="6CEBB85F">
      <w:pPr>
        <w:spacing w:line="380" w:lineRule="exact"/>
        <w:ind w:firstLine="420" w:firstLineChars="200"/>
        <w:rPr>
          <w:rFonts w:hAnsi="仿宋"/>
          <w:sz w:val="21"/>
          <w:szCs w:val="21"/>
        </w:rPr>
      </w:pPr>
      <w:r>
        <w:rPr>
          <w:rFonts w:hint="eastAsia" w:hAnsi="仿宋"/>
          <w:sz w:val="21"/>
          <w:szCs w:val="21"/>
        </w:rPr>
        <w:t>1.7 联络</w:t>
      </w:r>
    </w:p>
    <w:p w14:paraId="543C0BA1">
      <w:pPr>
        <w:spacing w:line="380" w:lineRule="exact"/>
        <w:ind w:firstLine="420" w:firstLineChars="200"/>
        <w:rPr>
          <w:rFonts w:hAnsi="仿宋"/>
          <w:kern w:val="0"/>
          <w:sz w:val="21"/>
          <w:szCs w:val="21"/>
        </w:rPr>
      </w:pPr>
      <w:r>
        <w:rPr>
          <w:rFonts w:hint="eastAsia" w:hAnsi="仿宋"/>
          <w:kern w:val="0"/>
          <w:sz w:val="21"/>
          <w:szCs w:val="21"/>
        </w:rPr>
        <w:t>1.7.1发包人和承包人应当在</w:t>
      </w:r>
      <w:r>
        <w:rPr>
          <w:rFonts w:hint="eastAsia" w:hAnsi="仿宋"/>
          <w:sz w:val="21"/>
          <w:szCs w:val="21"/>
          <w:u w:val="single"/>
        </w:rPr>
        <w:t xml:space="preserve">7  </w:t>
      </w:r>
      <w:r>
        <w:rPr>
          <w:rFonts w:hint="eastAsia" w:hAnsi="仿宋"/>
          <w:kern w:val="0"/>
          <w:sz w:val="21"/>
          <w:szCs w:val="21"/>
        </w:rPr>
        <w:t>天内将与合同有关的通知、批准、证明、证书、指示、指令、要求、请求、同意、意见、确定和决定等书面函件送达对方当事人。</w:t>
      </w:r>
    </w:p>
    <w:p w14:paraId="64FEA14D">
      <w:pPr>
        <w:spacing w:line="380" w:lineRule="exact"/>
        <w:ind w:firstLine="420" w:firstLineChars="200"/>
        <w:rPr>
          <w:rFonts w:hAnsi="仿宋"/>
          <w:kern w:val="0"/>
          <w:sz w:val="21"/>
          <w:szCs w:val="21"/>
        </w:rPr>
      </w:pPr>
      <w:r>
        <w:rPr>
          <w:rFonts w:hint="eastAsia" w:hAnsi="仿宋"/>
          <w:kern w:val="0"/>
          <w:sz w:val="21"/>
          <w:szCs w:val="21"/>
        </w:rPr>
        <w:t>1.7.2发包人接收文件的地点：</w:t>
      </w:r>
      <w:r>
        <w:rPr>
          <w:rFonts w:hint="eastAsia" w:ascii="宋体" w:hAnsi="宋体" w:cs="宋体"/>
          <w:kern w:val="0"/>
          <w:szCs w:val="21"/>
          <w:u w:val="single"/>
        </w:rPr>
        <w:t xml:space="preserve">                 </w:t>
      </w:r>
      <w:r>
        <w:rPr>
          <w:rFonts w:hint="eastAsia" w:hAnsi="仿宋"/>
          <w:kern w:val="0"/>
          <w:sz w:val="21"/>
          <w:szCs w:val="21"/>
        </w:rPr>
        <w:t>；</w:t>
      </w:r>
    </w:p>
    <w:p w14:paraId="01CA95D6">
      <w:pPr>
        <w:spacing w:line="380" w:lineRule="exact"/>
        <w:ind w:firstLine="420" w:firstLineChars="200"/>
        <w:rPr>
          <w:rFonts w:hAnsi="仿宋"/>
          <w:kern w:val="0"/>
          <w:sz w:val="21"/>
          <w:szCs w:val="21"/>
          <w:u w:val="single"/>
        </w:rPr>
      </w:pPr>
      <w:r>
        <w:rPr>
          <w:rFonts w:hint="eastAsia" w:hAnsi="仿宋"/>
          <w:kern w:val="0"/>
          <w:sz w:val="21"/>
          <w:szCs w:val="21"/>
        </w:rPr>
        <w:t>发包人接收文件的电子</w:t>
      </w:r>
      <w:r>
        <w:rPr>
          <w:rFonts w:hint="eastAsia" w:hAnsi="仿宋"/>
          <w:sz w:val="21"/>
          <w:szCs w:val="21"/>
        </w:rPr>
        <w:t>信箱</w:t>
      </w:r>
      <w:r>
        <w:rPr>
          <w:rFonts w:hint="eastAsia" w:hAnsi="仿宋"/>
          <w:kern w:val="0"/>
          <w:sz w:val="21"/>
          <w:szCs w:val="21"/>
        </w:rPr>
        <w:t>：</w:t>
      </w:r>
      <w:r>
        <w:rPr>
          <w:rFonts w:hint="eastAsia" w:ascii="宋体" w:hAnsi="宋体" w:cs="宋体"/>
          <w:kern w:val="0"/>
          <w:szCs w:val="21"/>
          <w:u w:val="single"/>
        </w:rPr>
        <w:t xml:space="preserve">                 </w:t>
      </w:r>
      <w:r>
        <w:rPr>
          <w:rFonts w:hint="eastAsia" w:hAnsi="仿宋"/>
          <w:kern w:val="0"/>
          <w:sz w:val="21"/>
          <w:szCs w:val="21"/>
        </w:rPr>
        <w:t>。</w:t>
      </w:r>
    </w:p>
    <w:p w14:paraId="74214C5F">
      <w:pPr>
        <w:spacing w:line="380" w:lineRule="exact"/>
        <w:ind w:firstLine="420" w:firstLineChars="200"/>
        <w:rPr>
          <w:rFonts w:hAnsi="仿宋"/>
          <w:kern w:val="0"/>
          <w:sz w:val="21"/>
          <w:szCs w:val="21"/>
        </w:rPr>
      </w:pPr>
      <w:r>
        <w:rPr>
          <w:rFonts w:hint="eastAsia" w:hAnsi="仿宋"/>
          <w:kern w:val="0"/>
          <w:sz w:val="21"/>
          <w:szCs w:val="21"/>
        </w:rPr>
        <w:t>发包人指定的接收人为：</w:t>
      </w:r>
      <w:r>
        <w:rPr>
          <w:rFonts w:hint="eastAsia" w:hAnsi="仿宋"/>
          <w:sz w:val="21"/>
          <w:szCs w:val="21"/>
          <w:u w:val="single"/>
        </w:rPr>
        <w:t xml:space="preserve">（2人以上及联系电话）      </w:t>
      </w:r>
      <w:r>
        <w:rPr>
          <w:rFonts w:hint="eastAsia" w:hAnsi="仿宋"/>
          <w:kern w:val="0"/>
          <w:sz w:val="21"/>
          <w:szCs w:val="21"/>
        </w:rPr>
        <w:t>。</w:t>
      </w:r>
    </w:p>
    <w:p w14:paraId="74E1D409">
      <w:pPr>
        <w:spacing w:line="380" w:lineRule="exact"/>
        <w:ind w:firstLine="420" w:firstLineChars="200"/>
        <w:rPr>
          <w:rFonts w:hAnsi="仿宋"/>
          <w:kern w:val="0"/>
          <w:sz w:val="21"/>
          <w:szCs w:val="21"/>
        </w:rPr>
      </w:pPr>
      <w:r>
        <w:rPr>
          <w:rFonts w:hint="eastAsia" w:hAnsi="仿宋"/>
          <w:kern w:val="0"/>
          <w:sz w:val="21"/>
          <w:szCs w:val="21"/>
        </w:rPr>
        <w:t>承包人接收文件的地点：</w:t>
      </w:r>
      <w:r>
        <w:rPr>
          <w:rFonts w:hint="eastAsia" w:ascii="宋体" w:hAnsi="宋体" w:cs="宋体"/>
          <w:kern w:val="0"/>
          <w:szCs w:val="21"/>
          <w:u w:val="single"/>
        </w:rPr>
        <w:t xml:space="preserve">                 </w:t>
      </w:r>
      <w:r>
        <w:rPr>
          <w:rFonts w:hint="eastAsia" w:hAnsi="仿宋"/>
          <w:kern w:val="0"/>
          <w:sz w:val="21"/>
          <w:szCs w:val="21"/>
        </w:rPr>
        <w:t>；</w:t>
      </w:r>
    </w:p>
    <w:p w14:paraId="4342EFCC">
      <w:pPr>
        <w:spacing w:line="380" w:lineRule="exact"/>
        <w:ind w:firstLine="420" w:firstLineChars="200"/>
        <w:rPr>
          <w:rFonts w:hAnsi="仿宋"/>
          <w:kern w:val="0"/>
          <w:sz w:val="21"/>
          <w:szCs w:val="21"/>
        </w:rPr>
      </w:pPr>
      <w:r>
        <w:rPr>
          <w:rFonts w:hint="eastAsia" w:hAnsi="仿宋"/>
          <w:kern w:val="0"/>
          <w:sz w:val="21"/>
          <w:szCs w:val="21"/>
        </w:rPr>
        <w:t>承包人接收文件的电子</w:t>
      </w:r>
      <w:r>
        <w:rPr>
          <w:rFonts w:hint="eastAsia" w:hAnsi="仿宋"/>
          <w:sz w:val="21"/>
          <w:szCs w:val="21"/>
        </w:rPr>
        <w:t>信箱</w:t>
      </w:r>
      <w:r>
        <w:rPr>
          <w:rFonts w:hint="eastAsia" w:hAnsi="仿宋"/>
          <w:kern w:val="0"/>
          <w:sz w:val="21"/>
          <w:szCs w:val="21"/>
        </w:rPr>
        <w:t>：</w:t>
      </w:r>
      <w:r>
        <w:rPr>
          <w:rFonts w:hint="eastAsia" w:ascii="宋体" w:hAnsi="宋体" w:cs="宋体"/>
          <w:kern w:val="0"/>
          <w:szCs w:val="21"/>
          <w:u w:val="single"/>
        </w:rPr>
        <w:t xml:space="preserve">                 </w:t>
      </w:r>
      <w:r>
        <w:rPr>
          <w:rFonts w:hint="eastAsia" w:hAnsi="仿宋"/>
          <w:kern w:val="0"/>
          <w:sz w:val="21"/>
          <w:szCs w:val="21"/>
        </w:rPr>
        <w:t>。</w:t>
      </w:r>
    </w:p>
    <w:p w14:paraId="33AAEDFB">
      <w:pPr>
        <w:spacing w:line="380" w:lineRule="exact"/>
        <w:ind w:firstLine="420" w:firstLineChars="200"/>
        <w:rPr>
          <w:rFonts w:hAnsi="仿宋"/>
          <w:kern w:val="0"/>
          <w:sz w:val="21"/>
          <w:szCs w:val="21"/>
        </w:rPr>
      </w:pPr>
      <w:r>
        <w:rPr>
          <w:rFonts w:hint="eastAsia" w:hAnsi="仿宋"/>
          <w:kern w:val="0"/>
          <w:sz w:val="21"/>
          <w:szCs w:val="21"/>
        </w:rPr>
        <w:t>承包人指定的接收人为：</w:t>
      </w:r>
      <w:r>
        <w:rPr>
          <w:rFonts w:hint="eastAsia" w:hAnsi="仿宋"/>
          <w:sz w:val="21"/>
          <w:szCs w:val="21"/>
          <w:u w:val="single"/>
        </w:rPr>
        <w:t xml:space="preserve">（2人以上及联系电话）      </w:t>
      </w:r>
      <w:r>
        <w:rPr>
          <w:rFonts w:hint="eastAsia" w:hAnsi="仿宋"/>
          <w:kern w:val="0"/>
          <w:sz w:val="21"/>
          <w:szCs w:val="21"/>
        </w:rPr>
        <w:t>。</w:t>
      </w:r>
    </w:p>
    <w:p w14:paraId="251C7CA3">
      <w:pPr>
        <w:spacing w:line="380" w:lineRule="exact"/>
        <w:ind w:firstLine="420" w:firstLineChars="200"/>
        <w:rPr>
          <w:rFonts w:hAnsi="仿宋"/>
          <w:kern w:val="0"/>
          <w:sz w:val="21"/>
          <w:szCs w:val="21"/>
        </w:rPr>
      </w:pPr>
      <w:r>
        <w:rPr>
          <w:rFonts w:hint="eastAsia" w:hAnsi="仿宋"/>
          <w:kern w:val="0"/>
          <w:sz w:val="21"/>
          <w:szCs w:val="21"/>
        </w:rPr>
        <w:t>监理人接收文件的地点：</w:t>
      </w:r>
      <w:r>
        <w:rPr>
          <w:rFonts w:hint="eastAsia" w:ascii="宋体" w:hAnsi="宋体" w:cs="宋体"/>
          <w:kern w:val="0"/>
          <w:szCs w:val="21"/>
          <w:u w:val="single"/>
        </w:rPr>
        <w:t xml:space="preserve">                 </w:t>
      </w:r>
      <w:r>
        <w:rPr>
          <w:rFonts w:hint="eastAsia" w:hAnsi="仿宋"/>
          <w:kern w:val="0"/>
          <w:sz w:val="21"/>
          <w:szCs w:val="21"/>
        </w:rPr>
        <w:t>；</w:t>
      </w:r>
    </w:p>
    <w:p w14:paraId="0A9885DF">
      <w:pPr>
        <w:spacing w:line="380" w:lineRule="exact"/>
        <w:ind w:firstLine="420" w:firstLineChars="200"/>
        <w:rPr>
          <w:rFonts w:hAnsi="仿宋"/>
          <w:kern w:val="0"/>
          <w:sz w:val="21"/>
          <w:szCs w:val="21"/>
        </w:rPr>
      </w:pPr>
      <w:r>
        <w:rPr>
          <w:rFonts w:hint="eastAsia" w:hAnsi="仿宋"/>
          <w:kern w:val="0"/>
          <w:sz w:val="21"/>
          <w:szCs w:val="21"/>
        </w:rPr>
        <w:t>监理人接收文件的电子</w:t>
      </w:r>
      <w:r>
        <w:rPr>
          <w:rFonts w:hint="eastAsia" w:hAnsi="仿宋"/>
          <w:sz w:val="21"/>
          <w:szCs w:val="21"/>
        </w:rPr>
        <w:t>信箱</w:t>
      </w:r>
      <w:r>
        <w:rPr>
          <w:rFonts w:hint="eastAsia" w:hAnsi="仿宋"/>
          <w:kern w:val="0"/>
          <w:sz w:val="21"/>
          <w:szCs w:val="21"/>
        </w:rPr>
        <w:t>：</w:t>
      </w:r>
      <w:r>
        <w:rPr>
          <w:rFonts w:hint="eastAsia" w:ascii="宋体" w:hAnsi="宋体" w:cs="宋体"/>
          <w:kern w:val="0"/>
          <w:szCs w:val="21"/>
          <w:u w:val="single"/>
        </w:rPr>
        <w:t xml:space="preserve">                 </w:t>
      </w:r>
      <w:r>
        <w:rPr>
          <w:rFonts w:hint="eastAsia" w:hAnsi="仿宋"/>
          <w:kern w:val="0"/>
          <w:sz w:val="21"/>
          <w:szCs w:val="21"/>
        </w:rPr>
        <w:t>。</w:t>
      </w:r>
    </w:p>
    <w:p w14:paraId="6F1CB01D">
      <w:pPr>
        <w:spacing w:line="380" w:lineRule="exact"/>
        <w:ind w:firstLine="420" w:firstLineChars="200"/>
        <w:rPr>
          <w:rFonts w:hAnsi="仿宋"/>
          <w:kern w:val="0"/>
          <w:sz w:val="21"/>
          <w:szCs w:val="21"/>
        </w:rPr>
      </w:pPr>
      <w:r>
        <w:rPr>
          <w:rFonts w:hint="eastAsia" w:hAnsi="仿宋"/>
          <w:kern w:val="0"/>
          <w:sz w:val="21"/>
          <w:szCs w:val="21"/>
        </w:rPr>
        <w:t>监理人指定的接收人为：</w:t>
      </w:r>
      <w:r>
        <w:rPr>
          <w:rFonts w:hint="eastAsia" w:hAnsi="仿宋"/>
          <w:sz w:val="21"/>
          <w:szCs w:val="21"/>
          <w:u w:val="single"/>
        </w:rPr>
        <w:t xml:space="preserve">（2人以上及联系电话）  </w:t>
      </w:r>
      <w:r>
        <w:rPr>
          <w:rFonts w:hint="eastAsia" w:hAnsi="仿宋"/>
          <w:kern w:val="0"/>
          <w:sz w:val="21"/>
          <w:szCs w:val="21"/>
        </w:rPr>
        <w:t>。</w:t>
      </w:r>
    </w:p>
    <w:p w14:paraId="1B2FBB01">
      <w:pPr>
        <w:spacing w:line="380" w:lineRule="exact"/>
        <w:ind w:firstLine="420" w:firstLineChars="200"/>
        <w:rPr>
          <w:rFonts w:hAnsi="仿宋"/>
          <w:kern w:val="0"/>
          <w:sz w:val="21"/>
          <w:szCs w:val="21"/>
          <w:u w:val="single"/>
        </w:rPr>
      </w:pPr>
      <w:r>
        <w:rPr>
          <w:rFonts w:hint="eastAsia" w:hAnsi="仿宋"/>
          <w:kern w:val="0"/>
          <w:sz w:val="21"/>
          <w:szCs w:val="21"/>
          <w:u w:val="single"/>
        </w:rPr>
        <w:t>发包人、承包人、监理人的文件接收地址、接收人（含联系电话）发生变动的，应提前3天通知各方。</w:t>
      </w:r>
    </w:p>
    <w:p w14:paraId="45E2FD1C">
      <w:pPr>
        <w:spacing w:line="380" w:lineRule="exact"/>
        <w:ind w:firstLine="420" w:firstLineChars="200"/>
        <w:rPr>
          <w:rFonts w:hAnsi="仿宋"/>
          <w:sz w:val="21"/>
          <w:szCs w:val="21"/>
        </w:rPr>
      </w:pPr>
      <w:r>
        <w:rPr>
          <w:rFonts w:hint="eastAsia" w:hAnsi="仿宋"/>
          <w:sz w:val="21"/>
          <w:szCs w:val="21"/>
        </w:rPr>
        <w:t>1.10 交通运输</w:t>
      </w:r>
    </w:p>
    <w:p w14:paraId="5DCAE34F">
      <w:pPr>
        <w:spacing w:line="380" w:lineRule="exact"/>
        <w:ind w:firstLine="420" w:firstLineChars="200"/>
        <w:rPr>
          <w:rFonts w:hAnsi="仿宋"/>
          <w:sz w:val="21"/>
          <w:szCs w:val="21"/>
        </w:rPr>
      </w:pPr>
      <w:r>
        <w:rPr>
          <w:rFonts w:hint="eastAsia" w:hAnsi="仿宋"/>
          <w:sz w:val="21"/>
          <w:szCs w:val="21"/>
        </w:rPr>
        <w:t>1</w:t>
      </w:r>
      <w:bookmarkStart w:id="47" w:name="_Toc304295521"/>
      <w:bookmarkStart w:id="48" w:name="_Toc318581155"/>
      <w:bookmarkStart w:id="49" w:name="_Toc312677986"/>
      <w:bookmarkStart w:id="50" w:name="_Toc303539100"/>
      <w:bookmarkStart w:id="51" w:name="_Toc300934943"/>
      <w:r>
        <w:rPr>
          <w:rFonts w:hint="eastAsia" w:hAnsi="仿宋"/>
          <w:sz w:val="21"/>
          <w:szCs w:val="21"/>
        </w:rPr>
        <w:t>.10.1出入现场的权利</w:t>
      </w:r>
    </w:p>
    <w:p w14:paraId="09F2FC51">
      <w:pPr>
        <w:spacing w:line="380" w:lineRule="exact"/>
        <w:ind w:firstLine="420" w:firstLineChars="200"/>
        <w:rPr>
          <w:rFonts w:hAnsi="仿宋"/>
          <w:sz w:val="21"/>
          <w:szCs w:val="21"/>
          <w:u w:val="single"/>
        </w:rPr>
      </w:pPr>
      <w:r>
        <w:rPr>
          <w:rFonts w:hint="eastAsia" w:hAnsi="仿宋"/>
          <w:sz w:val="21"/>
          <w:szCs w:val="21"/>
        </w:rPr>
        <w:t>关于出入现场的权利的约定：</w:t>
      </w:r>
      <w:r>
        <w:rPr>
          <w:rFonts w:hint="eastAsia" w:hAnsi="仿宋"/>
          <w:sz w:val="21"/>
          <w:szCs w:val="21"/>
          <w:u w:val="single"/>
        </w:rPr>
        <w:t>按通用合同条款，可视工程实际双方再补充约定</w:t>
      </w:r>
      <w:r>
        <w:rPr>
          <w:rFonts w:hint="eastAsia" w:hAnsi="仿宋"/>
          <w:sz w:val="21"/>
          <w:szCs w:val="21"/>
        </w:rPr>
        <w:t>。</w:t>
      </w:r>
    </w:p>
    <w:bookmarkEnd w:id="47"/>
    <w:bookmarkEnd w:id="48"/>
    <w:bookmarkEnd w:id="49"/>
    <w:bookmarkEnd w:id="50"/>
    <w:bookmarkEnd w:id="51"/>
    <w:p w14:paraId="67739821">
      <w:pPr>
        <w:spacing w:line="380" w:lineRule="exact"/>
        <w:ind w:firstLine="420" w:firstLineChars="200"/>
        <w:rPr>
          <w:rFonts w:hAnsi="仿宋"/>
          <w:sz w:val="21"/>
          <w:szCs w:val="21"/>
        </w:rPr>
      </w:pPr>
      <w:r>
        <w:rPr>
          <w:rFonts w:hint="eastAsia" w:hAnsi="仿宋"/>
          <w:sz w:val="21"/>
          <w:szCs w:val="21"/>
        </w:rPr>
        <w:t>1</w:t>
      </w:r>
      <w:bookmarkStart w:id="52" w:name="_Toc303539101"/>
      <w:bookmarkStart w:id="53" w:name="_Toc304295522"/>
      <w:bookmarkStart w:id="54" w:name="_Toc318581156"/>
      <w:bookmarkStart w:id="55" w:name="_Toc300934944"/>
      <w:bookmarkStart w:id="56" w:name="_Toc312677987"/>
      <w:r>
        <w:rPr>
          <w:rFonts w:hint="eastAsia" w:hAnsi="仿宋"/>
          <w:sz w:val="21"/>
          <w:szCs w:val="21"/>
        </w:rPr>
        <w:t>.10.3场内交通</w:t>
      </w:r>
    </w:p>
    <w:p w14:paraId="75E724C9">
      <w:pPr>
        <w:spacing w:line="380" w:lineRule="exact"/>
        <w:ind w:firstLine="420" w:firstLineChars="200"/>
        <w:rPr>
          <w:rFonts w:hAnsi="仿宋"/>
          <w:kern w:val="0"/>
          <w:sz w:val="21"/>
          <w:szCs w:val="21"/>
        </w:rPr>
      </w:pPr>
      <w:r>
        <w:rPr>
          <w:rFonts w:hint="eastAsia" w:hAnsi="仿宋"/>
          <w:kern w:val="0"/>
          <w:sz w:val="21"/>
          <w:szCs w:val="21"/>
        </w:rPr>
        <w:t>关于场外交通和场内交通的边界的约定：</w:t>
      </w:r>
      <w:r>
        <w:rPr>
          <w:rFonts w:hint="eastAsia" w:hAnsi="仿宋" w:eastAsia="宋体"/>
          <w:sz w:val="21"/>
          <w:szCs w:val="21"/>
          <w:u w:val="single"/>
        </w:rPr>
        <w:t xml:space="preserve">    /     </w:t>
      </w:r>
      <w:r>
        <w:rPr>
          <w:rFonts w:hint="eastAsia" w:hAnsi="仿宋"/>
          <w:sz w:val="21"/>
          <w:szCs w:val="21"/>
        </w:rPr>
        <w:t>。</w:t>
      </w:r>
    </w:p>
    <w:p w14:paraId="72EFCCD8">
      <w:pPr>
        <w:spacing w:line="380" w:lineRule="exact"/>
        <w:ind w:firstLine="420" w:firstLineChars="200"/>
        <w:rPr>
          <w:rFonts w:hAnsi="仿宋"/>
          <w:sz w:val="21"/>
          <w:szCs w:val="21"/>
        </w:rPr>
      </w:pPr>
      <w:r>
        <w:rPr>
          <w:rFonts w:hint="eastAsia" w:hAnsi="仿宋"/>
          <w:sz w:val="21"/>
          <w:szCs w:val="21"/>
        </w:rPr>
        <w:t>关于发包人向承包人免费提供满足工程施工需要的场内道路和交通设施的约定：</w:t>
      </w:r>
      <w:r>
        <w:rPr>
          <w:rFonts w:hint="eastAsia" w:hAnsi="仿宋"/>
          <w:kern w:val="0"/>
          <w:sz w:val="21"/>
          <w:szCs w:val="21"/>
          <w:u w:val="single"/>
        </w:rPr>
        <w:t>发包人提供的场内交通条件为现状，承包人自行组织现场踏勘</w:t>
      </w:r>
      <w:r>
        <w:rPr>
          <w:rFonts w:hint="eastAsia" w:hAnsi="仿宋"/>
          <w:sz w:val="21"/>
          <w:szCs w:val="21"/>
        </w:rPr>
        <w:t>。</w:t>
      </w:r>
      <w:bookmarkEnd w:id="52"/>
      <w:bookmarkEnd w:id="53"/>
      <w:bookmarkEnd w:id="54"/>
      <w:bookmarkEnd w:id="55"/>
      <w:bookmarkEnd w:id="56"/>
      <w:bookmarkStart w:id="57" w:name="_Toc318581157"/>
    </w:p>
    <w:p w14:paraId="2106AA41">
      <w:pPr>
        <w:spacing w:line="380" w:lineRule="exact"/>
        <w:ind w:firstLine="420" w:firstLineChars="200"/>
        <w:rPr>
          <w:rFonts w:hAnsi="仿宋"/>
          <w:sz w:val="21"/>
          <w:szCs w:val="21"/>
        </w:rPr>
      </w:pPr>
      <w:r>
        <w:rPr>
          <w:rFonts w:hint="eastAsia" w:hAnsi="仿宋"/>
          <w:sz w:val="21"/>
          <w:szCs w:val="21"/>
        </w:rPr>
        <w:t>1.10.4超大件和超重件的运输</w:t>
      </w:r>
    </w:p>
    <w:p w14:paraId="38625C88">
      <w:pPr>
        <w:spacing w:line="380" w:lineRule="exact"/>
        <w:ind w:firstLine="420" w:firstLineChars="200"/>
        <w:rPr>
          <w:rFonts w:hAnsi="仿宋"/>
          <w:sz w:val="21"/>
          <w:szCs w:val="21"/>
        </w:rPr>
      </w:pPr>
      <w:r>
        <w:rPr>
          <w:rFonts w:hint="eastAsia" w:hAnsi="仿宋"/>
          <w:sz w:val="21"/>
          <w:szCs w:val="21"/>
        </w:rPr>
        <w:t>运输超大件或超重件所需的道路和桥梁临时加固改造费用和其他有关费用</w:t>
      </w:r>
      <w:r>
        <w:rPr>
          <w:rFonts w:hint="eastAsia" w:ascii="宋体" w:hAnsi="宋体" w:eastAsia="宋体" w:cs="宋体"/>
          <w:sz w:val="21"/>
          <w:szCs w:val="21"/>
          <w:u w:val="single"/>
        </w:rPr>
        <w:t>已包含在合同价内，承包人报价时综合考虑，并承担相应费用。</w:t>
      </w:r>
    </w:p>
    <w:bookmarkEnd w:id="57"/>
    <w:p w14:paraId="0873BBD0">
      <w:pPr>
        <w:spacing w:line="380" w:lineRule="exact"/>
        <w:ind w:firstLine="420" w:firstLineChars="200"/>
        <w:rPr>
          <w:rFonts w:hAnsi="仿宋"/>
          <w:sz w:val="21"/>
          <w:szCs w:val="21"/>
        </w:rPr>
      </w:pPr>
      <w:r>
        <w:rPr>
          <w:rFonts w:hint="eastAsia" w:hAnsi="仿宋"/>
          <w:sz w:val="21"/>
          <w:szCs w:val="21"/>
        </w:rPr>
        <w:t>1.11 知识产权</w:t>
      </w:r>
    </w:p>
    <w:p w14:paraId="40B4ED9B">
      <w:pPr>
        <w:spacing w:line="380" w:lineRule="exact"/>
        <w:ind w:firstLine="420" w:firstLineChars="200"/>
        <w:rPr>
          <w:rFonts w:hAnsi="仿宋"/>
          <w:sz w:val="21"/>
          <w:szCs w:val="21"/>
        </w:rPr>
      </w:pPr>
      <w:r>
        <w:rPr>
          <w:rFonts w:hint="eastAsia" w:hAnsi="仿宋"/>
          <w:sz w:val="21"/>
          <w:szCs w:val="21"/>
        </w:rPr>
        <w:t>1.11.1关于发包人提供给承包人的图纸、发包人为实施工程自行编制或委托编制的技术规范以及反映发包人关于合同要求或其他类似性质的文件的著作权的归属：</w:t>
      </w:r>
      <w:r>
        <w:rPr>
          <w:rFonts w:hint="eastAsia" w:hAnsi="仿宋"/>
          <w:sz w:val="21"/>
          <w:szCs w:val="21"/>
          <w:u w:val="single"/>
        </w:rPr>
        <w:t>按通用合同条款</w:t>
      </w:r>
      <w:r>
        <w:rPr>
          <w:rFonts w:hint="eastAsia" w:hAnsi="仿宋"/>
          <w:sz w:val="21"/>
          <w:szCs w:val="21"/>
        </w:rPr>
        <w:t>。</w:t>
      </w:r>
    </w:p>
    <w:p w14:paraId="6938161B">
      <w:pPr>
        <w:spacing w:line="380" w:lineRule="exact"/>
        <w:ind w:firstLine="420" w:firstLineChars="200"/>
        <w:rPr>
          <w:rFonts w:hAnsi="仿宋"/>
          <w:sz w:val="21"/>
          <w:szCs w:val="21"/>
        </w:rPr>
      </w:pPr>
      <w:r>
        <w:rPr>
          <w:rFonts w:hint="eastAsia" w:hAnsi="仿宋"/>
          <w:sz w:val="21"/>
          <w:szCs w:val="21"/>
        </w:rPr>
        <w:t>关于发包人提供的上述文件的使用限制的要求：</w:t>
      </w:r>
      <w:r>
        <w:rPr>
          <w:rFonts w:hint="eastAsia" w:hAnsi="仿宋"/>
          <w:sz w:val="21"/>
          <w:szCs w:val="21"/>
          <w:u w:val="single"/>
        </w:rPr>
        <w:t>按通用合同条款</w:t>
      </w:r>
      <w:r>
        <w:rPr>
          <w:rFonts w:hint="eastAsia" w:hAnsi="仿宋"/>
          <w:sz w:val="21"/>
          <w:szCs w:val="21"/>
        </w:rPr>
        <w:t>。</w:t>
      </w:r>
    </w:p>
    <w:p w14:paraId="2DCBF3FB">
      <w:pPr>
        <w:spacing w:line="380" w:lineRule="exact"/>
        <w:ind w:firstLine="420" w:firstLineChars="200"/>
        <w:rPr>
          <w:rFonts w:hAnsi="仿宋"/>
          <w:sz w:val="21"/>
          <w:szCs w:val="21"/>
        </w:rPr>
      </w:pPr>
      <w:r>
        <w:rPr>
          <w:rFonts w:hint="eastAsia" w:hAnsi="仿宋"/>
          <w:sz w:val="21"/>
          <w:szCs w:val="21"/>
        </w:rPr>
        <w:t>1.11.2关于承包人为实施工程所编制文件的著作权的归属：</w:t>
      </w:r>
      <w:r>
        <w:rPr>
          <w:rFonts w:hint="eastAsia" w:hAnsi="仿宋"/>
          <w:sz w:val="21"/>
          <w:szCs w:val="21"/>
          <w:u w:val="single"/>
        </w:rPr>
        <w:t>发包人</w:t>
      </w:r>
      <w:r>
        <w:rPr>
          <w:rFonts w:hint="eastAsia" w:hAnsi="仿宋"/>
          <w:sz w:val="21"/>
          <w:szCs w:val="21"/>
        </w:rPr>
        <w:t>。</w:t>
      </w:r>
    </w:p>
    <w:p w14:paraId="72C04FC9">
      <w:pPr>
        <w:spacing w:line="380" w:lineRule="exact"/>
        <w:ind w:firstLine="420" w:firstLineChars="200"/>
        <w:rPr>
          <w:rFonts w:hAnsi="仿宋"/>
          <w:sz w:val="21"/>
          <w:szCs w:val="21"/>
        </w:rPr>
      </w:pPr>
      <w:r>
        <w:rPr>
          <w:rFonts w:hint="eastAsia" w:hAnsi="仿宋"/>
          <w:sz w:val="21"/>
          <w:szCs w:val="21"/>
        </w:rPr>
        <w:t>关于承包人提供的上述文件的使用限制的要求：</w:t>
      </w:r>
      <w:r>
        <w:rPr>
          <w:rFonts w:hint="eastAsia" w:hAnsi="仿宋"/>
          <w:sz w:val="21"/>
          <w:szCs w:val="21"/>
          <w:u w:val="single"/>
        </w:rPr>
        <w:t>按通用合同条款</w:t>
      </w:r>
      <w:r>
        <w:rPr>
          <w:rFonts w:hint="eastAsia" w:hAnsi="仿宋"/>
          <w:sz w:val="21"/>
          <w:szCs w:val="21"/>
        </w:rPr>
        <w:t>。</w:t>
      </w:r>
    </w:p>
    <w:p w14:paraId="2F224914">
      <w:pPr>
        <w:spacing w:line="360" w:lineRule="exact"/>
        <w:ind w:firstLine="420" w:firstLineChars="200"/>
        <w:rPr>
          <w:rFonts w:hAnsi="仿宋" w:eastAsiaTheme="minorEastAsia"/>
          <w:kern w:val="0"/>
          <w:sz w:val="21"/>
          <w:szCs w:val="21"/>
        </w:rPr>
      </w:pPr>
      <w:r>
        <w:rPr>
          <w:rFonts w:hint="eastAsia" w:hAnsi="仿宋"/>
          <w:sz w:val="21"/>
          <w:szCs w:val="21"/>
        </w:rPr>
        <w:t>1.11.4承包人在施工过程中所采用的专利、专有技术、技术秘密的使用费的承担方式：</w:t>
      </w:r>
      <w:r>
        <w:rPr>
          <w:rFonts w:hint="eastAsia" w:hAnsi="仿宋"/>
          <w:sz w:val="21"/>
          <w:szCs w:val="21"/>
          <w:u w:val="single"/>
        </w:rPr>
        <w:t>包含在合同价内</w:t>
      </w:r>
      <w:r>
        <w:rPr>
          <w:rFonts w:hint="eastAsia" w:hAnsi="仿宋"/>
          <w:kern w:val="0"/>
          <w:sz w:val="21"/>
          <w:szCs w:val="21"/>
        </w:rPr>
        <w:t>。</w:t>
      </w:r>
    </w:p>
    <w:p w14:paraId="5163726E">
      <w:pPr>
        <w:spacing w:line="360" w:lineRule="exact"/>
        <w:ind w:firstLine="420" w:firstLineChars="200"/>
        <w:rPr>
          <w:rFonts w:ascii="宋体" w:cs="宋体"/>
          <w:sz w:val="21"/>
          <w:szCs w:val="21"/>
        </w:rPr>
      </w:pPr>
      <w:r>
        <w:rPr>
          <w:rFonts w:ascii="宋体" w:hAnsi="宋体" w:cs="宋体"/>
          <w:sz w:val="21"/>
          <w:szCs w:val="21"/>
        </w:rPr>
        <w:t xml:space="preserve">1.13 </w:t>
      </w:r>
      <w:r>
        <w:rPr>
          <w:rFonts w:hint="eastAsia" w:ascii="宋体" w:hAnsi="宋体" w:cs="宋体"/>
          <w:sz w:val="21"/>
          <w:szCs w:val="21"/>
        </w:rPr>
        <w:t>工程量清单错误的修正</w:t>
      </w:r>
    </w:p>
    <w:p w14:paraId="44E1D74F">
      <w:pPr>
        <w:spacing w:line="360" w:lineRule="exact"/>
        <w:ind w:firstLine="420" w:firstLineChars="200"/>
        <w:rPr>
          <w:rFonts w:ascii="宋体" w:cs="宋体"/>
          <w:sz w:val="21"/>
          <w:szCs w:val="21"/>
        </w:rPr>
      </w:pPr>
      <w:r>
        <w:rPr>
          <w:rFonts w:hint="eastAsia" w:ascii="宋体" w:hAnsi="宋体" w:cs="宋体"/>
          <w:sz w:val="21"/>
          <w:szCs w:val="21"/>
        </w:rPr>
        <w:t>出现工程量清单错误时，是否调整合同价格：</w:t>
      </w:r>
      <w:r>
        <w:rPr>
          <w:rFonts w:hint="eastAsia" w:ascii="宋体" w:hAnsi="宋体" w:cs="宋体"/>
          <w:sz w:val="21"/>
          <w:szCs w:val="21"/>
          <w:u w:val="single"/>
        </w:rPr>
        <w:t>工程量清单特征描述不符引起造价变化的子目及工程量清单漏项子目按专用条款</w:t>
      </w:r>
      <w:r>
        <w:rPr>
          <w:rFonts w:ascii="宋体" w:hAnsi="宋体" w:cs="宋体"/>
          <w:sz w:val="21"/>
          <w:szCs w:val="21"/>
          <w:u w:val="single"/>
        </w:rPr>
        <w:t>10.4.1</w:t>
      </w:r>
      <w:r>
        <w:rPr>
          <w:rFonts w:hint="eastAsia" w:ascii="宋体" w:hAnsi="宋体" w:cs="宋体"/>
          <w:sz w:val="21"/>
          <w:szCs w:val="21"/>
          <w:u w:val="single"/>
        </w:rPr>
        <w:t>（</w:t>
      </w:r>
      <w:r>
        <w:rPr>
          <w:rFonts w:ascii="宋体" w:hAnsi="宋体" w:cs="宋体"/>
          <w:sz w:val="21"/>
          <w:szCs w:val="21"/>
          <w:u w:val="single"/>
        </w:rPr>
        <w:t>2</w:t>
      </w:r>
      <w:r>
        <w:rPr>
          <w:rFonts w:hint="eastAsia" w:ascii="宋体" w:hAnsi="宋体" w:cs="宋体"/>
          <w:sz w:val="21"/>
          <w:szCs w:val="21"/>
          <w:u w:val="single"/>
        </w:rPr>
        <w:t>）（</w:t>
      </w:r>
      <w:r>
        <w:rPr>
          <w:rFonts w:ascii="宋体" w:hAnsi="宋体" w:cs="宋体"/>
          <w:sz w:val="21"/>
          <w:szCs w:val="21"/>
          <w:u w:val="single"/>
        </w:rPr>
        <w:t>3</w:t>
      </w:r>
      <w:r>
        <w:rPr>
          <w:rFonts w:hint="eastAsia" w:ascii="宋体" w:hAnsi="宋体" w:cs="宋体"/>
          <w:sz w:val="21"/>
          <w:szCs w:val="21"/>
          <w:u w:val="single"/>
        </w:rPr>
        <w:t>）条约定调整合同价格</w:t>
      </w:r>
      <w:r>
        <w:rPr>
          <w:rFonts w:ascii="宋体" w:hAnsi="宋体" w:cs="宋体"/>
          <w:sz w:val="21"/>
          <w:szCs w:val="21"/>
          <w:u w:val="single"/>
        </w:rPr>
        <w:t xml:space="preserve"> </w:t>
      </w:r>
      <w:r>
        <w:rPr>
          <w:rFonts w:hint="eastAsia" w:ascii="宋体" w:hAnsi="宋体" w:cs="宋体"/>
          <w:kern w:val="0"/>
          <w:sz w:val="21"/>
          <w:szCs w:val="21"/>
        </w:rPr>
        <w:t>。</w:t>
      </w:r>
    </w:p>
    <w:p w14:paraId="3FB36EFC">
      <w:pPr>
        <w:spacing w:line="360" w:lineRule="exact"/>
        <w:ind w:firstLine="420" w:firstLineChars="200"/>
        <w:rPr>
          <w:rFonts w:ascii="宋体" w:cs="宋体"/>
          <w:sz w:val="21"/>
          <w:szCs w:val="21"/>
          <w:u w:val="single"/>
          <w:lang w:val="zh-CN"/>
        </w:rPr>
      </w:pPr>
      <w:r>
        <w:rPr>
          <w:rFonts w:hint="eastAsia" w:ascii="宋体" w:hAnsi="宋体" w:cs="宋体"/>
          <w:sz w:val="21"/>
          <w:szCs w:val="21"/>
        </w:rPr>
        <w:t>允许调整合同价格的工程量偏差范围：</w:t>
      </w:r>
      <w:r>
        <w:rPr>
          <w:rFonts w:hint="eastAsia" w:ascii="宋体" w:hAnsi="宋体" w:cs="宋体"/>
          <w:sz w:val="21"/>
          <w:szCs w:val="21"/>
          <w:u w:val="single"/>
        </w:rPr>
        <w:t>因招标工程量清单中的工程量</w:t>
      </w:r>
      <w:r>
        <w:rPr>
          <w:rFonts w:hint="eastAsia" w:ascii="宋体" w:hAnsi="宋体" w:cs="宋体"/>
          <w:sz w:val="21"/>
          <w:szCs w:val="21"/>
          <w:u w:val="single"/>
          <w:lang w:val="zh-CN"/>
        </w:rPr>
        <w:t>计算偏差或工程变更等引起的</w:t>
      </w:r>
      <w:r>
        <w:rPr>
          <w:rFonts w:hint="eastAsia" w:ascii="宋体" w:hAnsi="宋体" w:cs="宋体"/>
          <w:sz w:val="21"/>
          <w:szCs w:val="21"/>
          <w:u w:val="single"/>
        </w:rPr>
        <w:t>工程量变化不调整综合单价</w:t>
      </w:r>
      <w:r>
        <w:rPr>
          <w:rFonts w:hint="eastAsia" w:ascii="宋体" w:hAnsi="宋体" w:eastAsia="宋体" w:cs="宋体"/>
          <w:sz w:val="21"/>
          <w:szCs w:val="21"/>
          <w:u w:val="single"/>
        </w:rPr>
        <w:t>，但如综合单价异常（见专用条款</w:t>
      </w:r>
      <w:r>
        <w:rPr>
          <w:rFonts w:ascii="宋体" w:hAnsi="宋体" w:cs="宋体"/>
          <w:sz w:val="21"/>
          <w:szCs w:val="21"/>
          <w:u w:val="single"/>
        </w:rPr>
        <w:t>10.4.1</w:t>
      </w:r>
      <w:r>
        <w:rPr>
          <w:rFonts w:hint="eastAsia" w:ascii="宋体" w:hAnsi="宋体" w:eastAsia="宋体" w:cs="宋体"/>
          <w:sz w:val="21"/>
          <w:szCs w:val="21"/>
          <w:u w:val="single"/>
        </w:rPr>
        <w:t>），则调整合同价格的工程量偏差范围按专用条款</w:t>
      </w:r>
      <w:r>
        <w:rPr>
          <w:rFonts w:ascii="宋体" w:hAnsi="宋体" w:cs="宋体"/>
          <w:sz w:val="21"/>
          <w:szCs w:val="21"/>
          <w:u w:val="single"/>
        </w:rPr>
        <w:t>10.4.1</w:t>
      </w:r>
      <w:r>
        <w:rPr>
          <w:rFonts w:hint="eastAsia" w:ascii="宋体" w:hAnsi="宋体" w:eastAsia="宋体" w:cs="宋体"/>
          <w:sz w:val="21"/>
          <w:szCs w:val="21"/>
          <w:u w:val="single"/>
        </w:rPr>
        <w:t>（</w:t>
      </w:r>
      <w:r>
        <w:rPr>
          <w:rFonts w:ascii="宋体" w:hAnsi="宋体" w:cs="宋体"/>
          <w:sz w:val="21"/>
          <w:szCs w:val="21"/>
          <w:u w:val="single"/>
        </w:rPr>
        <w:t>1</w:t>
      </w:r>
      <w:r>
        <w:rPr>
          <w:rFonts w:hint="eastAsia" w:ascii="宋体" w:hAnsi="宋体" w:eastAsia="宋体" w:cs="宋体"/>
          <w:sz w:val="21"/>
          <w:szCs w:val="21"/>
          <w:u w:val="single"/>
        </w:rPr>
        <w:t>）条约定调整。</w:t>
      </w:r>
    </w:p>
    <w:p w14:paraId="558F24D8">
      <w:pPr>
        <w:pStyle w:val="8"/>
        <w:keepNext w:val="0"/>
        <w:keepLines w:val="0"/>
        <w:spacing w:before="0" w:after="0" w:line="380" w:lineRule="exact"/>
        <w:rPr>
          <w:rFonts w:ascii="黑体" w:hAnsi="黑体"/>
          <w:b w:val="0"/>
          <w:sz w:val="21"/>
          <w:szCs w:val="21"/>
        </w:rPr>
      </w:pPr>
      <w:bookmarkStart w:id="58" w:name="_Toc351203634"/>
      <w:r>
        <w:rPr>
          <w:rFonts w:hint="eastAsia" w:ascii="黑体" w:hAnsi="黑体"/>
          <w:b w:val="0"/>
          <w:sz w:val="21"/>
          <w:szCs w:val="21"/>
        </w:rPr>
        <w:t>2</w:t>
      </w:r>
      <w:bookmarkStart w:id="59" w:name="_Toc296890985"/>
      <w:bookmarkStart w:id="60" w:name="_Toc297120457"/>
      <w:bookmarkStart w:id="61" w:name="_Toc296891197"/>
      <w:bookmarkStart w:id="62" w:name="_Toc296346658"/>
      <w:bookmarkStart w:id="63" w:name="_Toc296347156"/>
      <w:bookmarkStart w:id="64" w:name="_Toc296503157"/>
      <w:bookmarkStart w:id="65" w:name="_Toc296944496"/>
      <w:bookmarkStart w:id="66" w:name="_Toc292559362"/>
      <w:bookmarkStart w:id="67" w:name="_Toc297048343"/>
      <w:bookmarkStart w:id="68" w:name="_Toc292559867"/>
      <w:r>
        <w:rPr>
          <w:rFonts w:hint="eastAsia" w:ascii="黑体" w:hAnsi="黑体"/>
          <w:b w:val="0"/>
          <w:sz w:val="21"/>
          <w:szCs w:val="21"/>
        </w:rPr>
        <w:t>．发包人</w:t>
      </w:r>
      <w:bookmarkEnd w:id="58"/>
    </w:p>
    <w:bookmarkEnd w:id="59"/>
    <w:bookmarkEnd w:id="60"/>
    <w:bookmarkEnd w:id="61"/>
    <w:bookmarkEnd w:id="62"/>
    <w:bookmarkEnd w:id="63"/>
    <w:bookmarkEnd w:id="64"/>
    <w:bookmarkEnd w:id="65"/>
    <w:bookmarkEnd w:id="66"/>
    <w:bookmarkEnd w:id="67"/>
    <w:bookmarkEnd w:id="68"/>
    <w:p w14:paraId="6FC643CB">
      <w:pPr>
        <w:spacing w:line="380" w:lineRule="exact"/>
        <w:ind w:firstLine="420" w:firstLineChars="200"/>
        <w:rPr>
          <w:rFonts w:hAnsi="仿宋"/>
          <w:sz w:val="21"/>
          <w:szCs w:val="21"/>
        </w:rPr>
      </w:pPr>
      <w:r>
        <w:rPr>
          <w:rFonts w:hint="eastAsia" w:hAnsi="仿宋"/>
          <w:sz w:val="21"/>
          <w:szCs w:val="21"/>
        </w:rPr>
        <w:t>2.2 发包人代表</w:t>
      </w:r>
    </w:p>
    <w:p w14:paraId="270C0A61">
      <w:pPr>
        <w:spacing w:line="380" w:lineRule="exact"/>
        <w:ind w:firstLine="420" w:firstLineChars="200"/>
        <w:rPr>
          <w:rFonts w:hAnsi="仿宋"/>
          <w:sz w:val="21"/>
          <w:szCs w:val="21"/>
        </w:rPr>
      </w:pPr>
      <w:r>
        <w:rPr>
          <w:rFonts w:hint="eastAsia" w:hAnsi="仿宋"/>
          <w:sz w:val="21"/>
          <w:szCs w:val="21"/>
        </w:rPr>
        <w:t>发包人代表：</w:t>
      </w:r>
      <w:r>
        <w:rPr>
          <w:rFonts w:hint="eastAsia" w:ascii="宋体" w:hAnsi="宋体" w:cs="宋体"/>
          <w:kern w:val="0"/>
          <w:szCs w:val="21"/>
          <w:u w:val="single"/>
        </w:rPr>
        <w:t xml:space="preserve">                 </w:t>
      </w:r>
      <w:r>
        <w:rPr>
          <w:rFonts w:hint="eastAsia" w:hAnsi="仿宋"/>
          <w:sz w:val="21"/>
          <w:szCs w:val="21"/>
        </w:rPr>
        <w:t xml:space="preserve">； </w:t>
      </w:r>
      <w:r>
        <w:rPr>
          <w:rFonts w:hint="eastAsia" w:ascii="宋体" w:hAnsi="宋体" w:cs="宋体"/>
          <w:kern w:val="0"/>
          <w:szCs w:val="21"/>
          <w:u w:val="single"/>
        </w:rPr>
        <w:t xml:space="preserve">                               </w:t>
      </w:r>
    </w:p>
    <w:p w14:paraId="44F9F4E9">
      <w:pPr>
        <w:spacing w:line="380" w:lineRule="exact"/>
        <w:ind w:firstLine="420" w:firstLineChars="200"/>
        <w:rPr>
          <w:rFonts w:hAnsi="仿宋"/>
          <w:sz w:val="21"/>
          <w:szCs w:val="21"/>
        </w:rPr>
      </w:pPr>
      <w:r>
        <w:rPr>
          <w:rFonts w:hint="eastAsia" w:hAnsi="仿宋"/>
          <w:sz w:val="21"/>
          <w:szCs w:val="21"/>
        </w:rPr>
        <w:t>姓    名：</w:t>
      </w:r>
      <w:r>
        <w:rPr>
          <w:rFonts w:hint="eastAsia" w:ascii="宋体" w:hAnsi="宋体" w:cs="宋体"/>
          <w:kern w:val="0"/>
          <w:szCs w:val="21"/>
          <w:u w:val="single"/>
        </w:rPr>
        <w:t xml:space="preserve">                 </w:t>
      </w:r>
      <w:r>
        <w:rPr>
          <w:rFonts w:hint="eastAsia" w:hAnsi="仿宋"/>
          <w:sz w:val="21"/>
          <w:szCs w:val="21"/>
        </w:rPr>
        <w:t>；</w:t>
      </w:r>
    </w:p>
    <w:p w14:paraId="23D4A0A3">
      <w:pPr>
        <w:spacing w:line="380" w:lineRule="exact"/>
        <w:ind w:firstLine="420" w:firstLineChars="200"/>
        <w:rPr>
          <w:rFonts w:hAnsi="仿宋"/>
          <w:sz w:val="21"/>
          <w:szCs w:val="21"/>
        </w:rPr>
      </w:pPr>
      <w:r>
        <w:rPr>
          <w:rFonts w:hint="eastAsia" w:hAnsi="仿宋"/>
          <w:sz w:val="21"/>
          <w:szCs w:val="21"/>
        </w:rPr>
        <w:t>身份证号：</w:t>
      </w:r>
      <w:r>
        <w:rPr>
          <w:rFonts w:hint="eastAsia" w:ascii="宋体" w:hAnsi="宋体" w:cs="宋体"/>
          <w:kern w:val="0"/>
          <w:szCs w:val="21"/>
          <w:u w:val="single"/>
        </w:rPr>
        <w:t xml:space="preserve">                 </w:t>
      </w:r>
      <w:r>
        <w:rPr>
          <w:rFonts w:hint="eastAsia" w:hAnsi="仿宋"/>
          <w:sz w:val="21"/>
          <w:szCs w:val="21"/>
        </w:rPr>
        <w:t>；</w:t>
      </w:r>
    </w:p>
    <w:p w14:paraId="4F2DCD6A">
      <w:pPr>
        <w:spacing w:line="380" w:lineRule="exact"/>
        <w:ind w:firstLine="420" w:firstLineChars="200"/>
        <w:rPr>
          <w:rFonts w:hAnsi="仿宋"/>
          <w:sz w:val="21"/>
          <w:szCs w:val="21"/>
        </w:rPr>
      </w:pPr>
      <w:r>
        <w:rPr>
          <w:rFonts w:hint="eastAsia" w:hAnsi="仿宋"/>
          <w:sz w:val="21"/>
          <w:szCs w:val="21"/>
        </w:rPr>
        <w:t>职    务：</w:t>
      </w:r>
      <w:r>
        <w:rPr>
          <w:rFonts w:hint="eastAsia" w:ascii="宋体" w:hAnsi="宋体" w:cs="宋体"/>
          <w:kern w:val="0"/>
          <w:szCs w:val="21"/>
          <w:u w:val="single"/>
        </w:rPr>
        <w:t xml:space="preserve">                 </w:t>
      </w:r>
      <w:r>
        <w:rPr>
          <w:rFonts w:hint="eastAsia" w:hAnsi="仿宋"/>
          <w:sz w:val="21"/>
          <w:szCs w:val="21"/>
        </w:rPr>
        <w:t>；</w:t>
      </w:r>
    </w:p>
    <w:p w14:paraId="5F626E7C">
      <w:pPr>
        <w:spacing w:line="380" w:lineRule="exact"/>
        <w:ind w:firstLine="420" w:firstLineChars="200"/>
        <w:rPr>
          <w:rFonts w:hAnsi="仿宋"/>
          <w:sz w:val="21"/>
          <w:szCs w:val="21"/>
        </w:rPr>
      </w:pPr>
      <w:r>
        <w:rPr>
          <w:rFonts w:hint="eastAsia" w:hAnsi="仿宋"/>
          <w:sz w:val="21"/>
          <w:szCs w:val="21"/>
        </w:rPr>
        <w:t>联系电话：</w:t>
      </w:r>
      <w:r>
        <w:rPr>
          <w:rFonts w:hint="eastAsia" w:ascii="宋体" w:hAnsi="宋体" w:cs="宋体"/>
          <w:kern w:val="0"/>
          <w:szCs w:val="21"/>
          <w:u w:val="single"/>
        </w:rPr>
        <w:t xml:space="preserve">                 </w:t>
      </w:r>
      <w:r>
        <w:rPr>
          <w:rFonts w:hint="eastAsia" w:hAnsi="仿宋"/>
          <w:sz w:val="21"/>
          <w:szCs w:val="21"/>
        </w:rPr>
        <w:t>；</w:t>
      </w:r>
    </w:p>
    <w:p w14:paraId="31D0E27D">
      <w:pPr>
        <w:spacing w:line="380" w:lineRule="exact"/>
        <w:ind w:firstLine="420" w:firstLineChars="200"/>
        <w:rPr>
          <w:rFonts w:hAnsi="仿宋"/>
          <w:sz w:val="21"/>
          <w:szCs w:val="21"/>
        </w:rPr>
      </w:pPr>
      <w:r>
        <w:rPr>
          <w:rFonts w:hint="eastAsia" w:hAnsi="仿宋"/>
          <w:sz w:val="21"/>
          <w:szCs w:val="21"/>
        </w:rPr>
        <w:t>电子信箱：</w:t>
      </w:r>
      <w:r>
        <w:rPr>
          <w:rFonts w:hint="eastAsia" w:ascii="宋体" w:hAnsi="宋体" w:cs="宋体"/>
          <w:kern w:val="0"/>
          <w:szCs w:val="21"/>
          <w:u w:val="single"/>
        </w:rPr>
        <w:t xml:space="preserve">                 </w:t>
      </w:r>
      <w:r>
        <w:rPr>
          <w:rFonts w:hint="eastAsia" w:hAnsi="仿宋"/>
          <w:sz w:val="21"/>
          <w:szCs w:val="21"/>
        </w:rPr>
        <w:t>；</w:t>
      </w:r>
    </w:p>
    <w:p w14:paraId="5E3190F7">
      <w:pPr>
        <w:spacing w:line="380" w:lineRule="exact"/>
        <w:ind w:firstLine="420" w:firstLineChars="200"/>
        <w:rPr>
          <w:rFonts w:hAnsi="仿宋"/>
          <w:sz w:val="21"/>
          <w:szCs w:val="21"/>
        </w:rPr>
      </w:pPr>
      <w:r>
        <w:rPr>
          <w:rFonts w:hint="eastAsia" w:hAnsi="仿宋"/>
          <w:sz w:val="21"/>
          <w:szCs w:val="21"/>
        </w:rPr>
        <w:t>通信地址：</w:t>
      </w:r>
      <w:r>
        <w:rPr>
          <w:rFonts w:hint="eastAsia" w:ascii="宋体" w:hAnsi="宋体" w:cs="宋体"/>
          <w:kern w:val="0"/>
          <w:szCs w:val="21"/>
          <w:u w:val="single"/>
        </w:rPr>
        <w:t xml:space="preserve">                 </w:t>
      </w:r>
      <w:r>
        <w:rPr>
          <w:rFonts w:hint="eastAsia" w:hAnsi="仿宋"/>
          <w:sz w:val="21"/>
          <w:szCs w:val="21"/>
        </w:rPr>
        <w:t>。</w:t>
      </w:r>
    </w:p>
    <w:p w14:paraId="79AE6485">
      <w:pPr>
        <w:spacing w:line="380" w:lineRule="exact"/>
        <w:ind w:firstLine="420" w:firstLineChars="200"/>
        <w:rPr>
          <w:rFonts w:hAnsi="仿宋"/>
          <w:sz w:val="21"/>
          <w:szCs w:val="21"/>
        </w:rPr>
      </w:pPr>
      <w:r>
        <w:rPr>
          <w:rFonts w:hint="eastAsia" w:hAnsi="仿宋"/>
          <w:sz w:val="21"/>
          <w:szCs w:val="21"/>
        </w:rPr>
        <w:t>发包人对发包人代表的授权范围如下：</w:t>
      </w:r>
      <w:r>
        <w:rPr>
          <w:rFonts w:hint="eastAsia" w:ascii="宋体" w:hAnsi="宋体" w:eastAsia="宋体"/>
          <w:sz w:val="21"/>
          <w:szCs w:val="21"/>
          <w:u w:val="single"/>
        </w:rPr>
        <w:t>代表发包人对承包人的工程质量管理、安全文明施工和施工进度管理等进行监督，协调施工现场，配合完成验收，按有关规定办理接收手续</w:t>
      </w:r>
      <w:r>
        <w:rPr>
          <w:rFonts w:hint="eastAsia" w:hAnsi="仿宋"/>
          <w:sz w:val="21"/>
          <w:szCs w:val="21"/>
        </w:rPr>
        <w:t>。</w:t>
      </w:r>
    </w:p>
    <w:p w14:paraId="7BB05D85">
      <w:pPr>
        <w:spacing w:line="380" w:lineRule="exact"/>
        <w:ind w:firstLine="420" w:firstLineChars="200"/>
        <w:rPr>
          <w:rFonts w:hAnsi="仿宋"/>
          <w:sz w:val="21"/>
          <w:szCs w:val="21"/>
        </w:rPr>
      </w:pPr>
      <w:r>
        <w:rPr>
          <w:rFonts w:hint="eastAsia" w:hAnsi="仿宋"/>
          <w:sz w:val="21"/>
          <w:szCs w:val="21"/>
        </w:rPr>
        <w:t>2.4 施工现场、施工条件和基础资料的提供</w:t>
      </w:r>
    </w:p>
    <w:p w14:paraId="436028ED">
      <w:pPr>
        <w:spacing w:line="380" w:lineRule="exact"/>
        <w:ind w:firstLine="420" w:firstLineChars="200"/>
        <w:rPr>
          <w:rFonts w:hAnsi="仿宋"/>
          <w:sz w:val="21"/>
          <w:szCs w:val="21"/>
        </w:rPr>
      </w:pPr>
      <w:r>
        <w:rPr>
          <w:rFonts w:hint="eastAsia" w:hAnsi="仿宋"/>
          <w:sz w:val="21"/>
          <w:szCs w:val="21"/>
        </w:rPr>
        <w:t>2.4.1提供施工现场</w:t>
      </w:r>
    </w:p>
    <w:p w14:paraId="1C475310">
      <w:pPr>
        <w:spacing w:line="380" w:lineRule="exact"/>
        <w:ind w:firstLine="420" w:firstLineChars="200"/>
        <w:rPr>
          <w:rFonts w:hAnsi="仿宋"/>
          <w:sz w:val="21"/>
          <w:szCs w:val="21"/>
        </w:rPr>
      </w:pPr>
      <w:r>
        <w:rPr>
          <w:rFonts w:hint="eastAsia" w:hAnsi="仿宋"/>
          <w:sz w:val="21"/>
          <w:szCs w:val="21"/>
        </w:rPr>
        <w:t>关于发包人移交施工现场的期限要求：</w:t>
      </w:r>
      <w:r>
        <w:rPr>
          <w:rFonts w:hint="eastAsia" w:hAnsi="仿宋"/>
          <w:sz w:val="21"/>
          <w:szCs w:val="21"/>
          <w:u w:val="single"/>
        </w:rPr>
        <w:t>开工日期7天前</w:t>
      </w:r>
      <w:r>
        <w:rPr>
          <w:rFonts w:hint="eastAsia" w:hAnsi="仿宋"/>
          <w:sz w:val="21"/>
          <w:szCs w:val="21"/>
        </w:rPr>
        <w:t>。</w:t>
      </w:r>
    </w:p>
    <w:p w14:paraId="4FFC3066">
      <w:pPr>
        <w:spacing w:line="380" w:lineRule="exact"/>
        <w:ind w:firstLine="420" w:firstLineChars="200"/>
        <w:rPr>
          <w:rFonts w:hAnsi="仿宋"/>
          <w:sz w:val="21"/>
          <w:szCs w:val="21"/>
        </w:rPr>
      </w:pPr>
      <w:r>
        <w:rPr>
          <w:rFonts w:hint="eastAsia" w:hAnsi="仿宋"/>
          <w:sz w:val="21"/>
          <w:szCs w:val="21"/>
        </w:rPr>
        <w:t>2.4.2提供施工条件</w:t>
      </w:r>
    </w:p>
    <w:p w14:paraId="78036ECD">
      <w:pPr>
        <w:spacing w:line="380" w:lineRule="exact"/>
        <w:ind w:firstLine="420" w:firstLineChars="200"/>
        <w:rPr>
          <w:rFonts w:hAnsi="仿宋"/>
          <w:sz w:val="21"/>
          <w:szCs w:val="21"/>
          <w:u w:val="single"/>
        </w:rPr>
      </w:pPr>
      <w:r>
        <w:rPr>
          <w:rFonts w:hint="eastAsia" w:hAnsi="仿宋"/>
          <w:sz w:val="21"/>
          <w:szCs w:val="21"/>
        </w:rPr>
        <w:t>关于发包人应负责提供施工所需要的条件，包括：</w:t>
      </w:r>
      <w:r>
        <w:rPr>
          <w:rFonts w:hint="eastAsia" w:ascii="宋体" w:hAnsi="宋体" w:eastAsia="宋体"/>
          <w:sz w:val="21"/>
          <w:szCs w:val="21"/>
          <w:u w:val="single"/>
        </w:rPr>
        <w:t>施工现场水、电、道路。</w:t>
      </w:r>
    </w:p>
    <w:p w14:paraId="1BAF1B07">
      <w:pPr>
        <w:spacing w:line="380" w:lineRule="exact"/>
        <w:ind w:firstLine="420" w:firstLineChars="200"/>
        <w:rPr>
          <w:rFonts w:hAnsi="仿宋"/>
          <w:sz w:val="21"/>
          <w:szCs w:val="21"/>
        </w:rPr>
      </w:pPr>
      <w:r>
        <w:rPr>
          <w:rFonts w:hint="eastAsia" w:hAnsi="仿宋"/>
          <w:sz w:val="21"/>
          <w:szCs w:val="21"/>
        </w:rPr>
        <w:t>2.5 资金来源证明及支付担保</w:t>
      </w:r>
    </w:p>
    <w:p w14:paraId="439C5AE5">
      <w:pPr>
        <w:spacing w:line="380" w:lineRule="exact"/>
        <w:ind w:firstLine="420" w:firstLineChars="200"/>
        <w:rPr>
          <w:rFonts w:hAnsi="仿宋"/>
          <w:sz w:val="21"/>
          <w:szCs w:val="21"/>
        </w:rPr>
      </w:pPr>
      <w:r>
        <w:rPr>
          <w:rFonts w:hint="eastAsia" w:hAnsi="仿宋"/>
          <w:sz w:val="21"/>
          <w:szCs w:val="21"/>
        </w:rPr>
        <w:t>发包人提供资金来源证明的期限要求：</w:t>
      </w:r>
      <w:r>
        <w:rPr>
          <w:rFonts w:hint="eastAsia" w:hAnsi="仿宋"/>
          <w:sz w:val="21"/>
          <w:szCs w:val="21"/>
          <w:u w:val="single"/>
        </w:rPr>
        <w:t></w:t>
      </w:r>
      <w:r>
        <w:rPr>
          <w:rFonts w:hint="eastAsia" w:hAnsi="仿宋" w:eastAsia="宋体"/>
          <w:sz w:val="21"/>
          <w:szCs w:val="21"/>
          <w:u w:val="single"/>
        </w:rPr>
        <w:t>/</w:t>
      </w:r>
      <w:r>
        <w:rPr>
          <w:rFonts w:hint="eastAsia" w:hAnsi="仿宋"/>
          <w:sz w:val="21"/>
          <w:szCs w:val="21"/>
        </w:rPr>
        <w:t>。</w:t>
      </w:r>
    </w:p>
    <w:p w14:paraId="38C66F64">
      <w:pPr>
        <w:spacing w:line="380" w:lineRule="exact"/>
        <w:ind w:firstLine="420" w:firstLineChars="200"/>
        <w:rPr>
          <w:rFonts w:hAnsi="仿宋"/>
          <w:sz w:val="21"/>
          <w:szCs w:val="21"/>
        </w:rPr>
      </w:pPr>
      <w:r>
        <w:rPr>
          <w:rFonts w:hint="eastAsia" w:hAnsi="仿宋"/>
          <w:sz w:val="21"/>
          <w:szCs w:val="21"/>
        </w:rPr>
        <w:t>发包人是否提供支付担保：</w:t>
      </w:r>
      <w:r>
        <w:rPr>
          <w:rFonts w:hint="eastAsia" w:hAnsi="仿宋" w:eastAsia="宋体"/>
          <w:sz w:val="21"/>
          <w:szCs w:val="21"/>
          <w:u w:val="single"/>
        </w:rPr>
        <w:t>/</w:t>
      </w:r>
      <w:r>
        <w:rPr>
          <w:rFonts w:hint="eastAsia" w:hAnsi="仿宋"/>
          <w:sz w:val="21"/>
          <w:szCs w:val="21"/>
        </w:rPr>
        <w:t>。</w:t>
      </w:r>
    </w:p>
    <w:p w14:paraId="74720E4C">
      <w:pPr>
        <w:spacing w:line="380" w:lineRule="exact"/>
        <w:ind w:firstLine="420" w:firstLineChars="200"/>
        <w:rPr>
          <w:rFonts w:hAnsi="仿宋"/>
          <w:sz w:val="21"/>
          <w:szCs w:val="21"/>
        </w:rPr>
      </w:pPr>
      <w:r>
        <w:rPr>
          <w:rFonts w:hint="eastAsia" w:hAnsi="仿宋"/>
          <w:sz w:val="21"/>
          <w:szCs w:val="21"/>
        </w:rPr>
        <w:t>发包人提供支付担保的形式：</w:t>
      </w:r>
      <w:r>
        <w:rPr>
          <w:rFonts w:hint="eastAsia" w:hAnsi="仿宋"/>
          <w:sz w:val="21"/>
          <w:szCs w:val="21"/>
          <w:u w:val="single"/>
        </w:rPr>
        <w:t></w:t>
      </w:r>
      <w:r>
        <w:rPr>
          <w:rFonts w:hint="eastAsia" w:hAnsi="仿宋" w:eastAsia="宋体"/>
          <w:sz w:val="21"/>
          <w:szCs w:val="21"/>
          <w:u w:val="single"/>
        </w:rPr>
        <w:t>/</w:t>
      </w:r>
      <w:r>
        <w:rPr>
          <w:rFonts w:hint="eastAsia" w:hAnsi="仿宋"/>
          <w:sz w:val="21"/>
          <w:szCs w:val="21"/>
        </w:rPr>
        <w:t>。</w:t>
      </w:r>
    </w:p>
    <w:p w14:paraId="311E4855">
      <w:pPr>
        <w:spacing w:line="380" w:lineRule="exact"/>
        <w:ind w:firstLine="420" w:firstLineChars="200"/>
        <w:rPr>
          <w:rFonts w:hAnsi="仿宋"/>
          <w:sz w:val="21"/>
          <w:szCs w:val="21"/>
        </w:rPr>
      </w:pPr>
      <w:r>
        <w:rPr>
          <w:rFonts w:hint="eastAsia" w:hAnsi="仿宋"/>
          <w:sz w:val="21"/>
          <w:szCs w:val="21"/>
        </w:rPr>
        <w:t>2.6支付合同价款</w:t>
      </w:r>
    </w:p>
    <w:p w14:paraId="7CE8810E">
      <w:pPr>
        <w:spacing w:line="380" w:lineRule="exact"/>
        <w:ind w:firstLine="420" w:firstLineChars="200"/>
        <w:rPr>
          <w:rFonts w:hAnsi="仿宋"/>
          <w:sz w:val="21"/>
          <w:szCs w:val="21"/>
        </w:rPr>
      </w:pPr>
      <w:r>
        <w:rPr>
          <w:rFonts w:hint="eastAsia" w:hAnsi="仿宋"/>
          <w:sz w:val="21"/>
          <w:szCs w:val="21"/>
        </w:rPr>
        <w:t>发包人应按合同约定向承包人及时支付合同价款。</w:t>
      </w:r>
    </w:p>
    <w:p w14:paraId="457F7276">
      <w:pPr>
        <w:spacing w:line="380" w:lineRule="exact"/>
        <w:ind w:firstLine="420" w:firstLineChars="200"/>
        <w:rPr>
          <w:rFonts w:hAnsi="仿宋"/>
          <w:sz w:val="21"/>
          <w:szCs w:val="21"/>
        </w:rPr>
      </w:pPr>
      <w:r>
        <w:rPr>
          <w:rFonts w:hint="eastAsia" w:hAnsi="仿宋"/>
          <w:sz w:val="21"/>
          <w:szCs w:val="21"/>
        </w:rPr>
        <w:t>2.7 组织竣工验收</w:t>
      </w:r>
    </w:p>
    <w:p w14:paraId="33E39804">
      <w:pPr>
        <w:spacing w:line="380" w:lineRule="exact"/>
        <w:ind w:firstLine="420" w:firstLineChars="200"/>
        <w:rPr>
          <w:rFonts w:hAnsi="仿宋"/>
          <w:sz w:val="21"/>
          <w:szCs w:val="21"/>
        </w:rPr>
      </w:pPr>
      <w:r>
        <w:rPr>
          <w:rFonts w:hint="eastAsia" w:hAnsi="仿宋"/>
          <w:sz w:val="21"/>
          <w:szCs w:val="21"/>
        </w:rPr>
        <w:t>发包人应按合同约定及时组织竣工验收。</w:t>
      </w:r>
    </w:p>
    <w:p w14:paraId="67D621AD">
      <w:pPr>
        <w:spacing w:line="380" w:lineRule="exact"/>
        <w:ind w:firstLine="420" w:firstLineChars="200"/>
        <w:rPr>
          <w:rFonts w:hAnsi="仿宋"/>
          <w:sz w:val="21"/>
          <w:szCs w:val="21"/>
          <w:u w:val="single"/>
        </w:rPr>
      </w:pPr>
      <w:r>
        <w:rPr>
          <w:rFonts w:hint="eastAsia" w:hAnsi="仿宋"/>
          <w:sz w:val="21"/>
          <w:szCs w:val="21"/>
          <w:u w:val="single"/>
        </w:rPr>
        <w:t>承包人完成合同范围内工程内容，发包人应根据施工图纸、现行施工验收规范和质量验收标准及时组织工程质量验收。</w:t>
      </w:r>
    </w:p>
    <w:p w14:paraId="76F369F7">
      <w:pPr>
        <w:pStyle w:val="8"/>
        <w:keepNext w:val="0"/>
        <w:keepLines w:val="0"/>
        <w:spacing w:before="0" w:after="0" w:line="380" w:lineRule="exact"/>
        <w:rPr>
          <w:rFonts w:ascii="黑体" w:hAnsi="黑体"/>
          <w:b w:val="0"/>
          <w:sz w:val="21"/>
          <w:szCs w:val="21"/>
        </w:rPr>
      </w:pPr>
      <w:bookmarkStart w:id="69" w:name="_Toc351203635"/>
      <w:r>
        <w:rPr>
          <w:rFonts w:hint="eastAsia" w:ascii="黑体" w:hAnsi="黑体"/>
          <w:b w:val="0"/>
          <w:sz w:val="21"/>
          <w:szCs w:val="21"/>
        </w:rPr>
        <w:t>3</w:t>
      </w:r>
      <w:bookmarkStart w:id="70" w:name="_Toc292559868"/>
      <w:bookmarkStart w:id="71" w:name="_Toc292559363"/>
      <w:bookmarkStart w:id="72" w:name="_Toc296890986"/>
      <w:bookmarkStart w:id="73" w:name="_Toc297048344"/>
      <w:bookmarkStart w:id="74" w:name="_Toc297120458"/>
      <w:bookmarkStart w:id="75" w:name="_Toc296891198"/>
      <w:bookmarkStart w:id="76" w:name="_Toc296347157"/>
      <w:bookmarkStart w:id="77" w:name="_Toc296503158"/>
      <w:bookmarkStart w:id="78" w:name="_Toc296944497"/>
      <w:bookmarkStart w:id="79" w:name="_Toc296346659"/>
      <w:r>
        <w:rPr>
          <w:rFonts w:hint="eastAsia" w:ascii="黑体" w:hAnsi="黑体"/>
          <w:b w:val="0"/>
          <w:sz w:val="21"/>
          <w:szCs w:val="21"/>
        </w:rPr>
        <w:t>．承包人</w:t>
      </w:r>
      <w:bookmarkEnd w:id="69"/>
    </w:p>
    <w:bookmarkEnd w:id="70"/>
    <w:bookmarkEnd w:id="71"/>
    <w:bookmarkEnd w:id="72"/>
    <w:bookmarkEnd w:id="73"/>
    <w:bookmarkEnd w:id="74"/>
    <w:bookmarkEnd w:id="75"/>
    <w:bookmarkEnd w:id="76"/>
    <w:bookmarkEnd w:id="77"/>
    <w:bookmarkEnd w:id="78"/>
    <w:bookmarkEnd w:id="79"/>
    <w:p w14:paraId="4F0DF811">
      <w:pPr>
        <w:spacing w:line="380" w:lineRule="exact"/>
        <w:ind w:firstLine="420" w:firstLineChars="200"/>
        <w:rPr>
          <w:rFonts w:hAnsi="仿宋"/>
          <w:sz w:val="21"/>
          <w:szCs w:val="21"/>
        </w:rPr>
      </w:pPr>
      <w:r>
        <w:rPr>
          <w:rFonts w:hint="eastAsia" w:hAnsi="仿宋"/>
          <w:sz w:val="21"/>
          <w:szCs w:val="21"/>
        </w:rPr>
        <w:t>3.1 承包人的一般义务</w:t>
      </w:r>
    </w:p>
    <w:p w14:paraId="41F28ACD">
      <w:pPr>
        <w:spacing w:line="380" w:lineRule="exact"/>
        <w:ind w:firstLine="420" w:firstLineChars="200"/>
        <w:rPr>
          <w:rFonts w:hAnsi="仿宋"/>
          <w:sz w:val="21"/>
          <w:szCs w:val="21"/>
        </w:rPr>
      </w:pPr>
      <w:r>
        <w:rPr>
          <w:rFonts w:hint="eastAsia" w:hAnsi="仿宋"/>
          <w:kern w:val="0"/>
          <w:sz w:val="21"/>
          <w:szCs w:val="21"/>
        </w:rPr>
        <w:t>（9）</w:t>
      </w:r>
      <w:r>
        <w:rPr>
          <w:rFonts w:hint="eastAsia" w:hAnsi="仿宋"/>
          <w:sz w:val="21"/>
          <w:szCs w:val="21"/>
        </w:rPr>
        <w:t>承包人提交的竣工资料的内容：</w:t>
      </w:r>
      <w:r>
        <w:rPr>
          <w:rFonts w:hint="eastAsia" w:hAnsi="仿宋"/>
          <w:sz w:val="21"/>
          <w:szCs w:val="21"/>
          <w:u w:val="single"/>
        </w:rPr>
        <w:t>向发包人提交按规范规定应由承包人编制部分的竣工资料，包括含施工过程中验收、检查时拍摄或录制的相片、影像资料等，并符合建设工程资料存档要求</w:t>
      </w:r>
      <w:r>
        <w:rPr>
          <w:rFonts w:hint="eastAsia" w:hAnsi="仿宋"/>
          <w:sz w:val="21"/>
          <w:szCs w:val="21"/>
        </w:rPr>
        <w:t>。</w:t>
      </w:r>
    </w:p>
    <w:p w14:paraId="419347B9">
      <w:pPr>
        <w:spacing w:line="380" w:lineRule="exact"/>
        <w:ind w:firstLine="420" w:firstLineChars="200"/>
        <w:rPr>
          <w:rFonts w:hAnsi="仿宋"/>
          <w:sz w:val="21"/>
          <w:szCs w:val="21"/>
        </w:rPr>
      </w:pPr>
      <w:r>
        <w:rPr>
          <w:rFonts w:hint="eastAsia" w:hAnsi="仿宋"/>
          <w:sz w:val="21"/>
          <w:szCs w:val="21"/>
        </w:rPr>
        <w:t>承包人需要提交的竣工资料套数：</w:t>
      </w:r>
      <w:r>
        <w:rPr>
          <w:rFonts w:hint="eastAsia" w:hAnsi="仿宋"/>
          <w:sz w:val="21"/>
          <w:szCs w:val="21"/>
          <w:u w:val="single"/>
        </w:rPr>
        <w:t xml:space="preserve">     2套</w:t>
      </w:r>
      <w:r>
        <w:rPr>
          <w:rFonts w:hint="eastAsia" w:hAnsi="仿宋"/>
          <w:sz w:val="21"/>
          <w:szCs w:val="21"/>
        </w:rPr>
        <w:t>。</w:t>
      </w:r>
    </w:p>
    <w:p w14:paraId="0A9FC980">
      <w:pPr>
        <w:spacing w:line="380" w:lineRule="exact"/>
        <w:ind w:firstLine="420" w:firstLineChars="200"/>
        <w:rPr>
          <w:rFonts w:hAnsi="仿宋"/>
          <w:sz w:val="21"/>
          <w:szCs w:val="21"/>
        </w:rPr>
      </w:pPr>
      <w:r>
        <w:rPr>
          <w:rFonts w:hint="eastAsia" w:hAnsi="仿宋"/>
          <w:sz w:val="21"/>
          <w:szCs w:val="21"/>
        </w:rPr>
        <w:t>承包人提交的竣工资料的费用承担：</w:t>
      </w:r>
      <w:r>
        <w:rPr>
          <w:rFonts w:hint="eastAsia" w:hAnsi="仿宋"/>
          <w:sz w:val="21"/>
          <w:szCs w:val="21"/>
          <w:u w:val="single"/>
        </w:rPr>
        <w:t>由承包人承担</w:t>
      </w:r>
      <w:r>
        <w:rPr>
          <w:rFonts w:hint="eastAsia" w:hAnsi="仿宋"/>
          <w:sz w:val="21"/>
          <w:szCs w:val="21"/>
        </w:rPr>
        <w:t>。</w:t>
      </w:r>
    </w:p>
    <w:p w14:paraId="36FE35CF">
      <w:pPr>
        <w:spacing w:line="380" w:lineRule="exact"/>
        <w:ind w:firstLine="420" w:firstLineChars="200"/>
        <w:rPr>
          <w:rFonts w:hAnsi="仿宋"/>
          <w:sz w:val="21"/>
          <w:szCs w:val="21"/>
        </w:rPr>
      </w:pPr>
      <w:r>
        <w:rPr>
          <w:rFonts w:hint="eastAsia" w:hAnsi="仿宋"/>
          <w:sz w:val="21"/>
          <w:szCs w:val="21"/>
        </w:rPr>
        <w:t>承包人提交的竣工资料移交时间：</w:t>
      </w:r>
      <w:r>
        <w:rPr>
          <w:rFonts w:hint="eastAsia" w:hAnsi="仿宋"/>
          <w:sz w:val="21"/>
          <w:szCs w:val="21"/>
          <w:u w:val="single"/>
        </w:rPr>
        <w:t>工程竣工验收合格后7天内</w:t>
      </w:r>
      <w:r>
        <w:rPr>
          <w:rFonts w:hint="eastAsia" w:hAnsi="仿宋"/>
          <w:sz w:val="21"/>
          <w:szCs w:val="21"/>
        </w:rPr>
        <w:t>。</w:t>
      </w:r>
    </w:p>
    <w:p w14:paraId="66D0FD48">
      <w:pPr>
        <w:spacing w:line="380" w:lineRule="exact"/>
        <w:ind w:firstLine="420" w:firstLineChars="200"/>
        <w:rPr>
          <w:rFonts w:hAnsi="仿宋"/>
          <w:sz w:val="21"/>
          <w:szCs w:val="21"/>
        </w:rPr>
      </w:pPr>
      <w:r>
        <w:rPr>
          <w:rFonts w:hint="eastAsia" w:hAnsi="仿宋"/>
          <w:sz w:val="21"/>
          <w:szCs w:val="21"/>
        </w:rPr>
        <w:t>承包人提交的竣工资料形式要求：</w:t>
      </w:r>
      <w:r>
        <w:rPr>
          <w:rFonts w:hint="eastAsia" w:hAnsi="仿宋"/>
          <w:sz w:val="21"/>
          <w:szCs w:val="21"/>
          <w:u w:val="single"/>
        </w:rPr>
        <w:t>纸质及相关电子数据</w:t>
      </w:r>
      <w:r>
        <w:rPr>
          <w:rFonts w:hint="eastAsia" w:hAnsi="仿宋"/>
          <w:sz w:val="21"/>
          <w:szCs w:val="21"/>
        </w:rPr>
        <w:t>。</w:t>
      </w:r>
    </w:p>
    <w:p w14:paraId="5C004AA9">
      <w:pPr>
        <w:spacing w:line="380" w:lineRule="exact"/>
        <w:ind w:firstLine="420" w:firstLineChars="200"/>
        <w:rPr>
          <w:rFonts w:hAnsi="仿宋"/>
          <w:sz w:val="21"/>
          <w:szCs w:val="21"/>
          <w:u w:val="single"/>
        </w:rPr>
      </w:pPr>
      <w:r>
        <w:rPr>
          <w:rFonts w:hint="eastAsia" w:hAnsi="仿宋"/>
          <w:kern w:val="0"/>
          <w:sz w:val="21"/>
          <w:szCs w:val="21"/>
        </w:rPr>
        <w:t>（10）承包人应履行的其他义务：</w:t>
      </w:r>
    </w:p>
    <w:p w14:paraId="463A9D62">
      <w:pPr>
        <w:spacing w:line="380" w:lineRule="exact"/>
        <w:ind w:firstLine="525" w:firstLineChars="250"/>
        <w:rPr>
          <w:rFonts w:hAnsi="仿宋"/>
          <w:sz w:val="21"/>
          <w:szCs w:val="21"/>
          <w:u w:val="single"/>
        </w:rPr>
      </w:pPr>
      <w:r>
        <w:rPr>
          <w:rFonts w:hint="eastAsia" w:hAnsi="仿宋"/>
          <w:sz w:val="21"/>
          <w:szCs w:val="21"/>
          <w:u w:val="single"/>
        </w:rPr>
        <w:t>a.向发包人、监理人提供施工现场办公室各1间免费使用。</w:t>
      </w:r>
    </w:p>
    <w:p w14:paraId="0E70A488">
      <w:pPr>
        <w:spacing w:line="380" w:lineRule="exact"/>
        <w:ind w:firstLine="525" w:firstLineChars="250"/>
        <w:rPr>
          <w:rFonts w:hAnsi="仿宋"/>
          <w:sz w:val="21"/>
          <w:szCs w:val="21"/>
          <w:u w:val="single"/>
        </w:rPr>
      </w:pPr>
      <w:r>
        <w:rPr>
          <w:rFonts w:hint="eastAsia" w:hAnsi="仿宋"/>
          <w:sz w:val="21"/>
          <w:szCs w:val="21"/>
          <w:u w:val="single"/>
        </w:rPr>
        <w:t>b.在施工中必须严格按照规范操作，对不按规范要求施工或未采取防护措施，造成的损失由承包人承担。</w:t>
      </w:r>
    </w:p>
    <w:p w14:paraId="1B03D336">
      <w:pPr>
        <w:spacing w:line="380" w:lineRule="exact"/>
        <w:ind w:firstLine="525" w:firstLineChars="250"/>
        <w:rPr>
          <w:rFonts w:hAnsi="仿宋"/>
          <w:sz w:val="21"/>
          <w:szCs w:val="21"/>
          <w:u w:val="single"/>
        </w:rPr>
      </w:pPr>
      <w:r>
        <w:rPr>
          <w:rFonts w:hint="eastAsia" w:hAnsi="仿宋"/>
          <w:sz w:val="21"/>
          <w:szCs w:val="21"/>
          <w:u w:val="single"/>
        </w:rPr>
        <w:t>c.本项目施工安全由承包人负总责。</w:t>
      </w:r>
    </w:p>
    <w:p w14:paraId="6493B1BC">
      <w:pPr>
        <w:spacing w:line="380" w:lineRule="exact"/>
        <w:ind w:firstLine="531" w:firstLineChars="253"/>
        <w:rPr>
          <w:rFonts w:hAnsi="仿宋" w:eastAsiaTheme="minorEastAsia"/>
          <w:kern w:val="0"/>
          <w:sz w:val="21"/>
          <w:szCs w:val="21"/>
          <w:u w:val="single"/>
        </w:rPr>
      </w:pPr>
      <w:r>
        <w:rPr>
          <w:rFonts w:hint="eastAsia" w:hAnsi="仿宋"/>
          <w:sz w:val="21"/>
          <w:szCs w:val="21"/>
          <w:u w:val="single"/>
        </w:rPr>
        <w:t>d.按当地有关部门要求，</w:t>
      </w:r>
      <w:r>
        <w:rPr>
          <w:rFonts w:hint="eastAsia" w:hAnsi="仿宋"/>
          <w:kern w:val="0"/>
          <w:sz w:val="21"/>
          <w:szCs w:val="21"/>
          <w:u w:val="single"/>
        </w:rPr>
        <w:t>由承包人办理有关施工场地交通、环卫和施工噪音排放等手续。</w:t>
      </w:r>
    </w:p>
    <w:p w14:paraId="1391EE33">
      <w:pPr>
        <w:spacing w:line="380" w:lineRule="exact"/>
        <w:ind w:firstLine="525" w:firstLineChars="250"/>
        <w:rPr>
          <w:rFonts w:hAnsi="仿宋"/>
          <w:sz w:val="21"/>
          <w:szCs w:val="21"/>
          <w:u w:val="single"/>
        </w:rPr>
      </w:pPr>
      <w:r>
        <w:rPr>
          <w:rFonts w:hAnsi="仿宋"/>
          <w:sz w:val="21"/>
          <w:szCs w:val="21"/>
          <w:u w:val="single"/>
        </w:rPr>
        <w:t>e</w:t>
      </w:r>
      <w:r>
        <w:rPr>
          <w:rFonts w:hint="eastAsia" w:hAnsi="仿宋" w:eastAsiaTheme="minorEastAsia"/>
          <w:sz w:val="21"/>
          <w:szCs w:val="21"/>
          <w:u w:val="single"/>
        </w:rPr>
        <w:t>.</w:t>
      </w:r>
      <w:r>
        <w:rPr>
          <w:rFonts w:hint="eastAsia" w:hAnsi="仿宋"/>
          <w:sz w:val="21"/>
          <w:szCs w:val="21"/>
          <w:u w:val="single"/>
        </w:rPr>
        <w:t>本项目夜间施工照明由承包人负总责，施工期间必须做好安全保卫工作，实际施工时，在施工场内外做好警示标识，合理安排交通组织，确保安全</w:t>
      </w:r>
      <w:r>
        <w:rPr>
          <w:rFonts w:hAnsi="仿宋"/>
          <w:sz w:val="21"/>
          <w:szCs w:val="21"/>
          <w:u w:val="single"/>
        </w:rPr>
        <w:t xml:space="preserve">, </w:t>
      </w:r>
      <w:r>
        <w:rPr>
          <w:rFonts w:hint="eastAsia" w:hAnsi="仿宋"/>
          <w:sz w:val="21"/>
          <w:szCs w:val="21"/>
          <w:u w:val="single"/>
        </w:rPr>
        <w:t>降低施工噪音对周边环境正常秩序的干扰。承包人施工期间要做好现场安全防护，工程未竣工验收、交付使用前，所有非发包人原因导致的发包人、承包人或第三方人员伤亡或财产损失，由承包人负责，在报价中自行综合考虑。</w:t>
      </w:r>
    </w:p>
    <w:p w14:paraId="753DCD1A">
      <w:pPr>
        <w:spacing w:line="380" w:lineRule="exact"/>
        <w:ind w:firstLine="525" w:firstLineChars="250"/>
        <w:rPr>
          <w:rFonts w:hAnsi="仿宋"/>
          <w:sz w:val="21"/>
          <w:szCs w:val="21"/>
          <w:u w:val="single"/>
        </w:rPr>
      </w:pPr>
      <w:r>
        <w:rPr>
          <w:rFonts w:hAnsi="仿宋"/>
          <w:sz w:val="21"/>
          <w:szCs w:val="21"/>
          <w:u w:val="single"/>
        </w:rPr>
        <w:t>f</w:t>
      </w:r>
      <w:r>
        <w:rPr>
          <w:rFonts w:hint="eastAsia" w:hAnsi="仿宋" w:eastAsiaTheme="minorEastAsia"/>
          <w:sz w:val="21"/>
          <w:szCs w:val="21"/>
          <w:u w:val="single"/>
        </w:rPr>
        <w:t>.</w:t>
      </w:r>
      <w:r>
        <w:rPr>
          <w:rFonts w:hint="eastAsia" w:hAnsi="仿宋"/>
          <w:sz w:val="21"/>
          <w:szCs w:val="21"/>
          <w:u w:val="single"/>
        </w:rPr>
        <w:t>不管投标时有无承诺，施工现场承包人必须配备能满足停电时施工所需要的发电机组和满足停水时必要的取水设施。该笔费用已包含在合同价内，不再另行计取。若因此产生停工，工期也不予顺延。</w:t>
      </w:r>
    </w:p>
    <w:p w14:paraId="41AA8A39">
      <w:pPr>
        <w:spacing w:line="380" w:lineRule="exact"/>
        <w:ind w:firstLine="525" w:firstLineChars="250"/>
        <w:rPr>
          <w:rFonts w:hAnsi="仿宋"/>
          <w:sz w:val="21"/>
          <w:szCs w:val="21"/>
          <w:u w:val="single"/>
        </w:rPr>
      </w:pPr>
      <w:r>
        <w:rPr>
          <w:rFonts w:hAnsi="仿宋"/>
          <w:sz w:val="21"/>
          <w:szCs w:val="21"/>
          <w:u w:val="single"/>
        </w:rPr>
        <w:t>g</w:t>
      </w:r>
      <w:r>
        <w:rPr>
          <w:rFonts w:hint="eastAsia" w:hAnsi="仿宋" w:eastAsiaTheme="minorEastAsia"/>
          <w:sz w:val="21"/>
          <w:szCs w:val="21"/>
          <w:u w:val="single"/>
        </w:rPr>
        <w:t>.</w:t>
      </w:r>
      <w:r>
        <w:rPr>
          <w:rFonts w:hint="eastAsia" w:hAnsi="仿宋"/>
          <w:sz w:val="21"/>
          <w:szCs w:val="21"/>
          <w:u w:val="single"/>
        </w:rPr>
        <w:t>承包人的施工组织和进度计划须服从发包人的组织安排。承包人必须指派专人负责施工场内外的交通管理，保证行车及行人的安全。</w:t>
      </w:r>
    </w:p>
    <w:p w14:paraId="454051AF">
      <w:pPr>
        <w:spacing w:line="380" w:lineRule="exact"/>
        <w:ind w:firstLine="525" w:firstLineChars="250"/>
        <w:rPr>
          <w:rFonts w:eastAsiaTheme="minorEastAsia"/>
        </w:rPr>
      </w:pPr>
      <w:r>
        <w:rPr>
          <w:rFonts w:hAnsi="仿宋"/>
          <w:sz w:val="21"/>
          <w:szCs w:val="21"/>
          <w:u w:val="single"/>
        </w:rPr>
        <w:t>h</w:t>
      </w:r>
      <w:r>
        <w:rPr>
          <w:rFonts w:hint="eastAsia" w:hAnsi="仿宋" w:eastAsiaTheme="minorEastAsia"/>
          <w:sz w:val="21"/>
          <w:szCs w:val="21"/>
          <w:u w:val="single"/>
        </w:rPr>
        <w:t>.</w:t>
      </w:r>
      <w:r>
        <w:rPr>
          <w:rFonts w:hint="eastAsia" w:hAnsi="仿宋"/>
          <w:sz w:val="21"/>
          <w:szCs w:val="21"/>
          <w:u w:val="single"/>
        </w:rPr>
        <w:t>处理好同工程所在地周边居民的关系，由此发生的检测、协调、鉴定、赔偿、诉讼等费用全部由承包人负责。如果出现扯皮现象，发包人有权根据单方面确认的费用从工程款中直接代扣、代付相应费用。</w:t>
      </w:r>
    </w:p>
    <w:p w14:paraId="005D4915">
      <w:pPr>
        <w:spacing w:line="380" w:lineRule="exact"/>
        <w:ind w:firstLine="531" w:firstLineChars="253"/>
        <w:rPr>
          <w:rFonts w:hAnsi="仿宋"/>
          <w:kern w:val="0"/>
          <w:sz w:val="21"/>
          <w:szCs w:val="21"/>
          <w:u w:val="single"/>
        </w:rPr>
      </w:pPr>
      <w:r>
        <w:rPr>
          <w:rFonts w:hint="eastAsia" w:hAnsi="仿宋"/>
          <w:kern w:val="0"/>
          <w:sz w:val="21"/>
          <w:szCs w:val="21"/>
        </w:rPr>
        <w:t>（11）承包人诚实信用的承诺：</w:t>
      </w:r>
      <w:r>
        <w:rPr>
          <w:rFonts w:hint="eastAsia" w:ascii="仿宋_GB2312" w:hAnsi="宋体" w:eastAsia="宋体"/>
          <w:kern w:val="0"/>
          <w:sz w:val="21"/>
          <w:szCs w:val="21"/>
          <w:u w:val="single"/>
        </w:rPr>
        <w:t>承包人向发包人承诺按照本合同约定及现场甲方和监理工程师的指令进行施工。竣工后，保修期内承担工程质量保修责任，并履行本合同约定的全部义务。</w:t>
      </w:r>
    </w:p>
    <w:p w14:paraId="0576C3BC">
      <w:pPr>
        <w:spacing w:line="380" w:lineRule="exact"/>
        <w:ind w:firstLine="531" w:firstLineChars="253"/>
        <w:rPr>
          <w:rFonts w:hAnsi="仿宋"/>
          <w:sz w:val="21"/>
          <w:szCs w:val="21"/>
          <w:u w:val="single"/>
        </w:rPr>
      </w:pPr>
      <w:r>
        <w:rPr>
          <w:rFonts w:hint="eastAsia" w:hAnsi="仿宋"/>
          <w:kern w:val="0"/>
          <w:sz w:val="21"/>
          <w:szCs w:val="21"/>
        </w:rPr>
        <w:t>（12）承包人使用新技术、工法、工艺的承诺：</w:t>
      </w:r>
      <w:r>
        <w:rPr>
          <w:rFonts w:hint="eastAsia" w:asciiTheme="minorEastAsia" w:hAnsiTheme="minorEastAsia" w:eastAsiaTheme="minorEastAsia"/>
          <w:kern w:val="0"/>
          <w:sz w:val="21"/>
          <w:szCs w:val="21"/>
          <w:u w:val="single"/>
        </w:rPr>
        <w:t>无</w:t>
      </w:r>
      <w:r>
        <w:rPr>
          <w:rFonts w:hint="eastAsia" w:hAnsi="仿宋"/>
          <w:kern w:val="0"/>
          <w:sz w:val="21"/>
          <w:szCs w:val="21"/>
          <w:u w:val="single"/>
        </w:rPr>
        <w:t>。</w:t>
      </w:r>
    </w:p>
    <w:p w14:paraId="09011458">
      <w:pPr>
        <w:spacing w:line="380" w:lineRule="exact"/>
        <w:ind w:firstLine="420" w:firstLineChars="200"/>
        <w:rPr>
          <w:rFonts w:hAnsi="仿宋"/>
          <w:sz w:val="21"/>
          <w:szCs w:val="21"/>
        </w:rPr>
      </w:pPr>
      <w:r>
        <w:rPr>
          <w:rFonts w:hint="eastAsia" w:hAnsi="仿宋"/>
          <w:sz w:val="21"/>
          <w:szCs w:val="21"/>
        </w:rPr>
        <w:t>3.2 项目经理</w:t>
      </w:r>
    </w:p>
    <w:p w14:paraId="0D42A4E4">
      <w:pPr>
        <w:spacing w:line="380" w:lineRule="exact"/>
        <w:ind w:firstLine="420" w:firstLineChars="200"/>
        <w:rPr>
          <w:rFonts w:hAnsi="仿宋"/>
          <w:sz w:val="21"/>
          <w:szCs w:val="21"/>
        </w:rPr>
      </w:pPr>
      <w:r>
        <w:rPr>
          <w:rFonts w:hint="eastAsia" w:hAnsi="仿宋"/>
          <w:kern w:val="0"/>
          <w:sz w:val="21"/>
          <w:szCs w:val="21"/>
        </w:rPr>
        <w:t>3.2.1</w:t>
      </w:r>
      <w:r>
        <w:rPr>
          <w:rFonts w:hint="eastAsia" w:hAnsi="仿宋"/>
          <w:sz w:val="21"/>
          <w:szCs w:val="21"/>
        </w:rPr>
        <w:t>项目经理：</w:t>
      </w:r>
    </w:p>
    <w:p w14:paraId="29FD1AC5">
      <w:pPr>
        <w:spacing w:line="380" w:lineRule="exact"/>
        <w:ind w:firstLine="420" w:firstLineChars="200"/>
        <w:rPr>
          <w:rFonts w:hAnsi="仿宋"/>
          <w:sz w:val="21"/>
          <w:szCs w:val="21"/>
        </w:rPr>
      </w:pPr>
      <w:r>
        <w:rPr>
          <w:rFonts w:hint="eastAsia" w:hAnsi="仿宋"/>
          <w:sz w:val="21"/>
          <w:szCs w:val="21"/>
        </w:rPr>
        <w:t>姓    名：</w:t>
      </w:r>
      <w:r>
        <w:rPr>
          <w:rFonts w:hint="eastAsia" w:ascii="宋体" w:hAnsi="宋体" w:cs="宋体"/>
          <w:kern w:val="0"/>
          <w:szCs w:val="21"/>
          <w:u w:val="single"/>
        </w:rPr>
        <w:t xml:space="preserve">                 </w:t>
      </w:r>
      <w:r>
        <w:rPr>
          <w:rFonts w:hint="eastAsia" w:hAnsi="仿宋"/>
          <w:sz w:val="21"/>
          <w:szCs w:val="21"/>
        </w:rPr>
        <w:t>；</w:t>
      </w:r>
    </w:p>
    <w:p w14:paraId="6703D43E">
      <w:pPr>
        <w:spacing w:line="380" w:lineRule="exact"/>
        <w:ind w:firstLine="420" w:firstLineChars="200"/>
        <w:rPr>
          <w:rFonts w:hAnsi="仿宋"/>
          <w:sz w:val="21"/>
          <w:szCs w:val="21"/>
        </w:rPr>
      </w:pPr>
      <w:r>
        <w:rPr>
          <w:rFonts w:hint="eastAsia" w:hAnsi="仿宋"/>
          <w:sz w:val="21"/>
          <w:szCs w:val="21"/>
        </w:rPr>
        <w:t>身份证号：</w:t>
      </w:r>
      <w:r>
        <w:rPr>
          <w:rFonts w:hint="eastAsia" w:ascii="宋体" w:hAnsi="宋体" w:cs="宋体"/>
          <w:kern w:val="0"/>
          <w:szCs w:val="21"/>
          <w:u w:val="single"/>
        </w:rPr>
        <w:t xml:space="preserve">                 </w:t>
      </w:r>
      <w:r>
        <w:rPr>
          <w:rFonts w:hint="eastAsia" w:hAnsi="仿宋"/>
          <w:sz w:val="21"/>
          <w:szCs w:val="21"/>
        </w:rPr>
        <w:t>；</w:t>
      </w:r>
    </w:p>
    <w:p w14:paraId="498F831A">
      <w:pPr>
        <w:spacing w:line="380" w:lineRule="exact"/>
        <w:ind w:firstLine="420" w:firstLineChars="200"/>
        <w:rPr>
          <w:rFonts w:hAnsi="仿宋"/>
          <w:sz w:val="21"/>
          <w:szCs w:val="21"/>
        </w:rPr>
      </w:pPr>
      <w:r>
        <w:rPr>
          <w:rFonts w:hint="eastAsia" w:hAnsi="仿宋"/>
          <w:sz w:val="21"/>
          <w:szCs w:val="21"/>
        </w:rPr>
        <w:t>建造师执业资格等级：</w:t>
      </w:r>
      <w:r>
        <w:rPr>
          <w:rFonts w:hint="eastAsia" w:ascii="宋体" w:hAnsi="宋体" w:cs="宋体"/>
          <w:kern w:val="0"/>
          <w:szCs w:val="21"/>
          <w:u w:val="single"/>
        </w:rPr>
        <w:t xml:space="preserve">                 </w:t>
      </w:r>
      <w:r>
        <w:rPr>
          <w:rFonts w:hint="eastAsia" w:hAnsi="仿宋"/>
          <w:sz w:val="21"/>
          <w:szCs w:val="21"/>
        </w:rPr>
        <w:t>；</w:t>
      </w:r>
    </w:p>
    <w:p w14:paraId="2E232510">
      <w:pPr>
        <w:spacing w:line="380" w:lineRule="exact"/>
        <w:ind w:firstLine="420" w:firstLineChars="200"/>
        <w:rPr>
          <w:rFonts w:hAnsi="仿宋"/>
          <w:sz w:val="21"/>
          <w:szCs w:val="21"/>
        </w:rPr>
      </w:pPr>
      <w:r>
        <w:rPr>
          <w:rFonts w:hint="eastAsia" w:hAnsi="仿宋"/>
          <w:sz w:val="21"/>
          <w:szCs w:val="21"/>
        </w:rPr>
        <w:t>建造师注册证书号：</w:t>
      </w:r>
      <w:r>
        <w:rPr>
          <w:rFonts w:hint="eastAsia" w:ascii="宋体" w:hAnsi="宋体" w:cs="宋体"/>
          <w:kern w:val="0"/>
          <w:szCs w:val="21"/>
          <w:u w:val="single"/>
        </w:rPr>
        <w:t xml:space="preserve">                 </w:t>
      </w:r>
      <w:r>
        <w:rPr>
          <w:rFonts w:hint="eastAsia" w:hAnsi="仿宋"/>
          <w:sz w:val="21"/>
          <w:szCs w:val="21"/>
        </w:rPr>
        <w:t>；</w:t>
      </w:r>
    </w:p>
    <w:p w14:paraId="05A7D41D">
      <w:pPr>
        <w:spacing w:line="380" w:lineRule="exact"/>
        <w:ind w:firstLine="420" w:firstLineChars="200"/>
        <w:rPr>
          <w:rFonts w:hAnsi="仿宋"/>
          <w:sz w:val="21"/>
          <w:szCs w:val="21"/>
        </w:rPr>
      </w:pPr>
      <w:r>
        <w:rPr>
          <w:rFonts w:hint="eastAsia" w:hAnsi="仿宋"/>
          <w:sz w:val="21"/>
          <w:szCs w:val="21"/>
        </w:rPr>
        <w:t>建造师执业印章号：</w:t>
      </w:r>
      <w:r>
        <w:rPr>
          <w:rFonts w:hint="eastAsia" w:ascii="宋体" w:hAnsi="宋体" w:cs="宋体"/>
          <w:kern w:val="0"/>
          <w:szCs w:val="21"/>
          <w:u w:val="single"/>
        </w:rPr>
        <w:t xml:space="preserve">                 </w:t>
      </w:r>
      <w:r>
        <w:rPr>
          <w:rFonts w:hint="eastAsia" w:hAnsi="仿宋"/>
          <w:sz w:val="21"/>
          <w:szCs w:val="21"/>
        </w:rPr>
        <w:t>；</w:t>
      </w:r>
    </w:p>
    <w:p w14:paraId="0EB495F3">
      <w:pPr>
        <w:spacing w:line="380" w:lineRule="exact"/>
        <w:ind w:firstLine="420" w:firstLineChars="200"/>
        <w:rPr>
          <w:rFonts w:hAnsi="仿宋"/>
          <w:sz w:val="21"/>
          <w:szCs w:val="21"/>
        </w:rPr>
      </w:pPr>
      <w:r>
        <w:rPr>
          <w:rFonts w:hint="eastAsia" w:hAnsi="仿宋"/>
          <w:sz w:val="21"/>
          <w:szCs w:val="21"/>
        </w:rPr>
        <w:t>安全生产考核合格证书号：</w:t>
      </w:r>
      <w:r>
        <w:rPr>
          <w:rFonts w:hint="eastAsia" w:ascii="宋体" w:hAnsi="宋体" w:cs="宋体"/>
          <w:kern w:val="0"/>
          <w:szCs w:val="21"/>
          <w:u w:val="single"/>
        </w:rPr>
        <w:t xml:space="preserve">                 </w:t>
      </w:r>
      <w:r>
        <w:rPr>
          <w:rFonts w:hint="eastAsia" w:hAnsi="仿宋"/>
          <w:sz w:val="21"/>
          <w:szCs w:val="21"/>
        </w:rPr>
        <w:t>；</w:t>
      </w:r>
    </w:p>
    <w:p w14:paraId="66C6AB92">
      <w:pPr>
        <w:spacing w:line="380" w:lineRule="exact"/>
        <w:ind w:firstLine="420" w:firstLineChars="200"/>
        <w:rPr>
          <w:rFonts w:hAnsi="仿宋"/>
          <w:sz w:val="21"/>
          <w:szCs w:val="21"/>
        </w:rPr>
      </w:pPr>
      <w:r>
        <w:rPr>
          <w:rFonts w:hint="eastAsia" w:hAnsi="仿宋"/>
          <w:sz w:val="21"/>
          <w:szCs w:val="21"/>
        </w:rPr>
        <w:t>联系电话：</w:t>
      </w:r>
      <w:r>
        <w:rPr>
          <w:rFonts w:hint="eastAsia" w:ascii="宋体" w:hAnsi="宋体" w:cs="宋体"/>
          <w:kern w:val="0"/>
          <w:szCs w:val="21"/>
          <w:u w:val="single"/>
        </w:rPr>
        <w:t xml:space="preserve">                 </w:t>
      </w:r>
      <w:r>
        <w:rPr>
          <w:rFonts w:hint="eastAsia" w:hAnsi="仿宋"/>
          <w:sz w:val="21"/>
          <w:szCs w:val="21"/>
        </w:rPr>
        <w:t>；</w:t>
      </w:r>
    </w:p>
    <w:p w14:paraId="31AEC89B">
      <w:pPr>
        <w:spacing w:line="380" w:lineRule="exact"/>
        <w:ind w:firstLine="420" w:firstLineChars="200"/>
        <w:rPr>
          <w:rFonts w:hAnsi="仿宋"/>
          <w:sz w:val="21"/>
          <w:szCs w:val="21"/>
        </w:rPr>
      </w:pPr>
      <w:r>
        <w:rPr>
          <w:rFonts w:hint="eastAsia" w:hAnsi="仿宋"/>
          <w:sz w:val="21"/>
          <w:szCs w:val="21"/>
        </w:rPr>
        <w:t>电子信箱：</w:t>
      </w:r>
      <w:r>
        <w:rPr>
          <w:rFonts w:hint="eastAsia" w:ascii="宋体" w:hAnsi="宋体" w:cs="宋体"/>
          <w:kern w:val="0"/>
          <w:szCs w:val="21"/>
          <w:u w:val="single"/>
        </w:rPr>
        <w:t xml:space="preserve">                 </w:t>
      </w:r>
      <w:r>
        <w:rPr>
          <w:rFonts w:hint="eastAsia" w:hAnsi="仿宋"/>
          <w:sz w:val="21"/>
          <w:szCs w:val="21"/>
        </w:rPr>
        <w:t>；</w:t>
      </w:r>
    </w:p>
    <w:p w14:paraId="0851F4C3">
      <w:pPr>
        <w:spacing w:line="380" w:lineRule="exact"/>
        <w:ind w:firstLine="420" w:firstLineChars="200"/>
        <w:rPr>
          <w:rFonts w:hAnsi="仿宋"/>
          <w:sz w:val="21"/>
          <w:szCs w:val="21"/>
        </w:rPr>
      </w:pPr>
      <w:r>
        <w:rPr>
          <w:rFonts w:hint="eastAsia" w:hAnsi="仿宋"/>
          <w:sz w:val="21"/>
          <w:szCs w:val="21"/>
        </w:rPr>
        <w:t>通信地址：</w:t>
      </w:r>
      <w:r>
        <w:rPr>
          <w:rFonts w:hint="eastAsia" w:ascii="宋体" w:hAnsi="宋体" w:cs="宋体"/>
          <w:kern w:val="0"/>
          <w:szCs w:val="21"/>
          <w:u w:val="single"/>
        </w:rPr>
        <w:t xml:space="preserve">                 </w:t>
      </w:r>
      <w:r>
        <w:rPr>
          <w:rFonts w:hint="eastAsia" w:hAnsi="仿宋"/>
          <w:sz w:val="21"/>
          <w:szCs w:val="21"/>
        </w:rPr>
        <w:t>；</w:t>
      </w:r>
    </w:p>
    <w:p w14:paraId="4BE5B4FD">
      <w:pPr>
        <w:spacing w:line="380" w:lineRule="exact"/>
        <w:ind w:firstLine="420" w:firstLineChars="200"/>
        <w:rPr>
          <w:rFonts w:hAnsi="仿宋"/>
          <w:sz w:val="21"/>
          <w:szCs w:val="21"/>
        </w:rPr>
      </w:pPr>
      <w:r>
        <w:rPr>
          <w:rFonts w:hint="eastAsia" w:hAnsi="仿宋"/>
          <w:sz w:val="21"/>
          <w:szCs w:val="21"/>
        </w:rPr>
        <w:t>承包人对项目经理的授权范围如下：</w:t>
      </w:r>
      <w:r>
        <w:rPr>
          <w:rFonts w:hint="eastAsia" w:ascii="宋体" w:hAnsi="宋体" w:eastAsia="宋体"/>
          <w:sz w:val="21"/>
          <w:szCs w:val="21"/>
          <w:u w:val="single"/>
        </w:rPr>
        <w:t>按通用条款执行</w:t>
      </w:r>
      <w:r>
        <w:rPr>
          <w:rFonts w:hint="eastAsia" w:hAnsi="仿宋"/>
          <w:sz w:val="21"/>
          <w:szCs w:val="21"/>
        </w:rPr>
        <w:t>。</w:t>
      </w:r>
    </w:p>
    <w:p w14:paraId="19A5D2E4">
      <w:pPr>
        <w:spacing w:line="380" w:lineRule="exact"/>
        <w:ind w:firstLine="420" w:firstLineChars="200"/>
        <w:rPr>
          <w:rFonts w:hAnsi="仿宋"/>
          <w:sz w:val="21"/>
          <w:szCs w:val="21"/>
        </w:rPr>
      </w:pPr>
      <w:r>
        <w:rPr>
          <w:rFonts w:hint="eastAsia" w:hAnsi="仿宋"/>
          <w:kern w:val="0"/>
          <w:sz w:val="21"/>
          <w:szCs w:val="21"/>
        </w:rPr>
        <w:t>关于项目经理每月在施工现场的时间要求：</w:t>
      </w:r>
      <w:r>
        <w:rPr>
          <w:rFonts w:hint="eastAsia" w:asciiTheme="minorEastAsia" w:hAnsiTheme="minorEastAsia" w:eastAsiaTheme="minorEastAsia"/>
          <w:sz w:val="21"/>
          <w:szCs w:val="21"/>
          <w:u w:val="single"/>
        </w:rPr>
        <w:t>按</w:t>
      </w:r>
      <w:r>
        <w:rPr>
          <w:rFonts w:hint="eastAsia" w:hAnsi="仿宋"/>
          <w:sz w:val="21"/>
          <w:szCs w:val="21"/>
          <w:u w:val="single"/>
        </w:rPr>
        <w:t>投标时的承诺执行</w:t>
      </w:r>
      <w:r>
        <w:rPr>
          <w:rFonts w:hint="eastAsia" w:hAnsi="仿宋"/>
          <w:sz w:val="21"/>
          <w:szCs w:val="21"/>
        </w:rPr>
        <w:t>；</w:t>
      </w:r>
    </w:p>
    <w:p w14:paraId="413AF92D">
      <w:pPr>
        <w:spacing w:line="380" w:lineRule="exact"/>
        <w:rPr>
          <w:rFonts w:hAnsi="仿宋"/>
          <w:sz w:val="21"/>
          <w:szCs w:val="21"/>
        </w:rPr>
      </w:pPr>
      <w:r>
        <w:rPr>
          <w:rFonts w:hint="eastAsia" w:hAnsi="仿宋"/>
          <w:sz w:val="21"/>
          <w:szCs w:val="21"/>
          <w:u w:val="single"/>
        </w:rPr>
        <w:t>月到岗达不到约定天数，按相关行业主管部发布的规定处理；遇有工程检查、验收或参观等活动时，无特殊原因不得</w:t>
      </w:r>
      <w:r>
        <w:rPr>
          <w:rFonts w:hint="eastAsia" w:hAnsi="仿宋"/>
          <w:kern w:val="0"/>
          <w:sz w:val="21"/>
          <w:szCs w:val="21"/>
          <w:u w:val="single"/>
        </w:rPr>
        <w:t>离开施工现场。</w:t>
      </w:r>
    </w:p>
    <w:p w14:paraId="36BC0498">
      <w:pPr>
        <w:autoSpaceDE w:val="0"/>
        <w:autoSpaceDN w:val="0"/>
        <w:spacing w:line="380" w:lineRule="exact"/>
        <w:ind w:firstLine="420" w:firstLineChars="200"/>
        <w:rPr>
          <w:rFonts w:hAnsi="仿宋"/>
          <w:sz w:val="21"/>
          <w:szCs w:val="21"/>
          <w:u w:val="single"/>
        </w:rPr>
      </w:pPr>
      <w:r>
        <w:rPr>
          <w:rFonts w:hint="eastAsia" w:hAnsi="仿宋"/>
          <w:sz w:val="21"/>
          <w:szCs w:val="21"/>
        </w:rPr>
        <w:t>承包人未提交劳动合同，以及没有为项目经理缴纳社会保险证明的违约责任：</w:t>
      </w:r>
      <w:r>
        <w:rPr>
          <w:rFonts w:hint="eastAsia" w:hAnsi="仿宋"/>
          <w:sz w:val="21"/>
          <w:szCs w:val="21"/>
          <w:u w:val="single"/>
        </w:rPr>
        <w:t>发包人有权要求更换项目经理，由此增加的费用和（或）延误的工期由承包人承担，并承担违约责任。</w:t>
      </w:r>
    </w:p>
    <w:p w14:paraId="04669656">
      <w:pPr>
        <w:autoSpaceDE w:val="0"/>
        <w:autoSpaceDN w:val="0"/>
        <w:spacing w:line="380" w:lineRule="exact"/>
        <w:ind w:firstLine="420" w:firstLineChars="200"/>
        <w:rPr>
          <w:rFonts w:hAnsi="仿宋"/>
          <w:sz w:val="21"/>
          <w:szCs w:val="21"/>
          <w:u w:val="single"/>
        </w:rPr>
      </w:pPr>
      <w:r>
        <w:rPr>
          <w:rFonts w:hint="eastAsia" w:hAnsi="仿宋"/>
          <w:sz w:val="21"/>
          <w:szCs w:val="21"/>
        </w:rPr>
        <w:t>项目经理未经批准，擅自离开施工现场的违约责任：</w:t>
      </w:r>
      <w:r>
        <w:rPr>
          <w:rFonts w:hint="eastAsia" w:hAnsi="仿宋"/>
          <w:sz w:val="21"/>
          <w:szCs w:val="21"/>
          <w:u w:val="single"/>
        </w:rPr>
        <w:t>月到岗须达到</w:t>
      </w:r>
      <w:r>
        <w:rPr>
          <w:rFonts w:hint="eastAsia" w:asciiTheme="minorEastAsia" w:hAnsiTheme="minorEastAsia" w:eastAsiaTheme="minorEastAsia"/>
          <w:sz w:val="21"/>
          <w:szCs w:val="21"/>
          <w:u w:val="single"/>
        </w:rPr>
        <w:t>投标时的</w:t>
      </w:r>
      <w:r>
        <w:rPr>
          <w:rFonts w:hint="eastAsia" w:hAnsi="仿宋"/>
          <w:sz w:val="21"/>
          <w:szCs w:val="21"/>
          <w:u w:val="single"/>
        </w:rPr>
        <w:t>承诺，不足天数，每天扣除</w:t>
      </w:r>
      <w:r>
        <w:rPr>
          <w:rFonts w:hint="eastAsia" w:hAnsi="仿宋" w:eastAsiaTheme="minorEastAsia"/>
          <w:sz w:val="21"/>
          <w:szCs w:val="21"/>
          <w:u w:val="single"/>
        </w:rPr>
        <w:t>300元</w:t>
      </w:r>
      <w:r>
        <w:rPr>
          <w:rFonts w:hint="eastAsia" w:hAnsi="仿宋"/>
          <w:sz w:val="21"/>
          <w:szCs w:val="21"/>
          <w:u w:val="single"/>
        </w:rPr>
        <w:t>，每月结算，在当期工程款支付时扣除；连续三个月达不到要求且项目经理不能到岗的，一次性扣除</w:t>
      </w:r>
      <w:r>
        <w:rPr>
          <w:rFonts w:hint="eastAsia" w:hAnsi="仿宋" w:eastAsiaTheme="minorEastAsia"/>
          <w:sz w:val="21"/>
          <w:szCs w:val="21"/>
          <w:u w:val="single"/>
        </w:rPr>
        <w:t>5</w:t>
      </w:r>
      <w:r>
        <w:rPr>
          <w:rFonts w:hAnsi="仿宋" w:eastAsiaTheme="minorEastAsia"/>
          <w:sz w:val="21"/>
          <w:szCs w:val="21"/>
          <w:u w:val="single"/>
        </w:rPr>
        <w:t>000元</w:t>
      </w:r>
      <w:r>
        <w:rPr>
          <w:rFonts w:hint="eastAsia" w:hAnsi="仿宋"/>
          <w:sz w:val="21"/>
          <w:szCs w:val="21"/>
          <w:u w:val="single"/>
        </w:rPr>
        <w:t>（含前三个月已扣除的），且发包人有权终止合同，同时由承包人赔偿发包人由此造成的损失。另遇有工程检查、验收或参观等活动时，无特殊原因不得离开施工现场。</w:t>
      </w:r>
    </w:p>
    <w:p w14:paraId="4951480B">
      <w:pPr>
        <w:autoSpaceDE w:val="0"/>
        <w:autoSpaceDN w:val="0"/>
        <w:spacing w:line="380" w:lineRule="exact"/>
        <w:ind w:firstLine="420" w:firstLineChars="200"/>
        <w:rPr>
          <w:rFonts w:hAnsi="仿宋"/>
          <w:sz w:val="21"/>
          <w:szCs w:val="21"/>
          <w:u w:val="single"/>
        </w:rPr>
      </w:pPr>
      <w:r>
        <w:rPr>
          <w:rFonts w:hint="eastAsia" w:hAnsi="仿宋"/>
          <w:sz w:val="21"/>
          <w:szCs w:val="21"/>
        </w:rPr>
        <w:t>3.2.3 承包人擅自更换项目经理的违约责任：</w:t>
      </w:r>
      <w:r>
        <w:rPr>
          <w:rFonts w:hint="eastAsia" w:hAnsi="仿宋"/>
          <w:sz w:val="21"/>
          <w:szCs w:val="21"/>
          <w:u w:val="single"/>
        </w:rPr>
        <w:t>项目经理因发生重大安全事故、生病住院、终止劳动合同关系、被责令停止执业、羁押或判刑等情形，确已无法继续担任项目经理，承包人向发包人提出申请，发包人应同意更换，并报所在地建设行政主管部门备案，更换到位的项目经理资质、信用等级不低于原项目经理；如承包人擅自更换，按每更换一人次扣除</w:t>
      </w:r>
      <w:r>
        <w:rPr>
          <w:rFonts w:hint="eastAsia" w:hAnsi="仿宋" w:eastAsiaTheme="minorEastAsia"/>
          <w:sz w:val="21"/>
          <w:szCs w:val="21"/>
          <w:u w:val="single"/>
        </w:rPr>
        <w:t>1万元</w:t>
      </w:r>
      <w:r>
        <w:rPr>
          <w:rFonts w:hint="eastAsia" w:hAnsi="仿宋"/>
          <w:sz w:val="21"/>
          <w:szCs w:val="21"/>
          <w:u w:val="single"/>
        </w:rPr>
        <w:t>；及至发包人可通知承包人全部解除合同，并赔偿发包人损失。</w:t>
      </w:r>
    </w:p>
    <w:p w14:paraId="09848058">
      <w:pPr>
        <w:spacing w:line="380" w:lineRule="exact"/>
        <w:ind w:firstLine="420" w:firstLineChars="200"/>
        <w:rPr>
          <w:rFonts w:hAnsi="仿宋"/>
          <w:sz w:val="21"/>
          <w:szCs w:val="21"/>
        </w:rPr>
      </w:pPr>
      <w:r>
        <w:rPr>
          <w:rFonts w:hint="eastAsia" w:hAnsi="仿宋"/>
          <w:sz w:val="21"/>
          <w:szCs w:val="21"/>
        </w:rPr>
        <w:t>3.2.4承包人无正当理由拒绝更换项目经理的违约责任：</w:t>
      </w:r>
      <w:r>
        <w:rPr>
          <w:rFonts w:hint="eastAsia" w:hAnsi="仿宋"/>
          <w:sz w:val="21"/>
          <w:szCs w:val="21"/>
          <w:u w:val="single"/>
        </w:rPr>
        <w:t>发包人可通知承包人解除合同。</w:t>
      </w:r>
    </w:p>
    <w:p w14:paraId="0C1611F4">
      <w:pPr>
        <w:spacing w:line="380" w:lineRule="exact"/>
        <w:ind w:firstLine="420" w:firstLineChars="200"/>
        <w:rPr>
          <w:rFonts w:hAnsi="仿宋"/>
          <w:sz w:val="21"/>
          <w:szCs w:val="21"/>
        </w:rPr>
      </w:pPr>
      <w:r>
        <w:rPr>
          <w:rFonts w:hint="eastAsia" w:hAnsi="仿宋"/>
          <w:sz w:val="21"/>
          <w:szCs w:val="21"/>
        </w:rPr>
        <w:t>3.3 承包人人员</w:t>
      </w:r>
    </w:p>
    <w:p w14:paraId="7F485543">
      <w:pPr>
        <w:spacing w:line="380" w:lineRule="exact"/>
        <w:ind w:firstLine="420" w:firstLineChars="200"/>
        <w:rPr>
          <w:rFonts w:hAnsi="仿宋"/>
          <w:sz w:val="21"/>
          <w:szCs w:val="21"/>
        </w:rPr>
      </w:pPr>
      <w:r>
        <w:rPr>
          <w:rFonts w:hint="eastAsia" w:hAnsi="仿宋"/>
          <w:sz w:val="21"/>
          <w:szCs w:val="21"/>
        </w:rPr>
        <w:t>3.3.1承包人提交项目管理机构及施工现场管理人员安排报告的期限：</w:t>
      </w:r>
      <w:r>
        <w:rPr>
          <w:rFonts w:hint="eastAsia" w:hAnsi="仿宋"/>
          <w:sz w:val="21"/>
          <w:szCs w:val="21"/>
          <w:u w:val="single"/>
        </w:rPr>
        <w:t>接到开工通知后7天内</w:t>
      </w:r>
      <w:r>
        <w:rPr>
          <w:rFonts w:hint="eastAsia" w:hAnsi="仿宋"/>
          <w:sz w:val="21"/>
          <w:szCs w:val="21"/>
        </w:rPr>
        <w:t>。</w:t>
      </w:r>
    </w:p>
    <w:p w14:paraId="50656244">
      <w:pPr>
        <w:spacing w:line="380" w:lineRule="exact"/>
        <w:ind w:firstLine="420" w:firstLineChars="200"/>
        <w:rPr>
          <w:rFonts w:hAnsi="仿宋"/>
          <w:sz w:val="21"/>
          <w:szCs w:val="21"/>
        </w:rPr>
      </w:pPr>
      <w:r>
        <w:rPr>
          <w:rFonts w:hint="eastAsia" w:hAnsi="仿宋"/>
          <w:sz w:val="21"/>
          <w:szCs w:val="21"/>
        </w:rPr>
        <w:t>3.3.3承包人无正当理由拒绝撤换主要施工管理人员的违约责任：</w:t>
      </w:r>
      <w:r>
        <w:rPr>
          <w:rFonts w:hint="eastAsia" w:hAnsi="仿宋"/>
          <w:sz w:val="21"/>
          <w:szCs w:val="21"/>
          <w:u w:val="single"/>
        </w:rPr>
        <w:t>发包人可通知承包人解除合同</w:t>
      </w:r>
      <w:r>
        <w:rPr>
          <w:rFonts w:hint="eastAsia" w:hAnsi="仿宋"/>
          <w:sz w:val="21"/>
          <w:szCs w:val="21"/>
        </w:rPr>
        <w:t>。</w:t>
      </w:r>
    </w:p>
    <w:p w14:paraId="0FE981B3">
      <w:pPr>
        <w:spacing w:line="380" w:lineRule="exact"/>
        <w:ind w:firstLine="357" w:firstLineChars="170"/>
        <w:rPr>
          <w:rFonts w:hAnsi="仿宋"/>
          <w:sz w:val="21"/>
          <w:szCs w:val="21"/>
          <w:u w:val="single"/>
        </w:rPr>
      </w:pPr>
      <w:r>
        <w:rPr>
          <w:rFonts w:hint="eastAsia" w:hAnsi="仿宋"/>
          <w:sz w:val="21"/>
          <w:szCs w:val="21"/>
        </w:rPr>
        <w:t>3.3.4承包人主要施工管理人员离开施工现场的批准要求：</w:t>
      </w:r>
      <w:r>
        <w:rPr>
          <w:rFonts w:hint="eastAsia" w:hAnsi="仿宋"/>
          <w:sz w:val="21"/>
          <w:szCs w:val="21"/>
          <w:u w:val="single"/>
        </w:rPr>
        <w:t>按通用合同条款；未经批准擅自离开施工现场按相关行业主管部发布的规定处理；另遇有工程检查、验收或参观等活动时，无特殊原因不得请假</w:t>
      </w:r>
      <w:r>
        <w:rPr>
          <w:rFonts w:hint="eastAsia" w:hAnsi="仿宋"/>
          <w:sz w:val="21"/>
          <w:szCs w:val="21"/>
        </w:rPr>
        <w:t>。</w:t>
      </w:r>
    </w:p>
    <w:p w14:paraId="522C1E27">
      <w:pPr>
        <w:spacing w:line="380" w:lineRule="exact"/>
        <w:ind w:firstLine="420" w:firstLineChars="200"/>
        <w:rPr>
          <w:rFonts w:hAnsi="仿宋"/>
          <w:sz w:val="21"/>
          <w:szCs w:val="21"/>
        </w:rPr>
      </w:pPr>
      <w:r>
        <w:rPr>
          <w:rFonts w:hint="eastAsia" w:hAnsi="仿宋"/>
          <w:sz w:val="21"/>
          <w:szCs w:val="21"/>
        </w:rPr>
        <w:t>3.3.5承包人擅自更换主要施工管理人员的违约责任：</w:t>
      </w:r>
      <w:r>
        <w:rPr>
          <w:rFonts w:hint="eastAsia" w:hAnsi="仿宋"/>
          <w:sz w:val="21"/>
          <w:szCs w:val="21"/>
          <w:u w:val="single"/>
        </w:rPr>
        <w:t>因发生重大安全事故、生病住院、终止劳动合同关系、被责令停止执业、羁押或判刑情形，确已无法继续担任相应岗位工作，承包人向发包人提出申请，发包人应同意更换，并报工程所在地建设行政主管部门备案，对更换到位的技术负责人资质、信用等级应不低于原技术负责人；如承包人擅自更换，按技术负责人每更换一人次扣除</w:t>
      </w:r>
      <w:r>
        <w:rPr>
          <w:rFonts w:hint="eastAsia" w:hAnsi="仿宋" w:eastAsiaTheme="minorEastAsia"/>
          <w:sz w:val="21"/>
          <w:szCs w:val="21"/>
          <w:u w:val="single"/>
        </w:rPr>
        <w:t>5</w:t>
      </w:r>
      <w:r>
        <w:rPr>
          <w:rFonts w:hAnsi="仿宋" w:eastAsiaTheme="minorEastAsia"/>
          <w:sz w:val="21"/>
          <w:szCs w:val="21"/>
          <w:u w:val="single"/>
        </w:rPr>
        <w:t>000元</w:t>
      </w:r>
      <w:r>
        <w:rPr>
          <w:rFonts w:hint="eastAsia" w:hAnsi="仿宋"/>
          <w:sz w:val="21"/>
          <w:szCs w:val="21"/>
          <w:u w:val="single"/>
        </w:rPr>
        <w:t>；其他关键岗位人员每更换一人次扣除</w:t>
      </w:r>
      <w:r>
        <w:rPr>
          <w:rFonts w:hint="eastAsia" w:hAnsi="仿宋" w:eastAsiaTheme="minorEastAsia"/>
          <w:sz w:val="21"/>
          <w:szCs w:val="21"/>
          <w:u w:val="single"/>
        </w:rPr>
        <w:t>3</w:t>
      </w:r>
      <w:r>
        <w:rPr>
          <w:rFonts w:hAnsi="仿宋" w:eastAsiaTheme="minorEastAsia"/>
          <w:sz w:val="21"/>
          <w:szCs w:val="21"/>
          <w:u w:val="single"/>
        </w:rPr>
        <w:t>000元</w:t>
      </w:r>
      <w:r>
        <w:rPr>
          <w:rFonts w:hint="eastAsia" w:hAnsi="仿宋"/>
          <w:sz w:val="21"/>
          <w:szCs w:val="21"/>
          <w:u w:val="single"/>
        </w:rPr>
        <w:t>。</w:t>
      </w:r>
    </w:p>
    <w:p w14:paraId="24523D04">
      <w:pPr>
        <w:spacing w:line="380" w:lineRule="exact"/>
        <w:ind w:firstLine="420" w:firstLineChars="200"/>
        <w:rPr>
          <w:rFonts w:hAnsi="仿宋"/>
          <w:sz w:val="21"/>
          <w:szCs w:val="21"/>
          <w:u w:val="single"/>
        </w:rPr>
      </w:pPr>
      <w:r>
        <w:rPr>
          <w:rFonts w:hint="eastAsia" w:hAnsi="仿宋"/>
          <w:sz w:val="21"/>
          <w:szCs w:val="21"/>
        </w:rPr>
        <w:t>承包人主要施工管理人员擅自离开施工现场的违约责任：</w:t>
      </w:r>
      <w:r>
        <w:rPr>
          <w:rFonts w:hint="eastAsia" w:hAnsi="仿宋"/>
          <w:sz w:val="21"/>
          <w:szCs w:val="21"/>
          <w:u w:val="single"/>
        </w:rPr>
        <w:t>关键岗位人员到岗达不到24天的，不足天数每人次每天扣除</w:t>
      </w:r>
      <w:r>
        <w:rPr>
          <w:rFonts w:hint="eastAsia" w:hAnsi="仿宋" w:eastAsiaTheme="minorEastAsia"/>
          <w:sz w:val="21"/>
          <w:szCs w:val="21"/>
          <w:u w:val="single"/>
        </w:rPr>
        <w:t>200元</w:t>
      </w:r>
      <w:r>
        <w:rPr>
          <w:rFonts w:hint="eastAsia" w:hAnsi="仿宋"/>
          <w:sz w:val="21"/>
          <w:szCs w:val="21"/>
          <w:u w:val="single"/>
        </w:rPr>
        <w:t>，每月结算，在当期工程款支付时扣除。某关键岗位人员连续三个月到岗率达不到要求且不能到岗的，一次性扣除</w:t>
      </w:r>
      <w:r>
        <w:rPr>
          <w:rFonts w:hint="eastAsia" w:hAnsi="仿宋" w:eastAsiaTheme="minorEastAsia"/>
          <w:sz w:val="21"/>
          <w:szCs w:val="21"/>
          <w:u w:val="single"/>
        </w:rPr>
        <w:t>2</w:t>
      </w:r>
      <w:r>
        <w:rPr>
          <w:rFonts w:hAnsi="仿宋" w:eastAsiaTheme="minorEastAsia"/>
          <w:sz w:val="21"/>
          <w:szCs w:val="21"/>
          <w:u w:val="single"/>
        </w:rPr>
        <w:t>000元</w:t>
      </w:r>
      <w:r>
        <w:rPr>
          <w:rFonts w:hint="eastAsia" w:hAnsi="仿宋"/>
          <w:sz w:val="21"/>
          <w:szCs w:val="21"/>
          <w:u w:val="single"/>
        </w:rPr>
        <w:t>（含前三个月已扣除的），且发包人有权要求承包人更换该关键岗位人员。</w:t>
      </w:r>
    </w:p>
    <w:p w14:paraId="0043992B">
      <w:pPr>
        <w:spacing w:line="380" w:lineRule="exact"/>
        <w:ind w:firstLine="420" w:firstLineChars="200"/>
        <w:rPr>
          <w:rFonts w:hAnsi="仿宋"/>
          <w:sz w:val="21"/>
          <w:szCs w:val="21"/>
        </w:rPr>
      </w:pPr>
      <w:r>
        <w:rPr>
          <w:rFonts w:hint="eastAsia" w:hAnsi="仿宋"/>
          <w:sz w:val="21"/>
          <w:szCs w:val="21"/>
        </w:rPr>
        <w:t>3</w:t>
      </w:r>
      <w:bookmarkStart w:id="80" w:name="_Toc296890987"/>
      <w:bookmarkStart w:id="81" w:name="_Toc297216151"/>
      <w:bookmarkStart w:id="82" w:name="_Toc296891199"/>
      <w:bookmarkStart w:id="83" w:name="_Toc304295523"/>
      <w:bookmarkStart w:id="84" w:name="_Toc312677988"/>
      <w:bookmarkStart w:id="85" w:name="_Toc296503159"/>
      <w:bookmarkStart w:id="86" w:name="_Toc297048345"/>
      <w:bookmarkStart w:id="87" w:name="_Toc296347158"/>
      <w:bookmarkStart w:id="88" w:name="_Toc292559364"/>
      <w:bookmarkStart w:id="89" w:name="_Toc296346660"/>
      <w:bookmarkStart w:id="90" w:name="_Toc303539102"/>
      <w:bookmarkStart w:id="91" w:name="_Toc300934945"/>
      <w:bookmarkStart w:id="92" w:name="_Toc292559869"/>
      <w:bookmarkStart w:id="93" w:name="_Toc297120459"/>
      <w:bookmarkStart w:id="94" w:name="_Toc296944498"/>
      <w:bookmarkStart w:id="95" w:name="_Toc297123492"/>
      <w:r>
        <w:rPr>
          <w:rFonts w:hint="eastAsia" w:hAnsi="仿宋"/>
          <w:sz w:val="21"/>
          <w:szCs w:val="21"/>
        </w:rPr>
        <w:t>.5 分包</w:t>
      </w:r>
    </w:p>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14:paraId="5F1D8459">
      <w:pPr>
        <w:spacing w:line="380" w:lineRule="exact"/>
        <w:ind w:firstLine="420" w:firstLineChars="200"/>
        <w:rPr>
          <w:rFonts w:hAnsi="仿宋" w:eastAsia="宋体"/>
          <w:sz w:val="21"/>
          <w:szCs w:val="21"/>
        </w:rPr>
      </w:pPr>
      <w:r>
        <w:rPr>
          <w:rFonts w:hint="eastAsia" w:hAnsi="仿宋"/>
          <w:sz w:val="21"/>
          <w:szCs w:val="21"/>
        </w:rPr>
        <w:t>3</w:t>
      </w:r>
      <w:bookmarkStart w:id="96" w:name="_Toc296891200"/>
      <w:bookmarkStart w:id="97" w:name="_Toc296890988"/>
      <w:bookmarkStart w:id="98" w:name="_Toc300934946"/>
      <w:bookmarkStart w:id="99" w:name="_Toc296346661"/>
      <w:bookmarkStart w:id="100" w:name="_Toc304295524"/>
      <w:bookmarkStart w:id="101" w:name="_Toc296503160"/>
      <w:bookmarkStart w:id="102" w:name="_Toc297048346"/>
      <w:bookmarkStart w:id="103" w:name="_Toc297216152"/>
      <w:bookmarkStart w:id="104" w:name="_Toc318581158"/>
      <w:bookmarkStart w:id="105" w:name="_Toc312677989"/>
      <w:bookmarkStart w:id="106" w:name="_Toc292559365"/>
      <w:bookmarkStart w:id="107" w:name="_Toc297123493"/>
      <w:bookmarkStart w:id="108" w:name="_Toc292559870"/>
      <w:bookmarkStart w:id="109" w:name="_Toc303539103"/>
      <w:bookmarkStart w:id="110" w:name="_Toc296944499"/>
      <w:bookmarkStart w:id="111" w:name="_Toc297120460"/>
      <w:bookmarkStart w:id="112" w:name="_Toc296347159"/>
      <w:r>
        <w:rPr>
          <w:rFonts w:hint="eastAsia" w:hAnsi="仿宋"/>
          <w:sz w:val="21"/>
          <w:szCs w:val="21"/>
        </w:rPr>
        <w:t>.5.1</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Start w:id="113" w:name="_Toc318581159"/>
      <w:bookmarkStart w:id="114" w:name="_Toc312677990"/>
      <w:r>
        <w:rPr>
          <w:rFonts w:hint="eastAsia" w:hAnsi="仿宋" w:eastAsia="宋体"/>
          <w:sz w:val="21"/>
          <w:szCs w:val="21"/>
        </w:rPr>
        <w:t>不允许分包</w:t>
      </w:r>
    </w:p>
    <w:p w14:paraId="4381CAA4">
      <w:pPr>
        <w:spacing w:line="380" w:lineRule="exact"/>
        <w:ind w:firstLine="420" w:firstLineChars="200"/>
        <w:rPr>
          <w:rFonts w:hAnsi="仿宋"/>
          <w:sz w:val="21"/>
          <w:szCs w:val="21"/>
        </w:rPr>
      </w:pPr>
      <w:r>
        <w:rPr>
          <w:rFonts w:hint="eastAsia" w:hAnsi="仿宋"/>
          <w:sz w:val="21"/>
          <w:szCs w:val="21"/>
        </w:rPr>
        <w:t>3.5.4分包合同价款</w:t>
      </w:r>
    </w:p>
    <w:p w14:paraId="73E28722">
      <w:pPr>
        <w:spacing w:line="380" w:lineRule="exact"/>
        <w:ind w:firstLine="420" w:firstLineChars="200"/>
        <w:rPr>
          <w:rFonts w:hAnsi="仿宋"/>
          <w:sz w:val="21"/>
          <w:szCs w:val="21"/>
        </w:rPr>
      </w:pPr>
      <w:r>
        <w:rPr>
          <w:rFonts w:hint="eastAsia" w:hAnsi="仿宋"/>
          <w:sz w:val="21"/>
          <w:szCs w:val="21"/>
        </w:rPr>
        <w:t>关于分包合同价款支付的约定：</w:t>
      </w:r>
      <w:r>
        <w:rPr>
          <w:rFonts w:hint="eastAsia" w:hAnsi="仿宋"/>
          <w:sz w:val="21"/>
          <w:szCs w:val="21"/>
          <w:u w:val="single"/>
        </w:rPr>
        <w:t></w:t>
      </w:r>
      <w:r>
        <w:rPr>
          <w:rFonts w:hint="eastAsia" w:hAnsi="仿宋" w:eastAsia="宋体"/>
          <w:sz w:val="21"/>
          <w:szCs w:val="21"/>
          <w:u w:val="single"/>
        </w:rPr>
        <w:t>/</w:t>
      </w:r>
      <w:r>
        <w:rPr>
          <w:rFonts w:hint="eastAsia" w:hAnsi="仿宋"/>
          <w:sz w:val="21"/>
          <w:szCs w:val="21"/>
        </w:rPr>
        <w:t>。</w:t>
      </w:r>
    </w:p>
    <w:bookmarkEnd w:id="113"/>
    <w:bookmarkEnd w:id="114"/>
    <w:p w14:paraId="3E0CE51A">
      <w:pPr>
        <w:spacing w:line="380" w:lineRule="exact"/>
        <w:ind w:firstLine="420" w:firstLineChars="200"/>
        <w:rPr>
          <w:rFonts w:hAnsi="仿宋"/>
          <w:sz w:val="21"/>
          <w:szCs w:val="21"/>
        </w:rPr>
      </w:pPr>
      <w:r>
        <w:rPr>
          <w:rFonts w:hint="eastAsia" w:hAnsi="仿宋"/>
          <w:sz w:val="21"/>
          <w:szCs w:val="21"/>
        </w:rPr>
        <w:t>3.6 工程照管与成品、半成品保护</w:t>
      </w:r>
    </w:p>
    <w:p w14:paraId="3A77204A">
      <w:pPr>
        <w:spacing w:line="380" w:lineRule="exact"/>
        <w:ind w:firstLine="420" w:firstLineChars="200"/>
        <w:rPr>
          <w:rFonts w:hAnsi="仿宋"/>
          <w:kern w:val="0"/>
          <w:sz w:val="21"/>
          <w:szCs w:val="21"/>
          <w:u w:val="single"/>
        </w:rPr>
      </w:pPr>
      <w:r>
        <w:rPr>
          <w:rFonts w:hint="eastAsia" w:hAnsi="仿宋"/>
          <w:kern w:val="0"/>
          <w:sz w:val="21"/>
          <w:szCs w:val="21"/>
        </w:rPr>
        <w:t>承包人负责照管工程及工程相关的材料、工程设备的起始时间：</w:t>
      </w:r>
      <w:r>
        <w:rPr>
          <w:rFonts w:hint="eastAsia" w:hAnsi="仿宋"/>
          <w:kern w:val="0"/>
          <w:sz w:val="21"/>
          <w:szCs w:val="21"/>
          <w:u w:val="single"/>
        </w:rPr>
        <w:t>按通用合同条款执行</w:t>
      </w:r>
      <w:r>
        <w:rPr>
          <w:rFonts w:hint="eastAsia" w:hAnsi="仿宋"/>
          <w:kern w:val="0"/>
          <w:sz w:val="21"/>
          <w:szCs w:val="21"/>
        </w:rPr>
        <w:t>。</w:t>
      </w:r>
    </w:p>
    <w:p w14:paraId="7D3E5077">
      <w:pPr>
        <w:spacing w:line="380" w:lineRule="exact"/>
        <w:ind w:firstLine="420" w:firstLineChars="200"/>
        <w:rPr>
          <w:rFonts w:hAnsi="仿宋"/>
          <w:sz w:val="21"/>
          <w:szCs w:val="21"/>
        </w:rPr>
      </w:pPr>
      <w:r>
        <w:rPr>
          <w:rFonts w:hint="eastAsia" w:hAnsi="仿宋"/>
          <w:sz w:val="21"/>
          <w:szCs w:val="21"/>
        </w:rPr>
        <w:t>3.7 履约担保</w:t>
      </w:r>
    </w:p>
    <w:p w14:paraId="49C136A5">
      <w:pPr>
        <w:spacing w:line="380" w:lineRule="exact"/>
        <w:ind w:firstLine="420" w:firstLineChars="200"/>
        <w:rPr>
          <w:rFonts w:hAnsi="仿宋"/>
          <w:sz w:val="21"/>
          <w:szCs w:val="21"/>
        </w:rPr>
      </w:pPr>
      <w:r>
        <w:rPr>
          <w:rFonts w:hint="eastAsia" w:hAnsi="仿宋"/>
          <w:sz w:val="21"/>
          <w:szCs w:val="21"/>
        </w:rPr>
        <w:t>承包人是否提供履约担保：</w:t>
      </w:r>
      <w:r>
        <w:rPr>
          <w:rFonts w:hint="eastAsia" w:ascii="宋体" w:hAnsi="宋体" w:eastAsia="宋体" w:cs="宋体"/>
          <w:sz w:val="21"/>
          <w:szCs w:val="21"/>
          <w:u w:val="single"/>
        </w:rPr>
        <w:t>无</w:t>
      </w:r>
      <w:r>
        <w:rPr>
          <w:rFonts w:hint="eastAsia" w:hAnsi="仿宋"/>
          <w:sz w:val="21"/>
          <w:szCs w:val="21"/>
        </w:rPr>
        <w:t>。</w:t>
      </w:r>
    </w:p>
    <w:p w14:paraId="61398FB3">
      <w:pPr>
        <w:spacing w:line="380" w:lineRule="exact"/>
        <w:ind w:firstLine="420" w:firstLineChars="200"/>
        <w:rPr>
          <w:rFonts w:hAnsi="仿宋"/>
          <w:sz w:val="21"/>
          <w:szCs w:val="21"/>
        </w:rPr>
      </w:pPr>
      <w:r>
        <w:rPr>
          <w:rFonts w:hint="eastAsia" w:hAnsi="仿宋"/>
          <w:sz w:val="21"/>
          <w:szCs w:val="21"/>
        </w:rPr>
        <w:t>承包人提供履约担保的形式、金额及期限：</w:t>
      </w:r>
      <w:r>
        <w:rPr>
          <w:rFonts w:hint="eastAsia" w:ascii="宋体" w:hAnsi="宋体" w:eastAsia="宋体" w:cs="宋体"/>
          <w:sz w:val="21"/>
          <w:szCs w:val="21"/>
          <w:u w:val="single"/>
        </w:rPr>
        <w:t>无</w:t>
      </w:r>
      <w:r>
        <w:rPr>
          <w:rFonts w:hint="eastAsia" w:hAnsi="仿宋"/>
          <w:sz w:val="21"/>
          <w:szCs w:val="21"/>
        </w:rPr>
        <w:t>。</w:t>
      </w:r>
    </w:p>
    <w:p w14:paraId="40DF4258">
      <w:pPr>
        <w:pStyle w:val="8"/>
        <w:keepNext w:val="0"/>
        <w:keepLines w:val="0"/>
        <w:spacing w:before="0" w:after="0" w:line="380" w:lineRule="exact"/>
        <w:rPr>
          <w:rFonts w:ascii="黑体" w:hAnsi="黑体"/>
          <w:b w:val="0"/>
          <w:sz w:val="21"/>
          <w:szCs w:val="21"/>
        </w:rPr>
      </w:pPr>
      <w:bookmarkStart w:id="115" w:name="_Toc351203636"/>
      <w:r>
        <w:rPr>
          <w:rFonts w:hint="eastAsia" w:ascii="黑体" w:hAnsi="黑体"/>
          <w:b w:val="0"/>
          <w:sz w:val="21"/>
          <w:szCs w:val="21"/>
        </w:rPr>
        <w:t>4</w:t>
      </w:r>
      <w:bookmarkStart w:id="116" w:name="_Toc296503162"/>
      <w:bookmarkStart w:id="117" w:name="_Toc296346663"/>
      <w:bookmarkStart w:id="118" w:name="_Toc296347161"/>
      <w:bookmarkStart w:id="119" w:name="_Toc296890990"/>
      <w:bookmarkStart w:id="120" w:name="_Toc297048348"/>
      <w:bookmarkStart w:id="121" w:name="_Toc297120462"/>
      <w:bookmarkStart w:id="122" w:name="_Toc292559871"/>
      <w:bookmarkStart w:id="123" w:name="_Toc267251413"/>
      <w:bookmarkStart w:id="124" w:name="_Toc296944501"/>
      <w:bookmarkStart w:id="125" w:name="_Toc292559366"/>
      <w:bookmarkStart w:id="126" w:name="_Toc296891202"/>
      <w:r>
        <w:rPr>
          <w:rFonts w:hint="eastAsia" w:ascii="黑体" w:hAnsi="黑体"/>
          <w:b w:val="0"/>
          <w:sz w:val="21"/>
          <w:szCs w:val="21"/>
        </w:rPr>
        <w:t>．监</w:t>
      </w:r>
      <w:bookmarkEnd w:id="116"/>
      <w:bookmarkEnd w:id="117"/>
      <w:bookmarkEnd w:id="118"/>
      <w:bookmarkEnd w:id="119"/>
      <w:bookmarkEnd w:id="120"/>
      <w:bookmarkEnd w:id="121"/>
      <w:bookmarkEnd w:id="122"/>
      <w:bookmarkEnd w:id="123"/>
      <w:bookmarkEnd w:id="124"/>
      <w:bookmarkEnd w:id="125"/>
      <w:bookmarkEnd w:id="126"/>
      <w:r>
        <w:rPr>
          <w:rFonts w:hint="eastAsia" w:ascii="黑体" w:hAnsi="黑体"/>
          <w:b w:val="0"/>
          <w:sz w:val="21"/>
          <w:szCs w:val="21"/>
        </w:rPr>
        <w:t>理人</w:t>
      </w:r>
      <w:bookmarkEnd w:id="115"/>
    </w:p>
    <w:p w14:paraId="37D02CA2">
      <w:pPr>
        <w:spacing w:line="380" w:lineRule="exact"/>
        <w:ind w:firstLine="420" w:firstLineChars="200"/>
        <w:rPr>
          <w:rFonts w:hAnsi="仿宋"/>
          <w:sz w:val="21"/>
          <w:szCs w:val="21"/>
        </w:rPr>
      </w:pPr>
      <w:r>
        <w:rPr>
          <w:rFonts w:hint="eastAsia" w:hAnsi="仿宋"/>
          <w:sz w:val="21"/>
          <w:szCs w:val="21"/>
        </w:rPr>
        <w:t>4.1监理人的一般规定</w:t>
      </w:r>
    </w:p>
    <w:p w14:paraId="73414D71">
      <w:pPr>
        <w:spacing w:line="380" w:lineRule="exact"/>
        <w:ind w:firstLine="420" w:firstLineChars="200"/>
        <w:rPr>
          <w:rFonts w:hAnsi="仿宋"/>
          <w:sz w:val="21"/>
          <w:szCs w:val="21"/>
        </w:rPr>
      </w:pPr>
      <w:r>
        <w:rPr>
          <w:rFonts w:hint="eastAsia" w:hAnsi="仿宋"/>
          <w:sz w:val="21"/>
          <w:szCs w:val="21"/>
        </w:rPr>
        <w:t>关于监理人的监理内容：</w:t>
      </w:r>
      <w:r>
        <w:rPr>
          <w:rFonts w:hint="eastAsia" w:hAnsi="仿宋"/>
          <w:sz w:val="21"/>
          <w:szCs w:val="21"/>
          <w:u w:val="single"/>
        </w:rPr>
        <w:t>按本工程监理合同约定内容</w:t>
      </w:r>
      <w:r>
        <w:rPr>
          <w:rFonts w:hint="eastAsia" w:hAnsi="仿宋"/>
          <w:sz w:val="21"/>
          <w:szCs w:val="21"/>
        </w:rPr>
        <w:t>。</w:t>
      </w:r>
    </w:p>
    <w:p w14:paraId="2F61A49E">
      <w:pPr>
        <w:spacing w:line="380" w:lineRule="exact"/>
        <w:ind w:firstLine="420" w:firstLineChars="200"/>
        <w:rPr>
          <w:rFonts w:hAnsi="仿宋"/>
          <w:sz w:val="21"/>
          <w:szCs w:val="21"/>
        </w:rPr>
      </w:pPr>
      <w:r>
        <w:rPr>
          <w:rFonts w:hint="eastAsia" w:hAnsi="仿宋"/>
          <w:sz w:val="21"/>
          <w:szCs w:val="21"/>
        </w:rPr>
        <w:t>关于监理人的监理权限：〔</w:t>
      </w:r>
      <w:r>
        <w:rPr>
          <w:rFonts w:hint="eastAsia" w:hAnsi="仿宋"/>
          <w:sz w:val="21"/>
          <w:szCs w:val="21"/>
          <w:u w:val="single"/>
        </w:rPr>
        <w:t>按本工程监理合同约定内容，涉及工程变更（含设计变更等参建各方变更）均需报发包人审批后生效</w:t>
      </w:r>
      <w:r>
        <w:rPr>
          <w:rFonts w:hint="eastAsia" w:hAnsi="仿宋"/>
          <w:sz w:val="21"/>
          <w:szCs w:val="21"/>
        </w:rPr>
        <w:t>〕。</w:t>
      </w:r>
    </w:p>
    <w:p w14:paraId="4B97FDC5">
      <w:pPr>
        <w:spacing w:line="380" w:lineRule="exact"/>
        <w:ind w:firstLine="420" w:firstLineChars="200"/>
        <w:rPr>
          <w:rFonts w:hAnsi="仿宋"/>
          <w:sz w:val="21"/>
          <w:szCs w:val="21"/>
        </w:rPr>
      </w:pPr>
      <w:r>
        <w:rPr>
          <w:rFonts w:hint="eastAsia" w:hAnsi="仿宋"/>
          <w:sz w:val="21"/>
          <w:szCs w:val="21"/>
        </w:rPr>
        <w:t>关于监理人在施工现场的办公场所、生活场所的提供和费用承担的约定：</w:t>
      </w:r>
      <w:r>
        <w:rPr>
          <w:rFonts w:hint="eastAsia" w:hAnsi="仿宋"/>
          <w:sz w:val="21"/>
          <w:szCs w:val="21"/>
          <w:u w:val="single"/>
        </w:rPr>
        <w:t>由承包人免费提供办公室1间使用。</w:t>
      </w:r>
    </w:p>
    <w:p w14:paraId="07EF3651">
      <w:pPr>
        <w:spacing w:line="380" w:lineRule="exact"/>
        <w:ind w:firstLine="420" w:firstLineChars="200"/>
        <w:rPr>
          <w:rFonts w:hAnsi="仿宋"/>
          <w:sz w:val="21"/>
          <w:szCs w:val="21"/>
        </w:rPr>
      </w:pPr>
      <w:r>
        <w:rPr>
          <w:rFonts w:hint="eastAsia" w:hAnsi="仿宋"/>
          <w:sz w:val="21"/>
          <w:szCs w:val="21"/>
        </w:rPr>
        <w:t>4.2 监理人员</w:t>
      </w:r>
    </w:p>
    <w:p w14:paraId="579FCAEC">
      <w:pPr>
        <w:spacing w:line="380" w:lineRule="exact"/>
        <w:ind w:firstLine="420" w:firstLineChars="200"/>
        <w:rPr>
          <w:rFonts w:hAnsi="仿宋"/>
          <w:sz w:val="21"/>
          <w:szCs w:val="21"/>
        </w:rPr>
      </w:pPr>
      <w:r>
        <w:rPr>
          <w:rFonts w:hint="eastAsia" w:hAnsi="仿宋"/>
          <w:sz w:val="21"/>
          <w:szCs w:val="21"/>
        </w:rPr>
        <w:t>总监理工程师：</w:t>
      </w:r>
    </w:p>
    <w:p w14:paraId="0E16AE0C">
      <w:pPr>
        <w:spacing w:line="380" w:lineRule="exact"/>
        <w:ind w:firstLine="420" w:firstLineChars="200"/>
        <w:rPr>
          <w:rFonts w:hAnsi="仿宋"/>
          <w:sz w:val="21"/>
          <w:szCs w:val="21"/>
        </w:rPr>
      </w:pPr>
      <w:r>
        <w:rPr>
          <w:rFonts w:hint="eastAsia" w:hAnsi="仿宋"/>
          <w:sz w:val="21"/>
          <w:szCs w:val="21"/>
        </w:rPr>
        <w:t>姓    名：</w:t>
      </w:r>
      <w:r>
        <w:rPr>
          <w:rFonts w:hint="eastAsia" w:ascii="宋体" w:hAnsi="宋体" w:cs="宋体"/>
          <w:kern w:val="0"/>
          <w:szCs w:val="21"/>
          <w:u w:val="single"/>
        </w:rPr>
        <w:t xml:space="preserve">                 </w:t>
      </w:r>
      <w:r>
        <w:rPr>
          <w:rFonts w:hint="eastAsia" w:hAnsi="仿宋"/>
          <w:sz w:val="21"/>
          <w:szCs w:val="21"/>
        </w:rPr>
        <w:t>；</w:t>
      </w:r>
    </w:p>
    <w:p w14:paraId="19DB2426">
      <w:pPr>
        <w:spacing w:line="380" w:lineRule="exact"/>
        <w:ind w:firstLine="420" w:firstLineChars="200"/>
        <w:rPr>
          <w:rFonts w:hAnsi="仿宋"/>
          <w:sz w:val="21"/>
          <w:szCs w:val="21"/>
        </w:rPr>
      </w:pPr>
      <w:r>
        <w:rPr>
          <w:rFonts w:hint="eastAsia" w:hAnsi="仿宋"/>
          <w:sz w:val="21"/>
          <w:szCs w:val="21"/>
        </w:rPr>
        <w:t>职    务：</w:t>
      </w:r>
      <w:r>
        <w:rPr>
          <w:rFonts w:hint="eastAsia" w:ascii="宋体" w:hAnsi="宋体" w:cs="宋体"/>
          <w:kern w:val="0"/>
          <w:szCs w:val="21"/>
          <w:u w:val="single"/>
        </w:rPr>
        <w:t xml:space="preserve">                 </w:t>
      </w:r>
      <w:r>
        <w:rPr>
          <w:rFonts w:hint="eastAsia" w:hAnsi="仿宋"/>
          <w:sz w:val="21"/>
          <w:szCs w:val="21"/>
        </w:rPr>
        <w:t>；</w:t>
      </w:r>
    </w:p>
    <w:p w14:paraId="681F2F7B">
      <w:pPr>
        <w:spacing w:line="380" w:lineRule="exact"/>
        <w:ind w:firstLine="420" w:firstLineChars="200"/>
        <w:rPr>
          <w:rFonts w:hAnsi="仿宋"/>
          <w:sz w:val="21"/>
          <w:szCs w:val="21"/>
        </w:rPr>
      </w:pPr>
      <w:r>
        <w:rPr>
          <w:rFonts w:hint="eastAsia" w:hAnsi="仿宋"/>
          <w:sz w:val="21"/>
          <w:szCs w:val="21"/>
        </w:rPr>
        <w:t>监理工程师执业资格证书号：</w:t>
      </w:r>
      <w:r>
        <w:rPr>
          <w:rFonts w:hint="eastAsia" w:ascii="宋体" w:hAnsi="宋体" w:cs="宋体"/>
          <w:kern w:val="0"/>
          <w:szCs w:val="21"/>
          <w:u w:val="single"/>
        </w:rPr>
        <w:t xml:space="preserve">        </w:t>
      </w:r>
      <w:r>
        <w:rPr>
          <w:rFonts w:hint="eastAsia" w:hAnsi="仿宋"/>
          <w:sz w:val="21"/>
          <w:szCs w:val="21"/>
        </w:rPr>
        <w:t>；</w:t>
      </w:r>
    </w:p>
    <w:p w14:paraId="5074CD71">
      <w:pPr>
        <w:spacing w:line="380" w:lineRule="exact"/>
        <w:ind w:firstLine="420" w:firstLineChars="200"/>
        <w:rPr>
          <w:rFonts w:hAnsi="仿宋"/>
          <w:sz w:val="21"/>
          <w:szCs w:val="21"/>
        </w:rPr>
      </w:pPr>
      <w:r>
        <w:rPr>
          <w:rFonts w:hint="eastAsia" w:hAnsi="仿宋"/>
          <w:sz w:val="21"/>
          <w:szCs w:val="21"/>
        </w:rPr>
        <w:t>联系电话：</w:t>
      </w:r>
      <w:r>
        <w:rPr>
          <w:rFonts w:hint="eastAsia" w:ascii="宋体" w:hAnsi="宋体" w:cs="宋体"/>
          <w:kern w:val="0"/>
          <w:szCs w:val="21"/>
          <w:u w:val="single"/>
        </w:rPr>
        <w:t xml:space="preserve">                 </w:t>
      </w:r>
      <w:r>
        <w:rPr>
          <w:rFonts w:hint="eastAsia" w:hAnsi="仿宋"/>
          <w:sz w:val="21"/>
          <w:szCs w:val="21"/>
        </w:rPr>
        <w:t>；</w:t>
      </w:r>
    </w:p>
    <w:p w14:paraId="14FC9891">
      <w:pPr>
        <w:spacing w:line="380" w:lineRule="exact"/>
        <w:ind w:firstLine="420" w:firstLineChars="200"/>
        <w:rPr>
          <w:rFonts w:hAnsi="仿宋"/>
          <w:sz w:val="21"/>
          <w:szCs w:val="21"/>
        </w:rPr>
      </w:pPr>
      <w:r>
        <w:rPr>
          <w:rFonts w:hint="eastAsia" w:hAnsi="仿宋"/>
          <w:sz w:val="21"/>
          <w:szCs w:val="21"/>
        </w:rPr>
        <w:t>电子信箱：</w:t>
      </w:r>
      <w:r>
        <w:rPr>
          <w:rFonts w:hint="eastAsia" w:ascii="宋体" w:hAnsi="宋体" w:cs="宋体"/>
          <w:kern w:val="0"/>
          <w:szCs w:val="21"/>
          <w:u w:val="single"/>
        </w:rPr>
        <w:t xml:space="preserve">                 </w:t>
      </w:r>
      <w:r>
        <w:rPr>
          <w:rFonts w:hint="eastAsia" w:hAnsi="仿宋"/>
          <w:sz w:val="21"/>
          <w:szCs w:val="21"/>
        </w:rPr>
        <w:t>；</w:t>
      </w:r>
    </w:p>
    <w:p w14:paraId="32B78EE5">
      <w:pPr>
        <w:spacing w:line="380" w:lineRule="exact"/>
        <w:ind w:firstLine="420" w:firstLineChars="200"/>
        <w:rPr>
          <w:rFonts w:hAnsi="仿宋"/>
          <w:sz w:val="21"/>
          <w:szCs w:val="21"/>
        </w:rPr>
      </w:pPr>
      <w:r>
        <w:rPr>
          <w:rFonts w:hint="eastAsia" w:hAnsi="仿宋"/>
          <w:sz w:val="21"/>
          <w:szCs w:val="21"/>
        </w:rPr>
        <w:t>通信地址：</w:t>
      </w:r>
      <w:r>
        <w:rPr>
          <w:rFonts w:hint="eastAsia" w:ascii="宋体" w:hAnsi="宋体" w:cs="宋体"/>
          <w:kern w:val="0"/>
          <w:szCs w:val="21"/>
          <w:u w:val="single"/>
        </w:rPr>
        <w:t xml:space="preserve">                 </w:t>
      </w:r>
      <w:r>
        <w:rPr>
          <w:rFonts w:hint="eastAsia" w:hAnsi="仿宋"/>
          <w:sz w:val="21"/>
          <w:szCs w:val="21"/>
        </w:rPr>
        <w:t>；</w:t>
      </w:r>
    </w:p>
    <w:p w14:paraId="446C1619">
      <w:pPr>
        <w:spacing w:line="380" w:lineRule="exact"/>
        <w:ind w:firstLine="420" w:firstLineChars="200"/>
        <w:rPr>
          <w:rFonts w:hAnsi="仿宋"/>
          <w:sz w:val="21"/>
          <w:szCs w:val="21"/>
          <w:u w:val="single"/>
        </w:rPr>
      </w:pPr>
      <w:r>
        <w:rPr>
          <w:rFonts w:hint="eastAsia" w:hAnsi="仿宋"/>
          <w:sz w:val="21"/>
          <w:szCs w:val="21"/>
        </w:rPr>
        <w:t>关于监理人的其他约定：</w:t>
      </w:r>
      <w:r>
        <w:rPr>
          <w:rFonts w:hint="eastAsia" w:hAnsi="仿宋"/>
          <w:sz w:val="21"/>
          <w:szCs w:val="21"/>
          <w:u w:val="single"/>
        </w:rPr>
        <w:t xml:space="preserve">           </w:t>
      </w:r>
      <w:r>
        <w:rPr>
          <w:rFonts w:hint="eastAsia" w:hAnsi="仿宋"/>
          <w:sz w:val="21"/>
          <w:szCs w:val="21"/>
        </w:rPr>
        <w:t>。</w:t>
      </w:r>
    </w:p>
    <w:p w14:paraId="7F143632">
      <w:pPr>
        <w:spacing w:line="380" w:lineRule="exact"/>
        <w:ind w:firstLine="420" w:firstLineChars="200"/>
        <w:rPr>
          <w:rFonts w:hAnsi="仿宋"/>
          <w:sz w:val="21"/>
          <w:szCs w:val="21"/>
          <w:u w:val="single"/>
        </w:rPr>
      </w:pPr>
      <w:r>
        <w:rPr>
          <w:rFonts w:hint="eastAsia" w:hAnsi="仿宋"/>
          <w:sz w:val="21"/>
          <w:szCs w:val="21"/>
          <w:u w:val="single"/>
        </w:rPr>
        <w:t>（1）监理人授权超出合同约定，承包人有权提出异议，如监理人对于承包人合理的异议不予接受，则承包人可要求发包人就该事项作出处理决定；</w:t>
      </w:r>
    </w:p>
    <w:p w14:paraId="386A3D0C">
      <w:pPr>
        <w:spacing w:line="380" w:lineRule="exact"/>
        <w:ind w:firstLine="420" w:firstLineChars="200"/>
        <w:rPr>
          <w:rFonts w:hAnsi="仿宋"/>
          <w:sz w:val="21"/>
          <w:szCs w:val="21"/>
          <w:u w:val="single"/>
        </w:rPr>
      </w:pPr>
      <w:r>
        <w:rPr>
          <w:rFonts w:hint="eastAsia" w:hAnsi="仿宋"/>
          <w:sz w:val="21"/>
          <w:szCs w:val="21"/>
          <w:u w:val="single"/>
        </w:rPr>
        <w:t>（2）对于监理人更换其委派的监理人员，监理人在征得发包人同意后应当提前48小时书面通知承包人；</w:t>
      </w:r>
    </w:p>
    <w:p w14:paraId="619891CE">
      <w:pPr>
        <w:spacing w:line="380" w:lineRule="exact"/>
        <w:ind w:firstLine="420" w:firstLineChars="200"/>
        <w:rPr>
          <w:rFonts w:hAnsi="仿宋"/>
          <w:sz w:val="21"/>
          <w:szCs w:val="21"/>
        </w:rPr>
      </w:pPr>
      <w:r>
        <w:rPr>
          <w:rFonts w:hint="eastAsia" w:hAnsi="仿宋"/>
          <w:sz w:val="21"/>
          <w:szCs w:val="21"/>
          <w:u w:val="single"/>
        </w:rPr>
        <w:t>（3）监理人对其监理人员的任何授权，承包人均有权要求监理人提供书面的授权文件，否则，承包人有权拒绝接受监理人员的指示。</w:t>
      </w:r>
    </w:p>
    <w:p w14:paraId="4236C174">
      <w:pPr>
        <w:spacing w:line="380" w:lineRule="exact"/>
        <w:ind w:firstLine="420" w:firstLineChars="200"/>
        <w:rPr>
          <w:rFonts w:hAnsi="仿宋"/>
          <w:sz w:val="21"/>
          <w:szCs w:val="21"/>
        </w:rPr>
      </w:pPr>
      <w:r>
        <w:rPr>
          <w:rFonts w:hint="eastAsia" w:hAnsi="仿宋"/>
          <w:sz w:val="21"/>
          <w:szCs w:val="21"/>
        </w:rPr>
        <w:t>4.4 商定或确定</w:t>
      </w:r>
    </w:p>
    <w:p w14:paraId="274F33E0">
      <w:pPr>
        <w:spacing w:line="380" w:lineRule="exact"/>
        <w:ind w:firstLine="420" w:firstLineChars="200"/>
        <w:rPr>
          <w:rFonts w:hAnsi="仿宋"/>
          <w:sz w:val="21"/>
          <w:szCs w:val="21"/>
        </w:rPr>
      </w:pPr>
      <w:bookmarkStart w:id="127" w:name="_Toc267251418"/>
      <w:r>
        <w:rPr>
          <w:rFonts w:hint="eastAsia" w:hAnsi="仿宋"/>
          <w:sz w:val="21"/>
          <w:szCs w:val="21"/>
        </w:rPr>
        <w:t>在发包人和承包人不能通过协商达成一致意见时，发包人授权监理人对以下事项进行确定：</w:t>
      </w:r>
    </w:p>
    <w:p w14:paraId="6E0259EA">
      <w:pPr>
        <w:autoSpaceDE w:val="0"/>
        <w:autoSpaceDN w:val="0"/>
        <w:adjustRightInd w:val="0"/>
        <w:spacing w:line="380" w:lineRule="exact"/>
        <w:ind w:firstLine="420" w:firstLineChars="200"/>
        <w:rPr>
          <w:rFonts w:hAnsi="仿宋"/>
          <w:kern w:val="0"/>
          <w:sz w:val="21"/>
          <w:szCs w:val="21"/>
        </w:rPr>
      </w:pPr>
      <w:bookmarkStart w:id="128" w:name="_Toc351203637"/>
      <w:r>
        <w:rPr>
          <w:rFonts w:hint="eastAsia" w:hAnsi="仿宋"/>
          <w:kern w:val="0"/>
          <w:sz w:val="21"/>
          <w:szCs w:val="21"/>
        </w:rPr>
        <w:t>（1）</w:t>
      </w:r>
      <w:r>
        <w:rPr>
          <w:rFonts w:hint="eastAsia" w:ascii="宋体" w:hAnsi="宋体" w:cs="宋体"/>
          <w:kern w:val="0"/>
          <w:szCs w:val="21"/>
          <w:u w:val="single"/>
        </w:rPr>
        <w:t xml:space="preserve">                 </w:t>
      </w:r>
      <w:r>
        <w:rPr>
          <w:rFonts w:hint="eastAsia" w:hAnsi="仿宋"/>
          <w:sz w:val="21"/>
          <w:szCs w:val="21"/>
        </w:rPr>
        <w:t>；</w:t>
      </w:r>
    </w:p>
    <w:p w14:paraId="4F743E60">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（2）</w:t>
      </w:r>
      <w:r>
        <w:rPr>
          <w:rFonts w:hint="eastAsia" w:ascii="宋体" w:hAnsi="宋体" w:cs="宋体"/>
          <w:kern w:val="0"/>
          <w:szCs w:val="21"/>
          <w:u w:val="single"/>
        </w:rPr>
        <w:t xml:space="preserve">                 </w:t>
      </w:r>
      <w:r>
        <w:rPr>
          <w:rFonts w:hint="eastAsia" w:hAnsi="仿宋"/>
          <w:sz w:val="21"/>
          <w:szCs w:val="21"/>
        </w:rPr>
        <w:t>；</w:t>
      </w:r>
    </w:p>
    <w:p w14:paraId="5F2C35A2">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（3）</w:t>
      </w:r>
      <w:r>
        <w:rPr>
          <w:rFonts w:hint="eastAsia" w:ascii="宋体" w:hAnsi="宋体" w:cs="宋体"/>
          <w:kern w:val="0"/>
          <w:szCs w:val="21"/>
          <w:u w:val="single"/>
        </w:rPr>
        <w:t xml:space="preserve">                 </w:t>
      </w:r>
      <w:r>
        <w:rPr>
          <w:rFonts w:hint="eastAsia" w:hAnsi="仿宋"/>
          <w:sz w:val="21"/>
          <w:szCs w:val="21"/>
        </w:rPr>
        <w:t>。</w:t>
      </w:r>
    </w:p>
    <w:p w14:paraId="5AA9EAC5">
      <w:pPr>
        <w:pStyle w:val="8"/>
        <w:keepNext w:val="0"/>
        <w:keepLines w:val="0"/>
        <w:spacing w:before="0" w:after="0" w:line="380" w:lineRule="exact"/>
        <w:rPr>
          <w:rFonts w:ascii="黑体" w:hAnsi="黑体"/>
          <w:b w:val="0"/>
          <w:sz w:val="21"/>
          <w:szCs w:val="21"/>
        </w:rPr>
      </w:pPr>
      <w:r>
        <w:rPr>
          <w:rFonts w:hint="eastAsia" w:ascii="黑体" w:hAnsi="黑体"/>
          <w:b w:val="0"/>
          <w:sz w:val="21"/>
          <w:szCs w:val="21"/>
        </w:rPr>
        <w:t>5</w:t>
      </w:r>
      <w:bookmarkEnd w:id="127"/>
      <w:bookmarkStart w:id="129" w:name="_Toc297120463"/>
      <w:bookmarkStart w:id="130" w:name="_Toc296890991"/>
      <w:bookmarkStart w:id="131" w:name="_Toc292559872"/>
      <w:bookmarkStart w:id="132" w:name="_Toc296944502"/>
      <w:bookmarkStart w:id="133" w:name="_Toc296346664"/>
      <w:bookmarkStart w:id="134" w:name="_Toc296347162"/>
      <w:bookmarkStart w:id="135" w:name="_Toc297048349"/>
      <w:bookmarkStart w:id="136" w:name="_Toc296503163"/>
      <w:bookmarkStart w:id="137" w:name="_Toc296891203"/>
      <w:bookmarkStart w:id="138" w:name="_Toc292559367"/>
      <w:r>
        <w:rPr>
          <w:rFonts w:hint="eastAsia" w:ascii="黑体" w:hAnsi="黑体"/>
          <w:b w:val="0"/>
          <w:sz w:val="21"/>
          <w:szCs w:val="21"/>
        </w:rPr>
        <w:t>．工程质量</w:t>
      </w:r>
      <w:bookmarkEnd w:id="128"/>
    </w:p>
    <w:p w14:paraId="1DC3E9DF">
      <w:pPr>
        <w:spacing w:line="380" w:lineRule="exact"/>
        <w:ind w:firstLine="420" w:firstLineChars="200"/>
        <w:rPr>
          <w:rFonts w:hAnsi="仿宋"/>
          <w:sz w:val="21"/>
          <w:szCs w:val="21"/>
        </w:rPr>
      </w:pPr>
      <w:r>
        <w:rPr>
          <w:rFonts w:hint="eastAsia" w:hAnsi="仿宋"/>
          <w:sz w:val="21"/>
          <w:szCs w:val="21"/>
        </w:rPr>
        <w:t>5.1 质量要求</w:t>
      </w:r>
    </w:p>
    <w:p w14:paraId="03F3A69A">
      <w:pPr>
        <w:spacing w:line="380" w:lineRule="exact"/>
        <w:ind w:firstLine="420" w:firstLineChars="200"/>
        <w:rPr>
          <w:rFonts w:hAnsi="仿宋"/>
          <w:sz w:val="21"/>
          <w:szCs w:val="21"/>
        </w:rPr>
      </w:pPr>
      <w:r>
        <w:rPr>
          <w:rFonts w:hint="eastAsia" w:hAnsi="仿宋"/>
          <w:sz w:val="21"/>
          <w:szCs w:val="21"/>
        </w:rPr>
        <w:t>5</w:t>
      </w:r>
      <w:bookmarkStart w:id="139" w:name="_Toc297216155"/>
      <w:bookmarkStart w:id="140" w:name="_Toc304295527"/>
      <w:bookmarkStart w:id="141" w:name="_Toc303539106"/>
      <w:bookmarkStart w:id="142" w:name="_Toc312677997"/>
      <w:bookmarkStart w:id="143" w:name="_Toc300934949"/>
      <w:bookmarkStart w:id="144" w:name="_Toc318581164"/>
      <w:bookmarkStart w:id="145" w:name="_Toc297123496"/>
      <w:r>
        <w:rPr>
          <w:rFonts w:hint="eastAsia" w:hAnsi="仿宋"/>
          <w:sz w:val="21"/>
          <w:szCs w:val="21"/>
        </w:rPr>
        <w:t>.1.1特殊质量标准和要求：</w:t>
      </w:r>
      <w:r>
        <w:rPr>
          <w:rFonts w:hint="eastAsia" w:hAnsi="仿宋"/>
          <w:sz w:val="21"/>
          <w:szCs w:val="21"/>
          <w:u w:val="single"/>
        </w:rPr>
        <w:t>除通用条款约定外，要达到设计及国家、地方现行的有关规范和标准的质量要求，并最终一次性验收合格。承包人须严格按照设计图纸进行施工，实现土建与配送工艺设备及其他专业分包工程有效对接，如存在问题，按照责任划分，由责任方无条件整改直至合格，如整改不到位，将追究相关责任并赔偿相应损失。</w:t>
      </w:r>
    </w:p>
    <w:p w14:paraId="52D286AB">
      <w:pPr>
        <w:spacing w:line="380" w:lineRule="exact"/>
        <w:ind w:firstLine="420" w:firstLineChars="200"/>
        <w:rPr>
          <w:rFonts w:hAnsi="仿宋"/>
          <w:sz w:val="21"/>
          <w:szCs w:val="21"/>
        </w:rPr>
      </w:pPr>
      <w:r>
        <w:rPr>
          <w:rFonts w:hint="eastAsia" w:hAnsi="仿宋"/>
          <w:sz w:val="21"/>
          <w:szCs w:val="21"/>
        </w:rPr>
        <w:t>关于工程质量奖项的约定：</w:t>
      </w:r>
      <w:r>
        <w:rPr>
          <w:rFonts w:hint="eastAsia" w:hAnsi="仿宋" w:eastAsiaTheme="minorEastAsia"/>
          <w:sz w:val="21"/>
          <w:szCs w:val="21"/>
          <w:u w:val="single"/>
        </w:rPr>
        <w:t xml:space="preserve">               </w:t>
      </w:r>
      <w:r>
        <w:rPr>
          <w:rFonts w:hint="eastAsia" w:hAnsi="仿宋" w:eastAsiaTheme="minorEastAsia"/>
          <w:sz w:val="21"/>
          <w:szCs w:val="21"/>
        </w:rPr>
        <w:t xml:space="preserve"> </w:t>
      </w:r>
      <w:r>
        <w:rPr>
          <w:rFonts w:hint="eastAsia" w:hAnsi="仿宋"/>
          <w:sz w:val="21"/>
          <w:szCs w:val="21"/>
        </w:rPr>
        <w:t>。</w:t>
      </w:r>
    </w:p>
    <w:p w14:paraId="570699AC">
      <w:pPr>
        <w:spacing w:line="380" w:lineRule="exact"/>
        <w:ind w:firstLine="420" w:firstLineChars="200"/>
        <w:rPr>
          <w:rFonts w:hAnsi="仿宋"/>
          <w:sz w:val="21"/>
          <w:szCs w:val="21"/>
        </w:rPr>
      </w:pPr>
      <w:r>
        <w:rPr>
          <w:rFonts w:hint="eastAsia" w:hAnsi="仿宋"/>
          <w:sz w:val="21"/>
          <w:szCs w:val="21"/>
        </w:rPr>
        <w:t>5.3 隐蔽工程检查</w:t>
      </w:r>
    </w:p>
    <w:p w14:paraId="1928281E">
      <w:pPr>
        <w:spacing w:line="380" w:lineRule="exact"/>
        <w:ind w:firstLine="420" w:firstLineChars="200"/>
        <w:rPr>
          <w:rFonts w:hAnsi="仿宋"/>
          <w:sz w:val="21"/>
          <w:szCs w:val="21"/>
        </w:rPr>
      </w:pPr>
      <w:r>
        <w:rPr>
          <w:rFonts w:hint="eastAsia" w:hAnsi="仿宋"/>
          <w:sz w:val="21"/>
          <w:szCs w:val="21"/>
        </w:rPr>
        <w:t>5.3.2承包人提前通知监理人隐蔽工程检查的期限的约定：</w:t>
      </w:r>
      <w:r>
        <w:rPr>
          <w:rFonts w:hint="eastAsia" w:hAnsi="仿宋"/>
          <w:sz w:val="21"/>
          <w:szCs w:val="21"/>
          <w:u w:val="single"/>
        </w:rPr>
        <w:t>按通用合同条款执行。</w:t>
      </w:r>
    </w:p>
    <w:p w14:paraId="0ED34EF3">
      <w:pPr>
        <w:spacing w:line="380" w:lineRule="exact"/>
        <w:ind w:firstLine="420" w:firstLineChars="200"/>
        <w:rPr>
          <w:rFonts w:hAnsi="仿宋"/>
          <w:sz w:val="21"/>
          <w:szCs w:val="21"/>
        </w:rPr>
      </w:pPr>
      <w:r>
        <w:rPr>
          <w:rFonts w:hint="eastAsia" w:hAnsi="仿宋"/>
          <w:sz w:val="21"/>
          <w:szCs w:val="21"/>
        </w:rPr>
        <w:t>监理人不能按时进行检查时，应提前</w:t>
      </w:r>
      <w:r>
        <w:rPr>
          <w:rFonts w:hint="eastAsia" w:hAnsi="仿宋"/>
          <w:sz w:val="21"/>
          <w:szCs w:val="21"/>
          <w:u w:val="single"/>
        </w:rPr>
        <w:t xml:space="preserve"> 24 </w:t>
      </w:r>
      <w:r>
        <w:rPr>
          <w:rFonts w:hint="eastAsia" w:hAnsi="仿宋"/>
          <w:sz w:val="21"/>
          <w:szCs w:val="21"/>
        </w:rPr>
        <w:t>小时提交书面延期要求。</w:t>
      </w:r>
    </w:p>
    <w:p w14:paraId="744B1B32">
      <w:pPr>
        <w:spacing w:line="380" w:lineRule="exact"/>
        <w:ind w:firstLine="420" w:firstLineChars="200"/>
        <w:rPr>
          <w:rFonts w:hAnsi="仿宋"/>
          <w:sz w:val="21"/>
          <w:szCs w:val="21"/>
        </w:rPr>
      </w:pPr>
      <w:r>
        <w:rPr>
          <w:rFonts w:hint="eastAsia" w:hAnsi="仿宋"/>
          <w:sz w:val="21"/>
          <w:szCs w:val="21"/>
        </w:rPr>
        <w:t>关于延期最长不得超过：</w:t>
      </w:r>
      <w:r>
        <w:rPr>
          <w:rFonts w:hint="eastAsia" w:hAnsi="仿宋"/>
          <w:sz w:val="21"/>
          <w:szCs w:val="21"/>
          <w:u w:val="single"/>
        </w:rPr>
        <w:t xml:space="preserve"> 24 </w:t>
      </w:r>
      <w:r>
        <w:rPr>
          <w:rFonts w:hint="eastAsia" w:hAnsi="仿宋"/>
          <w:sz w:val="21"/>
          <w:szCs w:val="21"/>
        </w:rPr>
        <w:t>小时，由此导致工期延误的，工期予以顺延。</w:t>
      </w:r>
    </w:p>
    <w:p w14:paraId="4D7F3155">
      <w:pPr>
        <w:spacing w:line="380" w:lineRule="exact"/>
        <w:ind w:firstLine="420" w:firstLineChars="200"/>
        <w:rPr>
          <w:rFonts w:hAnsi="仿宋"/>
          <w:sz w:val="21"/>
          <w:szCs w:val="21"/>
          <w:u w:val="single"/>
        </w:rPr>
      </w:pPr>
      <w:r>
        <w:rPr>
          <w:rFonts w:hint="eastAsia" w:hAnsi="仿宋"/>
          <w:sz w:val="21"/>
          <w:szCs w:val="21"/>
          <w:u w:val="single"/>
        </w:rPr>
        <w:t>重要节点的隐蔽工程验收过程、验收部位除办理纸质验收记录，承包人还应保留验收部位、验收过程、验收人员相片、影像等资料。</w:t>
      </w:r>
    </w:p>
    <w:p w14:paraId="1BAC5C2F">
      <w:pPr>
        <w:pStyle w:val="8"/>
        <w:keepNext w:val="0"/>
        <w:keepLines w:val="0"/>
        <w:spacing w:before="0" w:after="0" w:line="380" w:lineRule="exact"/>
        <w:rPr>
          <w:rFonts w:ascii="黑体" w:hAnsi="黑体"/>
          <w:b w:val="0"/>
          <w:sz w:val="21"/>
          <w:szCs w:val="21"/>
        </w:rPr>
      </w:pPr>
      <w:bookmarkStart w:id="146" w:name="_Toc351203638"/>
      <w:r>
        <w:rPr>
          <w:rFonts w:hint="eastAsia" w:ascii="黑体" w:hAnsi="黑体"/>
          <w:b w:val="0"/>
          <w:sz w:val="21"/>
          <w:szCs w:val="21"/>
        </w:rPr>
        <w:t>6．安全文明施工与环境保护</w:t>
      </w:r>
      <w:bookmarkEnd w:id="146"/>
    </w:p>
    <w:p w14:paraId="58E060C3">
      <w:pPr>
        <w:spacing w:line="380" w:lineRule="exact"/>
        <w:ind w:firstLine="420" w:firstLineChars="200"/>
        <w:rPr>
          <w:rFonts w:hAnsi="仿宋"/>
          <w:sz w:val="21"/>
          <w:szCs w:val="21"/>
        </w:rPr>
      </w:pPr>
      <w:r>
        <w:rPr>
          <w:rFonts w:hint="eastAsia" w:hAnsi="仿宋"/>
          <w:sz w:val="21"/>
          <w:szCs w:val="21"/>
        </w:rPr>
        <w:t>6.1安全文明施工</w:t>
      </w:r>
    </w:p>
    <w:p w14:paraId="369ABED6">
      <w:pPr>
        <w:spacing w:line="380" w:lineRule="exact"/>
        <w:ind w:firstLine="420" w:firstLineChars="200"/>
        <w:rPr>
          <w:rFonts w:hAnsi="仿宋"/>
          <w:sz w:val="21"/>
          <w:szCs w:val="21"/>
        </w:rPr>
      </w:pPr>
      <w:r>
        <w:rPr>
          <w:rFonts w:hint="eastAsia" w:hAnsi="仿宋"/>
          <w:sz w:val="21"/>
          <w:szCs w:val="21"/>
        </w:rPr>
        <w:t>6.1.1项目安全生产的达标目标及相应事项的约定：</w:t>
      </w:r>
      <w:r>
        <w:rPr>
          <w:rFonts w:hint="eastAsia" w:hAnsi="仿宋"/>
          <w:sz w:val="21"/>
          <w:szCs w:val="21"/>
          <w:u w:val="single"/>
        </w:rPr>
        <w:t>按《浙江省建筑施工安全标准化管理规定》（浙建建〔2012〕54号），及工程所在地相关主管部门发布的有关施工现场安全文明施工（含扬尘防护、监测），门禁考勤管理，噪音、污水排放，视频监控等管理规定执行。</w:t>
      </w:r>
    </w:p>
    <w:p w14:paraId="05402E6B">
      <w:pPr>
        <w:spacing w:line="380" w:lineRule="exact"/>
        <w:ind w:firstLine="420" w:firstLineChars="200"/>
        <w:rPr>
          <w:rFonts w:hAnsi="仿宋"/>
          <w:sz w:val="21"/>
          <w:szCs w:val="21"/>
        </w:rPr>
      </w:pPr>
      <w:r>
        <w:rPr>
          <w:rFonts w:hint="eastAsia" w:hAnsi="仿宋"/>
          <w:sz w:val="21"/>
          <w:szCs w:val="21"/>
        </w:rPr>
        <w:t>6.1.4关于治安保卫的特别约定：</w:t>
      </w:r>
      <w:r>
        <w:rPr>
          <w:rFonts w:hint="eastAsia" w:ascii="宋体" w:hAnsi="宋体" w:eastAsia="宋体" w:cs="宋体"/>
          <w:sz w:val="21"/>
          <w:szCs w:val="21"/>
          <w:u w:val="single"/>
        </w:rPr>
        <w:t>由承包人负责治安保卫工作</w:t>
      </w:r>
      <w:r>
        <w:rPr>
          <w:rFonts w:hint="eastAsia" w:hAnsi="仿宋"/>
          <w:sz w:val="21"/>
          <w:szCs w:val="21"/>
        </w:rPr>
        <w:t>。</w:t>
      </w:r>
    </w:p>
    <w:p w14:paraId="249FEC15">
      <w:pPr>
        <w:spacing w:line="380" w:lineRule="exact"/>
        <w:ind w:firstLine="420" w:firstLineChars="200"/>
        <w:rPr>
          <w:rFonts w:hAnsi="仿宋"/>
          <w:sz w:val="21"/>
          <w:szCs w:val="21"/>
        </w:rPr>
      </w:pPr>
      <w:r>
        <w:rPr>
          <w:rFonts w:hint="eastAsia" w:hAnsi="仿宋"/>
          <w:sz w:val="21"/>
          <w:szCs w:val="21"/>
        </w:rPr>
        <w:t>关于编制施工场地治安管理计划的约定：</w:t>
      </w:r>
      <w:r>
        <w:rPr>
          <w:rFonts w:hint="eastAsia" w:ascii="宋体" w:hAnsi="宋体" w:eastAsia="宋体" w:cs="宋体"/>
          <w:sz w:val="21"/>
          <w:szCs w:val="21"/>
          <w:u w:val="single"/>
        </w:rPr>
        <w:t>由承包人在合同生效后3日内提交发包人。</w:t>
      </w:r>
    </w:p>
    <w:p w14:paraId="5F15803C">
      <w:pPr>
        <w:spacing w:line="380" w:lineRule="exact"/>
        <w:ind w:firstLine="420" w:firstLineChars="200"/>
        <w:rPr>
          <w:rFonts w:hAnsi="仿宋"/>
          <w:sz w:val="21"/>
          <w:szCs w:val="21"/>
        </w:rPr>
      </w:pPr>
      <w:r>
        <w:rPr>
          <w:rFonts w:hint="eastAsia" w:hAnsi="仿宋"/>
          <w:sz w:val="21"/>
          <w:szCs w:val="21"/>
        </w:rPr>
        <w:t>6.1.5文明施工</w:t>
      </w:r>
    </w:p>
    <w:p w14:paraId="79FA8D5A">
      <w:pPr>
        <w:spacing w:line="380" w:lineRule="exact"/>
        <w:ind w:firstLine="420" w:firstLineChars="200"/>
        <w:rPr>
          <w:rFonts w:hAnsi="仿宋"/>
          <w:sz w:val="21"/>
          <w:szCs w:val="21"/>
          <w:u w:val="single"/>
        </w:rPr>
      </w:pPr>
      <w:r>
        <w:rPr>
          <w:rFonts w:hint="eastAsia" w:hAnsi="仿宋"/>
          <w:sz w:val="21"/>
          <w:szCs w:val="21"/>
        </w:rPr>
        <w:t>合同当事人对文明施工的要求：</w:t>
      </w:r>
      <w:r>
        <w:rPr>
          <w:rFonts w:hint="eastAsia" w:hAnsi="仿宋"/>
          <w:sz w:val="21"/>
          <w:szCs w:val="21"/>
          <w:u w:val="single"/>
        </w:rPr>
        <w:t>按省、市发有关文明施工管理规定执行</w:t>
      </w:r>
      <w:r>
        <w:rPr>
          <w:rFonts w:hint="eastAsia" w:hAnsi="仿宋"/>
          <w:sz w:val="21"/>
          <w:szCs w:val="21"/>
        </w:rPr>
        <w:t>。</w:t>
      </w:r>
    </w:p>
    <w:p w14:paraId="356F3093">
      <w:pPr>
        <w:spacing w:line="360" w:lineRule="exact"/>
        <w:ind w:firstLine="420" w:firstLineChars="200"/>
        <w:rPr>
          <w:rFonts w:ascii="宋体" w:hAnsi="宋体" w:eastAsia="宋体" w:cs="宋体"/>
          <w:sz w:val="21"/>
          <w:szCs w:val="21"/>
          <w:u w:val="single"/>
        </w:rPr>
      </w:pPr>
      <w:r>
        <w:rPr>
          <w:rFonts w:hint="eastAsia" w:hAnsi="仿宋"/>
          <w:sz w:val="21"/>
          <w:szCs w:val="21"/>
        </w:rPr>
        <w:t>6.1.6关于安全文明施工费支付比例和支付期限的约定：</w:t>
      </w:r>
      <w:r>
        <w:rPr>
          <w:rFonts w:hint="eastAsia" w:ascii="宋体" w:hAnsi="宋体" w:eastAsia="宋体" w:cs="宋体"/>
          <w:sz w:val="21"/>
          <w:szCs w:val="21"/>
          <w:u w:val="single"/>
        </w:rPr>
        <w:t>安全文明施工费预付费用包含在工程预付款内，支付比例为安全文明施工费（不含创标化工地增加费）总额的50% ，金额为（）元，其余与每期工程款一并支付；安全文明施工费的使用按通用条款执行。</w:t>
      </w:r>
    </w:p>
    <w:p w14:paraId="23E7316A">
      <w:pPr>
        <w:spacing w:line="380" w:lineRule="exact"/>
        <w:ind w:firstLine="420" w:firstLineChars="200"/>
        <w:rPr>
          <w:rFonts w:hAnsi="仿宋"/>
          <w:sz w:val="21"/>
          <w:szCs w:val="21"/>
          <w:u w:val="single"/>
        </w:rPr>
      </w:pPr>
      <w:r>
        <w:rPr>
          <w:rFonts w:hint="eastAsia" w:ascii="仿宋_GB2312" w:hAnsi="Times New Roman" w:eastAsia="宋体"/>
          <w:sz w:val="21"/>
          <w:szCs w:val="21"/>
          <w:u w:val="single"/>
        </w:rPr>
        <w:t>安全文明施工费包含在签约合同价内。承包人经发包人同意采取合同以外的安全措施所产生的费用，由发、承包人协商处理；未经发包人同意，发包人可不承担由此增加费用；</w:t>
      </w:r>
    </w:p>
    <w:bookmarkEnd w:id="139"/>
    <w:bookmarkEnd w:id="140"/>
    <w:bookmarkEnd w:id="141"/>
    <w:bookmarkEnd w:id="142"/>
    <w:bookmarkEnd w:id="143"/>
    <w:bookmarkEnd w:id="144"/>
    <w:bookmarkEnd w:id="145"/>
    <w:p w14:paraId="40C7B9DE">
      <w:pPr>
        <w:pStyle w:val="8"/>
        <w:keepNext w:val="0"/>
        <w:keepLines w:val="0"/>
        <w:spacing w:before="0" w:after="0" w:line="380" w:lineRule="exact"/>
        <w:rPr>
          <w:rFonts w:ascii="黑体" w:hAnsi="黑体"/>
          <w:b w:val="0"/>
          <w:sz w:val="21"/>
          <w:szCs w:val="21"/>
        </w:rPr>
      </w:pPr>
      <w:bookmarkStart w:id="147" w:name="_Toc351203639"/>
      <w:r>
        <w:rPr>
          <w:rFonts w:hint="eastAsia" w:ascii="黑体" w:hAnsi="黑体"/>
          <w:b w:val="0"/>
          <w:sz w:val="21"/>
          <w:szCs w:val="21"/>
        </w:rPr>
        <w:t>7．工期和进度</w:t>
      </w:r>
      <w:bookmarkEnd w:id="147"/>
    </w:p>
    <w:p w14:paraId="670B4BF2">
      <w:pPr>
        <w:spacing w:line="380" w:lineRule="exact"/>
        <w:ind w:firstLine="420" w:firstLineChars="200"/>
        <w:rPr>
          <w:rFonts w:hAnsi="仿宋"/>
          <w:sz w:val="21"/>
          <w:szCs w:val="21"/>
        </w:rPr>
      </w:pPr>
      <w:r>
        <w:rPr>
          <w:rFonts w:hint="eastAsia" w:hAnsi="仿宋"/>
          <w:sz w:val="21"/>
          <w:szCs w:val="21"/>
        </w:rPr>
        <w:t>7.1 施工组织设计</w:t>
      </w:r>
    </w:p>
    <w:p w14:paraId="6252D581">
      <w:pPr>
        <w:autoSpaceDE w:val="0"/>
        <w:autoSpaceDN w:val="0"/>
        <w:adjustRightInd w:val="0"/>
        <w:spacing w:line="380" w:lineRule="exact"/>
        <w:ind w:firstLine="420" w:firstLineChars="200"/>
        <w:rPr>
          <w:rFonts w:hAnsi="仿宋"/>
          <w:sz w:val="21"/>
          <w:szCs w:val="21"/>
          <w:u w:val="single"/>
        </w:rPr>
      </w:pPr>
      <w:r>
        <w:rPr>
          <w:rFonts w:hint="eastAsia" w:hAnsi="仿宋"/>
          <w:sz w:val="21"/>
          <w:szCs w:val="21"/>
        </w:rPr>
        <w:t>7.1.1合</w:t>
      </w:r>
      <w:r>
        <w:rPr>
          <w:rFonts w:hint="eastAsia" w:hAnsi="仿宋"/>
          <w:kern w:val="0"/>
          <w:sz w:val="21"/>
          <w:szCs w:val="21"/>
        </w:rPr>
        <w:t>同当事人约定的施工组织设计应包括的其他内容：</w:t>
      </w:r>
      <w:r>
        <w:rPr>
          <w:rFonts w:hint="eastAsia" w:hAnsi="仿宋"/>
          <w:sz w:val="21"/>
          <w:szCs w:val="21"/>
          <w:u w:val="single"/>
        </w:rPr>
        <w:t>对特殊工艺施工、危险性较大分部分项工程施工,应按规定组织专家论证及办理审批手续。</w:t>
      </w:r>
    </w:p>
    <w:p w14:paraId="45EC49A1">
      <w:pPr>
        <w:autoSpaceDE w:val="0"/>
        <w:autoSpaceDN w:val="0"/>
        <w:adjustRightInd w:val="0"/>
        <w:spacing w:line="380" w:lineRule="exact"/>
        <w:ind w:firstLine="420" w:firstLineChars="200"/>
        <w:rPr>
          <w:rFonts w:hAnsi="仿宋" w:eastAsia="宋体"/>
          <w:kern w:val="0"/>
          <w:sz w:val="21"/>
          <w:szCs w:val="21"/>
        </w:rPr>
      </w:pPr>
      <w:r>
        <w:rPr>
          <w:rFonts w:hint="eastAsia" w:hAnsi="仿宋"/>
          <w:sz w:val="21"/>
          <w:szCs w:val="21"/>
          <w:u w:val="single"/>
        </w:rPr>
        <w:t>监理人、发包人对施工组织设计、专项施工方案的批准，仅表示对施工技术方案的认可；如构成工程变更或者涉及工程价款调整的，承包人应在提交的审批表中载明，并同时提交工程造价文件，经监理人、发包人审批后作为结算依据</w:t>
      </w:r>
      <w:r>
        <w:rPr>
          <w:rFonts w:hint="eastAsia" w:hAnsi="仿宋" w:eastAsia="宋体"/>
          <w:sz w:val="21"/>
          <w:szCs w:val="21"/>
          <w:u w:val="single"/>
        </w:rPr>
        <w:t>。</w:t>
      </w:r>
    </w:p>
    <w:p w14:paraId="7E791FEA">
      <w:pPr>
        <w:autoSpaceDE w:val="0"/>
        <w:autoSpaceDN w:val="0"/>
        <w:adjustRightInd w:val="0"/>
        <w:spacing w:line="380" w:lineRule="exact"/>
        <w:ind w:firstLine="420" w:firstLineChars="200"/>
        <w:rPr>
          <w:rFonts w:hAnsi="仿宋"/>
          <w:kern w:val="0"/>
          <w:sz w:val="21"/>
          <w:szCs w:val="21"/>
        </w:rPr>
      </w:pPr>
      <w:r>
        <w:rPr>
          <w:rFonts w:hint="eastAsia" w:hAnsi="仿宋"/>
          <w:sz w:val="21"/>
          <w:szCs w:val="21"/>
        </w:rPr>
        <w:t>7.1.2</w:t>
      </w:r>
      <w:r>
        <w:rPr>
          <w:rFonts w:hint="eastAsia" w:hAnsi="仿宋"/>
          <w:kern w:val="0"/>
          <w:sz w:val="21"/>
          <w:szCs w:val="21"/>
        </w:rPr>
        <w:t>施工组织设计的提交和修改</w:t>
      </w:r>
    </w:p>
    <w:p w14:paraId="1E2EDE2E">
      <w:pPr>
        <w:autoSpaceDE w:val="0"/>
        <w:autoSpaceDN w:val="0"/>
        <w:adjustRightInd w:val="0"/>
        <w:spacing w:line="380" w:lineRule="exact"/>
        <w:ind w:firstLine="420" w:firstLineChars="200"/>
        <w:rPr>
          <w:rFonts w:hAnsi="仿宋"/>
          <w:sz w:val="21"/>
          <w:szCs w:val="21"/>
        </w:rPr>
      </w:pPr>
      <w:r>
        <w:rPr>
          <w:rFonts w:hint="eastAsia" w:hAnsi="仿宋"/>
          <w:kern w:val="0"/>
          <w:sz w:val="21"/>
          <w:szCs w:val="21"/>
        </w:rPr>
        <w:t>承包人提交详细施工组织设计的期限的约定：</w:t>
      </w:r>
      <w:r>
        <w:rPr>
          <w:rFonts w:hint="eastAsia" w:hAnsi="仿宋"/>
          <w:sz w:val="21"/>
          <w:szCs w:val="21"/>
          <w:u w:val="single"/>
        </w:rPr>
        <w:t>接到开工通知（或确定开工日期）后7天内，专项施工方案在相应部位施工前7天。发包人对承包人的施工组织设计（或方案）提出质疑和合理修正时，承包人应7天内修正完成并重新提交；每月20日前向发包方提交下月进度计划和施工方案</w:t>
      </w:r>
      <w:r>
        <w:rPr>
          <w:rFonts w:hint="eastAsia" w:hAnsi="仿宋"/>
          <w:sz w:val="21"/>
          <w:szCs w:val="21"/>
        </w:rPr>
        <w:t>；</w:t>
      </w:r>
    </w:p>
    <w:p w14:paraId="3649FE01">
      <w:pPr>
        <w:spacing w:line="380" w:lineRule="exact"/>
        <w:ind w:firstLine="420" w:firstLineChars="200"/>
        <w:rPr>
          <w:rFonts w:hAnsi="仿宋"/>
          <w:sz w:val="21"/>
          <w:szCs w:val="21"/>
        </w:rPr>
      </w:pPr>
      <w:r>
        <w:rPr>
          <w:rFonts w:hint="eastAsia" w:hAnsi="仿宋"/>
          <w:sz w:val="21"/>
          <w:szCs w:val="21"/>
        </w:rPr>
        <w:t>发包人和监理人在收到详细的施工组织设计后确认或提出修改意见的期限：</w:t>
      </w:r>
      <w:r>
        <w:rPr>
          <w:rFonts w:hint="eastAsia" w:hAnsi="仿宋"/>
          <w:sz w:val="21"/>
          <w:szCs w:val="21"/>
          <w:u w:val="single"/>
        </w:rPr>
        <w:t>收到相应文件后7天内</w:t>
      </w:r>
      <w:r>
        <w:rPr>
          <w:rFonts w:hint="eastAsia" w:hAnsi="仿宋"/>
          <w:sz w:val="21"/>
          <w:szCs w:val="21"/>
        </w:rPr>
        <w:t>。</w:t>
      </w:r>
    </w:p>
    <w:p w14:paraId="37EA7F46">
      <w:pPr>
        <w:spacing w:line="380" w:lineRule="exact"/>
        <w:ind w:firstLine="420" w:firstLineChars="200"/>
        <w:rPr>
          <w:rFonts w:hAnsi="仿宋"/>
          <w:sz w:val="21"/>
          <w:szCs w:val="21"/>
        </w:rPr>
      </w:pPr>
      <w:r>
        <w:rPr>
          <w:rFonts w:hint="eastAsia" w:hAnsi="仿宋"/>
          <w:sz w:val="21"/>
          <w:szCs w:val="21"/>
        </w:rPr>
        <w:t>7</w:t>
      </w:r>
      <w:bookmarkStart w:id="148" w:name="_Toc312678005"/>
      <w:bookmarkStart w:id="149" w:name="_Toc297216173"/>
      <w:bookmarkStart w:id="150" w:name="_Toc304295541"/>
      <w:bookmarkStart w:id="151" w:name="_Toc297123514"/>
      <w:bookmarkStart w:id="152" w:name="_Toc303539123"/>
      <w:bookmarkStart w:id="153" w:name="_Toc300934966"/>
      <w:bookmarkStart w:id="154" w:name="_Toc312677479"/>
      <w:r>
        <w:rPr>
          <w:rFonts w:hint="eastAsia" w:hAnsi="仿宋"/>
          <w:sz w:val="21"/>
          <w:szCs w:val="21"/>
        </w:rPr>
        <w:t>.2 施工进度计划</w:t>
      </w:r>
    </w:p>
    <w:p w14:paraId="14785709">
      <w:pPr>
        <w:spacing w:line="380" w:lineRule="exact"/>
        <w:ind w:firstLine="420" w:firstLineChars="200"/>
        <w:rPr>
          <w:rFonts w:hAnsi="仿宋"/>
          <w:sz w:val="21"/>
          <w:szCs w:val="21"/>
        </w:rPr>
      </w:pPr>
      <w:r>
        <w:rPr>
          <w:rFonts w:hint="eastAsia" w:hAnsi="仿宋"/>
          <w:sz w:val="21"/>
          <w:szCs w:val="21"/>
        </w:rPr>
        <w:t>7.2.2施工进度计划的修订</w:t>
      </w:r>
    </w:p>
    <w:p w14:paraId="1B781238">
      <w:pPr>
        <w:spacing w:line="380" w:lineRule="exact"/>
        <w:ind w:firstLine="420" w:firstLineChars="200"/>
        <w:rPr>
          <w:rFonts w:hAnsi="仿宋"/>
          <w:sz w:val="21"/>
          <w:szCs w:val="21"/>
        </w:rPr>
      </w:pPr>
      <w:r>
        <w:rPr>
          <w:rFonts w:hint="eastAsia" w:hAnsi="仿宋"/>
          <w:sz w:val="21"/>
          <w:szCs w:val="21"/>
        </w:rPr>
        <w:t>发包人和监理人在收到修订的施工进度计划后确认或提出修改意见的期限：</w:t>
      </w:r>
      <w:r>
        <w:rPr>
          <w:rFonts w:hint="eastAsia" w:hAnsi="仿宋"/>
          <w:sz w:val="21"/>
          <w:szCs w:val="21"/>
          <w:u w:val="single"/>
        </w:rPr>
        <w:t>收到相应文件后7天内</w:t>
      </w:r>
      <w:r>
        <w:rPr>
          <w:rFonts w:hint="eastAsia" w:hAnsi="仿宋"/>
          <w:sz w:val="21"/>
          <w:szCs w:val="21"/>
        </w:rPr>
        <w:t>。</w:t>
      </w:r>
    </w:p>
    <w:p w14:paraId="019CDDFC">
      <w:pPr>
        <w:spacing w:line="380" w:lineRule="exact"/>
        <w:ind w:firstLine="420" w:firstLineChars="200"/>
        <w:rPr>
          <w:rFonts w:hAnsi="仿宋"/>
          <w:sz w:val="21"/>
          <w:szCs w:val="21"/>
        </w:rPr>
      </w:pPr>
      <w:r>
        <w:rPr>
          <w:rFonts w:hint="eastAsia" w:hAnsi="仿宋"/>
          <w:sz w:val="21"/>
          <w:szCs w:val="21"/>
        </w:rPr>
        <w:t>7.3 开工</w:t>
      </w:r>
    </w:p>
    <w:p w14:paraId="63B4BD54">
      <w:pPr>
        <w:spacing w:line="380" w:lineRule="exact"/>
        <w:ind w:firstLine="420" w:firstLineChars="200"/>
        <w:rPr>
          <w:rFonts w:hAnsi="仿宋"/>
          <w:sz w:val="21"/>
          <w:szCs w:val="21"/>
        </w:rPr>
      </w:pPr>
      <w:r>
        <w:rPr>
          <w:rFonts w:hint="eastAsia" w:hAnsi="仿宋"/>
          <w:sz w:val="21"/>
          <w:szCs w:val="21"/>
        </w:rPr>
        <w:t>7.3.1开工准备</w:t>
      </w:r>
    </w:p>
    <w:p w14:paraId="12EA321C">
      <w:pPr>
        <w:spacing w:line="380" w:lineRule="exact"/>
        <w:ind w:firstLine="420" w:firstLineChars="200"/>
        <w:rPr>
          <w:rFonts w:hAnsi="仿宋"/>
          <w:sz w:val="21"/>
          <w:szCs w:val="21"/>
          <w:u w:val="single"/>
        </w:rPr>
      </w:pPr>
      <w:r>
        <w:rPr>
          <w:rFonts w:hint="eastAsia" w:hAnsi="仿宋"/>
          <w:sz w:val="21"/>
          <w:szCs w:val="21"/>
        </w:rPr>
        <w:t>关于承包人提交</w:t>
      </w:r>
      <w:r>
        <w:rPr>
          <w:rFonts w:hint="eastAsia" w:hAnsi="仿宋"/>
          <w:kern w:val="0"/>
          <w:sz w:val="21"/>
          <w:szCs w:val="21"/>
        </w:rPr>
        <w:t>工程开工报审表的期限：</w:t>
      </w:r>
      <w:r>
        <w:rPr>
          <w:rFonts w:hint="eastAsia" w:hAnsi="仿宋"/>
          <w:sz w:val="21"/>
          <w:szCs w:val="21"/>
          <w:u w:val="single"/>
        </w:rPr>
        <w:t>接到开工通知（或确定开工日期）后7天内</w:t>
      </w:r>
      <w:r>
        <w:rPr>
          <w:rFonts w:hint="eastAsia" w:hAnsi="仿宋"/>
          <w:sz w:val="21"/>
          <w:szCs w:val="21"/>
        </w:rPr>
        <w:t>。</w:t>
      </w:r>
    </w:p>
    <w:p w14:paraId="2292AEE4">
      <w:pPr>
        <w:spacing w:line="380" w:lineRule="exact"/>
        <w:ind w:firstLine="420" w:firstLineChars="200"/>
        <w:rPr>
          <w:rFonts w:hAnsi="仿宋"/>
          <w:sz w:val="21"/>
          <w:szCs w:val="21"/>
        </w:rPr>
      </w:pPr>
      <w:r>
        <w:rPr>
          <w:rFonts w:hint="eastAsia" w:hAnsi="仿宋"/>
          <w:sz w:val="21"/>
          <w:szCs w:val="21"/>
        </w:rPr>
        <w:t>关于发包人应完成的其他开工准备工作及期限：</w:t>
      </w:r>
      <w:r>
        <w:rPr>
          <w:rFonts w:hint="eastAsia" w:hAnsi="仿宋"/>
          <w:sz w:val="21"/>
          <w:szCs w:val="21"/>
          <w:u w:val="single"/>
        </w:rPr>
        <w:t>开工前7天</w:t>
      </w:r>
      <w:r>
        <w:rPr>
          <w:rFonts w:hint="eastAsia" w:hAnsi="仿宋"/>
          <w:sz w:val="21"/>
          <w:szCs w:val="21"/>
        </w:rPr>
        <w:t>。</w:t>
      </w:r>
    </w:p>
    <w:p w14:paraId="77B2AF7E">
      <w:pPr>
        <w:spacing w:line="380" w:lineRule="exact"/>
        <w:ind w:firstLine="420" w:firstLineChars="200"/>
        <w:rPr>
          <w:rFonts w:hAnsi="仿宋"/>
          <w:sz w:val="21"/>
          <w:szCs w:val="21"/>
        </w:rPr>
      </w:pPr>
      <w:r>
        <w:rPr>
          <w:rFonts w:hint="eastAsia" w:hAnsi="仿宋"/>
          <w:sz w:val="21"/>
          <w:szCs w:val="21"/>
        </w:rPr>
        <w:t>关于承包人应完成的其他开工准备工作及期限：</w:t>
      </w:r>
      <w:r>
        <w:rPr>
          <w:rFonts w:hint="eastAsia" w:hAnsi="仿宋"/>
          <w:sz w:val="21"/>
          <w:szCs w:val="21"/>
          <w:u w:val="single"/>
        </w:rPr>
        <w:t>开工前。</w:t>
      </w:r>
    </w:p>
    <w:p w14:paraId="155D4E1D">
      <w:pPr>
        <w:spacing w:line="380" w:lineRule="exact"/>
        <w:ind w:firstLine="420" w:firstLineChars="200"/>
        <w:rPr>
          <w:rFonts w:hAnsi="仿宋"/>
          <w:sz w:val="21"/>
          <w:szCs w:val="21"/>
        </w:rPr>
      </w:pPr>
      <w:r>
        <w:rPr>
          <w:rFonts w:hint="eastAsia" w:hAnsi="仿宋"/>
          <w:sz w:val="21"/>
          <w:szCs w:val="21"/>
        </w:rPr>
        <w:t>7.3.2开工通知</w:t>
      </w:r>
    </w:p>
    <w:p w14:paraId="62792C63">
      <w:pPr>
        <w:spacing w:line="380" w:lineRule="exact"/>
        <w:ind w:firstLine="420" w:firstLineChars="200"/>
        <w:rPr>
          <w:rFonts w:hAnsi="仿宋"/>
          <w:sz w:val="21"/>
          <w:szCs w:val="21"/>
        </w:rPr>
      </w:pPr>
      <w:r>
        <w:rPr>
          <w:rFonts w:hint="eastAsia" w:hAnsi="仿宋"/>
          <w:sz w:val="21"/>
          <w:szCs w:val="21"/>
        </w:rPr>
        <w:t>发包人（或监理人）在计划开工日期前7天向承包人发出开工通知，工期自开工通知中载明的开工日期起算。</w:t>
      </w:r>
    </w:p>
    <w:p w14:paraId="3E0011AF">
      <w:pPr>
        <w:spacing w:line="380" w:lineRule="exact"/>
        <w:ind w:firstLine="420" w:firstLineChars="200"/>
        <w:rPr>
          <w:rFonts w:hAnsi="仿宋"/>
          <w:sz w:val="21"/>
          <w:szCs w:val="21"/>
          <w:u w:val="single"/>
        </w:rPr>
      </w:pPr>
      <w:r>
        <w:rPr>
          <w:rFonts w:hint="eastAsia" w:hAnsi="仿宋"/>
          <w:sz w:val="21"/>
          <w:szCs w:val="21"/>
          <w:u w:val="single"/>
        </w:rPr>
        <w:t>因发包人原因造成监理人未能在计划开工日期之日起90天内发出开工通知的，承包人有权提出价格调整要求，或者解除合同。发包人应当承担由此增加的费用或赔偿承包人的损失。</w:t>
      </w:r>
    </w:p>
    <w:bookmarkEnd w:id="148"/>
    <w:bookmarkEnd w:id="149"/>
    <w:bookmarkEnd w:id="150"/>
    <w:bookmarkEnd w:id="151"/>
    <w:bookmarkEnd w:id="152"/>
    <w:bookmarkEnd w:id="153"/>
    <w:bookmarkEnd w:id="154"/>
    <w:p w14:paraId="51C0A373">
      <w:pPr>
        <w:spacing w:line="380" w:lineRule="exact"/>
        <w:ind w:firstLine="420" w:firstLineChars="200"/>
        <w:rPr>
          <w:rFonts w:hAnsi="仿宋"/>
          <w:sz w:val="21"/>
          <w:szCs w:val="21"/>
        </w:rPr>
      </w:pPr>
      <w:r>
        <w:rPr>
          <w:rFonts w:hint="eastAsia" w:hAnsi="仿宋"/>
          <w:sz w:val="21"/>
          <w:szCs w:val="21"/>
        </w:rPr>
        <w:t>7.4 测量放线</w:t>
      </w:r>
    </w:p>
    <w:p w14:paraId="39683328">
      <w:pPr>
        <w:spacing w:line="380" w:lineRule="exact"/>
        <w:ind w:firstLine="420" w:firstLineChars="200"/>
        <w:rPr>
          <w:rFonts w:hAnsi="仿宋"/>
          <w:sz w:val="21"/>
          <w:szCs w:val="21"/>
          <w:u w:val="single"/>
        </w:rPr>
      </w:pPr>
      <w:r>
        <w:rPr>
          <w:rFonts w:hint="eastAsia" w:hAnsi="仿宋"/>
          <w:sz w:val="21"/>
          <w:szCs w:val="21"/>
        </w:rPr>
        <w:t>7.4.1发包人通过监理人向承包人提供测量基准点、基准线和水准点及其书面资料的期限：</w:t>
      </w:r>
      <w:r>
        <w:rPr>
          <w:rFonts w:hint="eastAsia" w:hAnsi="仿宋"/>
          <w:sz w:val="21"/>
          <w:szCs w:val="21"/>
          <w:u w:val="single"/>
        </w:rPr>
        <w:t>按通用合同条款执行</w:t>
      </w:r>
      <w:r>
        <w:rPr>
          <w:rFonts w:hint="eastAsia" w:hAnsi="仿宋"/>
          <w:sz w:val="21"/>
          <w:szCs w:val="21"/>
        </w:rPr>
        <w:t>。</w:t>
      </w:r>
    </w:p>
    <w:p w14:paraId="41BE8E86">
      <w:pPr>
        <w:spacing w:line="380" w:lineRule="exact"/>
        <w:ind w:firstLine="420" w:firstLineChars="200"/>
        <w:rPr>
          <w:rFonts w:hAnsi="仿宋"/>
          <w:sz w:val="21"/>
          <w:szCs w:val="21"/>
        </w:rPr>
      </w:pPr>
      <w:r>
        <w:rPr>
          <w:rFonts w:hint="eastAsia" w:hAnsi="仿宋"/>
          <w:sz w:val="21"/>
          <w:szCs w:val="21"/>
        </w:rPr>
        <w:t>7</w:t>
      </w:r>
      <w:bookmarkStart w:id="155" w:name="_Toc312678010"/>
      <w:bookmarkStart w:id="156" w:name="_Toc312677484"/>
      <w:bookmarkStart w:id="157" w:name="_Toc304295546"/>
      <w:bookmarkStart w:id="158" w:name="_Toc297216175"/>
      <w:bookmarkStart w:id="159" w:name="_Toc297123516"/>
      <w:bookmarkStart w:id="160" w:name="_Toc300934968"/>
      <w:bookmarkStart w:id="161" w:name="_Toc303539125"/>
      <w:r>
        <w:rPr>
          <w:rFonts w:hint="eastAsia" w:hAnsi="仿宋"/>
          <w:sz w:val="21"/>
          <w:szCs w:val="21"/>
        </w:rPr>
        <w:t>.5 工期延误</w:t>
      </w:r>
    </w:p>
    <w:bookmarkEnd w:id="155"/>
    <w:bookmarkEnd w:id="156"/>
    <w:bookmarkEnd w:id="157"/>
    <w:bookmarkEnd w:id="158"/>
    <w:bookmarkEnd w:id="159"/>
    <w:bookmarkEnd w:id="160"/>
    <w:bookmarkEnd w:id="161"/>
    <w:p w14:paraId="36A9671D">
      <w:pPr>
        <w:spacing w:line="380" w:lineRule="exact"/>
        <w:ind w:firstLine="420" w:firstLineChars="200"/>
        <w:rPr>
          <w:rFonts w:hAnsi="仿宋"/>
          <w:sz w:val="21"/>
          <w:szCs w:val="21"/>
        </w:rPr>
      </w:pPr>
      <w:r>
        <w:rPr>
          <w:rFonts w:hint="eastAsia" w:hAnsi="仿宋"/>
          <w:sz w:val="21"/>
          <w:szCs w:val="21"/>
        </w:rPr>
        <w:t>7.5.1因发包人原因导致工期延误</w:t>
      </w:r>
    </w:p>
    <w:p w14:paraId="239E86F5">
      <w:pPr>
        <w:spacing w:line="380" w:lineRule="exact"/>
        <w:ind w:firstLine="315" w:firstLineChars="150"/>
        <w:rPr>
          <w:rFonts w:hAnsi="仿宋"/>
          <w:sz w:val="21"/>
          <w:szCs w:val="21"/>
          <w:u w:val="single"/>
        </w:rPr>
      </w:pPr>
      <w:r>
        <w:rPr>
          <w:rFonts w:hint="eastAsia" w:hAnsi="仿宋"/>
          <w:sz w:val="21"/>
          <w:szCs w:val="21"/>
        </w:rPr>
        <w:t>（7）因发包人原因导致工期延误的其他情形：。</w:t>
      </w:r>
    </w:p>
    <w:p w14:paraId="71B7C047">
      <w:pPr>
        <w:spacing w:line="380" w:lineRule="exact"/>
        <w:ind w:firstLine="420" w:firstLineChars="200"/>
        <w:rPr>
          <w:rFonts w:hAnsi="仿宋"/>
          <w:sz w:val="21"/>
          <w:szCs w:val="21"/>
        </w:rPr>
      </w:pPr>
      <w:r>
        <w:rPr>
          <w:rFonts w:hint="eastAsia" w:hAnsi="仿宋"/>
          <w:sz w:val="21"/>
          <w:szCs w:val="21"/>
        </w:rPr>
        <w:t>7</w:t>
      </w:r>
      <w:bookmarkStart w:id="162" w:name="_Toc312678012"/>
      <w:bookmarkStart w:id="163" w:name="_Toc318581169"/>
      <w:bookmarkStart w:id="164" w:name="_Toc312677486"/>
      <w:bookmarkStart w:id="165" w:name="_Toc297216177"/>
      <w:bookmarkStart w:id="166" w:name="_Toc297123518"/>
      <w:bookmarkStart w:id="167" w:name="_Toc304295548"/>
      <w:bookmarkStart w:id="168" w:name="_Toc300934970"/>
      <w:bookmarkStart w:id="169" w:name="_Toc303539127"/>
      <w:r>
        <w:rPr>
          <w:rFonts w:hint="eastAsia" w:hAnsi="仿宋"/>
          <w:sz w:val="21"/>
          <w:szCs w:val="21"/>
        </w:rPr>
        <w:t>.5.2因承包人原因导致工期延误</w:t>
      </w:r>
    </w:p>
    <w:bookmarkEnd w:id="162"/>
    <w:bookmarkEnd w:id="163"/>
    <w:bookmarkEnd w:id="164"/>
    <w:p w14:paraId="6A7E9C86">
      <w:pPr>
        <w:spacing w:line="380" w:lineRule="exact"/>
        <w:ind w:firstLine="420" w:firstLineChars="200"/>
        <w:rPr>
          <w:rFonts w:hAnsi="仿宋"/>
          <w:sz w:val="21"/>
          <w:szCs w:val="21"/>
          <w:u w:val="single"/>
        </w:rPr>
      </w:pPr>
      <w:r>
        <w:rPr>
          <w:rFonts w:hint="eastAsia" w:hAnsi="仿宋"/>
          <w:sz w:val="21"/>
          <w:szCs w:val="21"/>
        </w:rPr>
        <w:t>因</w:t>
      </w:r>
      <w:bookmarkStart w:id="170" w:name="_Toc312677487"/>
      <w:bookmarkStart w:id="171" w:name="_Toc312678013"/>
      <w:bookmarkStart w:id="172" w:name="_Toc318581170"/>
      <w:r>
        <w:rPr>
          <w:rFonts w:hint="eastAsia" w:hAnsi="仿宋"/>
          <w:sz w:val="21"/>
          <w:szCs w:val="21"/>
        </w:rPr>
        <w:t>承包人原因造成工期延误，逾期竣工违约金的计算方法为：</w:t>
      </w:r>
      <w:r>
        <w:rPr>
          <w:rFonts w:hint="eastAsia" w:hAnsi="仿宋"/>
          <w:sz w:val="21"/>
          <w:szCs w:val="21"/>
          <w:u w:val="single"/>
        </w:rPr>
        <w:t>每天（</w:t>
      </w:r>
      <w:r>
        <w:rPr>
          <w:rFonts w:hint="eastAsia" w:hAnsi="仿宋" w:eastAsia="宋体"/>
          <w:sz w:val="21"/>
          <w:szCs w:val="21"/>
          <w:u w:val="single"/>
        </w:rPr>
        <w:t>1000</w:t>
      </w:r>
      <w:r>
        <w:rPr>
          <w:rFonts w:hint="eastAsia" w:hAnsi="仿宋"/>
          <w:sz w:val="21"/>
          <w:szCs w:val="21"/>
          <w:u w:val="single"/>
        </w:rPr>
        <w:t>）元</w:t>
      </w:r>
      <w:bookmarkEnd w:id="165"/>
      <w:bookmarkEnd w:id="166"/>
      <w:bookmarkEnd w:id="167"/>
      <w:bookmarkEnd w:id="168"/>
      <w:bookmarkEnd w:id="169"/>
      <w:bookmarkEnd w:id="170"/>
      <w:bookmarkEnd w:id="171"/>
      <w:r>
        <w:rPr>
          <w:rFonts w:hint="eastAsia" w:hAnsi="仿宋"/>
          <w:sz w:val="21"/>
          <w:szCs w:val="21"/>
        </w:rPr>
        <w:t>。</w:t>
      </w:r>
    </w:p>
    <w:bookmarkEnd w:id="172"/>
    <w:p w14:paraId="77D32DB8">
      <w:pPr>
        <w:spacing w:line="380" w:lineRule="exact"/>
        <w:ind w:firstLine="420" w:firstLineChars="200"/>
        <w:rPr>
          <w:rFonts w:hAnsi="仿宋"/>
          <w:sz w:val="21"/>
          <w:szCs w:val="21"/>
        </w:rPr>
      </w:pPr>
      <w:r>
        <w:rPr>
          <w:rFonts w:hint="eastAsia" w:hAnsi="仿宋"/>
          <w:sz w:val="21"/>
          <w:szCs w:val="21"/>
        </w:rPr>
        <w:t>因承包人原因造成工期延误，逾</w:t>
      </w:r>
      <w:bookmarkStart w:id="173" w:name="_Toc318581171"/>
      <w:bookmarkStart w:id="174" w:name="_Toc312678014"/>
      <w:r>
        <w:rPr>
          <w:rFonts w:hint="eastAsia" w:hAnsi="仿宋"/>
          <w:sz w:val="21"/>
          <w:szCs w:val="21"/>
        </w:rPr>
        <w:t>期竣工违约金的上限：</w:t>
      </w:r>
      <w:r>
        <w:rPr>
          <w:rFonts w:hint="eastAsia" w:hAnsi="仿宋"/>
          <w:sz w:val="21"/>
          <w:szCs w:val="21"/>
          <w:u w:val="single"/>
        </w:rPr>
        <w:t>对发包人造成损失超过违约金的，除承担违约金外同时赔偿发包人损失</w:t>
      </w:r>
      <w:r>
        <w:rPr>
          <w:rFonts w:hint="eastAsia" w:hAnsi="仿宋"/>
          <w:sz w:val="21"/>
          <w:szCs w:val="21"/>
        </w:rPr>
        <w:t>。</w:t>
      </w:r>
    </w:p>
    <w:bookmarkEnd w:id="173"/>
    <w:bookmarkEnd w:id="174"/>
    <w:p w14:paraId="37F8C3C1">
      <w:pPr>
        <w:spacing w:line="380" w:lineRule="exact"/>
        <w:ind w:firstLine="420" w:firstLineChars="200"/>
        <w:rPr>
          <w:rFonts w:hAnsi="仿宋"/>
          <w:sz w:val="21"/>
          <w:szCs w:val="21"/>
        </w:rPr>
      </w:pPr>
      <w:r>
        <w:rPr>
          <w:rFonts w:hint="eastAsia" w:hAnsi="仿宋"/>
          <w:sz w:val="21"/>
          <w:szCs w:val="21"/>
        </w:rPr>
        <w:t>7</w:t>
      </w:r>
      <w:bookmarkStart w:id="175" w:name="_Toc303539128"/>
      <w:bookmarkStart w:id="176" w:name="_Toc312678015"/>
      <w:bookmarkStart w:id="177" w:name="_Toc297123519"/>
      <w:bookmarkStart w:id="178" w:name="_Toc304295549"/>
      <w:bookmarkStart w:id="179" w:name="_Toc300934971"/>
      <w:bookmarkStart w:id="180" w:name="_Toc297216178"/>
      <w:r>
        <w:rPr>
          <w:rFonts w:hint="eastAsia" w:hAnsi="仿宋"/>
          <w:sz w:val="21"/>
          <w:szCs w:val="21"/>
        </w:rPr>
        <w:t>.6 不</w:t>
      </w:r>
      <w:bookmarkEnd w:id="175"/>
      <w:bookmarkEnd w:id="176"/>
      <w:bookmarkEnd w:id="177"/>
      <w:bookmarkEnd w:id="178"/>
      <w:bookmarkEnd w:id="179"/>
      <w:bookmarkEnd w:id="180"/>
      <w:r>
        <w:rPr>
          <w:rFonts w:hint="eastAsia" w:hAnsi="仿宋"/>
          <w:sz w:val="21"/>
          <w:szCs w:val="21"/>
        </w:rPr>
        <w:t>利物质条件</w:t>
      </w:r>
    </w:p>
    <w:p w14:paraId="402D21B9">
      <w:pPr>
        <w:spacing w:line="380" w:lineRule="exact"/>
        <w:ind w:firstLine="420" w:firstLineChars="200"/>
        <w:rPr>
          <w:rFonts w:hAnsi="仿宋"/>
          <w:sz w:val="21"/>
          <w:szCs w:val="21"/>
        </w:rPr>
      </w:pPr>
      <w:bookmarkStart w:id="181" w:name="_Toc297216179"/>
      <w:bookmarkStart w:id="182" w:name="_Toc300934972"/>
      <w:bookmarkStart w:id="183" w:name="_Toc312678016"/>
      <w:bookmarkStart w:id="184" w:name="_Toc318581172"/>
      <w:bookmarkStart w:id="185" w:name="_Toc304295550"/>
      <w:bookmarkStart w:id="186" w:name="_Toc297123520"/>
      <w:bookmarkStart w:id="187" w:name="_Toc303539129"/>
      <w:r>
        <w:rPr>
          <w:rFonts w:hint="eastAsia" w:hAnsi="仿宋"/>
          <w:sz w:val="21"/>
          <w:szCs w:val="21"/>
        </w:rPr>
        <w:t>不利物质条件的其他情形和有关约定：</w:t>
      </w:r>
    </w:p>
    <w:p w14:paraId="0D972F73">
      <w:pPr>
        <w:spacing w:line="380" w:lineRule="exact"/>
        <w:ind w:firstLine="420" w:firstLineChars="200"/>
        <w:rPr>
          <w:rFonts w:hAnsi="仿宋"/>
          <w:sz w:val="21"/>
          <w:szCs w:val="21"/>
        </w:rPr>
      </w:pPr>
      <w:r>
        <w:rPr>
          <w:rFonts w:hint="eastAsia" w:hAnsi="仿宋"/>
          <w:sz w:val="21"/>
          <w:szCs w:val="21"/>
        </w:rPr>
        <w:t>（1）</w:t>
      </w:r>
      <w:r>
        <w:rPr>
          <w:rFonts w:hint="eastAsia" w:hAnsi="仿宋"/>
          <w:sz w:val="21"/>
          <w:szCs w:val="21"/>
          <w:u w:val="single"/>
        </w:rPr>
        <w:t>每天连续停水、停电超过8小时以上。</w:t>
      </w:r>
    </w:p>
    <w:p w14:paraId="7733515F">
      <w:pPr>
        <w:spacing w:line="380" w:lineRule="exact"/>
        <w:ind w:firstLine="420" w:firstLineChars="200"/>
        <w:rPr>
          <w:rFonts w:hAnsi="仿宋"/>
          <w:sz w:val="21"/>
          <w:szCs w:val="21"/>
          <w:u w:val="single"/>
        </w:rPr>
      </w:pPr>
      <w:r>
        <w:rPr>
          <w:rFonts w:hint="eastAsia" w:hAnsi="仿宋"/>
          <w:sz w:val="21"/>
          <w:szCs w:val="21"/>
        </w:rPr>
        <w:t>（2）</w:t>
      </w:r>
      <w:r>
        <w:rPr>
          <w:rFonts w:hint="eastAsia" w:hAnsi="仿宋"/>
          <w:sz w:val="21"/>
          <w:szCs w:val="21"/>
          <w:u w:val="single"/>
        </w:rPr>
        <w:t>因政府行政命令（因承包人原因的除外）。</w:t>
      </w:r>
    </w:p>
    <w:p w14:paraId="1AB4543A">
      <w:pPr>
        <w:spacing w:line="380" w:lineRule="exact"/>
        <w:ind w:firstLine="420" w:firstLineChars="200"/>
        <w:rPr>
          <w:rFonts w:hAnsi="仿宋"/>
          <w:sz w:val="21"/>
          <w:szCs w:val="21"/>
          <w:u w:val="single"/>
        </w:rPr>
      </w:pPr>
      <w:r>
        <w:rPr>
          <w:rFonts w:hint="eastAsia" w:hAnsi="仿宋"/>
          <w:sz w:val="21"/>
          <w:szCs w:val="21"/>
        </w:rPr>
        <w:t>（3）</w:t>
      </w:r>
      <w:r>
        <w:rPr>
          <w:rFonts w:hint="eastAsia" w:hAnsi="仿宋"/>
          <w:sz w:val="21"/>
          <w:szCs w:val="21"/>
          <w:u w:val="single"/>
        </w:rPr>
        <w:t>非因双方原因而无法控制的爆炸、火灾等事件。</w:t>
      </w:r>
    </w:p>
    <w:p w14:paraId="40E292BD">
      <w:pPr>
        <w:spacing w:line="380" w:lineRule="exact"/>
        <w:ind w:firstLine="420" w:firstLineChars="200"/>
        <w:rPr>
          <w:rFonts w:hAnsi="仿宋"/>
          <w:sz w:val="21"/>
          <w:szCs w:val="21"/>
          <w:u w:val="single"/>
        </w:rPr>
      </w:pPr>
      <w:r>
        <w:rPr>
          <w:rFonts w:hint="eastAsia" w:hAnsi="仿宋"/>
          <w:sz w:val="21"/>
          <w:szCs w:val="21"/>
        </w:rPr>
        <w:t>（4）</w:t>
      </w:r>
      <w:r>
        <w:rPr>
          <w:rFonts w:hint="eastAsia" w:hAnsi="仿宋"/>
          <w:sz w:val="21"/>
          <w:szCs w:val="21"/>
          <w:u w:val="single"/>
        </w:rPr>
        <w:t>施工场地周围地下管线保护，地下障碍物和污染物排除，邻近建筑物、构筑物的保护要求。</w:t>
      </w:r>
    </w:p>
    <w:p w14:paraId="53AB70F0">
      <w:pPr>
        <w:spacing w:line="380" w:lineRule="exact"/>
        <w:ind w:firstLine="420" w:firstLineChars="200"/>
        <w:rPr>
          <w:rFonts w:hAnsi="仿宋"/>
          <w:sz w:val="21"/>
          <w:szCs w:val="21"/>
          <w:u w:val="single"/>
        </w:rPr>
      </w:pPr>
      <w:r>
        <w:rPr>
          <w:rFonts w:hint="eastAsia" w:hAnsi="仿宋"/>
          <w:sz w:val="21"/>
          <w:szCs w:val="21"/>
        </w:rPr>
        <w:t>（5）</w:t>
      </w:r>
      <w:r>
        <w:rPr>
          <w:rFonts w:hint="eastAsia" w:hAnsi="仿宋"/>
          <w:sz w:val="21"/>
          <w:szCs w:val="21"/>
          <w:u w:val="single"/>
        </w:rPr>
        <w:t>地质勘探资料未涉及的地下管道、暗沟、岩层等。</w:t>
      </w:r>
    </w:p>
    <w:p w14:paraId="7CE38305">
      <w:pPr>
        <w:spacing w:line="380" w:lineRule="exact"/>
        <w:ind w:firstLine="420" w:firstLineChars="200"/>
        <w:rPr>
          <w:rFonts w:hAnsi="仿宋"/>
          <w:sz w:val="21"/>
          <w:szCs w:val="21"/>
        </w:rPr>
      </w:pPr>
      <w:r>
        <w:rPr>
          <w:rFonts w:hint="eastAsia" w:hAnsi="仿宋"/>
          <w:sz w:val="21"/>
          <w:szCs w:val="21"/>
          <w:u w:val="single"/>
        </w:rPr>
        <w:t>承包人为克服不利物质条件，所采取合理措施而增加的费用和延误的工期由发包人承担；承包人虽然采取了合理的措施，但不利物质条件发生后，仍导致了工程现场损失，则参照通用合同条款17.3条处理。</w:t>
      </w:r>
    </w:p>
    <w:bookmarkEnd w:id="181"/>
    <w:bookmarkEnd w:id="182"/>
    <w:bookmarkEnd w:id="183"/>
    <w:bookmarkEnd w:id="184"/>
    <w:bookmarkEnd w:id="185"/>
    <w:bookmarkEnd w:id="186"/>
    <w:bookmarkEnd w:id="187"/>
    <w:p w14:paraId="5A89B82F">
      <w:pPr>
        <w:spacing w:line="380" w:lineRule="exact"/>
        <w:ind w:firstLine="420" w:firstLineChars="200"/>
        <w:rPr>
          <w:rFonts w:hAnsi="仿宋"/>
          <w:sz w:val="21"/>
          <w:szCs w:val="21"/>
        </w:rPr>
      </w:pPr>
      <w:r>
        <w:rPr>
          <w:rFonts w:hint="eastAsia" w:hAnsi="仿宋"/>
          <w:sz w:val="21"/>
          <w:szCs w:val="21"/>
        </w:rPr>
        <w:t>7</w:t>
      </w:r>
      <w:bookmarkStart w:id="188" w:name="_Toc304295551"/>
      <w:bookmarkStart w:id="189" w:name="_Toc312678017"/>
      <w:bookmarkStart w:id="190" w:name="_Toc297216180"/>
      <w:bookmarkStart w:id="191" w:name="_Toc303539130"/>
      <w:bookmarkStart w:id="192" w:name="_Toc300934973"/>
      <w:bookmarkStart w:id="193" w:name="_Toc297123521"/>
      <w:r>
        <w:rPr>
          <w:rFonts w:hint="eastAsia" w:hAnsi="仿宋"/>
          <w:sz w:val="21"/>
          <w:szCs w:val="21"/>
        </w:rPr>
        <w:t>.7异常恶劣的气候条件</w:t>
      </w:r>
    </w:p>
    <w:bookmarkEnd w:id="188"/>
    <w:bookmarkEnd w:id="189"/>
    <w:bookmarkEnd w:id="190"/>
    <w:bookmarkEnd w:id="191"/>
    <w:bookmarkEnd w:id="192"/>
    <w:bookmarkEnd w:id="193"/>
    <w:p w14:paraId="4A460027">
      <w:pPr>
        <w:spacing w:line="380" w:lineRule="exact"/>
        <w:ind w:firstLine="420" w:firstLineChars="200"/>
        <w:rPr>
          <w:rFonts w:hAnsi="仿宋"/>
          <w:sz w:val="21"/>
          <w:szCs w:val="21"/>
        </w:rPr>
      </w:pPr>
      <w:r>
        <w:rPr>
          <w:rFonts w:hint="eastAsia" w:hAnsi="仿宋"/>
          <w:sz w:val="21"/>
          <w:szCs w:val="21"/>
        </w:rPr>
        <w:t>发包人和承包人同意以下情形视为异常恶劣的气候条件：</w:t>
      </w:r>
    </w:p>
    <w:p w14:paraId="7CCF3F06">
      <w:pPr>
        <w:spacing w:line="380" w:lineRule="exact"/>
        <w:ind w:firstLine="420" w:firstLineChars="200"/>
        <w:rPr>
          <w:rFonts w:hAnsi="仿宋"/>
          <w:sz w:val="21"/>
          <w:szCs w:val="21"/>
          <w:u w:val="single"/>
        </w:rPr>
      </w:pPr>
      <w:r>
        <w:rPr>
          <w:rFonts w:hint="eastAsia" w:hAnsi="仿宋"/>
          <w:sz w:val="21"/>
          <w:szCs w:val="21"/>
        </w:rPr>
        <w:t>（1）</w:t>
      </w:r>
      <w:r>
        <w:rPr>
          <w:rFonts w:hint="eastAsia" w:hAnsi="仿宋"/>
          <w:sz w:val="21"/>
          <w:szCs w:val="21"/>
          <w:u w:val="single"/>
        </w:rPr>
        <w:t>8-10级（含10级）持续24小时的大风（台风）</w:t>
      </w:r>
      <w:r>
        <w:rPr>
          <w:rFonts w:hint="eastAsia" w:hAnsi="仿宋"/>
          <w:sz w:val="21"/>
          <w:szCs w:val="21"/>
        </w:rPr>
        <w:t>；</w:t>
      </w:r>
    </w:p>
    <w:p w14:paraId="41628C41">
      <w:pPr>
        <w:spacing w:line="380" w:lineRule="exact"/>
        <w:ind w:firstLine="420" w:firstLineChars="200"/>
        <w:rPr>
          <w:rFonts w:hAnsi="仿宋"/>
          <w:sz w:val="21"/>
          <w:szCs w:val="21"/>
        </w:rPr>
      </w:pPr>
      <w:r>
        <w:rPr>
          <w:rFonts w:hint="eastAsia" w:hAnsi="仿宋"/>
          <w:sz w:val="21"/>
          <w:szCs w:val="21"/>
        </w:rPr>
        <w:t>（2）</w:t>
      </w:r>
      <w:r>
        <w:rPr>
          <w:rFonts w:hint="eastAsia" w:hAnsi="仿宋"/>
          <w:sz w:val="21"/>
          <w:szCs w:val="21"/>
          <w:u w:val="single"/>
        </w:rPr>
        <w:t>24小时内持续降雨且降水量为200mm以上</w:t>
      </w:r>
      <w:r>
        <w:rPr>
          <w:rFonts w:hint="eastAsia" w:hAnsi="仿宋"/>
          <w:sz w:val="21"/>
          <w:szCs w:val="21"/>
        </w:rPr>
        <w:t>；</w:t>
      </w:r>
    </w:p>
    <w:p w14:paraId="7F362FF7">
      <w:pPr>
        <w:spacing w:line="380" w:lineRule="exact"/>
        <w:ind w:firstLine="420" w:firstLineChars="200"/>
        <w:rPr>
          <w:rFonts w:hAnsi="仿宋"/>
          <w:sz w:val="21"/>
          <w:szCs w:val="21"/>
        </w:rPr>
      </w:pPr>
      <w:r>
        <w:rPr>
          <w:rFonts w:hint="eastAsia" w:hAnsi="仿宋"/>
          <w:sz w:val="21"/>
          <w:szCs w:val="21"/>
        </w:rPr>
        <w:t>（3）</w:t>
      </w:r>
      <w:r>
        <w:rPr>
          <w:rFonts w:hint="eastAsia" w:hAnsi="仿宋"/>
          <w:sz w:val="21"/>
          <w:szCs w:val="21"/>
          <w:u w:val="single"/>
        </w:rPr>
        <w:t>40摄氏度及以上且持续2天以上的高温天气</w:t>
      </w:r>
      <w:r>
        <w:rPr>
          <w:rFonts w:hint="eastAsia" w:hAnsi="仿宋"/>
          <w:sz w:val="21"/>
          <w:szCs w:val="21"/>
        </w:rPr>
        <w:t>。</w:t>
      </w:r>
    </w:p>
    <w:p w14:paraId="128BF1FA">
      <w:pPr>
        <w:spacing w:line="380" w:lineRule="exact"/>
        <w:ind w:firstLine="420" w:firstLineChars="200"/>
        <w:rPr>
          <w:rFonts w:hAnsi="仿宋"/>
          <w:sz w:val="21"/>
          <w:szCs w:val="21"/>
        </w:rPr>
      </w:pPr>
      <w:r>
        <w:rPr>
          <w:rFonts w:hint="eastAsia" w:hAnsi="仿宋"/>
          <w:sz w:val="21"/>
          <w:szCs w:val="21"/>
          <w:u w:val="single"/>
        </w:rPr>
        <w:t>承包人为克服异常恶劣的气候条件，所采取合理措施而增加的费用和延误的工期由发包人承担；承包人虽然采取了合理的措施，但异常恶劣的气候条件发生后，仍导致了工程现场损失，则参照通用合同条款17.3处理。</w:t>
      </w:r>
    </w:p>
    <w:p w14:paraId="1A6A3229">
      <w:pPr>
        <w:spacing w:line="380" w:lineRule="exact"/>
        <w:ind w:firstLine="420" w:firstLineChars="200"/>
        <w:rPr>
          <w:rFonts w:hAnsi="仿宋"/>
          <w:sz w:val="21"/>
          <w:szCs w:val="21"/>
        </w:rPr>
      </w:pPr>
      <w:r>
        <w:rPr>
          <w:rFonts w:hint="eastAsia" w:hAnsi="仿宋"/>
          <w:sz w:val="21"/>
          <w:szCs w:val="21"/>
        </w:rPr>
        <w:t>7.9 提前竣工的奖励</w:t>
      </w:r>
    </w:p>
    <w:p w14:paraId="030E4966">
      <w:pPr>
        <w:spacing w:line="380" w:lineRule="exact"/>
        <w:ind w:firstLine="420" w:firstLineChars="200"/>
        <w:rPr>
          <w:rFonts w:hAnsi="仿宋"/>
          <w:sz w:val="21"/>
          <w:szCs w:val="21"/>
        </w:rPr>
      </w:pPr>
      <w:r>
        <w:rPr>
          <w:rFonts w:hint="eastAsia" w:hAnsi="仿宋"/>
          <w:sz w:val="21"/>
          <w:szCs w:val="21"/>
        </w:rPr>
        <w:t>7.9.2提前竣工的奖励：</w:t>
      </w:r>
      <w:r>
        <w:rPr>
          <w:rFonts w:hAnsi="仿宋"/>
          <w:sz w:val="21"/>
          <w:szCs w:val="21"/>
          <w:u w:val="single"/>
        </w:rPr>
        <w:t>/</w:t>
      </w:r>
      <w:r>
        <w:rPr>
          <w:rFonts w:hint="eastAsia" w:hAnsi="仿宋"/>
          <w:sz w:val="21"/>
          <w:szCs w:val="21"/>
        </w:rPr>
        <w:t>。</w:t>
      </w:r>
    </w:p>
    <w:p w14:paraId="15BD76CC">
      <w:pPr>
        <w:pStyle w:val="8"/>
        <w:keepNext w:val="0"/>
        <w:keepLines w:val="0"/>
        <w:spacing w:before="0" w:after="0" w:line="380" w:lineRule="exact"/>
        <w:rPr>
          <w:rFonts w:ascii="黑体" w:hAnsi="黑体"/>
          <w:b w:val="0"/>
          <w:sz w:val="21"/>
          <w:szCs w:val="21"/>
        </w:rPr>
      </w:pPr>
      <w:bookmarkStart w:id="194" w:name="_Toc351203640"/>
      <w:r>
        <w:rPr>
          <w:rFonts w:hint="eastAsia" w:ascii="黑体" w:hAnsi="黑体"/>
          <w:b w:val="0"/>
          <w:sz w:val="21"/>
          <w:szCs w:val="21"/>
        </w:rPr>
        <w:t>8．材料与设备</w:t>
      </w:r>
      <w:bookmarkEnd w:id="194"/>
    </w:p>
    <w:p w14:paraId="5570FA9C">
      <w:pPr>
        <w:spacing w:line="360" w:lineRule="exact"/>
        <w:ind w:firstLine="420" w:firstLineChars="200"/>
        <w:rPr>
          <w:rFonts w:ascii="仿宋_GB2312" w:hAnsi="Times New Roman" w:eastAsia="宋体"/>
          <w:sz w:val="21"/>
          <w:szCs w:val="21"/>
        </w:rPr>
      </w:pPr>
      <w:r>
        <w:rPr>
          <w:rFonts w:hint="eastAsia" w:ascii="黑体" w:hAnsi="Times New Roman" w:eastAsia="黑体"/>
          <w:sz w:val="21"/>
          <w:szCs w:val="21"/>
        </w:rPr>
        <w:t>8</w:t>
      </w:r>
      <w:r>
        <w:rPr>
          <w:rFonts w:hint="eastAsia" w:ascii="仿宋_GB2312" w:hAnsi="Times New Roman" w:eastAsia="宋体"/>
          <w:sz w:val="21"/>
          <w:szCs w:val="21"/>
        </w:rPr>
        <w:t>.</w:t>
      </w:r>
      <w:r>
        <w:rPr>
          <w:rFonts w:ascii="Times New Roman" w:hAnsi="Times New Roman" w:eastAsia="宋体"/>
          <w:sz w:val="21"/>
          <w:szCs w:val="21"/>
        </w:rPr>
        <w:t>2</w:t>
      </w:r>
      <w:r>
        <w:rPr>
          <w:rFonts w:hint="eastAsia" w:ascii="仿宋_GB2312" w:hAnsi="Times New Roman" w:eastAsia="宋体"/>
          <w:sz w:val="21"/>
          <w:szCs w:val="21"/>
        </w:rPr>
        <w:t>承包人采购材料与工程设备</w:t>
      </w:r>
    </w:p>
    <w:p w14:paraId="58775460">
      <w:pPr>
        <w:snapToGrid w:val="0"/>
        <w:spacing w:line="360" w:lineRule="exact"/>
        <w:ind w:firstLine="420" w:firstLineChars="200"/>
        <w:rPr>
          <w:rFonts w:ascii="宋体" w:hAnsi="宋体" w:eastAsia="宋体" w:cs="宋体"/>
          <w:b/>
          <w:bCs/>
          <w:sz w:val="21"/>
          <w:szCs w:val="21"/>
          <w:u w:val="single"/>
        </w:rPr>
      </w:pPr>
      <w:r>
        <w:rPr>
          <w:rFonts w:hint="eastAsia" w:ascii="仿宋_GB2312" w:hAnsi="宋体" w:eastAsia="宋体"/>
          <w:sz w:val="21"/>
          <w:szCs w:val="21"/>
          <w:u w:val="single"/>
        </w:rPr>
        <w:t>（</w:t>
      </w:r>
      <w:r>
        <w:rPr>
          <w:rFonts w:ascii="Times New Roman" w:hAnsi="Times New Roman" w:eastAsia="宋体"/>
          <w:sz w:val="21"/>
          <w:szCs w:val="21"/>
          <w:u w:val="single"/>
        </w:rPr>
        <w:t>1</w:t>
      </w:r>
      <w:r>
        <w:rPr>
          <w:rFonts w:hint="eastAsia" w:ascii="仿宋_GB2312" w:hAnsi="宋体" w:eastAsia="宋体"/>
          <w:sz w:val="21"/>
          <w:szCs w:val="21"/>
          <w:u w:val="single"/>
        </w:rPr>
        <w:t>）</w:t>
      </w:r>
      <w:r>
        <w:rPr>
          <w:rFonts w:hint="eastAsia" w:ascii="宋体" w:hAnsi="宋体" w:eastAsia="宋体" w:cs="宋体"/>
          <w:b/>
          <w:bCs/>
          <w:sz w:val="21"/>
          <w:szCs w:val="21"/>
          <w:u w:val="single"/>
        </w:rPr>
        <w:t>材料品牌、规格和使用要求：按招标文件（相应）技术标准和预算书要求执行。</w:t>
      </w:r>
    </w:p>
    <w:p w14:paraId="4B480E31">
      <w:pPr>
        <w:pStyle w:val="27"/>
        <w:rPr>
          <w:rFonts w:eastAsia="宋体"/>
          <w:lang w:val="en-US"/>
        </w:rPr>
      </w:pPr>
    </w:p>
    <w:tbl>
      <w:tblPr>
        <w:tblStyle w:val="29"/>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041"/>
        <w:gridCol w:w="5567"/>
        <w:gridCol w:w="1421"/>
      </w:tblGrid>
      <w:tr w14:paraId="7C0A7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07" w:type="dxa"/>
            <w:vAlign w:val="center"/>
          </w:tcPr>
          <w:p w14:paraId="483DA26F">
            <w:pPr>
              <w:spacing w:line="360" w:lineRule="auto"/>
              <w:jc w:val="left"/>
              <w:rPr>
                <w:rFonts w:ascii="宋体" w:hAnsi="宋体" w:eastAsia="宋体" w:cs="宋体"/>
                <w:sz w:val="21"/>
                <w:szCs w:val="21"/>
              </w:rPr>
            </w:pPr>
            <w:r>
              <w:rPr>
                <w:rFonts w:hint="eastAsia" w:ascii="宋体" w:hAnsi="宋体" w:eastAsia="宋体" w:cs="宋体"/>
                <w:sz w:val="21"/>
                <w:szCs w:val="21"/>
              </w:rPr>
              <w:t>序号</w:t>
            </w:r>
          </w:p>
        </w:tc>
        <w:tc>
          <w:tcPr>
            <w:tcW w:w="2041" w:type="dxa"/>
            <w:vAlign w:val="center"/>
          </w:tcPr>
          <w:p w14:paraId="10397447">
            <w:pPr>
              <w:spacing w:line="360" w:lineRule="auto"/>
              <w:jc w:val="left"/>
              <w:rPr>
                <w:rFonts w:ascii="宋体" w:hAnsi="宋体" w:eastAsia="宋体" w:cs="宋体"/>
                <w:sz w:val="21"/>
                <w:szCs w:val="21"/>
              </w:rPr>
            </w:pPr>
            <w:r>
              <w:rPr>
                <w:rFonts w:hint="eastAsia" w:ascii="宋体" w:hAnsi="宋体" w:eastAsia="宋体" w:cs="宋体"/>
                <w:sz w:val="21"/>
                <w:szCs w:val="21"/>
              </w:rPr>
              <w:t>材料名称</w:t>
            </w:r>
          </w:p>
        </w:tc>
        <w:tc>
          <w:tcPr>
            <w:tcW w:w="5567" w:type="dxa"/>
            <w:vAlign w:val="center"/>
          </w:tcPr>
          <w:p w14:paraId="27022F71">
            <w:pPr>
              <w:spacing w:line="360" w:lineRule="auto"/>
              <w:jc w:val="left"/>
              <w:rPr>
                <w:rFonts w:ascii="宋体" w:hAnsi="宋体" w:eastAsia="宋体" w:cs="宋体"/>
                <w:sz w:val="21"/>
                <w:szCs w:val="21"/>
              </w:rPr>
            </w:pPr>
            <w:r>
              <w:rPr>
                <w:rFonts w:hint="eastAsia" w:ascii="宋体" w:hAnsi="宋体" w:eastAsia="宋体" w:cs="宋体"/>
                <w:sz w:val="21"/>
                <w:szCs w:val="21"/>
              </w:rPr>
              <w:t>备选品牌或厂家</w:t>
            </w:r>
          </w:p>
        </w:tc>
        <w:tc>
          <w:tcPr>
            <w:tcW w:w="1421" w:type="dxa"/>
            <w:vAlign w:val="center"/>
          </w:tcPr>
          <w:p w14:paraId="5089C19F">
            <w:pPr>
              <w:spacing w:line="360" w:lineRule="auto"/>
              <w:jc w:val="left"/>
              <w:rPr>
                <w:rFonts w:ascii="宋体" w:hAnsi="宋体" w:eastAsia="宋体" w:cs="宋体"/>
                <w:sz w:val="21"/>
                <w:szCs w:val="21"/>
              </w:rPr>
            </w:pPr>
            <w:r>
              <w:rPr>
                <w:rFonts w:hint="eastAsia" w:ascii="宋体" w:hAnsi="宋体" w:eastAsia="宋体" w:cs="宋体"/>
                <w:sz w:val="21"/>
                <w:szCs w:val="21"/>
              </w:rPr>
              <w:t>备注</w:t>
            </w:r>
          </w:p>
        </w:tc>
      </w:tr>
      <w:tr w14:paraId="266A9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exact"/>
        </w:trPr>
        <w:tc>
          <w:tcPr>
            <w:tcW w:w="707" w:type="dxa"/>
            <w:vAlign w:val="center"/>
          </w:tcPr>
          <w:p w14:paraId="5CDA2CC6">
            <w:pPr>
              <w:spacing w:line="360" w:lineRule="auto"/>
              <w:jc w:val="left"/>
              <w:rPr>
                <w:rFonts w:ascii="宋体" w:hAnsi="宋体" w:eastAsia="宋体" w:cs="宋体"/>
                <w:sz w:val="21"/>
                <w:szCs w:val="21"/>
              </w:rPr>
            </w:pPr>
            <w:r>
              <w:rPr>
                <w:rFonts w:hint="eastAsia" w:ascii="宋体" w:hAnsi="宋体" w:eastAsia="宋体" w:cs="宋体"/>
                <w:sz w:val="21"/>
                <w:szCs w:val="21"/>
              </w:rPr>
              <w:t>1</w:t>
            </w:r>
          </w:p>
        </w:tc>
        <w:tc>
          <w:tcPr>
            <w:tcW w:w="2041" w:type="dxa"/>
            <w:vAlign w:val="center"/>
          </w:tcPr>
          <w:p w14:paraId="28EDEF30">
            <w:pPr>
              <w:spacing w:line="360" w:lineRule="auto"/>
              <w:jc w:val="left"/>
              <w:rPr>
                <w:rFonts w:ascii="宋体" w:hAnsi="宋体" w:eastAsia="宋体" w:cs="宋体"/>
                <w:sz w:val="21"/>
                <w:szCs w:val="21"/>
              </w:rPr>
            </w:pPr>
            <w:r>
              <w:rPr>
                <w:rFonts w:hint="eastAsia" w:ascii="宋体" w:hAnsi="宋体" w:eastAsia="宋体" w:cs="宋体"/>
                <w:sz w:val="21"/>
                <w:szCs w:val="21"/>
              </w:rPr>
              <w:t>塑胶</w:t>
            </w:r>
          </w:p>
        </w:tc>
        <w:tc>
          <w:tcPr>
            <w:tcW w:w="5567" w:type="dxa"/>
            <w:vAlign w:val="center"/>
          </w:tcPr>
          <w:p w14:paraId="395CE05F">
            <w:pPr>
              <w:spacing w:line="360" w:lineRule="auto"/>
              <w:jc w:val="left"/>
              <w:rPr>
                <w:rFonts w:ascii="宋体" w:hAnsi="宋体" w:eastAsia="宋体" w:cs="宋体"/>
                <w:sz w:val="21"/>
                <w:szCs w:val="21"/>
              </w:rPr>
            </w:pPr>
            <w:r>
              <w:rPr>
                <w:rFonts w:hint="eastAsia" w:ascii="宋体" w:hAnsi="宋体" w:eastAsia="宋体" w:cs="宋体"/>
                <w:sz w:val="21"/>
                <w:szCs w:val="21"/>
              </w:rPr>
              <w:t>东莞市扬名体育设施有限公司、塑驰新型材料（江苏）有限公司、广州杰锐体育设施有限公司、上海瑞云山环保材料有限公司或相当于</w:t>
            </w:r>
          </w:p>
        </w:tc>
        <w:tc>
          <w:tcPr>
            <w:tcW w:w="1421" w:type="dxa"/>
            <w:vAlign w:val="center"/>
          </w:tcPr>
          <w:p w14:paraId="0F6697D3">
            <w:pPr>
              <w:spacing w:line="360" w:lineRule="auto"/>
              <w:jc w:val="left"/>
              <w:rPr>
                <w:rFonts w:ascii="宋体" w:hAnsi="宋体" w:eastAsia="宋体" w:cs="宋体"/>
                <w:sz w:val="21"/>
                <w:szCs w:val="21"/>
              </w:rPr>
            </w:pPr>
          </w:p>
        </w:tc>
      </w:tr>
      <w:tr w14:paraId="3C9B4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707" w:type="dxa"/>
            <w:vAlign w:val="center"/>
          </w:tcPr>
          <w:p w14:paraId="0691DDC1">
            <w:pPr>
              <w:spacing w:line="360" w:lineRule="auto"/>
              <w:jc w:val="left"/>
              <w:rPr>
                <w:rFonts w:ascii="宋体" w:hAnsi="宋体" w:eastAsia="宋体" w:cs="宋体"/>
                <w:sz w:val="21"/>
                <w:szCs w:val="21"/>
              </w:rPr>
            </w:pPr>
            <w:r>
              <w:rPr>
                <w:rFonts w:hint="eastAsia" w:ascii="宋体" w:hAnsi="宋体" w:eastAsia="宋体" w:cs="宋体"/>
                <w:sz w:val="21"/>
                <w:szCs w:val="21"/>
              </w:rPr>
              <w:t>2</w:t>
            </w:r>
          </w:p>
        </w:tc>
        <w:tc>
          <w:tcPr>
            <w:tcW w:w="2041" w:type="dxa"/>
            <w:vAlign w:val="center"/>
          </w:tcPr>
          <w:p w14:paraId="213FBA94">
            <w:pPr>
              <w:spacing w:line="360" w:lineRule="auto"/>
              <w:jc w:val="left"/>
              <w:rPr>
                <w:rFonts w:ascii="宋体" w:hAnsi="宋体" w:eastAsia="宋体" w:cs="宋体"/>
                <w:sz w:val="21"/>
                <w:szCs w:val="21"/>
              </w:rPr>
            </w:pPr>
            <w:r>
              <w:rPr>
                <w:rFonts w:hint="eastAsia" w:ascii="宋体" w:hAnsi="宋体" w:eastAsia="宋体" w:cs="宋体"/>
                <w:sz w:val="21"/>
                <w:szCs w:val="21"/>
              </w:rPr>
              <w:t>涂料、乳胶漆</w:t>
            </w:r>
          </w:p>
        </w:tc>
        <w:tc>
          <w:tcPr>
            <w:tcW w:w="5567" w:type="dxa"/>
            <w:vAlign w:val="center"/>
          </w:tcPr>
          <w:p w14:paraId="7CBAACBD">
            <w:pPr>
              <w:spacing w:line="360" w:lineRule="auto"/>
              <w:jc w:val="left"/>
              <w:rPr>
                <w:rFonts w:ascii="宋体" w:hAnsi="宋体" w:eastAsia="宋体" w:cs="宋体"/>
                <w:sz w:val="21"/>
                <w:szCs w:val="21"/>
              </w:rPr>
            </w:pPr>
            <w:r>
              <w:rPr>
                <w:rFonts w:hint="eastAsia" w:ascii="宋体" w:hAnsi="宋体" w:eastAsia="宋体" w:cs="宋体"/>
                <w:sz w:val="21"/>
                <w:szCs w:val="21"/>
              </w:rPr>
              <w:t>立邦、多乐士、华润或相当于</w:t>
            </w:r>
          </w:p>
        </w:tc>
        <w:tc>
          <w:tcPr>
            <w:tcW w:w="1421" w:type="dxa"/>
            <w:vAlign w:val="center"/>
          </w:tcPr>
          <w:p w14:paraId="56073B0F">
            <w:pPr>
              <w:spacing w:line="360" w:lineRule="auto"/>
              <w:jc w:val="left"/>
              <w:rPr>
                <w:rFonts w:ascii="宋体" w:hAnsi="宋体" w:eastAsia="宋体" w:cs="宋体"/>
                <w:sz w:val="21"/>
                <w:szCs w:val="21"/>
              </w:rPr>
            </w:pPr>
          </w:p>
        </w:tc>
      </w:tr>
      <w:tr w14:paraId="7A46B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707" w:type="dxa"/>
            <w:vAlign w:val="center"/>
          </w:tcPr>
          <w:p w14:paraId="532BC019">
            <w:pPr>
              <w:spacing w:line="360" w:lineRule="auto"/>
              <w:jc w:val="left"/>
              <w:rPr>
                <w:rFonts w:ascii="宋体" w:hAnsi="宋体" w:eastAsia="宋体" w:cs="宋体"/>
                <w:sz w:val="21"/>
                <w:szCs w:val="21"/>
              </w:rPr>
            </w:pPr>
            <w:r>
              <w:rPr>
                <w:rFonts w:hint="eastAsia" w:ascii="宋体" w:hAnsi="宋体" w:eastAsia="宋体" w:cs="宋体"/>
                <w:sz w:val="21"/>
                <w:szCs w:val="21"/>
              </w:rPr>
              <w:t>3</w:t>
            </w:r>
          </w:p>
        </w:tc>
        <w:tc>
          <w:tcPr>
            <w:tcW w:w="2041" w:type="dxa"/>
            <w:vAlign w:val="center"/>
          </w:tcPr>
          <w:p w14:paraId="008540D5">
            <w:pPr>
              <w:spacing w:line="360" w:lineRule="auto"/>
              <w:jc w:val="left"/>
              <w:rPr>
                <w:rFonts w:ascii="宋体" w:hAnsi="宋体" w:eastAsia="宋体" w:cs="宋体"/>
                <w:sz w:val="21"/>
                <w:szCs w:val="21"/>
              </w:rPr>
            </w:pPr>
            <w:r>
              <w:rPr>
                <w:rFonts w:hint="eastAsia" w:ascii="宋体" w:hAnsi="宋体" w:eastAsia="宋体" w:cs="宋体"/>
                <w:sz w:val="21"/>
                <w:szCs w:val="21"/>
              </w:rPr>
              <w:t>防水卷材</w:t>
            </w:r>
          </w:p>
        </w:tc>
        <w:tc>
          <w:tcPr>
            <w:tcW w:w="5567" w:type="dxa"/>
            <w:vAlign w:val="center"/>
          </w:tcPr>
          <w:p w14:paraId="05DB89F5">
            <w:pPr>
              <w:spacing w:line="360" w:lineRule="auto"/>
              <w:jc w:val="left"/>
              <w:rPr>
                <w:rFonts w:ascii="宋体" w:hAnsi="宋体" w:eastAsia="宋体" w:cs="宋体"/>
                <w:sz w:val="21"/>
                <w:szCs w:val="21"/>
              </w:rPr>
            </w:pPr>
            <w:r>
              <w:rPr>
                <w:rFonts w:hint="eastAsia" w:ascii="宋体" w:hAnsi="宋体" w:eastAsia="宋体" w:cs="宋体"/>
                <w:sz w:val="21"/>
                <w:szCs w:val="21"/>
              </w:rPr>
              <w:t>禹王（防水）、东方雨虹、月皇或相当于</w:t>
            </w:r>
          </w:p>
        </w:tc>
        <w:tc>
          <w:tcPr>
            <w:tcW w:w="1421" w:type="dxa"/>
            <w:vAlign w:val="center"/>
          </w:tcPr>
          <w:p w14:paraId="4C1503FB">
            <w:pPr>
              <w:spacing w:line="360" w:lineRule="auto"/>
              <w:jc w:val="left"/>
              <w:rPr>
                <w:rFonts w:ascii="宋体" w:hAnsi="宋体" w:eastAsia="宋体" w:cs="宋体"/>
                <w:sz w:val="21"/>
                <w:szCs w:val="21"/>
              </w:rPr>
            </w:pPr>
          </w:p>
        </w:tc>
      </w:tr>
      <w:tr w14:paraId="38F3E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707" w:type="dxa"/>
            <w:vAlign w:val="center"/>
          </w:tcPr>
          <w:p w14:paraId="32DEECC4">
            <w:pPr>
              <w:spacing w:line="360" w:lineRule="auto"/>
              <w:jc w:val="left"/>
              <w:rPr>
                <w:rFonts w:ascii="宋体" w:hAnsi="宋体" w:eastAsia="宋体" w:cs="宋体"/>
                <w:sz w:val="21"/>
                <w:szCs w:val="21"/>
              </w:rPr>
            </w:pPr>
            <w:r>
              <w:rPr>
                <w:rFonts w:hint="eastAsia" w:ascii="宋体" w:hAnsi="宋体" w:eastAsia="宋体" w:cs="宋体"/>
                <w:sz w:val="21"/>
                <w:szCs w:val="21"/>
              </w:rPr>
              <w:t>4</w:t>
            </w:r>
          </w:p>
        </w:tc>
        <w:tc>
          <w:tcPr>
            <w:tcW w:w="2041" w:type="dxa"/>
            <w:vAlign w:val="center"/>
          </w:tcPr>
          <w:p w14:paraId="58FC739B">
            <w:pPr>
              <w:spacing w:line="360" w:lineRule="auto"/>
              <w:jc w:val="left"/>
              <w:rPr>
                <w:rFonts w:ascii="宋体" w:hAnsi="宋体" w:eastAsia="宋体" w:cs="宋体"/>
                <w:sz w:val="21"/>
                <w:szCs w:val="21"/>
              </w:rPr>
            </w:pPr>
            <w:r>
              <w:rPr>
                <w:rFonts w:hint="eastAsia" w:ascii="宋体" w:hAnsi="宋体" w:eastAsia="宋体" w:cs="宋体"/>
                <w:sz w:val="21"/>
                <w:szCs w:val="21"/>
              </w:rPr>
              <w:t>灯具</w:t>
            </w:r>
          </w:p>
        </w:tc>
        <w:tc>
          <w:tcPr>
            <w:tcW w:w="5567" w:type="dxa"/>
            <w:vAlign w:val="center"/>
          </w:tcPr>
          <w:p w14:paraId="25807C51">
            <w:pPr>
              <w:spacing w:line="360" w:lineRule="auto"/>
              <w:jc w:val="left"/>
              <w:rPr>
                <w:rFonts w:ascii="宋体" w:hAnsi="宋体" w:eastAsia="宋体" w:cs="宋体"/>
                <w:sz w:val="21"/>
                <w:szCs w:val="21"/>
              </w:rPr>
            </w:pPr>
            <w:r>
              <w:rPr>
                <w:rFonts w:hint="eastAsia" w:ascii="宋体" w:hAnsi="宋体" w:eastAsia="宋体" w:cs="宋体"/>
                <w:sz w:val="21"/>
                <w:szCs w:val="21"/>
              </w:rPr>
              <w:t>三雄极光、飞利浦、雷士、欧普或相当于</w:t>
            </w:r>
          </w:p>
        </w:tc>
        <w:tc>
          <w:tcPr>
            <w:tcW w:w="1421" w:type="dxa"/>
            <w:vAlign w:val="center"/>
          </w:tcPr>
          <w:p w14:paraId="3C6979EB">
            <w:pPr>
              <w:spacing w:line="360" w:lineRule="auto"/>
              <w:jc w:val="left"/>
              <w:rPr>
                <w:rFonts w:ascii="宋体" w:hAnsi="宋体" w:eastAsia="宋体" w:cs="宋体"/>
                <w:sz w:val="21"/>
                <w:szCs w:val="21"/>
              </w:rPr>
            </w:pPr>
          </w:p>
        </w:tc>
      </w:tr>
      <w:tr w14:paraId="5407A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707" w:type="dxa"/>
            <w:vAlign w:val="center"/>
          </w:tcPr>
          <w:p w14:paraId="1797F5CB">
            <w:pPr>
              <w:spacing w:line="360" w:lineRule="auto"/>
              <w:jc w:val="left"/>
              <w:rPr>
                <w:rFonts w:ascii="宋体" w:hAnsi="宋体" w:eastAsia="宋体" w:cs="宋体"/>
                <w:sz w:val="21"/>
                <w:szCs w:val="21"/>
              </w:rPr>
            </w:pPr>
            <w:r>
              <w:rPr>
                <w:rFonts w:hint="eastAsia" w:ascii="宋体" w:hAnsi="宋体" w:eastAsia="宋体" w:cs="宋体"/>
                <w:sz w:val="21"/>
                <w:szCs w:val="21"/>
              </w:rPr>
              <w:t>5</w:t>
            </w:r>
          </w:p>
        </w:tc>
        <w:tc>
          <w:tcPr>
            <w:tcW w:w="2041" w:type="dxa"/>
            <w:vAlign w:val="center"/>
          </w:tcPr>
          <w:p w14:paraId="23ED928F">
            <w:pPr>
              <w:spacing w:line="360" w:lineRule="auto"/>
              <w:jc w:val="left"/>
              <w:rPr>
                <w:rFonts w:ascii="宋体" w:hAnsi="宋体" w:eastAsia="宋体" w:cs="宋体"/>
                <w:sz w:val="21"/>
                <w:szCs w:val="21"/>
              </w:rPr>
            </w:pPr>
            <w:r>
              <w:rPr>
                <w:rFonts w:hint="eastAsia" w:ascii="宋体" w:hAnsi="宋体" w:eastAsia="宋体" w:cs="宋体"/>
                <w:sz w:val="21"/>
                <w:szCs w:val="21"/>
              </w:rPr>
              <w:t>电线</w:t>
            </w:r>
          </w:p>
        </w:tc>
        <w:tc>
          <w:tcPr>
            <w:tcW w:w="5567" w:type="dxa"/>
            <w:vAlign w:val="center"/>
          </w:tcPr>
          <w:p w14:paraId="2BE9B9BB">
            <w:pPr>
              <w:spacing w:line="360" w:lineRule="auto"/>
              <w:jc w:val="left"/>
              <w:rPr>
                <w:rFonts w:ascii="宋体" w:hAnsi="宋体" w:eastAsia="宋体" w:cs="宋体"/>
                <w:sz w:val="21"/>
                <w:szCs w:val="21"/>
              </w:rPr>
            </w:pPr>
            <w:r>
              <w:rPr>
                <w:rFonts w:hint="eastAsia" w:ascii="宋体" w:hAnsi="宋体" w:eastAsia="宋体" w:cs="宋体"/>
                <w:sz w:val="21"/>
                <w:szCs w:val="21"/>
              </w:rPr>
              <w:t>开开、汉通、飞洲、全通、杭缆、中大元通或相当于</w:t>
            </w:r>
          </w:p>
        </w:tc>
        <w:tc>
          <w:tcPr>
            <w:tcW w:w="1421" w:type="dxa"/>
            <w:vAlign w:val="center"/>
          </w:tcPr>
          <w:p w14:paraId="0C70D9AF">
            <w:pPr>
              <w:spacing w:line="360" w:lineRule="auto"/>
              <w:jc w:val="left"/>
              <w:rPr>
                <w:rFonts w:ascii="宋体" w:hAnsi="宋体" w:eastAsia="宋体" w:cs="宋体"/>
                <w:sz w:val="21"/>
                <w:szCs w:val="21"/>
              </w:rPr>
            </w:pPr>
          </w:p>
        </w:tc>
      </w:tr>
    </w:tbl>
    <w:p w14:paraId="17912CB5">
      <w:pPr>
        <w:spacing w:line="360" w:lineRule="auto"/>
        <w:jc w:val="left"/>
        <w:rPr>
          <w:rFonts w:ascii="宋体" w:hAnsi="宋体" w:eastAsia="宋体" w:cs="宋体"/>
          <w:sz w:val="21"/>
          <w:szCs w:val="21"/>
        </w:rPr>
      </w:pPr>
      <w:r>
        <w:rPr>
          <w:rFonts w:hint="eastAsia" w:ascii="宋体" w:hAnsi="宋体" w:eastAsia="宋体" w:cs="宋体"/>
          <w:sz w:val="21"/>
          <w:szCs w:val="21"/>
        </w:rPr>
        <w:t>注：若某设备材料的品牌与厂家存在同名时，以品牌为先。</w:t>
      </w:r>
    </w:p>
    <w:p w14:paraId="0C74DD5B">
      <w:pPr>
        <w:autoSpaceDE w:val="0"/>
        <w:autoSpaceDN w:val="0"/>
        <w:spacing w:line="360" w:lineRule="exact"/>
        <w:ind w:firstLine="420" w:firstLineChars="200"/>
        <w:rPr>
          <w:rFonts w:ascii="仿宋_GB2312" w:hAnsi="宋体" w:eastAsia="宋体"/>
          <w:sz w:val="21"/>
          <w:szCs w:val="21"/>
          <w:u w:val="single"/>
        </w:rPr>
      </w:pPr>
      <w:r>
        <w:rPr>
          <w:rFonts w:hint="eastAsia" w:ascii="仿宋_GB2312" w:hAnsi="宋体" w:eastAsia="宋体"/>
          <w:sz w:val="21"/>
          <w:szCs w:val="21"/>
          <w:u w:val="single"/>
        </w:rPr>
        <w:t>（2）发包人有权对材料进行确认。</w:t>
      </w:r>
    </w:p>
    <w:p w14:paraId="652E026E">
      <w:pPr>
        <w:autoSpaceDE w:val="0"/>
        <w:autoSpaceDN w:val="0"/>
        <w:spacing w:line="360" w:lineRule="exact"/>
        <w:ind w:firstLine="420" w:firstLineChars="200"/>
        <w:rPr>
          <w:rFonts w:ascii="仿宋_GB2312" w:hAnsi="宋体" w:eastAsia="宋体"/>
          <w:sz w:val="21"/>
          <w:szCs w:val="21"/>
          <w:u w:val="single"/>
        </w:rPr>
      </w:pPr>
      <w:r>
        <w:rPr>
          <w:rFonts w:hint="eastAsia" w:ascii="仿宋_GB2312" w:hAnsi="宋体" w:eastAsia="宋体"/>
          <w:sz w:val="21"/>
          <w:szCs w:val="21"/>
          <w:u w:val="single"/>
        </w:rPr>
        <w:t>（</w:t>
      </w:r>
      <w:r>
        <w:rPr>
          <w:rFonts w:hint="eastAsia" w:ascii="Times New Roman" w:hAnsi="Times New Roman" w:eastAsia="宋体"/>
          <w:sz w:val="21"/>
          <w:szCs w:val="21"/>
          <w:u w:val="single"/>
        </w:rPr>
        <w:t>3</w:t>
      </w:r>
      <w:r>
        <w:rPr>
          <w:rFonts w:hint="eastAsia" w:ascii="仿宋_GB2312" w:hAnsi="宋体" w:eastAsia="宋体"/>
          <w:sz w:val="21"/>
          <w:szCs w:val="21"/>
          <w:u w:val="single"/>
        </w:rPr>
        <w:t>）本工程已确定承包价的建筑材料均由承包人自行询价、采购、运输和保管。</w:t>
      </w:r>
    </w:p>
    <w:p w14:paraId="7066F9FA">
      <w:pPr>
        <w:autoSpaceDE w:val="0"/>
        <w:autoSpaceDN w:val="0"/>
        <w:spacing w:line="360" w:lineRule="exact"/>
        <w:ind w:firstLine="420" w:firstLineChars="200"/>
        <w:rPr>
          <w:rFonts w:ascii="仿宋_GB2312" w:hAnsi="宋体" w:eastAsia="宋体"/>
          <w:sz w:val="21"/>
          <w:szCs w:val="21"/>
          <w:u w:val="single"/>
        </w:rPr>
      </w:pPr>
      <w:r>
        <w:rPr>
          <w:rFonts w:hint="eastAsia" w:ascii="仿宋_GB2312" w:hAnsi="宋体" w:eastAsia="宋体"/>
          <w:sz w:val="21"/>
          <w:szCs w:val="21"/>
          <w:u w:val="single"/>
        </w:rPr>
        <w:t>（</w:t>
      </w:r>
      <w:r>
        <w:rPr>
          <w:rFonts w:hint="eastAsia" w:ascii="Times New Roman" w:hAnsi="Times New Roman" w:eastAsia="宋体"/>
          <w:sz w:val="21"/>
          <w:szCs w:val="21"/>
          <w:u w:val="single"/>
        </w:rPr>
        <w:t>4</w:t>
      </w:r>
      <w:r>
        <w:rPr>
          <w:rFonts w:hint="eastAsia" w:ascii="仿宋_GB2312" w:hAnsi="宋体" w:eastAsia="宋体"/>
          <w:sz w:val="21"/>
          <w:szCs w:val="21"/>
          <w:u w:val="single"/>
        </w:rPr>
        <w:t>）本工程要求使用材料要求（如商品砼、商品砂浆、保温节能材料等）。</w:t>
      </w:r>
    </w:p>
    <w:p w14:paraId="7C976EEE">
      <w:pPr>
        <w:spacing w:line="360" w:lineRule="exact"/>
        <w:ind w:firstLine="420" w:firstLineChars="200"/>
        <w:rPr>
          <w:rFonts w:ascii="仿宋_GB2312" w:hAnsi="宋体" w:eastAsia="宋体"/>
          <w:sz w:val="21"/>
          <w:szCs w:val="21"/>
          <w:u w:val="single"/>
        </w:rPr>
      </w:pPr>
      <w:r>
        <w:rPr>
          <w:rFonts w:hint="eastAsia" w:ascii="仿宋_GB2312" w:hAnsi="宋体" w:eastAsia="宋体"/>
          <w:sz w:val="21"/>
          <w:szCs w:val="21"/>
          <w:u w:val="single"/>
        </w:rPr>
        <w:t>（</w:t>
      </w:r>
      <w:r>
        <w:rPr>
          <w:rFonts w:hint="eastAsia" w:ascii="Times New Roman" w:hAnsi="Times New Roman" w:eastAsia="宋体"/>
          <w:sz w:val="21"/>
          <w:szCs w:val="21"/>
          <w:u w:val="single"/>
        </w:rPr>
        <w:t>5</w:t>
      </w:r>
      <w:r>
        <w:rPr>
          <w:rFonts w:hint="eastAsia" w:ascii="仿宋_GB2312" w:hAnsi="宋体" w:eastAsia="宋体"/>
          <w:sz w:val="21"/>
          <w:szCs w:val="21"/>
          <w:u w:val="single"/>
        </w:rPr>
        <w:t>）所有材料必须有质保书或合格证，符合施工图纸和规范要求，且品牌、产地需报发包人备案，否则，因此产生的后果均由承包人负责。</w:t>
      </w:r>
    </w:p>
    <w:p w14:paraId="0FD0A371">
      <w:pPr>
        <w:spacing w:line="360" w:lineRule="exact"/>
        <w:ind w:firstLine="420" w:firstLineChars="200"/>
        <w:rPr>
          <w:rFonts w:ascii="仿宋_GB2312" w:hAnsi="宋体" w:eastAsia="宋体"/>
          <w:sz w:val="21"/>
          <w:szCs w:val="21"/>
          <w:u w:val="single"/>
        </w:rPr>
      </w:pPr>
      <w:r>
        <w:rPr>
          <w:rFonts w:hint="eastAsia" w:ascii="仿宋_GB2312" w:hAnsi="宋体" w:eastAsia="宋体"/>
          <w:sz w:val="21"/>
          <w:szCs w:val="21"/>
          <w:u w:val="single"/>
        </w:rPr>
        <w:t>（</w:t>
      </w:r>
      <w:r>
        <w:rPr>
          <w:rFonts w:hint="eastAsia" w:ascii="Times New Roman" w:hAnsi="Times New Roman" w:eastAsia="宋体"/>
          <w:sz w:val="21"/>
          <w:szCs w:val="21"/>
          <w:u w:val="single"/>
        </w:rPr>
        <w:t>6</w:t>
      </w:r>
      <w:r>
        <w:rPr>
          <w:rFonts w:hint="eastAsia" w:ascii="仿宋_GB2312" w:hAnsi="宋体" w:eastAsia="宋体"/>
          <w:sz w:val="21"/>
          <w:szCs w:val="21"/>
          <w:u w:val="single"/>
        </w:rPr>
        <w:t>）凡是采购文件注明规格、型号或相当于的厂家（品牌、产地）的材料，承包人必须按照招标文件要求采购和施工，如需调整，必须经得发包人认可，否则由此引起的后果由承包人承担。</w:t>
      </w:r>
    </w:p>
    <w:p w14:paraId="4AD05EF9">
      <w:pPr>
        <w:spacing w:line="360" w:lineRule="exact"/>
        <w:ind w:firstLine="420" w:firstLineChars="200"/>
        <w:rPr>
          <w:rFonts w:ascii="仿宋_GB2312" w:hAnsi="宋体" w:eastAsia="宋体"/>
          <w:sz w:val="21"/>
          <w:szCs w:val="21"/>
          <w:u w:val="single"/>
        </w:rPr>
      </w:pPr>
      <w:r>
        <w:rPr>
          <w:rFonts w:hint="eastAsia" w:ascii="仿宋_GB2312" w:hAnsi="宋体" w:eastAsia="宋体"/>
          <w:sz w:val="21"/>
          <w:szCs w:val="21"/>
          <w:u w:val="single"/>
        </w:rPr>
        <w:t>（</w:t>
      </w:r>
      <w:r>
        <w:rPr>
          <w:rFonts w:hint="eastAsia" w:ascii="Times New Roman" w:hAnsi="Times New Roman" w:eastAsia="宋体"/>
          <w:sz w:val="21"/>
          <w:szCs w:val="21"/>
          <w:u w:val="single"/>
        </w:rPr>
        <w:t>7</w:t>
      </w:r>
      <w:r>
        <w:rPr>
          <w:rFonts w:hint="eastAsia" w:ascii="仿宋_GB2312" w:hAnsi="宋体" w:eastAsia="宋体"/>
          <w:sz w:val="21"/>
          <w:szCs w:val="21"/>
          <w:u w:val="single"/>
        </w:rPr>
        <w:t>）所有设备、材料和预制构件等均需有产品合格证和质保书、试验（试车）报告等必要资料，符合国家规定的技术标准和设计图纸要求的标准，并且须经发包人及监理单位验收合格后方可使用。</w:t>
      </w:r>
    </w:p>
    <w:p w14:paraId="3079508D">
      <w:pPr>
        <w:spacing w:line="360" w:lineRule="exact"/>
        <w:ind w:firstLine="420" w:firstLineChars="200"/>
        <w:rPr>
          <w:rFonts w:ascii="仿宋_GB2312" w:hAnsi="宋体" w:eastAsia="宋体"/>
          <w:sz w:val="21"/>
          <w:szCs w:val="21"/>
          <w:u w:val="single"/>
        </w:rPr>
      </w:pPr>
      <w:r>
        <w:rPr>
          <w:rFonts w:hint="eastAsia" w:ascii="仿宋_GB2312" w:hAnsi="宋体" w:eastAsia="宋体"/>
          <w:sz w:val="21"/>
          <w:szCs w:val="21"/>
          <w:u w:val="single"/>
        </w:rPr>
        <w:t>（</w:t>
      </w:r>
      <w:r>
        <w:rPr>
          <w:rFonts w:hint="eastAsia" w:ascii="Times New Roman" w:hAnsi="Times New Roman" w:eastAsia="宋体"/>
          <w:sz w:val="21"/>
          <w:szCs w:val="21"/>
          <w:u w:val="single"/>
        </w:rPr>
        <w:t>8</w:t>
      </w:r>
      <w:r>
        <w:rPr>
          <w:rFonts w:hint="eastAsia" w:ascii="仿宋_GB2312" w:hAnsi="宋体" w:eastAsia="宋体"/>
          <w:sz w:val="21"/>
          <w:szCs w:val="21"/>
          <w:u w:val="single"/>
        </w:rPr>
        <w:t>）根据工程需要，发包人有权对承包人投标时确认的品牌进行更换，更换后的材料价格由发包人签证进行结算。</w:t>
      </w:r>
    </w:p>
    <w:p w14:paraId="28641E83">
      <w:pPr>
        <w:spacing w:line="360" w:lineRule="exact"/>
        <w:ind w:firstLine="420" w:firstLineChars="200"/>
        <w:rPr>
          <w:rFonts w:hAnsi="仿宋"/>
          <w:sz w:val="21"/>
          <w:szCs w:val="21"/>
          <w:u w:val="single"/>
        </w:rPr>
      </w:pPr>
      <w:r>
        <w:rPr>
          <w:rFonts w:hint="eastAsia" w:ascii="仿宋_GB2312" w:hAnsi="宋体" w:eastAsia="宋体"/>
          <w:sz w:val="21"/>
          <w:szCs w:val="21"/>
          <w:u w:val="single"/>
        </w:rPr>
        <w:t>（9）合同中原暂定价材料或由工程变更产生的无价材料（按有关规定可不组织招标采购的）由承包人采购时，应由发包人签证确定价格后采购，发包人收到承包人价格确定申请后，7日内审批完毕。</w:t>
      </w:r>
    </w:p>
    <w:bookmarkEnd w:id="129"/>
    <w:bookmarkEnd w:id="130"/>
    <w:bookmarkEnd w:id="131"/>
    <w:bookmarkEnd w:id="132"/>
    <w:bookmarkEnd w:id="133"/>
    <w:bookmarkEnd w:id="134"/>
    <w:bookmarkEnd w:id="135"/>
    <w:bookmarkEnd w:id="136"/>
    <w:bookmarkEnd w:id="137"/>
    <w:bookmarkEnd w:id="138"/>
    <w:p w14:paraId="767A70F1">
      <w:pPr>
        <w:spacing w:line="380" w:lineRule="exact"/>
        <w:ind w:firstLine="420" w:firstLineChars="200"/>
        <w:rPr>
          <w:rFonts w:hAnsi="仿宋"/>
          <w:sz w:val="21"/>
          <w:szCs w:val="21"/>
        </w:rPr>
      </w:pPr>
      <w:bookmarkStart w:id="195" w:name="_Toc297120468"/>
      <w:bookmarkStart w:id="196" w:name="_Toc296347167"/>
      <w:bookmarkStart w:id="197" w:name="_Toc296891208"/>
      <w:bookmarkStart w:id="198" w:name="_Toc296890996"/>
      <w:bookmarkStart w:id="199" w:name="_Toc297216187"/>
      <w:bookmarkStart w:id="200" w:name="_Toc296503168"/>
      <w:bookmarkStart w:id="201" w:name="_Toc297048354"/>
      <w:bookmarkStart w:id="202" w:name="_Toc300934980"/>
      <w:bookmarkStart w:id="203" w:name="_Toc296944507"/>
      <w:bookmarkStart w:id="204" w:name="_Toc312677494"/>
      <w:bookmarkStart w:id="205" w:name="_Toc304295557"/>
      <w:bookmarkStart w:id="206" w:name="_Toc297123528"/>
      <w:bookmarkStart w:id="207" w:name="_Toc312678020"/>
      <w:bookmarkStart w:id="208" w:name="_Toc296346669"/>
      <w:bookmarkStart w:id="209" w:name="_Toc303539137"/>
      <w:bookmarkStart w:id="210" w:name="_Toc318581173"/>
      <w:bookmarkStart w:id="211" w:name="_Toc267251424"/>
      <w:bookmarkStart w:id="212" w:name="_Toc280868656"/>
      <w:bookmarkStart w:id="213" w:name="_Toc280868655"/>
      <w:r>
        <w:rPr>
          <w:rFonts w:hint="eastAsia" w:hAnsi="仿宋"/>
          <w:sz w:val="21"/>
          <w:szCs w:val="21"/>
        </w:rPr>
        <w:t>8.6 样品</w:t>
      </w:r>
    </w:p>
    <w:p w14:paraId="35ACCD5D">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8.6.1样品的报送与封存</w:t>
      </w:r>
    </w:p>
    <w:p w14:paraId="7C24ECEC">
      <w:pPr>
        <w:autoSpaceDE w:val="0"/>
        <w:autoSpaceDN w:val="0"/>
        <w:adjustRightInd w:val="0"/>
        <w:spacing w:line="380" w:lineRule="exact"/>
        <w:ind w:firstLine="420" w:firstLineChars="200"/>
        <w:rPr>
          <w:rFonts w:hAnsi="仿宋"/>
          <w:sz w:val="21"/>
          <w:szCs w:val="21"/>
        </w:rPr>
      </w:pPr>
      <w:r>
        <w:rPr>
          <w:rFonts w:hint="eastAsia" w:hAnsi="仿宋"/>
          <w:kern w:val="0"/>
          <w:sz w:val="21"/>
          <w:szCs w:val="21"/>
        </w:rPr>
        <w:t>需要承包人报送样品的材料或工程设备，样品的种类、名称、规格、数量要求：</w:t>
      </w:r>
      <w:r>
        <w:rPr>
          <w:rFonts w:hint="eastAsia" w:hAnsi="仿宋"/>
          <w:sz w:val="21"/>
          <w:szCs w:val="21"/>
          <w:u w:val="single"/>
        </w:rPr>
        <w:t>（如有要封存样品，明确具体样品名称）</w:t>
      </w:r>
      <w:r>
        <w:rPr>
          <w:rFonts w:hint="eastAsia" w:hAnsi="仿宋"/>
          <w:sz w:val="21"/>
          <w:szCs w:val="21"/>
        </w:rPr>
        <w:t>。</w:t>
      </w:r>
    </w:p>
    <w:p w14:paraId="2CC70F5E">
      <w:pPr>
        <w:spacing w:line="380" w:lineRule="exact"/>
        <w:ind w:firstLine="420" w:firstLineChars="200"/>
        <w:rPr>
          <w:rFonts w:hAnsi="仿宋"/>
          <w:sz w:val="21"/>
          <w:szCs w:val="21"/>
        </w:rPr>
      </w:pPr>
      <w:r>
        <w:rPr>
          <w:rFonts w:hint="eastAsia" w:hAnsi="仿宋"/>
          <w:sz w:val="21"/>
          <w:szCs w:val="21"/>
        </w:rPr>
        <w:t>8.8 施工设备和临时设施</w:t>
      </w:r>
    </w:p>
    <w:p w14:paraId="7515A394">
      <w:pPr>
        <w:autoSpaceDE w:val="0"/>
        <w:autoSpaceDN w:val="0"/>
        <w:adjustRightInd w:val="0"/>
        <w:spacing w:line="380" w:lineRule="exact"/>
        <w:ind w:firstLine="420" w:firstLineChars="200"/>
        <w:rPr>
          <w:rFonts w:hAnsi="仿宋"/>
          <w:sz w:val="21"/>
          <w:szCs w:val="21"/>
        </w:rPr>
      </w:pPr>
      <w:r>
        <w:rPr>
          <w:rFonts w:hint="eastAsia" w:hAnsi="仿宋"/>
          <w:sz w:val="21"/>
          <w:szCs w:val="21"/>
        </w:rPr>
        <w:t>8.8.1承包人提供的施工设备和临时设施</w:t>
      </w:r>
    </w:p>
    <w:p w14:paraId="0663786D">
      <w:pPr>
        <w:autoSpaceDE w:val="0"/>
        <w:autoSpaceDN w:val="0"/>
        <w:adjustRightInd w:val="0"/>
        <w:spacing w:line="380" w:lineRule="exact"/>
        <w:ind w:firstLine="420" w:firstLineChars="200"/>
        <w:rPr>
          <w:rFonts w:hAnsi="仿宋"/>
          <w:sz w:val="21"/>
          <w:szCs w:val="21"/>
        </w:rPr>
      </w:pPr>
      <w:r>
        <w:rPr>
          <w:rFonts w:hint="eastAsia" w:hAnsi="仿宋"/>
          <w:sz w:val="21"/>
          <w:szCs w:val="21"/>
        </w:rPr>
        <w:t>关于修建临时设施费用承担的约定：</w:t>
      </w:r>
      <w:r>
        <w:rPr>
          <w:rFonts w:hint="eastAsia" w:hAnsi="仿宋"/>
          <w:sz w:val="21"/>
          <w:szCs w:val="21"/>
          <w:u w:val="single"/>
        </w:rPr>
        <w:t>由承包人承担</w:t>
      </w:r>
      <w:r>
        <w:rPr>
          <w:rFonts w:hint="eastAsia" w:hAnsi="仿宋"/>
          <w:sz w:val="21"/>
          <w:szCs w:val="21"/>
        </w:rPr>
        <w:t>。</w:t>
      </w:r>
    </w:p>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14:paraId="6E1973AF">
      <w:pPr>
        <w:pStyle w:val="8"/>
        <w:keepNext w:val="0"/>
        <w:keepLines w:val="0"/>
        <w:spacing w:before="0" w:after="0" w:line="380" w:lineRule="exact"/>
        <w:rPr>
          <w:rFonts w:ascii="黑体" w:hAnsi="黑体"/>
          <w:b w:val="0"/>
          <w:sz w:val="21"/>
          <w:szCs w:val="21"/>
        </w:rPr>
      </w:pPr>
      <w:bookmarkStart w:id="214" w:name="_Toc351203641"/>
      <w:r>
        <w:rPr>
          <w:rFonts w:hint="eastAsia" w:ascii="黑体" w:hAnsi="黑体"/>
          <w:b w:val="0"/>
          <w:sz w:val="21"/>
          <w:szCs w:val="21"/>
        </w:rPr>
        <w:t>9</w:t>
      </w:r>
      <w:bookmarkEnd w:id="211"/>
      <w:bookmarkEnd w:id="212"/>
      <w:bookmarkEnd w:id="213"/>
      <w:bookmarkStart w:id="215" w:name="_Toc297123533"/>
      <w:bookmarkStart w:id="216" w:name="_Toc303539139"/>
      <w:bookmarkStart w:id="217" w:name="_Toc312677495"/>
      <w:bookmarkStart w:id="218" w:name="_Toc312678021"/>
      <w:bookmarkStart w:id="219" w:name="_Toc297216192"/>
      <w:bookmarkStart w:id="220" w:name="_Toc304295559"/>
      <w:bookmarkStart w:id="221" w:name="_Toc300934982"/>
      <w:bookmarkStart w:id="222" w:name="_Toc296891001"/>
      <w:bookmarkStart w:id="223" w:name="_Toc296944512"/>
      <w:bookmarkStart w:id="224" w:name="_Toc296503173"/>
      <w:bookmarkStart w:id="225" w:name="_Toc297120473"/>
      <w:bookmarkStart w:id="226" w:name="_Toc296347172"/>
      <w:bookmarkStart w:id="227" w:name="_Toc292559378"/>
      <w:bookmarkStart w:id="228" w:name="_Toc296346674"/>
      <w:bookmarkStart w:id="229" w:name="_Toc297048359"/>
      <w:bookmarkStart w:id="230" w:name="_Toc296891213"/>
      <w:bookmarkStart w:id="231" w:name="_Toc267251428"/>
      <w:bookmarkStart w:id="232" w:name="_Toc292559883"/>
      <w:bookmarkStart w:id="233" w:name="_Toc267251427"/>
      <w:r>
        <w:rPr>
          <w:rFonts w:hint="eastAsia" w:ascii="黑体" w:hAnsi="黑体"/>
          <w:b w:val="0"/>
          <w:sz w:val="21"/>
          <w:szCs w:val="21"/>
        </w:rPr>
        <w:t>．试验与检验</w:t>
      </w:r>
      <w:bookmarkEnd w:id="214"/>
    </w:p>
    <w:bookmarkEnd w:id="215"/>
    <w:bookmarkEnd w:id="216"/>
    <w:bookmarkEnd w:id="217"/>
    <w:bookmarkEnd w:id="218"/>
    <w:bookmarkEnd w:id="219"/>
    <w:bookmarkEnd w:id="220"/>
    <w:bookmarkEnd w:id="221"/>
    <w:p w14:paraId="2457AA7D">
      <w:pPr>
        <w:spacing w:line="380" w:lineRule="exact"/>
        <w:ind w:firstLine="420" w:firstLineChars="200"/>
        <w:rPr>
          <w:rFonts w:hAnsi="仿宋"/>
          <w:sz w:val="21"/>
          <w:szCs w:val="21"/>
        </w:rPr>
      </w:pPr>
      <w:r>
        <w:rPr>
          <w:rFonts w:hint="eastAsia" w:hAnsi="仿宋"/>
          <w:sz w:val="21"/>
          <w:szCs w:val="21"/>
        </w:rPr>
        <w:t>9</w:t>
      </w:r>
      <w:bookmarkStart w:id="234" w:name="_Toc312678022"/>
      <w:bookmarkStart w:id="235" w:name="_Toc303539140"/>
      <w:bookmarkStart w:id="236" w:name="_Toc297216193"/>
      <w:bookmarkStart w:id="237" w:name="_Toc304295560"/>
      <w:bookmarkStart w:id="238" w:name="_Toc300934983"/>
      <w:bookmarkStart w:id="239" w:name="_Toc297123534"/>
      <w:bookmarkStart w:id="240" w:name="_Toc312677496"/>
      <w:r>
        <w:rPr>
          <w:rFonts w:hint="eastAsia" w:hAnsi="仿宋"/>
          <w:sz w:val="21"/>
          <w:szCs w:val="21"/>
        </w:rPr>
        <w:t>.1试验设备与试验人员</w:t>
      </w:r>
    </w:p>
    <w:bookmarkEnd w:id="234"/>
    <w:bookmarkEnd w:id="235"/>
    <w:bookmarkEnd w:id="236"/>
    <w:bookmarkEnd w:id="237"/>
    <w:bookmarkEnd w:id="238"/>
    <w:bookmarkEnd w:id="239"/>
    <w:bookmarkEnd w:id="240"/>
    <w:p w14:paraId="55AA32FA">
      <w:pPr>
        <w:spacing w:line="380" w:lineRule="exact"/>
        <w:ind w:firstLine="420" w:firstLineChars="200"/>
        <w:rPr>
          <w:rFonts w:hAnsi="仿宋"/>
          <w:sz w:val="21"/>
          <w:szCs w:val="21"/>
        </w:rPr>
      </w:pPr>
      <w:r>
        <w:rPr>
          <w:rFonts w:hint="eastAsia" w:hAnsi="仿宋"/>
          <w:sz w:val="21"/>
          <w:szCs w:val="21"/>
        </w:rPr>
        <w:t>9</w:t>
      </w:r>
      <w:bookmarkStart w:id="241" w:name="_Toc312678023"/>
      <w:bookmarkStart w:id="242" w:name="_Toc312677497"/>
      <w:bookmarkStart w:id="243" w:name="_Toc303539141"/>
      <w:bookmarkStart w:id="244" w:name="_Toc297123535"/>
      <w:bookmarkStart w:id="245" w:name="_Toc297216194"/>
      <w:bookmarkStart w:id="246" w:name="_Toc304295561"/>
      <w:bookmarkStart w:id="247" w:name="_Toc300934984"/>
      <w:bookmarkStart w:id="248" w:name="_Toc318581174"/>
      <w:r>
        <w:rPr>
          <w:rFonts w:hint="eastAsia" w:hAnsi="仿宋"/>
          <w:sz w:val="21"/>
          <w:szCs w:val="21"/>
        </w:rPr>
        <w:t>.1.2试验设备</w:t>
      </w:r>
    </w:p>
    <w:p w14:paraId="5750AE07">
      <w:pPr>
        <w:spacing w:line="380" w:lineRule="exact"/>
        <w:ind w:firstLine="420" w:firstLineChars="200"/>
        <w:rPr>
          <w:rFonts w:hAnsi="仿宋"/>
          <w:sz w:val="21"/>
          <w:szCs w:val="21"/>
        </w:rPr>
      </w:pPr>
      <w:r>
        <w:rPr>
          <w:rFonts w:hint="eastAsia" w:hAnsi="仿宋"/>
          <w:sz w:val="21"/>
          <w:szCs w:val="21"/>
        </w:rPr>
        <w:t>施工现场需要配置的试验场所：</w:t>
      </w:r>
      <w:bookmarkEnd w:id="241"/>
      <w:bookmarkEnd w:id="242"/>
      <w:bookmarkEnd w:id="243"/>
      <w:bookmarkEnd w:id="244"/>
      <w:bookmarkEnd w:id="245"/>
      <w:bookmarkEnd w:id="246"/>
      <w:bookmarkEnd w:id="247"/>
      <w:bookmarkStart w:id="249" w:name="_Toc312677498"/>
      <w:bookmarkStart w:id="250" w:name="_Toc312678024"/>
      <w:bookmarkStart w:id="251" w:name="_Toc303539142"/>
      <w:bookmarkStart w:id="252" w:name="_Toc297216195"/>
      <w:bookmarkStart w:id="253" w:name="_Toc300934985"/>
      <w:bookmarkStart w:id="254" w:name="_Toc297123536"/>
      <w:bookmarkStart w:id="255" w:name="_Toc304295562"/>
      <w:r>
        <w:rPr>
          <w:rFonts w:hint="eastAsia" w:hAnsi="仿宋"/>
          <w:sz w:val="21"/>
          <w:szCs w:val="21"/>
          <w:u w:val="single"/>
        </w:rPr>
        <w:t>按规范及（当地）建设行政主管部门要求配置</w:t>
      </w:r>
      <w:r>
        <w:rPr>
          <w:rFonts w:hint="eastAsia" w:hAnsi="仿宋"/>
          <w:sz w:val="21"/>
          <w:szCs w:val="21"/>
        </w:rPr>
        <w:t>。</w:t>
      </w:r>
    </w:p>
    <w:p w14:paraId="042F3278">
      <w:pPr>
        <w:spacing w:line="380" w:lineRule="exact"/>
        <w:ind w:firstLine="420" w:firstLineChars="200"/>
        <w:rPr>
          <w:rFonts w:hAnsi="仿宋"/>
          <w:sz w:val="21"/>
          <w:szCs w:val="21"/>
        </w:rPr>
      </w:pPr>
      <w:r>
        <w:rPr>
          <w:rFonts w:hint="eastAsia" w:hAnsi="仿宋"/>
          <w:sz w:val="21"/>
          <w:szCs w:val="21"/>
        </w:rPr>
        <w:t>施工现场需要配备的试验设备：</w:t>
      </w:r>
      <w:r>
        <w:rPr>
          <w:rFonts w:hint="eastAsia" w:hAnsi="仿宋"/>
          <w:sz w:val="21"/>
          <w:szCs w:val="21"/>
          <w:u w:val="single"/>
        </w:rPr>
        <w:t>按规范及（当地）建设行政主管部门要求配置</w:t>
      </w:r>
      <w:r>
        <w:rPr>
          <w:rFonts w:hint="eastAsia" w:hAnsi="仿宋"/>
          <w:sz w:val="21"/>
          <w:szCs w:val="21"/>
        </w:rPr>
        <w:t>。</w:t>
      </w:r>
    </w:p>
    <w:p w14:paraId="23114747">
      <w:pPr>
        <w:spacing w:line="380" w:lineRule="exact"/>
        <w:ind w:firstLine="420" w:firstLineChars="200"/>
        <w:rPr>
          <w:rFonts w:hAnsi="仿宋"/>
          <w:sz w:val="21"/>
          <w:szCs w:val="21"/>
        </w:rPr>
      </w:pPr>
      <w:r>
        <w:rPr>
          <w:rFonts w:hint="eastAsia" w:hAnsi="仿宋"/>
          <w:sz w:val="21"/>
          <w:szCs w:val="21"/>
        </w:rPr>
        <w:t>施工现场需要具备的其他试验条件：</w:t>
      </w:r>
      <w:r>
        <w:rPr>
          <w:rFonts w:hint="eastAsia" w:hAnsi="仿宋"/>
          <w:sz w:val="21"/>
          <w:szCs w:val="21"/>
          <w:u w:val="single"/>
        </w:rPr>
        <w:t>按规范及（当地）建设行政主管部门要求配置</w:t>
      </w:r>
      <w:r>
        <w:rPr>
          <w:rFonts w:hint="eastAsia" w:hAnsi="仿宋"/>
          <w:sz w:val="21"/>
          <w:szCs w:val="21"/>
        </w:rPr>
        <w:t>。</w:t>
      </w:r>
    </w:p>
    <w:p w14:paraId="655CE8DF">
      <w:pPr>
        <w:spacing w:line="380" w:lineRule="exact"/>
        <w:ind w:firstLine="420" w:firstLineChars="200"/>
        <w:rPr>
          <w:rFonts w:hAnsi="仿宋"/>
          <w:sz w:val="21"/>
          <w:szCs w:val="21"/>
        </w:rPr>
      </w:pPr>
      <w:r>
        <w:rPr>
          <w:rFonts w:hint="eastAsia" w:hAnsi="仿宋"/>
          <w:sz w:val="21"/>
          <w:szCs w:val="21"/>
        </w:rPr>
        <w:t>9.3 材料、工程设备和工程的试验和检验</w:t>
      </w:r>
    </w:p>
    <w:p w14:paraId="665DA38B">
      <w:pPr>
        <w:spacing w:line="380" w:lineRule="exact"/>
        <w:ind w:firstLine="420" w:firstLineChars="200"/>
        <w:rPr>
          <w:rFonts w:hAnsi="仿宋"/>
          <w:sz w:val="21"/>
          <w:szCs w:val="21"/>
          <w:u w:val="single"/>
        </w:rPr>
      </w:pPr>
      <w:r>
        <w:rPr>
          <w:rFonts w:hint="eastAsia" w:hAnsi="仿宋"/>
          <w:sz w:val="21"/>
          <w:szCs w:val="21"/>
        </w:rPr>
        <w:t>9.3.4材料、设备和工程的试验和检验的费用：</w:t>
      </w:r>
      <w:r>
        <w:rPr>
          <w:rFonts w:hint="eastAsia" w:hAnsi="仿宋"/>
          <w:sz w:val="21"/>
          <w:szCs w:val="21"/>
          <w:u w:val="single"/>
        </w:rPr>
        <w:t>（1）材料、设备和工程的试验按《建设工程质量管理条例》、《房屋建筑工程和市政基础设施工程实行见证取样和送检的规定》、《浙江省房屋建筑和市政基础设施工程质量检测管理实施办法》等及工程所在地有关工程质量检测的规定实施。</w:t>
      </w:r>
    </w:p>
    <w:p w14:paraId="580E5335">
      <w:pPr>
        <w:spacing w:line="380" w:lineRule="exact"/>
        <w:ind w:firstLine="420" w:firstLineChars="200"/>
        <w:rPr>
          <w:rFonts w:hAnsi="仿宋"/>
          <w:sz w:val="21"/>
          <w:szCs w:val="21"/>
          <w:u w:val="single"/>
        </w:rPr>
      </w:pPr>
      <w:r>
        <w:rPr>
          <w:rFonts w:hint="eastAsia" w:hAnsi="仿宋"/>
          <w:sz w:val="21"/>
          <w:szCs w:val="21"/>
          <w:u w:val="single"/>
        </w:rPr>
        <w:t>（2）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w:t>
      </w:r>
      <w:r>
        <w:rPr>
          <w:rFonts w:hint="eastAsia" w:hAnsi="仿宋" w:eastAsia="宋体"/>
          <w:sz w:val="21"/>
          <w:szCs w:val="21"/>
          <w:u w:val="single"/>
        </w:rPr>
        <w:t>承包人</w:t>
      </w:r>
      <w:r>
        <w:rPr>
          <w:rFonts w:hint="eastAsia" w:hAnsi="仿宋"/>
          <w:sz w:val="21"/>
          <w:szCs w:val="21"/>
          <w:u w:val="single"/>
        </w:rPr>
        <w:t>承担。</w:t>
      </w:r>
    </w:p>
    <w:p w14:paraId="4EABBFF4">
      <w:pPr>
        <w:spacing w:line="380" w:lineRule="exact"/>
        <w:ind w:firstLine="420" w:firstLineChars="200"/>
        <w:rPr>
          <w:rFonts w:hAnsi="仿宋"/>
          <w:sz w:val="21"/>
          <w:szCs w:val="21"/>
          <w:u w:val="single"/>
        </w:rPr>
      </w:pPr>
      <w:r>
        <w:rPr>
          <w:rFonts w:hint="eastAsia" w:hAnsi="仿宋"/>
          <w:sz w:val="21"/>
          <w:szCs w:val="21"/>
          <w:u w:val="single"/>
        </w:rPr>
        <w:t>（3）当发包人或监理人指示承包人为核实本工程某一部分或某种材料设备是否有缺陷时，承包人应按要求进行检（试）验。如果该检（试）验表明确有缺陷存在，则检（试）验和试样的费用，发包人供应材料设备的，由</w:t>
      </w:r>
      <w:r>
        <w:rPr>
          <w:rFonts w:hint="eastAsia" w:hAnsi="仿宋" w:eastAsia="宋体"/>
          <w:sz w:val="21"/>
          <w:szCs w:val="21"/>
          <w:u w:val="single"/>
        </w:rPr>
        <w:t>承包人</w:t>
      </w:r>
      <w:r>
        <w:rPr>
          <w:rFonts w:hint="eastAsia" w:hAnsi="仿宋"/>
          <w:sz w:val="21"/>
          <w:szCs w:val="21"/>
          <w:u w:val="single"/>
        </w:rPr>
        <w:t>承担；承包人采购材料设备的，由承包人承担。如果该检（试）验表明没有缺陷，则由</w:t>
      </w:r>
      <w:r>
        <w:rPr>
          <w:rFonts w:hint="eastAsia" w:hAnsi="仿宋" w:eastAsia="宋体"/>
          <w:sz w:val="21"/>
          <w:szCs w:val="21"/>
          <w:u w:val="single"/>
        </w:rPr>
        <w:t>承包人</w:t>
      </w:r>
      <w:r>
        <w:rPr>
          <w:rFonts w:hint="eastAsia" w:hAnsi="仿宋"/>
          <w:sz w:val="21"/>
          <w:szCs w:val="21"/>
          <w:u w:val="single"/>
        </w:rPr>
        <w:t>承担检（试）验和试样的费用。</w:t>
      </w:r>
    </w:p>
    <w:p w14:paraId="00354DBB">
      <w:pPr>
        <w:spacing w:line="380" w:lineRule="exact"/>
        <w:ind w:firstLine="420" w:firstLineChars="200"/>
        <w:rPr>
          <w:rFonts w:hAnsi="仿宋"/>
          <w:sz w:val="21"/>
          <w:szCs w:val="21"/>
          <w:u w:val="single"/>
        </w:rPr>
      </w:pPr>
      <w:r>
        <w:rPr>
          <w:rFonts w:hint="eastAsia" w:hAnsi="仿宋"/>
          <w:sz w:val="21"/>
          <w:szCs w:val="21"/>
          <w:u w:val="single"/>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w:t>
      </w:r>
      <w:r>
        <w:rPr>
          <w:rFonts w:hint="eastAsia" w:hAnsi="仿宋" w:eastAsia="宋体"/>
          <w:sz w:val="21"/>
          <w:szCs w:val="21"/>
          <w:u w:val="single"/>
        </w:rPr>
        <w:t>承包人</w:t>
      </w:r>
      <w:r>
        <w:rPr>
          <w:rFonts w:hint="eastAsia" w:hAnsi="仿宋"/>
          <w:sz w:val="21"/>
          <w:szCs w:val="21"/>
          <w:u w:val="single"/>
        </w:rPr>
        <w:t>承担。如检测不合格，则由承包人承担重新检测、恢复费用。</w:t>
      </w:r>
    </w:p>
    <w:p w14:paraId="3E878D20">
      <w:pPr>
        <w:spacing w:line="380" w:lineRule="exact"/>
        <w:ind w:firstLine="420" w:firstLineChars="200"/>
        <w:rPr>
          <w:rFonts w:hAnsi="仿宋"/>
          <w:sz w:val="21"/>
          <w:szCs w:val="21"/>
        </w:rPr>
      </w:pPr>
      <w:r>
        <w:rPr>
          <w:rFonts w:hint="eastAsia" w:hAnsi="仿宋"/>
          <w:sz w:val="21"/>
          <w:szCs w:val="21"/>
        </w:rPr>
        <w:t>9.4 现场工艺试验</w:t>
      </w:r>
    </w:p>
    <w:p w14:paraId="44E0679E">
      <w:pPr>
        <w:spacing w:line="380" w:lineRule="exact"/>
        <w:ind w:firstLine="420" w:firstLineChars="200"/>
        <w:rPr>
          <w:rFonts w:hAnsi="仿宋"/>
          <w:sz w:val="21"/>
          <w:szCs w:val="21"/>
        </w:rPr>
      </w:pPr>
      <w:r>
        <w:rPr>
          <w:rFonts w:hint="eastAsia" w:hAnsi="仿宋"/>
          <w:sz w:val="21"/>
          <w:szCs w:val="21"/>
        </w:rPr>
        <w:t>现场工艺试验的有关约定：。</w:t>
      </w:r>
    </w:p>
    <w:bookmarkEnd w:id="248"/>
    <w:bookmarkEnd w:id="249"/>
    <w:bookmarkEnd w:id="250"/>
    <w:bookmarkEnd w:id="251"/>
    <w:bookmarkEnd w:id="252"/>
    <w:bookmarkEnd w:id="253"/>
    <w:bookmarkEnd w:id="254"/>
    <w:bookmarkEnd w:id="255"/>
    <w:p w14:paraId="2B4DC0A2">
      <w:pPr>
        <w:pStyle w:val="8"/>
        <w:keepNext w:val="0"/>
        <w:keepLines w:val="0"/>
        <w:spacing w:before="0" w:after="0" w:line="380" w:lineRule="exact"/>
        <w:rPr>
          <w:rFonts w:ascii="黑体" w:hAnsi="黑体"/>
          <w:b w:val="0"/>
          <w:sz w:val="21"/>
          <w:szCs w:val="21"/>
        </w:rPr>
      </w:pPr>
      <w:bookmarkStart w:id="256" w:name="_Toc351203642"/>
      <w:r>
        <w:rPr>
          <w:rFonts w:hint="eastAsia" w:ascii="黑体" w:hAnsi="黑体"/>
          <w:b w:val="0"/>
          <w:sz w:val="21"/>
          <w:szCs w:val="21"/>
        </w:rPr>
        <w:t>1</w:t>
      </w:r>
      <w:bookmarkEnd w:id="222"/>
      <w:bookmarkEnd w:id="223"/>
      <w:bookmarkEnd w:id="224"/>
      <w:bookmarkEnd w:id="225"/>
      <w:bookmarkEnd w:id="226"/>
      <w:bookmarkEnd w:id="227"/>
      <w:bookmarkEnd w:id="228"/>
      <w:bookmarkEnd w:id="229"/>
      <w:bookmarkEnd w:id="230"/>
      <w:bookmarkEnd w:id="231"/>
      <w:bookmarkEnd w:id="232"/>
      <w:bookmarkEnd w:id="233"/>
      <w:bookmarkStart w:id="257" w:name="_Toc297216199"/>
      <w:bookmarkStart w:id="258" w:name="_Toc296347192"/>
      <w:bookmarkStart w:id="259" w:name="_Toc297123540"/>
      <w:bookmarkStart w:id="260" w:name="_Toc303539146"/>
      <w:bookmarkStart w:id="261" w:name="_Toc292559903"/>
      <w:bookmarkStart w:id="262" w:name="_Toc296891021"/>
      <w:bookmarkStart w:id="263" w:name="_Toc304295566"/>
      <w:bookmarkStart w:id="264" w:name="_Toc300934989"/>
      <w:bookmarkStart w:id="265" w:name="_Toc297048379"/>
      <w:bookmarkStart w:id="266" w:name="_Toc296944532"/>
      <w:bookmarkStart w:id="267" w:name="_Toc297120493"/>
      <w:bookmarkStart w:id="268" w:name="_Toc296503193"/>
      <w:bookmarkStart w:id="269" w:name="_Toc292559398"/>
      <w:bookmarkStart w:id="270" w:name="_Toc296346694"/>
      <w:bookmarkStart w:id="271" w:name="_Toc296891233"/>
      <w:bookmarkStart w:id="272" w:name="_Toc312678025"/>
      <w:bookmarkStart w:id="273" w:name="_Toc312677499"/>
      <w:bookmarkStart w:id="274" w:name="_Toc267251435"/>
      <w:bookmarkStart w:id="275" w:name="_Toc267251441"/>
      <w:bookmarkStart w:id="276" w:name="_Toc267251433"/>
      <w:bookmarkStart w:id="277" w:name="_Toc267251440"/>
      <w:bookmarkStart w:id="278" w:name="_Toc267251439"/>
      <w:bookmarkStart w:id="279" w:name="_Toc267251437"/>
      <w:bookmarkStart w:id="280" w:name="_Toc267251442"/>
      <w:r>
        <w:rPr>
          <w:rFonts w:hint="eastAsia" w:ascii="黑体" w:hAnsi="黑体"/>
          <w:b w:val="0"/>
          <w:sz w:val="21"/>
          <w:szCs w:val="21"/>
        </w:rPr>
        <w:t>0．变更</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bookmarkEnd w:id="272"/>
    <w:bookmarkEnd w:id="273"/>
    <w:p w14:paraId="56B89199">
      <w:pPr>
        <w:spacing w:line="360" w:lineRule="auto"/>
        <w:ind w:firstLine="420" w:firstLineChars="200"/>
        <w:rPr>
          <w:rFonts w:hAnsi="仿宋"/>
          <w:b/>
          <w:bCs/>
          <w:sz w:val="21"/>
          <w:szCs w:val="21"/>
        </w:rPr>
      </w:pPr>
      <w:r>
        <w:rPr>
          <w:rFonts w:hint="eastAsia" w:hAnsi="仿宋"/>
          <w:b/>
          <w:bCs/>
          <w:sz w:val="21"/>
          <w:szCs w:val="21"/>
        </w:rPr>
        <w:t>1</w:t>
      </w:r>
      <w:bookmarkStart w:id="281" w:name="_Toc296347193"/>
      <w:bookmarkStart w:id="282" w:name="_Toc304295567"/>
      <w:bookmarkStart w:id="283" w:name="_Toc292559399"/>
      <w:bookmarkStart w:id="284" w:name="_Toc292559904"/>
      <w:bookmarkStart w:id="285" w:name="_Toc303539147"/>
      <w:bookmarkStart w:id="286" w:name="_Toc296891234"/>
      <w:bookmarkStart w:id="287" w:name="_Toc297123541"/>
      <w:bookmarkStart w:id="288" w:name="_Toc297048380"/>
      <w:bookmarkStart w:id="289" w:name="_Toc296944533"/>
      <w:bookmarkStart w:id="290" w:name="_Toc297216200"/>
      <w:bookmarkStart w:id="291" w:name="_Toc296503194"/>
      <w:bookmarkStart w:id="292" w:name="_Toc300934990"/>
      <w:bookmarkStart w:id="293" w:name="_Toc296891022"/>
      <w:bookmarkStart w:id="294" w:name="_Toc312677500"/>
      <w:bookmarkStart w:id="295" w:name="_Toc296346695"/>
      <w:bookmarkStart w:id="296" w:name="_Toc297120494"/>
      <w:bookmarkStart w:id="297" w:name="_Toc312678026"/>
      <w:r>
        <w:rPr>
          <w:rFonts w:hint="eastAsia" w:hAnsi="仿宋"/>
          <w:b/>
          <w:bCs/>
          <w:sz w:val="21"/>
          <w:szCs w:val="21"/>
        </w:rPr>
        <w:t>0.1 变更的范围</w:t>
      </w:r>
    </w:p>
    <w:p w14:paraId="3AB8C5C3">
      <w:pPr>
        <w:spacing w:line="360" w:lineRule="auto"/>
        <w:ind w:firstLine="422" w:firstLineChars="200"/>
        <w:jc w:val="left"/>
        <w:rPr>
          <w:rFonts w:ascii="宋体" w:hAnsi="宋体" w:eastAsia="宋体" w:cs="宋体"/>
          <w:b/>
          <w:bCs/>
          <w:sz w:val="21"/>
          <w:szCs w:val="21"/>
        </w:rPr>
      </w:pPr>
      <w:r>
        <w:rPr>
          <w:rFonts w:hint="eastAsia" w:ascii="宋体" w:hAnsi="宋体" w:eastAsia="宋体" w:cs="宋体"/>
          <w:b/>
          <w:bCs/>
          <w:sz w:val="21"/>
          <w:szCs w:val="21"/>
        </w:rPr>
        <w:t>关于变更的范围的约定：</w:t>
      </w:r>
      <w:r>
        <w:rPr>
          <w:rFonts w:hint="eastAsia" w:ascii="宋体" w:hAnsi="宋体" w:eastAsia="宋体" w:cs="宋体"/>
          <w:b/>
          <w:bCs/>
          <w:sz w:val="21"/>
          <w:szCs w:val="21"/>
          <w:u w:val="single"/>
        </w:rPr>
        <w:t>当事人应按照《政府采购法》、浙财采监[2017]11号《浙江省财政厅关于印发浙江省政府采购合同暂行办法的通知》及台州市的相关文件执行。</w:t>
      </w:r>
    </w:p>
    <w:p w14:paraId="5D6C8A3E">
      <w:pPr>
        <w:spacing w:line="360" w:lineRule="exact"/>
        <w:ind w:firstLine="420" w:firstLineChars="200"/>
        <w:rPr>
          <w:rFonts w:hAnsi="仿宋"/>
          <w:sz w:val="21"/>
          <w:szCs w:val="21"/>
        </w:rPr>
      </w:pPr>
      <w:r>
        <w:rPr>
          <w:rFonts w:hint="eastAsia" w:hAnsi="仿宋"/>
          <w:sz w:val="21"/>
          <w:szCs w:val="21"/>
        </w:rPr>
        <w:t>10.4 变更估价</w:t>
      </w:r>
    </w:p>
    <w:p w14:paraId="06D67D01">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10.4.1变更估价原则</w:t>
      </w:r>
    </w:p>
    <w:p w14:paraId="383F8585">
      <w:pPr>
        <w:spacing w:line="360" w:lineRule="exact"/>
        <w:ind w:firstLine="420" w:firstLineChars="200"/>
        <w:rPr>
          <w:rFonts w:ascii="宋体" w:hAnsi="宋体" w:cs="宋体"/>
          <w:sz w:val="21"/>
          <w:szCs w:val="21"/>
        </w:rPr>
      </w:pPr>
      <w:r>
        <w:rPr>
          <w:rFonts w:hint="eastAsia" w:ascii="宋体" w:hAnsi="宋体" w:cs="宋体"/>
          <w:sz w:val="21"/>
          <w:szCs w:val="21"/>
        </w:rPr>
        <w:t>关于变更估价的约定</w:t>
      </w:r>
      <w:r>
        <w:rPr>
          <w:rFonts w:ascii="宋体" w:hAnsi="宋体" w:cs="宋体"/>
          <w:sz w:val="21"/>
          <w:szCs w:val="21"/>
        </w:rPr>
        <w:t xml:space="preserve">: </w:t>
      </w:r>
    </w:p>
    <w:p w14:paraId="069F3631">
      <w:pPr>
        <w:spacing w:line="360" w:lineRule="exact"/>
        <w:ind w:firstLine="315" w:firstLineChars="150"/>
        <w:rPr>
          <w:rFonts w:ascii="宋体" w:hAnsi="宋体" w:cs="宋体"/>
          <w:sz w:val="21"/>
          <w:szCs w:val="21"/>
          <w:u w:val="single"/>
        </w:rPr>
      </w:pPr>
      <w:r>
        <w:rPr>
          <w:rFonts w:hint="eastAsia" w:ascii="宋体" w:hAnsi="宋体" w:cs="宋体"/>
          <w:sz w:val="21"/>
          <w:szCs w:val="21"/>
          <w:u w:val="single"/>
        </w:rPr>
        <w:t>（1）变更后项目与预算书已标价工程量清单中有相同项目的，按照相同项目综合单价确定。如该综合单价异常，则预算书中已标价工程量清单合价金额占签约合同价2%及以上的分部分项清单项目，其工程量增加超过本项目工程数量15%及以上时；或预算书中已标价工程量清单合价金额占签约合同价不到2%的分部分项清单项目，但其工程量增加超过本项目工程数量25%及以上时，该分部分项清单超过约定幅度外部分工程量的综合单价按专用条款10.4.1（2）（3）条约定调整。</w:t>
      </w:r>
    </w:p>
    <w:p w14:paraId="47B966FA">
      <w:pPr>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综合单价异常是指：预算综合单价与按合同规定的计价依据计算的综合单价偏差±30%以上。</w:t>
      </w:r>
    </w:p>
    <w:p w14:paraId="7159D329">
      <w:pPr>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（2）变更后项目与预算书已标价工程量清单中没有适用的综合单价，但有类似的工程项目综合单价，承包人可参照类似工程项目综合单价计算，报发包人确定。</w:t>
      </w:r>
    </w:p>
    <w:p w14:paraId="7D6E3787">
      <w:pPr>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a、某种材料（或半成品及成品）等级、标准变化的，清单组合子目不变，仅调整不同的材料市场价格之差；</w:t>
      </w:r>
    </w:p>
    <w:p w14:paraId="6C4046D2">
      <w:pPr>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b、清单项目组合内容中某一个（或多个）定额子目发生变化，不影响其他特征及工程内容价格的，仅调整发生变化的定额子目价格。</w:t>
      </w:r>
    </w:p>
    <w:p w14:paraId="10D944B9">
      <w:pPr>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c、如该类似工程项目的综合单价异常，则按专用条款10.4.1（3）款重新计算综合单价。</w:t>
      </w:r>
    </w:p>
    <w:p w14:paraId="47841448">
      <w:pPr>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（3）变更后项目与预算书已标价工程量清单中没有适用的综合单价，由承包人按招标控制价编制依据计算综合单价，编制变更项目的综合单价，报发包人审核后确定。</w:t>
      </w:r>
    </w:p>
    <w:p w14:paraId="559C3707">
      <w:pPr>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但确定的综合单价，合同中约定的人工、材料、机械可调整的内容，仍按合同约定调整。</w:t>
      </w:r>
    </w:p>
    <w:p w14:paraId="3304B9E0">
      <w:pPr>
        <w:spacing w:line="360" w:lineRule="exact"/>
        <w:ind w:firstLine="420" w:firstLineChars="200"/>
        <w:rPr>
          <w:rFonts w:ascii="宋体" w:hAnsi="宋体" w:cs="宋体"/>
          <w:bCs/>
          <w:sz w:val="21"/>
          <w:szCs w:val="21"/>
          <w:u w:val="single"/>
        </w:rPr>
      </w:pPr>
      <w:r>
        <w:rPr>
          <w:rFonts w:hint="eastAsia" w:ascii="宋体" w:hAnsi="宋体" w:cs="宋体"/>
          <w:sz w:val="21"/>
          <w:szCs w:val="21"/>
          <w:u w:val="single"/>
        </w:rPr>
        <w:t>如按以上编制依据缺项的内容，承包人应通过市场调查等手段提出单价，并报发包人确定后执行。</w:t>
      </w:r>
    </w:p>
    <w:p w14:paraId="2094C615">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10.4.2变更估价程序</w:t>
      </w:r>
    </w:p>
    <w:p w14:paraId="3B374F9E">
      <w:pPr>
        <w:spacing w:line="360" w:lineRule="auto"/>
        <w:ind w:firstLine="420" w:firstLineChars="200"/>
        <w:rPr>
          <w:rFonts w:ascii="宋体" w:hAnsi="宋体" w:eastAsia="宋体" w:cs="宋体"/>
          <w:sz w:val="21"/>
          <w:szCs w:val="21"/>
          <w:u w:val="single"/>
        </w:rPr>
      </w:pPr>
      <w:r>
        <w:rPr>
          <w:rFonts w:hint="eastAsia" w:ascii="宋体" w:hAnsi="宋体" w:eastAsia="宋体" w:cs="宋体"/>
          <w:sz w:val="21"/>
          <w:szCs w:val="21"/>
          <w:u w:val="single"/>
        </w:rPr>
        <w:t>承包人收到发包人、监理人、设计单位的变更指示后14天内向发包人提交变更估价申请。</w:t>
      </w:r>
    </w:p>
    <w:p w14:paraId="3BA39190">
      <w:pPr>
        <w:spacing w:line="360" w:lineRule="auto"/>
        <w:ind w:firstLine="420" w:firstLineChars="200"/>
        <w:rPr>
          <w:rFonts w:ascii="宋体" w:hAnsi="宋体" w:eastAsia="宋体" w:cs="宋体"/>
          <w:sz w:val="21"/>
          <w:szCs w:val="21"/>
          <w:u w:val="single"/>
        </w:rPr>
      </w:pPr>
      <w:r>
        <w:rPr>
          <w:rFonts w:hint="eastAsia" w:ascii="宋体" w:hAnsi="宋体" w:eastAsia="宋体" w:cs="宋体"/>
          <w:sz w:val="21"/>
          <w:szCs w:val="21"/>
          <w:u w:val="single"/>
        </w:rPr>
        <w:t>承包人提出工程变更、专项施工方案等变更应同时提交变更估价申请。</w:t>
      </w:r>
    </w:p>
    <w:p w14:paraId="0AE96809">
      <w:pPr>
        <w:spacing w:line="360" w:lineRule="auto"/>
        <w:ind w:firstLine="420" w:firstLineChars="200"/>
        <w:rPr>
          <w:rFonts w:ascii="宋体" w:hAnsi="宋体" w:eastAsia="宋体" w:cs="宋体"/>
          <w:sz w:val="21"/>
          <w:szCs w:val="21"/>
          <w:u w:val="single"/>
        </w:rPr>
      </w:pPr>
      <w:r>
        <w:rPr>
          <w:rFonts w:hint="eastAsia" w:ascii="宋体" w:hAnsi="宋体" w:eastAsia="宋体" w:cs="宋体"/>
          <w:sz w:val="21"/>
          <w:szCs w:val="21"/>
          <w:u w:val="single"/>
        </w:rPr>
        <w:t>承包人提交的变更估价申请，发包人和监理人应予以签收，并在14天内审批完毕。</w:t>
      </w:r>
    </w:p>
    <w:p w14:paraId="6E5E43F1">
      <w:pPr>
        <w:spacing w:line="380" w:lineRule="exact"/>
        <w:ind w:firstLine="420" w:firstLineChars="200"/>
        <w:rPr>
          <w:rFonts w:hAnsi="仿宋"/>
          <w:sz w:val="21"/>
          <w:szCs w:val="21"/>
        </w:rPr>
      </w:pPr>
      <w:r>
        <w:rPr>
          <w:rFonts w:hint="eastAsia" w:hAnsi="仿宋"/>
          <w:sz w:val="21"/>
          <w:szCs w:val="21"/>
        </w:rPr>
        <w:t>1</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Start w:id="298" w:name="_Toc297123544"/>
      <w:bookmarkStart w:id="299" w:name="_Toc292559907"/>
      <w:bookmarkStart w:id="300" w:name="_Toc297120497"/>
      <w:bookmarkStart w:id="301" w:name="_Toc296891237"/>
      <w:bookmarkStart w:id="302" w:name="_Toc297216203"/>
      <w:bookmarkStart w:id="303" w:name="_Toc296347196"/>
      <w:bookmarkStart w:id="304" w:name="_Toc292559402"/>
      <w:bookmarkStart w:id="305" w:name="_Toc296944536"/>
      <w:bookmarkStart w:id="306" w:name="_Toc296346698"/>
      <w:bookmarkStart w:id="307" w:name="_Toc296503197"/>
      <w:bookmarkStart w:id="308" w:name="_Toc296891025"/>
      <w:bookmarkStart w:id="309" w:name="_Toc303539150"/>
      <w:bookmarkStart w:id="310" w:name="_Toc297048383"/>
      <w:bookmarkStart w:id="311" w:name="_Toc300934993"/>
      <w:bookmarkStart w:id="312" w:name="_Toc312677503"/>
      <w:bookmarkStart w:id="313" w:name="_Toc312678029"/>
      <w:bookmarkStart w:id="314" w:name="_Toc304295570"/>
      <w:r>
        <w:rPr>
          <w:rFonts w:hint="eastAsia" w:hAnsi="仿宋"/>
          <w:sz w:val="21"/>
          <w:szCs w:val="21"/>
        </w:rPr>
        <w:t>0.5承</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Start w:id="315" w:name="_Toc297048389"/>
      <w:bookmarkStart w:id="316" w:name="_Toc297216204"/>
      <w:bookmarkStart w:id="317" w:name="_Toc296347202"/>
      <w:bookmarkStart w:id="318" w:name="_Toc292559913"/>
      <w:bookmarkStart w:id="319" w:name="_Toc297123545"/>
      <w:bookmarkStart w:id="320" w:name="_Toc296346704"/>
      <w:bookmarkStart w:id="321" w:name="_Toc303539151"/>
      <w:bookmarkStart w:id="322" w:name="_Toc300934994"/>
      <w:bookmarkStart w:id="323" w:name="_Toc296891243"/>
      <w:bookmarkStart w:id="324" w:name="_Toc292559408"/>
      <w:bookmarkStart w:id="325" w:name="_Toc297120503"/>
      <w:bookmarkStart w:id="326" w:name="_Toc296503203"/>
      <w:bookmarkStart w:id="327" w:name="_Toc296944542"/>
      <w:bookmarkStart w:id="328" w:name="_Toc296891031"/>
      <w:r>
        <w:rPr>
          <w:rFonts w:hint="eastAsia" w:hAnsi="仿宋"/>
          <w:sz w:val="21"/>
          <w:szCs w:val="21"/>
        </w:rPr>
        <w:t>包人的合理化建议</w:t>
      </w:r>
    </w:p>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14:paraId="64AEC4BC">
      <w:pPr>
        <w:spacing w:line="380" w:lineRule="exact"/>
        <w:ind w:firstLine="420" w:firstLineChars="200"/>
        <w:rPr>
          <w:rFonts w:hAnsi="仿宋"/>
          <w:sz w:val="21"/>
          <w:szCs w:val="21"/>
        </w:rPr>
      </w:pPr>
      <w:r>
        <w:rPr>
          <w:rFonts w:hint="eastAsia" w:hAnsi="仿宋"/>
          <w:sz w:val="21"/>
          <w:szCs w:val="21"/>
        </w:rPr>
        <w:t>监理人审查承包人合理化建议的期限：</w:t>
      </w:r>
      <w:r>
        <w:rPr>
          <w:rFonts w:hint="eastAsia" w:hAnsi="仿宋"/>
          <w:sz w:val="21"/>
          <w:szCs w:val="21"/>
          <w:u w:val="single"/>
        </w:rPr>
        <w:t>按通用条款执行</w:t>
      </w:r>
      <w:r>
        <w:rPr>
          <w:rFonts w:hint="eastAsia" w:hAnsi="仿宋"/>
          <w:sz w:val="21"/>
          <w:szCs w:val="21"/>
        </w:rPr>
        <w:t>。</w:t>
      </w:r>
    </w:p>
    <w:p w14:paraId="1BD82E03">
      <w:pPr>
        <w:spacing w:line="380" w:lineRule="exact"/>
        <w:ind w:firstLine="420" w:firstLineChars="200"/>
        <w:rPr>
          <w:rFonts w:hAnsi="仿宋"/>
          <w:sz w:val="21"/>
          <w:szCs w:val="21"/>
        </w:rPr>
      </w:pPr>
      <w:r>
        <w:rPr>
          <w:rFonts w:hint="eastAsia" w:hAnsi="仿宋"/>
          <w:sz w:val="21"/>
          <w:szCs w:val="21"/>
        </w:rPr>
        <w:t>发包人审批承包人合理化建议的期限：</w:t>
      </w:r>
      <w:r>
        <w:rPr>
          <w:rFonts w:hint="eastAsia" w:hAnsi="仿宋"/>
          <w:sz w:val="21"/>
          <w:szCs w:val="21"/>
          <w:u w:val="single"/>
        </w:rPr>
        <w:t>按通用条款执行</w:t>
      </w:r>
      <w:r>
        <w:rPr>
          <w:rFonts w:hint="eastAsia" w:hAnsi="仿宋"/>
          <w:sz w:val="21"/>
          <w:szCs w:val="21"/>
        </w:rPr>
        <w:t>。</w:t>
      </w:r>
    </w:p>
    <w:p w14:paraId="2D45816F">
      <w:pPr>
        <w:spacing w:line="380" w:lineRule="exact"/>
        <w:ind w:firstLine="420" w:firstLineChars="200"/>
        <w:rPr>
          <w:rFonts w:hAnsi="仿宋"/>
          <w:sz w:val="21"/>
          <w:szCs w:val="21"/>
          <w:u w:val="single"/>
        </w:rPr>
      </w:pPr>
      <w:r>
        <w:rPr>
          <w:rFonts w:hint="eastAsia" w:hAnsi="仿宋"/>
          <w:sz w:val="21"/>
          <w:szCs w:val="21"/>
        </w:rPr>
        <w:t>承</w:t>
      </w:r>
      <w:bookmarkStart w:id="329" w:name="_Toc296891032"/>
      <w:bookmarkStart w:id="330" w:name="_Toc296891244"/>
      <w:bookmarkStart w:id="331" w:name="_Toc300934995"/>
      <w:bookmarkStart w:id="332" w:name="_Toc297216205"/>
      <w:bookmarkStart w:id="333" w:name="_Toc318581175"/>
      <w:bookmarkStart w:id="334" w:name="_Toc297048390"/>
      <w:bookmarkStart w:id="335" w:name="_Toc297123546"/>
      <w:bookmarkStart w:id="336" w:name="_Toc292559409"/>
      <w:bookmarkStart w:id="337" w:name="_Toc296347203"/>
      <w:bookmarkStart w:id="338" w:name="_Toc312677504"/>
      <w:bookmarkStart w:id="339" w:name="_Toc296503204"/>
      <w:bookmarkStart w:id="340" w:name="_Toc296346705"/>
      <w:bookmarkStart w:id="341" w:name="_Toc303539152"/>
      <w:bookmarkStart w:id="342" w:name="_Toc292559914"/>
      <w:bookmarkStart w:id="343" w:name="_Toc297120504"/>
      <w:bookmarkStart w:id="344" w:name="_Toc296944543"/>
      <w:bookmarkStart w:id="345" w:name="_Toc304295571"/>
      <w:bookmarkStart w:id="346" w:name="_Toc312678030"/>
      <w:r>
        <w:rPr>
          <w:rFonts w:hint="eastAsia" w:hAnsi="仿宋"/>
          <w:sz w:val="21"/>
          <w:szCs w:val="21"/>
        </w:rPr>
        <w:t>包人提出的合理化建议降低了合同价格或者提高了工程经济效益的奖励的方法和金额为：</w:t>
      </w:r>
      <w:r>
        <w:rPr>
          <w:rFonts w:hint="eastAsia" w:hAnsi="仿宋" w:eastAsiaTheme="minorEastAsia"/>
          <w:sz w:val="21"/>
          <w:szCs w:val="21"/>
          <w:u w:val="single"/>
        </w:rPr>
        <w:t xml:space="preserve">  </w:t>
      </w:r>
      <w:r>
        <w:rPr>
          <w:rFonts w:hint="eastAsia" w:hAnsi="仿宋"/>
          <w:sz w:val="21"/>
          <w:szCs w:val="21"/>
        </w:rPr>
        <w:t>。</w:t>
      </w:r>
    </w:p>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14:paraId="0005C806">
      <w:pPr>
        <w:spacing w:line="380" w:lineRule="exact"/>
        <w:ind w:firstLine="420" w:firstLineChars="200"/>
        <w:rPr>
          <w:rFonts w:hAnsi="仿宋"/>
          <w:sz w:val="21"/>
          <w:szCs w:val="21"/>
        </w:rPr>
      </w:pPr>
      <w:r>
        <w:rPr>
          <w:rFonts w:hint="eastAsia" w:hAnsi="仿宋"/>
          <w:sz w:val="21"/>
          <w:szCs w:val="21"/>
        </w:rPr>
        <w:t>1</w:t>
      </w:r>
      <w:bookmarkStart w:id="347" w:name="_Toc296503199"/>
      <w:bookmarkStart w:id="348" w:name="_Toc297123548"/>
      <w:bookmarkStart w:id="349" w:name="_Toc296944538"/>
      <w:bookmarkStart w:id="350" w:name="_Toc297048385"/>
      <w:bookmarkStart w:id="351" w:name="_Toc292559909"/>
      <w:bookmarkStart w:id="352" w:name="_Toc303539154"/>
      <w:bookmarkStart w:id="353" w:name="_Toc296891239"/>
      <w:bookmarkStart w:id="354" w:name="_Toc297120499"/>
      <w:bookmarkStart w:id="355" w:name="_Toc300934997"/>
      <w:bookmarkStart w:id="356" w:name="_Toc297216207"/>
      <w:bookmarkStart w:id="357" w:name="_Toc296347198"/>
      <w:bookmarkStart w:id="358" w:name="_Toc292559404"/>
      <w:bookmarkStart w:id="359" w:name="_Toc296891027"/>
      <w:bookmarkStart w:id="360" w:name="_Toc296346700"/>
      <w:bookmarkStart w:id="361" w:name="_Toc312677507"/>
      <w:bookmarkStart w:id="362" w:name="_Toc304295574"/>
      <w:bookmarkStart w:id="363" w:name="_Toc312678033"/>
      <w:r>
        <w:rPr>
          <w:rFonts w:hint="eastAsia" w:hAnsi="仿宋"/>
          <w:sz w:val="21"/>
          <w:szCs w:val="21"/>
        </w:rPr>
        <w:t>0.7 暂估价</w:t>
      </w:r>
    </w:p>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14:paraId="3B9251AE">
      <w:pPr>
        <w:spacing w:line="380" w:lineRule="exact"/>
        <w:ind w:firstLine="420" w:firstLineChars="200"/>
        <w:rPr>
          <w:rFonts w:hAnsi="仿宋"/>
          <w:sz w:val="21"/>
          <w:szCs w:val="21"/>
        </w:rPr>
      </w:pPr>
      <w:r>
        <w:rPr>
          <w:rFonts w:hint="eastAsia" w:hAnsi="仿宋"/>
          <w:kern w:val="0"/>
          <w:sz w:val="21"/>
          <w:szCs w:val="21"/>
        </w:rPr>
        <w:t>暂</w:t>
      </w:r>
      <w:bookmarkStart w:id="364" w:name="_Toc312677508"/>
      <w:bookmarkStart w:id="365" w:name="_Toc312678034"/>
      <w:bookmarkStart w:id="366" w:name="_Toc318581176"/>
      <w:r>
        <w:rPr>
          <w:rFonts w:hint="eastAsia" w:hAnsi="仿宋"/>
          <w:kern w:val="0"/>
          <w:sz w:val="21"/>
          <w:szCs w:val="21"/>
        </w:rPr>
        <w:t>估价材料和工程设备的明细详见附件11：《</w:t>
      </w:r>
      <w:r>
        <w:rPr>
          <w:rFonts w:hint="eastAsia" w:hAnsi="仿宋"/>
          <w:sz w:val="21"/>
          <w:szCs w:val="21"/>
        </w:rPr>
        <w:t>暂估价一览表》</w:t>
      </w:r>
      <w:r>
        <w:rPr>
          <w:rFonts w:hint="eastAsia" w:hAnsi="仿宋"/>
          <w:kern w:val="0"/>
          <w:sz w:val="21"/>
          <w:szCs w:val="21"/>
        </w:rPr>
        <w:t>。</w:t>
      </w:r>
    </w:p>
    <w:bookmarkEnd w:id="364"/>
    <w:bookmarkEnd w:id="365"/>
    <w:bookmarkEnd w:id="366"/>
    <w:p w14:paraId="28035667">
      <w:pPr>
        <w:spacing w:line="380" w:lineRule="exact"/>
        <w:ind w:firstLine="420" w:firstLineChars="200"/>
        <w:rPr>
          <w:rFonts w:hAnsi="仿宋"/>
          <w:sz w:val="21"/>
          <w:szCs w:val="21"/>
        </w:rPr>
      </w:pPr>
      <w:r>
        <w:rPr>
          <w:rFonts w:hint="eastAsia" w:hAnsi="仿宋"/>
          <w:sz w:val="21"/>
          <w:szCs w:val="21"/>
        </w:rPr>
        <w:t>1</w:t>
      </w:r>
      <w:bookmarkStart w:id="367" w:name="_Toc312678035"/>
      <w:bookmarkStart w:id="368" w:name="_Toc318581177"/>
      <w:bookmarkStart w:id="369" w:name="_Toc312677509"/>
      <w:r>
        <w:rPr>
          <w:rFonts w:hint="eastAsia" w:hAnsi="仿宋"/>
          <w:sz w:val="21"/>
          <w:szCs w:val="21"/>
        </w:rPr>
        <w:t>0.7.1依法必须招标的暂估价项目</w:t>
      </w:r>
    </w:p>
    <w:bookmarkEnd w:id="367"/>
    <w:bookmarkEnd w:id="368"/>
    <w:bookmarkEnd w:id="369"/>
    <w:p w14:paraId="7780490F">
      <w:pPr>
        <w:spacing w:line="380" w:lineRule="exact"/>
        <w:ind w:firstLine="420" w:firstLineChars="200"/>
        <w:rPr>
          <w:rFonts w:hAnsi="仿宋"/>
          <w:sz w:val="21"/>
          <w:szCs w:val="21"/>
          <w:u w:val="single"/>
        </w:rPr>
      </w:pPr>
      <w:r>
        <w:rPr>
          <w:rFonts w:hint="eastAsia" w:hAnsi="仿宋"/>
          <w:sz w:val="21"/>
          <w:szCs w:val="21"/>
          <w:u w:val="single"/>
        </w:rPr>
        <w:t>无承包价（暂定价）或工程变更新增的单项材料、设备、专业分包工程估算价在（</w:t>
      </w:r>
      <w:r>
        <w:rPr>
          <w:rFonts w:hint="eastAsia" w:hAnsi="仿宋" w:eastAsia="宋体"/>
          <w:sz w:val="21"/>
          <w:szCs w:val="21"/>
          <w:u w:val="single"/>
        </w:rPr>
        <w:t>30</w:t>
      </w:r>
      <w:r>
        <w:rPr>
          <w:rFonts w:hint="eastAsia" w:hAnsi="仿宋"/>
          <w:sz w:val="21"/>
          <w:szCs w:val="21"/>
          <w:u w:val="single"/>
        </w:rPr>
        <w:t>）万元以上的（指可以向同一家供应商采购的同类材料总价），须由发、承包双方通过招标确定价格、供应商或分包人。承包人应按照施工进度计划，在招标工作启动前28天通知发包人，并提交暂估价招标方案和工作分工。与组织招标工作有关的费用由发包人承担。</w:t>
      </w:r>
    </w:p>
    <w:p w14:paraId="434E76A8">
      <w:pPr>
        <w:spacing w:line="380" w:lineRule="exact"/>
        <w:ind w:firstLine="420" w:firstLineChars="200"/>
        <w:rPr>
          <w:rFonts w:hAnsi="仿宋"/>
          <w:sz w:val="21"/>
          <w:szCs w:val="21"/>
        </w:rPr>
      </w:pPr>
      <w:r>
        <w:rPr>
          <w:rFonts w:hint="eastAsia" w:hAnsi="仿宋"/>
          <w:sz w:val="21"/>
          <w:szCs w:val="21"/>
        </w:rPr>
        <w:t>10.7.2不属于依法必须招标的暂估价项目：</w:t>
      </w:r>
      <w:r>
        <w:rPr>
          <w:rFonts w:hint="eastAsia" w:hAnsi="仿宋"/>
          <w:sz w:val="21"/>
          <w:szCs w:val="21"/>
          <w:u w:val="single"/>
        </w:rPr>
        <w:t>按通用合同条款。</w:t>
      </w:r>
    </w:p>
    <w:p w14:paraId="080BB65A">
      <w:pPr>
        <w:spacing w:line="380" w:lineRule="exact"/>
        <w:ind w:firstLine="420" w:firstLineChars="200"/>
        <w:rPr>
          <w:rFonts w:hAnsi="仿宋"/>
          <w:kern w:val="0"/>
          <w:sz w:val="21"/>
          <w:szCs w:val="21"/>
        </w:rPr>
      </w:pPr>
      <w:r>
        <w:rPr>
          <w:rFonts w:hint="eastAsia" w:hAnsi="仿宋"/>
          <w:sz w:val="21"/>
          <w:szCs w:val="21"/>
        </w:rPr>
        <w:t>第3种方式：</w:t>
      </w:r>
      <w:r>
        <w:rPr>
          <w:rFonts w:hint="eastAsia" w:hAnsi="仿宋"/>
          <w:kern w:val="0"/>
          <w:sz w:val="21"/>
          <w:szCs w:val="21"/>
        </w:rPr>
        <w:t>承包人直接实施的暂估价项目</w:t>
      </w:r>
    </w:p>
    <w:p w14:paraId="053EBC1E">
      <w:pPr>
        <w:spacing w:line="380" w:lineRule="exact"/>
        <w:ind w:firstLine="420" w:firstLineChars="200"/>
        <w:rPr>
          <w:rFonts w:hAnsi="仿宋"/>
          <w:sz w:val="21"/>
          <w:szCs w:val="21"/>
        </w:rPr>
      </w:pPr>
      <w:r>
        <w:rPr>
          <w:rFonts w:hint="eastAsia" w:hAnsi="仿宋"/>
          <w:sz w:val="21"/>
          <w:szCs w:val="21"/>
        </w:rPr>
        <w:t>承包人直接实施的暂估价项目的约定：</w:t>
      </w:r>
      <w:r>
        <w:rPr>
          <w:rFonts w:hint="eastAsia" w:hAnsi="仿宋" w:eastAsiaTheme="minorEastAsia"/>
          <w:sz w:val="21"/>
          <w:szCs w:val="21"/>
          <w:u w:val="single"/>
        </w:rPr>
        <w:t xml:space="preserve">          </w:t>
      </w:r>
      <w:r>
        <w:rPr>
          <w:rFonts w:hint="eastAsia" w:hAnsi="仿宋"/>
          <w:sz w:val="21"/>
          <w:szCs w:val="21"/>
        </w:rPr>
        <w:t>。</w:t>
      </w:r>
    </w:p>
    <w:p w14:paraId="597FF1E1">
      <w:pPr>
        <w:spacing w:line="380" w:lineRule="exact"/>
        <w:ind w:firstLine="420" w:firstLineChars="200"/>
        <w:rPr>
          <w:rFonts w:hAnsi="仿宋"/>
          <w:sz w:val="21"/>
          <w:szCs w:val="21"/>
        </w:rPr>
      </w:pPr>
      <w:r>
        <w:rPr>
          <w:rFonts w:hint="eastAsia" w:hAnsi="仿宋"/>
          <w:sz w:val="21"/>
          <w:szCs w:val="21"/>
        </w:rPr>
        <w:t>10.8 暂列金额</w:t>
      </w:r>
    </w:p>
    <w:p w14:paraId="6415FB8F">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合同当事人关于暂列金额使用的约定：</w:t>
      </w:r>
      <w:r>
        <w:rPr>
          <w:rFonts w:hint="eastAsia" w:hAnsi="仿宋" w:eastAsiaTheme="minorEastAsia"/>
          <w:sz w:val="21"/>
          <w:szCs w:val="21"/>
          <w:u w:val="single"/>
        </w:rPr>
        <w:t xml:space="preserve">           </w:t>
      </w:r>
      <w:r>
        <w:rPr>
          <w:rFonts w:hint="eastAsia" w:hAnsi="仿宋"/>
          <w:kern w:val="0"/>
          <w:sz w:val="21"/>
          <w:szCs w:val="21"/>
        </w:rPr>
        <w:t>。</w:t>
      </w:r>
    </w:p>
    <w:p w14:paraId="35298D5C">
      <w:pPr>
        <w:autoSpaceDE w:val="0"/>
        <w:autoSpaceDN w:val="0"/>
        <w:adjustRightInd w:val="0"/>
        <w:spacing w:line="380" w:lineRule="exact"/>
        <w:ind w:firstLine="420" w:firstLineChars="200"/>
        <w:rPr>
          <w:rFonts w:hAnsi="仿宋"/>
          <w:kern w:val="0"/>
          <w:sz w:val="21"/>
          <w:szCs w:val="21"/>
          <w:u w:val="single"/>
        </w:rPr>
      </w:pPr>
      <w:r>
        <w:rPr>
          <w:rFonts w:hint="eastAsia" w:hAnsi="仿宋"/>
          <w:kern w:val="0"/>
          <w:sz w:val="21"/>
          <w:szCs w:val="21"/>
        </w:rPr>
        <w:t>创标化工地增加费计算方法</w:t>
      </w:r>
      <w:r>
        <w:rPr>
          <w:rFonts w:hint="eastAsia" w:hAnsi="仿宋"/>
          <w:kern w:val="0"/>
          <w:sz w:val="21"/>
          <w:szCs w:val="21"/>
          <w:u w:val="single"/>
        </w:rPr>
        <w:t>：本工程无创标化工地目标。</w:t>
      </w:r>
    </w:p>
    <w:p w14:paraId="10BD1C43">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创优质工程增加费计算方法</w:t>
      </w:r>
      <w:r>
        <w:rPr>
          <w:rFonts w:hint="eastAsia" w:hAnsi="仿宋"/>
          <w:kern w:val="0"/>
          <w:sz w:val="21"/>
          <w:szCs w:val="21"/>
          <w:u w:val="single"/>
        </w:rPr>
        <w:t>：本工程无创优质工程目标。</w:t>
      </w:r>
    </w:p>
    <w:p w14:paraId="5C81D403">
      <w:pPr>
        <w:pStyle w:val="8"/>
        <w:keepNext w:val="0"/>
        <w:keepLines w:val="0"/>
        <w:spacing w:before="0" w:after="0" w:line="380" w:lineRule="exact"/>
        <w:rPr>
          <w:rFonts w:ascii="黑体" w:hAnsi="黑体"/>
          <w:b w:val="0"/>
          <w:sz w:val="21"/>
          <w:szCs w:val="21"/>
        </w:rPr>
      </w:pPr>
      <w:bookmarkStart w:id="370" w:name="_Toc351203643"/>
      <w:r>
        <w:rPr>
          <w:rFonts w:hint="eastAsia" w:ascii="黑体" w:hAnsi="黑体"/>
          <w:b w:val="0"/>
          <w:sz w:val="21"/>
          <w:szCs w:val="21"/>
        </w:rPr>
        <w:t>11．价格调整</w:t>
      </w:r>
      <w:bookmarkEnd w:id="370"/>
    </w:p>
    <w:p w14:paraId="68547BF5">
      <w:pPr>
        <w:spacing w:line="380" w:lineRule="exact"/>
        <w:ind w:firstLine="420" w:firstLineChars="200"/>
        <w:rPr>
          <w:rFonts w:hAnsi="仿宋"/>
          <w:sz w:val="21"/>
          <w:szCs w:val="21"/>
        </w:rPr>
      </w:pPr>
      <w:bookmarkStart w:id="371" w:name="_Toc296944540"/>
      <w:bookmarkStart w:id="372" w:name="_Toc296891029"/>
      <w:bookmarkStart w:id="373" w:name="_Toc297120501"/>
      <w:bookmarkStart w:id="374" w:name="_Toc296503201"/>
      <w:bookmarkStart w:id="375" w:name="_Toc297048387"/>
      <w:bookmarkStart w:id="376" w:name="_Toc297123550"/>
      <w:bookmarkStart w:id="377" w:name="_Toc297216209"/>
      <w:bookmarkStart w:id="378" w:name="_Toc304295577"/>
      <w:bookmarkStart w:id="379" w:name="_Toc292559406"/>
      <w:bookmarkStart w:id="380" w:name="_Toc300935000"/>
      <w:bookmarkStart w:id="381" w:name="_Toc303539157"/>
      <w:bookmarkStart w:id="382" w:name="_Toc292559911"/>
      <w:bookmarkStart w:id="383" w:name="_Toc312678039"/>
      <w:bookmarkStart w:id="384" w:name="_Toc296891241"/>
      <w:bookmarkStart w:id="385" w:name="_Toc296347200"/>
      <w:bookmarkStart w:id="386" w:name="_Toc296346702"/>
      <w:r>
        <w:rPr>
          <w:rFonts w:hint="eastAsia" w:hAnsi="仿宋"/>
          <w:sz w:val="21"/>
          <w:szCs w:val="21"/>
        </w:rPr>
        <w:t>11.1 市场价格波动引起的调整</w:t>
      </w:r>
    </w:p>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14:paraId="6255130B">
      <w:pPr>
        <w:spacing w:line="380" w:lineRule="exact"/>
        <w:ind w:firstLine="388" w:firstLineChars="185"/>
        <w:rPr>
          <w:rFonts w:hAnsi="仿宋"/>
          <w:sz w:val="21"/>
          <w:szCs w:val="21"/>
          <w:u w:val="single"/>
        </w:rPr>
      </w:pPr>
      <w:r>
        <w:rPr>
          <w:rFonts w:hint="eastAsia" w:hAnsi="仿宋"/>
          <w:kern w:val="0"/>
          <w:sz w:val="21"/>
          <w:szCs w:val="21"/>
        </w:rPr>
        <w:t>市场价格波动是否调整合同价格的约定</w:t>
      </w:r>
      <w:r>
        <w:rPr>
          <w:rFonts w:hint="eastAsia" w:hAnsi="仿宋"/>
          <w:kern w:val="0"/>
          <w:sz w:val="21"/>
          <w:szCs w:val="21"/>
          <w:u w:val="single"/>
        </w:rPr>
        <w:t>：</w:t>
      </w:r>
      <w:r>
        <w:rPr>
          <w:rFonts w:hint="eastAsia" w:hAnsi="仿宋" w:eastAsia="宋体"/>
          <w:kern w:val="0"/>
          <w:sz w:val="21"/>
          <w:szCs w:val="21"/>
          <w:u w:val="single"/>
        </w:rPr>
        <w:t>不做调整</w:t>
      </w:r>
      <w:r>
        <w:rPr>
          <w:rFonts w:hint="eastAsia" w:hAnsi="仿宋"/>
          <w:sz w:val="21"/>
          <w:szCs w:val="21"/>
          <w:u w:val="single"/>
        </w:rPr>
        <w:t>。</w:t>
      </w:r>
    </w:p>
    <w:p w14:paraId="2F9C04A1">
      <w:pPr>
        <w:spacing w:line="380" w:lineRule="exact"/>
        <w:ind w:firstLine="420" w:firstLineChars="200"/>
        <w:rPr>
          <w:rFonts w:hAnsi="仿宋"/>
          <w:sz w:val="21"/>
          <w:szCs w:val="21"/>
        </w:rPr>
      </w:pPr>
      <w:r>
        <w:rPr>
          <w:rFonts w:hint="eastAsia" w:hAnsi="仿宋"/>
          <w:sz w:val="21"/>
          <w:szCs w:val="21"/>
        </w:rPr>
        <w:t>11.2 法律变化引起的调整：</w:t>
      </w:r>
      <w:r>
        <w:rPr>
          <w:rFonts w:hint="eastAsia" w:ascii="Times New Roman" w:hAnsi="Times New Roman" w:eastAsia="宋体"/>
          <w:kern w:val="0"/>
          <w:sz w:val="21"/>
          <w:szCs w:val="21"/>
          <w:u w:val="single"/>
        </w:rPr>
        <w:t>按省级或行业建设主管部门或其授权的工程造价管理机构发布的规定执行。</w:t>
      </w:r>
    </w:p>
    <w:bookmarkEnd w:id="274"/>
    <w:bookmarkEnd w:id="275"/>
    <w:bookmarkEnd w:id="276"/>
    <w:bookmarkEnd w:id="277"/>
    <w:bookmarkEnd w:id="278"/>
    <w:bookmarkEnd w:id="279"/>
    <w:p w14:paraId="4B80F443">
      <w:pPr>
        <w:pStyle w:val="8"/>
        <w:keepNext w:val="0"/>
        <w:keepLines w:val="0"/>
        <w:spacing w:before="0" w:after="0" w:line="380" w:lineRule="exact"/>
        <w:rPr>
          <w:rFonts w:ascii="黑体" w:hAnsi="黑体"/>
          <w:b w:val="0"/>
          <w:sz w:val="21"/>
          <w:szCs w:val="21"/>
        </w:rPr>
      </w:pPr>
      <w:bookmarkStart w:id="387" w:name="_Toc296503205"/>
      <w:bookmarkStart w:id="388" w:name="_Toc297120505"/>
      <w:bookmarkStart w:id="389" w:name="_Toc296944544"/>
      <w:bookmarkStart w:id="390" w:name="_Toc296891245"/>
      <w:bookmarkStart w:id="391" w:name="_Toc296346706"/>
      <w:bookmarkStart w:id="392" w:name="_Toc297048391"/>
      <w:bookmarkStart w:id="393" w:name="_Toc296347204"/>
      <w:bookmarkStart w:id="394" w:name="_Toc292559915"/>
      <w:bookmarkStart w:id="395" w:name="_Toc292559410"/>
      <w:bookmarkStart w:id="396" w:name="_Toc296891033"/>
      <w:bookmarkStart w:id="397" w:name="_Toc351203644"/>
      <w:bookmarkStart w:id="398" w:name="_Toc312678040"/>
      <w:bookmarkStart w:id="399" w:name="_Toc297123552"/>
      <w:bookmarkStart w:id="400" w:name="_Toc300935002"/>
      <w:bookmarkStart w:id="401" w:name="_Toc297216211"/>
      <w:bookmarkStart w:id="402" w:name="_Toc304295579"/>
      <w:bookmarkStart w:id="403" w:name="_Toc303539159"/>
      <w:r>
        <w:rPr>
          <w:rFonts w:hint="eastAsia" w:ascii="黑体" w:hAnsi="黑体"/>
          <w:b w:val="0"/>
          <w:sz w:val="21"/>
          <w:szCs w:val="21"/>
        </w:rPr>
        <w:t>12</w:t>
      </w:r>
      <w:bookmarkEnd w:id="387"/>
      <w:bookmarkEnd w:id="388"/>
      <w:bookmarkEnd w:id="389"/>
      <w:bookmarkEnd w:id="390"/>
      <w:bookmarkEnd w:id="391"/>
      <w:bookmarkEnd w:id="392"/>
      <w:bookmarkEnd w:id="393"/>
      <w:bookmarkEnd w:id="394"/>
      <w:bookmarkEnd w:id="395"/>
      <w:bookmarkEnd w:id="396"/>
      <w:r>
        <w:rPr>
          <w:rFonts w:hint="eastAsia" w:ascii="黑体" w:hAnsi="黑体"/>
          <w:b w:val="0"/>
          <w:sz w:val="21"/>
          <w:szCs w:val="21"/>
        </w:rPr>
        <w:t>．合同价格、计量与支付</w:t>
      </w:r>
      <w:bookmarkEnd w:id="397"/>
    </w:p>
    <w:bookmarkEnd w:id="398"/>
    <w:bookmarkEnd w:id="399"/>
    <w:bookmarkEnd w:id="400"/>
    <w:bookmarkEnd w:id="401"/>
    <w:bookmarkEnd w:id="402"/>
    <w:bookmarkEnd w:id="403"/>
    <w:p w14:paraId="7B43C7B5">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本合同价款采用</w:t>
      </w:r>
      <w:r>
        <w:rPr>
          <w:rFonts w:hint="eastAsia" w:ascii="宋体" w:hAnsi="宋体" w:eastAsia="宋体" w:cs="宋体"/>
          <w:color w:val="FF0000"/>
          <w:sz w:val="21"/>
          <w:szCs w:val="21"/>
          <w:u w:val="single"/>
        </w:rPr>
        <w:t>固定结算率、可调总价</w:t>
      </w:r>
      <w:r>
        <w:rPr>
          <w:rFonts w:hint="eastAsia" w:ascii="宋体" w:hAnsi="宋体" w:eastAsia="宋体" w:cs="宋体"/>
          <w:sz w:val="21"/>
          <w:szCs w:val="21"/>
        </w:rPr>
        <w:t>确定。</w:t>
      </w:r>
    </w:p>
    <w:p w14:paraId="1A44B137">
      <w:pPr>
        <w:spacing w:line="360" w:lineRule="exact"/>
        <w:ind w:firstLine="525" w:firstLineChars="250"/>
        <w:rPr>
          <w:rFonts w:ascii="宋体" w:hAnsi="宋体" w:cs="宋体"/>
          <w:sz w:val="21"/>
          <w:szCs w:val="21"/>
        </w:rPr>
      </w:pPr>
      <w:r>
        <w:rPr>
          <w:rFonts w:hint="eastAsia" w:eastAsiaTheme="minorEastAsia"/>
          <w:sz w:val="21"/>
          <w:szCs w:val="21"/>
        </w:rPr>
        <w:t>合同价</w:t>
      </w:r>
      <w:r>
        <w:rPr>
          <w:rFonts w:hint="eastAsia" w:ascii="宋体" w:hAnsi="宋体" w:cs="宋体"/>
          <w:sz w:val="21"/>
          <w:szCs w:val="21"/>
        </w:rPr>
        <w:t>包含的风险范围：</w:t>
      </w:r>
    </w:p>
    <w:p w14:paraId="28D7E2AC">
      <w:pPr>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（一）</w:t>
      </w:r>
      <w:r>
        <w:rPr>
          <w:rFonts w:hint="eastAsia" w:ascii="宋体" w:hAnsi="宋体"/>
          <w:sz w:val="21"/>
          <w:szCs w:val="21"/>
          <w:u w:val="single"/>
        </w:rPr>
        <w:t>本工程采用固定结算率方式结算【结算率=投标总报价/招标控制价</w:t>
      </w:r>
      <w:r>
        <w:rPr>
          <w:rFonts w:hint="eastAsia"/>
          <w:sz w:val="21"/>
          <w:szCs w:val="21"/>
          <w:u w:val="single"/>
        </w:rPr>
        <w:t>*100%</w:t>
      </w:r>
      <w:r>
        <w:rPr>
          <w:rFonts w:hint="eastAsia" w:ascii="宋体" w:hAnsi="宋体"/>
          <w:sz w:val="21"/>
          <w:szCs w:val="21"/>
          <w:u w:val="single"/>
        </w:rPr>
        <w:t>】，本工程的结算率一次性包干，结算时不再另行调整，结算工程总造价=按照本合同条款计算所得的工程造价×结算率</w:t>
      </w:r>
      <w:r>
        <w:rPr>
          <w:rFonts w:hint="eastAsia" w:ascii="宋体" w:hAnsi="宋体" w:cs="宋体"/>
          <w:sz w:val="21"/>
          <w:szCs w:val="21"/>
          <w:u w:val="single"/>
        </w:rPr>
        <w:t>。</w:t>
      </w:r>
    </w:p>
    <w:p w14:paraId="2C36C011">
      <w:pPr>
        <w:autoSpaceDE w:val="0"/>
        <w:autoSpaceDN w:val="0"/>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（二）工程造价按以下要求编制：</w:t>
      </w:r>
    </w:p>
    <w:p w14:paraId="3C2E015D">
      <w:pPr>
        <w:autoSpaceDE w:val="0"/>
        <w:autoSpaceDN w:val="0"/>
        <w:spacing w:line="360" w:lineRule="exact"/>
        <w:ind w:firstLine="420" w:firstLineChars="200"/>
        <w:rPr>
          <w:sz w:val="21"/>
          <w:szCs w:val="21"/>
        </w:rPr>
      </w:pPr>
      <w:r>
        <w:rPr>
          <w:rFonts w:hint="eastAsia" w:ascii="宋体" w:hAnsi="宋体" w:cs="宋体"/>
          <w:sz w:val="21"/>
          <w:szCs w:val="21"/>
          <w:u w:val="single"/>
        </w:rPr>
        <w:t>（1）本工程结算时应按照招标控制价的计量依据、计价依据、组价方式、取费标准确定办法等进行计算；</w:t>
      </w:r>
    </w:p>
    <w:p w14:paraId="15ADA9AB">
      <w:pPr>
        <w:autoSpaceDE w:val="0"/>
        <w:autoSpaceDN w:val="0"/>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（2）本工程结算时，招标控制价已有的价格按招标控制价的价格计入；</w:t>
      </w:r>
    </w:p>
    <w:p w14:paraId="050EC655">
      <w:pPr>
        <w:autoSpaceDE w:val="0"/>
        <w:autoSpaceDN w:val="0"/>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（3）企业管理费、利润、施工组织措施费、规费的计算基数为人工及机械台班费，计算基数中单价按人工、机械台班的定额单价计算；</w:t>
      </w:r>
    </w:p>
    <w:p w14:paraId="04AA4A02">
      <w:pPr>
        <w:autoSpaceDE w:val="0"/>
        <w:autoSpaceDN w:val="0"/>
        <w:spacing w:line="360" w:lineRule="exact"/>
        <w:ind w:firstLine="420" w:firstLineChars="200"/>
        <w:rPr>
          <w:rFonts w:ascii="宋体" w:hAnsi="宋体" w:cs="宋体"/>
          <w:sz w:val="21"/>
          <w:szCs w:val="21"/>
          <w:u w:val="single"/>
        </w:rPr>
      </w:pPr>
      <w:r>
        <w:rPr>
          <w:rFonts w:hint="eastAsia" w:ascii="宋体" w:hAnsi="宋体" w:cs="宋体"/>
          <w:sz w:val="21"/>
          <w:szCs w:val="21"/>
          <w:u w:val="single"/>
        </w:rPr>
        <w:t>（4）计日工单价：技术工（260）元/工日、普工（180）元/工日，工日数经发包人签证;该项费用仅另计算税金；</w:t>
      </w:r>
    </w:p>
    <w:p w14:paraId="214E2BEE">
      <w:pPr>
        <w:spacing w:line="340" w:lineRule="exact"/>
        <w:ind w:firstLine="420" w:firstLineChars="200"/>
        <w:rPr>
          <w:rFonts w:ascii="宋体" w:cs="宋体"/>
          <w:sz w:val="21"/>
          <w:szCs w:val="21"/>
          <w:u w:val="single"/>
        </w:rPr>
      </w:pPr>
      <w:r>
        <w:rPr>
          <w:rFonts w:hint="eastAsia" w:ascii="宋体" w:hAnsi="宋体" w:cs="宋体"/>
          <w:sz w:val="21"/>
          <w:szCs w:val="21"/>
          <w:u w:val="single"/>
        </w:rPr>
        <w:t>（</w:t>
      </w:r>
      <w:r>
        <w:rPr>
          <w:rFonts w:ascii="宋体" w:hAnsi="宋体" w:cs="宋体"/>
          <w:sz w:val="21"/>
          <w:szCs w:val="21"/>
          <w:u w:val="single"/>
        </w:rPr>
        <w:t>5</w:t>
      </w:r>
      <w:r>
        <w:rPr>
          <w:rFonts w:hint="eastAsia" w:ascii="宋体" w:hAnsi="宋体" w:cs="宋体"/>
          <w:sz w:val="21"/>
          <w:szCs w:val="21"/>
          <w:u w:val="single"/>
        </w:rPr>
        <w:t>）其他可能发生的费用：</w:t>
      </w:r>
    </w:p>
    <w:p w14:paraId="5683C915">
      <w:pPr>
        <w:spacing w:line="360" w:lineRule="exact"/>
        <w:ind w:firstLine="420" w:firstLineChars="200"/>
        <w:rPr>
          <w:rFonts w:ascii="宋体" w:hAnsi="宋体" w:eastAsia="宋体" w:cs="宋体"/>
          <w:sz w:val="21"/>
          <w:szCs w:val="21"/>
          <w:u w:val="single"/>
        </w:rPr>
      </w:pPr>
      <w:r>
        <w:rPr>
          <w:rFonts w:hint="eastAsia" w:ascii="宋体" w:hAnsi="宋体" w:eastAsia="宋体" w:cs="宋体"/>
          <w:sz w:val="21"/>
          <w:szCs w:val="21"/>
          <w:u w:val="single"/>
        </w:rPr>
        <w:t>a.因施工噪音、物体坠落、材料抛散而扰民及影响环境卫生、交通城管、现场文明和施工安全等问题而产生的费用，由承包人自行解决。因此而造成的工期延长由承包人负责。如给发包人另行造成额外的经济损失，发包人可从承包人的工程款中扣回。</w:t>
      </w:r>
    </w:p>
    <w:p w14:paraId="332688B1">
      <w:pPr>
        <w:spacing w:line="360" w:lineRule="exact"/>
        <w:ind w:firstLine="420" w:firstLineChars="200"/>
        <w:rPr>
          <w:rFonts w:ascii="宋体" w:hAnsi="宋体" w:eastAsia="宋体" w:cs="宋体"/>
          <w:sz w:val="21"/>
          <w:szCs w:val="21"/>
          <w:u w:val="single"/>
        </w:rPr>
      </w:pPr>
      <w:r>
        <w:rPr>
          <w:rFonts w:hint="eastAsia" w:ascii="宋体" w:hAnsi="宋体" w:eastAsia="宋体" w:cs="宋体"/>
          <w:sz w:val="21"/>
          <w:szCs w:val="21"/>
          <w:u w:val="single"/>
        </w:rPr>
        <w:t>b.实际施工中可能发生街道管理费、干扰费、环保费、占道押金等其它管理费。</w:t>
      </w:r>
    </w:p>
    <w:p w14:paraId="5F72B2D5">
      <w:pPr>
        <w:spacing w:line="360" w:lineRule="exact"/>
        <w:ind w:firstLine="420" w:firstLineChars="200"/>
        <w:rPr>
          <w:rFonts w:ascii="宋体" w:hAnsi="宋体" w:eastAsia="宋体" w:cs="宋体"/>
          <w:sz w:val="21"/>
          <w:szCs w:val="21"/>
          <w:u w:val="single"/>
        </w:rPr>
      </w:pPr>
      <w:r>
        <w:rPr>
          <w:rFonts w:hint="eastAsia" w:ascii="宋体" w:hAnsi="宋体" w:eastAsia="宋体" w:cs="宋体"/>
          <w:sz w:val="21"/>
          <w:szCs w:val="21"/>
          <w:u w:val="single"/>
        </w:rPr>
        <w:t>c. 承包人应按当地有关要求办理建筑垃圾外运、处置，费用已包含在合同价内。</w:t>
      </w:r>
    </w:p>
    <w:p w14:paraId="382AEB86">
      <w:pPr>
        <w:spacing w:line="360" w:lineRule="exact"/>
        <w:ind w:firstLine="420" w:firstLineChars="200"/>
        <w:rPr>
          <w:rFonts w:ascii="宋体" w:hAnsi="宋体" w:eastAsia="宋体" w:cs="宋体"/>
          <w:sz w:val="21"/>
          <w:szCs w:val="21"/>
          <w:u w:val="single"/>
        </w:rPr>
      </w:pPr>
      <w:r>
        <w:rPr>
          <w:rFonts w:hint="eastAsia" w:ascii="宋体" w:hAnsi="宋体" w:eastAsia="宋体" w:cs="宋体"/>
          <w:sz w:val="21"/>
          <w:szCs w:val="21"/>
          <w:u w:val="single"/>
        </w:rPr>
        <w:t>d.承包人不得因施工场地、周边环境、施工道路等因素向发包人要求追加任何费用，人行道占用手续等全由承包人自行办理。</w:t>
      </w:r>
    </w:p>
    <w:p w14:paraId="3BCB2597">
      <w:pPr>
        <w:spacing w:line="360" w:lineRule="exact"/>
        <w:ind w:firstLine="420" w:firstLineChars="200"/>
        <w:rPr>
          <w:rFonts w:ascii="宋体" w:hAnsi="宋体" w:eastAsia="宋体" w:cs="宋体"/>
          <w:sz w:val="21"/>
          <w:szCs w:val="21"/>
          <w:u w:val="single"/>
        </w:rPr>
      </w:pPr>
      <w:r>
        <w:rPr>
          <w:rFonts w:hint="eastAsia" w:ascii="宋体" w:hAnsi="宋体" w:eastAsia="宋体" w:cs="宋体"/>
          <w:sz w:val="21"/>
          <w:szCs w:val="21"/>
          <w:u w:val="single"/>
        </w:rPr>
        <w:t>e. 本工程的第三方责任险、人身意外伤害险费均包含在投标总价内不得另行计取。</w:t>
      </w:r>
    </w:p>
    <w:p w14:paraId="0C70D1E6">
      <w:pPr>
        <w:spacing w:line="360" w:lineRule="exact"/>
        <w:ind w:firstLine="420" w:firstLineChars="200"/>
        <w:rPr>
          <w:rFonts w:ascii="宋体" w:hAnsi="宋体" w:eastAsia="宋体" w:cs="宋体"/>
          <w:sz w:val="21"/>
          <w:szCs w:val="21"/>
          <w:u w:val="single"/>
        </w:rPr>
      </w:pPr>
      <w:r>
        <w:rPr>
          <w:rFonts w:hint="eastAsia" w:ascii="宋体" w:hAnsi="宋体" w:eastAsia="宋体" w:cs="宋体"/>
          <w:sz w:val="21"/>
          <w:szCs w:val="21"/>
          <w:u w:val="single"/>
        </w:rPr>
        <w:t>f.大型机械设备进出场及安拆费包干,结算时不再调整。</w:t>
      </w:r>
    </w:p>
    <w:p w14:paraId="30D7A0B9">
      <w:pPr>
        <w:spacing w:line="360" w:lineRule="exact"/>
        <w:ind w:firstLine="420" w:firstLineChars="200"/>
        <w:rPr>
          <w:rFonts w:ascii="宋体" w:hAnsi="宋体" w:eastAsia="宋体" w:cs="宋体"/>
          <w:sz w:val="21"/>
          <w:szCs w:val="21"/>
          <w:u w:val="single"/>
        </w:rPr>
      </w:pPr>
      <w:r>
        <w:rPr>
          <w:rFonts w:ascii="宋体" w:hAnsi="宋体" w:eastAsia="宋体" w:cs="宋体"/>
          <w:sz w:val="21"/>
          <w:szCs w:val="21"/>
          <w:u w:val="single"/>
        </w:rPr>
        <w:t>g.</w:t>
      </w:r>
      <w:r>
        <w:rPr>
          <w:rFonts w:hint="eastAsia" w:ascii="宋体" w:hAnsi="宋体" w:eastAsia="宋体" w:cs="宋体"/>
          <w:sz w:val="21"/>
          <w:szCs w:val="21"/>
          <w:u w:val="single"/>
        </w:rPr>
        <w:t>混凝土按商品计入</w:t>
      </w:r>
      <w:r>
        <w:rPr>
          <w:rFonts w:ascii="宋体" w:hAnsi="宋体" w:eastAsia="宋体" w:cs="宋体"/>
          <w:sz w:val="21"/>
          <w:szCs w:val="21"/>
          <w:u w:val="single"/>
        </w:rPr>
        <w:t>,</w:t>
      </w:r>
      <w:r>
        <w:rPr>
          <w:rFonts w:hint="eastAsia" w:ascii="宋体" w:hAnsi="宋体" w:eastAsia="宋体" w:cs="宋体"/>
          <w:sz w:val="21"/>
          <w:szCs w:val="21"/>
          <w:u w:val="single"/>
        </w:rPr>
        <w:t>砼运距包干，结算时不再调整。</w:t>
      </w:r>
    </w:p>
    <w:p w14:paraId="59F18099">
      <w:pPr>
        <w:spacing w:line="360" w:lineRule="exact"/>
        <w:ind w:firstLine="420" w:firstLineChars="200"/>
        <w:rPr>
          <w:rFonts w:hint="eastAsia" w:ascii="宋体" w:hAnsi="宋体" w:eastAsia="宋体" w:cs="宋体"/>
          <w:sz w:val="21"/>
          <w:szCs w:val="21"/>
          <w:u w:val="single"/>
        </w:rPr>
      </w:pPr>
      <w:r>
        <w:rPr>
          <w:rFonts w:ascii="宋体" w:hAnsi="宋体" w:eastAsia="宋体" w:cs="宋体"/>
          <w:sz w:val="21"/>
          <w:szCs w:val="21"/>
          <w:u w:val="single"/>
        </w:rPr>
        <w:t>h.</w:t>
      </w:r>
      <w:r>
        <w:rPr>
          <w:rFonts w:hint="eastAsia" w:ascii="宋体" w:hAnsi="宋体" w:eastAsia="宋体" w:cs="宋体"/>
          <w:sz w:val="21"/>
          <w:szCs w:val="21"/>
          <w:u w:val="single"/>
        </w:rPr>
        <w:t>弃土外运运距包干，弃土土方处置费包干，承包人根据本工程的实际情况，结合自身实际施工的需要综合考虑报价，结算提供相关发票。</w:t>
      </w:r>
    </w:p>
    <w:p w14:paraId="36EF947F">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风险费用的计算方法：</w:t>
      </w:r>
      <w:r>
        <w:rPr>
          <w:rFonts w:hint="eastAsia" w:ascii="宋体" w:hAnsi="宋体" w:eastAsia="宋体" w:cs="宋体"/>
          <w:sz w:val="21"/>
          <w:szCs w:val="21"/>
          <w:u w:val="single"/>
        </w:rPr>
        <w:t>已包含在合同价内</w:t>
      </w:r>
      <w:r>
        <w:rPr>
          <w:rFonts w:hint="eastAsia" w:ascii="宋体" w:hAnsi="宋体" w:eastAsia="宋体" w:cs="宋体"/>
          <w:sz w:val="21"/>
          <w:szCs w:val="21"/>
        </w:rPr>
        <w:t>。</w:t>
      </w:r>
    </w:p>
    <w:p w14:paraId="70FC2C0C">
      <w:pPr>
        <w:spacing w:line="360" w:lineRule="exact"/>
        <w:ind w:firstLine="420" w:firstLineChars="200"/>
        <w:rPr>
          <w:rFonts w:ascii="宋体" w:hAnsi="宋体" w:eastAsia="宋体" w:cs="宋体"/>
          <w:sz w:val="21"/>
          <w:szCs w:val="21"/>
        </w:rPr>
      </w:pPr>
      <w:r>
        <w:rPr>
          <w:rFonts w:hint="eastAsia" w:ascii="宋体" w:hAnsi="宋体" w:eastAsia="宋体" w:cs="宋体"/>
          <w:sz w:val="21"/>
          <w:szCs w:val="21"/>
        </w:rPr>
        <w:t>风险范围以外合同价格的调整方法：</w:t>
      </w:r>
    </w:p>
    <w:p w14:paraId="5FFC8A79">
      <w:pPr>
        <w:spacing w:line="340" w:lineRule="exact"/>
        <w:ind w:firstLine="420" w:firstLineChars="200"/>
        <w:rPr>
          <w:rFonts w:ascii="宋体" w:cs="宋体"/>
          <w:sz w:val="21"/>
          <w:szCs w:val="21"/>
          <w:u w:val="single"/>
        </w:rPr>
      </w:pPr>
      <w:r>
        <w:rPr>
          <w:rFonts w:hint="eastAsia" w:ascii="宋体" w:hAnsi="宋体" w:cs="宋体"/>
          <w:sz w:val="21"/>
          <w:szCs w:val="21"/>
          <w:u w:val="single"/>
          <w:lang w:val="zh-CN"/>
        </w:rPr>
        <w:t>（</w:t>
      </w:r>
      <w:r>
        <w:rPr>
          <w:rFonts w:ascii="宋体" w:hAnsi="宋体" w:cs="宋体"/>
          <w:sz w:val="21"/>
          <w:szCs w:val="21"/>
          <w:u w:val="single"/>
          <w:lang w:val="zh-CN"/>
        </w:rPr>
        <w:t>1</w:t>
      </w:r>
      <w:r>
        <w:rPr>
          <w:rFonts w:hint="eastAsia" w:ascii="宋体" w:hAnsi="宋体" w:cs="宋体"/>
          <w:sz w:val="21"/>
          <w:szCs w:val="21"/>
          <w:u w:val="single"/>
          <w:lang w:val="zh-CN"/>
        </w:rPr>
        <w:t>）</w:t>
      </w:r>
      <w:r>
        <w:rPr>
          <w:rFonts w:hint="eastAsia" w:ascii="宋体" w:hAnsi="宋体" w:cs="宋体"/>
          <w:sz w:val="21"/>
          <w:szCs w:val="21"/>
          <w:u w:val="single"/>
        </w:rPr>
        <w:t>工程量按照专用条款</w:t>
      </w:r>
      <w:r>
        <w:rPr>
          <w:rFonts w:ascii="宋体" w:hAnsi="宋体" w:cs="宋体"/>
          <w:sz w:val="21"/>
          <w:szCs w:val="21"/>
          <w:u w:val="single"/>
        </w:rPr>
        <w:t>12.3.1</w:t>
      </w:r>
      <w:r>
        <w:rPr>
          <w:rFonts w:hint="eastAsia" w:ascii="宋体" w:hAnsi="宋体" w:cs="宋体"/>
          <w:sz w:val="21"/>
          <w:szCs w:val="21"/>
          <w:u w:val="single"/>
        </w:rPr>
        <w:t>条规定，由承包人计量，发包人及其委托的相关机构审核。</w:t>
      </w:r>
    </w:p>
    <w:p w14:paraId="384FBF5B">
      <w:pPr>
        <w:spacing w:line="340" w:lineRule="exact"/>
        <w:ind w:firstLine="420" w:firstLineChars="200"/>
        <w:rPr>
          <w:rFonts w:ascii="宋体" w:cs="宋体"/>
          <w:sz w:val="21"/>
          <w:szCs w:val="21"/>
          <w:u w:val="single"/>
          <w:lang w:val="zh-CN"/>
        </w:rPr>
      </w:pPr>
      <w:r>
        <w:rPr>
          <w:rFonts w:hint="eastAsia" w:ascii="宋体" w:hAnsi="宋体" w:cs="宋体"/>
          <w:sz w:val="21"/>
          <w:szCs w:val="21"/>
          <w:u w:val="single"/>
        </w:rPr>
        <w:t>（</w:t>
      </w:r>
      <w:r>
        <w:rPr>
          <w:rFonts w:ascii="宋体" w:hAnsi="宋体" w:cs="宋体"/>
          <w:sz w:val="21"/>
          <w:szCs w:val="21"/>
          <w:u w:val="single"/>
        </w:rPr>
        <w:t>2</w:t>
      </w:r>
      <w:r>
        <w:rPr>
          <w:rFonts w:hint="eastAsia" w:ascii="宋体" w:hAnsi="宋体" w:cs="宋体"/>
          <w:sz w:val="21"/>
          <w:szCs w:val="21"/>
          <w:u w:val="single"/>
        </w:rPr>
        <w:t>）</w:t>
      </w:r>
      <w:r>
        <w:rPr>
          <w:rFonts w:hint="eastAsia" w:ascii="宋体" w:hAnsi="宋体" w:cs="宋体"/>
          <w:kern w:val="0"/>
          <w:sz w:val="21"/>
          <w:szCs w:val="21"/>
          <w:u w:val="single"/>
        </w:rPr>
        <w:t>市场价格波动引起的调整按</w:t>
      </w:r>
      <w:r>
        <w:rPr>
          <w:rFonts w:hint="eastAsia" w:ascii="宋体" w:hAnsi="宋体" w:cs="宋体"/>
          <w:sz w:val="21"/>
          <w:szCs w:val="21"/>
          <w:u w:val="single"/>
        </w:rPr>
        <w:t>专用合同条款第</w:t>
      </w:r>
      <w:r>
        <w:rPr>
          <w:rFonts w:ascii="宋体" w:hAnsi="宋体" w:cs="宋体"/>
          <w:sz w:val="21"/>
          <w:szCs w:val="21"/>
          <w:u w:val="single"/>
        </w:rPr>
        <w:t>11.1</w:t>
      </w:r>
      <w:r>
        <w:rPr>
          <w:rFonts w:hint="eastAsia" w:ascii="宋体" w:hAnsi="宋体" w:cs="宋体"/>
          <w:sz w:val="21"/>
          <w:szCs w:val="21"/>
          <w:u w:val="single"/>
        </w:rPr>
        <w:t>款约定调整。</w:t>
      </w:r>
    </w:p>
    <w:p w14:paraId="07F34206">
      <w:pPr>
        <w:spacing w:line="340" w:lineRule="exact"/>
        <w:ind w:firstLine="420" w:firstLineChars="200"/>
        <w:rPr>
          <w:rFonts w:ascii="宋体" w:cs="宋体"/>
          <w:sz w:val="21"/>
          <w:szCs w:val="21"/>
          <w:u w:val="single"/>
          <w:lang w:val="zh-CN"/>
        </w:rPr>
      </w:pPr>
      <w:r>
        <w:rPr>
          <w:rFonts w:hint="eastAsia" w:ascii="宋体" w:hAnsi="宋体" w:cs="宋体"/>
          <w:sz w:val="21"/>
          <w:szCs w:val="21"/>
          <w:u w:val="single"/>
          <w:lang w:val="zh-CN"/>
        </w:rPr>
        <w:t>（</w:t>
      </w:r>
      <w:r>
        <w:rPr>
          <w:rFonts w:ascii="宋体" w:hAnsi="宋体" w:cs="宋体"/>
          <w:sz w:val="21"/>
          <w:szCs w:val="21"/>
          <w:u w:val="single"/>
          <w:lang w:val="zh-CN"/>
        </w:rPr>
        <w:t>3</w:t>
      </w:r>
      <w:r>
        <w:rPr>
          <w:rFonts w:hint="eastAsia" w:ascii="宋体" w:hAnsi="宋体" w:cs="宋体"/>
          <w:sz w:val="21"/>
          <w:szCs w:val="21"/>
          <w:u w:val="single"/>
          <w:lang w:val="zh-CN"/>
        </w:rPr>
        <w:t>）因发包人提供的工程量清单项目工程数量计算偏差或工程变更引起的</w:t>
      </w:r>
      <w:r>
        <w:rPr>
          <w:rFonts w:hint="eastAsia" w:ascii="宋体" w:hAnsi="宋体" w:cs="宋体"/>
          <w:sz w:val="21"/>
          <w:szCs w:val="21"/>
          <w:u w:val="single"/>
        </w:rPr>
        <w:t>工程量增加，综合单价的确定按专用条款</w:t>
      </w:r>
      <w:r>
        <w:rPr>
          <w:rFonts w:ascii="宋体" w:hAnsi="宋体" w:cs="宋体"/>
          <w:sz w:val="21"/>
          <w:szCs w:val="21"/>
          <w:u w:val="single"/>
        </w:rPr>
        <w:t>10.4.1</w:t>
      </w:r>
      <w:r>
        <w:rPr>
          <w:rFonts w:hint="eastAsia" w:ascii="宋体" w:hAnsi="宋体" w:cs="宋体"/>
          <w:sz w:val="21"/>
          <w:szCs w:val="21"/>
          <w:u w:val="single"/>
        </w:rPr>
        <w:t>条执行；</w:t>
      </w:r>
    </w:p>
    <w:p w14:paraId="62C40FD1">
      <w:pPr>
        <w:spacing w:line="340" w:lineRule="exact"/>
        <w:ind w:firstLine="420" w:firstLineChars="200"/>
        <w:rPr>
          <w:rFonts w:ascii="宋体" w:cs="宋体"/>
          <w:sz w:val="21"/>
          <w:szCs w:val="21"/>
          <w:u w:val="single"/>
          <w:lang w:val="zh-CN"/>
        </w:rPr>
      </w:pPr>
      <w:r>
        <w:rPr>
          <w:rFonts w:hint="eastAsia" w:ascii="宋体" w:hAnsi="宋体" w:cs="宋体"/>
          <w:sz w:val="21"/>
          <w:szCs w:val="21"/>
          <w:u w:val="single"/>
          <w:lang w:val="zh-CN"/>
        </w:rPr>
        <w:t>（</w:t>
      </w:r>
      <w:r>
        <w:rPr>
          <w:rFonts w:ascii="宋体" w:hAnsi="宋体" w:cs="宋体"/>
          <w:sz w:val="21"/>
          <w:szCs w:val="21"/>
          <w:u w:val="single"/>
          <w:lang w:val="zh-CN"/>
        </w:rPr>
        <w:t>4</w:t>
      </w:r>
      <w:r>
        <w:rPr>
          <w:rFonts w:hint="eastAsia" w:ascii="宋体" w:hAnsi="宋体" w:cs="宋体"/>
          <w:sz w:val="21"/>
          <w:szCs w:val="21"/>
          <w:u w:val="single"/>
          <w:lang w:val="zh-CN"/>
        </w:rPr>
        <w:t>）发包人提供的工程量清单项目漏项、错项、工程变更引起的新增项目、工程量清单项目特征局部变更，</w:t>
      </w:r>
      <w:r>
        <w:rPr>
          <w:rFonts w:hint="eastAsia" w:ascii="宋体" w:hAnsi="宋体" w:cs="宋体"/>
          <w:sz w:val="21"/>
          <w:szCs w:val="21"/>
          <w:u w:val="single"/>
        </w:rPr>
        <w:t>与已标价工程量清单项目不同或相类似项目，</w:t>
      </w:r>
      <w:r>
        <w:rPr>
          <w:rFonts w:hint="eastAsia" w:ascii="宋体" w:hAnsi="宋体" w:cs="宋体"/>
          <w:sz w:val="21"/>
          <w:szCs w:val="21"/>
          <w:u w:val="single"/>
          <w:lang w:val="zh-CN"/>
        </w:rPr>
        <w:t>其综合单价的确定方法</w:t>
      </w:r>
      <w:r>
        <w:rPr>
          <w:rFonts w:hint="eastAsia" w:ascii="宋体" w:hAnsi="宋体" w:cs="宋体"/>
          <w:sz w:val="21"/>
          <w:szCs w:val="21"/>
          <w:u w:val="single"/>
        </w:rPr>
        <w:t>按专用条款</w:t>
      </w:r>
      <w:r>
        <w:rPr>
          <w:rFonts w:ascii="宋体" w:hAnsi="宋体" w:cs="宋体"/>
          <w:sz w:val="21"/>
          <w:szCs w:val="21"/>
          <w:u w:val="single"/>
        </w:rPr>
        <w:t>10.4.1</w:t>
      </w:r>
      <w:r>
        <w:rPr>
          <w:rFonts w:hint="eastAsia" w:ascii="宋体" w:hAnsi="宋体" w:cs="宋体"/>
          <w:sz w:val="21"/>
          <w:szCs w:val="21"/>
          <w:u w:val="single"/>
        </w:rPr>
        <w:t>条约定调整。</w:t>
      </w:r>
    </w:p>
    <w:p w14:paraId="0B22ED70">
      <w:pPr>
        <w:spacing w:line="340" w:lineRule="exact"/>
        <w:ind w:firstLine="420" w:firstLineChars="200"/>
        <w:rPr>
          <w:rFonts w:ascii="宋体" w:cs="宋体"/>
          <w:sz w:val="21"/>
          <w:szCs w:val="21"/>
          <w:u w:val="single"/>
        </w:rPr>
      </w:pPr>
      <w:r>
        <w:rPr>
          <w:rFonts w:hint="eastAsia" w:ascii="宋体" w:hAnsi="宋体" w:cs="宋体"/>
          <w:sz w:val="21"/>
          <w:szCs w:val="21"/>
          <w:u w:val="single"/>
        </w:rPr>
        <w:t>（</w:t>
      </w:r>
      <w:r>
        <w:rPr>
          <w:rFonts w:ascii="宋体" w:hAnsi="宋体" w:cs="宋体"/>
          <w:sz w:val="21"/>
          <w:szCs w:val="21"/>
          <w:u w:val="single"/>
        </w:rPr>
        <w:t>5</w:t>
      </w:r>
      <w:r>
        <w:rPr>
          <w:rFonts w:hint="eastAsia" w:ascii="宋体" w:hAnsi="宋体" w:cs="宋体"/>
          <w:sz w:val="21"/>
          <w:szCs w:val="21"/>
          <w:u w:val="single"/>
        </w:rPr>
        <w:t>）因非承包人原因的分部分项工程量清单漏项、错项、工程变更及清单工程量增减等，引起措施项目内容、工程数量发生变化，则调整措施项目费用：</w:t>
      </w:r>
    </w:p>
    <w:p w14:paraId="55F79FCE">
      <w:pPr>
        <w:spacing w:line="340" w:lineRule="exact"/>
        <w:ind w:firstLine="420" w:firstLineChars="200"/>
        <w:rPr>
          <w:rFonts w:ascii="宋体" w:cs="宋体"/>
          <w:sz w:val="21"/>
          <w:szCs w:val="21"/>
          <w:u w:val="single"/>
        </w:rPr>
      </w:pPr>
      <w:r>
        <w:rPr>
          <w:rFonts w:ascii="宋体" w:hAnsi="宋体" w:cs="宋体"/>
          <w:sz w:val="21"/>
          <w:szCs w:val="21"/>
          <w:u w:val="single"/>
        </w:rPr>
        <w:t>a</w:t>
      </w:r>
      <w:r>
        <w:rPr>
          <w:rFonts w:hint="eastAsia" w:ascii="宋体" w:hAnsi="宋体" w:cs="宋体"/>
          <w:sz w:val="21"/>
          <w:szCs w:val="21"/>
          <w:u w:val="single"/>
        </w:rPr>
        <w:t>、采用综合单价计价的按专用条款第</w:t>
      </w:r>
      <w:r>
        <w:rPr>
          <w:rFonts w:ascii="宋体" w:hAnsi="宋体" w:cs="宋体"/>
          <w:sz w:val="21"/>
          <w:szCs w:val="21"/>
          <w:u w:val="single"/>
        </w:rPr>
        <w:t>10.4.1</w:t>
      </w:r>
      <w:r>
        <w:rPr>
          <w:rFonts w:hint="eastAsia" w:ascii="宋体" w:hAnsi="宋体" w:cs="宋体"/>
          <w:sz w:val="21"/>
          <w:szCs w:val="21"/>
          <w:u w:val="single"/>
        </w:rPr>
        <w:t>条计算综合单价。</w:t>
      </w:r>
    </w:p>
    <w:p w14:paraId="3E5A247D">
      <w:pPr>
        <w:spacing w:line="340" w:lineRule="exact"/>
        <w:ind w:firstLine="420" w:firstLineChars="200"/>
        <w:rPr>
          <w:rFonts w:ascii="宋体" w:cs="宋体"/>
          <w:sz w:val="21"/>
          <w:szCs w:val="21"/>
          <w:u w:val="single"/>
        </w:rPr>
      </w:pPr>
      <w:r>
        <w:rPr>
          <w:rFonts w:ascii="宋体" w:hAnsi="宋体" w:cs="宋体"/>
          <w:sz w:val="21"/>
          <w:szCs w:val="21"/>
          <w:u w:val="single"/>
        </w:rPr>
        <w:t>b</w:t>
      </w:r>
      <w:r>
        <w:rPr>
          <w:rFonts w:hint="eastAsia" w:ascii="宋体" w:hAnsi="宋体" w:cs="宋体"/>
          <w:sz w:val="21"/>
          <w:szCs w:val="21"/>
          <w:u w:val="single"/>
        </w:rPr>
        <w:t>、计量单位采用以“项”计价的措施项目，工程量清单项目及工程数量变化引起措施变动部分重新组价。</w:t>
      </w:r>
      <w:r>
        <w:rPr>
          <w:rFonts w:hint="eastAsia" w:ascii="宋体" w:hAnsi="宋体" w:eastAsia="宋体" w:cs="宋体"/>
          <w:sz w:val="21"/>
          <w:szCs w:val="21"/>
          <w:u w:val="single"/>
        </w:rPr>
        <w:t>（合同另有规定的除外）</w:t>
      </w:r>
    </w:p>
    <w:p w14:paraId="062D9EEA">
      <w:pPr>
        <w:spacing w:line="340" w:lineRule="exact"/>
        <w:ind w:firstLine="420" w:firstLineChars="200"/>
        <w:rPr>
          <w:rFonts w:ascii="宋体" w:cs="宋体"/>
          <w:sz w:val="21"/>
          <w:szCs w:val="21"/>
          <w:u w:val="single"/>
        </w:rPr>
      </w:pPr>
      <w:r>
        <w:rPr>
          <w:rFonts w:ascii="宋体" w:hAnsi="宋体" w:cs="宋体"/>
          <w:sz w:val="21"/>
          <w:szCs w:val="21"/>
          <w:u w:val="single"/>
        </w:rPr>
        <w:t>c</w:t>
      </w:r>
      <w:r>
        <w:rPr>
          <w:rFonts w:hint="eastAsia" w:ascii="宋体" w:hAnsi="宋体" w:cs="宋体"/>
          <w:sz w:val="21"/>
          <w:szCs w:val="21"/>
          <w:u w:val="single"/>
        </w:rPr>
        <w:t>、施工组织措施项目，按合同约定费率内容，调整措施费用计算基数。</w:t>
      </w:r>
    </w:p>
    <w:p w14:paraId="070D10D1">
      <w:pPr>
        <w:spacing w:line="340" w:lineRule="exact"/>
        <w:ind w:firstLine="420" w:firstLineChars="200"/>
        <w:rPr>
          <w:rFonts w:ascii="宋体" w:cs="宋体"/>
          <w:sz w:val="21"/>
          <w:szCs w:val="21"/>
          <w:u w:val="single"/>
        </w:rPr>
      </w:pPr>
      <w:r>
        <w:rPr>
          <w:rFonts w:hint="eastAsia" w:ascii="宋体" w:hAnsi="宋体" w:cs="宋体"/>
          <w:sz w:val="21"/>
          <w:szCs w:val="21"/>
          <w:u w:val="single"/>
        </w:rPr>
        <w:t>（</w:t>
      </w:r>
      <w:r>
        <w:rPr>
          <w:rFonts w:ascii="宋体" w:hAnsi="宋体" w:cs="宋体"/>
          <w:sz w:val="21"/>
          <w:szCs w:val="21"/>
          <w:u w:val="single"/>
        </w:rPr>
        <w:t>6</w:t>
      </w:r>
      <w:r>
        <w:rPr>
          <w:rFonts w:hint="eastAsia" w:ascii="宋体" w:hAnsi="宋体" w:cs="宋体"/>
          <w:sz w:val="21"/>
          <w:szCs w:val="21"/>
          <w:u w:val="single"/>
        </w:rPr>
        <w:t>）未在投标价中包含的专项施工方案（注：主要指超过一定规模的危险性较大的分部分项工程）的施工及论证费用，根据施工现场实际参照合同专用条款</w:t>
      </w:r>
      <w:r>
        <w:rPr>
          <w:rFonts w:ascii="宋体" w:hAnsi="宋体" w:cs="宋体"/>
          <w:sz w:val="21"/>
          <w:szCs w:val="21"/>
          <w:u w:val="single"/>
        </w:rPr>
        <w:t>10.4.1</w:t>
      </w:r>
      <w:r>
        <w:rPr>
          <w:rFonts w:hint="eastAsia" w:ascii="宋体" w:hAnsi="宋体" w:cs="宋体"/>
          <w:sz w:val="21"/>
          <w:szCs w:val="21"/>
          <w:u w:val="single"/>
        </w:rPr>
        <w:t>款约定方法确定或签证。</w:t>
      </w:r>
    </w:p>
    <w:p w14:paraId="29EC46B9">
      <w:pPr>
        <w:spacing w:line="380" w:lineRule="exact"/>
        <w:ind w:firstLine="420" w:firstLineChars="200"/>
        <w:rPr>
          <w:rFonts w:hAnsi="仿宋"/>
          <w:sz w:val="21"/>
          <w:szCs w:val="21"/>
        </w:rPr>
      </w:pPr>
      <w:r>
        <w:rPr>
          <w:rFonts w:hint="eastAsia" w:hAnsi="仿宋"/>
          <w:sz w:val="21"/>
          <w:szCs w:val="21"/>
        </w:rPr>
        <w:t>2．总价合同。</w:t>
      </w:r>
    </w:p>
    <w:p w14:paraId="69589F2E">
      <w:pPr>
        <w:spacing w:line="360" w:lineRule="exact"/>
        <w:ind w:firstLine="420" w:firstLineChars="200"/>
        <w:rPr>
          <w:rFonts w:ascii="宋体" w:hAnsi="宋体" w:eastAsia="宋体"/>
          <w:sz w:val="21"/>
          <w:szCs w:val="21"/>
          <w:u w:val="single"/>
        </w:rPr>
      </w:pPr>
      <w:r>
        <w:rPr>
          <w:rFonts w:ascii="宋体" w:hAnsi="宋体" w:eastAsia="宋体"/>
          <w:sz w:val="21"/>
          <w:szCs w:val="21"/>
        </w:rPr>
        <w:t>总价包含的风险范围：</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ascii="宋体" w:hAnsi="宋体" w:eastAsia="宋体"/>
          <w:sz w:val="21"/>
          <w:szCs w:val="21"/>
        </w:rPr>
        <w:t>。</w:t>
      </w:r>
    </w:p>
    <w:p w14:paraId="545D0230">
      <w:pPr>
        <w:spacing w:line="360" w:lineRule="exact"/>
        <w:ind w:firstLine="420" w:firstLineChars="200"/>
        <w:rPr>
          <w:rFonts w:ascii="宋体" w:hAnsi="宋体" w:eastAsia="宋体"/>
          <w:sz w:val="21"/>
          <w:szCs w:val="21"/>
          <w:u w:val="single"/>
        </w:rPr>
      </w:pPr>
      <w:r>
        <w:rPr>
          <w:rFonts w:ascii="宋体" w:hAnsi="宋体" w:eastAsia="宋体"/>
          <w:sz w:val="21"/>
          <w:szCs w:val="21"/>
        </w:rPr>
        <w:t>风险费用的计算方法：</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ascii="宋体" w:hAnsi="宋体" w:eastAsia="宋体"/>
          <w:sz w:val="21"/>
          <w:szCs w:val="21"/>
        </w:rPr>
        <w:t>。</w:t>
      </w:r>
    </w:p>
    <w:p w14:paraId="7F6123F8">
      <w:pPr>
        <w:spacing w:line="360" w:lineRule="exact"/>
        <w:ind w:firstLine="420" w:firstLineChars="200"/>
        <w:rPr>
          <w:rFonts w:ascii="宋体" w:hAnsi="宋体" w:eastAsia="宋体"/>
          <w:sz w:val="21"/>
          <w:szCs w:val="21"/>
        </w:rPr>
      </w:pPr>
      <w:r>
        <w:rPr>
          <w:rFonts w:ascii="宋体" w:hAnsi="宋体" w:eastAsia="宋体"/>
          <w:sz w:val="21"/>
          <w:szCs w:val="21"/>
        </w:rPr>
        <w:t>风险范围以外合同价格的调整方法：</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ascii="宋体" w:hAnsi="宋体" w:eastAsia="宋体"/>
          <w:sz w:val="21"/>
          <w:szCs w:val="21"/>
        </w:rPr>
        <w:t>。</w:t>
      </w:r>
      <w:r>
        <w:rPr>
          <w:rFonts w:ascii="宋体" w:hAnsi="宋体" w:eastAsia="宋体"/>
          <w:sz w:val="21"/>
          <w:szCs w:val="21"/>
        </w:rPr>
        <w:t xml:space="preserve">       </w:t>
      </w:r>
    </w:p>
    <w:p w14:paraId="002FBF2E">
      <w:pPr>
        <w:spacing w:line="360" w:lineRule="exact"/>
        <w:ind w:firstLine="420" w:firstLineChars="200"/>
        <w:rPr>
          <w:rFonts w:ascii="宋体" w:hAnsi="宋体" w:eastAsia="宋体"/>
          <w:sz w:val="21"/>
          <w:szCs w:val="21"/>
          <w:u w:val="single"/>
        </w:rPr>
      </w:pPr>
      <w:r>
        <w:rPr>
          <w:rFonts w:hint="eastAsia" w:ascii="宋体" w:hAnsi="宋体" w:eastAsia="宋体"/>
          <w:sz w:val="21"/>
          <w:szCs w:val="21"/>
        </w:rPr>
        <w:t>3</w:t>
      </w:r>
      <w:r>
        <w:rPr>
          <w:rFonts w:ascii="宋体" w:hAnsi="宋体" w:eastAsia="宋体"/>
          <w:sz w:val="21"/>
          <w:szCs w:val="21"/>
        </w:rPr>
        <w:t>、其他价格方式：</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ascii="宋体" w:hAnsi="宋体" w:eastAsia="宋体"/>
          <w:sz w:val="21"/>
          <w:szCs w:val="21"/>
        </w:rPr>
        <w:t>。</w:t>
      </w:r>
    </w:p>
    <w:p w14:paraId="1095C8DC">
      <w:pPr>
        <w:spacing w:line="380" w:lineRule="exact"/>
        <w:ind w:firstLine="420" w:firstLineChars="200"/>
        <w:rPr>
          <w:rFonts w:hAnsi="仿宋"/>
          <w:sz w:val="21"/>
          <w:szCs w:val="21"/>
        </w:rPr>
      </w:pPr>
      <w:bookmarkStart w:id="404" w:name="_Toc303539161"/>
      <w:bookmarkStart w:id="405" w:name="_Toc300935004"/>
      <w:bookmarkStart w:id="406" w:name="_Toc297216213"/>
      <w:bookmarkStart w:id="407" w:name="_Toc297123554"/>
      <w:bookmarkStart w:id="408" w:name="_Toc312678042"/>
      <w:bookmarkStart w:id="409" w:name="_Toc304295581"/>
      <w:bookmarkStart w:id="410" w:name="_Toc296891035"/>
      <w:bookmarkStart w:id="411" w:name="_Toc297048393"/>
      <w:bookmarkStart w:id="412" w:name="_Toc292559917"/>
      <w:bookmarkStart w:id="413" w:name="_Toc296944546"/>
      <w:bookmarkStart w:id="414" w:name="_Toc297120507"/>
      <w:bookmarkStart w:id="415" w:name="_Toc296347206"/>
      <w:bookmarkStart w:id="416" w:name="_Toc296503207"/>
      <w:bookmarkStart w:id="417" w:name="_Toc296891247"/>
      <w:bookmarkStart w:id="418" w:name="_Toc292559412"/>
      <w:bookmarkStart w:id="419" w:name="_Toc296346708"/>
      <w:r>
        <w:rPr>
          <w:rFonts w:hint="eastAsia" w:hAnsi="仿宋"/>
          <w:sz w:val="21"/>
          <w:szCs w:val="21"/>
        </w:rPr>
        <w:t>12.2 预付款</w:t>
      </w:r>
    </w:p>
    <w:bookmarkEnd w:id="404"/>
    <w:bookmarkEnd w:id="405"/>
    <w:bookmarkEnd w:id="406"/>
    <w:bookmarkEnd w:id="407"/>
    <w:bookmarkEnd w:id="408"/>
    <w:bookmarkEnd w:id="409"/>
    <w:p w14:paraId="5324FFC2">
      <w:pPr>
        <w:spacing w:line="380" w:lineRule="exact"/>
        <w:ind w:firstLine="420" w:firstLineChars="200"/>
        <w:rPr>
          <w:rFonts w:hAnsi="仿宋"/>
          <w:sz w:val="21"/>
          <w:szCs w:val="21"/>
        </w:rPr>
      </w:pPr>
      <w:r>
        <w:rPr>
          <w:rFonts w:hint="eastAsia" w:hAnsi="仿宋"/>
          <w:sz w:val="21"/>
          <w:szCs w:val="21"/>
        </w:rPr>
        <w:t>12.2.1预付款的支付</w:t>
      </w:r>
    </w:p>
    <w:p w14:paraId="60C7B25D">
      <w:pPr>
        <w:spacing w:line="380" w:lineRule="exact"/>
        <w:ind w:firstLine="420" w:firstLineChars="200"/>
        <w:rPr>
          <w:rFonts w:hAnsi="仿宋"/>
          <w:sz w:val="21"/>
          <w:szCs w:val="21"/>
        </w:rPr>
      </w:pPr>
      <w:r>
        <w:rPr>
          <w:rFonts w:hint="eastAsia" w:hAnsi="仿宋"/>
          <w:sz w:val="21"/>
          <w:szCs w:val="21"/>
        </w:rPr>
        <w:t>预付款支付比例或金额：</w:t>
      </w:r>
      <w:r>
        <w:rPr>
          <w:rFonts w:hint="eastAsia" w:hAnsi="仿宋"/>
          <w:sz w:val="21"/>
          <w:szCs w:val="21"/>
          <w:u w:val="single"/>
        </w:rPr>
        <w:t>签约合同价的10%，金额（</w:t>
      </w:r>
      <w:r>
        <w:rPr>
          <w:rFonts w:hint="eastAsia" w:hAnsi="仿宋" w:eastAsiaTheme="minorEastAsia"/>
          <w:sz w:val="21"/>
          <w:szCs w:val="21"/>
          <w:u w:val="single"/>
        </w:rPr>
        <w:t xml:space="preserve">    </w:t>
      </w:r>
      <w:r>
        <w:rPr>
          <w:rFonts w:hint="eastAsia" w:hAnsi="仿宋"/>
          <w:sz w:val="21"/>
          <w:szCs w:val="21"/>
          <w:u w:val="single"/>
        </w:rPr>
        <w:t>）元，包含专用条款6.1.6条所列的安全文明施工费。</w:t>
      </w:r>
    </w:p>
    <w:p w14:paraId="66809040">
      <w:pPr>
        <w:spacing w:line="380" w:lineRule="exact"/>
        <w:ind w:firstLine="420" w:firstLineChars="200"/>
        <w:rPr>
          <w:rFonts w:hAnsi="仿宋"/>
          <w:sz w:val="21"/>
          <w:szCs w:val="21"/>
        </w:rPr>
      </w:pPr>
      <w:r>
        <w:rPr>
          <w:rFonts w:hint="eastAsia" w:hAnsi="仿宋"/>
          <w:sz w:val="21"/>
          <w:szCs w:val="21"/>
        </w:rPr>
        <w:t>预付款支付期限：</w:t>
      </w:r>
      <w:r>
        <w:rPr>
          <w:rFonts w:hint="eastAsia" w:hAnsi="仿宋"/>
          <w:sz w:val="21"/>
          <w:szCs w:val="21"/>
          <w:u w:val="single"/>
        </w:rPr>
        <w:t>开工通知载明的开工日期7天前支付</w:t>
      </w:r>
      <w:r>
        <w:rPr>
          <w:rFonts w:hint="eastAsia" w:hAnsi="仿宋"/>
          <w:sz w:val="21"/>
          <w:szCs w:val="21"/>
        </w:rPr>
        <w:t>。</w:t>
      </w:r>
    </w:p>
    <w:p w14:paraId="3961A934">
      <w:pPr>
        <w:spacing w:line="380" w:lineRule="exact"/>
        <w:ind w:firstLine="420" w:firstLineChars="200"/>
        <w:rPr>
          <w:rFonts w:hAnsi="仿宋"/>
          <w:sz w:val="21"/>
          <w:szCs w:val="21"/>
        </w:rPr>
      </w:pPr>
      <w:r>
        <w:rPr>
          <w:rFonts w:hint="eastAsia" w:hAnsi="仿宋"/>
          <w:sz w:val="21"/>
          <w:szCs w:val="21"/>
        </w:rPr>
        <w:t>预付款扣回的方式：</w:t>
      </w:r>
      <w:r>
        <w:rPr>
          <w:rFonts w:hint="eastAsia" w:hAnsi="仿宋"/>
          <w:sz w:val="21"/>
          <w:szCs w:val="21"/>
          <w:u w:val="single"/>
        </w:rPr>
        <w:t>不扣回。作为工程款，不抵扣每期应付进度款</w:t>
      </w:r>
      <w:r>
        <w:rPr>
          <w:rFonts w:hint="eastAsia" w:hAnsi="仿宋"/>
          <w:sz w:val="21"/>
          <w:szCs w:val="21"/>
        </w:rPr>
        <w:t>。</w:t>
      </w:r>
    </w:p>
    <w:p w14:paraId="4A5F2ECD">
      <w:pPr>
        <w:spacing w:line="380" w:lineRule="exact"/>
        <w:ind w:firstLine="420" w:firstLineChars="200"/>
        <w:rPr>
          <w:rFonts w:hAnsi="仿宋"/>
          <w:sz w:val="21"/>
          <w:szCs w:val="21"/>
        </w:rPr>
      </w:pPr>
      <w:r>
        <w:rPr>
          <w:rFonts w:hint="eastAsia" w:hAnsi="仿宋"/>
          <w:sz w:val="21"/>
          <w:szCs w:val="21"/>
        </w:rPr>
        <w:t>12.2.2预付款担保</w:t>
      </w:r>
    </w:p>
    <w:p w14:paraId="4655BE81">
      <w:pPr>
        <w:spacing w:line="380" w:lineRule="exact"/>
        <w:ind w:firstLine="420" w:firstLineChars="200"/>
        <w:rPr>
          <w:rFonts w:hAnsi="仿宋"/>
          <w:sz w:val="21"/>
          <w:szCs w:val="21"/>
        </w:rPr>
      </w:pPr>
      <w:r>
        <w:rPr>
          <w:rFonts w:hint="eastAsia" w:hAnsi="仿宋"/>
          <w:sz w:val="21"/>
          <w:szCs w:val="21"/>
        </w:rPr>
        <w:t>承包人提交预付款担保的期限：</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73B82988">
      <w:pPr>
        <w:spacing w:line="380" w:lineRule="exact"/>
        <w:ind w:firstLine="420" w:firstLineChars="200"/>
        <w:rPr>
          <w:rFonts w:hAnsi="仿宋"/>
          <w:sz w:val="21"/>
          <w:szCs w:val="21"/>
        </w:rPr>
      </w:pPr>
      <w:r>
        <w:rPr>
          <w:rFonts w:hint="eastAsia" w:hAnsi="仿宋"/>
          <w:sz w:val="21"/>
          <w:szCs w:val="21"/>
        </w:rPr>
        <w:t>预付款担保的形式为：</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bookmarkEnd w:id="410"/>
    <w:bookmarkEnd w:id="411"/>
    <w:bookmarkEnd w:id="412"/>
    <w:bookmarkEnd w:id="413"/>
    <w:bookmarkEnd w:id="414"/>
    <w:bookmarkEnd w:id="415"/>
    <w:bookmarkEnd w:id="416"/>
    <w:bookmarkEnd w:id="417"/>
    <w:bookmarkEnd w:id="418"/>
    <w:bookmarkEnd w:id="419"/>
    <w:p w14:paraId="430D11DF">
      <w:pPr>
        <w:spacing w:line="380" w:lineRule="exact"/>
        <w:ind w:firstLine="420" w:firstLineChars="200"/>
        <w:rPr>
          <w:rFonts w:hAnsi="仿宋"/>
          <w:sz w:val="21"/>
          <w:szCs w:val="21"/>
        </w:rPr>
      </w:pPr>
      <w:r>
        <w:rPr>
          <w:rFonts w:hint="eastAsia" w:hAnsi="仿宋"/>
          <w:sz w:val="21"/>
          <w:szCs w:val="21"/>
        </w:rPr>
        <w:t>12.3 计量</w:t>
      </w:r>
    </w:p>
    <w:p w14:paraId="2D0CE56D">
      <w:pPr>
        <w:spacing w:line="380" w:lineRule="exact"/>
        <w:ind w:firstLine="420" w:firstLineChars="200"/>
        <w:rPr>
          <w:rFonts w:hAnsi="仿宋"/>
          <w:sz w:val="21"/>
          <w:szCs w:val="21"/>
        </w:rPr>
      </w:pPr>
      <w:r>
        <w:rPr>
          <w:rFonts w:hint="eastAsia" w:hAnsi="仿宋"/>
          <w:sz w:val="21"/>
          <w:szCs w:val="21"/>
        </w:rPr>
        <w:t>12.3.1计量原则</w:t>
      </w:r>
    </w:p>
    <w:p w14:paraId="709BEFD3">
      <w:pPr>
        <w:spacing w:line="380" w:lineRule="exact"/>
        <w:ind w:firstLine="420" w:firstLineChars="200"/>
        <w:rPr>
          <w:rFonts w:hAnsi="仿宋"/>
          <w:sz w:val="21"/>
          <w:szCs w:val="21"/>
          <w:u w:val="single"/>
        </w:rPr>
      </w:pPr>
      <w:r>
        <w:rPr>
          <w:rFonts w:hint="eastAsia" w:hAnsi="仿宋"/>
          <w:sz w:val="21"/>
          <w:szCs w:val="21"/>
          <w:u w:val="single"/>
        </w:rPr>
        <w:t>工程量计算按照实际完成施工图纸范围内和经发包人同意增加的施工内容按实计算，工程量计算规则按照《建设工程工程量清单计价规范》（GB50500-2013）、《房屋建筑与装饰工程工程量计算规范》(GB 50854-2013)、《通用安装工程工程量计算规范》(GB 50856-2013)、《市政工程工程量计算规范》GB50857-2013、《园林绿化工程工程量计算规范》GB50858-2013、《浙江省房屋建筑与装饰工程预算定额》（2018版）、</w:t>
      </w:r>
      <w:r>
        <w:rPr>
          <w:rFonts w:hint="eastAsia" w:ascii="宋体" w:hAnsi="宋体" w:eastAsia="宋体" w:cs="宋体"/>
          <w:sz w:val="21"/>
          <w:szCs w:val="21"/>
          <w:u w:val="single"/>
        </w:rPr>
        <w:t>《浙江省市政工程预算定额》（</w:t>
      </w:r>
      <w:r>
        <w:rPr>
          <w:rFonts w:hint="eastAsia" w:hAnsi="仿宋"/>
          <w:sz w:val="21"/>
          <w:szCs w:val="21"/>
          <w:u w:val="single"/>
        </w:rPr>
        <w:t>2018</w:t>
      </w:r>
      <w:r>
        <w:rPr>
          <w:rFonts w:hint="eastAsia" w:ascii="宋体" w:hAnsi="宋体" w:eastAsia="宋体" w:cs="宋体"/>
          <w:sz w:val="21"/>
          <w:szCs w:val="21"/>
          <w:u w:val="single"/>
        </w:rPr>
        <w:t>版）、</w:t>
      </w:r>
      <w:r>
        <w:rPr>
          <w:rFonts w:hint="eastAsia" w:hAnsi="仿宋"/>
          <w:sz w:val="21"/>
          <w:szCs w:val="21"/>
          <w:u w:val="single"/>
        </w:rPr>
        <w:t>《浙江省通用安装工程预算定额》（2018版）、《浙江省房屋建筑安装工程修缮预算定额》（2018版）、《浙江省建设工程计价规则》（2018版）、《浙江省建设工程施工机械台班费用定额》（2018版）及政府部门印发的相关补充文件、浙建建发〔2019〕92号、台建〔2019〕16号《台州市住房和城乡建设局关于实施“浙江省建设工程计价依据（2018版）”的补充通知》等工程所在地现行的有关工程造价方面规定及发包人提供的工程量清单中说明的工程量计算规则计量。材料价格按2025年第4期《台州造价》的正刊台州除税信息价，部分主材按市场询价或类似工程材料（除税价）计入。</w:t>
      </w:r>
    </w:p>
    <w:p w14:paraId="619A475F">
      <w:pPr>
        <w:spacing w:line="380" w:lineRule="exact"/>
        <w:ind w:firstLine="420" w:firstLineChars="200"/>
        <w:rPr>
          <w:rFonts w:hAnsi="仿宋"/>
          <w:sz w:val="21"/>
          <w:szCs w:val="21"/>
        </w:rPr>
      </w:pPr>
      <w:r>
        <w:rPr>
          <w:rFonts w:hint="eastAsia" w:hAnsi="仿宋"/>
          <w:sz w:val="21"/>
          <w:szCs w:val="21"/>
        </w:rPr>
        <w:t>12.3.2计量周期：</w:t>
      </w:r>
    </w:p>
    <w:p w14:paraId="49576384">
      <w:pPr>
        <w:spacing w:line="380" w:lineRule="exact"/>
        <w:ind w:firstLine="420" w:firstLineChars="200"/>
        <w:rPr>
          <w:rFonts w:hAnsi="仿宋"/>
          <w:sz w:val="21"/>
          <w:szCs w:val="21"/>
        </w:rPr>
      </w:pPr>
      <w:r>
        <w:rPr>
          <w:rFonts w:hint="eastAsia" w:hAnsi="仿宋"/>
          <w:sz w:val="21"/>
          <w:szCs w:val="21"/>
        </w:rPr>
        <w:t>关于计量周期的约定：</w:t>
      </w:r>
      <w:r>
        <w:rPr>
          <w:rFonts w:hint="eastAsia" w:hAnsi="仿宋"/>
          <w:sz w:val="21"/>
          <w:szCs w:val="21"/>
          <w:u w:val="single"/>
        </w:rPr>
        <w:t>按</w:t>
      </w:r>
      <w:r>
        <w:rPr>
          <w:rFonts w:hint="eastAsia" w:hAnsi="仿宋" w:eastAsia="宋体"/>
          <w:sz w:val="21"/>
          <w:szCs w:val="21"/>
          <w:u w:val="single"/>
        </w:rPr>
        <w:t>进度</w:t>
      </w:r>
      <w:r>
        <w:rPr>
          <w:rFonts w:hint="eastAsia" w:hAnsi="仿宋"/>
          <w:sz w:val="21"/>
          <w:szCs w:val="21"/>
          <w:u w:val="single"/>
        </w:rPr>
        <w:t>计量</w:t>
      </w:r>
      <w:r>
        <w:rPr>
          <w:rFonts w:hint="eastAsia" w:hAnsi="仿宋"/>
          <w:sz w:val="21"/>
          <w:szCs w:val="21"/>
        </w:rPr>
        <w:t>。</w:t>
      </w:r>
    </w:p>
    <w:p w14:paraId="7C263AC2">
      <w:pPr>
        <w:spacing w:line="380" w:lineRule="exact"/>
        <w:ind w:firstLine="420" w:firstLineChars="200"/>
        <w:rPr>
          <w:rFonts w:hAnsi="仿宋"/>
          <w:sz w:val="21"/>
          <w:szCs w:val="21"/>
        </w:rPr>
      </w:pPr>
      <w:r>
        <w:rPr>
          <w:rFonts w:hint="eastAsia" w:hAnsi="仿宋"/>
          <w:sz w:val="21"/>
          <w:szCs w:val="21"/>
        </w:rPr>
        <w:t>12.3.3单价合同的计量</w:t>
      </w:r>
    </w:p>
    <w:p w14:paraId="12BD2D81">
      <w:pPr>
        <w:spacing w:line="380" w:lineRule="exact"/>
        <w:ind w:firstLine="420" w:firstLineChars="200"/>
        <w:rPr>
          <w:rFonts w:hAnsi="仿宋"/>
          <w:sz w:val="21"/>
          <w:szCs w:val="21"/>
          <w:u w:val="single"/>
        </w:rPr>
      </w:pPr>
      <w:r>
        <w:rPr>
          <w:rFonts w:hint="eastAsia" w:hAnsi="仿宋"/>
          <w:sz w:val="21"/>
          <w:szCs w:val="21"/>
        </w:rPr>
        <w:t>关于单价合同计量的约定：</w:t>
      </w:r>
      <w:r>
        <w:rPr>
          <w:rFonts w:hint="eastAsia" w:hAnsi="仿宋"/>
          <w:sz w:val="21"/>
          <w:szCs w:val="21"/>
          <w:u w:val="single"/>
        </w:rPr>
        <w:t>按通用合同条款执行。</w:t>
      </w:r>
    </w:p>
    <w:p w14:paraId="29B54310">
      <w:pPr>
        <w:spacing w:line="380" w:lineRule="exact"/>
        <w:ind w:firstLine="420" w:firstLineChars="200"/>
        <w:rPr>
          <w:rFonts w:hAnsi="仿宋"/>
          <w:kern w:val="0"/>
          <w:sz w:val="21"/>
          <w:szCs w:val="21"/>
          <w:u w:val="single"/>
        </w:rPr>
      </w:pPr>
      <w:r>
        <w:rPr>
          <w:rFonts w:hint="eastAsia" w:hAnsi="仿宋"/>
          <w:kern w:val="0"/>
          <w:sz w:val="21"/>
          <w:szCs w:val="21"/>
          <w:u w:val="single"/>
        </w:rPr>
        <w:t>确认的当期工程量和单价仅作为当期工程进度款支付的依据。</w:t>
      </w:r>
    </w:p>
    <w:p w14:paraId="542A305A">
      <w:pPr>
        <w:spacing w:line="380" w:lineRule="exact"/>
        <w:ind w:firstLine="420" w:firstLineChars="200"/>
        <w:rPr>
          <w:rFonts w:hAnsi="仿宋"/>
          <w:sz w:val="21"/>
          <w:szCs w:val="21"/>
        </w:rPr>
      </w:pPr>
      <w:r>
        <w:rPr>
          <w:rFonts w:hint="eastAsia" w:hAnsi="仿宋"/>
          <w:sz w:val="21"/>
          <w:szCs w:val="21"/>
        </w:rPr>
        <w:t>12.3.4总价合同的计量</w:t>
      </w:r>
    </w:p>
    <w:p w14:paraId="119D9067">
      <w:pPr>
        <w:spacing w:line="380" w:lineRule="exact"/>
        <w:ind w:firstLine="420" w:firstLineChars="200"/>
        <w:rPr>
          <w:rFonts w:hAnsi="仿宋"/>
          <w:sz w:val="21"/>
          <w:szCs w:val="21"/>
        </w:rPr>
      </w:pPr>
      <w:r>
        <w:rPr>
          <w:rFonts w:hint="eastAsia" w:hAnsi="仿宋"/>
          <w:sz w:val="21"/>
          <w:szCs w:val="21"/>
        </w:rPr>
        <w:t>关于总价合同计量的约定：</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244DEE10">
      <w:pPr>
        <w:spacing w:line="380" w:lineRule="exact"/>
        <w:ind w:firstLine="420" w:firstLineChars="200"/>
        <w:rPr>
          <w:rFonts w:hAnsi="仿宋"/>
          <w:sz w:val="21"/>
          <w:szCs w:val="21"/>
        </w:rPr>
      </w:pPr>
      <w:r>
        <w:rPr>
          <w:rFonts w:hint="eastAsia" w:hAnsi="仿宋"/>
          <w:sz w:val="21"/>
          <w:szCs w:val="21"/>
        </w:rPr>
        <w:t>12.3.5总价合同采用支付分解表计量支付的，是否适用第</w:t>
      </w:r>
      <w:r>
        <w:rPr>
          <w:rFonts w:hint="eastAsia" w:hAnsi="仿宋"/>
          <w:kern w:val="0"/>
          <w:sz w:val="21"/>
          <w:szCs w:val="21"/>
        </w:rPr>
        <w:t xml:space="preserve">12.3.4 </w:t>
      </w:r>
      <w:r>
        <w:rPr>
          <w:rFonts w:hint="eastAsia" w:hAnsi="仿宋"/>
          <w:sz w:val="21"/>
          <w:szCs w:val="21"/>
        </w:rPr>
        <w:t>项</w:t>
      </w:r>
      <w:r>
        <w:rPr>
          <w:rFonts w:hint="eastAsia" w:hAnsi="仿宋"/>
          <w:kern w:val="0"/>
          <w:sz w:val="21"/>
          <w:szCs w:val="21"/>
        </w:rPr>
        <w:t>〔总价合同的计量〕</w:t>
      </w:r>
      <w:r>
        <w:rPr>
          <w:rFonts w:hint="eastAsia" w:hAnsi="仿宋"/>
          <w:sz w:val="21"/>
          <w:szCs w:val="21"/>
        </w:rPr>
        <w:t>约定进行计量：</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eastAsiaTheme="minorEastAsia"/>
          <w:sz w:val="21"/>
          <w:szCs w:val="21"/>
        </w:rPr>
        <w:t xml:space="preserve"> </w:t>
      </w:r>
      <w:r>
        <w:rPr>
          <w:rFonts w:hint="eastAsia" w:hAnsi="仿宋"/>
          <w:sz w:val="21"/>
          <w:szCs w:val="21"/>
        </w:rPr>
        <w:t>。</w:t>
      </w:r>
    </w:p>
    <w:p w14:paraId="5D5F5BE2">
      <w:pPr>
        <w:spacing w:line="380" w:lineRule="exact"/>
        <w:ind w:firstLine="420" w:firstLineChars="200"/>
        <w:rPr>
          <w:rFonts w:hAnsi="仿宋"/>
          <w:sz w:val="21"/>
          <w:szCs w:val="21"/>
        </w:rPr>
      </w:pPr>
      <w:r>
        <w:rPr>
          <w:rFonts w:hint="eastAsia" w:hAnsi="仿宋"/>
          <w:sz w:val="21"/>
          <w:szCs w:val="21"/>
        </w:rPr>
        <w:t>12.3.6其他价格形式合同的计量</w:t>
      </w:r>
    </w:p>
    <w:p w14:paraId="01A29041">
      <w:pPr>
        <w:spacing w:line="380" w:lineRule="exact"/>
        <w:ind w:firstLine="420" w:firstLineChars="200"/>
        <w:rPr>
          <w:rFonts w:hAnsi="仿宋"/>
          <w:sz w:val="21"/>
          <w:szCs w:val="21"/>
          <w:u w:val="single"/>
        </w:rPr>
      </w:pPr>
      <w:r>
        <w:rPr>
          <w:rFonts w:hint="eastAsia" w:hAnsi="仿宋"/>
          <w:sz w:val="21"/>
          <w:szCs w:val="21"/>
        </w:rPr>
        <w:t>其他价格形式的计量方式和程序：</w:t>
      </w:r>
      <w:r>
        <w:rPr>
          <w:rFonts w:hint="eastAsia" w:hAnsi="仿宋"/>
          <w:sz w:val="21"/>
          <w:szCs w:val="21"/>
          <w:u w:val="single"/>
        </w:rPr>
        <w:t xml:space="preserve">    /     </w:t>
      </w:r>
      <w:r>
        <w:rPr>
          <w:rFonts w:hint="eastAsia" w:hAnsi="仿宋"/>
          <w:sz w:val="21"/>
          <w:szCs w:val="21"/>
        </w:rPr>
        <w:t>。</w:t>
      </w:r>
    </w:p>
    <w:p w14:paraId="77C07E24">
      <w:pPr>
        <w:spacing w:line="380" w:lineRule="exact"/>
        <w:ind w:firstLine="420" w:firstLineChars="200"/>
        <w:rPr>
          <w:rFonts w:hAnsi="仿宋"/>
          <w:sz w:val="21"/>
          <w:szCs w:val="21"/>
        </w:rPr>
      </w:pPr>
      <w:r>
        <w:rPr>
          <w:rFonts w:hint="eastAsia" w:hAnsi="仿宋"/>
          <w:sz w:val="21"/>
          <w:szCs w:val="21"/>
        </w:rPr>
        <w:t>12.4 工程进度款支付</w:t>
      </w:r>
    </w:p>
    <w:p w14:paraId="03503C8E">
      <w:pPr>
        <w:spacing w:line="380" w:lineRule="exact"/>
        <w:ind w:firstLine="420" w:firstLineChars="200"/>
        <w:rPr>
          <w:rFonts w:hAnsi="仿宋"/>
          <w:sz w:val="21"/>
          <w:szCs w:val="21"/>
        </w:rPr>
      </w:pPr>
      <w:bookmarkStart w:id="420" w:name="_Toc297216215"/>
      <w:bookmarkStart w:id="421" w:name="_Toc296891039"/>
      <w:bookmarkStart w:id="422" w:name="_Toc296503211"/>
      <w:bookmarkStart w:id="423" w:name="_Toc292559921"/>
      <w:bookmarkStart w:id="424" w:name="_Toc297048397"/>
      <w:bookmarkStart w:id="425" w:name="_Toc296891251"/>
      <w:bookmarkStart w:id="426" w:name="_Toc296944550"/>
      <w:bookmarkStart w:id="427" w:name="_Toc297120511"/>
      <w:bookmarkStart w:id="428" w:name="_Toc300935006"/>
      <w:bookmarkStart w:id="429" w:name="_Toc303539163"/>
      <w:bookmarkStart w:id="430" w:name="_Toc296347210"/>
      <w:bookmarkStart w:id="431" w:name="_Toc296346712"/>
      <w:bookmarkStart w:id="432" w:name="_Toc297123556"/>
      <w:bookmarkStart w:id="433" w:name="_Toc292559416"/>
      <w:r>
        <w:rPr>
          <w:rFonts w:hint="eastAsia" w:hAnsi="仿宋"/>
          <w:sz w:val="21"/>
          <w:szCs w:val="21"/>
        </w:rPr>
        <w:t>12.4.1付款周期</w:t>
      </w:r>
    </w:p>
    <w:p w14:paraId="5EA9C850">
      <w:pPr>
        <w:spacing w:line="380" w:lineRule="exact"/>
        <w:ind w:firstLine="420" w:firstLineChars="200"/>
        <w:rPr>
          <w:rFonts w:hAnsi="仿宋"/>
          <w:sz w:val="21"/>
          <w:szCs w:val="21"/>
        </w:rPr>
      </w:pPr>
      <w:r>
        <w:rPr>
          <w:rFonts w:hint="eastAsia" w:hAnsi="仿宋"/>
          <w:sz w:val="21"/>
          <w:szCs w:val="21"/>
        </w:rPr>
        <w:t>关于付款周期的约定：</w:t>
      </w:r>
      <w:r>
        <w:rPr>
          <w:rFonts w:hint="eastAsia" w:ascii="宋体" w:hAnsi="宋体" w:eastAsia="宋体" w:cs="宋体"/>
          <w:sz w:val="21"/>
          <w:szCs w:val="21"/>
          <w:u w:val="single"/>
        </w:rPr>
        <w:t>本项目支付一次预付款，后续款项待完工并验收通过后，一次性支付结算审定金额的100%；结算审定金额不得超过签约合同价，若超过签约合同价的，以签约合同价作为最高结算价</w:t>
      </w:r>
      <w:r>
        <w:rPr>
          <w:rFonts w:hint="eastAsia" w:hAnsi="仿宋"/>
          <w:sz w:val="21"/>
          <w:szCs w:val="21"/>
        </w:rPr>
        <w:t>。</w:t>
      </w:r>
    </w:p>
    <w:p w14:paraId="482CF40E">
      <w:pPr>
        <w:spacing w:line="380" w:lineRule="exact"/>
        <w:ind w:firstLine="420" w:firstLineChars="200"/>
        <w:rPr>
          <w:rFonts w:hAnsi="仿宋"/>
          <w:sz w:val="21"/>
          <w:szCs w:val="21"/>
        </w:rPr>
      </w:pPr>
      <w:r>
        <w:rPr>
          <w:rFonts w:hint="eastAsia" w:hAnsi="仿宋"/>
          <w:sz w:val="21"/>
          <w:szCs w:val="21"/>
        </w:rPr>
        <w:t>12.4.2进度付款申请单的编制</w:t>
      </w:r>
    </w:p>
    <w:p w14:paraId="429D977D">
      <w:pPr>
        <w:spacing w:line="380" w:lineRule="exact"/>
        <w:ind w:firstLine="420" w:firstLineChars="200"/>
        <w:rPr>
          <w:rFonts w:hAnsi="仿宋" w:eastAsia="宋体"/>
          <w:sz w:val="21"/>
          <w:szCs w:val="21"/>
          <w:u w:val="single"/>
        </w:rPr>
      </w:pPr>
      <w:r>
        <w:rPr>
          <w:rFonts w:hint="eastAsia" w:hAnsi="仿宋"/>
          <w:b/>
          <w:bCs/>
          <w:sz w:val="21"/>
          <w:szCs w:val="21"/>
        </w:rPr>
        <w:t>关于进度付款申请单编制的约定：</w:t>
      </w:r>
      <w:r>
        <w:rPr>
          <w:rFonts w:hint="eastAsia" w:ascii="宋体" w:hAnsi="宋体" w:eastAsia="宋体" w:cs="宋体"/>
          <w:sz w:val="21"/>
          <w:szCs w:val="21"/>
          <w:u w:val="single"/>
        </w:rPr>
        <w:t>工程变更、索赔、现场签证等办理完毕的，计入工程款。</w:t>
      </w:r>
    </w:p>
    <w:p w14:paraId="44AD5811">
      <w:pPr>
        <w:spacing w:line="380" w:lineRule="exact"/>
        <w:ind w:firstLine="420" w:firstLineChars="200"/>
        <w:rPr>
          <w:rFonts w:hAnsi="仿宋"/>
          <w:b/>
          <w:bCs/>
          <w:sz w:val="21"/>
          <w:szCs w:val="21"/>
          <w:u w:val="single"/>
        </w:rPr>
      </w:pPr>
      <w:bookmarkStart w:id="434" w:name="_Hlk200287657"/>
      <w:bookmarkStart w:id="435" w:name="_Hlk200287673"/>
      <w:r>
        <w:rPr>
          <w:rFonts w:hint="eastAsia" w:ascii="宋体" w:hAnsi="宋体" w:eastAsia="宋体" w:cs="宋体"/>
          <w:sz w:val="21"/>
          <w:szCs w:val="21"/>
          <w:u w:val="single"/>
        </w:rPr>
        <w:t>合同范围内的施工内容完成，参建各方（建设、监理、施工、勘察、设计单位等）对工程验收并签署工程质量合格文件后，一次性支付审核结算价的100%；</w:t>
      </w:r>
      <w:bookmarkEnd w:id="434"/>
      <w:bookmarkEnd w:id="435"/>
      <w:r>
        <w:rPr>
          <w:rFonts w:hAnsi="仿宋"/>
          <w:b/>
          <w:bCs/>
          <w:sz w:val="21"/>
          <w:szCs w:val="21"/>
          <w:u w:val="single"/>
        </w:rPr>
        <w:t xml:space="preserve"> </w:t>
      </w:r>
    </w:p>
    <w:p w14:paraId="7FBDD9B2">
      <w:pPr>
        <w:spacing w:line="380" w:lineRule="exact"/>
        <w:ind w:firstLine="420" w:firstLineChars="200"/>
        <w:rPr>
          <w:rFonts w:hAnsi="仿宋"/>
          <w:sz w:val="21"/>
          <w:szCs w:val="21"/>
        </w:rPr>
      </w:pPr>
      <w:r>
        <w:rPr>
          <w:rFonts w:hint="eastAsia" w:hAnsi="仿宋"/>
          <w:sz w:val="21"/>
          <w:szCs w:val="21"/>
          <w:u w:val="single"/>
        </w:rPr>
        <w:t>其余通用合同条款</w:t>
      </w:r>
      <w:r>
        <w:rPr>
          <w:rFonts w:hint="eastAsia" w:hAnsi="仿宋"/>
          <w:sz w:val="21"/>
          <w:szCs w:val="21"/>
        </w:rPr>
        <w:t>。</w:t>
      </w:r>
    </w:p>
    <w:p w14:paraId="6A71CF30">
      <w:pPr>
        <w:spacing w:line="380" w:lineRule="exact"/>
        <w:ind w:firstLine="420" w:firstLineChars="200"/>
        <w:rPr>
          <w:rFonts w:hAnsi="仿宋"/>
          <w:sz w:val="21"/>
          <w:szCs w:val="21"/>
        </w:rPr>
      </w:pPr>
      <w:r>
        <w:rPr>
          <w:rFonts w:hint="eastAsia" w:hAnsi="仿宋"/>
          <w:sz w:val="21"/>
          <w:szCs w:val="21"/>
        </w:rPr>
        <w:t>1</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r>
        <w:rPr>
          <w:rFonts w:hint="eastAsia" w:hAnsi="仿宋"/>
          <w:sz w:val="21"/>
          <w:szCs w:val="21"/>
        </w:rPr>
        <w:t>2.4.3进度付款申请单的提交</w:t>
      </w:r>
    </w:p>
    <w:p w14:paraId="5CCDC5DD">
      <w:pPr>
        <w:spacing w:line="380" w:lineRule="exact"/>
        <w:ind w:firstLine="420" w:firstLineChars="200"/>
        <w:rPr>
          <w:rFonts w:hAnsi="仿宋"/>
          <w:sz w:val="21"/>
          <w:szCs w:val="21"/>
        </w:rPr>
      </w:pPr>
      <w:r>
        <w:rPr>
          <w:rFonts w:hint="eastAsia" w:hAnsi="仿宋"/>
          <w:sz w:val="21"/>
          <w:szCs w:val="21"/>
        </w:rPr>
        <w:t>（1）单价合同进度付款申请单提交的约定：</w:t>
      </w:r>
      <w:r>
        <w:rPr>
          <w:rFonts w:hint="eastAsia" w:hAnsi="仿宋"/>
          <w:sz w:val="21"/>
          <w:szCs w:val="21"/>
          <w:u w:val="single"/>
        </w:rPr>
        <w:t>按通用合同条款</w:t>
      </w:r>
      <w:r>
        <w:rPr>
          <w:rFonts w:hint="eastAsia" w:hAnsi="仿宋"/>
          <w:sz w:val="21"/>
          <w:szCs w:val="21"/>
        </w:rPr>
        <w:t>。</w:t>
      </w:r>
    </w:p>
    <w:p w14:paraId="700F64EB">
      <w:pPr>
        <w:spacing w:line="380" w:lineRule="exact"/>
        <w:ind w:firstLine="420" w:firstLineChars="200"/>
        <w:rPr>
          <w:rFonts w:hAnsi="仿宋"/>
          <w:sz w:val="21"/>
          <w:szCs w:val="21"/>
        </w:rPr>
      </w:pPr>
      <w:r>
        <w:rPr>
          <w:rFonts w:hint="eastAsia" w:hAnsi="仿宋"/>
          <w:sz w:val="21"/>
          <w:szCs w:val="21"/>
        </w:rPr>
        <w:t>（2）总价合同进度付款申请单提交的约定：</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633309F8">
      <w:pPr>
        <w:spacing w:line="380" w:lineRule="exact"/>
        <w:ind w:firstLine="420" w:firstLineChars="200"/>
        <w:rPr>
          <w:rFonts w:hAnsi="仿宋"/>
          <w:sz w:val="21"/>
          <w:szCs w:val="21"/>
        </w:rPr>
      </w:pPr>
      <w:r>
        <w:rPr>
          <w:rFonts w:hint="eastAsia" w:hAnsi="仿宋"/>
          <w:sz w:val="21"/>
          <w:szCs w:val="21"/>
        </w:rPr>
        <w:t>（3）其他价格形式合同进度付款申请单提交的约定：。</w:t>
      </w:r>
    </w:p>
    <w:p w14:paraId="48FA66AE">
      <w:pPr>
        <w:spacing w:line="380" w:lineRule="exact"/>
        <w:ind w:firstLine="420" w:firstLineChars="200"/>
        <w:rPr>
          <w:rFonts w:hAnsi="仿宋"/>
          <w:sz w:val="21"/>
          <w:szCs w:val="21"/>
        </w:rPr>
      </w:pPr>
      <w:r>
        <w:rPr>
          <w:rFonts w:hint="eastAsia" w:hAnsi="仿宋"/>
          <w:sz w:val="21"/>
          <w:szCs w:val="21"/>
        </w:rPr>
        <w:t>12.4.4进度款审核和支付</w:t>
      </w:r>
    </w:p>
    <w:p w14:paraId="35537258">
      <w:pPr>
        <w:spacing w:line="380" w:lineRule="exact"/>
        <w:ind w:firstLine="420" w:firstLineChars="200"/>
        <w:rPr>
          <w:rFonts w:hAnsi="仿宋"/>
          <w:sz w:val="21"/>
          <w:szCs w:val="21"/>
          <w:u w:val="single"/>
        </w:rPr>
      </w:pPr>
      <w:r>
        <w:rPr>
          <w:rFonts w:hint="eastAsia" w:hAnsi="仿宋"/>
          <w:sz w:val="21"/>
          <w:szCs w:val="21"/>
        </w:rPr>
        <w:t>（1）监理人审查并报送发包人的期限：</w:t>
      </w:r>
      <w:r>
        <w:rPr>
          <w:rFonts w:hint="eastAsia" w:hAnsi="仿宋"/>
          <w:sz w:val="21"/>
          <w:szCs w:val="21"/>
          <w:u w:val="single"/>
        </w:rPr>
        <w:t>按通用合同条款</w:t>
      </w:r>
      <w:r>
        <w:rPr>
          <w:rFonts w:hint="eastAsia" w:hAnsi="仿宋"/>
          <w:sz w:val="21"/>
          <w:szCs w:val="21"/>
        </w:rPr>
        <w:t>。</w:t>
      </w:r>
    </w:p>
    <w:p w14:paraId="74228438">
      <w:pPr>
        <w:spacing w:line="380" w:lineRule="exact"/>
        <w:ind w:firstLine="420" w:firstLineChars="200"/>
        <w:rPr>
          <w:rFonts w:hAnsi="仿宋"/>
          <w:sz w:val="21"/>
          <w:szCs w:val="21"/>
        </w:rPr>
      </w:pPr>
      <w:r>
        <w:rPr>
          <w:rFonts w:hint="eastAsia" w:hAnsi="仿宋"/>
          <w:sz w:val="21"/>
          <w:szCs w:val="21"/>
        </w:rPr>
        <w:t>发包人完成审批并签发进度款支付证书的期限：</w:t>
      </w:r>
      <w:r>
        <w:rPr>
          <w:rFonts w:hint="eastAsia" w:hAnsi="仿宋"/>
          <w:sz w:val="21"/>
          <w:szCs w:val="21"/>
          <w:u w:val="single"/>
        </w:rPr>
        <w:t>按通用合同条款</w:t>
      </w:r>
      <w:r>
        <w:rPr>
          <w:rFonts w:hint="eastAsia" w:hAnsi="仿宋"/>
          <w:sz w:val="21"/>
          <w:szCs w:val="21"/>
        </w:rPr>
        <w:t>。</w:t>
      </w:r>
    </w:p>
    <w:p w14:paraId="40225850">
      <w:pPr>
        <w:numPr>
          <w:ilvl w:val="0"/>
          <w:numId w:val="4"/>
        </w:numPr>
        <w:spacing w:line="380" w:lineRule="exact"/>
        <w:ind w:firstLine="552"/>
        <w:rPr>
          <w:rFonts w:hAnsi="仿宋"/>
          <w:sz w:val="21"/>
          <w:szCs w:val="21"/>
          <w:u w:val="single"/>
        </w:rPr>
      </w:pPr>
      <w:r>
        <w:rPr>
          <w:rFonts w:hint="eastAsia" w:hAnsi="仿宋"/>
          <w:sz w:val="21"/>
          <w:szCs w:val="21"/>
        </w:rPr>
        <w:t>发包人支付进度款的期限：</w:t>
      </w:r>
      <w:r>
        <w:rPr>
          <w:rFonts w:hint="eastAsia" w:hAnsi="仿宋"/>
          <w:sz w:val="21"/>
          <w:szCs w:val="21"/>
          <w:u w:val="single"/>
        </w:rPr>
        <w:t>在发包人确认计量结果后14天内完成支付。</w:t>
      </w:r>
    </w:p>
    <w:p w14:paraId="5D0CFC95">
      <w:pPr>
        <w:spacing w:line="380" w:lineRule="exact"/>
        <w:ind w:firstLine="420" w:firstLineChars="200"/>
        <w:rPr>
          <w:rFonts w:hAnsi="仿宋"/>
          <w:sz w:val="21"/>
          <w:szCs w:val="21"/>
        </w:rPr>
      </w:pPr>
      <w:r>
        <w:rPr>
          <w:rFonts w:hint="eastAsia" w:hAnsi="仿宋"/>
          <w:sz w:val="21"/>
          <w:szCs w:val="21"/>
        </w:rPr>
        <w:t>发包人逾期支付进度款的违约金的计算方式：</w:t>
      </w:r>
      <w:r>
        <w:rPr>
          <w:rFonts w:hint="eastAsia" w:hAnsi="仿宋"/>
          <w:sz w:val="21"/>
          <w:szCs w:val="21"/>
          <w:u w:val="single"/>
        </w:rPr>
        <w:t>支付应付工程进度款的利息，利率按同期全国银行间同业拆借中心公布的贷款市场报价利率，时间为从约定应付之日起至支付之日止计算利息</w:t>
      </w:r>
      <w:r>
        <w:rPr>
          <w:rFonts w:hint="eastAsia" w:hAnsi="仿宋"/>
          <w:sz w:val="21"/>
          <w:szCs w:val="21"/>
        </w:rPr>
        <w:t>。</w:t>
      </w:r>
    </w:p>
    <w:p w14:paraId="7707508E">
      <w:pPr>
        <w:spacing w:line="380" w:lineRule="exact"/>
        <w:ind w:firstLine="420" w:firstLineChars="200"/>
        <w:rPr>
          <w:rFonts w:hAnsi="仿宋"/>
          <w:sz w:val="21"/>
          <w:szCs w:val="21"/>
        </w:rPr>
      </w:pPr>
      <w:r>
        <w:rPr>
          <w:rFonts w:hint="eastAsia" w:hAnsi="仿宋"/>
          <w:sz w:val="21"/>
          <w:szCs w:val="21"/>
        </w:rPr>
        <w:t>（3）</w:t>
      </w:r>
      <w:r>
        <w:rPr>
          <w:rFonts w:hint="eastAsia" w:hAnsi="仿宋"/>
          <w:sz w:val="21"/>
          <w:szCs w:val="21"/>
          <w:u w:val="single"/>
        </w:rPr>
        <w:t>发包人每月签发的工程量审核报告、进度款支付证书或临时进度款支付证书，仅为本期工程进度款支付依据，不作为发包人已同意、批准或接受了承包人完成的相应部分工作或已确认计量结果。</w:t>
      </w:r>
    </w:p>
    <w:p w14:paraId="2DDFABF1">
      <w:pPr>
        <w:spacing w:line="380" w:lineRule="exact"/>
        <w:ind w:firstLine="411" w:firstLineChars="196"/>
        <w:rPr>
          <w:rFonts w:hAnsi="仿宋"/>
          <w:sz w:val="21"/>
          <w:szCs w:val="21"/>
        </w:rPr>
      </w:pPr>
      <w:r>
        <w:rPr>
          <w:rFonts w:hint="eastAsia" w:hAnsi="仿宋"/>
          <w:sz w:val="21"/>
          <w:szCs w:val="21"/>
        </w:rPr>
        <w:t>12.4.6支付分解表的编制</w:t>
      </w:r>
    </w:p>
    <w:p w14:paraId="241EB07D">
      <w:pPr>
        <w:spacing w:line="380" w:lineRule="exact"/>
        <w:ind w:firstLine="420" w:firstLineChars="200"/>
        <w:rPr>
          <w:rFonts w:hAnsi="仿宋"/>
          <w:sz w:val="21"/>
          <w:szCs w:val="21"/>
        </w:rPr>
      </w:pPr>
      <w:r>
        <w:rPr>
          <w:rFonts w:hint="eastAsia" w:hAnsi="仿宋"/>
          <w:sz w:val="21"/>
          <w:szCs w:val="21"/>
        </w:rPr>
        <w:t>2、总价合同支付分解表的编制与审批：</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19E1C189">
      <w:pPr>
        <w:spacing w:line="380" w:lineRule="exact"/>
        <w:ind w:firstLine="420" w:firstLineChars="200"/>
        <w:rPr>
          <w:rFonts w:hAnsi="仿宋"/>
          <w:sz w:val="21"/>
          <w:szCs w:val="21"/>
        </w:rPr>
      </w:pPr>
      <w:r>
        <w:rPr>
          <w:rFonts w:hint="eastAsia" w:hAnsi="仿宋"/>
          <w:sz w:val="21"/>
          <w:szCs w:val="21"/>
        </w:rPr>
        <w:t>3、单价合同的总价项目支付分解表的编制与审批：</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bookmarkEnd w:id="280"/>
    <w:p w14:paraId="7D6311FA">
      <w:pPr>
        <w:pStyle w:val="8"/>
        <w:keepNext w:val="0"/>
        <w:keepLines w:val="0"/>
        <w:spacing w:before="0" w:after="0" w:line="380" w:lineRule="exact"/>
        <w:rPr>
          <w:rFonts w:ascii="黑体" w:hAnsi="黑体"/>
          <w:b w:val="0"/>
          <w:sz w:val="21"/>
          <w:szCs w:val="21"/>
        </w:rPr>
      </w:pPr>
      <w:bookmarkStart w:id="436" w:name="_Toc351203645"/>
      <w:bookmarkStart w:id="437" w:name="_Toc296891259"/>
      <w:bookmarkStart w:id="438" w:name="_Toc296503219"/>
      <w:bookmarkStart w:id="439" w:name="_Toc304295593"/>
      <w:bookmarkStart w:id="440" w:name="_Toc297216223"/>
      <w:bookmarkStart w:id="441" w:name="_Toc297123564"/>
      <w:bookmarkStart w:id="442" w:name="_Toc292559929"/>
      <w:bookmarkStart w:id="443" w:name="_Toc296346720"/>
      <w:bookmarkStart w:id="444" w:name="_Toc296347218"/>
      <w:bookmarkStart w:id="445" w:name="_Toc312678053"/>
      <w:bookmarkStart w:id="446" w:name="_Toc297048405"/>
      <w:bookmarkStart w:id="447" w:name="_Toc300935015"/>
      <w:bookmarkStart w:id="448" w:name="_Toc296891047"/>
      <w:bookmarkStart w:id="449" w:name="_Toc303539172"/>
      <w:bookmarkStart w:id="450" w:name="_Toc297120519"/>
      <w:bookmarkStart w:id="451" w:name="_Toc292559424"/>
      <w:bookmarkStart w:id="452" w:name="_Toc296944558"/>
      <w:r>
        <w:rPr>
          <w:rFonts w:hint="eastAsia" w:ascii="黑体" w:hAnsi="黑体"/>
          <w:b w:val="0"/>
          <w:sz w:val="21"/>
          <w:szCs w:val="21"/>
        </w:rPr>
        <w:t>13．验收和工程试车</w:t>
      </w:r>
      <w:bookmarkEnd w:id="436"/>
    </w:p>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14:paraId="1C0B9CEE">
      <w:pPr>
        <w:spacing w:line="380" w:lineRule="exact"/>
        <w:ind w:firstLine="420" w:firstLineChars="200"/>
        <w:rPr>
          <w:rFonts w:hAnsi="仿宋"/>
          <w:sz w:val="21"/>
          <w:szCs w:val="21"/>
        </w:rPr>
      </w:pPr>
      <w:r>
        <w:rPr>
          <w:rFonts w:hint="eastAsia" w:hAnsi="仿宋"/>
          <w:sz w:val="21"/>
          <w:szCs w:val="21"/>
        </w:rPr>
        <w:t>13.1 分部分项工程验收</w:t>
      </w:r>
    </w:p>
    <w:p w14:paraId="7DAEE70D">
      <w:pPr>
        <w:spacing w:line="380" w:lineRule="exact"/>
        <w:ind w:firstLine="420" w:firstLineChars="200"/>
        <w:rPr>
          <w:rFonts w:hAnsi="仿宋"/>
          <w:sz w:val="21"/>
          <w:szCs w:val="21"/>
        </w:rPr>
      </w:pPr>
      <w:r>
        <w:rPr>
          <w:rFonts w:hint="eastAsia" w:hAnsi="仿宋"/>
          <w:sz w:val="21"/>
          <w:szCs w:val="21"/>
        </w:rPr>
        <w:t>13.1.2监理人不能按时进行验收时，应提前</w:t>
      </w:r>
      <w:r>
        <w:rPr>
          <w:rFonts w:hint="eastAsia" w:hAnsi="仿宋"/>
          <w:sz w:val="21"/>
          <w:szCs w:val="21"/>
          <w:u w:val="single"/>
        </w:rPr>
        <w:t xml:space="preserve">  24  </w:t>
      </w:r>
      <w:r>
        <w:rPr>
          <w:rFonts w:hint="eastAsia" w:hAnsi="仿宋"/>
          <w:sz w:val="21"/>
          <w:szCs w:val="21"/>
        </w:rPr>
        <w:t>小时提交书面延期要求。</w:t>
      </w:r>
    </w:p>
    <w:p w14:paraId="73C68244">
      <w:pPr>
        <w:spacing w:line="380" w:lineRule="exact"/>
        <w:ind w:firstLine="420" w:firstLineChars="200"/>
        <w:rPr>
          <w:rFonts w:hAnsi="仿宋"/>
          <w:sz w:val="21"/>
          <w:szCs w:val="21"/>
        </w:rPr>
      </w:pPr>
      <w:r>
        <w:rPr>
          <w:rFonts w:hint="eastAsia" w:hAnsi="仿宋"/>
          <w:sz w:val="21"/>
          <w:szCs w:val="21"/>
        </w:rPr>
        <w:t>关于延期最长不得超过：</w:t>
      </w:r>
      <w:r>
        <w:rPr>
          <w:rFonts w:hint="eastAsia" w:hAnsi="仿宋"/>
          <w:sz w:val="21"/>
          <w:szCs w:val="21"/>
          <w:u w:val="single"/>
        </w:rPr>
        <w:t xml:space="preserve">  24  </w:t>
      </w:r>
      <w:r>
        <w:rPr>
          <w:rFonts w:hint="eastAsia" w:hAnsi="仿宋"/>
          <w:sz w:val="21"/>
          <w:szCs w:val="21"/>
        </w:rPr>
        <w:t>小时。</w:t>
      </w:r>
    </w:p>
    <w:p w14:paraId="5B337D86">
      <w:pPr>
        <w:spacing w:line="380" w:lineRule="exact"/>
        <w:ind w:firstLine="420" w:firstLineChars="200"/>
        <w:rPr>
          <w:rFonts w:hAnsi="仿宋"/>
          <w:sz w:val="21"/>
          <w:szCs w:val="21"/>
          <w:u w:val="single"/>
        </w:rPr>
      </w:pPr>
      <w:r>
        <w:rPr>
          <w:rFonts w:hint="eastAsia" w:hAnsi="仿宋"/>
          <w:sz w:val="21"/>
          <w:szCs w:val="21"/>
          <w:u w:val="single"/>
        </w:rPr>
        <w:t>工程验收过程、验收部位除办理纸质验收记录，还应留置验收部位、验收过程、主要验收人员相片、影像等资料。</w:t>
      </w:r>
    </w:p>
    <w:p w14:paraId="07DC6A6B">
      <w:pPr>
        <w:spacing w:line="380" w:lineRule="exact"/>
        <w:ind w:firstLine="420" w:firstLineChars="200"/>
        <w:rPr>
          <w:rFonts w:hAnsi="仿宋"/>
          <w:sz w:val="21"/>
          <w:szCs w:val="21"/>
        </w:rPr>
      </w:pPr>
      <w:bookmarkStart w:id="453" w:name="_Toc297120523"/>
      <w:bookmarkStart w:id="454" w:name="_Toc296347222"/>
      <w:bookmarkStart w:id="455" w:name="_Toc297123565"/>
      <w:bookmarkStart w:id="456" w:name="_Toc304295596"/>
      <w:bookmarkStart w:id="457" w:name="_Toc296346724"/>
      <w:bookmarkStart w:id="458" w:name="_Toc292559933"/>
      <w:bookmarkStart w:id="459" w:name="_Toc292559428"/>
      <w:bookmarkStart w:id="460" w:name="_Toc297048409"/>
      <w:bookmarkStart w:id="461" w:name="_Toc303539173"/>
      <w:bookmarkStart w:id="462" w:name="_Toc296503223"/>
      <w:bookmarkStart w:id="463" w:name="_Toc296891263"/>
      <w:bookmarkStart w:id="464" w:name="_Toc300935016"/>
      <w:bookmarkStart w:id="465" w:name="_Toc296944562"/>
      <w:bookmarkStart w:id="466" w:name="_Toc297216224"/>
      <w:bookmarkStart w:id="467" w:name="_Toc296891051"/>
      <w:bookmarkStart w:id="468" w:name="_Toc312678056"/>
      <w:bookmarkStart w:id="469" w:name="_Toc267251475"/>
      <w:bookmarkStart w:id="470" w:name="_Toc267251470"/>
      <w:bookmarkStart w:id="471" w:name="_Toc267251471"/>
      <w:bookmarkStart w:id="472" w:name="_Toc267251472"/>
      <w:bookmarkStart w:id="473" w:name="_Toc267251473"/>
      <w:bookmarkStart w:id="474" w:name="_Toc267251476"/>
      <w:bookmarkStart w:id="475" w:name="_Toc267251474"/>
      <w:r>
        <w:rPr>
          <w:rFonts w:hint="eastAsia" w:hAnsi="仿宋"/>
          <w:sz w:val="21"/>
          <w:szCs w:val="21"/>
        </w:rPr>
        <w:t>13.2 竣工验收</w:t>
      </w:r>
    </w:p>
    <w:p w14:paraId="33068EC1">
      <w:pPr>
        <w:pStyle w:val="70"/>
        <w:spacing w:line="380" w:lineRule="exact"/>
        <w:ind w:firstLine="420" w:firstLineChars="200"/>
      </w:pPr>
      <w:r>
        <w:rPr>
          <w:rFonts w:hint="eastAsia" w:hAnsi="仿宋" w:eastAsia="Calibri"/>
          <w:sz w:val="21"/>
          <w:szCs w:val="21"/>
        </w:rPr>
        <w:t>13.2.1 竣工验收要求：承包人须保证合同范围内全部工程竣工验收合格。</w:t>
      </w:r>
    </w:p>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14:paraId="407C4BD3">
      <w:pPr>
        <w:spacing w:line="380" w:lineRule="exact"/>
        <w:ind w:firstLine="420" w:firstLineChars="200"/>
        <w:rPr>
          <w:rFonts w:hAnsi="仿宋"/>
          <w:sz w:val="21"/>
          <w:szCs w:val="21"/>
        </w:rPr>
      </w:pPr>
      <w:bookmarkStart w:id="476" w:name="_Toc280868704"/>
      <w:bookmarkStart w:id="477" w:name="_Toc280868705"/>
      <w:bookmarkStart w:id="478" w:name="_Toc280868706"/>
      <w:bookmarkStart w:id="479" w:name="_Toc280868707"/>
      <w:bookmarkStart w:id="480" w:name="_Toc280868708"/>
      <w:bookmarkStart w:id="481" w:name="_Toc280868709"/>
      <w:r>
        <w:rPr>
          <w:rFonts w:hint="eastAsia" w:hAnsi="仿宋"/>
          <w:sz w:val="21"/>
          <w:szCs w:val="21"/>
        </w:rPr>
        <w:t>13.2.2竣工验收程序</w:t>
      </w:r>
    </w:p>
    <w:bookmarkEnd w:id="476"/>
    <w:p w14:paraId="169E93E3">
      <w:pPr>
        <w:spacing w:line="380" w:lineRule="exact"/>
        <w:ind w:left="3" w:firstLine="451" w:firstLineChars="215"/>
        <w:rPr>
          <w:rFonts w:hAnsi="仿宋"/>
          <w:sz w:val="21"/>
          <w:szCs w:val="21"/>
        </w:rPr>
      </w:pPr>
      <w:r>
        <w:rPr>
          <w:rFonts w:hint="eastAsia" w:hAnsi="仿宋"/>
          <w:kern w:val="0"/>
          <w:sz w:val="21"/>
          <w:szCs w:val="21"/>
        </w:rPr>
        <w:t>关于竣工验收程序的约定：</w:t>
      </w:r>
      <w:r>
        <w:rPr>
          <w:rFonts w:hint="eastAsia" w:hAnsi="仿宋"/>
          <w:sz w:val="21"/>
          <w:szCs w:val="21"/>
          <w:u w:val="single"/>
        </w:rPr>
        <w:t>竣工验收程序按通用合同条款。</w:t>
      </w:r>
    </w:p>
    <w:p w14:paraId="2C5BBA6E">
      <w:pPr>
        <w:spacing w:line="380" w:lineRule="exact"/>
        <w:ind w:left="3" w:firstLine="451" w:firstLineChars="215"/>
        <w:rPr>
          <w:rFonts w:hAnsi="仿宋"/>
          <w:sz w:val="21"/>
          <w:szCs w:val="21"/>
        </w:rPr>
      </w:pPr>
      <w:r>
        <w:rPr>
          <w:rFonts w:hint="eastAsia" w:hAnsi="仿宋"/>
          <w:sz w:val="21"/>
          <w:szCs w:val="21"/>
          <w:u w:val="single"/>
        </w:rPr>
        <w:t>承包人完成合同范围内的工程内容，向发包人或监理人提出验收申请，发包人应在监理人收到承包人提交的验收申请报告42天内组织监理人、承包人、设计勘察人等相关单位完成验收，并签署工程质量合格文件</w:t>
      </w:r>
      <w:r>
        <w:rPr>
          <w:rFonts w:hint="eastAsia" w:hAnsi="仿宋"/>
          <w:sz w:val="21"/>
          <w:szCs w:val="21"/>
        </w:rPr>
        <w:t>。</w:t>
      </w:r>
      <w:r>
        <w:rPr>
          <w:rFonts w:hint="eastAsia" w:hAnsi="仿宋"/>
          <w:sz w:val="21"/>
          <w:szCs w:val="21"/>
          <w:u w:val="single"/>
        </w:rPr>
        <w:t>承包人须配合发包人进行工程竣工验收。</w:t>
      </w:r>
    </w:p>
    <w:p w14:paraId="6DF3696E">
      <w:pPr>
        <w:spacing w:line="380" w:lineRule="exact"/>
        <w:ind w:firstLine="420" w:firstLineChars="200"/>
        <w:rPr>
          <w:rFonts w:hAnsi="仿宋"/>
          <w:sz w:val="21"/>
          <w:szCs w:val="21"/>
          <w:u w:val="single"/>
        </w:rPr>
      </w:pPr>
      <w:r>
        <w:rPr>
          <w:rFonts w:hint="eastAsia" w:hAnsi="仿宋"/>
          <w:kern w:val="0"/>
          <w:sz w:val="21"/>
          <w:szCs w:val="21"/>
        </w:rPr>
        <w:t>发包人不按照本项约定组织竣工验收、颁发工程接收证书的违约金的计算方法：</w:t>
      </w:r>
      <w:r>
        <w:rPr>
          <w:rFonts w:hint="eastAsia" w:hAnsi="仿宋"/>
          <w:sz w:val="21"/>
          <w:szCs w:val="21"/>
          <w:u w:val="single"/>
        </w:rPr>
        <w:t>不计违约金。</w:t>
      </w:r>
    </w:p>
    <w:p w14:paraId="6465A82B">
      <w:pPr>
        <w:spacing w:line="380" w:lineRule="exact"/>
        <w:ind w:firstLine="420" w:firstLineChars="200"/>
        <w:rPr>
          <w:rFonts w:hAnsi="仿宋"/>
          <w:sz w:val="21"/>
          <w:szCs w:val="21"/>
        </w:rPr>
      </w:pPr>
      <w:r>
        <w:rPr>
          <w:rFonts w:hint="eastAsia" w:hAnsi="仿宋"/>
          <w:sz w:val="21"/>
          <w:szCs w:val="21"/>
          <w:u w:val="single"/>
        </w:rPr>
        <w:t>因发包人原因，未在监理人接收到承包人提交的验收申请报告42天内完成验收，或完成验收不予签发工程接收证书的，以提交验收申请报告的日期为实际竣工日期</w:t>
      </w:r>
      <w:r>
        <w:rPr>
          <w:rFonts w:hint="eastAsia" w:hAnsi="仿宋"/>
          <w:sz w:val="21"/>
          <w:szCs w:val="21"/>
        </w:rPr>
        <w:t>。</w:t>
      </w:r>
    </w:p>
    <w:p w14:paraId="39F74863">
      <w:pPr>
        <w:spacing w:line="380" w:lineRule="exact"/>
        <w:ind w:firstLine="420" w:firstLineChars="200"/>
        <w:rPr>
          <w:rFonts w:hAnsi="仿宋"/>
          <w:sz w:val="21"/>
          <w:szCs w:val="21"/>
        </w:rPr>
      </w:pPr>
      <w:r>
        <w:rPr>
          <w:rFonts w:hint="eastAsia" w:hAnsi="仿宋"/>
          <w:sz w:val="21"/>
          <w:szCs w:val="21"/>
        </w:rPr>
        <w:t>13.2.3竣工日期</w:t>
      </w:r>
    </w:p>
    <w:p w14:paraId="52D4015A">
      <w:pPr>
        <w:spacing w:line="380" w:lineRule="exact"/>
        <w:ind w:firstLine="420" w:firstLineChars="200"/>
        <w:rPr>
          <w:rFonts w:hAnsi="仿宋"/>
          <w:sz w:val="21"/>
          <w:szCs w:val="21"/>
        </w:rPr>
      </w:pPr>
      <w:r>
        <w:rPr>
          <w:rFonts w:hint="eastAsia" w:hAnsi="仿宋"/>
          <w:sz w:val="21"/>
          <w:szCs w:val="21"/>
        </w:rPr>
        <w:t>（1）承包人完成合同范围内的全部工程以及有关工作，工程经验收合格的，以承包人提交验收申请报告之日为合同工期计算终止日。</w:t>
      </w:r>
    </w:p>
    <w:p w14:paraId="24BA09FD">
      <w:pPr>
        <w:spacing w:line="380" w:lineRule="exact"/>
        <w:ind w:firstLine="420" w:firstLineChars="200"/>
        <w:rPr>
          <w:rFonts w:hAnsi="仿宋"/>
          <w:sz w:val="21"/>
          <w:szCs w:val="21"/>
        </w:rPr>
      </w:pPr>
      <w:r>
        <w:rPr>
          <w:rFonts w:hint="eastAsia" w:hAnsi="仿宋"/>
          <w:sz w:val="21"/>
          <w:szCs w:val="21"/>
        </w:rPr>
        <w:t>（2）其余按通用合同条款。</w:t>
      </w:r>
    </w:p>
    <w:bookmarkEnd w:id="477"/>
    <w:p w14:paraId="3378BE58">
      <w:pPr>
        <w:spacing w:line="380" w:lineRule="exact"/>
        <w:ind w:firstLine="420" w:firstLineChars="200"/>
        <w:rPr>
          <w:rFonts w:hAnsi="仿宋"/>
          <w:sz w:val="21"/>
          <w:szCs w:val="21"/>
        </w:rPr>
      </w:pPr>
      <w:r>
        <w:rPr>
          <w:rFonts w:hint="eastAsia" w:hAnsi="仿宋"/>
          <w:sz w:val="21"/>
          <w:szCs w:val="21"/>
        </w:rPr>
        <w:t>13.2.5移交、接收全部与部分工程</w:t>
      </w:r>
    </w:p>
    <w:bookmarkEnd w:id="478"/>
    <w:p w14:paraId="4CC120F0">
      <w:pPr>
        <w:spacing w:line="380" w:lineRule="exact"/>
        <w:ind w:firstLine="420" w:firstLineChars="200"/>
        <w:rPr>
          <w:rFonts w:hAnsi="仿宋"/>
          <w:kern w:val="0"/>
          <w:sz w:val="21"/>
          <w:szCs w:val="21"/>
        </w:rPr>
      </w:pPr>
      <w:r>
        <w:rPr>
          <w:rFonts w:hint="eastAsia" w:hAnsi="仿宋"/>
          <w:kern w:val="0"/>
          <w:sz w:val="21"/>
          <w:szCs w:val="21"/>
        </w:rPr>
        <w:t>承包人向发包人移交工程的期限：</w:t>
      </w:r>
      <w:r>
        <w:rPr>
          <w:rFonts w:hint="eastAsia" w:hAnsi="仿宋"/>
          <w:sz w:val="21"/>
          <w:szCs w:val="21"/>
          <w:u w:val="single"/>
        </w:rPr>
        <w:t>按通用条款执行</w:t>
      </w:r>
      <w:r>
        <w:rPr>
          <w:rFonts w:hint="eastAsia" w:hAnsi="仿宋"/>
          <w:sz w:val="21"/>
          <w:szCs w:val="21"/>
        </w:rPr>
        <w:t>。</w:t>
      </w:r>
    </w:p>
    <w:p w14:paraId="7BCD4DBE">
      <w:pPr>
        <w:spacing w:line="380" w:lineRule="exact"/>
        <w:ind w:firstLine="420" w:firstLineChars="200"/>
        <w:rPr>
          <w:rFonts w:hAnsi="仿宋"/>
          <w:sz w:val="21"/>
          <w:szCs w:val="21"/>
          <w:u w:val="single"/>
        </w:rPr>
      </w:pPr>
      <w:r>
        <w:rPr>
          <w:rFonts w:hint="eastAsia" w:hAnsi="仿宋"/>
          <w:kern w:val="0"/>
          <w:sz w:val="21"/>
          <w:szCs w:val="21"/>
        </w:rPr>
        <w:t>发包人未按本合同约定接收全部或部分工程的，违约金的计算方法为：</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bookmarkEnd w:id="479"/>
    <w:p w14:paraId="7FC9B4EC">
      <w:pPr>
        <w:spacing w:line="380" w:lineRule="exact"/>
        <w:ind w:left="682" w:leftChars="189" w:hanging="2" w:hangingChars="1"/>
        <w:rPr>
          <w:rFonts w:hAnsi="仿宋"/>
          <w:sz w:val="21"/>
          <w:szCs w:val="21"/>
        </w:rPr>
      </w:pPr>
      <w:r>
        <w:rPr>
          <w:rFonts w:hint="eastAsia" w:hAnsi="仿宋"/>
          <w:sz w:val="21"/>
          <w:szCs w:val="21"/>
        </w:rPr>
        <w:t>承包人未按时移交工程的，违约金的计算方法为：</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3C56FCDA">
      <w:pPr>
        <w:spacing w:line="380" w:lineRule="exact"/>
        <w:ind w:firstLine="420" w:firstLineChars="200"/>
        <w:rPr>
          <w:rFonts w:hAnsi="仿宋"/>
          <w:sz w:val="21"/>
          <w:szCs w:val="21"/>
        </w:rPr>
      </w:pPr>
      <w:r>
        <w:rPr>
          <w:rFonts w:hint="eastAsia" w:hAnsi="仿宋"/>
          <w:sz w:val="21"/>
          <w:szCs w:val="21"/>
        </w:rPr>
        <w:t>13.3 工程试车</w:t>
      </w:r>
    </w:p>
    <w:bookmarkEnd w:id="480"/>
    <w:p w14:paraId="3E5B403C">
      <w:pPr>
        <w:spacing w:line="380" w:lineRule="exact"/>
        <w:ind w:firstLine="420" w:firstLineChars="200"/>
        <w:rPr>
          <w:rFonts w:hAnsi="仿宋"/>
          <w:kern w:val="0"/>
          <w:sz w:val="21"/>
          <w:szCs w:val="21"/>
        </w:rPr>
      </w:pPr>
      <w:r>
        <w:rPr>
          <w:rFonts w:hint="eastAsia" w:hAnsi="仿宋"/>
          <w:kern w:val="0"/>
          <w:sz w:val="21"/>
          <w:szCs w:val="21"/>
        </w:rPr>
        <w:t>13.3.1试车程序</w:t>
      </w:r>
    </w:p>
    <w:p w14:paraId="1A7F9B30">
      <w:pPr>
        <w:spacing w:line="380" w:lineRule="exact"/>
        <w:ind w:firstLine="420" w:firstLineChars="200"/>
        <w:rPr>
          <w:rFonts w:hAnsi="仿宋"/>
          <w:kern w:val="0"/>
          <w:sz w:val="21"/>
          <w:szCs w:val="21"/>
        </w:rPr>
      </w:pPr>
      <w:r>
        <w:rPr>
          <w:rFonts w:hint="eastAsia" w:hAnsi="仿宋"/>
          <w:kern w:val="0"/>
          <w:sz w:val="21"/>
          <w:szCs w:val="21"/>
        </w:rPr>
        <w:t>工程试车内容：</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4C0DD326">
      <w:pPr>
        <w:spacing w:line="380" w:lineRule="exact"/>
        <w:ind w:firstLine="420" w:firstLineChars="200"/>
        <w:rPr>
          <w:rFonts w:hAnsi="仿宋"/>
          <w:kern w:val="0"/>
          <w:sz w:val="21"/>
          <w:szCs w:val="21"/>
        </w:rPr>
      </w:pPr>
      <w:r>
        <w:rPr>
          <w:rFonts w:hint="eastAsia" w:hAnsi="仿宋"/>
          <w:kern w:val="0"/>
          <w:sz w:val="21"/>
          <w:szCs w:val="21"/>
        </w:rPr>
        <w:t>（1）单机无负荷试车费用由承担；</w:t>
      </w:r>
    </w:p>
    <w:p w14:paraId="2B624701">
      <w:pPr>
        <w:spacing w:line="380" w:lineRule="exact"/>
        <w:ind w:firstLine="420" w:firstLineChars="200"/>
        <w:rPr>
          <w:rFonts w:hAnsi="仿宋"/>
          <w:kern w:val="0"/>
          <w:sz w:val="21"/>
          <w:szCs w:val="21"/>
        </w:rPr>
      </w:pPr>
      <w:r>
        <w:rPr>
          <w:rFonts w:hint="eastAsia" w:hAnsi="仿宋"/>
          <w:kern w:val="0"/>
          <w:sz w:val="21"/>
          <w:szCs w:val="21"/>
        </w:rPr>
        <w:t>（2）无负荷联动试车费用由承担。</w:t>
      </w:r>
    </w:p>
    <w:p w14:paraId="6BEE5536">
      <w:pPr>
        <w:spacing w:line="380" w:lineRule="exact"/>
        <w:ind w:firstLine="420" w:firstLineChars="200"/>
        <w:rPr>
          <w:rFonts w:hAnsi="仿宋"/>
          <w:kern w:val="0"/>
          <w:sz w:val="21"/>
          <w:szCs w:val="21"/>
        </w:rPr>
      </w:pPr>
      <w:r>
        <w:rPr>
          <w:rFonts w:hint="eastAsia" w:hAnsi="仿宋"/>
          <w:kern w:val="0"/>
          <w:sz w:val="21"/>
          <w:szCs w:val="21"/>
        </w:rPr>
        <w:t>13.3.3投料试车</w:t>
      </w:r>
    </w:p>
    <w:p w14:paraId="13BE7B8E">
      <w:pPr>
        <w:spacing w:line="380" w:lineRule="exact"/>
        <w:ind w:firstLine="420" w:firstLineChars="200"/>
        <w:rPr>
          <w:rFonts w:hAnsi="仿宋"/>
          <w:kern w:val="0"/>
          <w:sz w:val="21"/>
          <w:szCs w:val="21"/>
        </w:rPr>
      </w:pPr>
      <w:r>
        <w:rPr>
          <w:rFonts w:hint="eastAsia" w:hAnsi="仿宋"/>
          <w:kern w:val="0"/>
          <w:sz w:val="21"/>
          <w:szCs w:val="21"/>
        </w:rPr>
        <w:t>关于投料试车相关事项的约定：</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27BD3FDB">
      <w:pPr>
        <w:spacing w:line="380" w:lineRule="exact"/>
        <w:ind w:firstLine="420" w:firstLineChars="200"/>
        <w:rPr>
          <w:rFonts w:hAnsi="仿宋"/>
          <w:sz w:val="21"/>
          <w:szCs w:val="21"/>
        </w:rPr>
      </w:pPr>
      <w:r>
        <w:rPr>
          <w:rFonts w:hint="eastAsia" w:hAnsi="仿宋"/>
          <w:sz w:val="21"/>
          <w:szCs w:val="21"/>
        </w:rPr>
        <w:t>13.6 竣工退场</w:t>
      </w:r>
    </w:p>
    <w:p w14:paraId="20EB4C89">
      <w:pPr>
        <w:spacing w:line="380" w:lineRule="exact"/>
        <w:ind w:firstLine="420" w:firstLineChars="200"/>
        <w:rPr>
          <w:rFonts w:hAnsi="仿宋"/>
          <w:kern w:val="0"/>
          <w:sz w:val="21"/>
          <w:szCs w:val="21"/>
        </w:rPr>
      </w:pPr>
      <w:r>
        <w:rPr>
          <w:rFonts w:hint="eastAsia" w:hAnsi="仿宋"/>
          <w:kern w:val="0"/>
          <w:sz w:val="21"/>
          <w:szCs w:val="21"/>
        </w:rPr>
        <w:t>13.6.1竣工退场</w:t>
      </w:r>
    </w:p>
    <w:p w14:paraId="2F3C9C4A">
      <w:pPr>
        <w:spacing w:line="380" w:lineRule="exact"/>
        <w:ind w:firstLine="420" w:firstLineChars="200"/>
        <w:rPr>
          <w:rFonts w:hAnsi="仿宋"/>
          <w:kern w:val="0"/>
          <w:sz w:val="21"/>
          <w:szCs w:val="21"/>
        </w:rPr>
      </w:pPr>
      <w:r>
        <w:rPr>
          <w:rFonts w:hint="eastAsia" w:hAnsi="仿宋"/>
          <w:kern w:val="0"/>
          <w:sz w:val="21"/>
          <w:szCs w:val="21"/>
        </w:rPr>
        <w:t>承包人完成竣工退场的期限：</w:t>
      </w:r>
      <w:r>
        <w:rPr>
          <w:rFonts w:hint="eastAsia" w:hAnsi="仿宋"/>
          <w:sz w:val="21"/>
          <w:szCs w:val="21"/>
          <w:u w:val="single"/>
        </w:rPr>
        <w:t>颁发工程接收证书后7天内</w:t>
      </w:r>
      <w:r>
        <w:rPr>
          <w:rFonts w:hint="eastAsia" w:hAnsi="仿宋"/>
          <w:kern w:val="0"/>
          <w:sz w:val="21"/>
          <w:szCs w:val="21"/>
        </w:rPr>
        <w:t>。</w:t>
      </w:r>
    </w:p>
    <w:p w14:paraId="341CBB3E">
      <w:pPr>
        <w:spacing w:line="380" w:lineRule="exact"/>
        <w:ind w:firstLine="420" w:firstLineChars="200"/>
        <w:rPr>
          <w:rFonts w:hAnsi="仿宋"/>
          <w:kern w:val="0"/>
          <w:sz w:val="21"/>
          <w:szCs w:val="21"/>
        </w:rPr>
      </w:pPr>
      <w:r>
        <w:rPr>
          <w:rFonts w:hint="eastAsia" w:hAnsi="仿宋"/>
          <w:kern w:val="0"/>
          <w:sz w:val="21"/>
          <w:szCs w:val="21"/>
        </w:rPr>
        <w:t>13.6.2地表还原</w:t>
      </w:r>
    </w:p>
    <w:p w14:paraId="112BF127">
      <w:pPr>
        <w:spacing w:line="380" w:lineRule="exact"/>
        <w:ind w:firstLine="420" w:firstLineChars="200"/>
        <w:rPr>
          <w:rFonts w:hAnsi="仿宋"/>
          <w:kern w:val="0"/>
          <w:sz w:val="21"/>
          <w:szCs w:val="21"/>
        </w:rPr>
      </w:pPr>
      <w:r>
        <w:rPr>
          <w:rFonts w:hint="eastAsia" w:hAnsi="仿宋"/>
          <w:kern w:val="0"/>
          <w:sz w:val="21"/>
          <w:szCs w:val="21"/>
        </w:rPr>
        <w:t>承包人应按发包人要求恢复临时占地及清理场地，承包人未按发包人的要求恢复临时占地，或者场地清理未达到合同约定要求的，发包人有权委托其他人恢复或清理，所发生的费用由承包人承担。</w:t>
      </w:r>
    </w:p>
    <w:p w14:paraId="399B7120">
      <w:pPr>
        <w:spacing w:line="380" w:lineRule="exact"/>
        <w:ind w:firstLine="420" w:firstLineChars="200"/>
        <w:rPr>
          <w:rFonts w:hAnsi="仿宋"/>
          <w:kern w:val="0"/>
          <w:sz w:val="21"/>
          <w:szCs w:val="21"/>
        </w:rPr>
      </w:pPr>
      <w:r>
        <w:rPr>
          <w:rFonts w:hint="eastAsia" w:hAnsi="仿宋"/>
          <w:kern w:val="0"/>
          <w:sz w:val="21"/>
          <w:szCs w:val="21"/>
        </w:rPr>
        <w:t>本工程场地恢复的要求：</w:t>
      </w:r>
    </w:p>
    <w:p w14:paraId="2B2FB11D">
      <w:pPr>
        <w:spacing w:line="380" w:lineRule="exact"/>
        <w:ind w:firstLine="420" w:firstLineChars="200"/>
        <w:rPr>
          <w:rFonts w:hAnsi="仿宋"/>
          <w:kern w:val="0"/>
          <w:sz w:val="21"/>
          <w:szCs w:val="21"/>
        </w:rPr>
      </w:pPr>
      <w:r>
        <w:rPr>
          <w:rFonts w:hint="eastAsia" w:hAnsi="仿宋"/>
          <w:kern w:val="0"/>
          <w:sz w:val="21"/>
          <w:szCs w:val="21"/>
        </w:rPr>
        <w:t>（1）清理完成施工现场垃圾，临建的拆除与场地复原；</w:t>
      </w:r>
    </w:p>
    <w:p w14:paraId="1A90A60B">
      <w:pPr>
        <w:spacing w:line="380" w:lineRule="exact"/>
        <w:ind w:firstLine="420" w:firstLineChars="200"/>
        <w:rPr>
          <w:rFonts w:hAnsi="仿宋"/>
          <w:kern w:val="0"/>
          <w:sz w:val="21"/>
          <w:szCs w:val="21"/>
        </w:rPr>
      </w:pPr>
      <w:r>
        <w:rPr>
          <w:rFonts w:hint="eastAsia" w:hAnsi="仿宋"/>
          <w:kern w:val="0"/>
          <w:sz w:val="21"/>
          <w:szCs w:val="21"/>
        </w:rPr>
        <w:t>（2）施工后废弃材料、设备清理撤离；</w:t>
      </w:r>
    </w:p>
    <w:p w14:paraId="51AEB96B">
      <w:pPr>
        <w:spacing w:line="380" w:lineRule="exact"/>
        <w:ind w:firstLine="420" w:firstLineChars="200"/>
        <w:rPr>
          <w:rFonts w:hAnsi="仿宋"/>
          <w:kern w:val="0"/>
          <w:sz w:val="21"/>
          <w:szCs w:val="21"/>
        </w:rPr>
      </w:pPr>
      <w:r>
        <w:rPr>
          <w:rFonts w:hint="eastAsia" w:hAnsi="仿宋"/>
          <w:kern w:val="0"/>
          <w:sz w:val="21"/>
          <w:szCs w:val="21"/>
        </w:rPr>
        <w:t>（3）承包人造成的施工现场周边施工堆积物及场地清理。</w:t>
      </w:r>
    </w:p>
    <w:p w14:paraId="1CB4B0FF">
      <w:pPr>
        <w:spacing w:line="380" w:lineRule="exact"/>
        <w:ind w:firstLine="420" w:firstLineChars="200"/>
        <w:rPr>
          <w:rFonts w:hAnsi="仿宋"/>
          <w:kern w:val="0"/>
          <w:sz w:val="21"/>
          <w:szCs w:val="21"/>
          <w:u w:val="single"/>
        </w:rPr>
      </w:pPr>
      <w:r>
        <w:rPr>
          <w:rFonts w:hint="eastAsia" w:hAnsi="仿宋"/>
          <w:kern w:val="0"/>
          <w:sz w:val="21"/>
          <w:szCs w:val="21"/>
        </w:rPr>
        <w:t>（4）其它要求：</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kern w:val="0"/>
          <w:sz w:val="21"/>
          <w:szCs w:val="21"/>
        </w:rPr>
        <w:t>。</w:t>
      </w:r>
    </w:p>
    <w:p w14:paraId="1207A975">
      <w:pPr>
        <w:pStyle w:val="8"/>
        <w:keepNext w:val="0"/>
        <w:keepLines w:val="0"/>
        <w:spacing w:before="0" w:after="0" w:line="380" w:lineRule="exact"/>
        <w:rPr>
          <w:rFonts w:ascii="黑体" w:hAnsi="黑体"/>
          <w:b w:val="0"/>
          <w:sz w:val="21"/>
          <w:szCs w:val="21"/>
        </w:rPr>
      </w:pPr>
      <w:bookmarkStart w:id="482" w:name="_Toc351203646"/>
      <w:r>
        <w:rPr>
          <w:rFonts w:hint="eastAsia" w:ascii="黑体" w:hAnsi="黑体"/>
          <w:b w:val="0"/>
          <w:sz w:val="21"/>
          <w:szCs w:val="21"/>
        </w:rPr>
        <w:t>14．竣工结算</w:t>
      </w:r>
      <w:bookmarkEnd w:id="482"/>
    </w:p>
    <w:p w14:paraId="60EED1F5">
      <w:pPr>
        <w:spacing w:line="380" w:lineRule="exact"/>
        <w:rPr>
          <w:rFonts w:hAnsi="仿宋"/>
          <w:sz w:val="21"/>
          <w:szCs w:val="21"/>
        </w:rPr>
      </w:pPr>
      <w:r>
        <w:rPr>
          <w:rFonts w:hint="eastAsia" w:hAnsi="仿宋"/>
          <w:sz w:val="21"/>
          <w:szCs w:val="21"/>
        </w:rPr>
        <w:t>14.1 竣工结算申请</w:t>
      </w:r>
    </w:p>
    <w:p w14:paraId="075CAFC5">
      <w:pPr>
        <w:spacing w:line="380" w:lineRule="exact"/>
        <w:ind w:firstLine="420" w:firstLineChars="200"/>
        <w:rPr>
          <w:rFonts w:hAnsi="仿宋"/>
          <w:sz w:val="21"/>
          <w:szCs w:val="21"/>
          <w:u w:val="single"/>
        </w:rPr>
      </w:pPr>
      <w:r>
        <w:rPr>
          <w:rFonts w:hint="eastAsia" w:hAnsi="仿宋"/>
          <w:sz w:val="21"/>
          <w:szCs w:val="21"/>
        </w:rPr>
        <w:t>1.承包人提交竣工结算申请的期限：</w:t>
      </w:r>
      <w:r>
        <w:rPr>
          <w:rFonts w:hint="eastAsia" w:ascii="宋体" w:hAnsi="宋体" w:eastAsia="宋体" w:cs="宋体"/>
          <w:sz w:val="21"/>
          <w:szCs w:val="21"/>
          <w:u w:val="single"/>
        </w:rPr>
        <w:t>经发包人竣工验收合格后15日内。</w:t>
      </w:r>
    </w:p>
    <w:p w14:paraId="61E19B81">
      <w:pPr>
        <w:spacing w:line="380" w:lineRule="exact"/>
        <w:ind w:firstLine="420" w:firstLineChars="200"/>
        <w:rPr>
          <w:rFonts w:hAnsi="仿宋"/>
          <w:sz w:val="21"/>
          <w:szCs w:val="21"/>
        </w:rPr>
      </w:pPr>
      <w:r>
        <w:rPr>
          <w:rFonts w:hint="eastAsia" w:hAnsi="仿宋"/>
          <w:sz w:val="21"/>
          <w:szCs w:val="21"/>
        </w:rPr>
        <w:t>2.竣工结算申请单应包括的内容：</w:t>
      </w:r>
      <w:r>
        <w:rPr>
          <w:rFonts w:hint="eastAsia" w:ascii="宋体" w:hAnsi="宋体" w:eastAsia="宋体" w:cs="宋体"/>
          <w:sz w:val="21"/>
          <w:szCs w:val="21"/>
          <w:u w:val="single"/>
        </w:rPr>
        <w:t>本项目施工涵盖的全部工程内容。</w:t>
      </w:r>
    </w:p>
    <w:p w14:paraId="21ADCACA">
      <w:pPr>
        <w:spacing w:line="380" w:lineRule="exact"/>
        <w:rPr>
          <w:rFonts w:hAnsi="仿宋"/>
          <w:sz w:val="21"/>
          <w:szCs w:val="21"/>
        </w:rPr>
      </w:pPr>
      <w:r>
        <w:rPr>
          <w:rFonts w:hint="eastAsia" w:hAnsi="仿宋"/>
          <w:sz w:val="21"/>
          <w:szCs w:val="21"/>
        </w:rPr>
        <w:t>14.2 竣工结算审核</w:t>
      </w:r>
    </w:p>
    <w:p w14:paraId="3CC6B9B9">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发包人审批竣工付款申请单的期限：</w:t>
      </w:r>
      <w:r>
        <w:rPr>
          <w:rFonts w:hint="eastAsia" w:ascii="宋体" w:hAnsi="宋体" w:eastAsia="宋体" w:cs="宋体"/>
          <w:sz w:val="21"/>
          <w:szCs w:val="21"/>
          <w:u w:val="single"/>
        </w:rPr>
        <w:t xml:space="preserve">/        </w:t>
      </w:r>
    </w:p>
    <w:p w14:paraId="16946D73">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发包人完成竣工付款的期限：</w:t>
      </w:r>
      <w:r>
        <w:rPr>
          <w:rFonts w:hint="eastAsia" w:ascii="宋体" w:hAnsi="宋体" w:eastAsia="宋体" w:cs="宋体"/>
          <w:sz w:val="21"/>
          <w:szCs w:val="21"/>
          <w:u w:val="single"/>
        </w:rPr>
        <w:t>按合同款支付约定执行。</w:t>
      </w:r>
    </w:p>
    <w:p w14:paraId="44503CDC">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关于竣工付款证书异议部分复核的方式和程序：</w:t>
      </w:r>
      <w:r>
        <w:rPr>
          <w:rFonts w:hint="eastAsia" w:ascii="宋体" w:hAnsi="宋体" w:eastAsia="宋体" w:cs="宋体"/>
          <w:sz w:val="21"/>
          <w:szCs w:val="21"/>
          <w:u w:val="single"/>
        </w:rPr>
        <w:t xml:space="preserve">/        </w:t>
      </w:r>
    </w:p>
    <w:p w14:paraId="7D2A4CDA">
      <w:pPr>
        <w:spacing w:line="380" w:lineRule="exact"/>
        <w:rPr>
          <w:rFonts w:hAnsi="仿宋"/>
          <w:sz w:val="21"/>
          <w:szCs w:val="21"/>
        </w:rPr>
      </w:pPr>
      <w:r>
        <w:rPr>
          <w:rFonts w:hint="eastAsia" w:hAnsi="仿宋"/>
          <w:sz w:val="21"/>
          <w:szCs w:val="21"/>
        </w:rPr>
        <w:t>14.4 最终结清</w:t>
      </w:r>
    </w:p>
    <w:p w14:paraId="63C0917B">
      <w:pPr>
        <w:spacing w:line="380" w:lineRule="exact"/>
        <w:rPr>
          <w:rFonts w:hAnsi="仿宋"/>
          <w:kern w:val="0"/>
          <w:sz w:val="21"/>
          <w:szCs w:val="21"/>
        </w:rPr>
      </w:pPr>
      <w:r>
        <w:rPr>
          <w:rFonts w:hint="eastAsia" w:hAnsi="仿宋"/>
          <w:kern w:val="0"/>
          <w:sz w:val="21"/>
          <w:szCs w:val="21"/>
        </w:rPr>
        <w:t>14.4.1最终结清申请单</w:t>
      </w:r>
    </w:p>
    <w:p w14:paraId="7F8E058E">
      <w:pPr>
        <w:spacing w:line="380" w:lineRule="exact"/>
        <w:ind w:firstLine="420" w:firstLineChars="200"/>
        <w:rPr>
          <w:rFonts w:hAnsi="仿宋"/>
          <w:kern w:val="0"/>
          <w:sz w:val="21"/>
          <w:szCs w:val="21"/>
        </w:rPr>
      </w:pPr>
      <w:r>
        <w:rPr>
          <w:rFonts w:hint="eastAsia" w:hAnsi="仿宋"/>
          <w:kern w:val="0"/>
          <w:sz w:val="21"/>
          <w:szCs w:val="21"/>
        </w:rPr>
        <w:t>承包人提交最终结清申请单的份数：</w:t>
      </w:r>
      <w:r>
        <w:rPr>
          <w:rFonts w:hint="eastAsia" w:hAnsi="仿宋"/>
          <w:sz w:val="21"/>
          <w:szCs w:val="21"/>
          <w:u w:val="single"/>
        </w:rPr>
        <w:t xml:space="preserve">  2份</w:t>
      </w:r>
      <w:r>
        <w:rPr>
          <w:rFonts w:hint="eastAsia" w:hAnsi="仿宋"/>
          <w:sz w:val="21"/>
          <w:szCs w:val="21"/>
        </w:rPr>
        <w:t>。</w:t>
      </w:r>
    </w:p>
    <w:p w14:paraId="1700685A">
      <w:pPr>
        <w:spacing w:line="380" w:lineRule="exact"/>
        <w:ind w:firstLine="420" w:firstLineChars="200"/>
        <w:rPr>
          <w:rFonts w:hAnsi="仿宋"/>
          <w:sz w:val="21"/>
          <w:szCs w:val="21"/>
        </w:rPr>
      </w:pPr>
      <w:r>
        <w:rPr>
          <w:rFonts w:hint="eastAsia" w:hAnsi="仿宋"/>
          <w:kern w:val="0"/>
          <w:sz w:val="21"/>
          <w:szCs w:val="21"/>
        </w:rPr>
        <w:t>承包人提交最终结算申请单的期限：</w:t>
      </w:r>
      <w:r>
        <w:rPr>
          <w:rFonts w:hint="eastAsia" w:hAnsi="仿宋"/>
          <w:sz w:val="21"/>
          <w:szCs w:val="21"/>
          <w:u w:val="single"/>
        </w:rPr>
        <w:t>缺陷责任期终止后7天内</w:t>
      </w:r>
      <w:r>
        <w:rPr>
          <w:rFonts w:hint="eastAsia" w:hAnsi="仿宋"/>
          <w:sz w:val="21"/>
          <w:szCs w:val="21"/>
        </w:rPr>
        <w:t>。</w:t>
      </w:r>
    </w:p>
    <w:p w14:paraId="0FF999A2">
      <w:pPr>
        <w:spacing w:line="380" w:lineRule="exact"/>
        <w:rPr>
          <w:rFonts w:hAnsi="仿宋"/>
          <w:sz w:val="21"/>
          <w:szCs w:val="21"/>
        </w:rPr>
      </w:pPr>
      <w:r>
        <w:rPr>
          <w:rFonts w:hint="eastAsia" w:hAnsi="仿宋"/>
          <w:sz w:val="21"/>
          <w:szCs w:val="21"/>
        </w:rPr>
        <w:t>14.4.2最终结清证书和支付</w:t>
      </w:r>
    </w:p>
    <w:p w14:paraId="52A12360">
      <w:pPr>
        <w:spacing w:line="380" w:lineRule="exact"/>
        <w:ind w:firstLine="420" w:firstLineChars="200"/>
        <w:rPr>
          <w:rFonts w:hAnsi="仿宋"/>
          <w:sz w:val="21"/>
          <w:szCs w:val="21"/>
        </w:rPr>
      </w:pPr>
      <w:r>
        <w:rPr>
          <w:rFonts w:hint="eastAsia" w:hAnsi="仿宋"/>
          <w:sz w:val="21"/>
          <w:szCs w:val="21"/>
        </w:rPr>
        <w:t>（1）发包人完成最终结清申请单的审批并颁发最终结清证书的期限：</w:t>
      </w:r>
      <w:r>
        <w:rPr>
          <w:rFonts w:hint="eastAsia" w:hAnsi="仿宋"/>
          <w:sz w:val="21"/>
          <w:szCs w:val="21"/>
          <w:u w:val="single"/>
        </w:rPr>
        <w:t>按通用条款</w:t>
      </w:r>
      <w:r>
        <w:rPr>
          <w:rFonts w:hint="eastAsia" w:hAnsi="仿宋"/>
          <w:sz w:val="21"/>
          <w:szCs w:val="21"/>
        </w:rPr>
        <w:t>。</w:t>
      </w:r>
    </w:p>
    <w:p w14:paraId="03972EE8">
      <w:pPr>
        <w:spacing w:line="380" w:lineRule="exact"/>
        <w:ind w:firstLine="420" w:firstLineChars="200"/>
        <w:rPr>
          <w:rFonts w:hAnsi="仿宋"/>
          <w:sz w:val="21"/>
          <w:szCs w:val="21"/>
        </w:rPr>
      </w:pPr>
      <w:r>
        <w:rPr>
          <w:rFonts w:hint="eastAsia" w:hAnsi="仿宋"/>
          <w:sz w:val="21"/>
          <w:szCs w:val="21"/>
        </w:rPr>
        <w:t>（2）发包人完成支付的期限：</w:t>
      </w:r>
      <w:r>
        <w:rPr>
          <w:rFonts w:hint="eastAsia" w:hAnsi="仿宋"/>
          <w:sz w:val="21"/>
          <w:szCs w:val="21"/>
          <w:u w:val="single"/>
        </w:rPr>
        <w:t>按通用条款</w:t>
      </w:r>
      <w:r>
        <w:rPr>
          <w:rFonts w:hint="eastAsia" w:hAnsi="仿宋"/>
          <w:sz w:val="21"/>
          <w:szCs w:val="21"/>
        </w:rPr>
        <w:t>。</w:t>
      </w:r>
    </w:p>
    <w:bookmarkEnd w:id="469"/>
    <w:bookmarkEnd w:id="470"/>
    <w:bookmarkEnd w:id="471"/>
    <w:bookmarkEnd w:id="472"/>
    <w:bookmarkEnd w:id="473"/>
    <w:bookmarkEnd w:id="474"/>
    <w:bookmarkEnd w:id="475"/>
    <w:bookmarkEnd w:id="481"/>
    <w:p w14:paraId="42933427">
      <w:pPr>
        <w:pStyle w:val="8"/>
        <w:keepNext w:val="0"/>
        <w:keepLines w:val="0"/>
        <w:spacing w:before="0" w:after="0" w:line="380" w:lineRule="exact"/>
        <w:rPr>
          <w:rFonts w:ascii="黑体" w:hAnsi="黑体"/>
          <w:b w:val="0"/>
          <w:sz w:val="21"/>
          <w:szCs w:val="21"/>
        </w:rPr>
      </w:pPr>
      <w:bookmarkStart w:id="483" w:name="_Toc351203647"/>
      <w:bookmarkStart w:id="484" w:name="_Toc267251483"/>
      <w:bookmarkStart w:id="485" w:name="_Toc267251482"/>
      <w:bookmarkStart w:id="486" w:name="_Toc267251484"/>
      <w:bookmarkStart w:id="487" w:name="_Toc267251485"/>
      <w:bookmarkStart w:id="488" w:name="_Toc267251490"/>
      <w:bookmarkStart w:id="489" w:name="_Toc267251488"/>
      <w:bookmarkStart w:id="490" w:name="_Toc267251489"/>
      <w:bookmarkStart w:id="491" w:name="_Toc267251486"/>
      <w:bookmarkStart w:id="492" w:name="_Toc267251501"/>
      <w:bookmarkStart w:id="493" w:name="_Toc267251495"/>
      <w:bookmarkStart w:id="494" w:name="_Toc267251497"/>
      <w:bookmarkStart w:id="495" w:name="_Toc267251496"/>
      <w:bookmarkStart w:id="496" w:name="_Toc267251493"/>
      <w:bookmarkStart w:id="497" w:name="_Toc267251503"/>
      <w:bookmarkStart w:id="498" w:name="_Toc267251494"/>
      <w:bookmarkStart w:id="499" w:name="_Toc267251498"/>
      <w:bookmarkStart w:id="500" w:name="_Toc267251491"/>
      <w:bookmarkStart w:id="501" w:name="_Toc267251492"/>
      <w:bookmarkStart w:id="502" w:name="_Toc267251502"/>
      <w:bookmarkStart w:id="503" w:name="_Toc267251499"/>
      <w:bookmarkStart w:id="504" w:name="_Toc267251504"/>
      <w:bookmarkStart w:id="505" w:name="_Toc267251506"/>
      <w:bookmarkStart w:id="506" w:name="_Toc267251507"/>
      <w:bookmarkStart w:id="507" w:name="_Toc267251508"/>
      <w:bookmarkStart w:id="508" w:name="_Toc267251510"/>
      <w:bookmarkStart w:id="509" w:name="_Toc267251515"/>
      <w:bookmarkStart w:id="510" w:name="_Toc267251514"/>
      <w:bookmarkStart w:id="511" w:name="_Toc267251511"/>
      <w:bookmarkStart w:id="512" w:name="_Toc267251513"/>
      <w:bookmarkStart w:id="513" w:name="_Toc267251509"/>
      <w:r>
        <w:rPr>
          <w:rFonts w:hint="eastAsia" w:ascii="黑体" w:hAnsi="黑体"/>
          <w:b w:val="0"/>
          <w:sz w:val="21"/>
          <w:szCs w:val="21"/>
        </w:rPr>
        <w:t>15．缺陷责任期与保修</w:t>
      </w:r>
      <w:bookmarkEnd w:id="483"/>
    </w:p>
    <w:p w14:paraId="54B477FB">
      <w:pPr>
        <w:spacing w:line="380" w:lineRule="exact"/>
        <w:ind w:firstLine="420" w:firstLineChars="200"/>
        <w:rPr>
          <w:rFonts w:hAnsi="仿宋"/>
          <w:sz w:val="21"/>
          <w:szCs w:val="21"/>
        </w:rPr>
      </w:pPr>
      <w:r>
        <w:rPr>
          <w:rFonts w:hint="eastAsia" w:hAnsi="仿宋"/>
          <w:sz w:val="21"/>
          <w:szCs w:val="21"/>
        </w:rPr>
        <w:t>15.2缺陷责任期</w:t>
      </w:r>
      <w:bookmarkEnd w:id="484"/>
    </w:p>
    <w:p w14:paraId="31CFB772">
      <w:pPr>
        <w:spacing w:line="380" w:lineRule="exact"/>
        <w:ind w:firstLine="420" w:firstLineChars="200"/>
        <w:rPr>
          <w:rFonts w:hAnsi="仿宋"/>
          <w:sz w:val="21"/>
          <w:szCs w:val="21"/>
        </w:rPr>
      </w:pPr>
      <w:r>
        <w:rPr>
          <w:rFonts w:hint="eastAsia" w:hAnsi="仿宋"/>
          <w:sz w:val="21"/>
          <w:szCs w:val="21"/>
        </w:rPr>
        <w:t>缺陷责任期的具体期限：</w:t>
      </w:r>
      <w:r>
        <w:rPr>
          <w:rFonts w:hint="eastAsia" w:hAnsi="仿宋"/>
          <w:sz w:val="21"/>
          <w:szCs w:val="21"/>
          <w:u w:val="single"/>
        </w:rPr>
        <w:t>缺陷责任期</w:t>
      </w:r>
      <w:r>
        <w:rPr>
          <w:rFonts w:hint="eastAsia" w:hAnsi="仿宋" w:eastAsiaTheme="minorEastAsia"/>
          <w:sz w:val="21"/>
          <w:szCs w:val="21"/>
          <w:u w:val="single"/>
        </w:rPr>
        <w:t>24</w:t>
      </w:r>
      <w:r>
        <w:rPr>
          <w:rFonts w:hint="eastAsia" w:hAnsi="仿宋"/>
          <w:sz w:val="21"/>
          <w:szCs w:val="21"/>
          <w:u w:val="single"/>
        </w:rPr>
        <w:t>个月，其余按通用条款执行</w:t>
      </w:r>
      <w:r>
        <w:rPr>
          <w:rFonts w:hint="eastAsia" w:hAnsi="仿宋"/>
          <w:sz w:val="21"/>
          <w:szCs w:val="21"/>
        </w:rPr>
        <w:t>。</w:t>
      </w:r>
    </w:p>
    <w:p w14:paraId="5756F0EB">
      <w:pPr>
        <w:spacing w:line="380" w:lineRule="exact"/>
        <w:ind w:firstLine="420" w:firstLineChars="200"/>
        <w:rPr>
          <w:rFonts w:hAnsi="仿宋"/>
          <w:sz w:val="21"/>
          <w:szCs w:val="21"/>
        </w:rPr>
      </w:pPr>
      <w:r>
        <w:rPr>
          <w:rFonts w:hint="eastAsia" w:hAnsi="仿宋"/>
          <w:sz w:val="21"/>
          <w:szCs w:val="21"/>
        </w:rPr>
        <w:t>15.3 质量保证金</w:t>
      </w:r>
    </w:p>
    <w:p w14:paraId="68A934FA">
      <w:pPr>
        <w:spacing w:line="380" w:lineRule="exact"/>
        <w:ind w:firstLine="420" w:firstLineChars="200"/>
        <w:rPr>
          <w:rFonts w:hAnsi="仿宋"/>
          <w:sz w:val="21"/>
          <w:szCs w:val="21"/>
        </w:rPr>
      </w:pPr>
      <w:r>
        <w:rPr>
          <w:rFonts w:hint="eastAsia" w:hAnsi="仿宋"/>
          <w:sz w:val="21"/>
          <w:szCs w:val="21"/>
        </w:rPr>
        <w:t>关于是否扣留质量保证金的约定：</w:t>
      </w:r>
      <w:r>
        <w:rPr>
          <w:rFonts w:hint="eastAsia" w:ascii="宋体" w:hAnsi="宋体" w:eastAsia="宋体" w:cs="宋体"/>
          <w:kern w:val="0"/>
          <w:sz w:val="21"/>
          <w:szCs w:val="21"/>
          <w:u w:val="single"/>
        </w:rPr>
        <w:t>本项目无质量保证金</w:t>
      </w:r>
      <w:r>
        <w:rPr>
          <w:rFonts w:hint="eastAsia" w:hAnsi="仿宋"/>
          <w:sz w:val="21"/>
          <w:szCs w:val="21"/>
        </w:rPr>
        <w:t>。</w:t>
      </w:r>
    </w:p>
    <w:p w14:paraId="10A59B95">
      <w:pPr>
        <w:spacing w:line="380" w:lineRule="exact"/>
        <w:ind w:firstLine="420" w:firstLineChars="200"/>
        <w:rPr>
          <w:rFonts w:hAnsi="仿宋"/>
          <w:sz w:val="21"/>
          <w:szCs w:val="21"/>
        </w:rPr>
      </w:pPr>
      <w:r>
        <w:rPr>
          <w:rFonts w:hint="eastAsia" w:hAnsi="仿宋"/>
          <w:sz w:val="21"/>
          <w:szCs w:val="21"/>
        </w:rPr>
        <w:t>15.3.1承包人提供质量保证金的方式</w:t>
      </w:r>
    </w:p>
    <w:p w14:paraId="6353EEA4">
      <w:pPr>
        <w:spacing w:line="380" w:lineRule="exact"/>
        <w:ind w:firstLine="420" w:firstLineChars="200"/>
        <w:rPr>
          <w:rFonts w:hAnsi="仿宋"/>
          <w:sz w:val="21"/>
          <w:szCs w:val="21"/>
        </w:rPr>
      </w:pPr>
      <w:r>
        <w:rPr>
          <w:rFonts w:hint="eastAsia" w:hAnsi="仿宋"/>
          <w:sz w:val="21"/>
          <w:szCs w:val="21"/>
        </w:rPr>
        <w:t>质量保证金采用以下第</w:t>
      </w:r>
      <w:r>
        <w:rPr>
          <w:rFonts w:hint="eastAsia" w:hAnsi="仿宋"/>
          <w:sz w:val="21"/>
          <w:szCs w:val="21"/>
          <w:u w:val="single"/>
        </w:rPr>
        <w:t xml:space="preserve">  </w:t>
      </w:r>
      <w:r>
        <w:rPr>
          <w:rFonts w:hint="eastAsia" w:hAnsi="仿宋" w:eastAsiaTheme="minorEastAsia"/>
          <w:sz w:val="21"/>
          <w:szCs w:val="21"/>
          <w:u w:val="single"/>
        </w:rPr>
        <w:t>3</w:t>
      </w:r>
      <w:r>
        <w:rPr>
          <w:rFonts w:hint="eastAsia" w:hAnsi="仿宋"/>
          <w:sz w:val="21"/>
          <w:szCs w:val="21"/>
          <w:u w:val="single"/>
        </w:rPr>
        <w:t xml:space="preserve">  </w:t>
      </w:r>
      <w:r>
        <w:rPr>
          <w:rFonts w:hint="eastAsia" w:hAnsi="仿宋"/>
          <w:sz w:val="21"/>
          <w:szCs w:val="21"/>
        </w:rPr>
        <w:t>种方式：</w:t>
      </w:r>
    </w:p>
    <w:p w14:paraId="765B469A">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（1）</w:t>
      </w:r>
      <w:r>
        <w:rPr>
          <w:rFonts w:hint="eastAsia" w:hAnsi="仿宋"/>
          <w:b/>
          <w:bCs/>
          <w:kern w:val="0"/>
          <w:sz w:val="21"/>
          <w:szCs w:val="21"/>
        </w:rPr>
        <w:t>质量保证金保函，</w:t>
      </w:r>
      <w:r>
        <w:rPr>
          <w:rFonts w:hint="eastAsia" w:hAnsi="仿宋"/>
          <w:b/>
          <w:bCs/>
          <w:sz w:val="21"/>
          <w:szCs w:val="21"/>
        </w:rPr>
        <w:t>保函形式为银行保函〔保险保函〕，</w:t>
      </w:r>
      <w:r>
        <w:rPr>
          <w:rFonts w:hint="eastAsia" w:hAnsi="仿宋"/>
          <w:b/>
          <w:bCs/>
          <w:kern w:val="0"/>
          <w:sz w:val="21"/>
          <w:szCs w:val="21"/>
        </w:rPr>
        <w:t>金额为1.5 %的工程结算价款；</w:t>
      </w:r>
    </w:p>
    <w:p w14:paraId="0104883F">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（2）</w:t>
      </w:r>
      <w:r>
        <w:rPr>
          <w:rFonts w:hint="eastAsia" w:hAnsi="仿宋"/>
          <w:kern w:val="0"/>
          <w:sz w:val="21"/>
          <w:szCs w:val="21"/>
          <w:u w:val="single"/>
        </w:rPr>
        <w:t xml:space="preserve"> 1.5 %</w:t>
      </w:r>
      <w:r>
        <w:rPr>
          <w:rFonts w:hint="eastAsia" w:hAnsi="仿宋"/>
          <w:kern w:val="0"/>
          <w:sz w:val="21"/>
          <w:szCs w:val="21"/>
        </w:rPr>
        <w:t>的工程结算价款；</w:t>
      </w:r>
    </w:p>
    <w:p w14:paraId="26890CE4">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（3）其他方式:</w:t>
      </w:r>
      <w:r>
        <w:rPr>
          <w:rFonts w:hint="eastAsia" w:ascii="宋体" w:hAnsi="宋体" w:eastAsia="宋体" w:cs="宋体"/>
          <w:kern w:val="0"/>
          <w:sz w:val="21"/>
          <w:szCs w:val="21"/>
          <w:u w:val="single"/>
        </w:rPr>
        <w:t>本项目无质量保证金</w:t>
      </w:r>
      <w:r>
        <w:rPr>
          <w:rFonts w:hint="eastAsia" w:hAnsi="仿宋"/>
          <w:kern w:val="0"/>
          <w:sz w:val="21"/>
          <w:szCs w:val="21"/>
        </w:rPr>
        <w:t>。</w:t>
      </w:r>
    </w:p>
    <w:p w14:paraId="36661E0B">
      <w:pPr>
        <w:spacing w:line="380" w:lineRule="exact"/>
        <w:ind w:firstLine="420" w:firstLineChars="200"/>
        <w:rPr>
          <w:rFonts w:hAnsi="仿宋"/>
          <w:sz w:val="21"/>
          <w:szCs w:val="21"/>
        </w:rPr>
      </w:pPr>
      <w:r>
        <w:rPr>
          <w:rFonts w:hint="eastAsia" w:hAnsi="仿宋"/>
          <w:sz w:val="21"/>
          <w:szCs w:val="21"/>
        </w:rPr>
        <w:t>15.3.2质量保证金的扣留</w:t>
      </w:r>
    </w:p>
    <w:p w14:paraId="69AC77FA">
      <w:pPr>
        <w:spacing w:line="380" w:lineRule="exact"/>
        <w:ind w:firstLine="420" w:firstLineChars="200"/>
        <w:rPr>
          <w:rFonts w:hAnsi="仿宋"/>
          <w:sz w:val="21"/>
          <w:szCs w:val="21"/>
        </w:rPr>
      </w:pPr>
      <w:r>
        <w:rPr>
          <w:rFonts w:hint="eastAsia" w:hAnsi="仿宋"/>
          <w:sz w:val="21"/>
          <w:szCs w:val="21"/>
        </w:rPr>
        <w:t>质量保证金的扣留采取以下第</w:t>
      </w:r>
      <w:r>
        <w:rPr>
          <w:rFonts w:hint="eastAsia" w:hAnsi="仿宋"/>
          <w:sz w:val="21"/>
          <w:szCs w:val="21"/>
          <w:u w:val="single"/>
        </w:rPr>
        <w:t xml:space="preserve">  3  </w:t>
      </w:r>
      <w:r>
        <w:rPr>
          <w:rFonts w:hint="eastAsia" w:hAnsi="仿宋"/>
          <w:sz w:val="21"/>
          <w:szCs w:val="21"/>
        </w:rPr>
        <w:t>种方式：</w:t>
      </w:r>
    </w:p>
    <w:p w14:paraId="3F7A0462">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（1）在支付工程进度款时逐次扣留，在此情形下，质量保证金的计算基数不包括预付款的支付、扣回以及价格调整的金额；</w:t>
      </w:r>
    </w:p>
    <w:p w14:paraId="02CFD8AC">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（2）工程竣工结算时一次性扣留质量保证金；</w:t>
      </w:r>
    </w:p>
    <w:p w14:paraId="2CF32B8B">
      <w:pPr>
        <w:autoSpaceDE w:val="0"/>
        <w:autoSpaceDN w:val="0"/>
        <w:adjustRightInd w:val="0"/>
        <w:spacing w:line="380" w:lineRule="exact"/>
        <w:ind w:firstLine="420" w:firstLineChars="200"/>
        <w:rPr>
          <w:rFonts w:hAnsi="仿宋"/>
          <w:b/>
          <w:bCs/>
          <w:kern w:val="0"/>
          <w:sz w:val="21"/>
          <w:szCs w:val="21"/>
        </w:rPr>
      </w:pPr>
      <w:r>
        <w:rPr>
          <w:rFonts w:hint="eastAsia" w:hAnsi="仿宋"/>
          <w:kern w:val="0"/>
          <w:sz w:val="21"/>
          <w:szCs w:val="21"/>
        </w:rPr>
        <w:t>（3）其他扣留方式:</w:t>
      </w:r>
      <w:r>
        <w:rPr>
          <w:rFonts w:hint="eastAsia" w:ascii="宋体" w:hAnsi="宋体" w:eastAsia="宋体" w:cs="宋体"/>
          <w:kern w:val="0"/>
          <w:sz w:val="21"/>
          <w:szCs w:val="21"/>
          <w:u w:val="single"/>
        </w:rPr>
        <w:t xml:space="preserve"> 本项目无质量保证金</w:t>
      </w:r>
      <w:r>
        <w:rPr>
          <w:rFonts w:hint="eastAsia" w:hAnsi="仿宋"/>
          <w:kern w:val="0"/>
          <w:sz w:val="21"/>
          <w:szCs w:val="21"/>
        </w:rPr>
        <w:t>。</w:t>
      </w:r>
    </w:p>
    <w:p w14:paraId="44DEC8BE">
      <w:pPr>
        <w:spacing w:line="380" w:lineRule="exact"/>
        <w:ind w:firstLine="420" w:firstLineChars="200"/>
        <w:rPr>
          <w:rFonts w:hAnsi="仿宋"/>
          <w:sz w:val="21"/>
          <w:szCs w:val="21"/>
        </w:rPr>
      </w:pPr>
      <w:r>
        <w:rPr>
          <w:rFonts w:hint="eastAsia" w:hAnsi="仿宋"/>
          <w:sz w:val="21"/>
          <w:szCs w:val="21"/>
        </w:rPr>
        <w:t>15.3.3质量保证金的退还</w:t>
      </w:r>
    </w:p>
    <w:p w14:paraId="05236F67">
      <w:pPr>
        <w:spacing w:line="380" w:lineRule="exact"/>
        <w:ind w:firstLine="420" w:firstLineChars="200"/>
        <w:rPr>
          <w:rFonts w:hAnsi="仿宋"/>
          <w:sz w:val="21"/>
          <w:szCs w:val="21"/>
        </w:rPr>
      </w:pPr>
      <w:r>
        <w:rPr>
          <w:rFonts w:hint="eastAsia" w:hAnsi="仿宋"/>
          <w:sz w:val="21"/>
          <w:szCs w:val="21"/>
        </w:rPr>
        <w:t>质量保证金按以下第</w:t>
      </w:r>
      <w:r>
        <w:rPr>
          <w:rFonts w:hint="eastAsia" w:hAnsi="仿宋" w:eastAsia="宋体"/>
          <w:sz w:val="21"/>
          <w:szCs w:val="21"/>
          <w:u w:val="single"/>
        </w:rPr>
        <w:t>/</w:t>
      </w:r>
      <w:r>
        <w:rPr>
          <w:rFonts w:hint="eastAsia" w:hAnsi="仿宋"/>
          <w:sz w:val="21"/>
          <w:szCs w:val="21"/>
        </w:rPr>
        <w:t>方式退回：</w:t>
      </w:r>
    </w:p>
    <w:p w14:paraId="0C17097A">
      <w:pPr>
        <w:spacing w:line="380" w:lineRule="exact"/>
        <w:ind w:firstLine="420" w:firstLineChars="200"/>
        <w:rPr>
          <w:rFonts w:hAnsi="仿宋"/>
          <w:sz w:val="21"/>
          <w:szCs w:val="21"/>
        </w:rPr>
      </w:pPr>
      <w:r>
        <w:rPr>
          <w:rFonts w:hint="eastAsia" w:hAnsi="仿宋"/>
          <w:sz w:val="21"/>
          <w:szCs w:val="21"/>
        </w:rPr>
        <w:t>（1）缺陷责任期终止后，发包人退还剩余的质量保证金。</w:t>
      </w:r>
    </w:p>
    <w:p w14:paraId="3F46CC77">
      <w:pPr>
        <w:adjustRightInd w:val="0"/>
        <w:spacing w:line="380" w:lineRule="exact"/>
        <w:ind w:firstLine="420" w:firstLineChars="200"/>
        <w:rPr>
          <w:rFonts w:hAnsi="仿宋"/>
          <w:sz w:val="21"/>
          <w:szCs w:val="21"/>
        </w:rPr>
      </w:pPr>
      <w:r>
        <w:rPr>
          <w:rFonts w:hint="eastAsia" w:hAnsi="仿宋"/>
          <w:sz w:val="21"/>
          <w:szCs w:val="21"/>
        </w:rPr>
        <w:t>（2）建筑工程：工程竣工验收合格后满1年返还质量保证金的30%，满2年返还全部预留的质量保证金。</w:t>
      </w:r>
    </w:p>
    <w:p w14:paraId="32512504">
      <w:pPr>
        <w:adjustRightInd w:val="0"/>
        <w:spacing w:line="380" w:lineRule="exact"/>
        <w:ind w:firstLine="420" w:firstLineChars="200"/>
        <w:rPr>
          <w:rFonts w:hAnsi="仿宋"/>
          <w:sz w:val="21"/>
          <w:szCs w:val="21"/>
        </w:rPr>
      </w:pPr>
      <w:r>
        <w:rPr>
          <w:rFonts w:hint="eastAsia" w:hAnsi="仿宋"/>
          <w:sz w:val="21"/>
          <w:szCs w:val="21"/>
        </w:rPr>
        <w:t>（3）市政工程：工程竣工验收合格后满1年返还全部质量保证金。</w:t>
      </w:r>
    </w:p>
    <w:p w14:paraId="0993BDDC">
      <w:pPr>
        <w:spacing w:line="380" w:lineRule="exact"/>
        <w:ind w:firstLine="420" w:firstLineChars="200"/>
        <w:rPr>
          <w:rFonts w:hAnsi="仿宋"/>
          <w:sz w:val="21"/>
          <w:szCs w:val="21"/>
        </w:rPr>
      </w:pPr>
      <w:r>
        <w:rPr>
          <w:rFonts w:hint="eastAsia" w:hAnsi="仿宋"/>
          <w:sz w:val="21"/>
          <w:szCs w:val="21"/>
        </w:rPr>
        <w:t>（4）其它：</w:t>
      </w:r>
      <w:r>
        <w:rPr>
          <w:rFonts w:hint="eastAsia" w:hAnsi="仿宋" w:eastAsiaTheme="minorEastAsia"/>
          <w:sz w:val="21"/>
          <w:szCs w:val="21"/>
          <w:u w:val="single"/>
        </w:rPr>
        <w:t xml:space="preserve">           </w:t>
      </w:r>
      <w:r>
        <w:rPr>
          <w:rFonts w:hint="eastAsia" w:hAnsi="仿宋" w:eastAsiaTheme="minorEastAsia"/>
          <w:sz w:val="21"/>
          <w:szCs w:val="21"/>
        </w:rPr>
        <w:t xml:space="preserve"> </w:t>
      </w:r>
      <w:r>
        <w:rPr>
          <w:rFonts w:hint="eastAsia" w:hAnsi="仿宋"/>
          <w:sz w:val="21"/>
          <w:szCs w:val="21"/>
        </w:rPr>
        <w:t>。</w:t>
      </w:r>
    </w:p>
    <w:bookmarkEnd w:id="485"/>
    <w:bookmarkEnd w:id="486"/>
    <w:p w14:paraId="09CCC6BC">
      <w:pPr>
        <w:spacing w:line="380" w:lineRule="exact"/>
        <w:ind w:firstLine="420" w:firstLineChars="200"/>
        <w:rPr>
          <w:rFonts w:hAnsi="仿宋"/>
          <w:sz w:val="21"/>
          <w:szCs w:val="21"/>
        </w:rPr>
      </w:pPr>
      <w:r>
        <w:rPr>
          <w:rFonts w:hint="eastAsia" w:hAnsi="仿宋"/>
          <w:sz w:val="21"/>
          <w:szCs w:val="21"/>
        </w:rPr>
        <w:t>15.4保修</w:t>
      </w:r>
    </w:p>
    <w:bookmarkEnd w:id="487"/>
    <w:p w14:paraId="7DF5995F">
      <w:pPr>
        <w:spacing w:line="380" w:lineRule="exact"/>
        <w:ind w:firstLine="420" w:firstLineChars="200"/>
        <w:rPr>
          <w:rFonts w:hAnsi="仿宋"/>
          <w:sz w:val="21"/>
          <w:szCs w:val="21"/>
        </w:rPr>
      </w:pPr>
      <w:r>
        <w:rPr>
          <w:rFonts w:hint="eastAsia" w:hAnsi="仿宋"/>
          <w:sz w:val="21"/>
          <w:szCs w:val="21"/>
        </w:rPr>
        <w:t>15.4.1保修责任</w:t>
      </w:r>
    </w:p>
    <w:p w14:paraId="07F60817">
      <w:pPr>
        <w:spacing w:line="380" w:lineRule="exact"/>
        <w:ind w:firstLine="420" w:firstLineChars="200"/>
        <w:rPr>
          <w:rFonts w:hAnsi="仿宋"/>
          <w:kern w:val="0"/>
          <w:sz w:val="21"/>
          <w:szCs w:val="21"/>
        </w:rPr>
      </w:pPr>
      <w:r>
        <w:rPr>
          <w:rFonts w:hint="eastAsia" w:hAnsi="仿宋"/>
          <w:sz w:val="21"/>
          <w:szCs w:val="21"/>
        </w:rPr>
        <w:t>工程保修期为：</w:t>
      </w:r>
      <w:r>
        <w:rPr>
          <w:rFonts w:hint="eastAsia" w:hAnsi="仿宋"/>
          <w:kern w:val="0"/>
          <w:sz w:val="21"/>
          <w:szCs w:val="21"/>
          <w:u w:val="single"/>
        </w:rPr>
        <w:t>按本合同附件3《工程质量保修书》</w:t>
      </w:r>
      <w:r>
        <w:rPr>
          <w:rFonts w:hint="eastAsia" w:hAnsi="仿宋"/>
          <w:kern w:val="0"/>
          <w:sz w:val="21"/>
          <w:szCs w:val="21"/>
        </w:rPr>
        <w:t>。</w:t>
      </w:r>
    </w:p>
    <w:p w14:paraId="2BD5A621">
      <w:pPr>
        <w:spacing w:line="380" w:lineRule="exact"/>
        <w:ind w:firstLine="420" w:firstLineChars="200"/>
        <w:rPr>
          <w:rFonts w:hAnsi="仿宋"/>
          <w:sz w:val="21"/>
          <w:szCs w:val="21"/>
        </w:rPr>
      </w:pPr>
      <w:r>
        <w:rPr>
          <w:rFonts w:hint="eastAsia" w:hAnsi="仿宋"/>
          <w:sz w:val="21"/>
          <w:szCs w:val="21"/>
        </w:rPr>
        <w:t>15.4.3修复通知</w:t>
      </w:r>
    </w:p>
    <w:p w14:paraId="73920BD1">
      <w:pPr>
        <w:spacing w:line="380" w:lineRule="exact"/>
        <w:ind w:firstLine="420" w:firstLineChars="200"/>
        <w:rPr>
          <w:rFonts w:hAnsi="仿宋"/>
          <w:kern w:val="0"/>
          <w:sz w:val="21"/>
          <w:szCs w:val="21"/>
        </w:rPr>
      </w:pPr>
      <w:r>
        <w:rPr>
          <w:rFonts w:hint="eastAsia" w:hAnsi="仿宋"/>
          <w:kern w:val="0"/>
          <w:sz w:val="21"/>
          <w:szCs w:val="21"/>
        </w:rPr>
        <w:t>承包人收到保修通知并到达工程现场的合理时间：</w:t>
      </w:r>
      <w:r>
        <w:rPr>
          <w:rFonts w:hint="eastAsia" w:hAnsi="仿宋"/>
          <w:kern w:val="0"/>
          <w:sz w:val="21"/>
          <w:szCs w:val="21"/>
          <w:u w:val="single"/>
        </w:rPr>
        <w:t>按通用条款</w:t>
      </w:r>
      <w:r>
        <w:rPr>
          <w:rFonts w:hint="eastAsia" w:hAnsi="仿宋"/>
          <w:kern w:val="0"/>
          <w:sz w:val="21"/>
          <w:szCs w:val="21"/>
        </w:rPr>
        <w:t>。</w:t>
      </w:r>
    </w:p>
    <w:bookmarkEnd w:id="488"/>
    <w:bookmarkEnd w:id="489"/>
    <w:bookmarkEnd w:id="490"/>
    <w:bookmarkEnd w:id="491"/>
    <w:p w14:paraId="6C07AC6E">
      <w:pPr>
        <w:pStyle w:val="8"/>
        <w:keepNext w:val="0"/>
        <w:keepLines w:val="0"/>
        <w:spacing w:before="0" w:after="0" w:line="380" w:lineRule="exact"/>
        <w:rPr>
          <w:rFonts w:ascii="黑体" w:hAnsi="黑体"/>
          <w:b w:val="0"/>
          <w:sz w:val="21"/>
          <w:szCs w:val="21"/>
        </w:rPr>
      </w:pPr>
      <w:bookmarkStart w:id="514" w:name="_Toc351203648"/>
      <w:bookmarkStart w:id="515" w:name="_Toc280868717"/>
      <w:bookmarkStart w:id="516" w:name="_Toc280868718"/>
      <w:r>
        <w:rPr>
          <w:rFonts w:hint="eastAsia" w:ascii="黑体" w:hAnsi="黑体"/>
          <w:b w:val="0"/>
          <w:sz w:val="21"/>
          <w:szCs w:val="21"/>
        </w:rPr>
        <w:t>16．违约</w:t>
      </w:r>
      <w:bookmarkEnd w:id="514"/>
    </w:p>
    <w:p w14:paraId="296265AA">
      <w:pPr>
        <w:spacing w:line="380" w:lineRule="exact"/>
        <w:ind w:firstLine="420" w:firstLineChars="200"/>
        <w:rPr>
          <w:rFonts w:hAnsi="仿宋"/>
          <w:sz w:val="21"/>
          <w:szCs w:val="21"/>
        </w:rPr>
      </w:pPr>
      <w:r>
        <w:rPr>
          <w:rFonts w:hint="eastAsia" w:hAnsi="仿宋"/>
          <w:sz w:val="21"/>
          <w:szCs w:val="21"/>
        </w:rPr>
        <w:t>16.1 发包人违约</w:t>
      </w:r>
    </w:p>
    <w:p w14:paraId="5C0760CA">
      <w:pPr>
        <w:spacing w:line="380" w:lineRule="exact"/>
        <w:ind w:firstLine="420" w:firstLineChars="200"/>
        <w:rPr>
          <w:rFonts w:hAnsi="仿宋"/>
          <w:sz w:val="21"/>
          <w:szCs w:val="21"/>
        </w:rPr>
      </w:pPr>
      <w:r>
        <w:rPr>
          <w:rFonts w:hint="eastAsia" w:hAnsi="仿宋"/>
          <w:sz w:val="21"/>
          <w:szCs w:val="21"/>
        </w:rPr>
        <w:t>16.1.1发包人违约的情形</w:t>
      </w:r>
    </w:p>
    <w:p w14:paraId="5A09DD04">
      <w:pPr>
        <w:spacing w:line="380" w:lineRule="exact"/>
        <w:ind w:left="1097" w:leftChars="188" w:hanging="420" w:hangingChars="200"/>
        <w:rPr>
          <w:rFonts w:hAnsi="仿宋"/>
          <w:kern w:val="0"/>
          <w:sz w:val="21"/>
          <w:szCs w:val="21"/>
        </w:rPr>
      </w:pPr>
      <w:r>
        <w:rPr>
          <w:rFonts w:hint="eastAsia" w:hAnsi="仿宋"/>
          <w:kern w:val="0"/>
          <w:sz w:val="21"/>
          <w:szCs w:val="21"/>
        </w:rPr>
        <w:t>发包人违约的其他情形：</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kern w:val="0"/>
          <w:sz w:val="21"/>
          <w:szCs w:val="21"/>
        </w:rPr>
        <w:t>。</w:t>
      </w:r>
    </w:p>
    <w:p w14:paraId="7CD9DE1E">
      <w:pPr>
        <w:spacing w:line="380" w:lineRule="exact"/>
        <w:ind w:left="1298" w:leftChars="188" w:hanging="621" w:hangingChars="296"/>
        <w:rPr>
          <w:rFonts w:hAnsi="仿宋"/>
          <w:kern w:val="0"/>
          <w:sz w:val="21"/>
          <w:szCs w:val="21"/>
        </w:rPr>
      </w:pPr>
      <w:r>
        <w:rPr>
          <w:rFonts w:hint="eastAsia" w:hAnsi="仿宋"/>
          <w:kern w:val="0"/>
          <w:sz w:val="21"/>
          <w:szCs w:val="21"/>
        </w:rPr>
        <w:t>16.1.2发包人违约的责任</w:t>
      </w:r>
    </w:p>
    <w:p w14:paraId="1F0BFC8E">
      <w:pPr>
        <w:spacing w:line="380" w:lineRule="exact"/>
        <w:ind w:firstLine="420" w:firstLineChars="200"/>
        <w:rPr>
          <w:rFonts w:hAnsi="仿宋"/>
          <w:kern w:val="0"/>
          <w:sz w:val="21"/>
          <w:szCs w:val="21"/>
        </w:rPr>
      </w:pPr>
      <w:r>
        <w:rPr>
          <w:rFonts w:hint="eastAsia" w:hAnsi="仿宋"/>
          <w:kern w:val="0"/>
          <w:sz w:val="21"/>
          <w:szCs w:val="21"/>
        </w:rPr>
        <w:t>发包人违约责任的承担方式和计算方法：</w:t>
      </w:r>
    </w:p>
    <w:p w14:paraId="00131A4A">
      <w:pPr>
        <w:spacing w:line="380" w:lineRule="exact"/>
        <w:ind w:firstLine="420" w:firstLineChars="200"/>
        <w:rPr>
          <w:rFonts w:hAnsi="仿宋"/>
          <w:kern w:val="0"/>
          <w:sz w:val="21"/>
          <w:szCs w:val="21"/>
          <w:u w:val="single"/>
        </w:rPr>
      </w:pPr>
      <w:r>
        <w:rPr>
          <w:rFonts w:hint="eastAsia" w:hAnsi="仿宋"/>
          <w:kern w:val="0"/>
          <w:sz w:val="21"/>
          <w:szCs w:val="21"/>
        </w:rPr>
        <w:t>（1）因发包人原因未能在计划开工日期前7天内下达开工通知的违约责任：</w:t>
      </w:r>
      <w:r>
        <w:rPr>
          <w:rFonts w:hint="eastAsia" w:hAnsi="仿宋"/>
          <w:kern w:val="0"/>
          <w:sz w:val="21"/>
          <w:szCs w:val="21"/>
          <w:u w:val="single"/>
        </w:rPr>
        <w:t>赔偿承包人相关损失；属于专用合同条款7.3.2条约定情形的，按该条款约定处理；</w:t>
      </w:r>
    </w:p>
    <w:p w14:paraId="29D1F44E">
      <w:pPr>
        <w:spacing w:line="380" w:lineRule="exact"/>
        <w:ind w:firstLine="420" w:firstLineChars="200"/>
        <w:rPr>
          <w:rFonts w:hAnsi="仿宋"/>
          <w:kern w:val="0"/>
          <w:sz w:val="21"/>
          <w:szCs w:val="21"/>
        </w:rPr>
      </w:pPr>
      <w:r>
        <w:rPr>
          <w:rFonts w:hint="eastAsia" w:hAnsi="仿宋"/>
          <w:kern w:val="0"/>
          <w:sz w:val="21"/>
          <w:szCs w:val="21"/>
        </w:rPr>
        <w:t>（2）因发包人原因未能按合同约定支付合同价款的违约责任：</w:t>
      </w:r>
      <w:r>
        <w:rPr>
          <w:rFonts w:hint="eastAsia" w:hAnsi="仿宋"/>
          <w:sz w:val="21"/>
          <w:szCs w:val="21"/>
          <w:u w:val="single"/>
        </w:rPr>
        <w:t>支付违约金，违约金为应付合同价款的利息；造成工期延误的顺延工期，并承担承包人的相应损失费用；</w:t>
      </w:r>
    </w:p>
    <w:p w14:paraId="423F87F8">
      <w:pPr>
        <w:spacing w:line="380" w:lineRule="exact"/>
        <w:ind w:firstLine="420" w:firstLineChars="200"/>
        <w:rPr>
          <w:rFonts w:hAnsi="仿宋"/>
          <w:kern w:val="0"/>
          <w:sz w:val="21"/>
          <w:szCs w:val="21"/>
        </w:rPr>
      </w:pPr>
      <w:r>
        <w:rPr>
          <w:rFonts w:hint="eastAsia" w:hAnsi="仿宋"/>
          <w:kern w:val="0"/>
          <w:sz w:val="21"/>
          <w:szCs w:val="21"/>
        </w:rPr>
        <w:t>（3）发包人违反第10.1款〔变更的范围〕第（2）项约定，自行实施被取消的工作或转由他人实施的违约责任：</w:t>
      </w:r>
      <w:r>
        <w:rPr>
          <w:rFonts w:hint="eastAsia" w:hAnsi="仿宋" w:eastAsiaTheme="minorEastAsia"/>
          <w:kern w:val="0"/>
          <w:sz w:val="21"/>
          <w:szCs w:val="21"/>
          <w:u w:val="single"/>
        </w:rPr>
        <w:t>/</w:t>
      </w:r>
      <w:r>
        <w:rPr>
          <w:rFonts w:hint="eastAsia" w:hAnsi="仿宋"/>
          <w:kern w:val="0"/>
          <w:sz w:val="21"/>
          <w:szCs w:val="21"/>
          <w:u w:val="single"/>
        </w:rPr>
        <w:t>；</w:t>
      </w:r>
    </w:p>
    <w:p w14:paraId="60BC97EF">
      <w:pPr>
        <w:spacing w:line="380" w:lineRule="exact"/>
        <w:ind w:firstLine="420" w:firstLineChars="200"/>
        <w:rPr>
          <w:rFonts w:hAnsi="仿宋"/>
          <w:kern w:val="0"/>
          <w:sz w:val="21"/>
          <w:szCs w:val="21"/>
        </w:rPr>
      </w:pPr>
      <w:r>
        <w:rPr>
          <w:rFonts w:hint="eastAsia" w:hAnsi="仿宋"/>
          <w:kern w:val="0"/>
          <w:sz w:val="21"/>
          <w:szCs w:val="21"/>
        </w:rPr>
        <w:t>（4）发包人提供的材料、工程设备的规格、数量或质量不符合合同约定，或因发包人原因导致交货日期延误或交货地点变更等情况的违约责任：</w:t>
      </w:r>
      <w:r>
        <w:rPr>
          <w:rFonts w:hint="eastAsia" w:hAnsi="仿宋"/>
          <w:sz w:val="21"/>
          <w:szCs w:val="21"/>
          <w:u w:val="single"/>
        </w:rPr>
        <w:t>造成工期延误的顺延工期，并承担增加的造价及承包人的相应损失费用等；</w:t>
      </w:r>
    </w:p>
    <w:p w14:paraId="4F93EA27">
      <w:pPr>
        <w:spacing w:line="380" w:lineRule="exact"/>
        <w:ind w:firstLine="420" w:firstLineChars="200"/>
        <w:rPr>
          <w:rFonts w:hAnsi="仿宋"/>
          <w:kern w:val="0"/>
          <w:sz w:val="21"/>
          <w:szCs w:val="21"/>
        </w:rPr>
      </w:pPr>
      <w:r>
        <w:rPr>
          <w:rFonts w:hint="eastAsia" w:hAnsi="仿宋"/>
          <w:kern w:val="0"/>
          <w:sz w:val="21"/>
          <w:szCs w:val="21"/>
        </w:rPr>
        <w:t>（5）因发包人违反合同约定造成暂停施工的违约责任：</w:t>
      </w:r>
      <w:r>
        <w:rPr>
          <w:rFonts w:hint="eastAsia" w:hAnsi="仿宋"/>
          <w:sz w:val="21"/>
          <w:szCs w:val="21"/>
          <w:u w:val="single"/>
        </w:rPr>
        <w:t>造成工期延误的顺延工期，并承担增加的造价及承包人的相应损失费用等。</w:t>
      </w:r>
    </w:p>
    <w:p w14:paraId="28DB30C5">
      <w:pPr>
        <w:spacing w:line="380" w:lineRule="exact"/>
        <w:ind w:firstLine="420" w:firstLineChars="200"/>
        <w:rPr>
          <w:rFonts w:hAnsi="仿宋"/>
          <w:kern w:val="0"/>
          <w:sz w:val="21"/>
          <w:szCs w:val="21"/>
        </w:rPr>
      </w:pPr>
      <w:r>
        <w:rPr>
          <w:rFonts w:hint="eastAsia" w:hAnsi="仿宋"/>
          <w:kern w:val="0"/>
          <w:sz w:val="21"/>
          <w:szCs w:val="21"/>
        </w:rPr>
        <w:t>（6）发包人无正当理由没有在约定期限内发出复工指示，导致承包人无法复工的违约责任：</w:t>
      </w:r>
      <w:r>
        <w:rPr>
          <w:rFonts w:hint="eastAsia" w:hAnsi="仿宋"/>
          <w:sz w:val="21"/>
          <w:szCs w:val="21"/>
          <w:u w:val="single"/>
        </w:rPr>
        <w:t>造成工期延误的顺延工期，并承担增加的造价及承包人的相应损失费用等。</w:t>
      </w:r>
    </w:p>
    <w:p w14:paraId="1E3939B1">
      <w:pPr>
        <w:spacing w:line="380" w:lineRule="exact"/>
        <w:ind w:firstLine="420" w:firstLineChars="200"/>
        <w:rPr>
          <w:rFonts w:hAnsi="仿宋"/>
          <w:kern w:val="0"/>
          <w:sz w:val="21"/>
          <w:szCs w:val="21"/>
        </w:rPr>
      </w:pPr>
      <w:r>
        <w:rPr>
          <w:rFonts w:hint="eastAsia" w:hAnsi="仿宋"/>
          <w:kern w:val="0"/>
          <w:sz w:val="21"/>
          <w:szCs w:val="21"/>
        </w:rPr>
        <w:t>（7）其他：。</w:t>
      </w:r>
    </w:p>
    <w:p w14:paraId="5E759C98">
      <w:pPr>
        <w:spacing w:line="380" w:lineRule="exact"/>
        <w:ind w:firstLine="420" w:firstLineChars="200"/>
        <w:rPr>
          <w:rFonts w:hAnsi="仿宋"/>
          <w:sz w:val="21"/>
          <w:szCs w:val="21"/>
        </w:rPr>
      </w:pPr>
      <w:r>
        <w:rPr>
          <w:rFonts w:hint="eastAsia" w:hAnsi="仿宋"/>
          <w:sz w:val="21"/>
          <w:szCs w:val="21"/>
        </w:rPr>
        <w:t>16.1.3因发包人违约解除合同</w:t>
      </w:r>
    </w:p>
    <w:p w14:paraId="7C31D3FC">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承包人按16.1.1项〔发包人违约的情形〕约定暂停施工满</w:t>
      </w:r>
      <w:r>
        <w:rPr>
          <w:rFonts w:hint="eastAsia" w:hAnsi="仿宋" w:eastAsia="宋体"/>
          <w:kern w:val="0"/>
          <w:sz w:val="21"/>
          <w:szCs w:val="21"/>
          <w:u w:val="single"/>
        </w:rPr>
        <w:t>30</w:t>
      </w:r>
      <w:r>
        <w:rPr>
          <w:rFonts w:hint="eastAsia" w:hAnsi="仿宋"/>
          <w:kern w:val="0"/>
          <w:sz w:val="21"/>
          <w:szCs w:val="21"/>
        </w:rPr>
        <w:t>天后发包人仍不纠正其违约行为并致使合同目的不能实现的，承包人有权解除合同。</w:t>
      </w:r>
    </w:p>
    <w:p w14:paraId="69A84C87">
      <w:pPr>
        <w:spacing w:line="380" w:lineRule="exact"/>
        <w:ind w:firstLine="420" w:firstLineChars="200"/>
        <w:rPr>
          <w:rFonts w:hAnsi="仿宋"/>
          <w:sz w:val="21"/>
          <w:szCs w:val="21"/>
        </w:rPr>
      </w:pPr>
      <w:r>
        <w:rPr>
          <w:rFonts w:hint="eastAsia" w:hAnsi="仿宋"/>
          <w:sz w:val="21"/>
          <w:szCs w:val="21"/>
        </w:rPr>
        <w:t>16.2 承包人违约</w:t>
      </w:r>
    </w:p>
    <w:p w14:paraId="2699B07B">
      <w:pPr>
        <w:spacing w:line="380" w:lineRule="exact"/>
        <w:ind w:firstLine="420" w:firstLineChars="200"/>
        <w:rPr>
          <w:rFonts w:hAnsi="仿宋"/>
          <w:kern w:val="0"/>
          <w:sz w:val="21"/>
          <w:szCs w:val="21"/>
        </w:rPr>
      </w:pPr>
      <w:r>
        <w:rPr>
          <w:rFonts w:hint="eastAsia" w:hAnsi="仿宋"/>
          <w:kern w:val="0"/>
          <w:sz w:val="21"/>
          <w:szCs w:val="21"/>
        </w:rPr>
        <w:t>16.2.1承包人违约的情形</w:t>
      </w:r>
    </w:p>
    <w:p w14:paraId="43E8DAB4">
      <w:pPr>
        <w:spacing w:line="380" w:lineRule="exact"/>
        <w:ind w:firstLine="420" w:firstLineChars="200"/>
        <w:rPr>
          <w:rFonts w:hAnsi="仿宋"/>
          <w:kern w:val="0"/>
          <w:sz w:val="21"/>
          <w:szCs w:val="21"/>
          <w:u w:val="single"/>
        </w:rPr>
      </w:pPr>
      <w:r>
        <w:rPr>
          <w:rFonts w:hint="eastAsia" w:hAnsi="仿宋"/>
          <w:kern w:val="0"/>
          <w:sz w:val="21"/>
          <w:szCs w:val="21"/>
        </w:rPr>
        <w:t>承包人违约的其他情形：</w:t>
      </w:r>
    </w:p>
    <w:p w14:paraId="65C1CBE2">
      <w:pPr>
        <w:spacing w:line="380" w:lineRule="exact"/>
        <w:ind w:firstLine="420" w:firstLineChars="200"/>
        <w:rPr>
          <w:rFonts w:hAnsi="仿宋"/>
          <w:sz w:val="21"/>
          <w:szCs w:val="21"/>
          <w:u w:val="single"/>
        </w:rPr>
      </w:pPr>
      <w:r>
        <w:rPr>
          <w:rFonts w:hint="eastAsia" w:hAnsi="仿宋"/>
          <w:kern w:val="0"/>
          <w:sz w:val="21"/>
          <w:szCs w:val="21"/>
        </w:rPr>
        <w:t>（1）</w:t>
      </w:r>
      <w:r>
        <w:rPr>
          <w:rFonts w:hint="eastAsia" w:hAnsi="仿宋"/>
          <w:sz w:val="21"/>
          <w:szCs w:val="21"/>
          <w:u w:val="single"/>
        </w:rPr>
        <w:t>机械设备、施工项目班子未按投标承诺及时到位；</w:t>
      </w:r>
    </w:p>
    <w:p w14:paraId="52795D4A">
      <w:pPr>
        <w:spacing w:line="380" w:lineRule="exact"/>
        <w:ind w:firstLine="420" w:firstLineChars="200"/>
        <w:rPr>
          <w:rFonts w:hAnsi="仿宋"/>
          <w:sz w:val="21"/>
          <w:szCs w:val="21"/>
          <w:u w:val="single"/>
        </w:rPr>
      </w:pPr>
      <w:r>
        <w:rPr>
          <w:rFonts w:hint="eastAsia" w:hAnsi="仿宋"/>
          <w:sz w:val="21"/>
          <w:szCs w:val="21"/>
        </w:rPr>
        <w:t>（2）</w:t>
      </w:r>
      <w:r>
        <w:rPr>
          <w:rFonts w:hint="eastAsia" w:hAnsi="仿宋"/>
          <w:sz w:val="21"/>
          <w:szCs w:val="21"/>
          <w:u w:val="single"/>
        </w:rPr>
        <w:t>本工程在实施过程中，承包人的施工队伍素质、施工力量、现场安全文明施工不符合投标书的承诺，造成现场管理混乱、工程质量和进度达不到投标所承诺的要求；</w:t>
      </w:r>
    </w:p>
    <w:p w14:paraId="7AD4D898">
      <w:pPr>
        <w:spacing w:line="380" w:lineRule="exact"/>
        <w:ind w:firstLine="420" w:firstLineChars="200"/>
        <w:rPr>
          <w:rFonts w:hAnsi="仿宋"/>
          <w:kern w:val="0"/>
          <w:sz w:val="21"/>
          <w:szCs w:val="21"/>
        </w:rPr>
      </w:pPr>
      <w:r>
        <w:rPr>
          <w:rFonts w:hint="eastAsia" w:hAnsi="仿宋"/>
          <w:sz w:val="21"/>
          <w:szCs w:val="21"/>
        </w:rPr>
        <w:t>（3）</w:t>
      </w:r>
      <w:r>
        <w:rPr>
          <w:rFonts w:hint="eastAsia" w:hAnsi="仿宋"/>
          <w:sz w:val="21"/>
          <w:szCs w:val="21"/>
          <w:u w:val="single"/>
        </w:rPr>
        <w:t>承包人允许其他人挂靠经营、私自转包</w:t>
      </w:r>
      <w:r>
        <w:rPr>
          <w:rFonts w:hint="eastAsia" w:hAnsi="仿宋"/>
          <w:kern w:val="0"/>
          <w:sz w:val="21"/>
          <w:szCs w:val="21"/>
        </w:rPr>
        <w:t>；</w:t>
      </w:r>
    </w:p>
    <w:p w14:paraId="32083683">
      <w:pPr>
        <w:spacing w:line="380" w:lineRule="exact"/>
        <w:ind w:firstLine="420" w:firstLineChars="200"/>
        <w:rPr>
          <w:rFonts w:hAnsi="仿宋"/>
          <w:kern w:val="0"/>
          <w:sz w:val="21"/>
          <w:szCs w:val="21"/>
          <w:u w:val="single"/>
        </w:rPr>
      </w:pPr>
      <w:r>
        <w:rPr>
          <w:rFonts w:hint="eastAsia" w:hAnsi="仿宋"/>
          <w:kern w:val="0"/>
          <w:sz w:val="21"/>
          <w:szCs w:val="21"/>
        </w:rPr>
        <w:t>（4）</w:t>
      </w:r>
      <w:r>
        <w:rPr>
          <w:rFonts w:hint="eastAsia" w:hAnsi="仿宋"/>
          <w:kern w:val="0"/>
          <w:sz w:val="21"/>
          <w:szCs w:val="21"/>
          <w:u w:val="single"/>
        </w:rPr>
        <w:t>承包人未达到投标时所承诺的诚信、技术标准及创优、创标化工程目标。</w:t>
      </w:r>
    </w:p>
    <w:p w14:paraId="09EB802E">
      <w:pPr>
        <w:spacing w:line="380" w:lineRule="exact"/>
        <w:ind w:firstLine="420" w:firstLineChars="200"/>
        <w:rPr>
          <w:rFonts w:hAnsi="仿宋"/>
          <w:kern w:val="0"/>
          <w:sz w:val="21"/>
          <w:szCs w:val="21"/>
        </w:rPr>
      </w:pPr>
      <w:r>
        <w:rPr>
          <w:rFonts w:hint="eastAsia" w:hAnsi="仿宋"/>
          <w:kern w:val="0"/>
          <w:sz w:val="21"/>
          <w:szCs w:val="21"/>
        </w:rPr>
        <w:t>16.2.2承包人违约的责任</w:t>
      </w:r>
    </w:p>
    <w:p w14:paraId="48FBF98B">
      <w:pPr>
        <w:spacing w:line="380" w:lineRule="exact"/>
        <w:ind w:firstLine="420" w:firstLineChars="200"/>
        <w:rPr>
          <w:rFonts w:hAnsi="仿宋"/>
          <w:kern w:val="0"/>
          <w:sz w:val="21"/>
          <w:szCs w:val="21"/>
        </w:rPr>
      </w:pPr>
      <w:r>
        <w:rPr>
          <w:rFonts w:hint="eastAsia" w:hAnsi="仿宋"/>
          <w:kern w:val="0"/>
          <w:sz w:val="21"/>
          <w:szCs w:val="21"/>
        </w:rPr>
        <w:t>承包人违约责任的承担方式和计算方法：</w:t>
      </w:r>
    </w:p>
    <w:p w14:paraId="51CCA71A">
      <w:pPr>
        <w:spacing w:line="380" w:lineRule="exact"/>
        <w:ind w:firstLine="420" w:firstLineChars="200"/>
        <w:rPr>
          <w:rFonts w:hAnsi="仿宋"/>
          <w:sz w:val="21"/>
          <w:szCs w:val="21"/>
          <w:u w:val="single"/>
        </w:rPr>
      </w:pPr>
      <w:r>
        <w:rPr>
          <w:rFonts w:hint="eastAsia" w:hAnsi="仿宋"/>
          <w:kern w:val="0"/>
          <w:sz w:val="21"/>
          <w:szCs w:val="21"/>
        </w:rPr>
        <w:t>（1）</w:t>
      </w:r>
      <w:r>
        <w:rPr>
          <w:rFonts w:hint="eastAsia" w:hAnsi="仿宋"/>
          <w:kern w:val="0"/>
          <w:sz w:val="21"/>
          <w:szCs w:val="21"/>
          <w:u w:val="single"/>
        </w:rPr>
        <w:t>机械设备未按投标承诺到位，每项扣除</w:t>
      </w:r>
      <w:r>
        <w:rPr>
          <w:rFonts w:hint="eastAsia" w:hAnsi="仿宋" w:eastAsiaTheme="minorEastAsia"/>
          <w:kern w:val="0"/>
          <w:sz w:val="21"/>
          <w:szCs w:val="21"/>
          <w:u w:val="single"/>
        </w:rPr>
        <w:t>1</w:t>
      </w:r>
      <w:r>
        <w:rPr>
          <w:rFonts w:hAnsi="仿宋" w:eastAsiaTheme="minorEastAsia"/>
          <w:kern w:val="0"/>
          <w:sz w:val="21"/>
          <w:szCs w:val="21"/>
          <w:u w:val="single"/>
        </w:rPr>
        <w:t>000元</w:t>
      </w:r>
      <w:r>
        <w:rPr>
          <w:rFonts w:hint="eastAsia" w:hAnsi="仿宋"/>
          <w:kern w:val="0"/>
          <w:sz w:val="21"/>
          <w:szCs w:val="21"/>
          <w:u w:val="single"/>
        </w:rPr>
        <w:t>；</w:t>
      </w:r>
    </w:p>
    <w:p w14:paraId="34185420">
      <w:pPr>
        <w:spacing w:line="380" w:lineRule="exact"/>
        <w:ind w:firstLine="420" w:firstLineChars="200"/>
        <w:rPr>
          <w:rFonts w:hAnsi="仿宋"/>
          <w:sz w:val="21"/>
          <w:szCs w:val="21"/>
          <w:u w:val="single"/>
        </w:rPr>
      </w:pPr>
      <w:r>
        <w:rPr>
          <w:rFonts w:hint="eastAsia" w:hAnsi="仿宋"/>
          <w:kern w:val="0"/>
          <w:sz w:val="21"/>
          <w:szCs w:val="21"/>
        </w:rPr>
        <w:t>（2）</w:t>
      </w:r>
      <w:r>
        <w:rPr>
          <w:rFonts w:hint="eastAsia" w:hAnsi="仿宋"/>
          <w:sz w:val="21"/>
          <w:szCs w:val="21"/>
          <w:u w:val="single"/>
        </w:rPr>
        <w:t>现场安全文明施工不符合投标书承诺，扣减相应安全文明施工费用；</w:t>
      </w:r>
      <w:r>
        <w:rPr>
          <w:rFonts w:hint="eastAsia" w:hAnsi="仿宋"/>
          <w:kern w:val="0"/>
          <w:sz w:val="21"/>
          <w:szCs w:val="21"/>
          <w:u w:val="single"/>
        </w:rPr>
        <w:t>承包人原因造成现场管理混乱、</w:t>
      </w:r>
      <w:r>
        <w:rPr>
          <w:rFonts w:hint="eastAsia" w:hAnsi="仿宋"/>
          <w:sz w:val="21"/>
          <w:szCs w:val="21"/>
          <w:u w:val="single"/>
        </w:rPr>
        <w:t>工程质量和进度达不到投标承诺的要求，发包人有权要求承包人调整充实施工力量、更换项目班子，及至解除施工合同，并赔偿发包人损失。</w:t>
      </w:r>
    </w:p>
    <w:p w14:paraId="46FB06D6">
      <w:pPr>
        <w:spacing w:line="380" w:lineRule="exact"/>
        <w:ind w:firstLine="420" w:firstLineChars="200"/>
        <w:rPr>
          <w:rFonts w:hAnsi="仿宋"/>
          <w:sz w:val="21"/>
          <w:szCs w:val="21"/>
          <w:u w:val="single"/>
        </w:rPr>
      </w:pPr>
      <w:r>
        <w:rPr>
          <w:rFonts w:hint="eastAsia" w:hAnsi="仿宋"/>
          <w:kern w:val="0"/>
          <w:sz w:val="21"/>
          <w:szCs w:val="21"/>
        </w:rPr>
        <w:t>（3）</w:t>
      </w:r>
      <w:r>
        <w:rPr>
          <w:rFonts w:hint="eastAsia" w:hAnsi="仿宋"/>
          <w:sz w:val="21"/>
          <w:szCs w:val="21"/>
          <w:u w:val="single"/>
        </w:rPr>
        <w:t>发现承包人允许其他人挂靠经营、私自转包，同时赔偿发包人损失，并责令退出工地。</w:t>
      </w:r>
    </w:p>
    <w:p w14:paraId="7B3A89C3">
      <w:pPr>
        <w:spacing w:line="380" w:lineRule="exact"/>
        <w:ind w:firstLine="420" w:firstLineChars="200"/>
        <w:rPr>
          <w:rFonts w:hAnsi="仿宋"/>
          <w:sz w:val="21"/>
          <w:szCs w:val="21"/>
          <w:u w:val="single"/>
        </w:rPr>
      </w:pPr>
      <w:r>
        <w:rPr>
          <w:rFonts w:hint="eastAsia" w:hAnsi="仿宋"/>
          <w:kern w:val="0"/>
          <w:sz w:val="21"/>
          <w:szCs w:val="21"/>
        </w:rPr>
        <w:t>（4）</w:t>
      </w:r>
      <w:r>
        <w:rPr>
          <w:rFonts w:hint="eastAsia" w:hAnsi="仿宋"/>
          <w:kern w:val="0"/>
          <w:sz w:val="21"/>
          <w:szCs w:val="21"/>
          <w:u w:val="single"/>
        </w:rPr>
        <w:t>未达到投标所承诺的诚信、技术标准，按每一项扣减</w:t>
      </w:r>
      <w:r>
        <w:rPr>
          <w:rFonts w:hint="eastAsia" w:hAnsi="仿宋" w:eastAsiaTheme="minorEastAsia"/>
          <w:kern w:val="0"/>
          <w:sz w:val="21"/>
          <w:szCs w:val="21"/>
          <w:u w:val="single"/>
        </w:rPr>
        <w:t>1</w:t>
      </w:r>
      <w:r>
        <w:rPr>
          <w:rFonts w:hAnsi="仿宋" w:eastAsiaTheme="minorEastAsia"/>
          <w:kern w:val="0"/>
          <w:sz w:val="21"/>
          <w:szCs w:val="21"/>
          <w:u w:val="single"/>
        </w:rPr>
        <w:t>000元</w:t>
      </w:r>
      <w:r>
        <w:rPr>
          <w:rFonts w:hint="eastAsia" w:hAnsi="仿宋"/>
          <w:kern w:val="0"/>
          <w:sz w:val="21"/>
          <w:szCs w:val="21"/>
          <w:u w:val="single"/>
        </w:rPr>
        <w:t>。</w:t>
      </w:r>
    </w:p>
    <w:p w14:paraId="7173FAAD">
      <w:pPr>
        <w:spacing w:line="380" w:lineRule="exact"/>
        <w:ind w:firstLine="420" w:firstLineChars="200"/>
        <w:rPr>
          <w:rFonts w:hAnsi="仿宋"/>
          <w:sz w:val="21"/>
          <w:szCs w:val="21"/>
          <w:u w:val="single"/>
        </w:rPr>
      </w:pPr>
      <w:r>
        <w:rPr>
          <w:rFonts w:hint="eastAsia" w:hAnsi="仿宋"/>
          <w:sz w:val="21"/>
          <w:szCs w:val="21"/>
        </w:rPr>
        <w:t>（5）</w:t>
      </w:r>
      <w:r>
        <w:rPr>
          <w:rFonts w:hint="eastAsia" w:hAnsi="仿宋"/>
          <w:sz w:val="21"/>
          <w:szCs w:val="21"/>
          <w:u w:val="single"/>
        </w:rPr>
        <w:t>承包人原因导致的工程延误，工期不予顺延，由工期延误引起人工、材料价格上涨由承包人承担，按原合同约定价格结算；价格下降归发包人受益，按下降后价格结算。工期顺延对发包人造成损失的，赔偿发包人相应损失；当施工工期超过合同工期〔</w:t>
      </w:r>
      <w:r>
        <w:rPr>
          <w:rFonts w:hint="eastAsia" w:hAnsi="仿宋" w:eastAsiaTheme="minorEastAsia"/>
          <w:sz w:val="21"/>
          <w:szCs w:val="21"/>
          <w:u w:val="single"/>
        </w:rPr>
        <w:t>5</w:t>
      </w:r>
      <w:r>
        <w:rPr>
          <w:rFonts w:hAnsi="仿宋" w:eastAsiaTheme="minorEastAsia"/>
          <w:sz w:val="21"/>
          <w:szCs w:val="21"/>
          <w:u w:val="single"/>
        </w:rPr>
        <w:t>0%</w:t>
      </w:r>
      <w:r>
        <w:rPr>
          <w:rFonts w:hint="eastAsia" w:hAnsi="仿宋"/>
          <w:sz w:val="21"/>
          <w:szCs w:val="21"/>
          <w:u w:val="single"/>
        </w:rPr>
        <w:t>〕以上时，可解除施工合同。</w:t>
      </w:r>
    </w:p>
    <w:p w14:paraId="0B0C33FB">
      <w:pPr>
        <w:spacing w:line="380" w:lineRule="exact"/>
        <w:ind w:firstLine="420" w:firstLineChars="200"/>
        <w:rPr>
          <w:rFonts w:hAnsi="仿宋"/>
          <w:kern w:val="0"/>
          <w:sz w:val="21"/>
          <w:szCs w:val="21"/>
          <w:u w:val="single"/>
        </w:rPr>
      </w:pPr>
      <w:r>
        <w:rPr>
          <w:rFonts w:hint="eastAsia" w:hAnsi="仿宋"/>
          <w:sz w:val="21"/>
          <w:szCs w:val="21"/>
        </w:rPr>
        <w:t>（6）</w:t>
      </w:r>
      <w:r>
        <w:rPr>
          <w:rFonts w:hint="eastAsia" w:hAnsi="仿宋"/>
          <w:sz w:val="21"/>
          <w:szCs w:val="21"/>
          <w:u w:val="single"/>
        </w:rPr>
        <w:t>承包人无法继续履行、明确表示不履行或实质上已停止履行合同，发包人可通知承包人全部解除合同，同时赔偿发包人损失。</w:t>
      </w:r>
    </w:p>
    <w:p w14:paraId="10A174F1">
      <w:pPr>
        <w:spacing w:line="380" w:lineRule="exact"/>
        <w:ind w:firstLine="420" w:firstLineChars="200"/>
        <w:rPr>
          <w:rFonts w:hAnsi="仿宋"/>
          <w:sz w:val="21"/>
          <w:szCs w:val="21"/>
        </w:rPr>
      </w:pPr>
      <w:r>
        <w:rPr>
          <w:rFonts w:hint="eastAsia" w:hAnsi="仿宋"/>
          <w:sz w:val="21"/>
          <w:szCs w:val="21"/>
        </w:rPr>
        <w:t>16.2.3因承包人违约解除合同</w:t>
      </w:r>
    </w:p>
    <w:p w14:paraId="62512856">
      <w:pPr>
        <w:autoSpaceDE w:val="0"/>
        <w:autoSpaceDN w:val="0"/>
        <w:spacing w:line="380" w:lineRule="exact"/>
        <w:ind w:firstLine="420" w:firstLineChars="200"/>
        <w:rPr>
          <w:rFonts w:hAnsi="仿宋"/>
          <w:kern w:val="0"/>
          <w:sz w:val="21"/>
          <w:szCs w:val="21"/>
          <w:u w:val="single"/>
        </w:rPr>
      </w:pPr>
      <w:r>
        <w:rPr>
          <w:rFonts w:hint="eastAsia" w:hAnsi="仿宋"/>
          <w:kern w:val="0"/>
          <w:sz w:val="21"/>
          <w:szCs w:val="21"/>
        </w:rPr>
        <w:t>关于承包人违约解除合同的特别约定：</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kern w:val="0"/>
          <w:sz w:val="21"/>
          <w:szCs w:val="21"/>
          <w:u w:val="single"/>
        </w:rPr>
        <w:t>。</w:t>
      </w:r>
    </w:p>
    <w:p w14:paraId="0A692C6E">
      <w:pPr>
        <w:spacing w:line="380" w:lineRule="exact"/>
        <w:ind w:firstLine="420" w:firstLineChars="200"/>
        <w:rPr>
          <w:rFonts w:hAnsi="仿宋"/>
          <w:kern w:val="0"/>
          <w:sz w:val="21"/>
          <w:szCs w:val="21"/>
        </w:rPr>
      </w:pPr>
      <w:r>
        <w:rPr>
          <w:rFonts w:hint="eastAsia" w:hAnsi="仿宋"/>
          <w:kern w:val="0"/>
          <w:sz w:val="21"/>
          <w:szCs w:val="21"/>
        </w:rPr>
        <w:t>发包人继续使用承包人在施工现场的材料、设备、临时工程、承包人文件和由承包人或以其名义编制的其他文件的费用承担方式：</w:t>
      </w:r>
      <w:r>
        <w:rPr>
          <w:rFonts w:hint="eastAsia" w:hAnsi="仿宋"/>
          <w:kern w:val="0"/>
          <w:sz w:val="21"/>
          <w:szCs w:val="21"/>
          <w:u w:val="single"/>
        </w:rPr>
        <w:t>使用施工现场的材料、设备按实结算，使用施工机械、器具按租赁费结算，临时工程折算成费用按完成造价比例计算，无偿使用承包人为本工程施工所编制的相应文件等</w:t>
      </w:r>
      <w:r>
        <w:rPr>
          <w:rFonts w:hint="eastAsia" w:hAnsi="仿宋"/>
          <w:kern w:val="0"/>
          <w:sz w:val="21"/>
          <w:szCs w:val="21"/>
        </w:rPr>
        <w:t>。</w:t>
      </w:r>
    </w:p>
    <w:p w14:paraId="1CCA4FCF">
      <w:pPr>
        <w:spacing w:line="380" w:lineRule="exact"/>
        <w:ind w:firstLine="420" w:firstLineChars="200"/>
        <w:rPr>
          <w:rFonts w:hAnsi="仿宋"/>
          <w:kern w:val="0"/>
          <w:sz w:val="21"/>
          <w:szCs w:val="21"/>
        </w:rPr>
      </w:pPr>
      <w:r>
        <w:rPr>
          <w:rFonts w:hint="eastAsia" w:hAnsi="仿宋"/>
          <w:kern w:val="0"/>
          <w:sz w:val="21"/>
          <w:szCs w:val="21"/>
        </w:rPr>
        <w:t>16.2.4因承包人违约解除合同后的处理</w:t>
      </w:r>
    </w:p>
    <w:p w14:paraId="0CCECC81">
      <w:pPr>
        <w:pStyle w:val="8"/>
        <w:keepNext w:val="0"/>
        <w:keepLines w:val="0"/>
        <w:spacing w:before="0" w:after="0" w:line="380" w:lineRule="exact"/>
        <w:rPr>
          <w:rFonts w:ascii="黑体" w:hAnsi="黑体"/>
          <w:b w:val="0"/>
          <w:sz w:val="21"/>
          <w:szCs w:val="21"/>
        </w:rPr>
      </w:pPr>
      <w:bookmarkStart w:id="517" w:name="_Toc351203649"/>
      <w:r>
        <w:rPr>
          <w:rFonts w:hint="eastAsia" w:ascii="黑体" w:hAnsi="黑体"/>
          <w:b w:val="0"/>
          <w:sz w:val="21"/>
          <w:szCs w:val="21"/>
        </w:rPr>
        <w:t>17．不可抗力</w:t>
      </w:r>
      <w:bookmarkEnd w:id="515"/>
      <w:bookmarkEnd w:id="517"/>
    </w:p>
    <w:p w14:paraId="4386EF5D">
      <w:pPr>
        <w:spacing w:line="380" w:lineRule="exact"/>
        <w:ind w:firstLine="420" w:firstLineChars="200"/>
        <w:rPr>
          <w:rFonts w:hAnsi="仿宋"/>
          <w:sz w:val="21"/>
          <w:szCs w:val="21"/>
        </w:rPr>
      </w:pPr>
      <w:r>
        <w:rPr>
          <w:rFonts w:hint="eastAsia" w:hAnsi="仿宋"/>
          <w:sz w:val="21"/>
          <w:szCs w:val="21"/>
        </w:rPr>
        <w:t>17.1 不可抗力的确认</w:t>
      </w:r>
    </w:p>
    <w:p w14:paraId="7C44C783">
      <w:pPr>
        <w:spacing w:line="380" w:lineRule="exact"/>
        <w:ind w:firstLine="420" w:firstLineChars="200"/>
        <w:rPr>
          <w:rFonts w:hAnsi="仿宋"/>
          <w:kern w:val="0"/>
          <w:sz w:val="21"/>
          <w:szCs w:val="21"/>
        </w:rPr>
      </w:pPr>
      <w:r>
        <w:rPr>
          <w:rFonts w:hint="eastAsia" w:hAnsi="仿宋"/>
          <w:sz w:val="21"/>
          <w:szCs w:val="21"/>
        </w:rPr>
        <w:t>除通用合同条款约定的不可抗力事件之外，视为不可抗力的其他情形：</w:t>
      </w:r>
      <w:r>
        <w:rPr>
          <w:rFonts w:hint="eastAsia" w:hAnsi="仿宋"/>
          <w:kern w:val="0"/>
          <w:sz w:val="21"/>
          <w:szCs w:val="21"/>
          <w:u w:val="single"/>
        </w:rPr>
        <w:t xml:space="preserve"> 10级（不含10级）以上台风、10年一遇洪水、暴风雪、干旱，罢工、政府禁令</w:t>
      </w:r>
      <w:r>
        <w:rPr>
          <w:rFonts w:hint="eastAsia" w:hAnsi="仿宋"/>
          <w:kern w:val="0"/>
          <w:sz w:val="21"/>
          <w:szCs w:val="21"/>
        </w:rPr>
        <w:t>。</w:t>
      </w:r>
    </w:p>
    <w:p w14:paraId="0EFD0305">
      <w:pPr>
        <w:spacing w:line="380" w:lineRule="exact"/>
        <w:ind w:firstLine="420" w:firstLineChars="200"/>
        <w:rPr>
          <w:rFonts w:hAnsi="仿宋"/>
          <w:kern w:val="0"/>
          <w:sz w:val="21"/>
          <w:szCs w:val="21"/>
        </w:rPr>
      </w:pPr>
      <w:r>
        <w:rPr>
          <w:rFonts w:hint="eastAsia" w:hAnsi="仿宋"/>
          <w:kern w:val="0"/>
          <w:sz w:val="21"/>
          <w:szCs w:val="21"/>
        </w:rPr>
        <w:t>17.2 不可抗力的通知</w:t>
      </w:r>
    </w:p>
    <w:p w14:paraId="04D14513">
      <w:pPr>
        <w:spacing w:line="380" w:lineRule="exact"/>
        <w:ind w:firstLine="420" w:firstLineChars="200"/>
        <w:rPr>
          <w:rFonts w:hAnsi="仿宋"/>
          <w:kern w:val="0"/>
          <w:sz w:val="21"/>
          <w:szCs w:val="21"/>
          <w:u w:val="single"/>
        </w:rPr>
      </w:pPr>
      <w:r>
        <w:rPr>
          <w:rFonts w:hint="eastAsia" w:hAnsi="仿宋"/>
          <w:kern w:val="0"/>
          <w:sz w:val="21"/>
          <w:szCs w:val="21"/>
          <w:u w:val="single"/>
        </w:rPr>
        <w:t>按通用条款；另在遭遇不可抗力事件时，为避免不可抗力事件造成更大的损失，承包人采取合理的措施而增加的费用由发包人承担，在向发包人和监理人报告不可抗力事件时一并提交所采取的合理措施内容。</w:t>
      </w:r>
    </w:p>
    <w:p w14:paraId="77AF3616">
      <w:pPr>
        <w:spacing w:line="380" w:lineRule="exact"/>
        <w:ind w:firstLine="420" w:firstLineChars="200"/>
        <w:rPr>
          <w:rFonts w:hAnsi="仿宋"/>
          <w:kern w:val="0"/>
          <w:sz w:val="21"/>
          <w:szCs w:val="21"/>
        </w:rPr>
      </w:pPr>
      <w:r>
        <w:rPr>
          <w:rFonts w:hint="eastAsia" w:hAnsi="仿宋"/>
          <w:kern w:val="0"/>
          <w:sz w:val="21"/>
          <w:szCs w:val="21"/>
        </w:rPr>
        <w:t>17.3 不可抗力后果的承担</w:t>
      </w:r>
    </w:p>
    <w:p w14:paraId="363E73BF">
      <w:pPr>
        <w:spacing w:line="380" w:lineRule="exact"/>
        <w:ind w:firstLine="420" w:firstLineChars="200"/>
        <w:rPr>
          <w:rFonts w:hAnsi="仿宋"/>
          <w:kern w:val="0"/>
          <w:sz w:val="21"/>
          <w:szCs w:val="21"/>
          <w:u w:val="single"/>
        </w:rPr>
      </w:pPr>
      <w:r>
        <w:rPr>
          <w:rFonts w:hint="eastAsia" w:hAnsi="仿宋"/>
          <w:kern w:val="0"/>
          <w:sz w:val="21"/>
          <w:szCs w:val="21"/>
          <w:u w:val="single"/>
        </w:rPr>
        <w:t>按通用条款。</w:t>
      </w:r>
    </w:p>
    <w:p w14:paraId="659417F6">
      <w:pPr>
        <w:spacing w:line="380" w:lineRule="exact"/>
        <w:ind w:firstLine="420" w:firstLineChars="200"/>
        <w:rPr>
          <w:rFonts w:hAnsi="仿宋"/>
          <w:sz w:val="21"/>
          <w:szCs w:val="21"/>
        </w:rPr>
      </w:pPr>
      <w:r>
        <w:rPr>
          <w:rFonts w:hint="eastAsia" w:hAnsi="仿宋"/>
          <w:sz w:val="21"/>
          <w:szCs w:val="21"/>
        </w:rPr>
        <w:t>17.4 因不可抗力解除合同</w:t>
      </w:r>
    </w:p>
    <w:p w14:paraId="05AA91F9">
      <w:pPr>
        <w:spacing w:line="380" w:lineRule="exact"/>
        <w:ind w:firstLine="420" w:firstLineChars="200"/>
        <w:rPr>
          <w:rFonts w:hAnsi="仿宋"/>
          <w:sz w:val="21"/>
          <w:szCs w:val="21"/>
        </w:rPr>
      </w:pPr>
      <w:r>
        <w:rPr>
          <w:rFonts w:hint="eastAsia" w:hAnsi="仿宋"/>
          <w:sz w:val="21"/>
          <w:szCs w:val="21"/>
        </w:rPr>
        <w:t>合同解除后，发包人应在商定或确定发包人应支付款项后天内完成款项的支付。</w:t>
      </w:r>
    </w:p>
    <w:p w14:paraId="272A35D1">
      <w:pPr>
        <w:pStyle w:val="8"/>
        <w:keepNext w:val="0"/>
        <w:keepLines w:val="0"/>
        <w:spacing w:before="0" w:after="0" w:line="380" w:lineRule="exact"/>
        <w:rPr>
          <w:rFonts w:ascii="黑体" w:hAnsi="黑体"/>
          <w:b w:val="0"/>
          <w:sz w:val="21"/>
          <w:szCs w:val="21"/>
        </w:rPr>
      </w:pPr>
      <w:bookmarkStart w:id="518" w:name="_Toc351203650"/>
      <w:r>
        <w:rPr>
          <w:rFonts w:hint="eastAsia" w:ascii="黑体" w:hAnsi="黑体"/>
          <w:b w:val="0"/>
          <w:sz w:val="21"/>
          <w:szCs w:val="21"/>
        </w:rPr>
        <w:t>18．保险</w:t>
      </w:r>
      <w:bookmarkEnd w:id="518"/>
    </w:p>
    <w:bookmarkEnd w:id="516"/>
    <w:p w14:paraId="23BF6850">
      <w:pPr>
        <w:spacing w:line="380" w:lineRule="exact"/>
        <w:ind w:firstLine="420" w:firstLineChars="200"/>
        <w:rPr>
          <w:rFonts w:hAnsi="仿宋"/>
          <w:sz w:val="21"/>
          <w:szCs w:val="21"/>
        </w:rPr>
      </w:pPr>
      <w:r>
        <w:rPr>
          <w:rFonts w:hint="eastAsia" w:hAnsi="仿宋"/>
          <w:sz w:val="21"/>
          <w:szCs w:val="21"/>
        </w:rPr>
        <w:t>18.1 工程保险</w:t>
      </w:r>
    </w:p>
    <w:p w14:paraId="1CE2E23D">
      <w:pPr>
        <w:spacing w:line="380" w:lineRule="exact"/>
        <w:ind w:firstLine="420" w:firstLineChars="200"/>
        <w:rPr>
          <w:rFonts w:hAnsi="仿宋"/>
          <w:sz w:val="21"/>
          <w:szCs w:val="21"/>
        </w:rPr>
      </w:pPr>
      <w:r>
        <w:rPr>
          <w:rFonts w:hint="eastAsia" w:hAnsi="仿宋"/>
          <w:sz w:val="21"/>
          <w:szCs w:val="21"/>
        </w:rPr>
        <w:t>关于工程保险的特别约定：</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kern w:val="0"/>
          <w:sz w:val="21"/>
          <w:szCs w:val="21"/>
        </w:rPr>
        <w:t>。</w:t>
      </w:r>
    </w:p>
    <w:p w14:paraId="5FC943EE">
      <w:pPr>
        <w:spacing w:line="380" w:lineRule="exact"/>
        <w:ind w:firstLine="420" w:firstLineChars="200"/>
        <w:rPr>
          <w:rFonts w:hAnsi="仿宋"/>
          <w:sz w:val="21"/>
          <w:szCs w:val="21"/>
        </w:rPr>
      </w:pPr>
      <w:r>
        <w:rPr>
          <w:rFonts w:hint="eastAsia" w:hAnsi="仿宋"/>
          <w:sz w:val="21"/>
          <w:szCs w:val="21"/>
        </w:rPr>
        <w:t>18.3 其他保险</w:t>
      </w:r>
    </w:p>
    <w:p w14:paraId="270C0D48">
      <w:pPr>
        <w:spacing w:line="380" w:lineRule="exact"/>
        <w:ind w:firstLine="420" w:firstLineChars="200"/>
        <w:rPr>
          <w:rFonts w:hAnsi="仿宋"/>
          <w:kern w:val="0"/>
          <w:sz w:val="21"/>
          <w:szCs w:val="21"/>
        </w:rPr>
      </w:pPr>
      <w:r>
        <w:rPr>
          <w:rFonts w:hint="eastAsia" w:hAnsi="仿宋"/>
          <w:sz w:val="21"/>
          <w:szCs w:val="21"/>
        </w:rPr>
        <w:t>关于其他保险的约定：</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kern w:val="0"/>
          <w:sz w:val="21"/>
          <w:szCs w:val="21"/>
        </w:rPr>
        <w:t>。</w:t>
      </w:r>
    </w:p>
    <w:p w14:paraId="3CE6DBDC">
      <w:pPr>
        <w:spacing w:line="380" w:lineRule="exact"/>
        <w:ind w:firstLine="420" w:firstLineChars="200"/>
        <w:rPr>
          <w:rFonts w:hAnsi="仿宋"/>
          <w:sz w:val="21"/>
          <w:szCs w:val="21"/>
          <w:u w:val="single"/>
        </w:rPr>
      </w:pPr>
      <w:r>
        <w:rPr>
          <w:rFonts w:hint="eastAsia" w:hAnsi="仿宋"/>
          <w:sz w:val="21"/>
          <w:szCs w:val="21"/>
        </w:rPr>
        <w:t>承包人是否应为其施工设备等办理财产保险：</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315398A1">
      <w:pPr>
        <w:spacing w:line="380" w:lineRule="exact"/>
        <w:ind w:firstLine="420" w:firstLineChars="200"/>
        <w:rPr>
          <w:rFonts w:hAnsi="仿宋"/>
          <w:sz w:val="21"/>
          <w:szCs w:val="21"/>
        </w:rPr>
      </w:pPr>
      <w:r>
        <w:rPr>
          <w:rFonts w:hint="eastAsia" w:hAnsi="仿宋"/>
          <w:sz w:val="21"/>
          <w:szCs w:val="21"/>
        </w:rPr>
        <w:t>18.7 通知义务</w:t>
      </w:r>
    </w:p>
    <w:p w14:paraId="6239D14B">
      <w:pPr>
        <w:spacing w:line="380" w:lineRule="exact"/>
        <w:ind w:firstLine="420" w:firstLineChars="200"/>
        <w:rPr>
          <w:rFonts w:hAnsi="仿宋"/>
          <w:sz w:val="21"/>
          <w:szCs w:val="21"/>
        </w:rPr>
      </w:pPr>
      <w:r>
        <w:rPr>
          <w:rFonts w:hint="eastAsia" w:hAnsi="仿宋"/>
          <w:kern w:val="0"/>
          <w:sz w:val="21"/>
          <w:szCs w:val="21"/>
        </w:rPr>
        <w:t>关于变更保险合同时的通知义务的约定：</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bookmarkEnd w:id="492"/>
    <w:bookmarkEnd w:id="493"/>
    <w:bookmarkEnd w:id="494"/>
    <w:bookmarkEnd w:id="495"/>
    <w:bookmarkEnd w:id="496"/>
    <w:bookmarkEnd w:id="497"/>
    <w:bookmarkEnd w:id="498"/>
    <w:bookmarkEnd w:id="499"/>
    <w:bookmarkEnd w:id="500"/>
    <w:bookmarkEnd w:id="501"/>
    <w:bookmarkEnd w:id="502"/>
    <w:bookmarkEnd w:id="503"/>
    <w:p w14:paraId="6180C3C8">
      <w:pPr>
        <w:pStyle w:val="8"/>
        <w:keepNext w:val="0"/>
        <w:keepLines w:val="0"/>
        <w:spacing w:before="0" w:after="0" w:line="380" w:lineRule="exact"/>
        <w:rPr>
          <w:rFonts w:ascii="黑体" w:hAnsi="黑体"/>
          <w:b w:val="0"/>
          <w:sz w:val="21"/>
          <w:szCs w:val="21"/>
        </w:rPr>
      </w:pPr>
      <w:bookmarkStart w:id="519" w:name="_Toc351203651"/>
      <w:r>
        <w:rPr>
          <w:rFonts w:hint="eastAsia" w:ascii="黑体" w:hAnsi="黑体"/>
          <w:b w:val="0"/>
          <w:sz w:val="21"/>
          <w:szCs w:val="21"/>
        </w:rPr>
        <w:t>20．争议解决</w:t>
      </w:r>
      <w:bookmarkEnd w:id="519"/>
    </w:p>
    <w:bookmarkEnd w:id="504"/>
    <w:bookmarkEnd w:id="505"/>
    <w:p w14:paraId="2372DEA9">
      <w:pPr>
        <w:spacing w:line="380" w:lineRule="exact"/>
        <w:ind w:firstLine="420" w:firstLineChars="200"/>
        <w:rPr>
          <w:rFonts w:hAnsi="仿宋"/>
          <w:sz w:val="21"/>
          <w:szCs w:val="21"/>
        </w:rPr>
      </w:pPr>
      <w:r>
        <w:rPr>
          <w:rFonts w:hint="eastAsia" w:hAnsi="仿宋"/>
          <w:sz w:val="21"/>
          <w:szCs w:val="21"/>
        </w:rPr>
        <w:t>20.3 争</w:t>
      </w:r>
      <w:bookmarkEnd w:id="506"/>
      <w:r>
        <w:rPr>
          <w:rFonts w:hint="eastAsia" w:hAnsi="仿宋"/>
          <w:sz w:val="21"/>
          <w:szCs w:val="21"/>
        </w:rPr>
        <w:t>议评审</w:t>
      </w:r>
    </w:p>
    <w:p w14:paraId="2C89B0CE">
      <w:pPr>
        <w:spacing w:line="380" w:lineRule="exact"/>
        <w:ind w:firstLine="420" w:firstLineChars="200"/>
        <w:rPr>
          <w:rFonts w:hAnsi="仿宋"/>
          <w:sz w:val="21"/>
          <w:szCs w:val="21"/>
        </w:rPr>
      </w:pPr>
      <w:r>
        <w:rPr>
          <w:rFonts w:hint="eastAsia" w:hAnsi="仿宋"/>
          <w:sz w:val="21"/>
          <w:szCs w:val="21"/>
        </w:rPr>
        <w:t>合同当事人是否同意将工程争议提交争议评审小组决定：</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7FCFA9AA">
      <w:pPr>
        <w:spacing w:line="380" w:lineRule="exact"/>
        <w:ind w:firstLine="420" w:firstLineChars="200"/>
        <w:rPr>
          <w:rFonts w:hAnsi="仿宋"/>
          <w:sz w:val="21"/>
          <w:szCs w:val="21"/>
        </w:rPr>
      </w:pPr>
      <w:r>
        <w:rPr>
          <w:rFonts w:hint="eastAsia" w:hAnsi="仿宋"/>
          <w:sz w:val="21"/>
          <w:szCs w:val="21"/>
        </w:rPr>
        <w:t>20.3.1争议评审小组的确定</w:t>
      </w:r>
    </w:p>
    <w:p w14:paraId="0CAE7030">
      <w:pPr>
        <w:spacing w:line="380" w:lineRule="exact"/>
        <w:ind w:firstLine="420" w:firstLineChars="200"/>
        <w:rPr>
          <w:rFonts w:hAnsi="仿宋"/>
          <w:sz w:val="21"/>
          <w:szCs w:val="21"/>
          <w:u w:val="single"/>
        </w:rPr>
      </w:pPr>
      <w:r>
        <w:rPr>
          <w:rFonts w:hint="eastAsia" w:hAnsi="仿宋"/>
          <w:sz w:val="21"/>
          <w:szCs w:val="21"/>
        </w:rPr>
        <w:t>争议评审小组成员的确定：</w:t>
      </w:r>
      <w:r>
        <w:rPr>
          <w:rFonts w:hint="eastAsia" w:hAnsi="仿宋"/>
          <w:sz w:val="21"/>
          <w:szCs w:val="21"/>
          <w:u w:val="single"/>
        </w:rPr>
        <w:t>提交争议评审时再选定</w:t>
      </w:r>
      <w:r>
        <w:rPr>
          <w:rFonts w:hint="eastAsia" w:hAnsi="仿宋"/>
          <w:sz w:val="21"/>
          <w:szCs w:val="21"/>
        </w:rPr>
        <w:t>。</w:t>
      </w:r>
    </w:p>
    <w:p w14:paraId="46989B9D">
      <w:pPr>
        <w:spacing w:line="380" w:lineRule="exact"/>
        <w:ind w:firstLine="420" w:firstLineChars="200"/>
        <w:rPr>
          <w:rFonts w:hAnsi="仿宋"/>
          <w:sz w:val="21"/>
          <w:szCs w:val="21"/>
        </w:rPr>
      </w:pPr>
      <w:r>
        <w:rPr>
          <w:rFonts w:hint="eastAsia" w:hAnsi="仿宋"/>
          <w:sz w:val="21"/>
          <w:szCs w:val="21"/>
        </w:rPr>
        <w:t>选定争议评审员的期限：</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085E5E16">
      <w:pPr>
        <w:spacing w:line="380" w:lineRule="exact"/>
        <w:ind w:firstLine="420" w:firstLineChars="200"/>
        <w:rPr>
          <w:rFonts w:hAnsi="仿宋"/>
          <w:sz w:val="21"/>
          <w:szCs w:val="21"/>
        </w:rPr>
      </w:pPr>
      <w:r>
        <w:rPr>
          <w:rFonts w:hint="eastAsia" w:hAnsi="仿宋"/>
          <w:sz w:val="21"/>
          <w:szCs w:val="21"/>
        </w:rPr>
        <w:t>争议评审小组成员的报酬承担方式：</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37B0A968">
      <w:pPr>
        <w:spacing w:line="380" w:lineRule="exact"/>
        <w:ind w:firstLine="420" w:firstLineChars="200"/>
        <w:rPr>
          <w:rFonts w:hAnsi="仿宋"/>
          <w:sz w:val="21"/>
          <w:szCs w:val="21"/>
        </w:rPr>
      </w:pPr>
      <w:r>
        <w:rPr>
          <w:rFonts w:hint="eastAsia" w:hAnsi="仿宋"/>
          <w:sz w:val="21"/>
          <w:szCs w:val="21"/>
        </w:rPr>
        <w:t>其他事项的约定：</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hint="eastAsia" w:hAnsi="仿宋"/>
          <w:sz w:val="21"/>
          <w:szCs w:val="21"/>
        </w:rPr>
        <w:t>。</w:t>
      </w:r>
    </w:p>
    <w:p w14:paraId="609D63FD">
      <w:pPr>
        <w:autoSpaceDE w:val="0"/>
        <w:autoSpaceDN w:val="0"/>
        <w:adjustRightInd w:val="0"/>
        <w:spacing w:line="380" w:lineRule="exact"/>
        <w:ind w:firstLine="420" w:firstLineChars="200"/>
        <w:rPr>
          <w:rFonts w:hAnsi="仿宋"/>
          <w:kern w:val="0"/>
          <w:sz w:val="21"/>
          <w:szCs w:val="21"/>
        </w:rPr>
      </w:pPr>
      <w:r>
        <w:rPr>
          <w:rFonts w:hint="eastAsia" w:hAnsi="仿宋"/>
          <w:kern w:val="0"/>
          <w:sz w:val="21"/>
          <w:szCs w:val="21"/>
        </w:rPr>
        <w:t>20.3.2争议评审小组的决定</w:t>
      </w:r>
    </w:p>
    <w:p w14:paraId="79AB22CB">
      <w:pPr>
        <w:spacing w:line="380" w:lineRule="exact"/>
        <w:ind w:firstLine="420" w:firstLineChars="200"/>
        <w:rPr>
          <w:rFonts w:hAnsi="仿宋"/>
          <w:sz w:val="21"/>
          <w:szCs w:val="21"/>
          <w:u w:val="single"/>
        </w:rPr>
      </w:pPr>
      <w:r>
        <w:rPr>
          <w:rFonts w:hint="eastAsia" w:hAnsi="仿宋"/>
          <w:sz w:val="21"/>
          <w:szCs w:val="21"/>
        </w:rPr>
        <w:t>合同当事人关于本项的约定：</w:t>
      </w:r>
      <w:r>
        <w:rPr>
          <w:rFonts w:hint="eastAsia" w:hAnsi="仿宋"/>
          <w:sz w:val="21"/>
          <w:szCs w:val="21"/>
          <w:u w:val="single"/>
        </w:rPr>
        <w:t>按通用条款。</w:t>
      </w:r>
    </w:p>
    <w:p w14:paraId="4CAE28B4">
      <w:pPr>
        <w:spacing w:line="380" w:lineRule="exact"/>
        <w:ind w:firstLine="420" w:firstLineChars="200"/>
        <w:rPr>
          <w:rFonts w:hAnsi="仿宋"/>
          <w:sz w:val="21"/>
          <w:szCs w:val="21"/>
          <w:u w:val="single"/>
        </w:rPr>
      </w:pPr>
      <w:r>
        <w:rPr>
          <w:rFonts w:hint="eastAsia" w:hAnsi="仿宋"/>
          <w:sz w:val="21"/>
          <w:szCs w:val="21"/>
        </w:rPr>
        <w:t>20.3.3</w:t>
      </w:r>
      <w:r>
        <w:rPr>
          <w:rFonts w:hint="eastAsia" w:hAnsi="仿宋"/>
          <w:sz w:val="21"/>
          <w:szCs w:val="21"/>
          <w:u w:val="single"/>
        </w:rPr>
        <w:t>争议评审小组决定的效力：按通用条款执行。</w:t>
      </w:r>
    </w:p>
    <w:p w14:paraId="39D2A026">
      <w:pPr>
        <w:spacing w:line="380" w:lineRule="exact"/>
        <w:ind w:firstLine="420" w:firstLineChars="200"/>
        <w:rPr>
          <w:rFonts w:hAnsi="仿宋"/>
          <w:sz w:val="21"/>
          <w:szCs w:val="21"/>
        </w:rPr>
      </w:pPr>
      <w:r>
        <w:rPr>
          <w:rFonts w:hint="eastAsia" w:hAnsi="仿宋"/>
          <w:sz w:val="21"/>
          <w:szCs w:val="21"/>
        </w:rPr>
        <w:t>20.4仲裁或诉讼</w:t>
      </w:r>
      <w:bookmarkEnd w:id="507"/>
    </w:p>
    <w:p w14:paraId="5FC2B22B">
      <w:pPr>
        <w:spacing w:line="380" w:lineRule="exact"/>
        <w:ind w:firstLine="420" w:firstLineChars="200"/>
        <w:rPr>
          <w:rFonts w:hAnsi="仿宋"/>
          <w:sz w:val="21"/>
          <w:szCs w:val="21"/>
        </w:rPr>
      </w:pPr>
      <w:r>
        <w:rPr>
          <w:rFonts w:hint="eastAsia" w:hAnsi="仿宋"/>
          <w:sz w:val="21"/>
          <w:szCs w:val="21"/>
        </w:rPr>
        <w:t>因合同及合同有关事项发生的争议，按下列第</w:t>
      </w:r>
      <w:r>
        <w:rPr>
          <w:rFonts w:hint="eastAsia" w:hAnsi="仿宋" w:eastAsia="宋体"/>
          <w:sz w:val="21"/>
          <w:szCs w:val="21"/>
          <w:u w:val="single"/>
        </w:rPr>
        <w:t>（</w:t>
      </w:r>
      <w:r>
        <w:rPr>
          <w:rFonts w:hAnsi="仿宋" w:eastAsia="宋体"/>
          <w:sz w:val="21"/>
          <w:szCs w:val="21"/>
          <w:u w:val="single"/>
        </w:rPr>
        <w:t>2</w:t>
      </w:r>
      <w:r>
        <w:rPr>
          <w:rFonts w:hint="eastAsia" w:hAnsi="仿宋" w:eastAsia="宋体"/>
          <w:sz w:val="21"/>
          <w:szCs w:val="21"/>
          <w:u w:val="single"/>
        </w:rPr>
        <w:t>）</w:t>
      </w:r>
      <w:r>
        <w:rPr>
          <w:rFonts w:hint="eastAsia" w:hAnsi="仿宋"/>
          <w:sz w:val="21"/>
          <w:szCs w:val="21"/>
        </w:rPr>
        <w:t>种方式解决：</w:t>
      </w:r>
    </w:p>
    <w:p w14:paraId="7201B414">
      <w:pPr>
        <w:spacing w:line="380" w:lineRule="exact"/>
        <w:ind w:firstLine="420" w:firstLineChars="200"/>
        <w:rPr>
          <w:rFonts w:hAnsi="仿宋"/>
          <w:sz w:val="21"/>
          <w:szCs w:val="21"/>
        </w:rPr>
      </w:pPr>
      <w:r>
        <w:rPr>
          <w:rFonts w:hint="eastAsia" w:hAnsi="仿宋"/>
          <w:sz w:val="21"/>
          <w:szCs w:val="21"/>
        </w:rPr>
        <w:t>（1）向</w:t>
      </w:r>
      <w:r>
        <w:rPr>
          <w:rFonts w:hint="eastAsia" w:hAnsi="仿宋"/>
          <w:sz w:val="21"/>
          <w:szCs w:val="21"/>
          <w:u w:val="single"/>
        </w:rPr>
        <w:t>台州</w:t>
      </w:r>
      <w:r>
        <w:rPr>
          <w:rFonts w:hint="eastAsia" w:hAnsi="仿宋"/>
          <w:sz w:val="21"/>
          <w:szCs w:val="21"/>
        </w:rPr>
        <w:t>仲裁委员会申请仲裁；</w:t>
      </w:r>
    </w:p>
    <w:p w14:paraId="1C59622D">
      <w:pPr>
        <w:spacing w:line="380" w:lineRule="exact"/>
        <w:ind w:firstLine="420" w:firstLineChars="200"/>
        <w:rPr>
          <w:rFonts w:hAnsi="仿宋"/>
          <w:sz w:val="21"/>
          <w:szCs w:val="21"/>
        </w:rPr>
      </w:pPr>
      <w:r>
        <w:rPr>
          <w:rFonts w:hint="eastAsia" w:hAnsi="仿宋"/>
          <w:sz w:val="21"/>
          <w:szCs w:val="21"/>
        </w:rPr>
        <w:t>（2）向</w:t>
      </w:r>
      <w:r>
        <w:rPr>
          <w:rFonts w:hint="eastAsia" w:hAnsi="仿宋" w:eastAsia="宋体"/>
          <w:sz w:val="21"/>
          <w:szCs w:val="21"/>
          <w:u w:val="single"/>
        </w:rPr>
        <w:t>工程属地</w:t>
      </w:r>
      <w:r>
        <w:rPr>
          <w:rFonts w:hint="eastAsia" w:hAnsi="仿宋"/>
          <w:sz w:val="21"/>
          <w:szCs w:val="21"/>
        </w:rPr>
        <w:t>人民法院起诉。</w:t>
      </w:r>
      <w:bookmarkEnd w:id="508"/>
      <w:bookmarkEnd w:id="509"/>
      <w:bookmarkEnd w:id="510"/>
      <w:bookmarkEnd w:id="511"/>
      <w:bookmarkEnd w:id="512"/>
      <w:bookmarkEnd w:id="513"/>
    </w:p>
    <w:p w14:paraId="16B09310">
      <w:pPr>
        <w:spacing w:line="350" w:lineRule="exact"/>
        <w:ind w:firstLine="422" w:firstLineChars="200"/>
        <w:rPr>
          <w:rFonts w:ascii="宋体" w:hAnsi="宋体" w:eastAsia="宋体" w:cs="宋体"/>
          <w:sz w:val="21"/>
          <w:szCs w:val="21"/>
        </w:rPr>
      </w:pPr>
      <w:r>
        <w:rPr>
          <w:rFonts w:hint="eastAsia" w:ascii="宋体" w:hAnsi="宋体" w:eastAsia="宋体" w:cs="宋体"/>
          <w:b/>
          <w:bCs/>
          <w:sz w:val="21"/>
          <w:szCs w:val="21"/>
        </w:rPr>
        <w:t>21．补充条款</w:t>
      </w:r>
    </w:p>
    <w:p w14:paraId="5E76B899">
      <w:pPr>
        <w:autoSpaceDE w:val="0"/>
        <w:autoSpaceDN w:val="0"/>
        <w:adjustRightInd w:val="0"/>
        <w:spacing w:line="380" w:lineRule="exact"/>
        <w:ind w:firstLine="420" w:firstLineChars="200"/>
        <w:rPr>
          <w:rFonts w:hAnsi="仿宋" w:eastAsia="宋体"/>
          <w:kern w:val="0"/>
          <w:sz w:val="21"/>
          <w:szCs w:val="21"/>
          <w:u w:val="single"/>
        </w:rPr>
      </w:pPr>
      <w:r>
        <w:rPr>
          <w:rFonts w:hint="eastAsia" w:hAnsi="仿宋"/>
          <w:kern w:val="0"/>
          <w:sz w:val="21"/>
          <w:szCs w:val="21"/>
        </w:rPr>
        <w:t>21.</w:t>
      </w:r>
      <w:r>
        <w:rPr>
          <w:rFonts w:hAnsi="仿宋" w:eastAsiaTheme="minorEastAsia"/>
          <w:kern w:val="0"/>
          <w:sz w:val="21"/>
          <w:szCs w:val="21"/>
        </w:rPr>
        <w:t>2</w:t>
      </w:r>
      <w:r>
        <w:rPr>
          <w:rFonts w:hint="eastAsia" w:hAnsi="仿宋"/>
          <w:kern w:val="0"/>
          <w:sz w:val="21"/>
          <w:szCs w:val="21"/>
        </w:rPr>
        <w:t xml:space="preserve"> 本工程招标控制价计价依据：</w:t>
      </w:r>
      <w:r>
        <w:rPr>
          <w:rFonts w:hint="eastAsia" w:hAnsi="仿宋"/>
          <w:sz w:val="21"/>
          <w:szCs w:val="21"/>
          <w:u w:val="single"/>
        </w:rPr>
        <w:t>《建设工程工程量清单计价规范》（GB50500-2013）、《房屋建筑与装饰工程工程量计算规范》(GB 50854-2013)、《通用安装工程工程量计算规范》(GB 50856-2013)、《市政工程工程量计算规范》GB50857-2013、《园林绿化工程工程量计算规范》GB50858-2013、《浙江省房屋建筑与装饰工程预算定额》（2018版）、</w:t>
      </w:r>
      <w:r>
        <w:rPr>
          <w:rFonts w:hint="eastAsia" w:ascii="宋体" w:hAnsi="宋体" w:eastAsia="宋体" w:cs="宋体"/>
          <w:sz w:val="21"/>
          <w:szCs w:val="21"/>
          <w:u w:val="single"/>
        </w:rPr>
        <w:t>《浙江省市政工程预算定额》（</w:t>
      </w:r>
      <w:r>
        <w:rPr>
          <w:rFonts w:hint="eastAsia" w:hAnsi="仿宋"/>
          <w:sz w:val="21"/>
          <w:szCs w:val="21"/>
          <w:u w:val="single"/>
        </w:rPr>
        <w:t>2018</w:t>
      </w:r>
      <w:r>
        <w:rPr>
          <w:rFonts w:hint="eastAsia" w:ascii="宋体" w:hAnsi="宋体" w:eastAsia="宋体" w:cs="宋体"/>
          <w:sz w:val="21"/>
          <w:szCs w:val="21"/>
          <w:u w:val="single"/>
        </w:rPr>
        <w:t>版）、</w:t>
      </w:r>
      <w:r>
        <w:rPr>
          <w:rFonts w:hint="eastAsia" w:hAnsi="仿宋"/>
          <w:sz w:val="21"/>
          <w:szCs w:val="21"/>
          <w:u w:val="single"/>
        </w:rPr>
        <w:t>《浙江省通用安装工程预算定额》（2018版）、《浙江省房屋建筑安装工程修缮预算定额》（2018版）、《浙江省建设工程计价规则》（2018版）、《浙江省建设工程施工费用定额》（2018版）、《浙江省建设工程施工机械台班费用定额》（2018版）及政府部门印发的相关补充文件、浙建建发〔2019〕92号、台建〔2019〕16号《台州市住房和城乡建设局关于实施“浙江省建设工程计价依据（2018版）”的补充通知》等工程所在地现行的有关工程造价方面规定</w:t>
      </w:r>
      <w:r>
        <w:rPr>
          <w:rFonts w:hint="eastAsia" w:hAnsi="仿宋" w:eastAsiaTheme="minorEastAsia"/>
          <w:sz w:val="21"/>
          <w:szCs w:val="21"/>
          <w:u w:val="single"/>
        </w:rPr>
        <w:t>，</w:t>
      </w:r>
      <w:r>
        <w:rPr>
          <w:rFonts w:hint="eastAsia" w:hAnsi="仿宋"/>
          <w:kern w:val="0"/>
          <w:sz w:val="21"/>
          <w:szCs w:val="21"/>
          <w:u w:val="single"/>
        </w:rPr>
        <w:t>《台州造价》</w:t>
      </w:r>
      <w:r>
        <w:rPr>
          <w:rFonts w:hAnsi="仿宋"/>
          <w:kern w:val="0"/>
          <w:sz w:val="21"/>
          <w:szCs w:val="21"/>
          <w:u w:val="single"/>
        </w:rPr>
        <w:t>202</w:t>
      </w:r>
      <w:r>
        <w:rPr>
          <w:rFonts w:hint="eastAsia" w:hAnsi="仿宋" w:eastAsia="宋体"/>
          <w:kern w:val="0"/>
          <w:sz w:val="21"/>
          <w:szCs w:val="21"/>
          <w:u w:val="single"/>
        </w:rPr>
        <w:t>5</w:t>
      </w:r>
      <w:r>
        <w:rPr>
          <w:rFonts w:hAnsi="仿宋"/>
          <w:kern w:val="0"/>
          <w:sz w:val="21"/>
          <w:szCs w:val="21"/>
          <w:u w:val="single"/>
        </w:rPr>
        <w:t>/</w:t>
      </w:r>
      <w:r>
        <w:rPr>
          <w:rFonts w:hint="eastAsia" w:hAnsi="仿宋" w:eastAsia="宋体"/>
          <w:kern w:val="0"/>
          <w:sz w:val="21"/>
          <w:szCs w:val="21"/>
          <w:u w:val="single"/>
        </w:rPr>
        <w:t>4</w:t>
      </w:r>
      <w:r>
        <w:rPr>
          <w:rFonts w:hint="eastAsia" w:hAnsi="仿宋"/>
          <w:kern w:val="0"/>
          <w:sz w:val="21"/>
          <w:szCs w:val="21"/>
          <w:u w:val="single"/>
        </w:rPr>
        <w:t>期及市场调查价等，其余详见本工程招标控制价编制说明。</w:t>
      </w:r>
    </w:p>
    <w:p w14:paraId="5E4AB0BC">
      <w:pPr>
        <w:spacing w:line="380" w:lineRule="exact"/>
        <w:rPr>
          <w:rFonts w:hAnsi="仿宋"/>
          <w:sz w:val="21"/>
          <w:szCs w:val="21"/>
        </w:rPr>
      </w:pPr>
    </w:p>
    <w:p w14:paraId="717BFDDE">
      <w:pPr>
        <w:spacing w:line="360" w:lineRule="exact"/>
        <w:rPr>
          <w:rFonts w:ascii="宋体" w:hAnsi="宋体" w:eastAsia="宋体" w:cs="宋体"/>
          <w:sz w:val="21"/>
          <w:szCs w:val="21"/>
        </w:rPr>
      </w:pPr>
      <w:r>
        <w:rPr>
          <w:rFonts w:hint="eastAsia" w:ascii="宋体" w:hAnsi="宋体" w:eastAsia="宋体" w:cs="宋体"/>
          <w:sz w:val="21"/>
          <w:szCs w:val="21"/>
        </w:rPr>
        <w:t>发包人（公章）：</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承包人（公章）：            </w:t>
      </w:r>
      <w:r>
        <w:rPr>
          <w:rFonts w:hint="eastAsia" w:ascii="宋体" w:hAnsi="宋体" w:eastAsia="宋体" w:cs="宋体"/>
          <w:sz w:val="21"/>
          <w:szCs w:val="21"/>
          <w:u w:val="single"/>
        </w:rPr>
        <w:t xml:space="preserve"> </w:t>
      </w:r>
    </w:p>
    <w:p w14:paraId="65251C04">
      <w:pPr>
        <w:spacing w:line="360" w:lineRule="exact"/>
        <w:rPr>
          <w:rFonts w:ascii="宋体" w:hAnsi="宋体" w:eastAsia="宋体" w:cs="宋体"/>
          <w:sz w:val="21"/>
          <w:szCs w:val="21"/>
        </w:rPr>
      </w:pPr>
      <w:r>
        <w:rPr>
          <w:rFonts w:hint="eastAsia" w:ascii="宋体" w:hAnsi="宋体" w:eastAsia="宋体" w:cs="宋体"/>
          <w:sz w:val="21"/>
          <w:szCs w:val="21"/>
        </w:rPr>
        <w:t>地  址：</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地  址：</w:t>
      </w:r>
      <w:r>
        <w:rPr>
          <w:rFonts w:hint="eastAsia" w:ascii="宋体" w:hAnsi="宋体" w:eastAsia="宋体" w:cs="宋体"/>
          <w:sz w:val="21"/>
          <w:szCs w:val="21"/>
          <w:u w:val="single"/>
        </w:rPr>
        <w:t xml:space="preserve">                    </w:t>
      </w:r>
    </w:p>
    <w:p w14:paraId="27F70116">
      <w:pPr>
        <w:spacing w:line="360" w:lineRule="exact"/>
        <w:rPr>
          <w:rFonts w:ascii="宋体" w:hAnsi="宋体" w:eastAsia="宋体" w:cs="宋体"/>
          <w:sz w:val="21"/>
          <w:szCs w:val="21"/>
        </w:rPr>
      </w:pPr>
      <w:r>
        <w:rPr>
          <w:rFonts w:hint="eastAsia" w:ascii="宋体" w:hAnsi="宋体" w:eastAsia="宋体" w:cs="宋体"/>
          <w:sz w:val="21"/>
          <w:szCs w:val="21"/>
        </w:rPr>
        <w:t>法定代表人（签字）：</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法定代表人（签字）：</w:t>
      </w:r>
      <w:r>
        <w:rPr>
          <w:rFonts w:hint="eastAsia" w:ascii="宋体" w:hAnsi="宋体" w:eastAsia="宋体" w:cs="宋体"/>
          <w:sz w:val="21"/>
          <w:szCs w:val="21"/>
          <w:u w:val="single"/>
        </w:rPr>
        <w:t xml:space="preserve">         </w:t>
      </w:r>
    </w:p>
    <w:p w14:paraId="5E0C8571">
      <w:pPr>
        <w:spacing w:line="360" w:lineRule="exact"/>
        <w:rPr>
          <w:rFonts w:ascii="宋体" w:hAnsi="宋体" w:eastAsia="宋体" w:cs="宋体"/>
          <w:sz w:val="21"/>
          <w:szCs w:val="21"/>
        </w:rPr>
      </w:pPr>
      <w:r>
        <w:rPr>
          <w:rFonts w:hint="eastAsia" w:ascii="宋体" w:hAnsi="宋体" w:eastAsia="宋体" w:cs="宋体"/>
          <w:sz w:val="21"/>
          <w:szCs w:val="21"/>
        </w:rPr>
        <w:t>委托代理人（签字）：</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委托代理人（签字）：</w:t>
      </w:r>
      <w:r>
        <w:rPr>
          <w:rFonts w:hint="eastAsia" w:ascii="宋体" w:hAnsi="宋体" w:eastAsia="宋体" w:cs="宋体"/>
          <w:sz w:val="21"/>
          <w:szCs w:val="21"/>
          <w:u w:val="single"/>
        </w:rPr>
        <w:t xml:space="preserve">         </w:t>
      </w:r>
    </w:p>
    <w:p w14:paraId="713A1C74">
      <w:pPr>
        <w:rPr>
          <w:rFonts w:ascii="宋体" w:hAnsi="宋体" w:eastAsia="宋体" w:cs="宋体"/>
          <w:sz w:val="21"/>
          <w:szCs w:val="21"/>
        </w:rPr>
      </w:pPr>
      <w:r>
        <w:rPr>
          <w:rFonts w:hint="eastAsia" w:ascii="宋体" w:hAnsi="宋体" w:eastAsia="宋体" w:cs="宋体"/>
          <w:sz w:val="21"/>
          <w:szCs w:val="21"/>
        </w:rPr>
        <w:br w:type="page"/>
      </w:r>
    </w:p>
    <w:p w14:paraId="198656B9">
      <w:pPr>
        <w:spacing w:line="380" w:lineRule="exact"/>
        <w:jc w:val="left"/>
        <w:rPr>
          <w:rFonts w:hAnsi="仿宋" w:eastAsia="宋体"/>
          <w:b/>
          <w:bCs/>
          <w:sz w:val="22"/>
          <w:szCs w:val="22"/>
        </w:rPr>
      </w:pPr>
      <w:r>
        <w:rPr>
          <w:rFonts w:hint="eastAsia" w:hAnsi="仿宋" w:eastAsia="宋体"/>
          <w:b/>
          <w:bCs/>
          <w:sz w:val="22"/>
          <w:szCs w:val="22"/>
        </w:rPr>
        <w:t>附件：</w:t>
      </w:r>
    </w:p>
    <w:p w14:paraId="21534F0E">
      <w:pPr>
        <w:spacing w:line="380" w:lineRule="exact"/>
        <w:ind w:firstLine="3742" w:firstLineChars="1700"/>
        <w:jc w:val="left"/>
        <w:rPr>
          <w:rFonts w:hAnsi="仿宋"/>
          <w:b/>
          <w:bCs/>
          <w:sz w:val="22"/>
          <w:szCs w:val="22"/>
        </w:rPr>
      </w:pPr>
      <w:r>
        <w:rPr>
          <w:rFonts w:hint="eastAsia" w:hAnsi="仿宋"/>
          <w:b/>
          <w:bCs/>
          <w:sz w:val="22"/>
          <w:szCs w:val="22"/>
        </w:rPr>
        <w:t>工程质量保修书</w:t>
      </w:r>
    </w:p>
    <w:p w14:paraId="19312656">
      <w:pPr>
        <w:spacing w:line="380" w:lineRule="exact"/>
        <w:rPr>
          <w:rFonts w:hAnsi="仿宋"/>
          <w:sz w:val="21"/>
          <w:szCs w:val="21"/>
        </w:rPr>
      </w:pPr>
    </w:p>
    <w:p w14:paraId="4DD2EBC9">
      <w:pPr>
        <w:spacing w:line="380" w:lineRule="exact"/>
        <w:rPr>
          <w:rFonts w:hAnsi="仿宋" w:eastAsia="宋体"/>
          <w:sz w:val="21"/>
          <w:szCs w:val="21"/>
        </w:rPr>
      </w:pPr>
      <w:r>
        <w:rPr>
          <w:rFonts w:hint="eastAsia" w:hAnsi="仿宋"/>
          <w:sz w:val="21"/>
          <w:szCs w:val="21"/>
        </w:rPr>
        <w:t>发包人（全称）：</w:t>
      </w:r>
      <w:r>
        <w:rPr>
          <w:rFonts w:hint="eastAsia" w:hAnsi="仿宋" w:eastAsia="宋体"/>
          <w:sz w:val="21"/>
          <w:szCs w:val="21"/>
          <w:u w:val="single"/>
        </w:rPr>
        <w:t>台州市黄岩第二高级中学</w:t>
      </w:r>
    </w:p>
    <w:p w14:paraId="4EAF5068">
      <w:pPr>
        <w:spacing w:line="380" w:lineRule="exact"/>
        <w:rPr>
          <w:rFonts w:hAnsi="仿宋" w:eastAsiaTheme="minorEastAsia"/>
          <w:sz w:val="21"/>
          <w:szCs w:val="21"/>
        </w:rPr>
      </w:pPr>
      <w:r>
        <w:rPr>
          <w:rFonts w:hint="eastAsia" w:hAnsi="仿宋"/>
          <w:sz w:val="21"/>
          <w:szCs w:val="21"/>
        </w:rPr>
        <w:t>承包人（全称）：</w:t>
      </w:r>
      <w:r>
        <w:rPr>
          <w:rFonts w:hint="eastAsia" w:asciiTheme="minorEastAsia" w:hAnsiTheme="minorEastAsia" w:eastAsiaTheme="minorEastAsia"/>
          <w:sz w:val="21"/>
          <w:szCs w:val="21"/>
          <w:u w:val="single"/>
        </w:rPr>
        <w:t xml:space="preserve">                   </w:t>
      </w:r>
    </w:p>
    <w:p w14:paraId="3D3780B2">
      <w:pPr>
        <w:spacing w:line="380" w:lineRule="exact"/>
        <w:ind w:firstLine="420" w:firstLineChars="200"/>
        <w:rPr>
          <w:rFonts w:hAnsi="仿宋"/>
          <w:sz w:val="21"/>
          <w:szCs w:val="21"/>
        </w:rPr>
      </w:pPr>
      <w:r>
        <w:rPr>
          <w:rFonts w:hint="eastAsia" w:hAnsi="仿宋"/>
          <w:sz w:val="21"/>
          <w:szCs w:val="21"/>
        </w:rPr>
        <w:t>发包人和承包人根据《中华人民共和国建筑法》和《建设工程质量管理条例》，经协商一致就</w:t>
      </w:r>
      <w:bookmarkStart w:id="520" w:name="OLE_LINK49"/>
      <w:bookmarkStart w:id="521" w:name="OLE_LINK48"/>
      <w:r>
        <w:rPr>
          <w:rFonts w:hint="eastAsia" w:hAnsi="仿宋" w:eastAsia="宋体"/>
          <w:sz w:val="21"/>
          <w:szCs w:val="21"/>
          <w:u w:val="single"/>
        </w:rPr>
        <w:t>台州市黄岩第二高级中学体能训练场、科技楼顶渗漏和阶梯教室等改造工程</w:t>
      </w:r>
      <w:bookmarkEnd w:id="520"/>
      <w:bookmarkEnd w:id="521"/>
      <w:r>
        <w:rPr>
          <w:rFonts w:hint="eastAsia" w:hAnsi="仿宋"/>
          <w:sz w:val="21"/>
          <w:szCs w:val="21"/>
        </w:rPr>
        <w:t>（工程全称）签订工程质量保修书。</w:t>
      </w:r>
    </w:p>
    <w:p w14:paraId="264B7E40">
      <w:pPr>
        <w:spacing w:line="380" w:lineRule="exact"/>
        <w:ind w:firstLine="420" w:firstLineChars="200"/>
        <w:rPr>
          <w:rFonts w:hAnsi="仿宋"/>
          <w:sz w:val="21"/>
          <w:szCs w:val="21"/>
        </w:rPr>
      </w:pPr>
      <w:r>
        <w:rPr>
          <w:rFonts w:hint="eastAsia" w:hAnsi="仿宋"/>
          <w:sz w:val="21"/>
          <w:szCs w:val="21"/>
        </w:rPr>
        <w:t>一、工程质量保修范围和内容</w:t>
      </w:r>
    </w:p>
    <w:p w14:paraId="593C60F1">
      <w:pPr>
        <w:spacing w:line="380" w:lineRule="exact"/>
        <w:ind w:firstLine="420" w:firstLineChars="200"/>
        <w:rPr>
          <w:rFonts w:hAnsi="仿宋"/>
          <w:sz w:val="21"/>
          <w:szCs w:val="21"/>
        </w:rPr>
      </w:pPr>
      <w:r>
        <w:rPr>
          <w:rFonts w:hint="eastAsia" w:hAnsi="仿宋"/>
          <w:sz w:val="21"/>
          <w:szCs w:val="21"/>
        </w:rPr>
        <w:t>承包人在质量保修期内，按照有关法律规定和合同约定，承担工程质量保修责任。</w:t>
      </w:r>
    </w:p>
    <w:p w14:paraId="68C24127">
      <w:pPr>
        <w:spacing w:line="380" w:lineRule="exact"/>
        <w:ind w:firstLine="420" w:firstLineChars="200"/>
        <w:rPr>
          <w:rFonts w:hAnsi="仿宋"/>
          <w:sz w:val="21"/>
          <w:szCs w:val="21"/>
        </w:rPr>
      </w:pPr>
      <w:r>
        <w:rPr>
          <w:rFonts w:hint="eastAsia" w:hAnsi="仿宋"/>
          <w:sz w:val="21"/>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eastAsia="宋体"/>
          <w:sz w:val="21"/>
          <w:u w:val="single"/>
        </w:rPr>
        <w:t>本工程合同范围内的所有工程</w:t>
      </w:r>
      <w:r>
        <w:rPr>
          <w:rFonts w:hint="eastAsia" w:hAnsi="仿宋"/>
          <w:sz w:val="21"/>
          <w:szCs w:val="21"/>
        </w:rPr>
        <w:t>。</w:t>
      </w:r>
    </w:p>
    <w:p w14:paraId="6EF1D3A9">
      <w:pPr>
        <w:spacing w:line="380" w:lineRule="exact"/>
        <w:ind w:firstLine="411" w:firstLineChars="196"/>
        <w:rPr>
          <w:rFonts w:hAnsi="仿宋"/>
          <w:sz w:val="21"/>
          <w:szCs w:val="21"/>
        </w:rPr>
      </w:pPr>
      <w:r>
        <w:rPr>
          <w:rFonts w:hint="eastAsia" w:hAnsi="仿宋"/>
          <w:sz w:val="21"/>
          <w:szCs w:val="21"/>
        </w:rPr>
        <w:t>二、质量保修期</w:t>
      </w:r>
    </w:p>
    <w:p w14:paraId="0528049B">
      <w:pPr>
        <w:spacing w:line="380" w:lineRule="exact"/>
        <w:ind w:firstLine="420" w:firstLineChars="200"/>
        <w:rPr>
          <w:rFonts w:hAnsi="仿宋"/>
          <w:sz w:val="21"/>
          <w:szCs w:val="21"/>
        </w:rPr>
      </w:pPr>
      <w:bookmarkStart w:id="522" w:name="_Toc19599"/>
      <w:r>
        <w:rPr>
          <w:rFonts w:hint="eastAsia" w:hAnsi="仿宋"/>
          <w:sz w:val="21"/>
          <w:szCs w:val="21"/>
        </w:rPr>
        <w:t>根据《建设工程质量管理条例》及有关规定，工程的质量保修期如下：</w:t>
      </w:r>
    </w:p>
    <w:bookmarkEnd w:id="522"/>
    <w:p w14:paraId="06C37497">
      <w:pPr>
        <w:spacing w:line="380" w:lineRule="exact"/>
        <w:ind w:firstLine="420" w:firstLineChars="200"/>
        <w:rPr>
          <w:rFonts w:hAnsi="仿宋"/>
          <w:sz w:val="21"/>
          <w:szCs w:val="21"/>
        </w:rPr>
      </w:pPr>
      <w:r>
        <w:rPr>
          <w:rFonts w:hint="eastAsia" w:hAnsi="仿宋" w:eastAsia="宋体"/>
          <w:sz w:val="21"/>
          <w:szCs w:val="21"/>
          <w:u w:val="single"/>
        </w:rPr>
        <w:t>本工程</w:t>
      </w:r>
      <w:r>
        <w:rPr>
          <w:rFonts w:hint="eastAsia" w:ascii="宋体" w:hAnsi="宋体" w:eastAsia="宋体" w:cs="宋体"/>
          <w:sz w:val="21"/>
          <w:szCs w:val="21"/>
          <w:u w:val="single"/>
        </w:rPr>
        <w:t>质量保修期</w:t>
      </w:r>
      <w:r>
        <w:rPr>
          <w:rFonts w:hint="eastAsia" w:hAnsi="仿宋" w:eastAsia="宋体"/>
          <w:sz w:val="21"/>
          <w:szCs w:val="21"/>
          <w:u w:val="single"/>
        </w:rPr>
        <w:t xml:space="preserve">为2  </w:t>
      </w:r>
      <w:r>
        <w:rPr>
          <w:rFonts w:hint="eastAsia" w:hAnsi="仿宋"/>
          <w:sz w:val="21"/>
          <w:szCs w:val="21"/>
        </w:rPr>
        <w:t>年。</w:t>
      </w:r>
    </w:p>
    <w:p w14:paraId="6E8076FE">
      <w:pPr>
        <w:adjustRightInd w:val="0"/>
        <w:spacing w:line="360" w:lineRule="exact"/>
        <w:ind w:firstLine="420" w:firstLineChars="200"/>
        <w:jc w:val="left"/>
        <w:textAlignment w:val="baseline"/>
        <w:rPr>
          <w:rFonts w:ascii="宋体" w:hAnsi="宋体" w:eastAsia="宋体" w:cs="宋体"/>
          <w:b/>
          <w:bCs/>
          <w:sz w:val="21"/>
          <w:szCs w:val="21"/>
          <w:u w:val="single"/>
        </w:rPr>
      </w:pPr>
      <w:r>
        <w:rPr>
          <w:rFonts w:hint="eastAsia" w:ascii="宋体" w:hAnsi="宋体" w:eastAsia="宋体" w:cs="宋体"/>
          <w:sz w:val="21"/>
          <w:szCs w:val="21"/>
          <w:u w:val="single"/>
        </w:rPr>
        <w:t>质量保修期自工程竣工验收合格之日起计算。</w:t>
      </w:r>
    </w:p>
    <w:p w14:paraId="254DFB04">
      <w:pPr>
        <w:spacing w:line="380" w:lineRule="exact"/>
        <w:ind w:firstLine="420" w:firstLineChars="200"/>
        <w:rPr>
          <w:rFonts w:hAnsi="仿宋"/>
          <w:sz w:val="21"/>
          <w:szCs w:val="21"/>
        </w:rPr>
      </w:pPr>
      <w:r>
        <w:rPr>
          <w:rFonts w:hint="eastAsia" w:hAnsi="仿宋"/>
          <w:sz w:val="21"/>
          <w:szCs w:val="21"/>
        </w:rPr>
        <w:t>三、缺陷责任期</w:t>
      </w:r>
    </w:p>
    <w:p w14:paraId="7D009C47">
      <w:pPr>
        <w:spacing w:line="380" w:lineRule="exact"/>
        <w:ind w:firstLine="420" w:firstLineChars="200"/>
        <w:rPr>
          <w:rFonts w:hAnsi="仿宋"/>
          <w:sz w:val="21"/>
          <w:szCs w:val="21"/>
        </w:rPr>
      </w:pPr>
      <w:r>
        <w:rPr>
          <w:rFonts w:hint="eastAsia" w:hAnsi="仿宋"/>
          <w:sz w:val="21"/>
          <w:szCs w:val="21"/>
        </w:rPr>
        <w:t>工程缺陷责任期为</w:t>
      </w:r>
      <w:r>
        <w:rPr>
          <w:rFonts w:hint="eastAsia" w:hAnsi="仿宋"/>
          <w:sz w:val="21"/>
          <w:szCs w:val="21"/>
          <w:u w:val="single"/>
        </w:rPr>
        <w:t xml:space="preserve"> 24 </w:t>
      </w:r>
      <w:r>
        <w:rPr>
          <w:rFonts w:hint="eastAsia" w:hAnsi="仿宋"/>
          <w:sz w:val="21"/>
          <w:szCs w:val="21"/>
        </w:rPr>
        <w:t>个月，缺陷责任期自工程竣工验收合格之日起计算。单位工程先于全部工程进行验收，单位工程缺陷责任期自单位工程验收合格之日起算。</w:t>
      </w:r>
    </w:p>
    <w:p w14:paraId="3FE27341">
      <w:pPr>
        <w:spacing w:line="380" w:lineRule="exact"/>
        <w:ind w:firstLine="420" w:firstLineChars="200"/>
        <w:rPr>
          <w:rFonts w:hAnsi="仿宋"/>
          <w:sz w:val="21"/>
          <w:szCs w:val="21"/>
        </w:rPr>
      </w:pPr>
      <w:r>
        <w:rPr>
          <w:rFonts w:hint="eastAsia" w:hAnsi="仿宋"/>
          <w:sz w:val="21"/>
          <w:szCs w:val="21"/>
        </w:rPr>
        <w:t>四、质量保修责任</w:t>
      </w:r>
    </w:p>
    <w:p w14:paraId="79B3D711">
      <w:pPr>
        <w:spacing w:line="380" w:lineRule="exact"/>
        <w:ind w:firstLine="420" w:firstLineChars="200"/>
        <w:rPr>
          <w:rFonts w:hAnsi="仿宋"/>
          <w:sz w:val="21"/>
          <w:szCs w:val="21"/>
        </w:rPr>
      </w:pPr>
      <w:r>
        <w:rPr>
          <w:rFonts w:hint="eastAsia" w:hAnsi="仿宋"/>
          <w:sz w:val="21"/>
          <w:szCs w:val="21"/>
        </w:rPr>
        <w:t>1．属于保修范围、内容的项目，承包人应当在接到保修通知之日起7天内派人保修。承包人不在约定期限内派人保修的，发包人可以委托他人修理。</w:t>
      </w:r>
    </w:p>
    <w:p w14:paraId="2E7FD009">
      <w:pPr>
        <w:spacing w:line="380" w:lineRule="exact"/>
        <w:ind w:firstLine="420" w:firstLineChars="200"/>
        <w:rPr>
          <w:rFonts w:hAnsi="仿宋"/>
          <w:sz w:val="21"/>
          <w:szCs w:val="21"/>
        </w:rPr>
      </w:pPr>
      <w:r>
        <w:rPr>
          <w:rFonts w:hint="eastAsia" w:hAnsi="仿宋"/>
          <w:sz w:val="21"/>
          <w:szCs w:val="21"/>
        </w:rPr>
        <w:t>2．发生紧急事故需抢修的，承包人在接到事故通知后，应当立即到达事故现场抢修。</w:t>
      </w:r>
    </w:p>
    <w:p w14:paraId="2A72945A">
      <w:pPr>
        <w:spacing w:line="380" w:lineRule="exact"/>
        <w:ind w:firstLine="420" w:firstLineChars="200"/>
        <w:rPr>
          <w:rFonts w:hAnsi="仿宋"/>
          <w:sz w:val="21"/>
          <w:szCs w:val="21"/>
        </w:rPr>
      </w:pPr>
      <w:r>
        <w:rPr>
          <w:rFonts w:hint="eastAsia" w:hAnsi="仿宋"/>
          <w:sz w:val="21"/>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82A5B11">
      <w:pPr>
        <w:spacing w:line="380" w:lineRule="exact"/>
        <w:ind w:firstLine="420" w:firstLineChars="200"/>
        <w:rPr>
          <w:rFonts w:hAnsi="仿宋"/>
          <w:sz w:val="21"/>
          <w:szCs w:val="21"/>
        </w:rPr>
      </w:pPr>
      <w:r>
        <w:rPr>
          <w:rFonts w:hint="eastAsia" w:hAnsi="仿宋"/>
          <w:sz w:val="21"/>
          <w:szCs w:val="21"/>
        </w:rPr>
        <w:t>4．质量保修完成后，由发包人组织验收。</w:t>
      </w:r>
    </w:p>
    <w:p w14:paraId="5995CFE9">
      <w:pPr>
        <w:spacing w:line="380" w:lineRule="exact"/>
        <w:ind w:firstLine="420" w:firstLineChars="200"/>
        <w:rPr>
          <w:rFonts w:hAnsi="仿宋"/>
          <w:sz w:val="21"/>
          <w:szCs w:val="21"/>
        </w:rPr>
      </w:pPr>
      <w:r>
        <w:rPr>
          <w:rFonts w:hint="eastAsia" w:hAnsi="仿宋"/>
          <w:sz w:val="21"/>
          <w:szCs w:val="21"/>
        </w:rPr>
        <w:t>五、保修费用</w:t>
      </w:r>
    </w:p>
    <w:p w14:paraId="0560340A">
      <w:pPr>
        <w:spacing w:line="380" w:lineRule="exact"/>
        <w:ind w:firstLine="600"/>
        <w:rPr>
          <w:rFonts w:hAnsi="仿宋"/>
          <w:sz w:val="21"/>
          <w:szCs w:val="21"/>
        </w:rPr>
      </w:pPr>
      <w:r>
        <w:rPr>
          <w:rFonts w:hint="eastAsia" w:hAnsi="仿宋"/>
          <w:sz w:val="21"/>
          <w:szCs w:val="21"/>
        </w:rPr>
        <w:t>保修费用由造成质量缺陷的责任方承担。</w:t>
      </w:r>
    </w:p>
    <w:p w14:paraId="6220C7FE">
      <w:pPr>
        <w:spacing w:line="380" w:lineRule="exact"/>
        <w:ind w:firstLine="420" w:firstLineChars="200"/>
        <w:rPr>
          <w:rFonts w:hAnsi="仿宋"/>
          <w:sz w:val="21"/>
          <w:szCs w:val="21"/>
        </w:rPr>
      </w:pPr>
      <w:r>
        <w:rPr>
          <w:rFonts w:hint="eastAsia" w:hAnsi="仿宋"/>
          <w:sz w:val="21"/>
          <w:szCs w:val="21"/>
        </w:rPr>
        <w:t>六、双方约定的其他工程质量保修事项：</w:t>
      </w:r>
    </w:p>
    <w:p w14:paraId="56E55BC5">
      <w:pPr>
        <w:spacing w:line="380" w:lineRule="exact"/>
        <w:ind w:firstLine="420" w:firstLineChars="200"/>
        <w:rPr>
          <w:rFonts w:hAnsi="仿宋"/>
          <w:sz w:val="21"/>
          <w:szCs w:val="21"/>
          <w:u w:val="single"/>
        </w:rPr>
      </w:pPr>
      <w:r>
        <w:rPr>
          <w:rFonts w:hint="eastAsia" w:hAnsi="仿宋"/>
          <w:sz w:val="21"/>
          <w:szCs w:val="21"/>
          <w:u w:val="single"/>
        </w:rPr>
        <w:t>1.保修范围为施工图范围内属承包人施工部分的全部内容。</w:t>
      </w:r>
    </w:p>
    <w:p w14:paraId="174ECC90">
      <w:pPr>
        <w:spacing w:line="380" w:lineRule="exact"/>
        <w:ind w:firstLine="420" w:firstLineChars="200"/>
        <w:rPr>
          <w:rFonts w:hAnsi="仿宋"/>
          <w:sz w:val="21"/>
          <w:szCs w:val="21"/>
          <w:u w:val="single"/>
        </w:rPr>
      </w:pPr>
      <w:r>
        <w:rPr>
          <w:rFonts w:hint="eastAsia" w:hAnsi="仿宋"/>
          <w:sz w:val="21"/>
          <w:szCs w:val="21"/>
          <w:u w:val="single"/>
        </w:rPr>
        <w:t>2.属于保修范围、内容的项目，承包人应当在接到保修通知之日起48小时内派人保修。承包人不在约定期限内派人保修或同一问题两次修理不好的，发包人可以委托他人修理，承包人除应承担相应维修费用外，还须承担额度为维修费用的15%的管理费。</w:t>
      </w:r>
    </w:p>
    <w:p w14:paraId="4AB9AC71">
      <w:pPr>
        <w:spacing w:line="380" w:lineRule="exact"/>
        <w:ind w:firstLine="420" w:firstLineChars="200"/>
        <w:rPr>
          <w:rFonts w:hAnsi="仿宋"/>
          <w:sz w:val="21"/>
          <w:szCs w:val="21"/>
          <w:u w:val="single"/>
        </w:rPr>
      </w:pPr>
      <w:r>
        <w:rPr>
          <w:rFonts w:hint="eastAsia" w:hAnsi="仿宋"/>
          <w:sz w:val="21"/>
          <w:szCs w:val="21"/>
          <w:u w:val="single"/>
        </w:rPr>
        <w:t>3.由于承包人原因造成维修所产生的其它相关费用（如因维修造成其它已完工程损坏等）也由承包人承担。</w:t>
      </w:r>
    </w:p>
    <w:p w14:paraId="61D99E5F">
      <w:pPr>
        <w:spacing w:line="380" w:lineRule="exact"/>
        <w:ind w:firstLine="420" w:firstLineChars="200"/>
        <w:rPr>
          <w:rFonts w:hAnsi="仿宋"/>
          <w:sz w:val="21"/>
          <w:szCs w:val="21"/>
          <w:u w:val="single"/>
        </w:rPr>
      </w:pPr>
      <w:r>
        <w:rPr>
          <w:rFonts w:hint="eastAsia" w:hAnsi="仿宋"/>
          <w:sz w:val="21"/>
          <w:szCs w:val="21"/>
          <w:u w:val="single"/>
        </w:rPr>
        <w:t>4.如因施工质量原因维修后，保修期限相应顺延，相应保修金退还时间亦顺延。</w:t>
      </w:r>
    </w:p>
    <w:p w14:paraId="642315D7">
      <w:pPr>
        <w:spacing w:line="380" w:lineRule="exact"/>
        <w:ind w:firstLine="420" w:firstLineChars="200"/>
        <w:rPr>
          <w:rFonts w:hAnsi="仿宋"/>
          <w:sz w:val="21"/>
          <w:szCs w:val="21"/>
          <w:u w:val="single"/>
        </w:rPr>
      </w:pPr>
      <w:r>
        <w:rPr>
          <w:rFonts w:hint="eastAsia" w:hAnsi="仿宋"/>
          <w:sz w:val="21"/>
          <w:szCs w:val="21"/>
          <w:u w:val="single"/>
        </w:rPr>
        <w:t>5.工程质量保修期间，发包人以书面文件送达至承包人或发送电子邮件，即视为承包人已收到发包人的相关通知。</w:t>
      </w:r>
    </w:p>
    <w:p w14:paraId="50752A32">
      <w:pPr>
        <w:spacing w:line="380" w:lineRule="exact"/>
        <w:ind w:firstLine="420" w:firstLineChars="200"/>
        <w:rPr>
          <w:rFonts w:hAnsi="仿宋"/>
          <w:sz w:val="21"/>
          <w:szCs w:val="21"/>
          <w:u w:val="single"/>
        </w:rPr>
      </w:pPr>
      <w:r>
        <w:rPr>
          <w:rFonts w:hint="eastAsia" w:hAnsi="仿宋"/>
          <w:sz w:val="21"/>
          <w:szCs w:val="21"/>
          <w:u w:val="single"/>
        </w:rPr>
        <w:t>承包人维修联系人：</w:t>
      </w:r>
      <w:r>
        <w:rPr>
          <w:rFonts w:hint="eastAsia" w:hAnsi="仿宋" w:eastAsiaTheme="minorEastAsia"/>
          <w:sz w:val="21"/>
          <w:szCs w:val="21"/>
          <w:u w:val="single"/>
        </w:rPr>
        <w:t xml:space="preserve">                             </w:t>
      </w:r>
      <w:r>
        <w:rPr>
          <w:rFonts w:hint="eastAsia" w:hAnsi="仿宋"/>
          <w:sz w:val="21"/>
          <w:szCs w:val="21"/>
          <w:u w:val="single"/>
        </w:rPr>
        <w:t>联系电话：</w:t>
      </w:r>
    </w:p>
    <w:p w14:paraId="25B83A1E">
      <w:pPr>
        <w:spacing w:line="380" w:lineRule="exact"/>
        <w:ind w:firstLine="420" w:firstLineChars="200"/>
        <w:rPr>
          <w:rFonts w:hAnsi="仿宋"/>
          <w:sz w:val="21"/>
          <w:szCs w:val="21"/>
          <w:u w:val="single"/>
        </w:rPr>
      </w:pPr>
      <w:r>
        <w:rPr>
          <w:rFonts w:hint="eastAsia" w:hAnsi="仿宋"/>
          <w:sz w:val="21"/>
          <w:szCs w:val="21"/>
          <w:u w:val="single"/>
        </w:rPr>
        <w:t>指定接收邮箱：</w:t>
      </w:r>
    </w:p>
    <w:p w14:paraId="5A5CE8B3">
      <w:pPr>
        <w:spacing w:line="380" w:lineRule="exact"/>
        <w:ind w:firstLine="420" w:firstLineChars="200"/>
        <w:rPr>
          <w:rFonts w:hAnsi="仿宋"/>
          <w:sz w:val="21"/>
          <w:szCs w:val="21"/>
          <w:u w:val="single"/>
        </w:rPr>
      </w:pPr>
      <w:r>
        <w:rPr>
          <w:rFonts w:hint="eastAsia" w:hAnsi="仿宋"/>
          <w:sz w:val="21"/>
          <w:szCs w:val="21"/>
          <w:u w:val="single"/>
        </w:rPr>
        <w:t>6.按上述办法计算出的费用总额由发包人书面知会承包人，</w:t>
      </w:r>
      <w:r>
        <w:rPr>
          <w:rFonts w:hint="eastAsia" w:asciiTheme="minorEastAsia" w:hAnsiTheme="minorEastAsia" w:eastAsiaTheme="minorEastAsia"/>
          <w:sz w:val="21"/>
          <w:szCs w:val="21"/>
          <w:u w:val="single"/>
        </w:rPr>
        <w:t>费用</w:t>
      </w:r>
      <w:r>
        <w:rPr>
          <w:rFonts w:hint="eastAsia" w:hAnsi="仿宋"/>
          <w:sz w:val="21"/>
          <w:szCs w:val="21"/>
          <w:u w:val="single"/>
        </w:rPr>
        <w:t>由承包人</w:t>
      </w:r>
      <w:r>
        <w:rPr>
          <w:rFonts w:hint="eastAsia" w:asciiTheme="minorEastAsia" w:hAnsiTheme="minorEastAsia" w:eastAsiaTheme="minorEastAsia"/>
          <w:sz w:val="21"/>
          <w:szCs w:val="21"/>
          <w:u w:val="single"/>
        </w:rPr>
        <w:t>承担</w:t>
      </w:r>
      <w:r>
        <w:rPr>
          <w:rFonts w:hint="eastAsia" w:hAnsi="仿宋"/>
          <w:sz w:val="21"/>
          <w:szCs w:val="21"/>
          <w:u w:val="single"/>
        </w:rPr>
        <w:t>。</w:t>
      </w:r>
    </w:p>
    <w:p w14:paraId="231C74A8">
      <w:pPr>
        <w:spacing w:line="380" w:lineRule="exact"/>
        <w:ind w:firstLine="399" w:firstLineChars="190"/>
        <w:rPr>
          <w:rFonts w:hAnsi="仿宋"/>
          <w:sz w:val="21"/>
          <w:szCs w:val="21"/>
        </w:rPr>
      </w:pPr>
      <w:r>
        <w:rPr>
          <w:rFonts w:hint="eastAsia" w:hAnsi="仿宋"/>
          <w:sz w:val="21"/>
          <w:szCs w:val="21"/>
        </w:rPr>
        <w:t>工程质量保修书由发包人、承包人在工程竣工验收前共同签署，作为施工合同附件，其有效期限至保修期满。</w:t>
      </w:r>
    </w:p>
    <w:p w14:paraId="77FC01E8">
      <w:pPr>
        <w:spacing w:line="380" w:lineRule="exact"/>
        <w:rPr>
          <w:rFonts w:hAnsi="仿宋"/>
          <w:sz w:val="21"/>
          <w:szCs w:val="21"/>
        </w:rPr>
      </w:pPr>
    </w:p>
    <w:p w14:paraId="21445099">
      <w:pPr>
        <w:spacing w:line="360" w:lineRule="exact"/>
        <w:rPr>
          <w:rFonts w:ascii="宋体" w:hAnsi="宋体" w:eastAsia="宋体" w:cs="宋体"/>
          <w:sz w:val="21"/>
          <w:szCs w:val="21"/>
        </w:rPr>
      </w:pPr>
      <w:r>
        <w:rPr>
          <w:rFonts w:hint="eastAsia" w:ascii="宋体" w:hAnsi="宋体" w:eastAsia="宋体" w:cs="宋体"/>
          <w:sz w:val="21"/>
          <w:szCs w:val="21"/>
        </w:rPr>
        <w:t>发包人（公章）：                承包人（公章）：</w:t>
      </w:r>
    </w:p>
    <w:p w14:paraId="2D9111FB">
      <w:pPr>
        <w:spacing w:line="360" w:lineRule="exact"/>
        <w:rPr>
          <w:rFonts w:ascii="宋体" w:hAnsi="宋体" w:eastAsia="宋体" w:cs="宋体"/>
          <w:sz w:val="21"/>
          <w:szCs w:val="21"/>
        </w:rPr>
      </w:pPr>
      <w:r>
        <w:rPr>
          <w:rFonts w:hint="eastAsia" w:ascii="宋体" w:hAnsi="宋体" w:eastAsia="宋体" w:cs="宋体"/>
          <w:sz w:val="21"/>
          <w:szCs w:val="21"/>
        </w:rPr>
        <w:t>地址：                          地址：</w:t>
      </w:r>
    </w:p>
    <w:p w14:paraId="13DC4915">
      <w:pPr>
        <w:spacing w:line="360" w:lineRule="exact"/>
        <w:rPr>
          <w:rFonts w:ascii="宋体" w:hAnsi="宋体" w:eastAsia="宋体" w:cs="宋体"/>
          <w:sz w:val="21"/>
          <w:szCs w:val="21"/>
        </w:rPr>
      </w:pPr>
      <w:r>
        <w:rPr>
          <w:rFonts w:hint="eastAsia" w:ascii="宋体" w:hAnsi="宋体" w:eastAsia="宋体" w:cs="宋体"/>
          <w:sz w:val="21"/>
          <w:szCs w:val="21"/>
        </w:rPr>
        <w:t>法定代表人（签字）：            法定代表人（签字）：</w:t>
      </w:r>
    </w:p>
    <w:p w14:paraId="0238AA61">
      <w:pPr>
        <w:spacing w:line="360" w:lineRule="exact"/>
        <w:rPr>
          <w:rFonts w:ascii="宋体" w:hAnsi="宋体" w:eastAsia="宋体" w:cs="宋体"/>
          <w:sz w:val="21"/>
          <w:szCs w:val="21"/>
        </w:rPr>
      </w:pPr>
      <w:r>
        <w:rPr>
          <w:rFonts w:hint="eastAsia" w:ascii="宋体" w:hAnsi="宋体" w:eastAsia="宋体" w:cs="宋体"/>
          <w:sz w:val="21"/>
          <w:szCs w:val="21"/>
        </w:rPr>
        <w:t>委托代理人（签字）：            委托代理人（签字）：</w:t>
      </w:r>
    </w:p>
    <w:p w14:paraId="0AAF90CB">
      <w:pPr>
        <w:spacing w:line="360" w:lineRule="exact"/>
        <w:rPr>
          <w:rFonts w:ascii="宋体" w:hAnsi="宋体" w:eastAsia="宋体" w:cs="宋体"/>
          <w:sz w:val="21"/>
          <w:szCs w:val="21"/>
        </w:rPr>
      </w:pPr>
      <w:r>
        <w:rPr>
          <w:rFonts w:hint="eastAsia" w:ascii="宋体" w:hAnsi="宋体" w:eastAsia="宋体" w:cs="宋体"/>
          <w:sz w:val="21"/>
          <w:szCs w:val="21"/>
        </w:rPr>
        <w:t>电话：                          电话：</w:t>
      </w:r>
    </w:p>
    <w:p w14:paraId="6EBD8C51">
      <w:pPr>
        <w:spacing w:line="360" w:lineRule="exact"/>
        <w:rPr>
          <w:rFonts w:ascii="宋体" w:hAnsi="宋体" w:eastAsia="宋体" w:cs="宋体"/>
          <w:sz w:val="21"/>
          <w:szCs w:val="21"/>
        </w:rPr>
      </w:pPr>
      <w:r>
        <w:rPr>
          <w:rFonts w:hint="eastAsia" w:ascii="宋体" w:hAnsi="宋体" w:eastAsia="宋体" w:cs="宋体"/>
          <w:sz w:val="21"/>
          <w:szCs w:val="21"/>
        </w:rPr>
        <w:t>传真：                          传真：</w:t>
      </w:r>
    </w:p>
    <w:p w14:paraId="7DC03CEA">
      <w:pPr>
        <w:spacing w:line="360" w:lineRule="exact"/>
        <w:rPr>
          <w:rFonts w:ascii="宋体" w:hAnsi="宋体" w:eastAsia="宋体" w:cs="宋体"/>
          <w:sz w:val="21"/>
          <w:szCs w:val="21"/>
        </w:rPr>
      </w:pPr>
      <w:r>
        <w:rPr>
          <w:rFonts w:hint="eastAsia" w:ascii="宋体" w:hAnsi="宋体" w:eastAsia="宋体" w:cs="宋体"/>
          <w:sz w:val="21"/>
          <w:szCs w:val="21"/>
        </w:rPr>
        <w:t>开户银行：                      开户银行：</w:t>
      </w:r>
    </w:p>
    <w:p w14:paraId="10524464">
      <w:pPr>
        <w:spacing w:line="360" w:lineRule="exact"/>
        <w:rPr>
          <w:rFonts w:ascii="宋体" w:hAnsi="宋体" w:eastAsia="宋体" w:cs="宋体"/>
          <w:sz w:val="21"/>
          <w:szCs w:val="21"/>
        </w:rPr>
      </w:pPr>
      <w:r>
        <w:rPr>
          <w:rFonts w:hint="eastAsia" w:ascii="宋体" w:hAnsi="宋体" w:eastAsia="宋体" w:cs="宋体"/>
          <w:sz w:val="21"/>
          <w:szCs w:val="21"/>
        </w:rPr>
        <w:t>账号：                          账号：</w:t>
      </w:r>
    </w:p>
    <w:p w14:paraId="22DC6CB2">
      <w:pPr>
        <w:spacing w:line="380" w:lineRule="exact"/>
        <w:rPr>
          <w:rFonts w:hAnsi="仿宋"/>
          <w:sz w:val="21"/>
          <w:szCs w:val="21"/>
          <w:u w:val="single"/>
        </w:rPr>
      </w:pPr>
      <w:r>
        <w:rPr>
          <w:rFonts w:hint="eastAsia" w:ascii="宋体" w:hAnsi="宋体" w:eastAsia="宋体" w:cs="宋体"/>
          <w:sz w:val="21"/>
          <w:szCs w:val="21"/>
        </w:rPr>
        <w:t>邮政编码：                      邮政编码</w:t>
      </w:r>
    </w:p>
    <w:p w14:paraId="596C8F8B">
      <w:pPr>
        <w:pStyle w:val="9"/>
      </w:pPr>
    </w:p>
    <w:p w14:paraId="76DF6F07">
      <w:pPr>
        <w:spacing w:line="360" w:lineRule="auto"/>
        <w:jc w:val="left"/>
        <w:rPr>
          <w:rFonts w:ascii="宋体" w:hAnsi="宋体" w:eastAsia="宋体" w:cs="宋体"/>
          <w:b/>
          <w:bCs/>
          <w:sz w:val="21"/>
          <w:szCs w:val="21"/>
        </w:rPr>
      </w:pPr>
      <w:r>
        <w:rPr>
          <w:rFonts w:hint="eastAsia" w:ascii="宋体" w:hAnsi="宋体" w:eastAsia="宋体" w:cs="宋体"/>
          <w:sz w:val="21"/>
          <w:szCs w:val="21"/>
        </w:rPr>
        <w:br w:type="page"/>
      </w:r>
      <w:r>
        <w:rPr>
          <w:rFonts w:hint="eastAsia" w:ascii="宋体" w:hAnsi="宋体" w:eastAsia="宋体" w:cs="宋体"/>
          <w:b/>
          <w:bCs/>
          <w:sz w:val="21"/>
          <w:szCs w:val="21"/>
        </w:rPr>
        <w:t>附件：</w:t>
      </w:r>
    </w:p>
    <w:p w14:paraId="43609FCB">
      <w:pPr>
        <w:spacing w:line="360" w:lineRule="auto"/>
        <w:jc w:val="center"/>
        <w:rPr>
          <w:rFonts w:ascii="宋体" w:hAnsi="宋体" w:eastAsia="宋体" w:cs="宋体"/>
          <w:b/>
          <w:bCs/>
          <w:sz w:val="21"/>
          <w:szCs w:val="21"/>
        </w:rPr>
      </w:pPr>
      <w:r>
        <w:rPr>
          <w:rFonts w:hint="eastAsia" w:ascii="宋体" w:hAnsi="宋体" w:eastAsia="宋体" w:cs="宋体"/>
          <w:b/>
          <w:bCs/>
          <w:sz w:val="21"/>
          <w:szCs w:val="21"/>
        </w:rPr>
        <w:t>工程建设项目廉政责任书</w:t>
      </w:r>
    </w:p>
    <w:p w14:paraId="4899FAFC">
      <w:pPr>
        <w:spacing w:line="360" w:lineRule="auto"/>
        <w:jc w:val="left"/>
        <w:rPr>
          <w:rFonts w:ascii="宋体" w:hAnsi="宋体" w:eastAsia="宋体" w:cs="宋体"/>
          <w:sz w:val="21"/>
          <w:szCs w:val="21"/>
        </w:rPr>
      </w:pPr>
    </w:p>
    <w:p w14:paraId="79090E2E">
      <w:pPr>
        <w:spacing w:line="360" w:lineRule="auto"/>
        <w:rPr>
          <w:rFonts w:ascii="宋体" w:hAnsi="宋体" w:eastAsia="宋体" w:cs="宋体"/>
          <w:sz w:val="21"/>
          <w:szCs w:val="21"/>
        </w:rPr>
      </w:pPr>
      <w:r>
        <w:rPr>
          <w:rFonts w:hint="eastAsia" w:ascii="宋体" w:hAnsi="宋体" w:eastAsia="宋体" w:cs="宋体"/>
          <w:sz w:val="21"/>
          <w:szCs w:val="21"/>
        </w:rPr>
        <w:t>工程项目名称：</w:t>
      </w:r>
      <w:r>
        <w:rPr>
          <w:rFonts w:hint="eastAsia" w:hAnsi="仿宋" w:eastAsia="宋体"/>
          <w:sz w:val="21"/>
          <w:szCs w:val="21"/>
          <w:u w:val="single"/>
        </w:rPr>
        <w:t>台州市黄岩第二高级中学体能训练场、科技楼顶渗漏和阶梯教室等改造工程</w:t>
      </w:r>
    </w:p>
    <w:p w14:paraId="5FAB5F04">
      <w:pPr>
        <w:spacing w:line="360" w:lineRule="auto"/>
        <w:rPr>
          <w:rFonts w:ascii="宋体" w:hAnsi="宋体" w:eastAsia="宋体" w:cs="宋体"/>
          <w:sz w:val="21"/>
          <w:szCs w:val="21"/>
        </w:rPr>
      </w:pPr>
      <w:r>
        <w:rPr>
          <w:rFonts w:hint="eastAsia" w:ascii="宋体" w:hAnsi="宋体" w:eastAsia="宋体" w:cs="宋体"/>
          <w:sz w:val="21"/>
          <w:szCs w:val="21"/>
        </w:rPr>
        <w:t>工程项目地址：</w:t>
      </w:r>
      <w:r>
        <w:rPr>
          <w:rFonts w:hint="eastAsia" w:ascii="宋体" w:hAnsi="宋体" w:eastAsia="宋体" w:cs="宋体"/>
          <w:sz w:val="21"/>
          <w:szCs w:val="21"/>
          <w:u w:val="single"/>
        </w:rPr>
        <w:t>台州市黄岩区西城街道</w:t>
      </w:r>
    </w:p>
    <w:p w14:paraId="2EE62312">
      <w:pPr>
        <w:spacing w:line="360" w:lineRule="auto"/>
        <w:rPr>
          <w:rFonts w:ascii="宋体" w:hAnsi="宋体" w:eastAsia="宋体" w:cs="宋体"/>
          <w:sz w:val="21"/>
          <w:szCs w:val="21"/>
        </w:rPr>
      </w:pPr>
      <w:r>
        <w:rPr>
          <w:rFonts w:hint="eastAsia" w:ascii="宋体" w:hAnsi="宋体" w:eastAsia="宋体" w:cs="宋体"/>
          <w:sz w:val="21"/>
          <w:szCs w:val="21"/>
        </w:rPr>
        <w:t>建设单位（甲方）：</w:t>
      </w:r>
      <w:r>
        <w:rPr>
          <w:rFonts w:hint="eastAsia" w:ascii="宋体" w:hAnsi="宋体" w:eastAsia="宋体" w:cs="宋体"/>
          <w:sz w:val="21"/>
          <w:szCs w:val="21"/>
          <w:u w:val="single"/>
        </w:rPr>
        <w:t>台州市黄岩第二高级中学</w:t>
      </w:r>
    </w:p>
    <w:p w14:paraId="416ADDA4">
      <w:pPr>
        <w:spacing w:line="360" w:lineRule="auto"/>
        <w:rPr>
          <w:rFonts w:ascii="宋体" w:hAnsi="宋体" w:eastAsia="宋体" w:cs="宋体"/>
          <w:sz w:val="21"/>
          <w:szCs w:val="21"/>
          <w:u w:val="single"/>
        </w:rPr>
      </w:pPr>
      <w:r>
        <w:rPr>
          <w:rFonts w:hint="eastAsia" w:ascii="宋体" w:hAnsi="宋体" w:eastAsia="宋体" w:cs="宋体"/>
          <w:sz w:val="21"/>
          <w:szCs w:val="21"/>
        </w:rPr>
        <w:t>施工单位（乙方）：</w:t>
      </w:r>
    </w:p>
    <w:p w14:paraId="5B75C666">
      <w:pPr>
        <w:spacing w:line="360" w:lineRule="auto"/>
        <w:jc w:val="left"/>
        <w:rPr>
          <w:rFonts w:ascii="宋体" w:hAnsi="宋体" w:eastAsia="宋体" w:cs="宋体"/>
          <w:sz w:val="21"/>
          <w:szCs w:val="21"/>
        </w:rPr>
      </w:pPr>
      <w:r>
        <w:rPr>
          <w:rFonts w:hint="eastAsia" w:ascii="宋体" w:hAnsi="宋体" w:eastAsia="宋体" w:cs="宋体"/>
          <w:sz w:val="21"/>
          <w:szCs w:val="21"/>
        </w:rPr>
        <w:t>　　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37C183A8">
      <w:pPr>
        <w:spacing w:line="360" w:lineRule="auto"/>
        <w:jc w:val="left"/>
        <w:rPr>
          <w:rFonts w:ascii="宋体" w:hAnsi="宋体" w:eastAsia="宋体" w:cs="宋体"/>
          <w:sz w:val="21"/>
          <w:szCs w:val="21"/>
        </w:rPr>
      </w:pPr>
      <w:r>
        <w:rPr>
          <w:rFonts w:hint="eastAsia" w:ascii="宋体" w:hAnsi="宋体" w:eastAsia="宋体" w:cs="宋体"/>
          <w:sz w:val="21"/>
          <w:szCs w:val="21"/>
        </w:rPr>
        <w:t>　　第一条甲乙双方的责任</w:t>
      </w:r>
    </w:p>
    <w:p w14:paraId="17D789A8">
      <w:pPr>
        <w:spacing w:line="360" w:lineRule="auto"/>
        <w:jc w:val="left"/>
        <w:rPr>
          <w:rFonts w:ascii="宋体" w:hAnsi="宋体" w:eastAsia="宋体" w:cs="宋体"/>
          <w:sz w:val="21"/>
          <w:szCs w:val="21"/>
        </w:rPr>
      </w:pPr>
      <w:r>
        <w:rPr>
          <w:rFonts w:hint="eastAsia" w:ascii="宋体" w:hAnsi="宋体" w:eastAsia="宋体" w:cs="宋体"/>
          <w:sz w:val="21"/>
          <w:szCs w:val="21"/>
        </w:rPr>
        <w:t>　　（一）应严格遵守国家关于市场准入、项目招标投标、工程建设、施工安装和市场活动等有关法律、法规，相关政策，以及廉政建设的各项规定。</w:t>
      </w:r>
    </w:p>
    <w:p w14:paraId="2D0DCACC">
      <w:pPr>
        <w:spacing w:line="360" w:lineRule="auto"/>
        <w:jc w:val="left"/>
        <w:rPr>
          <w:rFonts w:ascii="宋体" w:hAnsi="宋体" w:eastAsia="宋体" w:cs="宋体"/>
          <w:sz w:val="21"/>
          <w:szCs w:val="21"/>
        </w:rPr>
      </w:pPr>
      <w:r>
        <w:rPr>
          <w:rFonts w:hint="eastAsia" w:ascii="宋体" w:hAnsi="宋体" w:eastAsia="宋体" w:cs="宋体"/>
          <w:sz w:val="21"/>
          <w:szCs w:val="21"/>
        </w:rPr>
        <w:t>　　（二）严格执行建设工程项目承发包合同文件，自觉按合同办事。</w:t>
      </w:r>
    </w:p>
    <w:p w14:paraId="56682D56">
      <w:pPr>
        <w:spacing w:line="360" w:lineRule="auto"/>
        <w:jc w:val="left"/>
        <w:rPr>
          <w:rFonts w:ascii="宋体" w:hAnsi="宋体" w:eastAsia="宋体" w:cs="宋体"/>
          <w:sz w:val="21"/>
          <w:szCs w:val="21"/>
        </w:rPr>
      </w:pPr>
      <w:r>
        <w:rPr>
          <w:rFonts w:hint="eastAsia" w:ascii="宋体" w:hAnsi="宋体" w:eastAsia="宋体" w:cs="宋体"/>
          <w:sz w:val="21"/>
          <w:szCs w:val="21"/>
        </w:rPr>
        <w:t>　　（三）业务活动必须坚持公开、公平、公正、诚信、透明的原则（除法律法规另有规定者外），不得为获取不正当的利益，损害国家、集体和对方利益，不得违反工程建设管理、施工安装的规章制度。</w:t>
      </w:r>
    </w:p>
    <w:p w14:paraId="6CFEB93C">
      <w:pPr>
        <w:spacing w:line="360" w:lineRule="auto"/>
        <w:jc w:val="left"/>
        <w:rPr>
          <w:rFonts w:ascii="宋体" w:hAnsi="宋体" w:eastAsia="宋体" w:cs="宋体"/>
          <w:sz w:val="21"/>
          <w:szCs w:val="21"/>
        </w:rPr>
      </w:pPr>
      <w:r>
        <w:rPr>
          <w:rFonts w:hint="eastAsia" w:ascii="宋体" w:hAnsi="宋体" w:eastAsia="宋体" w:cs="宋体"/>
          <w:sz w:val="21"/>
          <w:szCs w:val="21"/>
        </w:rPr>
        <w:t>　　（四）发现对方在业务活动中有违规、违纪、违法行为的，应及时提醒对方，情节严重的，应向其上级主管部门或纪检监察、司法等有关机关举报。</w:t>
      </w:r>
    </w:p>
    <w:p w14:paraId="205EC9FC">
      <w:pPr>
        <w:spacing w:line="360" w:lineRule="auto"/>
        <w:jc w:val="left"/>
        <w:rPr>
          <w:rFonts w:ascii="宋体" w:hAnsi="宋体" w:eastAsia="宋体" w:cs="宋体"/>
          <w:sz w:val="21"/>
          <w:szCs w:val="21"/>
        </w:rPr>
      </w:pPr>
      <w:r>
        <w:rPr>
          <w:rFonts w:hint="eastAsia" w:ascii="宋体" w:hAnsi="宋体" w:eastAsia="宋体" w:cs="宋体"/>
          <w:sz w:val="21"/>
          <w:szCs w:val="21"/>
        </w:rPr>
        <w:t>　　第二条甲方的责任</w:t>
      </w:r>
    </w:p>
    <w:p w14:paraId="4F65221B">
      <w:pPr>
        <w:spacing w:line="360" w:lineRule="auto"/>
        <w:jc w:val="left"/>
        <w:rPr>
          <w:rFonts w:ascii="宋体" w:hAnsi="宋体" w:eastAsia="宋体" w:cs="宋体"/>
          <w:sz w:val="21"/>
          <w:szCs w:val="21"/>
        </w:rPr>
      </w:pPr>
      <w:r>
        <w:rPr>
          <w:rFonts w:hint="eastAsia" w:ascii="宋体" w:hAnsi="宋体" w:eastAsia="宋体" w:cs="宋体"/>
          <w:sz w:val="21"/>
          <w:szCs w:val="21"/>
        </w:rPr>
        <w:t>　　甲方的领导和从事该建设工程项目的工作人员，在工程建设的事前、事中、事后应遵守以下规定：</w:t>
      </w:r>
    </w:p>
    <w:p w14:paraId="768A998A">
      <w:pPr>
        <w:spacing w:line="360" w:lineRule="auto"/>
        <w:jc w:val="left"/>
        <w:rPr>
          <w:rFonts w:ascii="宋体" w:hAnsi="宋体" w:eastAsia="宋体" w:cs="宋体"/>
          <w:sz w:val="21"/>
          <w:szCs w:val="21"/>
        </w:rPr>
      </w:pPr>
      <w:r>
        <w:rPr>
          <w:rFonts w:hint="eastAsia" w:ascii="宋体" w:hAnsi="宋体" w:eastAsia="宋体" w:cs="宋体"/>
          <w:sz w:val="21"/>
          <w:szCs w:val="21"/>
        </w:rPr>
        <w:t>　　（一）不准向乙方和相关单位索要或接受回扣、礼金、有价证券、贵重物品和好处费、感谢费等。</w:t>
      </w:r>
    </w:p>
    <w:p w14:paraId="0E8ADEA1">
      <w:pPr>
        <w:spacing w:line="360" w:lineRule="auto"/>
        <w:jc w:val="left"/>
        <w:rPr>
          <w:rFonts w:ascii="宋体" w:hAnsi="宋体" w:eastAsia="宋体" w:cs="宋体"/>
          <w:sz w:val="21"/>
          <w:szCs w:val="21"/>
        </w:rPr>
      </w:pPr>
      <w:r>
        <w:rPr>
          <w:rFonts w:hint="eastAsia" w:ascii="宋体" w:hAnsi="宋体" w:eastAsia="宋体" w:cs="宋体"/>
          <w:sz w:val="21"/>
          <w:szCs w:val="21"/>
        </w:rPr>
        <w:t>　　（二）不准在乙方和相关单位报销任何应由甲方或个人支付的费用。</w:t>
      </w:r>
    </w:p>
    <w:p w14:paraId="483D01BA">
      <w:pPr>
        <w:spacing w:line="360" w:lineRule="auto"/>
        <w:jc w:val="left"/>
        <w:rPr>
          <w:rFonts w:ascii="宋体" w:hAnsi="宋体" w:eastAsia="宋体" w:cs="宋体"/>
          <w:sz w:val="21"/>
          <w:szCs w:val="21"/>
        </w:rPr>
      </w:pPr>
      <w:r>
        <w:rPr>
          <w:rFonts w:hint="eastAsia" w:ascii="宋体" w:hAnsi="宋体" w:eastAsia="宋体" w:cs="宋体"/>
          <w:sz w:val="21"/>
          <w:szCs w:val="21"/>
        </w:rPr>
        <w:t>　　（三）不准要求、暗示和接受乙方和相关单位为个人装修住房、婚丧嫁娶、配偶子女的工作安排以及出国（境）、旅游等提供方便。</w:t>
      </w:r>
    </w:p>
    <w:p w14:paraId="6ACF593A">
      <w:pPr>
        <w:spacing w:line="360" w:lineRule="auto"/>
        <w:jc w:val="left"/>
        <w:rPr>
          <w:rFonts w:ascii="宋体" w:hAnsi="宋体" w:eastAsia="宋体" w:cs="宋体"/>
          <w:sz w:val="21"/>
          <w:szCs w:val="21"/>
        </w:rPr>
      </w:pPr>
      <w:r>
        <w:rPr>
          <w:rFonts w:hint="eastAsia" w:ascii="宋体" w:hAnsi="宋体" w:eastAsia="宋体" w:cs="宋体"/>
          <w:sz w:val="21"/>
          <w:szCs w:val="21"/>
        </w:rPr>
        <w:t>　　（四）不准参加有可能影响公正执行公务的乙方和相关单位的宴请和健身、娱乐等活动。</w:t>
      </w:r>
    </w:p>
    <w:p w14:paraId="080F609F">
      <w:pPr>
        <w:spacing w:line="360" w:lineRule="auto"/>
        <w:jc w:val="left"/>
        <w:rPr>
          <w:rFonts w:ascii="宋体" w:hAnsi="宋体" w:eastAsia="宋体" w:cs="宋体"/>
          <w:sz w:val="21"/>
          <w:szCs w:val="21"/>
        </w:rPr>
      </w:pPr>
      <w:r>
        <w:rPr>
          <w:rFonts w:hint="eastAsia" w:ascii="宋体" w:hAnsi="宋体" w:eastAsia="宋体" w:cs="宋体"/>
          <w:sz w:val="21"/>
          <w:szCs w:val="21"/>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4DB680F1">
      <w:pPr>
        <w:spacing w:line="360" w:lineRule="auto"/>
        <w:jc w:val="left"/>
        <w:rPr>
          <w:rFonts w:ascii="宋体" w:hAnsi="宋体" w:eastAsia="宋体" w:cs="宋体"/>
          <w:sz w:val="21"/>
          <w:szCs w:val="21"/>
        </w:rPr>
      </w:pPr>
      <w:r>
        <w:rPr>
          <w:rFonts w:hint="eastAsia" w:ascii="宋体" w:hAnsi="宋体" w:eastAsia="宋体" w:cs="宋体"/>
          <w:sz w:val="21"/>
          <w:szCs w:val="21"/>
        </w:rPr>
        <w:t>　　第三条乙方的责任</w:t>
      </w:r>
    </w:p>
    <w:p w14:paraId="24B9092C">
      <w:pPr>
        <w:spacing w:line="360" w:lineRule="auto"/>
        <w:jc w:val="left"/>
        <w:rPr>
          <w:rFonts w:ascii="宋体" w:hAnsi="宋体" w:eastAsia="宋体" w:cs="宋体"/>
          <w:sz w:val="21"/>
          <w:szCs w:val="21"/>
        </w:rPr>
      </w:pPr>
      <w:r>
        <w:rPr>
          <w:rFonts w:hint="eastAsia" w:ascii="宋体" w:hAnsi="宋体" w:eastAsia="宋体" w:cs="宋体"/>
          <w:sz w:val="21"/>
          <w:szCs w:val="21"/>
        </w:rPr>
        <w:t>　　应与甲方保持正常的业务交往，按照有关法律法规和程序开展业务工作，严格执行工程建设的有关方针、政策，尤其是有关建筑施工安装的强制性标准和规范，并遵守以下规定：</w:t>
      </w:r>
    </w:p>
    <w:p w14:paraId="70572D4E">
      <w:pPr>
        <w:spacing w:line="360" w:lineRule="auto"/>
        <w:jc w:val="left"/>
        <w:rPr>
          <w:rFonts w:ascii="宋体" w:hAnsi="宋体" w:eastAsia="宋体" w:cs="宋体"/>
          <w:sz w:val="21"/>
          <w:szCs w:val="21"/>
        </w:rPr>
      </w:pPr>
      <w:r>
        <w:rPr>
          <w:rFonts w:hint="eastAsia" w:ascii="宋体" w:hAnsi="宋体" w:eastAsia="宋体" w:cs="宋体"/>
          <w:sz w:val="21"/>
          <w:szCs w:val="21"/>
        </w:rPr>
        <w:t>　　（一）不准以任何理由向甲方、相关单位及其工作人员索要、接受或赠送礼金、有价证券、贵重物品和回扣、好处费、感谢费等。</w:t>
      </w:r>
    </w:p>
    <w:p w14:paraId="30C6321A">
      <w:pPr>
        <w:spacing w:line="360" w:lineRule="auto"/>
        <w:jc w:val="left"/>
        <w:rPr>
          <w:rFonts w:ascii="宋体" w:hAnsi="宋体" w:eastAsia="宋体" w:cs="宋体"/>
          <w:sz w:val="21"/>
          <w:szCs w:val="21"/>
        </w:rPr>
      </w:pPr>
      <w:r>
        <w:rPr>
          <w:rFonts w:hint="eastAsia" w:ascii="宋体" w:hAnsi="宋体" w:eastAsia="宋体" w:cs="宋体"/>
          <w:sz w:val="21"/>
          <w:szCs w:val="21"/>
        </w:rPr>
        <w:t>　　（二）不准以任何理由为甲方和相关单位报销应由对方或个人支付的费用。</w:t>
      </w:r>
    </w:p>
    <w:p w14:paraId="680E6C74">
      <w:pPr>
        <w:spacing w:line="360" w:lineRule="auto"/>
        <w:jc w:val="left"/>
        <w:rPr>
          <w:rFonts w:ascii="宋体" w:hAnsi="宋体" w:eastAsia="宋体" w:cs="宋体"/>
          <w:sz w:val="21"/>
          <w:szCs w:val="21"/>
        </w:rPr>
      </w:pPr>
      <w:r>
        <w:rPr>
          <w:rFonts w:hint="eastAsia" w:ascii="宋体" w:hAnsi="宋体" w:eastAsia="宋体" w:cs="宋体"/>
          <w:sz w:val="21"/>
          <w:szCs w:val="21"/>
        </w:rPr>
        <w:t>　　（三）不准接受或暗示为甲方、相关单位或个人装修住房、婚丧嫁娶、配偶子女的工作安排以及出国（境）、旅游等提供方便。</w:t>
      </w:r>
    </w:p>
    <w:p w14:paraId="3D39AF80">
      <w:pPr>
        <w:spacing w:line="360" w:lineRule="auto"/>
        <w:jc w:val="left"/>
        <w:rPr>
          <w:rFonts w:ascii="宋体" w:hAnsi="宋体" w:eastAsia="宋体" w:cs="宋体"/>
          <w:sz w:val="21"/>
          <w:szCs w:val="21"/>
        </w:rPr>
      </w:pPr>
      <w:r>
        <w:rPr>
          <w:rFonts w:hint="eastAsia" w:ascii="宋体" w:hAnsi="宋体" w:eastAsia="宋体" w:cs="宋体"/>
          <w:sz w:val="21"/>
          <w:szCs w:val="21"/>
        </w:rPr>
        <w:t>　　（四）不准以任何理由为甲方、相关单位或个人组织有可能影响公正执行公务的宴请、健身、娱乐等活动。</w:t>
      </w:r>
    </w:p>
    <w:p w14:paraId="256E7B21">
      <w:pPr>
        <w:spacing w:line="360" w:lineRule="auto"/>
        <w:jc w:val="left"/>
        <w:rPr>
          <w:rFonts w:ascii="宋体" w:hAnsi="宋体" w:eastAsia="宋体" w:cs="宋体"/>
          <w:sz w:val="21"/>
          <w:szCs w:val="21"/>
        </w:rPr>
      </w:pPr>
      <w:r>
        <w:rPr>
          <w:rFonts w:hint="eastAsia" w:ascii="宋体" w:hAnsi="宋体" w:eastAsia="宋体" w:cs="宋体"/>
          <w:sz w:val="21"/>
          <w:szCs w:val="21"/>
        </w:rPr>
        <w:t>　　第四条违约责任</w:t>
      </w:r>
    </w:p>
    <w:p w14:paraId="5DDBAE6E">
      <w:pPr>
        <w:spacing w:line="360" w:lineRule="auto"/>
        <w:jc w:val="left"/>
        <w:rPr>
          <w:rFonts w:ascii="宋体" w:hAnsi="宋体" w:eastAsia="宋体" w:cs="宋体"/>
          <w:sz w:val="21"/>
          <w:szCs w:val="21"/>
        </w:rPr>
      </w:pPr>
      <w:r>
        <w:rPr>
          <w:rFonts w:hint="eastAsia" w:ascii="宋体" w:hAnsi="宋体" w:eastAsia="宋体" w:cs="宋体"/>
          <w:sz w:val="21"/>
          <w:szCs w:val="21"/>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03F03731">
      <w:pPr>
        <w:spacing w:line="360" w:lineRule="auto"/>
        <w:jc w:val="left"/>
        <w:rPr>
          <w:rFonts w:ascii="宋体" w:hAnsi="宋体" w:eastAsia="宋体" w:cs="宋体"/>
          <w:sz w:val="21"/>
          <w:szCs w:val="21"/>
        </w:rPr>
      </w:pPr>
      <w:r>
        <w:rPr>
          <w:rFonts w:hint="eastAsia" w:ascii="宋体" w:hAnsi="宋体" w:eastAsia="宋体" w:cs="宋体"/>
          <w:sz w:val="21"/>
          <w:szCs w:val="21"/>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6CEC4569">
      <w:pPr>
        <w:spacing w:line="360" w:lineRule="auto"/>
        <w:jc w:val="left"/>
        <w:rPr>
          <w:rFonts w:ascii="宋体" w:hAnsi="宋体" w:eastAsia="宋体" w:cs="宋体"/>
          <w:sz w:val="21"/>
          <w:szCs w:val="21"/>
        </w:rPr>
      </w:pPr>
      <w:r>
        <w:rPr>
          <w:rFonts w:hint="eastAsia" w:ascii="宋体" w:hAnsi="宋体" w:eastAsia="宋体" w:cs="宋体"/>
          <w:sz w:val="21"/>
          <w:szCs w:val="21"/>
        </w:rPr>
        <w:t>　　第五条本责任书作为施工合同的附件，与工程施工合同具有同等法律效力。经双方签署后立即生效。</w:t>
      </w:r>
    </w:p>
    <w:p w14:paraId="05A63BA5">
      <w:pPr>
        <w:spacing w:line="360" w:lineRule="auto"/>
        <w:jc w:val="left"/>
        <w:rPr>
          <w:rFonts w:ascii="宋体" w:hAnsi="宋体" w:eastAsia="宋体" w:cs="宋体"/>
          <w:sz w:val="21"/>
          <w:szCs w:val="21"/>
        </w:rPr>
      </w:pPr>
      <w:r>
        <w:rPr>
          <w:rFonts w:hint="eastAsia" w:ascii="宋体" w:hAnsi="宋体" w:eastAsia="宋体" w:cs="宋体"/>
          <w:sz w:val="21"/>
          <w:szCs w:val="21"/>
        </w:rPr>
        <w:t>　　第六条本责任书的有效期为双方签署之日起至该工程项目竣工验收合格时止。</w:t>
      </w:r>
    </w:p>
    <w:p w14:paraId="0256E209">
      <w:pPr>
        <w:spacing w:line="360" w:lineRule="auto"/>
        <w:jc w:val="left"/>
        <w:rPr>
          <w:rFonts w:ascii="宋体" w:hAnsi="宋体" w:eastAsia="宋体" w:cs="宋体"/>
          <w:sz w:val="21"/>
          <w:szCs w:val="21"/>
        </w:rPr>
      </w:pPr>
      <w:r>
        <w:rPr>
          <w:rFonts w:hint="eastAsia" w:ascii="宋体" w:hAnsi="宋体" w:eastAsia="宋体" w:cs="宋体"/>
          <w:sz w:val="21"/>
          <w:szCs w:val="21"/>
        </w:rPr>
        <w:t>　　第七条本责任书一式四份，由甲乙双方各执一份，送交甲乙双方的监督单位各一份。</w:t>
      </w:r>
    </w:p>
    <w:p w14:paraId="11E3508B">
      <w:pPr>
        <w:spacing w:line="360" w:lineRule="auto"/>
        <w:jc w:val="left"/>
        <w:rPr>
          <w:rFonts w:ascii="宋体" w:hAnsi="宋体" w:eastAsia="宋体" w:cs="宋体"/>
          <w:sz w:val="21"/>
          <w:szCs w:val="21"/>
        </w:rPr>
      </w:pPr>
    </w:p>
    <w:p w14:paraId="73BE742F">
      <w:pPr>
        <w:spacing w:line="360" w:lineRule="auto"/>
        <w:jc w:val="left"/>
        <w:rPr>
          <w:rFonts w:ascii="宋体" w:hAnsi="宋体" w:eastAsia="宋体" w:cs="宋体"/>
          <w:sz w:val="21"/>
          <w:szCs w:val="21"/>
        </w:rPr>
      </w:pPr>
    </w:p>
    <w:p w14:paraId="707B244A">
      <w:pPr>
        <w:spacing w:line="360" w:lineRule="auto"/>
        <w:jc w:val="left"/>
        <w:rPr>
          <w:rFonts w:ascii="宋体" w:hAnsi="宋体" w:eastAsia="宋体" w:cs="宋体"/>
          <w:sz w:val="21"/>
          <w:szCs w:val="21"/>
        </w:rPr>
      </w:pPr>
      <w:r>
        <w:rPr>
          <w:rFonts w:hint="eastAsia" w:ascii="宋体" w:hAnsi="宋体" w:eastAsia="宋体" w:cs="宋体"/>
          <w:sz w:val="21"/>
          <w:szCs w:val="21"/>
        </w:rPr>
        <w:t>甲方单位：（盖章）　　　　　　　　　　　乙方单位：（盖章）</w:t>
      </w:r>
    </w:p>
    <w:p w14:paraId="664E5030">
      <w:pPr>
        <w:spacing w:line="360" w:lineRule="auto"/>
        <w:jc w:val="left"/>
        <w:rPr>
          <w:rFonts w:ascii="宋体" w:hAnsi="宋体" w:eastAsia="宋体" w:cs="宋体"/>
          <w:sz w:val="21"/>
          <w:szCs w:val="21"/>
        </w:rPr>
      </w:pPr>
      <w:r>
        <w:rPr>
          <w:rFonts w:hint="eastAsia" w:ascii="宋体" w:hAnsi="宋体" w:eastAsia="宋体" w:cs="宋体"/>
          <w:sz w:val="21"/>
          <w:szCs w:val="21"/>
        </w:rPr>
        <w:t>法定代表人：　　　　　　　　　　　　　　法定代表人：</w:t>
      </w:r>
    </w:p>
    <w:p w14:paraId="54A442D5">
      <w:pPr>
        <w:spacing w:line="360" w:lineRule="auto"/>
        <w:jc w:val="left"/>
        <w:rPr>
          <w:rFonts w:ascii="宋体" w:hAnsi="宋体" w:eastAsia="宋体" w:cs="宋体"/>
          <w:sz w:val="21"/>
          <w:szCs w:val="21"/>
        </w:rPr>
      </w:pPr>
      <w:r>
        <w:rPr>
          <w:rFonts w:hint="eastAsia" w:ascii="宋体" w:hAnsi="宋体" w:eastAsia="宋体" w:cs="宋体"/>
          <w:sz w:val="21"/>
          <w:szCs w:val="21"/>
        </w:rPr>
        <w:t>地址：　　　　　　　　　　　　　　　　　地址：</w:t>
      </w:r>
    </w:p>
    <w:p w14:paraId="387F1A31">
      <w:pPr>
        <w:spacing w:line="360" w:lineRule="auto"/>
        <w:jc w:val="left"/>
        <w:rPr>
          <w:rFonts w:ascii="宋体" w:hAnsi="宋体" w:eastAsia="宋体" w:cs="宋体"/>
          <w:sz w:val="21"/>
          <w:szCs w:val="21"/>
        </w:rPr>
      </w:pPr>
      <w:r>
        <w:rPr>
          <w:rFonts w:hint="eastAsia" w:ascii="宋体" w:hAnsi="宋体" w:eastAsia="宋体" w:cs="宋体"/>
          <w:sz w:val="21"/>
          <w:szCs w:val="21"/>
        </w:rPr>
        <w:t>电话：　　　　　　　　　　　　　　　　　电话：</w:t>
      </w:r>
    </w:p>
    <w:p w14:paraId="04A5CBA0">
      <w:pPr>
        <w:spacing w:line="360" w:lineRule="auto"/>
        <w:jc w:val="left"/>
        <w:rPr>
          <w:rFonts w:ascii="宋体" w:hAnsi="宋体" w:eastAsia="宋体" w:cs="宋体"/>
          <w:sz w:val="21"/>
          <w:szCs w:val="21"/>
        </w:rPr>
      </w:pPr>
      <w:r>
        <w:rPr>
          <w:rFonts w:hint="eastAsia" w:ascii="宋体" w:hAnsi="宋体" w:eastAsia="宋体" w:cs="宋体"/>
          <w:sz w:val="21"/>
          <w:szCs w:val="21"/>
        </w:rPr>
        <w:t>年　月　日　　　　　　　　　　　　　　　年　月　日</w:t>
      </w:r>
    </w:p>
    <w:p w14:paraId="0003570F">
      <w:pPr>
        <w:spacing w:line="360" w:lineRule="auto"/>
        <w:jc w:val="left"/>
        <w:rPr>
          <w:rFonts w:ascii="宋体" w:hAnsi="宋体" w:eastAsia="宋体" w:cs="宋体"/>
          <w:sz w:val="21"/>
          <w:szCs w:val="21"/>
        </w:rPr>
      </w:pPr>
      <w:r>
        <w:rPr>
          <w:rFonts w:hint="eastAsia" w:ascii="宋体" w:hAnsi="宋体" w:eastAsia="宋体" w:cs="宋体"/>
          <w:sz w:val="21"/>
          <w:szCs w:val="21"/>
        </w:rPr>
        <w:t>甲方监督单位（盖章）　　　　　　　　　　乙方监督单位（盖章）</w:t>
      </w:r>
    </w:p>
    <w:p w14:paraId="4F1C6FC3">
      <w:pPr>
        <w:spacing w:line="360" w:lineRule="auto"/>
        <w:jc w:val="left"/>
        <w:rPr>
          <w:rFonts w:ascii="宋体" w:hAnsi="宋体" w:eastAsia="宋体" w:cs="宋体"/>
          <w:sz w:val="21"/>
          <w:szCs w:val="21"/>
        </w:rPr>
      </w:pPr>
      <w:r>
        <w:rPr>
          <w:rFonts w:hint="eastAsia" w:ascii="宋体" w:hAnsi="宋体" w:eastAsia="宋体" w:cs="宋体"/>
          <w:sz w:val="21"/>
          <w:szCs w:val="21"/>
        </w:rPr>
        <w:t>年　月　日　　　　　　　　　　　　　　　年　月　日</w:t>
      </w:r>
    </w:p>
    <w:p w14:paraId="3A18D236">
      <w:pPr>
        <w:spacing w:line="360" w:lineRule="auto"/>
        <w:jc w:val="left"/>
        <w:rPr>
          <w:rFonts w:ascii="宋体" w:hAnsi="宋体" w:eastAsia="宋体" w:cs="宋体"/>
          <w:sz w:val="21"/>
          <w:szCs w:val="21"/>
        </w:rPr>
        <w:sectPr>
          <w:footerReference r:id="rId11" w:type="first"/>
          <w:footerReference r:id="rId10" w:type="default"/>
          <w:pgSz w:w="11906" w:h="16838"/>
          <w:pgMar w:top="1440" w:right="1440" w:bottom="1440" w:left="1440" w:header="851" w:footer="992" w:gutter="0"/>
          <w:pgNumType w:start="1"/>
          <w:cols w:space="720" w:num="1"/>
          <w:docGrid w:linePitch="490" w:charSpace="0"/>
        </w:sectPr>
      </w:pPr>
      <w:bookmarkStart w:id="529" w:name="_GoBack"/>
      <w:bookmarkEnd w:id="529"/>
    </w:p>
    <w:p w14:paraId="33D93723">
      <w:pPr>
        <w:spacing w:line="360" w:lineRule="auto"/>
        <w:jc w:val="center"/>
        <w:rPr>
          <w:rFonts w:ascii="宋体" w:hAnsi="宋体" w:eastAsia="宋体" w:cs="宋体"/>
          <w:b/>
          <w:bCs/>
          <w:sz w:val="32"/>
          <w:szCs w:val="32"/>
        </w:rPr>
      </w:pPr>
      <w:r>
        <w:rPr>
          <w:rFonts w:hint="eastAsia" w:ascii="宋体" w:hAnsi="宋体" w:eastAsia="宋体" w:cs="宋体"/>
          <w:b/>
          <w:bCs/>
          <w:sz w:val="32"/>
          <w:szCs w:val="32"/>
        </w:rPr>
        <w:t>第六部分　磋商响应文件格式</w:t>
      </w:r>
    </w:p>
    <w:p w14:paraId="30D93AE5">
      <w:pPr>
        <w:spacing w:line="360" w:lineRule="auto"/>
        <w:rPr>
          <w:rFonts w:ascii="宋体" w:hAnsi="宋体" w:eastAsia="宋体" w:cs="宋体"/>
          <w:b/>
          <w:bCs/>
          <w:sz w:val="24"/>
        </w:rPr>
      </w:pPr>
      <w:r>
        <w:rPr>
          <w:rFonts w:hint="eastAsia" w:ascii="宋体" w:hAnsi="宋体" w:eastAsia="宋体" w:cs="宋体"/>
          <w:b/>
          <w:bCs/>
          <w:sz w:val="24"/>
        </w:rPr>
        <w:t>文件袋封面格式：</w:t>
      </w:r>
    </w:p>
    <w:tbl>
      <w:tblPr>
        <w:tblStyle w:val="29"/>
        <w:tblW w:w="9623" w:type="dxa"/>
        <w:jc w:val="center"/>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9623"/>
      </w:tblGrid>
      <w:tr w14:paraId="5B203ABC">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CellMar>
            <w:top w:w="0" w:type="dxa"/>
            <w:left w:w="108" w:type="dxa"/>
            <w:bottom w:w="0" w:type="dxa"/>
            <w:right w:w="108" w:type="dxa"/>
          </w:tblCellMar>
        </w:tblPrEx>
        <w:trPr>
          <w:trHeight w:val="9390" w:hRule="atLeast"/>
          <w:jc w:val="center"/>
        </w:trPr>
        <w:tc>
          <w:tcPr>
            <w:tcW w:w="9623" w:type="dxa"/>
            <w:tcBorders>
              <w:top w:val="double" w:color="666699" w:sz="4" w:space="0"/>
              <w:left w:val="double" w:color="666699" w:sz="4" w:space="0"/>
              <w:bottom w:val="double" w:color="666699" w:sz="4" w:space="0"/>
              <w:right w:val="double" w:color="666699" w:sz="4" w:space="0"/>
            </w:tcBorders>
            <w:shd w:val="clear" w:color="auto" w:fill="FCFEEA"/>
            <w:noWrap/>
          </w:tcPr>
          <w:p w14:paraId="0557BF12">
            <w:pPr>
              <w:spacing w:line="480" w:lineRule="auto"/>
              <w:ind w:right="420"/>
              <w:jc w:val="right"/>
              <w:rPr>
                <w:rFonts w:ascii="宋体" w:hAnsi="宋体" w:eastAsia="宋体" w:cs="宋体"/>
                <w:b/>
                <w:bCs/>
                <w:sz w:val="28"/>
                <w:szCs w:val="28"/>
              </w:rPr>
            </w:pPr>
          </w:p>
          <w:p w14:paraId="1973ADCE">
            <w:pPr>
              <w:pStyle w:val="2"/>
              <w:ind w:firstLine="210"/>
              <w:rPr>
                <w:rFonts w:eastAsiaTheme="minorEastAsia"/>
              </w:rPr>
            </w:pPr>
          </w:p>
          <w:p w14:paraId="16491976">
            <w:pPr>
              <w:pStyle w:val="4"/>
              <w:rPr>
                <w:rFonts w:eastAsiaTheme="minorEastAsia"/>
              </w:rPr>
            </w:pPr>
          </w:p>
          <w:p w14:paraId="2F0C0D05">
            <w:pPr>
              <w:rPr>
                <w:rFonts w:eastAsiaTheme="minorEastAsia"/>
              </w:rPr>
            </w:pPr>
          </w:p>
          <w:p w14:paraId="21C62ECD">
            <w:pPr>
              <w:pStyle w:val="2"/>
              <w:ind w:firstLine="210"/>
              <w:rPr>
                <w:rFonts w:eastAsiaTheme="minorEastAsia"/>
              </w:rPr>
            </w:pPr>
          </w:p>
          <w:p w14:paraId="533A00F8">
            <w:pPr>
              <w:pStyle w:val="4"/>
              <w:rPr>
                <w:rFonts w:eastAsiaTheme="minorEastAsia"/>
              </w:rPr>
            </w:pPr>
          </w:p>
          <w:p w14:paraId="32469A95">
            <w:pPr>
              <w:spacing w:line="480" w:lineRule="auto"/>
              <w:ind w:right="420"/>
              <w:jc w:val="right"/>
              <w:rPr>
                <w:rFonts w:ascii="宋体" w:hAnsi="宋体" w:eastAsia="宋体" w:cs="宋体"/>
                <w:b/>
                <w:bCs/>
                <w:sz w:val="28"/>
                <w:szCs w:val="28"/>
              </w:rPr>
            </w:pPr>
          </w:p>
          <w:p w14:paraId="6CCD192D">
            <w:pPr>
              <w:spacing w:line="480" w:lineRule="auto"/>
              <w:jc w:val="center"/>
              <w:rPr>
                <w:rFonts w:hint="eastAsia" w:ascii="宋体" w:hAnsi="宋体" w:eastAsia="宋体" w:cs="宋体"/>
                <w:b/>
                <w:sz w:val="28"/>
                <w:szCs w:val="28"/>
                <w:u w:val="single"/>
                <w:lang w:eastAsia="zh-CN"/>
              </w:rPr>
            </w:pPr>
            <w:r>
              <w:rPr>
                <w:rFonts w:hint="eastAsia" w:ascii="宋体" w:hAnsi="宋体" w:eastAsia="宋体" w:cs="宋体"/>
                <w:b/>
                <w:sz w:val="28"/>
                <w:szCs w:val="28"/>
              </w:rPr>
              <w:t>项目名称：</w:t>
            </w:r>
            <w:r>
              <w:rPr>
                <w:rFonts w:hint="eastAsia" w:ascii="宋体" w:hAnsi="宋体" w:eastAsia="宋体" w:cs="宋体"/>
                <w:b/>
                <w:sz w:val="28"/>
                <w:szCs w:val="28"/>
                <w:lang w:eastAsia="zh-CN"/>
              </w:rPr>
              <w:t>台州市黄岩第二高级中学体能训练场、科技楼顶渗漏和阶梯教室等改造工程</w:t>
            </w:r>
          </w:p>
          <w:p w14:paraId="2A8E30B4">
            <w:pPr>
              <w:spacing w:line="480" w:lineRule="auto"/>
              <w:jc w:val="center"/>
              <w:rPr>
                <w:rFonts w:ascii="宋体" w:hAnsi="宋体" w:eastAsia="宋体" w:cs="宋体"/>
                <w:b/>
                <w:sz w:val="28"/>
                <w:szCs w:val="28"/>
              </w:rPr>
            </w:pPr>
            <w:r>
              <w:rPr>
                <w:rFonts w:hint="eastAsia" w:ascii="宋体" w:hAnsi="宋体" w:eastAsia="宋体" w:cs="宋体"/>
                <w:b/>
                <w:sz w:val="28"/>
                <w:szCs w:val="28"/>
              </w:rPr>
              <w:t>项目编号：</w:t>
            </w:r>
            <w:r>
              <w:rPr>
                <w:rFonts w:hint="eastAsia" w:ascii="宋体" w:hAnsi="宋体" w:eastAsia="宋体" w:cs="宋体"/>
                <w:b/>
                <w:sz w:val="28"/>
                <w:szCs w:val="28"/>
                <w:lang w:eastAsia="zh-CN"/>
              </w:rPr>
              <w:t>JC-CS2025-022</w:t>
            </w:r>
            <w:r>
              <w:rPr>
                <w:rFonts w:hint="eastAsia" w:ascii="宋体" w:hAnsi="宋体" w:eastAsia="宋体" w:cs="宋体"/>
                <w:b/>
                <w:sz w:val="28"/>
                <w:szCs w:val="28"/>
              </w:rPr>
              <w:t>号</w:t>
            </w:r>
          </w:p>
          <w:p w14:paraId="77693E1E">
            <w:pPr>
              <w:pStyle w:val="2"/>
              <w:ind w:firstLine="210"/>
              <w:rPr>
                <w:rFonts w:eastAsiaTheme="minorEastAsia"/>
              </w:rPr>
            </w:pPr>
          </w:p>
          <w:p w14:paraId="000CE7BD">
            <w:pPr>
              <w:pStyle w:val="4"/>
              <w:rPr>
                <w:rFonts w:eastAsiaTheme="minorEastAsia"/>
              </w:rPr>
            </w:pPr>
          </w:p>
          <w:p w14:paraId="3BC248C7">
            <w:pPr>
              <w:spacing w:line="480" w:lineRule="auto"/>
              <w:jc w:val="center"/>
              <w:rPr>
                <w:rFonts w:ascii="宋体" w:hAnsi="宋体" w:eastAsia="宋体" w:cs="宋体"/>
                <w:b/>
                <w:sz w:val="28"/>
                <w:szCs w:val="28"/>
              </w:rPr>
            </w:pPr>
            <w:r>
              <w:rPr>
                <w:rFonts w:hint="eastAsia" w:ascii="宋体" w:hAnsi="宋体" w:eastAsia="宋体" w:cs="宋体"/>
                <w:b/>
                <w:sz w:val="44"/>
                <w:szCs w:val="44"/>
                <w:lang w:val="zh-CN"/>
              </w:rPr>
              <w:t>备份电子磋商响应文件（如有）</w:t>
            </w:r>
          </w:p>
          <w:p w14:paraId="70F3C547">
            <w:pPr>
              <w:spacing w:line="480" w:lineRule="auto"/>
              <w:jc w:val="center"/>
              <w:rPr>
                <w:rFonts w:ascii="宋体" w:hAnsi="宋体" w:eastAsia="宋体" w:cs="宋体"/>
                <w:b/>
                <w:sz w:val="32"/>
              </w:rPr>
            </w:pPr>
          </w:p>
          <w:p w14:paraId="0412F54B">
            <w:pPr>
              <w:pStyle w:val="2"/>
              <w:ind w:firstLine="210"/>
              <w:rPr>
                <w:rFonts w:eastAsiaTheme="minorEastAsia"/>
              </w:rPr>
            </w:pPr>
          </w:p>
          <w:p w14:paraId="51F47990">
            <w:pPr>
              <w:pStyle w:val="3"/>
              <w:rPr>
                <w:rFonts w:ascii="宋体" w:hAnsi="宋体" w:eastAsia="宋体" w:cs="宋体"/>
              </w:rPr>
            </w:pPr>
          </w:p>
          <w:p w14:paraId="3C1B1FAD">
            <w:pPr>
              <w:spacing w:line="360" w:lineRule="auto"/>
              <w:ind w:firstLine="2108" w:firstLineChars="750"/>
              <w:rPr>
                <w:rFonts w:ascii="宋体" w:hAnsi="宋体" w:eastAsia="宋体" w:cs="宋体"/>
                <w:b/>
                <w:sz w:val="28"/>
                <w:szCs w:val="28"/>
                <w:u w:val="single"/>
              </w:rPr>
            </w:pPr>
            <w:r>
              <w:rPr>
                <w:rFonts w:hint="eastAsia" w:ascii="宋体" w:hAnsi="宋体" w:eastAsia="宋体" w:cs="宋体"/>
                <w:b/>
                <w:sz w:val="28"/>
                <w:szCs w:val="28"/>
              </w:rPr>
              <w:t>供应商：</w:t>
            </w:r>
          </w:p>
          <w:p w14:paraId="0B2777BB">
            <w:pPr>
              <w:spacing w:line="360" w:lineRule="auto"/>
              <w:ind w:firstLine="2108" w:firstLineChars="750"/>
              <w:rPr>
                <w:rFonts w:ascii="宋体" w:hAnsi="宋体" w:eastAsia="宋体" w:cs="宋体"/>
                <w:b/>
                <w:sz w:val="28"/>
                <w:szCs w:val="28"/>
                <w:u w:val="single"/>
              </w:rPr>
            </w:pPr>
            <w:r>
              <w:rPr>
                <w:rFonts w:hint="eastAsia" w:ascii="宋体" w:hAnsi="宋体" w:eastAsia="宋体" w:cs="宋体"/>
                <w:b/>
                <w:sz w:val="28"/>
                <w:szCs w:val="28"/>
              </w:rPr>
              <w:t>地址：</w:t>
            </w:r>
          </w:p>
          <w:p w14:paraId="3E51DD75">
            <w:pPr>
              <w:spacing w:line="360" w:lineRule="auto"/>
              <w:rPr>
                <w:rFonts w:ascii="宋体" w:hAnsi="宋体" w:eastAsia="宋体" w:cs="宋体"/>
                <w:sz w:val="24"/>
                <w:u w:val="single"/>
              </w:rPr>
            </w:pPr>
          </w:p>
          <w:p w14:paraId="651482FE">
            <w:pPr>
              <w:pStyle w:val="2"/>
              <w:ind w:firstLine="210"/>
              <w:rPr>
                <w:rFonts w:eastAsiaTheme="minorEastAsia"/>
              </w:rPr>
            </w:pPr>
          </w:p>
          <w:p w14:paraId="5BC2477B">
            <w:pPr>
              <w:rPr>
                <w:rFonts w:eastAsiaTheme="minorEastAsia"/>
              </w:rPr>
            </w:pPr>
          </w:p>
          <w:p w14:paraId="131B94F0">
            <w:pPr>
              <w:spacing w:line="360" w:lineRule="auto"/>
              <w:jc w:val="center"/>
              <w:rPr>
                <w:rFonts w:ascii="宋体" w:hAnsi="宋体" w:eastAsia="宋体" w:cs="宋体"/>
                <w:b/>
                <w:bCs/>
                <w:sz w:val="28"/>
                <w:szCs w:val="28"/>
              </w:rPr>
            </w:pPr>
            <w:r>
              <w:rPr>
                <w:rFonts w:hint="eastAsia" w:ascii="宋体" w:hAnsi="宋体" w:eastAsia="宋体" w:cs="宋体"/>
                <w:b/>
                <w:bCs/>
                <w:sz w:val="28"/>
                <w:szCs w:val="28"/>
              </w:rPr>
              <w:t>开标时启封</w:t>
            </w:r>
          </w:p>
          <w:p w14:paraId="29B3CC45">
            <w:pPr>
              <w:pStyle w:val="15"/>
              <w:spacing w:before="156" w:after="156" w:line="360" w:lineRule="auto"/>
              <w:ind w:firstLine="120" w:firstLineChars="50"/>
              <w:jc w:val="center"/>
              <w:rPr>
                <w:rFonts w:hAnsi="宋体" w:eastAsia="宋体" w:cs="宋体"/>
                <w:b/>
                <w:sz w:val="24"/>
                <w:szCs w:val="24"/>
              </w:rPr>
            </w:pPr>
            <w:r>
              <w:rPr>
                <w:rFonts w:hint="eastAsia" w:hAnsi="宋体" w:eastAsia="宋体" w:cs="宋体"/>
                <w:b/>
                <w:sz w:val="24"/>
                <w:szCs w:val="24"/>
              </w:rPr>
              <w:t>递交地点：台州市玖诚工程管理有限公司</w:t>
            </w:r>
          </w:p>
          <w:p w14:paraId="08D88576">
            <w:pPr>
              <w:pStyle w:val="15"/>
              <w:spacing w:before="156" w:after="156" w:line="360" w:lineRule="auto"/>
              <w:ind w:firstLine="120" w:firstLineChars="50"/>
              <w:jc w:val="center"/>
              <w:rPr>
                <w:rFonts w:hint="eastAsia" w:eastAsia="宋体"/>
                <w:lang w:eastAsia="zh-CN"/>
              </w:rPr>
            </w:pPr>
            <w:r>
              <w:rPr>
                <w:rFonts w:hint="eastAsia" w:hAnsi="宋体" w:eastAsia="宋体" w:cs="宋体"/>
                <w:b/>
                <w:sz w:val="24"/>
                <w:szCs w:val="24"/>
                <w:lang w:eastAsia="zh-CN"/>
              </w:rPr>
              <w:t>（</w:t>
            </w:r>
            <w:r>
              <w:rPr>
                <w:rFonts w:hint="eastAsia" w:hAnsi="宋体" w:eastAsia="宋体" w:cs="宋体"/>
                <w:b/>
                <w:sz w:val="24"/>
                <w:szCs w:val="24"/>
              </w:rPr>
              <w:t>椒江区白云街道解放南路291号弄道台里文创园</w:t>
            </w:r>
            <w:r>
              <w:rPr>
                <w:rFonts w:hint="eastAsia" w:hAnsi="宋体" w:eastAsia="宋体" w:cs="宋体"/>
                <w:b/>
                <w:sz w:val="24"/>
                <w:szCs w:val="24"/>
                <w:lang w:eastAsia="zh-CN"/>
              </w:rPr>
              <w:t>）</w:t>
            </w:r>
          </w:p>
          <w:p w14:paraId="510E6216">
            <w:pPr>
              <w:pStyle w:val="16"/>
              <w:ind w:left="9000"/>
              <w:rPr>
                <w:rFonts w:eastAsiaTheme="minorEastAsia"/>
              </w:rPr>
            </w:pPr>
          </w:p>
        </w:tc>
      </w:tr>
    </w:tbl>
    <w:p w14:paraId="330C87EC">
      <w:pPr>
        <w:pStyle w:val="6"/>
        <w:spacing w:before="240" w:beforeLines="100" w:line="360" w:lineRule="auto"/>
        <w:jc w:val="center"/>
        <w:rPr>
          <w:rFonts w:ascii="宋体" w:hAnsi="宋体" w:eastAsia="宋体" w:cs="宋体"/>
        </w:rPr>
      </w:pPr>
      <w:bookmarkStart w:id="523" w:name="_Toc528578413"/>
      <w:bookmarkStart w:id="524" w:name="_Toc528927455"/>
      <w:r>
        <w:rPr>
          <w:rFonts w:hint="eastAsia" w:ascii="宋体" w:hAnsi="宋体" w:eastAsia="宋体"/>
          <w:bCs w:val="0"/>
          <w:lang w:val="zh-CN"/>
        </w:rPr>
        <w:t>1、资格证明文件格式</w:t>
      </w:r>
      <w:bookmarkEnd w:id="523"/>
      <w:bookmarkEnd w:id="524"/>
    </w:p>
    <w:p w14:paraId="3503C56F">
      <w:pPr>
        <w:spacing w:line="360" w:lineRule="auto"/>
        <w:jc w:val="center"/>
        <w:rPr>
          <w:rFonts w:ascii="宋体" w:hAnsi="宋体" w:eastAsia="宋体" w:cs="宋体"/>
          <w:b/>
          <w:bCs/>
          <w:sz w:val="32"/>
          <w:szCs w:val="32"/>
        </w:rPr>
      </w:pPr>
      <w:r>
        <w:rPr>
          <w:rFonts w:hint="eastAsia" w:ascii="宋体" w:hAnsi="宋体" w:eastAsia="宋体" w:cs="宋体"/>
          <w:b/>
          <w:bCs/>
          <w:sz w:val="32"/>
          <w:szCs w:val="32"/>
        </w:rPr>
        <w:t>目录</w:t>
      </w:r>
    </w:p>
    <w:p w14:paraId="437C8621">
      <w:pPr>
        <w:pStyle w:val="15"/>
        <w:adjustRightInd w:val="0"/>
        <w:snapToGrid w:val="0"/>
        <w:spacing w:line="360" w:lineRule="auto"/>
        <w:jc w:val="center"/>
        <w:rPr>
          <w:rFonts w:hAnsi="宋体" w:eastAsia="宋体" w:cs="宋体"/>
          <w:b/>
          <w:bCs/>
          <w:sz w:val="24"/>
          <w:szCs w:val="24"/>
        </w:rPr>
      </w:pPr>
      <w:r>
        <w:rPr>
          <w:rFonts w:hint="eastAsia" w:hAnsi="宋体" w:eastAsia="宋体" w:cs="宋体"/>
          <w:sz w:val="24"/>
        </w:rPr>
        <w:t>（按照“第三部分磋商须知”有关资格证明文件组成要求编排）</w:t>
      </w:r>
    </w:p>
    <w:p w14:paraId="1B11D0CA">
      <w:pPr>
        <w:pStyle w:val="15"/>
        <w:adjustRightInd w:val="0"/>
        <w:snapToGrid w:val="0"/>
        <w:spacing w:before="120" w:after="120"/>
        <w:rPr>
          <w:rFonts w:hAnsi="宋体" w:eastAsia="宋体" w:cs="宋体"/>
          <w:b/>
          <w:bCs/>
          <w:sz w:val="24"/>
          <w:szCs w:val="24"/>
        </w:rPr>
      </w:pPr>
    </w:p>
    <w:p w14:paraId="6F090660">
      <w:pPr>
        <w:pStyle w:val="15"/>
        <w:adjustRightInd w:val="0"/>
        <w:snapToGrid w:val="0"/>
        <w:spacing w:before="120" w:after="120"/>
        <w:rPr>
          <w:rFonts w:hAnsi="宋体" w:eastAsia="宋体" w:cs="宋体"/>
          <w:b/>
          <w:bCs/>
          <w:sz w:val="24"/>
          <w:szCs w:val="24"/>
        </w:rPr>
      </w:pPr>
    </w:p>
    <w:p w14:paraId="6E26B133">
      <w:pPr>
        <w:pStyle w:val="16"/>
        <w:ind w:left="9000"/>
        <w:rPr>
          <w:rFonts w:ascii="宋体" w:hAnsi="宋体" w:eastAsia="宋体" w:cs="宋体"/>
          <w:b/>
          <w:bCs/>
          <w:sz w:val="24"/>
        </w:rPr>
      </w:pPr>
    </w:p>
    <w:p w14:paraId="6AF4C376">
      <w:pPr>
        <w:rPr>
          <w:rFonts w:ascii="宋体" w:hAnsi="宋体" w:eastAsia="宋体" w:cs="宋体"/>
          <w:b/>
          <w:bCs/>
          <w:sz w:val="24"/>
        </w:rPr>
      </w:pPr>
    </w:p>
    <w:p w14:paraId="1C6AE73B">
      <w:pPr>
        <w:pStyle w:val="2"/>
        <w:ind w:firstLine="241"/>
        <w:rPr>
          <w:rFonts w:ascii="宋体" w:hAnsi="宋体" w:eastAsia="宋体" w:cs="宋体"/>
          <w:b/>
          <w:bCs/>
          <w:sz w:val="24"/>
          <w:szCs w:val="24"/>
        </w:rPr>
      </w:pPr>
    </w:p>
    <w:p w14:paraId="66DA3C20">
      <w:pPr>
        <w:pStyle w:val="2"/>
        <w:ind w:firstLine="241"/>
        <w:rPr>
          <w:rFonts w:ascii="宋体" w:hAnsi="宋体" w:eastAsia="宋体" w:cs="宋体"/>
          <w:b/>
          <w:bCs/>
          <w:sz w:val="24"/>
          <w:szCs w:val="24"/>
        </w:rPr>
      </w:pPr>
    </w:p>
    <w:p w14:paraId="43D39677">
      <w:pPr>
        <w:pStyle w:val="2"/>
        <w:ind w:firstLine="241"/>
        <w:rPr>
          <w:rFonts w:ascii="宋体" w:hAnsi="宋体" w:eastAsia="宋体" w:cs="宋体"/>
          <w:b/>
          <w:bCs/>
          <w:sz w:val="24"/>
          <w:szCs w:val="24"/>
        </w:rPr>
      </w:pPr>
    </w:p>
    <w:p w14:paraId="6F1536F5">
      <w:pPr>
        <w:pStyle w:val="2"/>
        <w:ind w:firstLine="241"/>
        <w:rPr>
          <w:rFonts w:ascii="宋体" w:hAnsi="宋体" w:eastAsia="宋体" w:cs="宋体"/>
          <w:b/>
          <w:bCs/>
          <w:sz w:val="24"/>
          <w:szCs w:val="24"/>
        </w:rPr>
      </w:pPr>
    </w:p>
    <w:p w14:paraId="398ED928">
      <w:pPr>
        <w:pStyle w:val="2"/>
        <w:ind w:firstLine="241"/>
        <w:rPr>
          <w:rFonts w:ascii="宋体" w:hAnsi="宋体" w:eastAsia="宋体" w:cs="宋体"/>
          <w:b/>
          <w:bCs/>
          <w:sz w:val="24"/>
          <w:szCs w:val="24"/>
        </w:rPr>
      </w:pPr>
    </w:p>
    <w:p w14:paraId="304BD5E4">
      <w:pPr>
        <w:pStyle w:val="2"/>
        <w:ind w:firstLine="241"/>
        <w:rPr>
          <w:rFonts w:ascii="宋体" w:hAnsi="宋体" w:eastAsia="宋体" w:cs="宋体"/>
          <w:b/>
          <w:bCs/>
          <w:sz w:val="24"/>
          <w:szCs w:val="24"/>
        </w:rPr>
      </w:pPr>
    </w:p>
    <w:p w14:paraId="43445088">
      <w:pPr>
        <w:pStyle w:val="2"/>
        <w:ind w:firstLine="241"/>
        <w:rPr>
          <w:rFonts w:ascii="宋体" w:hAnsi="宋体" w:eastAsia="宋体" w:cs="宋体"/>
          <w:b/>
          <w:bCs/>
          <w:sz w:val="24"/>
          <w:szCs w:val="24"/>
        </w:rPr>
      </w:pPr>
    </w:p>
    <w:p w14:paraId="4F945B80">
      <w:pPr>
        <w:pStyle w:val="15"/>
        <w:adjustRightInd w:val="0"/>
        <w:snapToGrid w:val="0"/>
        <w:spacing w:before="120" w:after="120"/>
        <w:rPr>
          <w:rFonts w:hAnsi="宋体" w:eastAsia="宋体" w:cs="宋体"/>
          <w:b/>
          <w:bCs/>
          <w:sz w:val="24"/>
          <w:szCs w:val="24"/>
        </w:rPr>
      </w:pPr>
    </w:p>
    <w:p w14:paraId="485F5A0F">
      <w:pPr>
        <w:pStyle w:val="16"/>
        <w:ind w:left="9000"/>
        <w:rPr>
          <w:rFonts w:ascii="宋体" w:hAnsi="宋体" w:eastAsia="宋体" w:cs="宋体"/>
        </w:rPr>
      </w:pPr>
    </w:p>
    <w:p w14:paraId="12A02AFB">
      <w:pPr>
        <w:rPr>
          <w:rFonts w:ascii="宋体" w:hAnsi="宋体" w:eastAsia="宋体" w:cs="宋体"/>
        </w:rPr>
      </w:pPr>
    </w:p>
    <w:p w14:paraId="159BC9DD">
      <w:pPr>
        <w:pStyle w:val="2"/>
        <w:ind w:firstLine="210"/>
        <w:rPr>
          <w:rFonts w:ascii="宋体" w:hAnsi="宋体" w:eastAsia="宋体" w:cs="宋体"/>
        </w:rPr>
      </w:pPr>
    </w:p>
    <w:p w14:paraId="591D203B">
      <w:pPr>
        <w:pStyle w:val="2"/>
        <w:ind w:firstLine="210"/>
        <w:rPr>
          <w:rFonts w:ascii="宋体" w:hAnsi="宋体" w:eastAsia="宋体" w:cs="宋体"/>
        </w:rPr>
      </w:pPr>
    </w:p>
    <w:p w14:paraId="181EDDD2">
      <w:pPr>
        <w:pStyle w:val="2"/>
        <w:ind w:firstLine="210"/>
        <w:rPr>
          <w:rFonts w:ascii="宋体" w:hAnsi="宋体" w:eastAsia="宋体" w:cs="宋体"/>
        </w:rPr>
      </w:pPr>
    </w:p>
    <w:p w14:paraId="72FBA411">
      <w:pPr>
        <w:pStyle w:val="2"/>
        <w:ind w:firstLine="210"/>
        <w:rPr>
          <w:rFonts w:ascii="宋体" w:hAnsi="宋体" w:eastAsia="宋体" w:cs="宋体"/>
        </w:rPr>
      </w:pPr>
    </w:p>
    <w:p w14:paraId="615D12A8">
      <w:pPr>
        <w:pStyle w:val="2"/>
        <w:ind w:firstLine="210"/>
        <w:rPr>
          <w:rFonts w:ascii="宋体" w:hAnsi="宋体" w:eastAsia="宋体" w:cs="宋体"/>
        </w:rPr>
      </w:pPr>
    </w:p>
    <w:p w14:paraId="6DB65C70">
      <w:pPr>
        <w:pStyle w:val="2"/>
        <w:ind w:firstLine="210"/>
        <w:rPr>
          <w:rFonts w:ascii="宋体" w:hAnsi="宋体" w:eastAsia="宋体" w:cs="宋体"/>
        </w:rPr>
      </w:pPr>
    </w:p>
    <w:p w14:paraId="5FBED5E2">
      <w:pPr>
        <w:pStyle w:val="2"/>
        <w:ind w:firstLine="210"/>
        <w:rPr>
          <w:rFonts w:ascii="宋体" w:hAnsi="宋体" w:eastAsia="宋体" w:cs="宋体"/>
        </w:rPr>
      </w:pPr>
    </w:p>
    <w:p w14:paraId="26CC1662">
      <w:pPr>
        <w:pStyle w:val="2"/>
        <w:ind w:firstLine="210"/>
        <w:rPr>
          <w:rFonts w:ascii="宋体" w:hAnsi="宋体" w:eastAsia="宋体" w:cs="宋体"/>
        </w:rPr>
      </w:pPr>
    </w:p>
    <w:p w14:paraId="4121DB68">
      <w:pPr>
        <w:pStyle w:val="2"/>
        <w:ind w:firstLine="210"/>
        <w:rPr>
          <w:rFonts w:ascii="宋体" w:hAnsi="宋体" w:eastAsia="宋体" w:cs="宋体"/>
        </w:rPr>
      </w:pPr>
    </w:p>
    <w:p w14:paraId="6FD1A1B5">
      <w:pPr>
        <w:pStyle w:val="2"/>
        <w:ind w:firstLine="210"/>
        <w:rPr>
          <w:rFonts w:ascii="宋体" w:hAnsi="宋体" w:eastAsia="宋体" w:cs="宋体"/>
        </w:rPr>
      </w:pPr>
    </w:p>
    <w:p w14:paraId="642A9B63">
      <w:pPr>
        <w:pStyle w:val="2"/>
        <w:ind w:firstLine="210"/>
        <w:rPr>
          <w:rFonts w:ascii="宋体" w:hAnsi="宋体" w:eastAsia="宋体" w:cs="宋体"/>
        </w:rPr>
      </w:pPr>
    </w:p>
    <w:p w14:paraId="5AF8CED4">
      <w:pPr>
        <w:pStyle w:val="2"/>
        <w:ind w:firstLine="210"/>
        <w:rPr>
          <w:rFonts w:ascii="宋体" w:hAnsi="宋体" w:eastAsia="宋体" w:cs="宋体"/>
        </w:rPr>
      </w:pPr>
    </w:p>
    <w:p w14:paraId="7BC1D619">
      <w:pPr>
        <w:pStyle w:val="2"/>
        <w:ind w:firstLine="210"/>
        <w:rPr>
          <w:rFonts w:ascii="宋体" w:hAnsi="宋体" w:eastAsia="宋体" w:cs="宋体"/>
        </w:rPr>
      </w:pPr>
    </w:p>
    <w:p w14:paraId="669831A7">
      <w:pPr>
        <w:pStyle w:val="4"/>
        <w:rPr>
          <w:rFonts w:ascii="宋体" w:hAnsi="宋体" w:eastAsia="宋体" w:cs="宋体"/>
        </w:rPr>
      </w:pPr>
    </w:p>
    <w:p w14:paraId="67C11B76">
      <w:pPr>
        <w:rPr>
          <w:rFonts w:ascii="宋体" w:hAnsi="宋体" w:eastAsia="宋体" w:cs="宋体"/>
        </w:rPr>
      </w:pPr>
    </w:p>
    <w:p w14:paraId="612CC4AA">
      <w:pPr>
        <w:pStyle w:val="44"/>
        <w:rPr>
          <w:rFonts w:ascii="宋体" w:hAnsi="宋体" w:eastAsia="宋体" w:cs="宋体"/>
        </w:rPr>
      </w:pPr>
    </w:p>
    <w:p w14:paraId="733C0028">
      <w:pPr>
        <w:pStyle w:val="44"/>
        <w:rPr>
          <w:rFonts w:ascii="宋体" w:hAnsi="宋体" w:eastAsia="宋体" w:cs="宋体"/>
        </w:rPr>
      </w:pPr>
    </w:p>
    <w:p w14:paraId="750B8900">
      <w:pPr>
        <w:pStyle w:val="44"/>
        <w:rPr>
          <w:rFonts w:ascii="宋体" w:hAnsi="宋体" w:eastAsia="宋体" w:cs="宋体"/>
        </w:rPr>
      </w:pPr>
    </w:p>
    <w:p w14:paraId="05ED3CB1">
      <w:pPr>
        <w:pStyle w:val="44"/>
        <w:rPr>
          <w:rFonts w:ascii="宋体" w:hAnsi="宋体" w:eastAsia="宋体" w:cs="宋体"/>
        </w:rPr>
      </w:pPr>
    </w:p>
    <w:p w14:paraId="6F5CE90B">
      <w:pPr>
        <w:pStyle w:val="44"/>
        <w:rPr>
          <w:rFonts w:ascii="宋体" w:hAnsi="宋体" w:eastAsia="宋体" w:cs="宋体"/>
        </w:rPr>
      </w:pPr>
    </w:p>
    <w:p w14:paraId="77B4FA4F">
      <w:pPr>
        <w:pStyle w:val="15"/>
        <w:adjustRightInd w:val="0"/>
        <w:snapToGrid w:val="0"/>
        <w:spacing w:before="120" w:after="120"/>
        <w:rPr>
          <w:rFonts w:hAnsi="宋体" w:eastAsia="宋体" w:cs="宋体"/>
          <w:sz w:val="24"/>
          <w:szCs w:val="24"/>
        </w:rPr>
      </w:pPr>
      <w:r>
        <w:rPr>
          <w:rFonts w:hint="eastAsia" w:hAnsi="宋体" w:eastAsia="宋体" w:cs="宋体"/>
          <w:b/>
          <w:bCs/>
          <w:sz w:val="24"/>
          <w:szCs w:val="24"/>
        </w:rPr>
        <w:t>附件一：</w:t>
      </w:r>
    </w:p>
    <w:p w14:paraId="38F1AF9D">
      <w:pPr>
        <w:pStyle w:val="15"/>
        <w:adjustRightInd w:val="0"/>
        <w:snapToGrid w:val="0"/>
        <w:spacing w:line="360" w:lineRule="auto"/>
        <w:jc w:val="center"/>
        <w:rPr>
          <w:rFonts w:hAnsi="宋体" w:eastAsia="宋体" w:cs="宋体"/>
          <w:sz w:val="32"/>
          <w:szCs w:val="32"/>
        </w:rPr>
      </w:pPr>
      <w:r>
        <w:rPr>
          <w:rFonts w:hint="eastAsia" w:hAnsi="宋体" w:eastAsia="宋体" w:cs="宋体"/>
          <w:b/>
          <w:bCs/>
          <w:sz w:val="32"/>
          <w:szCs w:val="32"/>
        </w:rPr>
        <w:t>磋商承诺函</w:t>
      </w:r>
    </w:p>
    <w:p w14:paraId="7F52D1CB">
      <w:pPr>
        <w:adjustRightInd w:val="0"/>
        <w:snapToGrid w:val="0"/>
        <w:spacing w:line="360" w:lineRule="auto"/>
        <w:ind w:firstLine="105" w:firstLineChars="50"/>
        <w:rPr>
          <w:rFonts w:ascii="宋体" w:hAnsi="宋体" w:eastAsia="宋体" w:cs="宋体"/>
          <w:sz w:val="21"/>
          <w:szCs w:val="21"/>
        </w:rPr>
      </w:pPr>
      <w:r>
        <w:rPr>
          <w:rFonts w:hint="eastAsia" w:ascii="宋体" w:hAnsi="宋体" w:eastAsia="宋体" w:cs="宋体"/>
          <w:sz w:val="21"/>
          <w:szCs w:val="21"/>
          <w:u w:val="single"/>
          <w:lang w:eastAsia="zh-CN"/>
        </w:rPr>
        <w:t>台州市黄岩第二高级中学</w:t>
      </w:r>
      <w:r>
        <w:rPr>
          <w:rFonts w:hint="eastAsia" w:ascii="宋体" w:hAnsi="宋体" w:eastAsia="宋体" w:cs="宋体"/>
          <w:sz w:val="21"/>
          <w:szCs w:val="21"/>
        </w:rPr>
        <w:t>：</w:t>
      </w:r>
    </w:p>
    <w:p w14:paraId="4F7DB247">
      <w:pPr>
        <w:pStyle w:val="15"/>
        <w:adjustRightInd w:val="0"/>
        <w:snapToGrid w:val="0"/>
        <w:spacing w:line="360" w:lineRule="auto"/>
        <w:ind w:firstLine="720"/>
        <w:rPr>
          <w:rFonts w:hAnsi="宋体" w:eastAsia="宋体" w:cs="宋体"/>
          <w:szCs w:val="21"/>
        </w:rPr>
      </w:pPr>
      <w:r>
        <w:rPr>
          <w:rFonts w:hint="eastAsia" w:hAnsi="宋体" w:eastAsia="宋体" w:cs="宋体"/>
          <w:szCs w:val="21"/>
        </w:rPr>
        <w:t>__________________________（磋商人全称）授权____________________ （全权代表姓名）____________________（职务、职称）为全权代表，参加贵方组织的______________ （采购编号、采购项目名称）采购磋商的有关活动，并对此项目进行响应。为此：我方同意在磋商须知前列表规定的磋商日期起遵守本采购承诺函中的承诺且在磋商有效期满之前均具有约束力。</w:t>
      </w:r>
    </w:p>
    <w:p w14:paraId="3FE4FBBA">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1、我方承诺已经具备《中华人民共和国政府采购法》参加政府采购活动的供应商应当具备的条件：</w:t>
      </w:r>
    </w:p>
    <w:p w14:paraId="5282A3EA">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（1）具有独立承担民事责任的能力；</w:t>
      </w:r>
    </w:p>
    <w:p w14:paraId="4DDA2A0C">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（2）具有良好的商业信誉和健全的财务会计制度；</w:t>
      </w:r>
    </w:p>
    <w:p w14:paraId="4C0BBB4B">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（3）具有履行合同所必需的设备和专业技术能力；</w:t>
      </w:r>
    </w:p>
    <w:p w14:paraId="28ECC32D">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（4）有依法缴纳税收和社会保障资金的良好记录；</w:t>
      </w:r>
    </w:p>
    <w:p w14:paraId="6429DB12">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（5）参加政府采购活动前三年内，在经营活动中没有重大违法记录；</w:t>
      </w:r>
    </w:p>
    <w:p w14:paraId="6DF6AF0B">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（6）法律、行政法规规定的其他条件。</w:t>
      </w:r>
    </w:p>
    <w:p w14:paraId="02B961B0">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2、提供磋商须知规定的全部磋商响应文件，包括：</w:t>
      </w:r>
    </w:p>
    <w:p w14:paraId="1C3A7F84">
      <w:pPr>
        <w:pStyle w:val="10"/>
        <w:tabs>
          <w:tab w:val="left" w:pos="0"/>
          <w:tab w:val="left" w:pos="1260"/>
          <w:tab w:val="left" w:pos="1365"/>
        </w:tabs>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（1）资格与证明文件；</w:t>
      </w:r>
    </w:p>
    <w:p w14:paraId="5C94419F">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（2）商务与技术文件；</w:t>
      </w:r>
    </w:p>
    <w:p w14:paraId="3F22A59E">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（3）报价文件；</w:t>
      </w:r>
    </w:p>
    <w:p w14:paraId="4B64A623">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（4）磋商须知前列表要求的磋商人提交的全部文件；</w:t>
      </w:r>
    </w:p>
    <w:p w14:paraId="64EB12BD">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3、按竞争性磋商文件要求提供的服务报价详见磋商投标函。</w:t>
      </w:r>
    </w:p>
    <w:p w14:paraId="2AC352CD">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4、保证忠实地执行双方所签订的合同，并承担合同规定的责任和义务。</w:t>
      </w:r>
    </w:p>
    <w:p w14:paraId="77F7183A">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5、保证遵守竞争性磋商文件中的其他有关条款。</w:t>
      </w:r>
    </w:p>
    <w:p w14:paraId="0A77FCD8">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6、我们完全理解贵方不一定要接受最低报价。</w:t>
      </w:r>
    </w:p>
    <w:p w14:paraId="6DA30628">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7、我方愿意向贵方提供真实完整的任何与该项目有关的数据、情况和技术资料。若贵方需要，我方愿意提供我方作出的一切承诺的证明材料。</w:t>
      </w:r>
    </w:p>
    <w:p w14:paraId="0A6664C6">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8、我方已详细审核全部竞争性磋商文件，包括竞争性磋商的修改文件（如有的话）、参考资料及有关附件，确认无误。</w:t>
      </w:r>
    </w:p>
    <w:p w14:paraId="62DC1475">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9、我方将严格遵守《中华人民共和国政府采购法》第七十七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E81BE64">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（一）提供虚假材料谋取中标、成交的；</w:t>
      </w:r>
    </w:p>
    <w:p w14:paraId="0492ED33">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（二）采取不正当手段诋毁、排挤其他供应商的；</w:t>
      </w:r>
    </w:p>
    <w:p w14:paraId="03E6F904">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（三）与采购人、其他供应商或者采购代理机构恶意串通的；</w:t>
      </w:r>
    </w:p>
    <w:p w14:paraId="26930820">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（四）向采购人、采购代理机构行贿或者提供其他不正当利益的；</w:t>
      </w:r>
    </w:p>
    <w:p w14:paraId="03443B38">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（五）拒绝有关部门监督检查或者提供虚假情况的。</w:t>
      </w:r>
    </w:p>
    <w:p w14:paraId="749155F6">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供应商有前款第（一）至（五）项情形之一的，中标、成交无效。</w:t>
      </w:r>
    </w:p>
    <w:p w14:paraId="52085771">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10、我方的磋商响应文件在成交后天内有效。</w:t>
      </w:r>
    </w:p>
    <w:p w14:paraId="5CD2D1AE">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与本次采购有关的一切往来通讯请寄：</w:t>
      </w:r>
    </w:p>
    <w:p w14:paraId="24245386">
      <w:pPr>
        <w:pStyle w:val="15"/>
        <w:adjustRightInd w:val="0"/>
        <w:snapToGrid w:val="0"/>
        <w:spacing w:line="360" w:lineRule="auto"/>
        <w:ind w:firstLine="480"/>
        <w:rPr>
          <w:rFonts w:hAnsi="宋体" w:eastAsia="宋体" w:cs="宋体"/>
          <w:szCs w:val="21"/>
        </w:rPr>
      </w:pPr>
      <w:r>
        <w:rPr>
          <w:rFonts w:hint="eastAsia" w:hAnsi="宋体" w:eastAsia="宋体" w:cs="宋体"/>
          <w:szCs w:val="21"/>
        </w:rPr>
        <w:t>地址：__________________     邮编：____________　</w:t>
      </w:r>
    </w:p>
    <w:p w14:paraId="17A0F2A2">
      <w:pPr>
        <w:pStyle w:val="15"/>
        <w:adjustRightInd w:val="0"/>
        <w:snapToGrid w:val="0"/>
        <w:spacing w:line="360" w:lineRule="auto"/>
        <w:ind w:firstLine="420" w:firstLineChars="200"/>
        <w:rPr>
          <w:rFonts w:hAnsi="宋体" w:eastAsia="宋体" w:cs="宋体"/>
          <w:szCs w:val="21"/>
        </w:rPr>
      </w:pPr>
      <w:r>
        <w:rPr>
          <w:rFonts w:hint="eastAsia" w:hAnsi="宋体" w:eastAsia="宋体" w:cs="宋体"/>
          <w:szCs w:val="21"/>
        </w:rPr>
        <w:t>电话：__________________传真：____________</w:t>
      </w:r>
    </w:p>
    <w:p w14:paraId="5E8ACEC7">
      <w:pPr>
        <w:pStyle w:val="15"/>
        <w:adjustRightInd w:val="0"/>
        <w:snapToGrid w:val="0"/>
        <w:spacing w:line="360" w:lineRule="auto"/>
        <w:ind w:firstLine="420" w:firstLineChars="200"/>
        <w:rPr>
          <w:rFonts w:hAnsi="宋体" w:eastAsia="宋体" w:cs="宋体"/>
          <w:szCs w:val="21"/>
        </w:rPr>
      </w:pPr>
    </w:p>
    <w:p w14:paraId="31AB9F3E">
      <w:pPr>
        <w:pStyle w:val="15"/>
        <w:adjustRightInd w:val="0"/>
        <w:snapToGrid w:val="0"/>
        <w:spacing w:line="360" w:lineRule="auto"/>
        <w:ind w:firstLine="3000" w:firstLineChars="1200"/>
        <w:rPr>
          <w:rFonts w:hAnsi="宋体" w:eastAsia="宋体" w:cs="宋体"/>
          <w:spacing w:val="20"/>
          <w:szCs w:val="21"/>
        </w:rPr>
      </w:pPr>
    </w:p>
    <w:p w14:paraId="6B4D802D">
      <w:pPr>
        <w:pStyle w:val="15"/>
        <w:adjustRightInd w:val="0"/>
        <w:snapToGrid w:val="0"/>
        <w:spacing w:line="360" w:lineRule="auto"/>
        <w:ind w:firstLine="3000" w:firstLineChars="1200"/>
        <w:rPr>
          <w:rFonts w:hAnsi="宋体" w:eastAsia="宋体" w:cs="宋体"/>
          <w:spacing w:val="20"/>
          <w:szCs w:val="21"/>
        </w:rPr>
      </w:pPr>
      <w:r>
        <w:rPr>
          <w:rFonts w:hint="eastAsia" w:hAnsi="宋体" w:eastAsia="宋体" w:cs="宋体"/>
          <w:spacing w:val="20"/>
          <w:szCs w:val="21"/>
        </w:rPr>
        <w:t>法定代表人（或全权代表）签字或盖章：</w:t>
      </w:r>
    </w:p>
    <w:p w14:paraId="7BB4DEF1">
      <w:pPr>
        <w:pStyle w:val="15"/>
        <w:adjustRightInd w:val="0"/>
        <w:snapToGrid w:val="0"/>
        <w:spacing w:line="360" w:lineRule="auto"/>
        <w:ind w:firstLine="2000" w:firstLineChars="800"/>
        <w:rPr>
          <w:rFonts w:hAnsi="宋体" w:eastAsia="宋体" w:cs="宋体"/>
          <w:spacing w:val="20"/>
          <w:szCs w:val="21"/>
        </w:rPr>
      </w:pPr>
    </w:p>
    <w:p w14:paraId="7437B1D4">
      <w:pPr>
        <w:pStyle w:val="15"/>
        <w:adjustRightInd w:val="0"/>
        <w:snapToGrid w:val="0"/>
        <w:spacing w:line="360" w:lineRule="auto"/>
        <w:ind w:firstLine="4750" w:firstLineChars="1900"/>
        <w:rPr>
          <w:rFonts w:hAnsi="宋体" w:eastAsia="宋体" w:cs="宋体"/>
          <w:spacing w:val="20"/>
          <w:szCs w:val="21"/>
        </w:rPr>
      </w:pPr>
      <w:r>
        <w:rPr>
          <w:rFonts w:hint="eastAsia" w:hAnsi="宋体" w:eastAsia="宋体" w:cs="宋体"/>
          <w:bCs/>
          <w:spacing w:val="20"/>
          <w:szCs w:val="21"/>
        </w:rPr>
        <w:t>磋商人（盖单位章）</w:t>
      </w:r>
      <w:r>
        <w:rPr>
          <w:rFonts w:hint="eastAsia" w:hAnsi="宋体" w:eastAsia="宋体" w:cs="宋体"/>
          <w:spacing w:val="20"/>
          <w:szCs w:val="21"/>
        </w:rPr>
        <w:t>：</w:t>
      </w:r>
    </w:p>
    <w:p w14:paraId="68B20C50">
      <w:pPr>
        <w:pStyle w:val="15"/>
        <w:adjustRightInd w:val="0"/>
        <w:snapToGrid w:val="0"/>
        <w:spacing w:line="360" w:lineRule="auto"/>
        <w:ind w:firstLine="4750" w:firstLineChars="1900"/>
        <w:rPr>
          <w:rFonts w:hAnsi="宋体" w:eastAsia="宋体" w:cs="宋体"/>
          <w:bCs/>
          <w:spacing w:val="20"/>
          <w:szCs w:val="21"/>
        </w:rPr>
      </w:pPr>
    </w:p>
    <w:p w14:paraId="617255FA">
      <w:pPr>
        <w:pStyle w:val="15"/>
        <w:adjustRightInd w:val="0"/>
        <w:snapToGrid w:val="0"/>
        <w:spacing w:line="360" w:lineRule="auto"/>
        <w:ind w:firstLine="5750" w:firstLineChars="2300"/>
        <w:rPr>
          <w:rFonts w:hAnsi="宋体" w:eastAsia="宋体" w:cs="宋体"/>
          <w:spacing w:val="20"/>
          <w:szCs w:val="21"/>
          <w:u w:val="single"/>
        </w:rPr>
      </w:pPr>
      <w:r>
        <w:rPr>
          <w:rFonts w:hint="eastAsia" w:hAnsi="宋体" w:eastAsia="宋体" w:cs="宋体"/>
          <w:spacing w:val="20"/>
          <w:szCs w:val="21"/>
        </w:rPr>
        <w:t>日期：</w:t>
      </w:r>
    </w:p>
    <w:p w14:paraId="14216B30">
      <w:pPr>
        <w:tabs>
          <w:tab w:val="left" w:pos="3111"/>
        </w:tabs>
        <w:autoSpaceDE w:val="0"/>
        <w:autoSpaceDN w:val="0"/>
        <w:adjustRightInd w:val="0"/>
        <w:rPr>
          <w:rFonts w:ascii="宋体" w:hAnsi="宋体" w:eastAsia="宋体" w:cs="宋体"/>
          <w:kern w:val="0"/>
          <w:sz w:val="24"/>
        </w:rPr>
      </w:pPr>
      <w:r>
        <w:rPr>
          <w:rFonts w:hint="eastAsia" w:ascii="宋体" w:hAnsi="宋体" w:eastAsia="宋体" w:cs="宋体"/>
          <w:kern w:val="0"/>
          <w:sz w:val="24"/>
        </w:rPr>
        <w:tab/>
      </w:r>
    </w:p>
    <w:p w14:paraId="70826492">
      <w:pPr>
        <w:tabs>
          <w:tab w:val="left" w:pos="3111"/>
        </w:tabs>
        <w:autoSpaceDE w:val="0"/>
        <w:autoSpaceDN w:val="0"/>
        <w:adjustRightInd w:val="0"/>
        <w:rPr>
          <w:rFonts w:ascii="宋体" w:hAnsi="宋体" w:eastAsia="宋体" w:cs="宋体"/>
          <w:kern w:val="0"/>
          <w:sz w:val="24"/>
        </w:rPr>
      </w:pPr>
    </w:p>
    <w:p w14:paraId="2EC31241">
      <w:pPr>
        <w:tabs>
          <w:tab w:val="left" w:pos="3111"/>
        </w:tabs>
        <w:autoSpaceDE w:val="0"/>
        <w:autoSpaceDN w:val="0"/>
        <w:adjustRightInd w:val="0"/>
        <w:rPr>
          <w:rFonts w:ascii="宋体" w:hAnsi="宋体" w:eastAsia="宋体" w:cs="宋体"/>
          <w:kern w:val="0"/>
          <w:sz w:val="24"/>
        </w:rPr>
      </w:pPr>
    </w:p>
    <w:p w14:paraId="0D901634">
      <w:pPr>
        <w:tabs>
          <w:tab w:val="left" w:pos="3111"/>
        </w:tabs>
        <w:autoSpaceDE w:val="0"/>
        <w:autoSpaceDN w:val="0"/>
        <w:adjustRightInd w:val="0"/>
        <w:rPr>
          <w:rFonts w:ascii="宋体" w:hAnsi="宋体" w:eastAsia="宋体" w:cs="宋体"/>
          <w:kern w:val="0"/>
          <w:sz w:val="24"/>
        </w:rPr>
      </w:pPr>
    </w:p>
    <w:p w14:paraId="2D507329">
      <w:pPr>
        <w:pStyle w:val="15"/>
        <w:adjustRightInd w:val="0"/>
        <w:snapToGrid w:val="0"/>
        <w:spacing w:before="120" w:after="120"/>
        <w:jc w:val="left"/>
        <w:rPr>
          <w:rFonts w:hAnsi="宋体" w:eastAsia="宋体" w:cs="宋体"/>
          <w:b/>
          <w:bCs/>
          <w:szCs w:val="21"/>
        </w:rPr>
      </w:pPr>
      <w:r>
        <w:rPr>
          <w:rFonts w:hint="eastAsia" w:hAnsi="宋体" w:eastAsia="宋体" w:cs="宋体"/>
          <w:b/>
          <w:bCs/>
          <w:szCs w:val="21"/>
        </w:rPr>
        <w:t>注：未按照本磋商承诺函格式要求填报的磋商承诺函将被视为非实质性响应磋商，从而导致其被拒绝。</w:t>
      </w:r>
    </w:p>
    <w:p w14:paraId="1C00C50B">
      <w:pPr>
        <w:snapToGrid w:val="0"/>
        <w:spacing w:before="120" w:beforeLines="50" w:after="50"/>
        <w:jc w:val="left"/>
        <w:rPr>
          <w:rFonts w:ascii="宋体" w:hAnsi="宋体" w:eastAsia="宋体" w:cs="宋体"/>
          <w:b/>
          <w:bCs/>
          <w:sz w:val="24"/>
        </w:rPr>
      </w:pPr>
    </w:p>
    <w:p w14:paraId="5EF75A64">
      <w:pPr>
        <w:snapToGrid w:val="0"/>
        <w:spacing w:before="120" w:beforeLines="50" w:after="50"/>
        <w:jc w:val="left"/>
        <w:rPr>
          <w:rFonts w:ascii="宋体" w:hAnsi="宋体" w:eastAsia="宋体" w:cs="宋体"/>
          <w:b/>
          <w:bCs/>
          <w:sz w:val="24"/>
        </w:rPr>
      </w:pPr>
    </w:p>
    <w:p w14:paraId="574AA6D0">
      <w:pPr>
        <w:pStyle w:val="44"/>
        <w:rPr>
          <w:rFonts w:ascii="宋体" w:hAnsi="宋体" w:eastAsia="宋体" w:cs="宋体"/>
          <w:b/>
          <w:bCs/>
          <w:sz w:val="24"/>
        </w:rPr>
      </w:pPr>
    </w:p>
    <w:p w14:paraId="26CAEB21">
      <w:pPr>
        <w:pStyle w:val="44"/>
        <w:rPr>
          <w:rFonts w:ascii="宋体" w:hAnsi="宋体" w:eastAsia="宋体" w:cs="宋体"/>
          <w:b/>
          <w:bCs/>
          <w:sz w:val="24"/>
        </w:rPr>
      </w:pPr>
    </w:p>
    <w:p w14:paraId="562E8E46">
      <w:pPr>
        <w:pStyle w:val="44"/>
        <w:rPr>
          <w:rFonts w:ascii="宋体" w:hAnsi="宋体" w:eastAsia="宋体" w:cs="宋体"/>
          <w:b/>
          <w:bCs/>
          <w:sz w:val="24"/>
        </w:rPr>
      </w:pPr>
    </w:p>
    <w:p w14:paraId="26265D2A">
      <w:pPr>
        <w:pStyle w:val="44"/>
        <w:rPr>
          <w:rFonts w:ascii="宋体" w:hAnsi="宋体" w:eastAsia="宋体" w:cs="宋体"/>
          <w:b/>
          <w:bCs/>
          <w:sz w:val="24"/>
        </w:rPr>
      </w:pPr>
    </w:p>
    <w:p w14:paraId="407F709B">
      <w:pPr>
        <w:pStyle w:val="44"/>
        <w:rPr>
          <w:rFonts w:ascii="宋体" w:hAnsi="宋体" w:eastAsia="宋体" w:cs="宋体"/>
          <w:b/>
          <w:bCs/>
          <w:sz w:val="24"/>
        </w:rPr>
      </w:pPr>
    </w:p>
    <w:p w14:paraId="3B0B3E67">
      <w:pPr>
        <w:pStyle w:val="44"/>
        <w:rPr>
          <w:rFonts w:ascii="宋体" w:hAnsi="宋体" w:eastAsia="宋体" w:cs="宋体"/>
        </w:rPr>
      </w:pPr>
    </w:p>
    <w:p w14:paraId="0E59641C">
      <w:pPr>
        <w:pStyle w:val="44"/>
        <w:rPr>
          <w:rFonts w:ascii="宋体" w:hAnsi="宋体" w:eastAsia="宋体" w:cs="宋体"/>
        </w:rPr>
      </w:pPr>
    </w:p>
    <w:p w14:paraId="6200BA01">
      <w:pPr>
        <w:pStyle w:val="44"/>
        <w:rPr>
          <w:rFonts w:ascii="宋体" w:hAnsi="宋体" w:eastAsia="宋体" w:cs="宋体"/>
        </w:rPr>
      </w:pPr>
    </w:p>
    <w:p w14:paraId="682937DF">
      <w:pPr>
        <w:pStyle w:val="44"/>
        <w:rPr>
          <w:rFonts w:ascii="宋体" w:hAnsi="宋体" w:eastAsia="宋体" w:cs="宋体"/>
        </w:rPr>
      </w:pPr>
    </w:p>
    <w:p w14:paraId="147CB085">
      <w:pPr>
        <w:pStyle w:val="44"/>
        <w:rPr>
          <w:rFonts w:ascii="宋体" w:hAnsi="宋体" w:eastAsia="宋体" w:cs="宋体"/>
        </w:rPr>
      </w:pPr>
    </w:p>
    <w:p w14:paraId="34327C6D">
      <w:pPr>
        <w:pStyle w:val="44"/>
        <w:rPr>
          <w:rFonts w:ascii="宋体" w:hAnsi="宋体" w:eastAsia="宋体" w:cs="宋体"/>
        </w:rPr>
      </w:pPr>
    </w:p>
    <w:p w14:paraId="51C76620">
      <w:pPr>
        <w:snapToGrid w:val="0"/>
        <w:spacing w:before="120" w:beforeLines="50" w:after="50"/>
        <w:jc w:val="left"/>
        <w:rPr>
          <w:rFonts w:ascii="宋体" w:hAnsi="宋体" w:eastAsia="宋体" w:cs="宋体"/>
          <w:b/>
          <w:bCs/>
          <w:sz w:val="24"/>
        </w:rPr>
      </w:pPr>
      <w:r>
        <w:rPr>
          <w:rFonts w:hint="eastAsia" w:ascii="宋体" w:hAnsi="宋体" w:eastAsia="宋体" w:cs="宋体"/>
          <w:b/>
          <w:bCs/>
          <w:sz w:val="24"/>
        </w:rPr>
        <w:t>附件二：</w:t>
      </w:r>
    </w:p>
    <w:p w14:paraId="4943FFD6">
      <w:pPr>
        <w:snapToGrid w:val="0"/>
        <w:spacing w:line="360" w:lineRule="auto"/>
        <w:jc w:val="center"/>
        <w:rPr>
          <w:rFonts w:ascii="宋体" w:hAnsi="宋体" w:eastAsia="宋体" w:cs="宋体"/>
          <w:bCs/>
          <w:sz w:val="24"/>
        </w:rPr>
      </w:pPr>
      <w:r>
        <w:rPr>
          <w:rFonts w:hint="eastAsia" w:ascii="宋体" w:hAnsi="宋体" w:eastAsia="宋体" w:cs="宋体"/>
          <w:b/>
          <w:sz w:val="32"/>
          <w:szCs w:val="32"/>
        </w:rPr>
        <w:t>法定代表人授权委托书</w:t>
      </w:r>
    </w:p>
    <w:p w14:paraId="31396FAE">
      <w:pPr>
        <w:snapToGrid w:val="0"/>
        <w:spacing w:line="360" w:lineRule="auto"/>
        <w:rPr>
          <w:rFonts w:ascii="宋体" w:hAnsi="宋体" w:eastAsia="宋体" w:cs="宋体"/>
          <w:b/>
          <w:bCs/>
          <w:sz w:val="21"/>
          <w:szCs w:val="21"/>
        </w:rPr>
      </w:pPr>
      <w:r>
        <w:rPr>
          <w:rFonts w:hint="eastAsia" w:ascii="宋体" w:hAnsi="宋体" w:eastAsia="宋体" w:cs="宋体"/>
          <w:bCs/>
          <w:sz w:val="21"/>
          <w:szCs w:val="21"/>
        </w:rPr>
        <w:t>致：</w:t>
      </w:r>
      <w:r>
        <w:rPr>
          <w:rFonts w:hint="eastAsia" w:ascii="宋体" w:hAnsi="宋体" w:eastAsia="宋体" w:cs="宋体"/>
          <w:bCs/>
          <w:sz w:val="21"/>
          <w:szCs w:val="21"/>
          <w:lang w:eastAsia="zh-CN"/>
        </w:rPr>
        <w:t>台州市黄岩第二高级中学</w:t>
      </w:r>
      <w:r>
        <w:rPr>
          <w:rFonts w:hint="eastAsia" w:ascii="宋体" w:hAnsi="宋体" w:eastAsia="宋体" w:cs="宋体"/>
          <w:sz w:val="21"/>
          <w:szCs w:val="21"/>
        </w:rPr>
        <w:t>（采购单位名称）：</w:t>
      </w:r>
    </w:p>
    <w:p w14:paraId="28106DB1">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（磋商供应商全称）法定代表人授权（全称代表姓名）为全权代表，参加贵局组织的</w:t>
      </w:r>
      <w:r>
        <w:rPr>
          <w:rFonts w:hint="eastAsia" w:ascii="宋体" w:hAnsi="宋体" w:eastAsia="宋体" w:cs="宋体"/>
          <w:sz w:val="21"/>
          <w:szCs w:val="21"/>
          <w:u w:val="single"/>
          <w:lang w:eastAsia="zh-CN"/>
        </w:rPr>
        <w:t>台州市黄岩第二高级中学体能训练场、科技楼顶渗漏和阶梯教室等改造工程</w:t>
      </w:r>
      <w:r>
        <w:rPr>
          <w:rFonts w:hint="eastAsia" w:ascii="宋体" w:hAnsi="宋体" w:eastAsia="宋体" w:cs="宋体"/>
          <w:sz w:val="21"/>
          <w:szCs w:val="21"/>
        </w:rPr>
        <w:t>，编号：</w:t>
      </w:r>
      <w:r>
        <w:rPr>
          <w:rFonts w:hint="eastAsia" w:ascii="宋体" w:hAnsi="宋体" w:eastAsia="宋体" w:cs="宋体"/>
          <w:sz w:val="21"/>
          <w:szCs w:val="21"/>
          <w:u w:val="single"/>
          <w:lang w:eastAsia="zh-CN"/>
        </w:rPr>
        <w:t>JC-CS2025-022</w:t>
      </w:r>
      <w:r>
        <w:rPr>
          <w:rFonts w:hint="eastAsia" w:ascii="宋体" w:hAnsi="宋体" w:eastAsia="宋体" w:cs="宋体"/>
          <w:sz w:val="21"/>
          <w:szCs w:val="21"/>
          <w:u w:val="single"/>
        </w:rPr>
        <w:t>号</w:t>
      </w:r>
      <w:r>
        <w:rPr>
          <w:rFonts w:hint="eastAsia" w:ascii="宋体" w:hAnsi="宋体" w:eastAsia="宋体" w:cs="宋体"/>
          <w:sz w:val="21"/>
          <w:szCs w:val="21"/>
        </w:rPr>
        <w:t>的磋商活动，全权代表我方处理磋商活动中的一切事务，我均予以承认。</w:t>
      </w:r>
    </w:p>
    <w:p w14:paraId="47EB1293">
      <w:pPr>
        <w:spacing w:line="360" w:lineRule="auto"/>
        <w:ind w:firstLine="420" w:firstLineChars="200"/>
        <w:rPr>
          <w:rFonts w:ascii="宋体" w:hAnsi="宋体" w:eastAsia="宋体" w:cs="宋体"/>
          <w:sz w:val="21"/>
          <w:szCs w:val="21"/>
        </w:rPr>
      </w:pPr>
    </w:p>
    <w:p w14:paraId="3E69E0EB">
      <w:pPr>
        <w:wordWrap w:val="0"/>
        <w:spacing w:line="360" w:lineRule="auto"/>
        <w:jc w:val="right"/>
        <w:rPr>
          <w:rFonts w:ascii="宋体" w:hAnsi="宋体" w:eastAsia="宋体" w:cs="宋体"/>
          <w:sz w:val="21"/>
          <w:szCs w:val="21"/>
        </w:rPr>
      </w:pPr>
    </w:p>
    <w:p w14:paraId="4EDD20FC">
      <w:pPr>
        <w:wordWrap w:val="0"/>
        <w:spacing w:line="360" w:lineRule="auto"/>
        <w:jc w:val="right"/>
        <w:rPr>
          <w:rFonts w:ascii="宋体" w:hAnsi="宋体" w:eastAsia="宋体" w:cs="宋体"/>
          <w:sz w:val="21"/>
          <w:szCs w:val="21"/>
        </w:rPr>
      </w:pPr>
      <w:r>
        <w:rPr>
          <w:rFonts w:hint="eastAsia" w:ascii="宋体" w:hAnsi="宋体" w:eastAsia="宋体" w:cs="宋体"/>
          <w:sz w:val="21"/>
          <w:szCs w:val="21"/>
        </w:rPr>
        <w:t>法定代表人（签字或盖章）：</w:t>
      </w:r>
    </w:p>
    <w:p w14:paraId="12014066">
      <w:pPr>
        <w:spacing w:line="360" w:lineRule="auto"/>
        <w:jc w:val="right"/>
        <w:rPr>
          <w:rFonts w:ascii="宋体" w:hAnsi="宋体" w:eastAsia="宋体" w:cs="宋体"/>
          <w:sz w:val="21"/>
          <w:szCs w:val="21"/>
        </w:rPr>
      </w:pPr>
    </w:p>
    <w:p w14:paraId="01FF88C9">
      <w:pPr>
        <w:wordWrap w:val="0"/>
        <w:spacing w:line="360" w:lineRule="auto"/>
        <w:jc w:val="right"/>
        <w:rPr>
          <w:rFonts w:ascii="宋体" w:hAnsi="宋体" w:eastAsia="宋体" w:cs="宋体"/>
          <w:sz w:val="21"/>
          <w:szCs w:val="21"/>
        </w:rPr>
      </w:pPr>
      <w:r>
        <w:rPr>
          <w:rFonts w:hint="eastAsia" w:ascii="宋体" w:hAnsi="宋体" w:eastAsia="宋体" w:cs="宋体"/>
          <w:sz w:val="21"/>
          <w:szCs w:val="21"/>
        </w:rPr>
        <w:t>磋商供应商全称（盖单位章）：</w:t>
      </w:r>
    </w:p>
    <w:p w14:paraId="5725A5D7">
      <w:pPr>
        <w:spacing w:line="360" w:lineRule="auto"/>
        <w:ind w:firstLine="420" w:firstLineChars="200"/>
        <w:rPr>
          <w:rFonts w:ascii="宋体" w:hAnsi="宋体" w:eastAsia="宋体" w:cs="宋体"/>
          <w:sz w:val="21"/>
          <w:szCs w:val="21"/>
        </w:rPr>
      </w:pPr>
    </w:p>
    <w:p w14:paraId="24EE8571">
      <w:pPr>
        <w:spacing w:line="360" w:lineRule="auto"/>
        <w:ind w:firstLine="420" w:firstLineChars="200"/>
        <w:jc w:val="right"/>
        <w:rPr>
          <w:rFonts w:ascii="宋体" w:hAnsi="宋体" w:eastAsia="宋体" w:cs="宋体"/>
          <w:sz w:val="21"/>
          <w:szCs w:val="21"/>
        </w:rPr>
      </w:pPr>
      <w:r>
        <w:rPr>
          <w:rFonts w:hint="eastAsia" w:ascii="宋体" w:hAnsi="宋体" w:eastAsia="宋体" w:cs="宋体"/>
          <w:sz w:val="21"/>
          <w:szCs w:val="21"/>
        </w:rPr>
        <w:t>日期：年月日</w:t>
      </w:r>
    </w:p>
    <w:p w14:paraId="79BB2C53">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附：</w:t>
      </w:r>
    </w:p>
    <w:p w14:paraId="06B25675">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授权代表姓名（签字）：手机：</w:t>
      </w:r>
    </w:p>
    <w:p w14:paraId="79007719">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职务：电话：</w:t>
      </w:r>
    </w:p>
    <w:p w14:paraId="2517D3C7">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详细通讯地址：传真：</w:t>
      </w:r>
    </w:p>
    <w:p w14:paraId="3B3642C6">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邮政编码：</w:t>
      </w:r>
    </w:p>
    <w:tbl>
      <w:tblPr>
        <w:tblStyle w:val="29"/>
        <w:tblpPr w:leftFromText="180" w:rightFromText="180" w:vertAnchor="text" w:horzAnchor="page" w:tblpX="1788" w:tblpY="335"/>
        <w:tblOverlap w:val="never"/>
        <w:tblW w:w="8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4"/>
      </w:tblGrid>
      <w:tr w14:paraId="0909B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5" w:hRule="atLeast"/>
        </w:trPr>
        <w:tc>
          <w:tcPr>
            <w:tcW w:w="8524" w:type="dxa"/>
            <w:tcBorders>
              <w:top w:val="single" w:color="auto" w:sz="4" w:space="0"/>
              <w:left w:val="single" w:color="auto" w:sz="4" w:space="0"/>
              <w:bottom w:val="single" w:color="auto" w:sz="4" w:space="0"/>
              <w:right w:val="single" w:color="auto" w:sz="4" w:space="0"/>
            </w:tcBorders>
            <w:noWrap/>
          </w:tcPr>
          <w:p w14:paraId="7638B085">
            <w:pPr>
              <w:spacing w:line="360" w:lineRule="auto"/>
              <w:rPr>
                <w:rFonts w:ascii="宋体" w:hAnsi="宋体" w:eastAsia="宋体" w:cs="宋体"/>
                <w:sz w:val="21"/>
                <w:szCs w:val="21"/>
              </w:rPr>
            </w:pPr>
            <w:r>
              <w:rPr>
                <w:rFonts w:hint="eastAsia" w:ascii="宋体" w:hAnsi="宋体" w:eastAsia="宋体" w:cs="宋体"/>
                <w:sz w:val="21"/>
                <w:szCs w:val="21"/>
              </w:rPr>
              <w:t>身份证复印件粘贴处：</w:t>
            </w:r>
          </w:p>
        </w:tc>
      </w:tr>
    </w:tbl>
    <w:p w14:paraId="3CC9A813">
      <w:pPr>
        <w:pStyle w:val="3"/>
        <w:rPr>
          <w:rFonts w:ascii="宋体" w:hAnsi="宋体" w:eastAsia="宋体" w:cs="宋体"/>
          <w:szCs w:val="21"/>
        </w:rPr>
      </w:pPr>
    </w:p>
    <w:p w14:paraId="2FCD6F8E">
      <w:pPr>
        <w:pStyle w:val="15"/>
        <w:adjustRightInd w:val="0"/>
        <w:snapToGrid w:val="0"/>
        <w:spacing w:before="156" w:after="156"/>
        <w:rPr>
          <w:rFonts w:hAnsi="宋体" w:eastAsia="宋体" w:cs="宋体"/>
          <w:b/>
          <w:bCs/>
          <w:szCs w:val="21"/>
        </w:rPr>
      </w:pPr>
    </w:p>
    <w:p w14:paraId="3ADCE770">
      <w:pPr>
        <w:pStyle w:val="15"/>
        <w:adjustRightInd w:val="0"/>
        <w:snapToGrid w:val="0"/>
        <w:spacing w:before="120" w:after="120"/>
        <w:jc w:val="center"/>
        <w:rPr>
          <w:rFonts w:hAnsi="宋体" w:eastAsia="宋体" w:cs="宋体"/>
          <w:b/>
          <w:bCs/>
          <w:szCs w:val="21"/>
          <w:lang w:val="zh-CN"/>
        </w:rPr>
      </w:pPr>
    </w:p>
    <w:p w14:paraId="3ABCB97D">
      <w:pPr>
        <w:rPr>
          <w:rFonts w:ascii="宋体" w:hAnsi="宋体" w:eastAsia="宋体" w:cs="宋体"/>
          <w:b/>
          <w:bCs/>
          <w:sz w:val="24"/>
        </w:rPr>
      </w:pPr>
      <w:r>
        <w:rPr>
          <w:rFonts w:hint="eastAsia" w:ascii="宋体" w:hAnsi="宋体" w:eastAsia="宋体" w:cs="宋体"/>
          <w:b/>
          <w:bCs/>
          <w:sz w:val="24"/>
        </w:rPr>
        <w:br w:type="page"/>
      </w:r>
    </w:p>
    <w:p w14:paraId="5FED5A73">
      <w:pPr>
        <w:pStyle w:val="9"/>
        <w:spacing w:line="360" w:lineRule="auto"/>
        <w:ind w:firstLine="0"/>
        <w:jc w:val="left"/>
        <w:rPr>
          <w:rFonts w:ascii="宋体" w:hAnsi="宋体" w:eastAsia="宋体" w:cs="宋体"/>
          <w:b/>
          <w:bCs/>
          <w:sz w:val="24"/>
          <w:szCs w:val="24"/>
        </w:rPr>
      </w:pPr>
      <w:r>
        <w:rPr>
          <w:rFonts w:hint="eastAsia" w:ascii="宋体" w:hAnsi="宋体" w:eastAsia="宋体" w:cs="宋体"/>
          <w:b/>
          <w:bCs/>
          <w:sz w:val="24"/>
          <w:szCs w:val="24"/>
        </w:rPr>
        <w:t>附件三：</w:t>
      </w:r>
    </w:p>
    <w:p w14:paraId="32977783">
      <w:pPr>
        <w:pStyle w:val="63"/>
        <w:widowControl w:val="0"/>
        <w:snapToGrid w:val="0"/>
        <w:spacing w:line="500" w:lineRule="exact"/>
        <w:ind w:firstLine="0" w:firstLineChars="0"/>
        <w:jc w:val="center"/>
        <w:rPr>
          <w:rFonts w:asciiTheme="minorEastAsia" w:hAnsiTheme="minorEastAsia" w:eastAsiaTheme="minorEastAsia"/>
          <w:color w:val="auto"/>
          <w:sz w:val="28"/>
        </w:rPr>
      </w:pPr>
      <w:r>
        <w:rPr>
          <w:rFonts w:hint="eastAsia" w:cs="方正小标宋简体" w:asciiTheme="minorEastAsia" w:hAnsiTheme="minorEastAsia" w:eastAsiaTheme="minorEastAsia"/>
          <w:color w:val="auto"/>
          <w:sz w:val="32"/>
          <w:szCs w:val="32"/>
        </w:rPr>
        <w:t>政府采购活动</w:t>
      </w:r>
      <w:r>
        <w:rPr>
          <w:rFonts w:cs="方正小标宋简体" w:asciiTheme="minorEastAsia" w:hAnsiTheme="minorEastAsia" w:eastAsiaTheme="minorEastAsia"/>
          <w:color w:val="auto"/>
          <w:sz w:val="32"/>
          <w:szCs w:val="32"/>
        </w:rPr>
        <w:t>现场确认声明书</w:t>
      </w:r>
    </w:p>
    <w:p w14:paraId="7CEDC607">
      <w:pPr>
        <w:pStyle w:val="63"/>
        <w:widowControl w:val="0"/>
        <w:snapToGrid w:val="0"/>
        <w:spacing w:line="500" w:lineRule="exact"/>
        <w:ind w:firstLine="0" w:firstLineChars="0"/>
        <w:jc w:val="both"/>
        <w:rPr>
          <w:rFonts w:hAnsi="宋体" w:cs="宋体"/>
          <w:b/>
          <w:color w:val="auto"/>
          <w:sz w:val="21"/>
          <w:szCs w:val="18"/>
        </w:rPr>
      </w:pPr>
      <w:r>
        <w:rPr>
          <w:rFonts w:hint="eastAsia" w:hAnsi="宋体" w:eastAsia="宋体" w:cs="宋体"/>
          <w:color w:val="auto"/>
          <w:sz w:val="21"/>
          <w:szCs w:val="18"/>
          <w:u w:val="single"/>
        </w:rPr>
        <w:t>台州市玖诚工程管理有限公司</w:t>
      </w:r>
      <w:r>
        <w:rPr>
          <w:rFonts w:hAnsi="宋体" w:cs="宋体"/>
          <w:color w:val="auto"/>
          <w:sz w:val="21"/>
          <w:szCs w:val="18"/>
        </w:rPr>
        <w:t>：</w:t>
      </w:r>
    </w:p>
    <w:p w14:paraId="364D16E9">
      <w:pPr>
        <w:pStyle w:val="63"/>
        <w:widowControl w:val="0"/>
        <w:snapToGrid w:val="0"/>
        <w:spacing w:line="500" w:lineRule="exact"/>
        <w:ind w:firstLine="432"/>
        <w:jc w:val="both"/>
        <w:rPr>
          <w:rFonts w:hAnsi="宋体" w:cs="宋体"/>
          <w:color w:val="auto"/>
          <w:spacing w:val="6"/>
          <w:sz w:val="21"/>
          <w:szCs w:val="18"/>
        </w:rPr>
      </w:pPr>
      <w:r>
        <w:rPr>
          <w:rFonts w:hAnsi="宋体" w:cs="宋体"/>
          <w:color w:val="auto"/>
          <w:spacing w:val="6"/>
          <w:sz w:val="21"/>
          <w:szCs w:val="18"/>
        </w:rPr>
        <w:t>本人经由</w:t>
      </w:r>
      <w:r>
        <w:rPr>
          <w:rFonts w:hint="eastAsia" w:hAnsi="宋体" w:cs="宋体"/>
          <w:color w:val="auto"/>
          <w:kern w:val="1"/>
          <w:sz w:val="21"/>
          <w:szCs w:val="16"/>
          <w:u w:val="single"/>
        </w:rPr>
        <w:t>（投标人名称）</w:t>
      </w:r>
      <w:r>
        <w:rPr>
          <w:rFonts w:hAnsi="宋体" w:cs="宋体"/>
          <w:color w:val="auto"/>
          <w:spacing w:val="6"/>
          <w:sz w:val="21"/>
          <w:szCs w:val="18"/>
        </w:rPr>
        <w:t>负责人</w:t>
      </w:r>
      <w:r>
        <w:rPr>
          <w:rFonts w:hint="eastAsia" w:hAnsi="宋体"/>
          <w:color w:val="auto"/>
          <w:sz w:val="21"/>
          <w:szCs w:val="18"/>
          <w:u w:val="single"/>
        </w:rPr>
        <w:t>（法定代表人）</w:t>
      </w:r>
      <w:r>
        <w:rPr>
          <w:rFonts w:hAnsi="宋体" w:cs="宋体"/>
          <w:color w:val="auto"/>
          <w:spacing w:val="6"/>
          <w:sz w:val="21"/>
          <w:szCs w:val="18"/>
        </w:rPr>
        <w:t>合法授权参加</w:t>
      </w:r>
      <w:r>
        <w:rPr>
          <w:rFonts w:hint="eastAsia" w:hAnsi="宋体" w:eastAsia="宋体" w:cs="宋体"/>
          <w:color w:val="auto"/>
          <w:sz w:val="21"/>
          <w:szCs w:val="21"/>
          <w:u w:val="single"/>
          <w:lang w:eastAsia="zh-CN"/>
        </w:rPr>
        <w:t>台州市黄岩第二高级中学体能训练场、科技楼顶渗漏和阶梯教室等改造工程</w:t>
      </w:r>
      <w:r>
        <w:rPr>
          <w:rFonts w:hAnsi="宋体" w:cs="宋体"/>
          <w:color w:val="auto"/>
          <w:spacing w:val="6"/>
          <w:sz w:val="21"/>
          <w:szCs w:val="18"/>
        </w:rPr>
        <w:t>（编号：</w:t>
      </w:r>
      <w:r>
        <w:rPr>
          <w:rFonts w:hint="eastAsia" w:hAnsi="宋体" w:eastAsia="宋体" w:cs="宋体"/>
          <w:color w:val="auto"/>
          <w:sz w:val="21"/>
          <w:szCs w:val="21"/>
          <w:u w:val="single"/>
          <w:lang w:eastAsia="zh-CN"/>
        </w:rPr>
        <w:t>JC-CS2025-022</w:t>
      </w:r>
      <w:r>
        <w:rPr>
          <w:rFonts w:hint="eastAsia" w:hAnsi="宋体" w:eastAsia="宋体" w:cs="宋体"/>
          <w:color w:val="auto"/>
          <w:sz w:val="21"/>
          <w:szCs w:val="21"/>
          <w:u w:val="single"/>
        </w:rPr>
        <w:t>号</w:t>
      </w:r>
      <w:r>
        <w:rPr>
          <w:rFonts w:hAnsi="宋体" w:cs="宋体"/>
          <w:color w:val="auto"/>
          <w:spacing w:val="6"/>
          <w:sz w:val="21"/>
          <w:szCs w:val="18"/>
        </w:rPr>
        <w:t>）政府采购活动，经与本单位法人代表（负责人）联系确认，现就有关公平竞争事项郑重声明如下：</w:t>
      </w:r>
    </w:p>
    <w:p w14:paraId="3BFF88DB">
      <w:pPr>
        <w:pStyle w:val="45"/>
        <w:widowControl/>
        <w:snapToGrid w:val="0"/>
        <w:spacing w:line="420" w:lineRule="exact"/>
        <w:ind w:firstLine="0" w:firstLineChars="0"/>
        <w:rPr>
          <w:color w:val="auto"/>
          <w:sz w:val="21"/>
          <w:szCs w:val="18"/>
        </w:rPr>
      </w:pPr>
      <w:r>
        <w:rPr>
          <w:rFonts w:hint="eastAsia" w:eastAsia="宋体"/>
          <w:color w:val="auto"/>
          <w:sz w:val="21"/>
          <w:szCs w:val="18"/>
        </w:rPr>
        <w:t>一、</w:t>
      </w:r>
      <w:r>
        <w:rPr>
          <w:color w:val="auto"/>
          <w:sz w:val="21"/>
          <w:szCs w:val="18"/>
        </w:rPr>
        <w:t>本单位与采购人之间</w:t>
      </w:r>
      <w:r>
        <w:rPr>
          <w:color w:val="auto"/>
          <w:sz w:val="21"/>
          <w:szCs w:val="21"/>
        </w:rPr>
        <w:sym w:font="Wingdings" w:char="00A8"/>
      </w:r>
      <w:r>
        <w:rPr>
          <w:color w:val="auto"/>
          <w:sz w:val="21"/>
          <w:szCs w:val="18"/>
        </w:rPr>
        <w:t>不存在利害关系</w:t>
      </w:r>
      <w:r>
        <w:rPr>
          <w:rFonts w:cs="宋体"/>
          <w:color w:val="auto"/>
          <w:sz w:val="21"/>
          <w:szCs w:val="18"/>
        </w:rPr>
        <w:t>□</w:t>
      </w:r>
      <w:r>
        <w:rPr>
          <w:color w:val="auto"/>
          <w:sz w:val="21"/>
          <w:szCs w:val="18"/>
        </w:rPr>
        <w:t>存在下列利害关系：</w:t>
      </w:r>
    </w:p>
    <w:p w14:paraId="20301D61">
      <w:pPr>
        <w:pStyle w:val="45"/>
        <w:widowControl/>
        <w:snapToGrid w:val="0"/>
        <w:spacing w:line="420" w:lineRule="exact"/>
        <w:ind w:firstLine="420"/>
        <w:rPr>
          <w:color w:val="auto"/>
          <w:sz w:val="21"/>
          <w:szCs w:val="18"/>
        </w:rPr>
      </w:pPr>
      <w:r>
        <w:rPr>
          <w:color w:val="auto"/>
          <w:sz w:val="21"/>
          <w:szCs w:val="18"/>
        </w:rPr>
        <w:t xml:space="preserve">  A.投资关系    B.行政隶属关系    C.业务指导关系</w:t>
      </w:r>
    </w:p>
    <w:p w14:paraId="75A2A965">
      <w:pPr>
        <w:pStyle w:val="45"/>
        <w:widowControl/>
        <w:snapToGrid w:val="0"/>
        <w:spacing w:line="420" w:lineRule="exact"/>
        <w:ind w:firstLine="420"/>
        <w:rPr>
          <w:color w:val="auto"/>
          <w:sz w:val="21"/>
          <w:szCs w:val="18"/>
        </w:rPr>
      </w:pPr>
      <w:r>
        <w:rPr>
          <w:color w:val="auto"/>
          <w:sz w:val="21"/>
          <w:szCs w:val="18"/>
        </w:rPr>
        <w:t xml:space="preserve">  D.其他可能影响采购公正的利害关系</w:t>
      </w:r>
      <w:r>
        <w:rPr>
          <w:color w:val="auto"/>
          <w:sz w:val="21"/>
          <w:szCs w:val="18"/>
          <w:u w:val="single"/>
        </w:rPr>
        <w:t>（如有，请如实说明）</w:t>
      </w:r>
      <w:r>
        <w:rPr>
          <w:color w:val="auto"/>
          <w:sz w:val="21"/>
          <w:szCs w:val="18"/>
        </w:rPr>
        <w:t>。</w:t>
      </w:r>
    </w:p>
    <w:p w14:paraId="4D5B8755">
      <w:pPr>
        <w:pStyle w:val="45"/>
        <w:widowControl/>
        <w:snapToGrid w:val="0"/>
        <w:spacing w:line="420" w:lineRule="exact"/>
        <w:ind w:firstLine="0" w:firstLineChars="0"/>
        <w:rPr>
          <w:color w:val="auto"/>
          <w:sz w:val="21"/>
          <w:szCs w:val="18"/>
        </w:rPr>
      </w:pPr>
      <w:r>
        <w:rPr>
          <w:color w:val="auto"/>
          <w:spacing w:val="6"/>
          <w:sz w:val="21"/>
          <w:szCs w:val="18"/>
        </w:rPr>
        <w:t>二、</w:t>
      </w:r>
      <w:r>
        <w:rPr>
          <w:color w:val="auto"/>
          <w:sz w:val="21"/>
          <w:szCs w:val="18"/>
        </w:rPr>
        <w:t>现已清楚知道参加本项目采购活动的其他所有</w:t>
      </w:r>
      <w:r>
        <w:rPr>
          <w:rFonts w:hint="eastAsia"/>
          <w:color w:val="auto"/>
          <w:sz w:val="21"/>
          <w:szCs w:val="18"/>
        </w:rPr>
        <w:t>投标人</w:t>
      </w:r>
      <w:r>
        <w:rPr>
          <w:color w:val="auto"/>
          <w:sz w:val="21"/>
          <w:szCs w:val="18"/>
        </w:rPr>
        <w:t>名称，本单位</w:t>
      </w:r>
      <w:r>
        <w:rPr>
          <w:color w:val="auto"/>
          <w:sz w:val="21"/>
          <w:szCs w:val="21"/>
        </w:rPr>
        <w:sym w:font="Wingdings" w:char="00A8"/>
      </w:r>
      <w:r>
        <w:rPr>
          <w:rFonts w:cs="宋体"/>
          <w:color w:val="auto"/>
          <w:sz w:val="21"/>
          <w:szCs w:val="18"/>
        </w:rPr>
        <w:t>与其他所有</w:t>
      </w:r>
      <w:r>
        <w:rPr>
          <w:rFonts w:hint="eastAsia" w:cs="宋体"/>
          <w:color w:val="auto"/>
          <w:sz w:val="21"/>
          <w:szCs w:val="18"/>
        </w:rPr>
        <w:t>投标人</w:t>
      </w:r>
      <w:r>
        <w:rPr>
          <w:rFonts w:cs="宋体"/>
          <w:color w:val="auto"/>
          <w:sz w:val="21"/>
          <w:szCs w:val="18"/>
        </w:rPr>
        <w:t>之间均</w:t>
      </w:r>
      <w:r>
        <w:rPr>
          <w:color w:val="auto"/>
          <w:sz w:val="21"/>
          <w:szCs w:val="18"/>
        </w:rPr>
        <w:t>不存在利害关系</w:t>
      </w:r>
      <w:r>
        <w:rPr>
          <w:rFonts w:cs="宋体"/>
          <w:color w:val="auto"/>
          <w:sz w:val="21"/>
          <w:szCs w:val="18"/>
        </w:rPr>
        <w:t>□与</w:t>
      </w:r>
      <w:r>
        <w:rPr>
          <w:rFonts w:cs="宋体"/>
          <w:color w:val="auto"/>
          <w:sz w:val="21"/>
          <w:szCs w:val="18"/>
          <w:u w:val="single"/>
        </w:rPr>
        <w:t>（</w:t>
      </w:r>
      <w:r>
        <w:rPr>
          <w:rFonts w:hint="eastAsia" w:cs="宋体"/>
          <w:color w:val="auto"/>
          <w:sz w:val="21"/>
          <w:szCs w:val="18"/>
          <w:u w:val="single"/>
        </w:rPr>
        <w:t>投标人</w:t>
      </w:r>
      <w:r>
        <w:rPr>
          <w:rFonts w:cs="宋体"/>
          <w:color w:val="auto"/>
          <w:sz w:val="21"/>
          <w:szCs w:val="18"/>
          <w:u w:val="single"/>
        </w:rPr>
        <w:t>名称）</w:t>
      </w:r>
      <w:r>
        <w:rPr>
          <w:rFonts w:cs="宋体"/>
          <w:color w:val="auto"/>
          <w:sz w:val="21"/>
          <w:szCs w:val="18"/>
        </w:rPr>
        <w:t>之间</w:t>
      </w:r>
      <w:r>
        <w:rPr>
          <w:color w:val="auto"/>
          <w:sz w:val="21"/>
          <w:szCs w:val="18"/>
        </w:rPr>
        <w:t>存在下列利害关系：</w:t>
      </w:r>
    </w:p>
    <w:p w14:paraId="3F5E7AC8">
      <w:pPr>
        <w:pStyle w:val="63"/>
        <w:widowControl w:val="0"/>
        <w:snapToGrid w:val="0"/>
        <w:spacing w:line="420" w:lineRule="exact"/>
        <w:ind w:firstLine="420"/>
        <w:jc w:val="both"/>
        <w:rPr>
          <w:rFonts w:hAnsi="宋体"/>
          <w:color w:val="auto"/>
          <w:sz w:val="21"/>
          <w:szCs w:val="18"/>
        </w:rPr>
      </w:pPr>
      <w:r>
        <w:rPr>
          <w:rFonts w:hAnsi="宋体"/>
          <w:color w:val="auto"/>
          <w:sz w:val="21"/>
          <w:szCs w:val="18"/>
        </w:rPr>
        <w:t xml:space="preserve">  A.法定代表人或负责人或实际控制人是同一人</w:t>
      </w:r>
    </w:p>
    <w:p w14:paraId="1DD33EC1">
      <w:pPr>
        <w:pStyle w:val="63"/>
        <w:widowControl w:val="0"/>
        <w:snapToGrid w:val="0"/>
        <w:spacing w:line="420" w:lineRule="exact"/>
        <w:ind w:firstLine="420"/>
        <w:jc w:val="both"/>
        <w:rPr>
          <w:rFonts w:hAnsi="宋体"/>
          <w:color w:val="auto"/>
          <w:spacing w:val="6"/>
          <w:sz w:val="21"/>
          <w:szCs w:val="18"/>
        </w:rPr>
      </w:pPr>
      <w:r>
        <w:rPr>
          <w:rFonts w:hAnsi="宋体"/>
          <w:color w:val="auto"/>
          <w:sz w:val="21"/>
          <w:szCs w:val="18"/>
        </w:rPr>
        <w:t xml:space="preserve">  B.法定代表人或负责人或实际控制人是夫妻关系</w:t>
      </w:r>
    </w:p>
    <w:p w14:paraId="47E3B500">
      <w:pPr>
        <w:pStyle w:val="63"/>
        <w:widowControl w:val="0"/>
        <w:snapToGrid w:val="0"/>
        <w:spacing w:line="420" w:lineRule="exact"/>
        <w:ind w:firstLine="420"/>
        <w:jc w:val="both"/>
        <w:rPr>
          <w:rFonts w:hAnsi="宋体"/>
          <w:color w:val="auto"/>
          <w:spacing w:val="6"/>
          <w:sz w:val="21"/>
          <w:szCs w:val="18"/>
        </w:rPr>
      </w:pPr>
      <w:r>
        <w:rPr>
          <w:rFonts w:hAnsi="宋体"/>
          <w:color w:val="auto"/>
          <w:sz w:val="21"/>
          <w:szCs w:val="18"/>
        </w:rPr>
        <w:t xml:space="preserve">  C.法定代表人或负责人或实际控制人是直系血亲关系</w:t>
      </w:r>
    </w:p>
    <w:p w14:paraId="1FFDC940">
      <w:pPr>
        <w:pStyle w:val="63"/>
        <w:widowControl w:val="0"/>
        <w:snapToGrid w:val="0"/>
        <w:spacing w:line="420" w:lineRule="exact"/>
        <w:ind w:firstLine="420"/>
        <w:jc w:val="both"/>
        <w:rPr>
          <w:rFonts w:hAnsi="宋体"/>
          <w:color w:val="auto"/>
          <w:spacing w:val="6"/>
          <w:sz w:val="21"/>
          <w:szCs w:val="18"/>
        </w:rPr>
      </w:pPr>
      <w:r>
        <w:rPr>
          <w:rFonts w:hAnsi="宋体"/>
          <w:color w:val="auto"/>
          <w:sz w:val="21"/>
          <w:szCs w:val="18"/>
        </w:rPr>
        <w:t xml:space="preserve">  D.法定代表人或负责人或实际控制人存在三代以内旁系血亲关系</w:t>
      </w:r>
    </w:p>
    <w:p w14:paraId="7DFE4DCF">
      <w:pPr>
        <w:pStyle w:val="63"/>
        <w:widowControl w:val="0"/>
        <w:snapToGrid w:val="0"/>
        <w:spacing w:line="420" w:lineRule="exact"/>
        <w:ind w:firstLine="420"/>
        <w:jc w:val="both"/>
        <w:rPr>
          <w:rFonts w:hAnsi="宋体"/>
          <w:color w:val="auto"/>
          <w:sz w:val="21"/>
          <w:szCs w:val="18"/>
        </w:rPr>
      </w:pPr>
      <w:r>
        <w:rPr>
          <w:rFonts w:hAnsi="宋体"/>
          <w:color w:val="auto"/>
          <w:sz w:val="21"/>
          <w:szCs w:val="18"/>
        </w:rPr>
        <w:t xml:space="preserve">  E.法定代表人或负责人或实际控制人存在近姻亲关系</w:t>
      </w:r>
    </w:p>
    <w:p w14:paraId="3021D725">
      <w:pPr>
        <w:pStyle w:val="63"/>
        <w:widowControl w:val="0"/>
        <w:snapToGrid w:val="0"/>
        <w:spacing w:line="420" w:lineRule="exact"/>
        <w:ind w:firstLine="420"/>
        <w:jc w:val="both"/>
        <w:rPr>
          <w:rFonts w:hAnsi="宋体"/>
          <w:color w:val="auto"/>
          <w:sz w:val="21"/>
          <w:szCs w:val="18"/>
        </w:rPr>
      </w:pPr>
      <w:r>
        <w:rPr>
          <w:rFonts w:hAnsi="宋体"/>
          <w:color w:val="auto"/>
          <w:sz w:val="21"/>
          <w:szCs w:val="18"/>
        </w:rPr>
        <w:t xml:space="preserve">  F.法定代表人或负责人或实际控制人存在股份控制或实际控制关系</w:t>
      </w:r>
    </w:p>
    <w:p w14:paraId="41F760BB">
      <w:pPr>
        <w:pStyle w:val="63"/>
        <w:widowControl w:val="0"/>
        <w:snapToGrid w:val="0"/>
        <w:spacing w:line="420" w:lineRule="exact"/>
        <w:ind w:firstLine="420"/>
        <w:jc w:val="both"/>
        <w:outlineLvl w:val="0"/>
        <w:rPr>
          <w:rFonts w:hAnsi="宋体"/>
          <w:color w:val="auto"/>
          <w:sz w:val="21"/>
          <w:szCs w:val="18"/>
        </w:rPr>
      </w:pPr>
      <w:r>
        <w:rPr>
          <w:rFonts w:hAnsi="宋体"/>
          <w:color w:val="auto"/>
          <w:sz w:val="21"/>
          <w:szCs w:val="18"/>
        </w:rPr>
        <w:t xml:space="preserve">  G.存在共同直接或间接投资设立子公司、联营企业和合营企业情况</w:t>
      </w:r>
    </w:p>
    <w:p w14:paraId="6E7A44CD">
      <w:pPr>
        <w:pStyle w:val="63"/>
        <w:widowControl w:val="0"/>
        <w:snapToGrid w:val="0"/>
        <w:spacing w:line="420" w:lineRule="exact"/>
        <w:ind w:firstLine="420"/>
        <w:jc w:val="both"/>
        <w:rPr>
          <w:rFonts w:hAnsi="宋体"/>
          <w:color w:val="auto"/>
          <w:sz w:val="21"/>
          <w:szCs w:val="18"/>
        </w:rPr>
      </w:pPr>
      <w:r>
        <w:rPr>
          <w:rFonts w:hAnsi="宋体"/>
          <w:color w:val="auto"/>
          <w:sz w:val="21"/>
          <w:szCs w:val="18"/>
        </w:rPr>
        <w:t xml:space="preserve">  H.存在分级代理或代销关系、同一生产制造商关系、管理关系、重要业务（占主营业务收入50%以上）或重要财务往来关系（如融资）等其他实质性控制关系</w:t>
      </w:r>
    </w:p>
    <w:p w14:paraId="71DCDF66">
      <w:pPr>
        <w:pStyle w:val="63"/>
        <w:widowControl w:val="0"/>
        <w:snapToGrid w:val="0"/>
        <w:spacing w:line="420" w:lineRule="exact"/>
        <w:ind w:firstLine="420"/>
        <w:jc w:val="both"/>
        <w:rPr>
          <w:rFonts w:hAnsi="宋体"/>
          <w:color w:val="auto"/>
          <w:spacing w:val="6"/>
          <w:sz w:val="21"/>
          <w:szCs w:val="18"/>
        </w:rPr>
      </w:pPr>
      <w:r>
        <w:rPr>
          <w:rFonts w:hAnsi="宋体"/>
          <w:color w:val="auto"/>
          <w:sz w:val="21"/>
          <w:szCs w:val="18"/>
        </w:rPr>
        <w:t xml:space="preserve">    I.其他利害关系情况。</w:t>
      </w:r>
    </w:p>
    <w:p w14:paraId="34F29169">
      <w:pPr>
        <w:pStyle w:val="45"/>
        <w:widowControl/>
        <w:numPr>
          <w:ilvl w:val="0"/>
          <w:numId w:val="5"/>
        </w:numPr>
        <w:snapToGrid w:val="0"/>
        <w:spacing w:line="420" w:lineRule="exact"/>
        <w:ind w:firstLine="396" w:firstLineChars="189"/>
        <w:rPr>
          <w:color w:val="auto"/>
          <w:sz w:val="21"/>
          <w:szCs w:val="18"/>
        </w:rPr>
      </w:pPr>
      <w:r>
        <w:rPr>
          <w:color w:val="auto"/>
          <w:sz w:val="21"/>
          <w:szCs w:val="18"/>
        </w:rPr>
        <w:t>现已清楚知道并严格遵守政府采购法律法规和现场纪律。</w:t>
      </w:r>
    </w:p>
    <w:p w14:paraId="7AAC72ED">
      <w:pPr>
        <w:pStyle w:val="45"/>
        <w:widowControl/>
        <w:numPr>
          <w:ilvl w:val="0"/>
          <w:numId w:val="5"/>
        </w:numPr>
        <w:snapToGrid w:val="0"/>
        <w:spacing w:line="420" w:lineRule="exact"/>
        <w:ind w:firstLine="396" w:firstLineChars="189"/>
        <w:rPr>
          <w:color w:val="auto"/>
          <w:sz w:val="21"/>
          <w:szCs w:val="18"/>
        </w:rPr>
      </w:pPr>
      <w:r>
        <w:rPr>
          <w:color w:val="auto"/>
          <w:sz w:val="21"/>
          <w:szCs w:val="16"/>
        </w:rPr>
        <w:t>我发现</w:t>
      </w:r>
      <w:r>
        <w:rPr>
          <w:b/>
          <w:bCs/>
          <w:color w:val="auto"/>
          <w:sz w:val="21"/>
          <w:szCs w:val="16"/>
          <w:u w:val="single"/>
        </w:rPr>
        <w:t xml:space="preserve"> / </w:t>
      </w:r>
      <w:r>
        <w:rPr>
          <w:rFonts w:hint="eastAsia"/>
          <w:color w:val="auto"/>
          <w:sz w:val="21"/>
          <w:szCs w:val="16"/>
        </w:rPr>
        <w:t>投标人</w:t>
      </w:r>
      <w:r>
        <w:rPr>
          <w:color w:val="auto"/>
          <w:sz w:val="21"/>
          <w:szCs w:val="16"/>
        </w:rPr>
        <w:t>之间存在或可能存在上述第二条第</w:t>
      </w:r>
      <w:r>
        <w:rPr>
          <w:b/>
          <w:bCs/>
          <w:color w:val="auto"/>
          <w:sz w:val="21"/>
          <w:szCs w:val="16"/>
          <w:u w:val="single"/>
        </w:rPr>
        <w:t xml:space="preserve"> / </w:t>
      </w:r>
      <w:r>
        <w:rPr>
          <w:color w:val="auto"/>
          <w:sz w:val="21"/>
          <w:szCs w:val="16"/>
        </w:rPr>
        <w:t>项利害关系。</w:t>
      </w:r>
    </w:p>
    <w:p w14:paraId="50669F20">
      <w:pPr>
        <w:pStyle w:val="45"/>
        <w:widowControl/>
        <w:numPr>
          <w:ilvl w:val="0"/>
          <w:numId w:val="5"/>
        </w:numPr>
        <w:snapToGrid w:val="0"/>
        <w:spacing w:line="420" w:lineRule="exact"/>
        <w:ind w:firstLine="396" w:firstLineChars="189"/>
        <w:rPr>
          <w:color w:val="auto"/>
          <w:sz w:val="21"/>
          <w:szCs w:val="18"/>
        </w:rPr>
      </w:pPr>
      <w:r>
        <w:rPr>
          <w:color w:val="auto"/>
          <w:sz w:val="21"/>
          <w:szCs w:val="16"/>
        </w:rPr>
        <w:t>本单位若有违反诚信投标、采购法律法规等行为，愿意按照招标文件规定接受投标担保的处理。如已</w:t>
      </w:r>
      <w:r>
        <w:rPr>
          <w:rFonts w:hint="eastAsia"/>
          <w:color w:val="auto"/>
          <w:sz w:val="21"/>
          <w:szCs w:val="16"/>
        </w:rPr>
        <w:t>成交</w:t>
      </w:r>
      <w:r>
        <w:rPr>
          <w:color w:val="auto"/>
          <w:sz w:val="21"/>
          <w:szCs w:val="16"/>
        </w:rPr>
        <w:t>，自动放弃</w:t>
      </w:r>
      <w:r>
        <w:rPr>
          <w:rFonts w:hint="eastAsia"/>
          <w:color w:val="auto"/>
          <w:sz w:val="21"/>
          <w:szCs w:val="16"/>
        </w:rPr>
        <w:t>成交</w:t>
      </w:r>
      <w:r>
        <w:rPr>
          <w:color w:val="auto"/>
          <w:sz w:val="21"/>
          <w:szCs w:val="16"/>
        </w:rPr>
        <w:t>资格；给招标人造成损失的，依法承担赔偿责任。</w:t>
      </w:r>
    </w:p>
    <w:p w14:paraId="72BBE941">
      <w:pPr>
        <w:pStyle w:val="63"/>
        <w:widowControl w:val="0"/>
        <w:snapToGrid w:val="0"/>
        <w:spacing w:line="500" w:lineRule="exact"/>
        <w:ind w:firstLine="420"/>
        <w:jc w:val="both"/>
        <w:rPr>
          <w:rFonts w:hAnsi="宋体"/>
          <w:color w:val="auto"/>
          <w:sz w:val="21"/>
          <w:szCs w:val="18"/>
        </w:rPr>
      </w:pPr>
      <w:r>
        <w:rPr>
          <w:rFonts w:hAnsi="宋体"/>
          <w:color w:val="auto"/>
          <w:sz w:val="21"/>
          <w:szCs w:val="18"/>
        </w:rPr>
        <w:t>（</w:t>
      </w:r>
      <w:r>
        <w:rPr>
          <w:rFonts w:hint="eastAsia" w:hAnsi="宋体"/>
          <w:color w:val="auto"/>
          <w:sz w:val="21"/>
          <w:szCs w:val="18"/>
        </w:rPr>
        <w:t>投标人</w:t>
      </w:r>
      <w:r>
        <w:rPr>
          <w:rFonts w:hAnsi="宋体"/>
          <w:color w:val="auto"/>
          <w:sz w:val="21"/>
          <w:szCs w:val="18"/>
        </w:rPr>
        <w:t>代表签名）</w:t>
      </w:r>
    </w:p>
    <w:p w14:paraId="638DC313">
      <w:pPr>
        <w:pStyle w:val="9"/>
        <w:spacing w:line="360" w:lineRule="auto"/>
        <w:ind w:firstLine="0"/>
        <w:jc w:val="center"/>
        <w:rPr>
          <w:rFonts w:ascii="宋体" w:hAnsi="宋体"/>
          <w:kern w:val="0"/>
          <w:szCs w:val="16"/>
        </w:rPr>
      </w:pPr>
      <w:r>
        <w:rPr>
          <w:rFonts w:hint="eastAsia" w:ascii="宋体" w:hAnsi="宋体"/>
          <w:kern w:val="0"/>
          <w:szCs w:val="16"/>
        </w:rPr>
        <w:t>年月日</w:t>
      </w:r>
    </w:p>
    <w:p w14:paraId="4D2EC051">
      <w:pPr>
        <w:rPr>
          <w:rFonts w:ascii="宋体" w:hAnsi="宋体" w:eastAsia="宋体" w:cs="宋体"/>
          <w:b/>
          <w:bCs/>
          <w:sz w:val="24"/>
        </w:rPr>
      </w:pPr>
    </w:p>
    <w:p w14:paraId="51E323E2">
      <w:pPr>
        <w:pStyle w:val="9"/>
        <w:spacing w:line="360" w:lineRule="auto"/>
        <w:ind w:firstLine="0"/>
        <w:jc w:val="left"/>
        <w:rPr>
          <w:rFonts w:ascii="宋体" w:hAnsi="宋体" w:eastAsia="宋体" w:cs="宋体"/>
          <w:b/>
          <w:bCs/>
          <w:sz w:val="24"/>
          <w:szCs w:val="24"/>
        </w:rPr>
      </w:pPr>
      <w:r>
        <w:rPr>
          <w:rFonts w:hint="eastAsia" w:ascii="宋体" w:hAnsi="宋体" w:cs="宋体"/>
          <w:sz w:val="22"/>
          <w:szCs w:val="22"/>
        </w:rPr>
        <w:t>说明：商务技术文件开启后30分钟内供应商通过邮件形式将经授权代表签署的《</w:t>
      </w:r>
      <w:r>
        <w:rPr>
          <w:rFonts w:hint="eastAsia" w:ascii="宋体" w:hAnsi="宋体" w:cs="宋体"/>
          <w:sz w:val="22"/>
          <w:szCs w:val="22"/>
          <w:lang w:val="en-GB"/>
        </w:rPr>
        <w:t>政府采购活动确认声明书</w:t>
      </w:r>
      <w:r>
        <w:rPr>
          <w:rFonts w:hint="eastAsia" w:ascii="宋体" w:hAnsi="宋体" w:cs="宋体"/>
          <w:sz w:val="22"/>
          <w:szCs w:val="22"/>
        </w:rPr>
        <w:t>》扫描件发至代理机构经办人邮箱（邮箱地址：</w:t>
      </w:r>
      <w:r>
        <w:fldChar w:fldCharType="begin"/>
      </w:r>
      <w:r>
        <w:instrText xml:space="preserve"> HYPERLINK "mailto:303054329@qq.com）；" </w:instrText>
      </w:r>
      <w:r>
        <w:fldChar w:fldCharType="separate"/>
      </w:r>
      <w:r>
        <w:rPr>
          <w:rFonts w:hint="eastAsia" w:ascii="宋体" w:hAnsi="宋体" w:cs="宋体"/>
          <w:sz w:val="22"/>
          <w:szCs w:val="22"/>
        </w:rPr>
        <w:t>529957556@qq.com）；</w:t>
      </w:r>
      <w:r>
        <w:rPr>
          <w:rFonts w:hint="eastAsia" w:ascii="宋体" w:hAnsi="宋体" w:cs="宋体"/>
          <w:sz w:val="22"/>
          <w:szCs w:val="22"/>
        </w:rPr>
        <w:fldChar w:fldCharType="end"/>
      </w:r>
      <w:r>
        <w:rPr>
          <w:rFonts w:hint="eastAsia" w:ascii="宋体" w:hAnsi="宋体" w:cs="宋体"/>
          <w:sz w:val="22"/>
          <w:szCs w:val="22"/>
        </w:rPr>
        <w:t>不填写或未按规定发出邮件的，视同默认不存在此声明书中的相关违规情形。</w:t>
      </w:r>
    </w:p>
    <w:p w14:paraId="6B60147A">
      <w:pPr>
        <w:pStyle w:val="9"/>
        <w:spacing w:line="360" w:lineRule="auto"/>
        <w:ind w:firstLine="0"/>
        <w:jc w:val="center"/>
        <w:rPr>
          <w:rFonts w:ascii="宋体" w:hAnsi="宋体" w:eastAsia="宋体" w:cs="宋体"/>
          <w:b/>
          <w:bCs/>
          <w:sz w:val="24"/>
          <w:szCs w:val="24"/>
        </w:rPr>
      </w:pPr>
    </w:p>
    <w:p w14:paraId="20C5126A">
      <w:pPr>
        <w:pStyle w:val="9"/>
        <w:spacing w:line="360" w:lineRule="auto"/>
        <w:ind w:firstLine="0"/>
        <w:jc w:val="left"/>
        <w:rPr>
          <w:rFonts w:ascii="宋体" w:hAnsi="宋体" w:eastAsia="宋体" w:cs="宋体"/>
          <w:b/>
          <w:sz w:val="32"/>
          <w:szCs w:val="32"/>
        </w:rPr>
      </w:pPr>
      <w:r>
        <w:rPr>
          <w:rFonts w:hint="eastAsia" w:ascii="宋体" w:hAnsi="宋体" w:eastAsia="宋体" w:cs="宋体"/>
          <w:b/>
          <w:bCs/>
          <w:sz w:val="24"/>
          <w:szCs w:val="24"/>
        </w:rPr>
        <w:t>附件四：</w:t>
      </w:r>
    </w:p>
    <w:p w14:paraId="1B95488B">
      <w:pPr>
        <w:pStyle w:val="9"/>
        <w:spacing w:line="360" w:lineRule="auto"/>
        <w:ind w:firstLine="0"/>
        <w:jc w:val="center"/>
        <w:rPr>
          <w:rFonts w:ascii="宋体" w:hAnsi="宋体" w:eastAsia="宋体" w:cs="宋体"/>
          <w:b/>
          <w:sz w:val="32"/>
          <w:szCs w:val="32"/>
        </w:rPr>
      </w:pPr>
      <w:r>
        <w:rPr>
          <w:rFonts w:hint="eastAsia" w:ascii="宋体" w:hAnsi="宋体" w:eastAsia="宋体" w:cs="宋体"/>
          <w:b/>
          <w:sz w:val="32"/>
          <w:szCs w:val="32"/>
        </w:rPr>
        <w:t>具有履行合同所必需设备和专业技术能力的承诺函</w:t>
      </w:r>
    </w:p>
    <w:p w14:paraId="06BDFB87">
      <w:pPr>
        <w:pStyle w:val="15"/>
        <w:spacing w:line="360" w:lineRule="auto"/>
        <w:rPr>
          <w:rFonts w:hAnsi="宋体" w:eastAsia="宋体" w:cs="宋体"/>
          <w:b/>
          <w:bCs/>
          <w:u w:val="single"/>
        </w:rPr>
      </w:pPr>
      <w:r>
        <w:rPr>
          <w:rFonts w:hint="eastAsia" w:hAnsi="宋体" w:eastAsia="宋体" w:cs="宋体"/>
          <w:szCs w:val="21"/>
          <w:u w:val="single"/>
          <w:lang w:eastAsia="zh-CN"/>
        </w:rPr>
        <w:t>台州市黄岩第二高级中学</w:t>
      </w:r>
      <w:r>
        <w:rPr>
          <w:rFonts w:hint="eastAsia" w:hAnsi="宋体" w:eastAsia="宋体" w:cs="宋体"/>
          <w:b/>
          <w:bCs/>
          <w:u w:val="single"/>
        </w:rPr>
        <w:t>：</w:t>
      </w:r>
    </w:p>
    <w:p w14:paraId="6769C5AF">
      <w:pPr>
        <w:pStyle w:val="15"/>
        <w:spacing w:line="360" w:lineRule="auto"/>
        <w:ind w:firstLine="420" w:firstLineChars="200"/>
        <w:rPr>
          <w:rFonts w:hAnsi="宋体" w:eastAsia="宋体" w:cs="宋体"/>
        </w:rPr>
      </w:pPr>
      <w:r>
        <w:rPr>
          <w:rFonts w:hint="eastAsia" w:hAnsi="宋体" w:eastAsia="宋体" w:cs="宋体"/>
        </w:rPr>
        <w:t>我方参与的</w:t>
      </w:r>
      <w:r>
        <w:rPr>
          <w:rFonts w:hint="eastAsia" w:hAnsi="宋体" w:eastAsia="宋体" w:cs="宋体"/>
          <w:u w:val="single"/>
          <w:lang w:eastAsia="zh-CN"/>
        </w:rPr>
        <w:t>台州市黄岩第二高级中学体能训练场、科技楼顶渗漏和阶梯教室等改造工程JC-CS2025-022</w:t>
      </w:r>
      <w:r>
        <w:rPr>
          <w:rFonts w:hint="eastAsia" w:hAnsi="宋体" w:eastAsia="宋体" w:cs="宋体"/>
          <w:u w:val="single"/>
        </w:rPr>
        <w:t>号</w:t>
      </w:r>
      <w:r>
        <w:rPr>
          <w:rFonts w:hint="eastAsia" w:hAnsi="宋体" w:eastAsia="宋体" w:cs="宋体"/>
        </w:rPr>
        <w:t>的磋商活动，我方郑重承诺，我方承诺具有履行合同所必需设备和专业技术能力。如有虚假，采购组织机构可取消我方任何资格（磋商/中标/签订合同），我方对此无任何异议。</w:t>
      </w:r>
    </w:p>
    <w:p w14:paraId="0B15BB8F">
      <w:pPr>
        <w:pStyle w:val="15"/>
        <w:spacing w:line="360" w:lineRule="auto"/>
        <w:ind w:firstLine="420" w:firstLineChars="200"/>
        <w:rPr>
          <w:rFonts w:hAnsi="宋体" w:eastAsia="宋体" w:cs="宋体"/>
        </w:rPr>
      </w:pPr>
      <w:r>
        <w:rPr>
          <w:rFonts w:hint="eastAsia" w:hAnsi="宋体" w:eastAsia="宋体" w:cs="宋体"/>
        </w:rPr>
        <w:t>特此承诺！</w:t>
      </w:r>
    </w:p>
    <w:p w14:paraId="3CDAFC5C">
      <w:pPr>
        <w:pStyle w:val="15"/>
        <w:spacing w:before="60" w:after="60" w:line="500" w:lineRule="exact"/>
        <w:ind w:firstLine="420" w:firstLineChars="200"/>
        <w:rPr>
          <w:rFonts w:hAnsi="宋体" w:eastAsia="宋体" w:cs="宋体"/>
        </w:rPr>
      </w:pPr>
    </w:p>
    <w:p w14:paraId="1BD47740">
      <w:pPr>
        <w:wordWrap w:val="0"/>
        <w:spacing w:line="360" w:lineRule="auto"/>
        <w:jc w:val="right"/>
        <w:rPr>
          <w:rFonts w:ascii="宋体" w:hAnsi="宋体" w:eastAsia="宋体" w:cs="宋体"/>
          <w:sz w:val="21"/>
          <w:szCs w:val="21"/>
        </w:rPr>
      </w:pPr>
    </w:p>
    <w:p w14:paraId="51D47524">
      <w:pPr>
        <w:wordWrap w:val="0"/>
        <w:spacing w:line="360" w:lineRule="auto"/>
        <w:jc w:val="right"/>
        <w:rPr>
          <w:rFonts w:ascii="宋体" w:hAnsi="宋体" w:eastAsia="宋体" w:cs="宋体"/>
          <w:sz w:val="21"/>
          <w:szCs w:val="21"/>
        </w:rPr>
      </w:pPr>
      <w:r>
        <w:rPr>
          <w:rFonts w:hint="eastAsia" w:ascii="宋体" w:hAnsi="宋体" w:eastAsia="宋体" w:cs="宋体"/>
          <w:sz w:val="21"/>
          <w:szCs w:val="21"/>
        </w:rPr>
        <w:t>磋商人（盖单位章）：</w:t>
      </w:r>
    </w:p>
    <w:p w14:paraId="5B5EF7D1">
      <w:pPr>
        <w:pStyle w:val="15"/>
        <w:adjustRightInd w:val="0"/>
        <w:snapToGrid w:val="0"/>
        <w:spacing w:before="120" w:after="120"/>
        <w:jc w:val="right"/>
        <w:rPr>
          <w:rFonts w:hAnsi="宋体" w:eastAsia="宋体" w:cs="宋体"/>
        </w:rPr>
      </w:pPr>
    </w:p>
    <w:p w14:paraId="0B51F41C">
      <w:pPr>
        <w:pStyle w:val="15"/>
        <w:adjustRightInd w:val="0"/>
        <w:snapToGrid w:val="0"/>
        <w:spacing w:before="120" w:after="120"/>
        <w:jc w:val="right"/>
        <w:rPr>
          <w:rFonts w:hAnsi="宋体" w:eastAsia="宋体" w:cs="宋体"/>
        </w:rPr>
      </w:pPr>
      <w:r>
        <w:rPr>
          <w:rFonts w:hint="eastAsia" w:hAnsi="宋体" w:eastAsia="宋体" w:cs="宋体"/>
        </w:rPr>
        <w:t>日　期：</w:t>
      </w:r>
      <w:r>
        <w:rPr>
          <w:rFonts w:hint="eastAsia" w:hAnsi="宋体" w:eastAsia="宋体" w:cs="宋体"/>
          <w:szCs w:val="21"/>
        </w:rPr>
        <w:t>年月日</w:t>
      </w:r>
    </w:p>
    <w:p w14:paraId="6B0CC80A">
      <w:pPr>
        <w:pStyle w:val="15"/>
        <w:adjustRightInd w:val="0"/>
        <w:snapToGrid w:val="0"/>
        <w:spacing w:before="120" w:after="120"/>
        <w:jc w:val="center"/>
        <w:rPr>
          <w:rFonts w:hAnsi="宋体" w:eastAsia="宋体" w:cs="宋体"/>
          <w:sz w:val="24"/>
        </w:rPr>
      </w:pPr>
    </w:p>
    <w:p w14:paraId="010362EF">
      <w:pPr>
        <w:pStyle w:val="15"/>
        <w:adjustRightInd w:val="0"/>
        <w:snapToGrid w:val="0"/>
        <w:spacing w:before="120" w:after="120"/>
        <w:jc w:val="center"/>
        <w:rPr>
          <w:rFonts w:hAnsi="宋体" w:eastAsia="宋体" w:cs="宋体"/>
          <w:sz w:val="24"/>
        </w:rPr>
      </w:pPr>
    </w:p>
    <w:p w14:paraId="4986E9A3">
      <w:pPr>
        <w:pStyle w:val="15"/>
        <w:adjustRightInd w:val="0"/>
        <w:snapToGrid w:val="0"/>
        <w:spacing w:before="120" w:after="120"/>
        <w:jc w:val="center"/>
        <w:rPr>
          <w:rFonts w:hAnsi="宋体" w:eastAsia="宋体" w:cs="宋体"/>
          <w:sz w:val="24"/>
        </w:rPr>
      </w:pPr>
    </w:p>
    <w:p w14:paraId="7E6B9B67">
      <w:pPr>
        <w:pStyle w:val="15"/>
        <w:adjustRightInd w:val="0"/>
        <w:snapToGrid w:val="0"/>
        <w:spacing w:before="120" w:after="120"/>
        <w:jc w:val="center"/>
        <w:rPr>
          <w:rFonts w:hAnsi="宋体" w:eastAsia="宋体" w:cs="宋体"/>
          <w:sz w:val="24"/>
        </w:rPr>
      </w:pPr>
    </w:p>
    <w:p w14:paraId="2CFFDA96">
      <w:pPr>
        <w:pStyle w:val="15"/>
        <w:adjustRightInd w:val="0"/>
        <w:snapToGrid w:val="0"/>
        <w:spacing w:before="120" w:after="120"/>
        <w:jc w:val="center"/>
        <w:rPr>
          <w:rFonts w:hAnsi="宋体" w:eastAsia="宋体" w:cs="宋体"/>
          <w:sz w:val="24"/>
        </w:rPr>
      </w:pPr>
    </w:p>
    <w:p w14:paraId="6AA16A2C">
      <w:pPr>
        <w:pStyle w:val="15"/>
        <w:adjustRightInd w:val="0"/>
        <w:snapToGrid w:val="0"/>
        <w:spacing w:before="120" w:after="120"/>
        <w:jc w:val="center"/>
        <w:rPr>
          <w:rFonts w:hAnsi="宋体" w:eastAsia="宋体" w:cs="宋体"/>
          <w:sz w:val="24"/>
        </w:rPr>
      </w:pPr>
    </w:p>
    <w:p w14:paraId="791A05A2">
      <w:pPr>
        <w:pStyle w:val="15"/>
        <w:adjustRightInd w:val="0"/>
        <w:snapToGrid w:val="0"/>
        <w:spacing w:before="120" w:after="120"/>
        <w:jc w:val="center"/>
        <w:rPr>
          <w:rFonts w:hAnsi="宋体" w:eastAsia="宋体" w:cs="宋体"/>
          <w:sz w:val="24"/>
        </w:rPr>
      </w:pPr>
    </w:p>
    <w:p w14:paraId="4E23D688">
      <w:pPr>
        <w:pStyle w:val="15"/>
        <w:adjustRightInd w:val="0"/>
        <w:snapToGrid w:val="0"/>
        <w:spacing w:before="120" w:after="120"/>
        <w:jc w:val="center"/>
        <w:rPr>
          <w:rFonts w:hAnsi="宋体" w:eastAsia="宋体" w:cs="宋体"/>
          <w:sz w:val="24"/>
        </w:rPr>
      </w:pPr>
    </w:p>
    <w:p w14:paraId="6ACDD213">
      <w:pPr>
        <w:pStyle w:val="15"/>
        <w:adjustRightInd w:val="0"/>
        <w:snapToGrid w:val="0"/>
        <w:spacing w:before="120" w:after="120"/>
        <w:jc w:val="center"/>
        <w:rPr>
          <w:rFonts w:hAnsi="宋体" w:eastAsia="宋体" w:cs="宋体"/>
          <w:sz w:val="24"/>
        </w:rPr>
      </w:pPr>
    </w:p>
    <w:p w14:paraId="761434A1">
      <w:pPr>
        <w:pStyle w:val="15"/>
        <w:adjustRightInd w:val="0"/>
        <w:snapToGrid w:val="0"/>
        <w:spacing w:before="120" w:after="120"/>
        <w:jc w:val="center"/>
        <w:rPr>
          <w:rFonts w:hAnsi="宋体" w:eastAsia="宋体" w:cs="宋体"/>
          <w:sz w:val="24"/>
        </w:rPr>
      </w:pPr>
    </w:p>
    <w:p w14:paraId="7E10B413">
      <w:pPr>
        <w:pStyle w:val="15"/>
        <w:adjustRightInd w:val="0"/>
        <w:snapToGrid w:val="0"/>
        <w:spacing w:before="120" w:after="120"/>
        <w:jc w:val="center"/>
        <w:rPr>
          <w:rFonts w:hAnsi="宋体" w:eastAsia="宋体" w:cs="宋体"/>
          <w:sz w:val="24"/>
        </w:rPr>
      </w:pPr>
    </w:p>
    <w:p w14:paraId="10885A05">
      <w:pPr>
        <w:pStyle w:val="15"/>
        <w:adjustRightInd w:val="0"/>
        <w:snapToGrid w:val="0"/>
        <w:spacing w:before="120" w:after="120"/>
        <w:jc w:val="center"/>
        <w:rPr>
          <w:rFonts w:hAnsi="宋体" w:eastAsia="宋体" w:cs="宋体"/>
          <w:b/>
          <w:bCs/>
          <w:sz w:val="24"/>
          <w:szCs w:val="24"/>
        </w:rPr>
      </w:pPr>
    </w:p>
    <w:p w14:paraId="20238E53">
      <w:pPr>
        <w:pStyle w:val="15"/>
        <w:adjustRightInd w:val="0"/>
        <w:snapToGrid w:val="0"/>
        <w:spacing w:before="120" w:after="120"/>
        <w:jc w:val="center"/>
        <w:rPr>
          <w:rFonts w:hAnsi="宋体" w:eastAsia="宋体" w:cs="宋体"/>
          <w:b/>
          <w:bCs/>
          <w:sz w:val="24"/>
          <w:szCs w:val="24"/>
        </w:rPr>
      </w:pPr>
    </w:p>
    <w:p w14:paraId="17AECBB5">
      <w:pPr>
        <w:pStyle w:val="15"/>
        <w:adjustRightInd w:val="0"/>
        <w:snapToGrid w:val="0"/>
        <w:spacing w:before="120" w:after="120"/>
        <w:jc w:val="center"/>
        <w:rPr>
          <w:rFonts w:hAnsi="宋体" w:eastAsia="宋体" w:cs="宋体"/>
          <w:b/>
          <w:bCs/>
          <w:sz w:val="24"/>
          <w:szCs w:val="24"/>
        </w:rPr>
      </w:pPr>
    </w:p>
    <w:p w14:paraId="048B6496">
      <w:pPr>
        <w:pStyle w:val="15"/>
        <w:adjustRightInd w:val="0"/>
        <w:snapToGrid w:val="0"/>
        <w:spacing w:before="120" w:after="120"/>
        <w:jc w:val="center"/>
        <w:rPr>
          <w:rFonts w:hAnsi="宋体" w:eastAsia="宋体" w:cs="宋体"/>
          <w:b/>
          <w:bCs/>
          <w:sz w:val="24"/>
          <w:szCs w:val="24"/>
        </w:rPr>
      </w:pPr>
    </w:p>
    <w:p w14:paraId="4ED5B214">
      <w:pPr>
        <w:pStyle w:val="15"/>
        <w:adjustRightInd w:val="0"/>
        <w:snapToGrid w:val="0"/>
        <w:spacing w:before="120" w:after="120"/>
        <w:jc w:val="center"/>
        <w:rPr>
          <w:rFonts w:hAnsi="宋体" w:eastAsia="宋体" w:cs="宋体"/>
          <w:b/>
          <w:bCs/>
          <w:sz w:val="24"/>
          <w:szCs w:val="24"/>
        </w:rPr>
      </w:pPr>
    </w:p>
    <w:p w14:paraId="5500DEB2">
      <w:pPr>
        <w:rPr>
          <w:rFonts w:ascii="宋体" w:hAnsi="宋体" w:eastAsia="宋体" w:cs="宋体"/>
          <w:b/>
          <w:bCs/>
          <w:sz w:val="24"/>
        </w:rPr>
      </w:pPr>
      <w:r>
        <w:rPr>
          <w:rFonts w:hint="eastAsia" w:ascii="宋体" w:hAnsi="宋体" w:eastAsia="宋体" w:cs="宋体"/>
          <w:b/>
          <w:bCs/>
          <w:sz w:val="24"/>
        </w:rPr>
        <w:br w:type="page"/>
      </w:r>
    </w:p>
    <w:p w14:paraId="286C8E53">
      <w:pPr>
        <w:pStyle w:val="15"/>
        <w:adjustRightInd w:val="0"/>
        <w:snapToGrid w:val="0"/>
        <w:spacing w:before="120" w:after="120"/>
        <w:rPr>
          <w:rFonts w:hAnsi="宋体" w:eastAsia="宋体" w:cs="宋体"/>
          <w:b/>
          <w:bCs/>
          <w:sz w:val="24"/>
          <w:szCs w:val="24"/>
        </w:rPr>
      </w:pPr>
      <w:r>
        <w:rPr>
          <w:rFonts w:hint="eastAsia" w:hAnsi="宋体" w:eastAsia="宋体" w:cs="宋体"/>
          <w:b/>
          <w:bCs/>
          <w:sz w:val="24"/>
          <w:szCs w:val="24"/>
          <w:lang w:val="zh-CN"/>
        </w:rPr>
        <w:t>附件五</w:t>
      </w:r>
      <w:r>
        <w:rPr>
          <w:rFonts w:hint="eastAsia" w:hAnsi="宋体" w:eastAsia="宋体" w:cs="宋体"/>
          <w:b/>
          <w:bCs/>
          <w:sz w:val="24"/>
          <w:szCs w:val="24"/>
        </w:rPr>
        <w:t>：</w:t>
      </w:r>
    </w:p>
    <w:p w14:paraId="4E8C4B1B">
      <w:pPr>
        <w:pStyle w:val="15"/>
        <w:adjustRightInd w:val="0"/>
        <w:snapToGrid w:val="0"/>
        <w:spacing w:line="360" w:lineRule="auto"/>
        <w:jc w:val="center"/>
        <w:rPr>
          <w:rFonts w:hAnsi="宋体" w:eastAsia="宋体" w:cs="宋体"/>
          <w:b/>
          <w:bCs/>
          <w:sz w:val="32"/>
          <w:szCs w:val="32"/>
        </w:rPr>
      </w:pPr>
      <w:r>
        <w:rPr>
          <w:rFonts w:hint="eastAsia" w:hAnsi="宋体" w:eastAsia="宋体" w:cs="宋体"/>
          <w:b/>
          <w:bCs/>
          <w:sz w:val="32"/>
          <w:szCs w:val="32"/>
          <w:lang w:val="zh-CN"/>
        </w:rPr>
        <w:t>无重大违法记录声明书</w:t>
      </w:r>
    </w:p>
    <w:p w14:paraId="12214D56">
      <w:pPr>
        <w:spacing w:line="360" w:lineRule="auto"/>
        <w:jc w:val="left"/>
        <w:rPr>
          <w:rFonts w:ascii="宋体" w:hAnsi="宋体" w:eastAsia="宋体" w:cs="宋体"/>
          <w:sz w:val="21"/>
          <w:szCs w:val="21"/>
        </w:rPr>
      </w:pPr>
      <w:r>
        <w:rPr>
          <w:rFonts w:hint="eastAsia" w:ascii="宋体" w:hAnsi="宋体" w:eastAsia="宋体" w:cs="宋体"/>
          <w:sz w:val="21"/>
          <w:szCs w:val="21"/>
          <w:lang w:eastAsia="zh-CN"/>
        </w:rPr>
        <w:t>台州市黄岩第二高级中学</w:t>
      </w:r>
      <w:r>
        <w:rPr>
          <w:rFonts w:hint="eastAsia" w:ascii="宋体" w:hAnsi="宋体" w:eastAsia="宋体" w:cs="宋体"/>
          <w:sz w:val="21"/>
          <w:szCs w:val="21"/>
        </w:rPr>
        <w:t>：</w:t>
      </w:r>
    </w:p>
    <w:p w14:paraId="1C5529D8">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我方郑重声明：我方参加本项目磋商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我方对此声明负全部法律责任。</w:t>
      </w:r>
    </w:p>
    <w:p w14:paraId="5D82EDA4">
      <w:pPr>
        <w:spacing w:line="360" w:lineRule="auto"/>
        <w:ind w:firstLine="420" w:firstLineChars="200"/>
        <w:jc w:val="left"/>
        <w:rPr>
          <w:rFonts w:ascii="宋体" w:hAnsi="宋体" w:eastAsia="宋体" w:cs="宋体"/>
          <w:spacing w:val="6"/>
          <w:sz w:val="21"/>
          <w:szCs w:val="21"/>
        </w:rPr>
      </w:pPr>
      <w:r>
        <w:rPr>
          <w:rFonts w:hint="eastAsia" w:ascii="宋体" w:hAnsi="宋体" w:eastAsia="宋体" w:cs="宋体"/>
          <w:sz w:val="21"/>
          <w:szCs w:val="21"/>
        </w:rPr>
        <w:t>特此声明。</w:t>
      </w:r>
    </w:p>
    <w:p w14:paraId="3ACEAAC2">
      <w:pPr>
        <w:pStyle w:val="15"/>
        <w:spacing w:line="360" w:lineRule="auto"/>
        <w:ind w:firstLine="420" w:firstLineChars="200"/>
        <w:jc w:val="center"/>
        <w:rPr>
          <w:rFonts w:hAnsi="宋体" w:eastAsia="宋体" w:cs="宋体"/>
          <w:szCs w:val="21"/>
        </w:rPr>
      </w:pPr>
    </w:p>
    <w:p w14:paraId="7B072F57">
      <w:pPr>
        <w:wordWrap w:val="0"/>
        <w:spacing w:line="360" w:lineRule="auto"/>
        <w:jc w:val="right"/>
        <w:rPr>
          <w:rFonts w:ascii="宋体" w:hAnsi="宋体" w:eastAsia="宋体" w:cs="宋体"/>
          <w:sz w:val="21"/>
          <w:szCs w:val="21"/>
        </w:rPr>
      </w:pPr>
    </w:p>
    <w:p w14:paraId="03DDA087">
      <w:pPr>
        <w:wordWrap w:val="0"/>
        <w:spacing w:line="360" w:lineRule="auto"/>
        <w:jc w:val="right"/>
        <w:rPr>
          <w:rFonts w:ascii="宋体" w:hAnsi="宋体" w:eastAsia="宋体" w:cs="宋体"/>
          <w:sz w:val="21"/>
          <w:szCs w:val="21"/>
        </w:rPr>
      </w:pPr>
      <w:r>
        <w:rPr>
          <w:rFonts w:hint="eastAsia" w:ascii="宋体" w:hAnsi="宋体" w:eastAsia="宋体" w:cs="宋体"/>
          <w:sz w:val="21"/>
          <w:szCs w:val="21"/>
        </w:rPr>
        <w:t>磋商人（盖单位章）：</w:t>
      </w:r>
    </w:p>
    <w:p w14:paraId="1D2C402E">
      <w:pPr>
        <w:pStyle w:val="15"/>
        <w:adjustRightInd w:val="0"/>
        <w:snapToGrid w:val="0"/>
        <w:spacing w:line="360" w:lineRule="auto"/>
        <w:jc w:val="right"/>
        <w:rPr>
          <w:rFonts w:hAnsi="宋体" w:eastAsia="宋体" w:cs="宋体"/>
          <w:szCs w:val="21"/>
        </w:rPr>
      </w:pPr>
    </w:p>
    <w:p w14:paraId="20E7C7CD">
      <w:pPr>
        <w:pStyle w:val="15"/>
        <w:adjustRightInd w:val="0"/>
        <w:snapToGrid w:val="0"/>
        <w:spacing w:line="360" w:lineRule="auto"/>
        <w:jc w:val="right"/>
        <w:rPr>
          <w:rFonts w:hAnsi="宋体" w:eastAsia="宋体" w:cs="宋体"/>
          <w:szCs w:val="21"/>
        </w:rPr>
      </w:pPr>
      <w:r>
        <w:rPr>
          <w:rFonts w:hint="eastAsia" w:hAnsi="宋体" w:eastAsia="宋体" w:cs="宋体"/>
          <w:szCs w:val="21"/>
        </w:rPr>
        <w:t>日　期：年月日</w:t>
      </w:r>
    </w:p>
    <w:p w14:paraId="78087227">
      <w:pPr>
        <w:pStyle w:val="15"/>
        <w:spacing w:line="360" w:lineRule="auto"/>
        <w:outlineLvl w:val="1"/>
        <w:rPr>
          <w:rFonts w:hAnsi="宋体" w:eastAsia="宋体" w:cs="宋体"/>
          <w:b/>
          <w:sz w:val="24"/>
          <w:szCs w:val="24"/>
        </w:rPr>
      </w:pPr>
    </w:p>
    <w:p w14:paraId="791D7F50">
      <w:pPr>
        <w:pStyle w:val="15"/>
        <w:spacing w:line="360" w:lineRule="auto"/>
        <w:outlineLvl w:val="1"/>
        <w:rPr>
          <w:rFonts w:hAnsi="宋体" w:eastAsia="宋体" w:cs="宋体"/>
          <w:b/>
          <w:szCs w:val="21"/>
        </w:rPr>
      </w:pPr>
    </w:p>
    <w:p w14:paraId="4B7465B5">
      <w:pPr>
        <w:pStyle w:val="15"/>
        <w:spacing w:line="360" w:lineRule="auto"/>
        <w:outlineLvl w:val="1"/>
        <w:rPr>
          <w:rFonts w:hAnsi="宋体" w:eastAsia="宋体" w:cs="宋体"/>
          <w:b/>
          <w:szCs w:val="21"/>
        </w:rPr>
      </w:pPr>
    </w:p>
    <w:p w14:paraId="6411CD61">
      <w:pPr>
        <w:pStyle w:val="15"/>
        <w:spacing w:line="360" w:lineRule="auto"/>
        <w:outlineLvl w:val="1"/>
        <w:rPr>
          <w:rFonts w:hAnsi="宋体" w:eastAsia="宋体" w:cs="宋体"/>
          <w:b/>
          <w:szCs w:val="21"/>
        </w:rPr>
      </w:pPr>
    </w:p>
    <w:p w14:paraId="3CF5EFB1">
      <w:pPr>
        <w:pStyle w:val="15"/>
        <w:spacing w:line="360" w:lineRule="auto"/>
        <w:outlineLvl w:val="1"/>
        <w:rPr>
          <w:rFonts w:hAnsi="宋体" w:eastAsia="宋体" w:cs="宋体"/>
          <w:b/>
          <w:szCs w:val="21"/>
        </w:rPr>
      </w:pPr>
    </w:p>
    <w:p w14:paraId="121A8FB0">
      <w:pPr>
        <w:pStyle w:val="15"/>
        <w:spacing w:line="360" w:lineRule="auto"/>
        <w:outlineLvl w:val="1"/>
        <w:rPr>
          <w:rFonts w:hAnsi="宋体" w:eastAsia="宋体" w:cs="宋体"/>
          <w:b/>
          <w:szCs w:val="21"/>
        </w:rPr>
      </w:pPr>
    </w:p>
    <w:p w14:paraId="2AE39BF8">
      <w:pPr>
        <w:pStyle w:val="16"/>
        <w:ind w:left="9000"/>
        <w:rPr>
          <w:rFonts w:ascii="宋体" w:hAnsi="宋体" w:eastAsia="宋体" w:cs="宋体"/>
          <w:b/>
          <w:sz w:val="21"/>
          <w:szCs w:val="21"/>
        </w:rPr>
      </w:pPr>
    </w:p>
    <w:p w14:paraId="0ABA2B37">
      <w:pPr>
        <w:rPr>
          <w:rFonts w:ascii="宋体" w:hAnsi="宋体" w:eastAsia="宋体" w:cs="宋体"/>
        </w:rPr>
      </w:pPr>
    </w:p>
    <w:p w14:paraId="16CF294A">
      <w:pPr>
        <w:pStyle w:val="15"/>
        <w:spacing w:line="360" w:lineRule="auto"/>
        <w:outlineLvl w:val="1"/>
        <w:rPr>
          <w:rFonts w:hAnsi="宋体" w:eastAsia="宋体" w:cs="宋体"/>
          <w:b/>
          <w:szCs w:val="21"/>
        </w:rPr>
      </w:pPr>
    </w:p>
    <w:p w14:paraId="0078C3BC">
      <w:pPr>
        <w:pStyle w:val="15"/>
        <w:spacing w:line="360" w:lineRule="auto"/>
        <w:outlineLvl w:val="1"/>
        <w:rPr>
          <w:rFonts w:hAnsi="宋体" w:eastAsia="宋体" w:cs="宋体"/>
          <w:b/>
          <w:szCs w:val="21"/>
        </w:rPr>
      </w:pPr>
    </w:p>
    <w:p w14:paraId="2AB66CBC">
      <w:pPr>
        <w:pStyle w:val="15"/>
        <w:spacing w:line="360" w:lineRule="auto"/>
        <w:outlineLvl w:val="1"/>
        <w:rPr>
          <w:rFonts w:hAnsi="宋体" w:eastAsia="宋体" w:cs="宋体"/>
          <w:b/>
          <w:szCs w:val="21"/>
        </w:rPr>
      </w:pPr>
    </w:p>
    <w:p w14:paraId="74B08DF7">
      <w:pPr>
        <w:pStyle w:val="15"/>
        <w:spacing w:line="360" w:lineRule="auto"/>
        <w:outlineLvl w:val="1"/>
        <w:rPr>
          <w:rFonts w:hAnsi="宋体" w:eastAsia="宋体" w:cs="宋体"/>
          <w:b/>
          <w:szCs w:val="21"/>
        </w:rPr>
      </w:pPr>
    </w:p>
    <w:p w14:paraId="41B0404A">
      <w:pPr>
        <w:pStyle w:val="15"/>
        <w:spacing w:line="360" w:lineRule="auto"/>
        <w:outlineLvl w:val="1"/>
        <w:rPr>
          <w:rFonts w:hAnsi="宋体" w:eastAsia="宋体" w:cs="宋体"/>
          <w:b/>
          <w:szCs w:val="21"/>
        </w:rPr>
      </w:pPr>
    </w:p>
    <w:p w14:paraId="7DF1AC96">
      <w:pPr>
        <w:pStyle w:val="15"/>
        <w:spacing w:line="360" w:lineRule="auto"/>
        <w:outlineLvl w:val="1"/>
        <w:rPr>
          <w:rFonts w:hAnsi="宋体" w:eastAsia="宋体" w:cs="宋体"/>
          <w:b/>
          <w:szCs w:val="21"/>
        </w:rPr>
      </w:pPr>
    </w:p>
    <w:p w14:paraId="1FD84FE6">
      <w:pPr>
        <w:pStyle w:val="15"/>
        <w:spacing w:line="360" w:lineRule="auto"/>
        <w:outlineLvl w:val="1"/>
        <w:rPr>
          <w:rFonts w:hAnsi="宋体" w:eastAsia="宋体" w:cs="宋体"/>
          <w:b/>
          <w:szCs w:val="21"/>
        </w:rPr>
      </w:pPr>
    </w:p>
    <w:p w14:paraId="219B1B3B">
      <w:pPr>
        <w:pStyle w:val="15"/>
        <w:spacing w:line="360" w:lineRule="auto"/>
        <w:outlineLvl w:val="1"/>
        <w:rPr>
          <w:rFonts w:hAnsi="宋体" w:eastAsia="宋体" w:cs="宋体"/>
          <w:b/>
          <w:szCs w:val="21"/>
        </w:rPr>
      </w:pPr>
    </w:p>
    <w:p w14:paraId="7AB43790">
      <w:pPr>
        <w:pStyle w:val="15"/>
        <w:adjustRightInd w:val="0"/>
        <w:snapToGrid w:val="0"/>
        <w:spacing w:before="120" w:after="120"/>
        <w:rPr>
          <w:rFonts w:hAnsi="宋体" w:eastAsia="宋体" w:cs="宋体"/>
          <w:b/>
          <w:bCs/>
          <w:szCs w:val="21"/>
        </w:rPr>
      </w:pPr>
    </w:p>
    <w:p w14:paraId="0CFBA6FB">
      <w:pPr>
        <w:pStyle w:val="15"/>
        <w:adjustRightInd w:val="0"/>
        <w:snapToGrid w:val="0"/>
        <w:spacing w:before="120" w:after="120"/>
        <w:rPr>
          <w:rFonts w:hAnsi="宋体" w:eastAsia="宋体" w:cs="宋体"/>
          <w:b/>
          <w:bCs/>
          <w:szCs w:val="21"/>
        </w:rPr>
      </w:pPr>
    </w:p>
    <w:p w14:paraId="358909F7">
      <w:pPr>
        <w:pStyle w:val="6"/>
        <w:spacing w:line="360" w:lineRule="auto"/>
        <w:jc w:val="center"/>
        <w:rPr>
          <w:rFonts w:ascii="宋体" w:hAnsi="宋体" w:eastAsia="宋体" w:cs="宋体"/>
          <w:bCs w:val="0"/>
          <w:lang w:val="zh-CN"/>
        </w:rPr>
      </w:pPr>
      <w:r>
        <w:rPr>
          <w:rFonts w:hint="eastAsia" w:ascii="宋体" w:hAnsi="宋体" w:eastAsia="宋体" w:cs="宋体"/>
          <w:bCs w:val="0"/>
        </w:rPr>
        <w:t>2、</w:t>
      </w:r>
      <w:r>
        <w:rPr>
          <w:rFonts w:hint="eastAsia" w:ascii="宋体" w:hAnsi="宋体" w:eastAsia="宋体" w:cs="宋体"/>
          <w:bCs w:val="0"/>
          <w:lang w:val="zh-CN"/>
        </w:rPr>
        <w:t>商务与技术文件格式</w:t>
      </w:r>
    </w:p>
    <w:p w14:paraId="57DFCEF6">
      <w:pPr>
        <w:spacing w:line="360" w:lineRule="auto"/>
        <w:jc w:val="center"/>
        <w:rPr>
          <w:rFonts w:ascii="宋体" w:hAnsi="宋体" w:eastAsia="宋体" w:cs="宋体"/>
          <w:b/>
          <w:bCs/>
          <w:sz w:val="32"/>
          <w:szCs w:val="32"/>
        </w:rPr>
      </w:pPr>
      <w:r>
        <w:rPr>
          <w:rFonts w:hint="eastAsia" w:ascii="宋体" w:hAnsi="宋体" w:eastAsia="宋体" w:cs="宋体"/>
          <w:b/>
          <w:bCs/>
          <w:sz w:val="32"/>
          <w:szCs w:val="32"/>
        </w:rPr>
        <w:t>目录</w:t>
      </w:r>
    </w:p>
    <w:p w14:paraId="7974225B">
      <w:pPr>
        <w:pStyle w:val="9"/>
        <w:spacing w:line="360" w:lineRule="auto"/>
        <w:ind w:firstLine="0"/>
        <w:jc w:val="center"/>
        <w:rPr>
          <w:rFonts w:ascii="宋体" w:hAnsi="宋体" w:eastAsia="宋体" w:cs="宋体"/>
          <w:b/>
          <w:bCs/>
          <w:szCs w:val="21"/>
        </w:rPr>
      </w:pPr>
      <w:r>
        <w:rPr>
          <w:rFonts w:hint="eastAsia" w:ascii="宋体" w:hAnsi="宋体" w:eastAsia="宋体" w:cs="宋体"/>
          <w:szCs w:val="21"/>
        </w:rPr>
        <w:t>（按照“第三部分磋商须知”有关</w:t>
      </w:r>
      <w:r>
        <w:rPr>
          <w:rFonts w:hint="eastAsia" w:ascii="宋体" w:hAnsi="宋体" w:eastAsia="宋体" w:cs="宋体"/>
          <w:szCs w:val="21"/>
          <w:lang w:val="zh-CN"/>
        </w:rPr>
        <w:t>商务与技术文件组成</w:t>
      </w:r>
      <w:r>
        <w:rPr>
          <w:rFonts w:hint="eastAsia" w:ascii="宋体" w:hAnsi="宋体" w:eastAsia="宋体" w:cs="宋体"/>
          <w:szCs w:val="21"/>
        </w:rPr>
        <w:t>要求编排）</w:t>
      </w:r>
    </w:p>
    <w:p w14:paraId="0E1E3799">
      <w:pPr>
        <w:spacing w:line="360" w:lineRule="auto"/>
        <w:ind w:firstLine="5760" w:firstLineChars="2400"/>
        <w:jc w:val="left"/>
        <w:rPr>
          <w:rFonts w:ascii="宋体" w:hAnsi="宋体" w:eastAsia="宋体" w:cs="宋体"/>
          <w:sz w:val="24"/>
        </w:rPr>
      </w:pPr>
    </w:p>
    <w:p w14:paraId="5E13FD70">
      <w:pPr>
        <w:pStyle w:val="15"/>
        <w:adjustRightInd w:val="0"/>
        <w:snapToGrid w:val="0"/>
        <w:spacing w:before="120" w:after="120"/>
        <w:rPr>
          <w:rFonts w:hAnsi="宋体" w:eastAsia="宋体" w:cs="宋体"/>
          <w:b/>
          <w:bCs/>
          <w:sz w:val="24"/>
          <w:szCs w:val="24"/>
        </w:rPr>
      </w:pPr>
    </w:p>
    <w:p w14:paraId="73C90383">
      <w:pPr>
        <w:pStyle w:val="15"/>
        <w:adjustRightInd w:val="0"/>
        <w:snapToGrid w:val="0"/>
        <w:spacing w:before="120" w:after="120"/>
        <w:jc w:val="center"/>
        <w:rPr>
          <w:rFonts w:hAnsi="宋体" w:eastAsia="宋体" w:cs="宋体"/>
          <w:b/>
          <w:bCs/>
          <w:sz w:val="24"/>
          <w:szCs w:val="24"/>
        </w:rPr>
      </w:pPr>
    </w:p>
    <w:p w14:paraId="3A2A7F46">
      <w:pPr>
        <w:pStyle w:val="15"/>
        <w:adjustRightInd w:val="0"/>
        <w:snapToGrid w:val="0"/>
        <w:spacing w:before="120" w:after="120"/>
        <w:jc w:val="center"/>
        <w:rPr>
          <w:rFonts w:hAnsi="宋体" w:eastAsia="宋体" w:cs="宋体"/>
          <w:b/>
          <w:bCs/>
          <w:sz w:val="24"/>
          <w:szCs w:val="24"/>
        </w:rPr>
      </w:pPr>
    </w:p>
    <w:p w14:paraId="01DB6024">
      <w:pPr>
        <w:pStyle w:val="15"/>
        <w:adjustRightInd w:val="0"/>
        <w:snapToGrid w:val="0"/>
        <w:spacing w:before="120" w:after="120"/>
        <w:jc w:val="center"/>
        <w:rPr>
          <w:rFonts w:hAnsi="宋体" w:eastAsia="宋体" w:cs="宋体"/>
          <w:b/>
          <w:bCs/>
          <w:sz w:val="24"/>
          <w:szCs w:val="24"/>
        </w:rPr>
      </w:pPr>
    </w:p>
    <w:p w14:paraId="7E35A7A5">
      <w:pPr>
        <w:pStyle w:val="15"/>
        <w:adjustRightInd w:val="0"/>
        <w:snapToGrid w:val="0"/>
        <w:spacing w:before="120" w:after="120"/>
        <w:jc w:val="center"/>
        <w:rPr>
          <w:rFonts w:hAnsi="宋体" w:eastAsia="宋体" w:cs="宋体"/>
          <w:b/>
          <w:bCs/>
          <w:sz w:val="24"/>
          <w:szCs w:val="24"/>
        </w:rPr>
      </w:pPr>
    </w:p>
    <w:p w14:paraId="08D50578">
      <w:pPr>
        <w:pStyle w:val="15"/>
        <w:adjustRightInd w:val="0"/>
        <w:snapToGrid w:val="0"/>
        <w:spacing w:before="120" w:after="120"/>
        <w:jc w:val="center"/>
        <w:rPr>
          <w:rFonts w:hAnsi="宋体" w:eastAsia="宋体" w:cs="宋体"/>
          <w:b/>
          <w:bCs/>
          <w:sz w:val="24"/>
          <w:szCs w:val="24"/>
        </w:rPr>
      </w:pPr>
    </w:p>
    <w:p w14:paraId="707F1501">
      <w:pPr>
        <w:pStyle w:val="15"/>
        <w:adjustRightInd w:val="0"/>
        <w:snapToGrid w:val="0"/>
        <w:spacing w:before="120" w:after="120"/>
        <w:jc w:val="center"/>
        <w:rPr>
          <w:rFonts w:hAnsi="宋体" w:eastAsia="宋体" w:cs="宋体"/>
          <w:b/>
          <w:bCs/>
          <w:sz w:val="24"/>
          <w:szCs w:val="24"/>
        </w:rPr>
      </w:pPr>
    </w:p>
    <w:p w14:paraId="3BEC04DB">
      <w:pPr>
        <w:pStyle w:val="15"/>
        <w:adjustRightInd w:val="0"/>
        <w:snapToGrid w:val="0"/>
        <w:spacing w:before="120" w:after="120"/>
        <w:jc w:val="center"/>
        <w:rPr>
          <w:rFonts w:hAnsi="宋体" w:eastAsia="宋体" w:cs="宋体"/>
          <w:b/>
          <w:bCs/>
          <w:sz w:val="24"/>
          <w:szCs w:val="24"/>
        </w:rPr>
      </w:pPr>
    </w:p>
    <w:p w14:paraId="766F9564">
      <w:pPr>
        <w:pStyle w:val="15"/>
        <w:adjustRightInd w:val="0"/>
        <w:snapToGrid w:val="0"/>
        <w:spacing w:before="120" w:after="120"/>
        <w:jc w:val="center"/>
        <w:rPr>
          <w:rFonts w:hAnsi="宋体" w:eastAsia="宋体" w:cs="宋体"/>
          <w:b/>
          <w:bCs/>
          <w:sz w:val="24"/>
          <w:szCs w:val="24"/>
        </w:rPr>
      </w:pPr>
    </w:p>
    <w:p w14:paraId="2E28672F">
      <w:pPr>
        <w:pStyle w:val="15"/>
        <w:adjustRightInd w:val="0"/>
        <w:snapToGrid w:val="0"/>
        <w:spacing w:before="120" w:after="120"/>
        <w:jc w:val="center"/>
        <w:rPr>
          <w:rFonts w:hAnsi="宋体" w:eastAsia="宋体" w:cs="宋体"/>
          <w:b/>
          <w:bCs/>
          <w:sz w:val="24"/>
          <w:szCs w:val="24"/>
        </w:rPr>
      </w:pPr>
    </w:p>
    <w:p w14:paraId="0B913B00">
      <w:pPr>
        <w:pStyle w:val="15"/>
        <w:adjustRightInd w:val="0"/>
        <w:snapToGrid w:val="0"/>
        <w:spacing w:before="120" w:after="120"/>
        <w:jc w:val="center"/>
        <w:rPr>
          <w:rFonts w:hAnsi="宋体" w:eastAsia="宋体" w:cs="宋体"/>
          <w:b/>
          <w:bCs/>
          <w:sz w:val="24"/>
          <w:szCs w:val="24"/>
        </w:rPr>
      </w:pPr>
    </w:p>
    <w:p w14:paraId="43E51339">
      <w:pPr>
        <w:pStyle w:val="15"/>
        <w:adjustRightInd w:val="0"/>
        <w:snapToGrid w:val="0"/>
        <w:spacing w:before="120" w:after="120"/>
        <w:jc w:val="center"/>
        <w:rPr>
          <w:rFonts w:hAnsi="宋体" w:eastAsia="宋体" w:cs="宋体"/>
          <w:b/>
          <w:bCs/>
          <w:sz w:val="24"/>
          <w:szCs w:val="24"/>
        </w:rPr>
      </w:pPr>
    </w:p>
    <w:p w14:paraId="25ED0699">
      <w:pPr>
        <w:pStyle w:val="15"/>
        <w:adjustRightInd w:val="0"/>
        <w:snapToGrid w:val="0"/>
        <w:spacing w:before="120" w:after="120"/>
        <w:jc w:val="center"/>
        <w:rPr>
          <w:rFonts w:hAnsi="宋体" w:eastAsia="宋体" w:cs="宋体"/>
          <w:b/>
          <w:bCs/>
          <w:sz w:val="24"/>
          <w:szCs w:val="24"/>
        </w:rPr>
      </w:pPr>
    </w:p>
    <w:p w14:paraId="150BFD7C">
      <w:pPr>
        <w:pStyle w:val="15"/>
        <w:adjustRightInd w:val="0"/>
        <w:snapToGrid w:val="0"/>
        <w:spacing w:before="120" w:after="120"/>
        <w:jc w:val="center"/>
        <w:rPr>
          <w:rFonts w:hAnsi="宋体" w:eastAsia="宋体" w:cs="宋体"/>
          <w:b/>
          <w:bCs/>
          <w:sz w:val="24"/>
          <w:szCs w:val="24"/>
        </w:rPr>
      </w:pPr>
    </w:p>
    <w:p w14:paraId="7DF9E6DF">
      <w:pPr>
        <w:pStyle w:val="15"/>
        <w:adjustRightInd w:val="0"/>
        <w:snapToGrid w:val="0"/>
        <w:spacing w:before="120" w:after="120"/>
        <w:jc w:val="center"/>
        <w:rPr>
          <w:rFonts w:hAnsi="宋体" w:eastAsia="宋体" w:cs="宋体"/>
          <w:b/>
          <w:bCs/>
          <w:sz w:val="24"/>
          <w:szCs w:val="24"/>
        </w:rPr>
      </w:pPr>
    </w:p>
    <w:p w14:paraId="76348170">
      <w:pPr>
        <w:pStyle w:val="15"/>
        <w:adjustRightInd w:val="0"/>
        <w:snapToGrid w:val="0"/>
        <w:spacing w:before="120" w:after="120"/>
        <w:jc w:val="center"/>
        <w:rPr>
          <w:rFonts w:hAnsi="宋体" w:eastAsia="宋体" w:cs="宋体"/>
          <w:b/>
          <w:bCs/>
          <w:sz w:val="24"/>
          <w:szCs w:val="24"/>
        </w:rPr>
      </w:pPr>
    </w:p>
    <w:p w14:paraId="7296FE81">
      <w:pPr>
        <w:pStyle w:val="15"/>
        <w:adjustRightInd w:val="0"/>
        <w:snapToGrid w:val="0"/>
        <w:spacing w:before="120" w:after="120"/>
        <w:jc w:val="left"/>
        <w:rPr>
          <w:rFonts w:hAnsi="宋体" w:eastAsia="宋体" w:cs="宋体"/>
          <w:b/>
          <w:bCs/>
          <w:sz w:val="24"/>
          <w:szCs w:val="24"/>
        </w:rPr>
      </w:pPr>
    </w:p>
    <w:p w14:paraId="7C0F8C88">
      <w:pPr>
        <w:snapToGrid w:val="0"/>
        <w:jc w:val="left"/>
        <w:rPr>
          <w:rFonts w:ascii="宋体" w:hAnsi="宋体" w:eastAsia="宋体" w:cs="宋体"/>
          <w:sz w:val="24"/>
        </w:rPr>
      </w:pPr>
    </w:p>
    <w:p w14:paraId="342F5431">
      <w:pPr>
        <w:pStyle w:val="16"/>
        <w:ind w:left="0" w:leftChars="0"/>
        <w:rPr>
          <w:rFonts w:ascii="宋体" w:hAnsi="宋体" w:eastAsia="宋体" w:cs="宋体"/>
        </w:rPr>
      </w:pPr>
    </w:p>
    <w:p w14:paraId="43FDD59B">
      <w:pPr>
        <w:rPr>
          <w:rFonts w:ascii="宋体" w:hAnsi="宋体" w:eastAsia="宋体" w:cs="宋体"/>
          <w:b/>
          <w:bCs/>
          <w:sz w:val="24"/>
        </w:rPr>
      </w:pPr>
    </w:p>
    <w:p w14:paraId="39685611">
      <w:pPr>
        <w:pStyle w:val="3"/>
        <w:rPr>
          <w:rFonts w:ascii="宋体" w:hAnsi="宋体" w:eastAsia="宋体" w:cs="宋体"/>
        </w:rPr>
      </w:pPr>
    </w:p>
    <w:p w14:paraId="43C153F5">
      <w:pPr>
        <w:rPr>
          <w:rFonts w:ascii="宋体" w:hAnsi="宋体" w:eastAsia="宋体" w:cs="宋体"/>
          <w:b/>
          <w:bCs/>
          <w:sz w:val="24"/>
        </w:rPr>
      </w:pPr>
      <w:r>
        <w:rPr>
          <w:rFonts w:hint="eastAsia" w:ascii="宋体" w:hAnsi="宋体" w:eastAsia="宋体" w:cs="宋体"/>
          <w:b/>
          <w:bCs/>
          <w:sz w:val="24"/>
        </w:rPr>
        <w:br w:type="page"/>
      </w:r>
    </w:p>
    <w:p w14:paraId="6720E781">
      <w:pPr>
        <w:widowControl/>
        <w:spacing w:line="340" w:lineRule="exact"/>
        <w:rPr>
          <w:rFonts w:ascii="宋体" w:hAnsi="宋体" w:eastAsia="宋体" w:cs="宋体"/>
          <w:b/>
          <w:bCs/>
          <w:kern w:val="0"/>
          <w:sz w:val="44"/>
          <w:szCs w:val="44"/>
        </w:rPr>
      </w:pPr>
      <w:r>
        <w:rPr>
          <w:rFonts w:hint="eastAsia" w:ascii="宋体" w:hAnsi="宋体" w:eastAsia="宋体" w:cs="宋体"/>
          <w:b/>
          <w:bCs/>
          <w:sz w:val="24"/>
        </w:rPr>
        <w:t>附件六：</w:t>
      </w:r>
    </w:p>
    <w:p w14:paraId="08C589ED">
      <w:pPr>
        <w:widowControl/>
        <w:adjustRightInd w:val="0"/>
        <w:jc w:val="center"/>
        <w:rPr>
          <w:rFonts w:ascii="宋体" w:hAnsi="宋体" w:eastAsia="宋体" w:cs="宋体"/>
          <w:b/>
          <w:bCs/>
          <w:kern w:val="0"/>
          <w:sz w:val="32"/>
          <w:szCs w:val="32"/>
        </w:rPr>
      </w:pPr>
      <w:r>
        <w:rPr>
          <w:rFonts w:hint="eastAsia" w:ascii="宋体" w:hAnsi="宋体" w:eastAsia="宋体" w:cs="宋体"/>
          <w:b/>
          <w:bCs/>
          <w:kern w:val="0"/>
          <w:sz w:val="32"/>
          <w:szCs w:val="32"/>
        </w:rPr>
        <w:t>供应商基本情况表</w:t>
      </w:r>
    </w:p>
    <w:p w14:paraId="72733539">
      <w:pPr>
        <w:widowControl/>
        <w:adjustRightInd w:val="0"/>
        <w:rPr>
          <w:rFonts w:ascii="宋体" w:hAnsi="宋体" w:eastAsia="宋体" w:cs="宋体"/>
          <w:b/>
          <w:kern w:val="0"/>
          <w:sz w:val="24"/>
        </w:rPr>
      </w:pPr>
    </w:p>
    <w:tbl>
      <w:tblPr>
        <w:tblStyle w:val="29"/>
        <w:tblW w:w="0" w:type="auto"/>
        <w:tblInd w:w="108" w:type="dxa"/>
        <w:tblLayout w:type="fixed"/>
        <w:tblCellMar>
          <w:top w:w="0" w:type="dxa"/>
          <w:left w:w="108" w:type="dxa"/>
          <w:bottom w:w="0" w:type="dxa"/>
          <w:right w:w="108" w:type="dxa"/>
        </w:tblCellMar>
      </w:tblPr>
      <w:tblGrid>
        <w:gridCol w:w="1510"/>
        <w:gridCol w:w="830"/>
        <w:gridCol w:w="1573"/>
        <w:gridCol w:w="690"/>
        <w:gridCol w:w="645"/>
        <w:gridCol w:w="1485"/>
        <w:gridCol w:w="1140"/>
        <w:gridCol w:w="1620"/>
      </w:tblGrid>
      <w:tr w14:paraId="4FD37943">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191B34F6">
            <w:pPr>
              <w:adjustRightInd w:val="0"/>
              <w:jc w:val="center"/>
              <w:rPr>
                <w:rFonts w:ascii="宋体" w:hAnsi="宋体" w:eastAsia="宋体" w:cs="宋体"/>
                <w:sz w:val="21"/>
                <w:szCs w:val="21"/>
              </w:rPr>
            </w:pPr>
            <w:r>
              <w:rPr>
                <w:rFonts w:hint="eastAsia" w:ascii="宋体" w:hAnsi="宋体" w:eastAsia="宋体" w:cs="宋体"/>
                <w:sz w:val="21"/>
                <w:szCs w:val="21"/>
              </w:rPr>
              <w:t>投标人名称</w:t>
            </w:r>
          </w:p>
        </w:tc>
        <w:tc>
          <w:tcPr>
            <w:tcW w:w="7983" w:type="dxa"/>
            <w:gridSpan w:val="7"/>
            <w:tcBorders>
              <w:top w:val="single" w:color="auto" w:sz="4" w:space="0"/>
              <w:left w:val="single" w:color="auto" w:sz="4" w:space="0"/>
              <w:bottom w:val="single" w:color="auto" w:sz="4" w:space="0"/>
              <w:right w:val="single" w:color="auto" w:sz="4" w:space="0"/>
            </w:tcBorders>
            <w:noWrap/>
            <w:vAlign w:val="center"/>
          </w:tcPr>
          <w:p w14:paraId="6C60730A">
            <w:pPr>
              <w:adjustRightInd w:val="0"/>
              <w:jc w:val="center"/>
              <w:rPr>
                <w:rFonts w:ascii="宋体" w:hAnsi="宋体" w:eastAsia="宋体" w:cs="宋体"/>
                <w:sz w:val="21"/>
                <w:szCs w:val="21"/>
              </w:rPr>
            </w:pPr>
          </w:p>
        </w:tc>
      </w:tr>
      <w:tr w14:paraId="5684BB30">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40E8BCC6">
            <w:pPr>
              <w:adjustRightInd w:val="0"/>
              <w:jc w:val="center"/>
              <w:rPr>
                <w:rFonts w:ascii="宋体" w:hAnsi="宋体" w:eastAsia="宋体" w:cs="宋体"/>
                <w:sz w:val="21"/>
                <w:szCs w:val="21"/>
              </w:rPr>
            </w:pPr>
            <w:r>
              <w:rPr>
                <w:rFonts w:hint="eastAsia" w:ascii="宋体" w:hAnsi="宋体" w:eastAsia="宋体" w:cs="宋体"/>
                <w:sz w:val="21"/>
                <w:szCs w:val="21"/>
              </w:rPr>
              <w:t>注册地址</w:t>
            </w:r>
          </w:p>
        </w:tc>
        <w:tc>
          <w:tcPr>
            <w:tcW w:w="5223" w:type="dxa"/>
            <w:gridSpan w:val="5"/>
            <w:tcBorders>
              <w:top w:val="single" w:color="auto" w:sz="4" w:space="0"/>
              <w:left w:val="single" w:color="auto" w:sz="4" w:space="0"/>
              <w:bottom w:val="single" w:color="auto" w:sz="4" w:space="0"/>
              <w:right w:val="single" w:color="auto" w:sz="4" w:space="0"/>
            </w:tcBorders>
            <w:noWrap/>
            <w:vAlign w:val="center"/>
          </w:tcPr>
          <w:p w14:paraId="018EAD46">
            <w:pPr>
              <w:adjustRightInd w:val="0"/>
              <w:jc w:val="center"/>
              <w:rPr>
                <w:rFonts w:ascii="宋体" w:hAnsi="宋体" w:eastAsia="宋体" w:cs="宋体"/>
                <w:sz w:val="21"/>
                <w:szCs w:val="21"/>
              </w:rPr>
            </w:pPr>
          </w:p>
        </w:tc>
        <w:tc>
          <w:tcPr>
            <w:tcW w:w="1140" w:type="dxa"/>
            <w:tcBorders>
              <w:top w:val="single" w:color="auto" w:sz="4" w:space="0"/>
              <w:left w:val="single" w:color="auto" w:sz="4" w:space="0"/>
              <w:bottom w:val="single" w:color="auto" w:sz="4" w:space="0"/>
              <w:right w:val="single" w:color="auto" w:sz="4" w:space="0"/>
            </w:tcBorders>
            <w:noWrap/>
            <w:vAlign w:val="center"/>
          </w:tcPr>
          <w:p w14:paraId="7DA1382A">
            <w:pPr>
              <w:adjustRightInd w:val="0"/>
              <w:jc w:val="center"/>
              <w:rPr>
                <w:rFonts w:ascii="宋体" w:hAnsi="宋体" w:eastAsia="宋体" w:cs="宋体"/>
                <w:sz w:val="21"/>
                <w:szCs w:val="21"/>
              </w:rPr>
            </w:pPr>
            <w:r>
              <w:rPr>
                <w:rFonts w:hint="eastAsia" w:ascii="宋体" w:hAnsi="宋体" w:eastAsia="宋体" w:cs="宋体"/>
                <w:sz w:val="21"/>
                <w:szCs w:val="21"/>
              </w:rPr>
              <w:t>邮政编码</w:t>
            </w:r>
          </w:p>
        </w:tc>
        <w:tc>
          <w:tcPr>
            <w:tcW w:w="1620" w:type="dxa"/>
            <w:tcBorders>
              <w:top w:val="single" w:color="auto" w:sz="4" w:space="0"/>
              <w:left w:val="single" w:color="auto" w:sz="4" w:space="0"/>
              <w:bottom w:val="single" w:color="auto" w:sz="4" w:space="0"/>
              <w:right w:val="single" w:color="auto" w:sz="4" w:space="0"/>
            </w:tcBorders>
            <w:noWrap/>
            <w:vAlign w:val="center"/>
          </w:tcPr>
          <w:p w14:paraId="67F16575">
            <w:pPr>
              <w:adjustRightInd w:val="0"/>
              <w:jc w:val="center"/>
              <w:rPr>
                <w:rFonts w:ascii="宋体" w:hAnsi="宋体" w:eastAsia="宋体" w:cs="宋体"/>
                <w:sz w:val="21"/>
                <w:szCs w:val="21"/>
              </w:rPr>
            </w:pPr>
          </w:p>
        </w:tc>
      </w:tr>
      <w:tr w14:paraId="7AD1AB44">
        <w:tblPrEx>
          <w:tblCellMar>
            <w:top w:w="0" w:type="dxa"/>
            <w:left w:w="108" w:type="dxa"/>
            <w:bottom w:w="0" w:type="dxa"/>
            <w:right w:w="108" w:type="dxa"/>
          </w:tblCellMar>
        </w:tblPrEx>
        <w:trPr>
          <w:trHeight w:val="410" w:hRule="atLeast"/>
        </w:trPr>
        <w:tc>
          <w:tcPr>
            <w:tcW w:w="1510" w:type="dxa"/>
            <w:vMerge w:val="restart"/>
            <w:tcBorders>
              <w:top w:val="single" w:color="auto" w:sz="4" w:space="0"/>
              <w:left w:val="single" w:color="auto" w:sz="4" w:space="0"/>
              <w:bottom w:val="single" w:color="auto" w:sz="4" w:space="0"/>
              <w:right w:val="single" w:color="auto" w:sz="4" w:space="0"/>
            </w:tcBorders>
            <w:noWrap/>
            <w:vAlign w:val="center"/>
          </w:tcPr>
          <w:p w14:paraId="13DA4A43">
            <w:pPr>
              <w:adjustRightInd w:val="0"/>
              <w:jc w:val="center"/>
              <w:rPr>
                <w:rFonts w:ascii="宋体" w:hAnsi="宋体" w:eastAsia="宋体" w:cs="宋体"/>
                <w:sz w:val="21"/>
                <w:szCs w:val="21"/>
              </w:rPr>
            </w:pPr>
            <w:r>
              <w:rPr>
                <w:rFonts w:hint="eastAsia" w:ascii="宋体" w:hAnsi="宋体" w:eastAsia="宋体" w:cs="宋体"/>
                <w:sz w:val="21"/>
                <w:szCs w:val="21"/>
              </w:rPr>
              <w:t>联系方式</w:t>
            </w:r>
          </w:p>
        </w:tc>
        <w:tc>
          <w:tcPr>
            <w:tcW w:w="830" w:type="dxa"/>
            <w:tcBorders>
              <w:top w:val="single" w:color="auto" w:sz="4" w:space="0"/>
              <w:left w:val="single" w:color="auto" w:sz="4" w:space="0"/>
              <w:bottom w:val="single" w:color="auto" w:sz="4" w:space="0"/>
              <w:right w:val="single" w:color="auto" w:sz="4" w:space="0"/>
            </w:tcBorders>
            <w:noWrap/>
            <w:vAlign w:val="center"/>
          </w:tcPr>
          <w:p w14:paraId="610E5435">
            <w:pPr>
              <w:adjustRightInd w:val="0"/>
              <w:jc w:val="center"/>
              <w:rPr>
                <w:rFonts w:ascii="宋体" w:hAnsi="宋体" w:eastAsia="宋体" w:cs="宋体"/>
                <w:sz w:val="21"/>
                <w:szCs w:val="21"/>
              </w:rPr>
            </w:pPr>
            <w:r>
              <w:rPr>
                <w:rFonts w:hint="eastAsia" w:ascii="宋体" w:hAnsi="宋体" w:eastAsia="宋体" w:cs="宋体"/>
                <w:sz w:val="21"/>
                <w:szCs w:val="21"/>
              </w:rPr>
              <w:t>联系人</w:t>
            </w:r>
          </w:p>
        </w:tc>
        <w:tc>
          <w:tcPr>
            <w:tcW w:w="2908" w:type="dxa"/>
            <w:gridSpan w:val="3"/>
            <w:tcBorders>
              <w:top w:val="single" w:color="auto" w:sz="4" w:space="0"/>
              <w:left w:val="single" w:color="auto" w:sz="4" w:space="0"/>
              <w:bottom w:val="single" w:color="auto" w:sz="4" w:space="0"/>
              <w:right w:val="single" w:color="auto" w:sz="4" w:space="0"/>
            </w:tcBorders>
            <w:noWrap/>
            <w:vAlign w:val="center"/>
          </w:tcPr>
          <w:p w14:paraId="40A21003">
            <w:pPr>
              <w:adjustRightInd w:val="0"/>
              <w:jc w:val="center"/>
              <w:rPr>
                <w:rFonts w:ascii="宋体" w:hAnsi="宋体" w:eastAsia="宋体" w:cs="宋体"/>
                <w:sz w:val="21"/>
                <w:szCs w:val="21"/>
              </w:rPr>
            </w:pPr>
          </w:p>
        </w:tc>
        <w:tc>
          <w:tcPr>
            <w:tcW w:w="1485" w:type="dxa"/>
            <w:tcBorders>
              <w:top w:val="single" w:color="auto" w:sz="4" w:space="0"/>
              <w:left w:val="single" w:color="auto" w:sz="4" w:space="0"/>
              <w:bottom w:val="single" w:color="auto" w:sz="4" w:space="0"/>
              <w:right w:val="single" w:color="auto" w:sz="4" w:space="0"/>
            </w:tcBorders>
            <w:noWrap/>
            <w:vAlign w:val="center"/>
          </w:tcPr>
          <w:p w14:paraId="57C34047">
            <w:pPr>
              <w:adjustRightInd w:val="0"/>
              <w:jc w:val="center"/>
              <w:rPr>
                <w:rFonts w:ascii="宋体" w:hAnsi="宋体" w:eastAsia="宋体" w:cs="宋体"/>
                <w:sz w:val="21"/>
                <w:szCs w:val="21"/>
              </w:rPr>
            </w:pPr>
            <w:r>
              <w:rPr>
                <w:rFonts w:hint="eastAsia" w:ascii="宋体" w:hAnsi="宋体" w:eastAsia="宋体" w:cs="宋体"/>
                <w:sz w:val="21"/>
                <w:szCs w:val="21"/>
              </w:rPr>
              <w:t>电话</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359DA6A4">
            <w:pPr>
              <w:adjustRightInd w:val="0"/>
              <w:jc w:val="center"/>
              <w:rPr>
                <w:rFonts w:ascii="宋体" w:hAnsi="宋体" w:eastAsia="宋体" w:cs="宋体"/>
                <w:sz w:val="21"/>
                <w:szCs w:val="21"/>
              </w:rPr>
            </w:pPr>
          </w:p>
        </w:tc>
      </w:tr>
      <w:tr w14:paraId="7639AF15">
        <w:tblPrEx>
          <w:tblCellMar>
            <w:top w:w="0" w:type="dxa"/>
            <w:left w:w="108" w:type="dxa"/>
            <w:bottom w:w="0" w:type="dxa"/>
            <w:right w:w="108" w:type="dxa"/>
          </w:tblCellMar>
        </w:tblPrEx>
        <w:trPr>
          <w:trHeight w:val="410" w:hRule="atLeast"/>
        </w:trPr>
        <w:tc>
          <w:tcPr>
            <w:tcW w:w="1510" w:type="dxa"/>
            <w:vMerge w:val="continue"/>
            <w:tcBorders>
              <w:top w:val="single" w:color="auto" w:sz="4" w:space="0"/>
              <w:left w:val="single" w:color="auto" w:sz="4" w:space="0"/>
              <w:bottom w:val="single" w:color="auto" w:sz="4" w:space="0"/>
              <w:right w:val="single" w:color="auto" w:sz="4" w:space="0"/>
            </w:tcBorders>
            <w:noWrap/>
            <w:vAlign w:val="center"/>
          </w:tcPr>
          <w:p w14:paraId="5A294A28">
            <w:pPr>
              <w:adjustRightInd w:val="0"/>
              <w:jc w:val="center"/>
              <w:rPr>
                <w:rFonts w:ascii="宋体" w:hAnsi="宋体" w:eastAsia="宋体" w:cs="宋体"/>
                <w:sz w:val="21"/>
                <w:szCs w:val="21"/>
              </w:rPr>
            </w:pPr>
          </w:p>
        </w:tc>
        <w:tc>
          <w:tcPr>
            <w:tcW w:w="830" w:type="dxa"/>
            <w:tcBorders>
              <w:top w:val="single" w:color="auto" w:sz="4" w:space="0"/>
              <w:left w:val="single" w:color="auto" w:sz="4" w:space="0"/>
              <w:bottom w:val="single" w:color="auto" w:sz="4" w:space="0"/>
              <w:right w:val="single" w:color="auto" w:sz="4" w:space="0"/>
            </w:tcBorders>
            <w:noWrap/>
            <w:vAlign w:val="center"/>
          </w:tcPr>
          <w:p w14:paraId="14307406">
            <w:pPr>
              <w:adjustRightInd w:val="0"/>
              <w:jc w:val="center"/>
              <w:rPr>
                <w:rFonts w:ascii="宋体" w:hAnsi="宋体" w:eastAsia="宋体" w:cs="宋体"/>
                <w:sz w:val="21"/>
                <w:szCs w:val="21"/>
              </w:rPr>
            </w:pPr>
            <w:r>
              <w:rPr>
                <w:rFonts w:hint="eastAsia" w:ascii="宋体" w:hAnsi="宋体" w:eastAsia="宋体" w:cs="宋体"/>
                <w:sz w:val="21"/>
                <w:szCs w:val="21"/>
              </w:rPr>
              <w:t>传真</w:t>
            </w:r>
          </w:p>
        </w:tc>
        <w:tc>
          <w:tcPr>
            <w:tcW w:w="2908" w:type="dxa"/>
            <w:gridSpan w:val="3"/>
            <w:tcBorders>
              <w:top w:val="single" w:color="auto" w:sz="4" w:space="0"/>
              <w:left w:val="single" w:color="auto" w:sz="4" w:space="0"/>
              <w:bottom w:val="single" w:color="auto" w:sz="4" w:space="0"/>
              <w:right w:val="single" w:color="auto" w:sz="4" w:space="0"/>
            </w:tcBorders>
            <w:noWrap/>
            <w:vAlign w:val="center"/>
          </w:tcPr>
          <w:p w14:paraId="08A2307D">
            <w:pPr>
              <w:adjustRightInd w:val="0"/>
              <w:jc w:val="center"/>
              <w:rPr>
                <w:rFonts w:ascii="宋体" w:hAnsi="宋体" w:eastAsia="宋体" w:cs="宋体"/>
                <w:sz w:val="21"/>
                <w:szCs w:val="21"/>
              </w:rPr>
            </w:pPr>
          </w:p>
        </w:tc>
        <w:tc>
          <w:tcPr>
            <w:tcW w:w="1485" w:type="dxa"/>
            <w:tcBorders>
              <w:top w:val="single" w:color="auto" w:sz="4" w:space="0"/>
              <w:left w:val="single" w:color="auto" w:sz="4" w:space="0"/>
              <w:bottom w:val="single" w:color="auto" w:sz="4" w:space="0"/>
              <w:right w:val="single" w:color="auto" w:sz="4" w:space="0"/>
            </w:tcBorders>
            <w:noWrap/>
            <w:vAlign w:val="center"/>
          </w:tcPr>
          <w:p w14:paraId="60F4B7FB">
            <w:pPr>
              <w:adjustRightInd w:val="0"/>
              <w:jc w:val="center"/>
              <w:rPr>
                <w:rFonts w:ascii="宋体" w:hAnsi="宋体" w:eastAsia="宋体" w:cs="宋体"/>
                <w:sz w:val="21"/>
                <w:szCs w:val="21"/>
              </w:rPr>
            </w:pPr>
            <w:r>
              <w:rPr>
                <w:rFonts w:hint="eastAsia" w:ascii="宋体" w:hAnsi="宋体" w:eastAsia="宋体" w:cs="宋体"/>
                <w:sz w:val="21"/>
                <w:szCs w:val="21"/>
              </w:rPr>
              <w:t>网址</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72814932">
            <w:pPr>
              <w:adjustRightInd w:val="0"/>
              <w:jc w:val="center"/>
              <w:rPr>
                <w:rFonts w:ascii="宋体" w:hAnsi="宋体" w:eastAsia="宋体" w:cs="宋体"/>
                <w:sz w:val="21"/>
                <w:szCs w:val="21"/>
              </w:rPr>
            </w:pPr>
          </w:p>
        </w:tc>
      </w:tr>
      <w:tr w14:paraId="7E7141E0">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64F4C1DC">
            <w:pPr>
              <w:adjustRightInd w:val="0"/>
              <w:jc w:val="center"/>
              <w:rPr>
                <w:rFonts w:ascii="宋体" w:hAnsi="宋体" w:eastAsia="宋体" w:cs="宋体"/>
                <w:sz w:val="21"/>
                <w:szCs w:val="21"/>
              </w:rPr>
            </w:pPr>
            <w:r>
              <w:rPr>
                <w:rFonts w:hint="eastAsia" w:ascii="宋体" w:hAnsi="宋体" w:eastAsia="宋体" w:cs="宋体"/>
                <w:sz w:val="21"/>
                <w:szCs w:val="21"/>
              </w:rPr>
              <w:t>法定代表人</w:t>
            </w:r>
          </w:p>
        </w:tc>
        <w:tc>
          <w:tcPr>
            <w:tcW w:w="830" w:type="dxa"/>
            <w:tcBorders>
              <w:top w:val="single" w:color="auto" w:sz="4" w:space="0"/>
              <w:left w:val="single" w:color="auto" w:sz="4" w:space="0"/>
              <w:bottom w:val="single" w:color="auto" w:sz="4" w:space="0"/>
              <w:right w:val="single" w:color="auto" w:sz="4" w:space="0"/>
            </w:tcBorders>
            <w:noWrap/>
            <w:vAlign w:val="center"/>
          </w:tcPr>
          <w:p w14:paraId="5DF40A7E">
            <w:pPr>
              <w:adjustRightInd w:val="0"/>
              <w:jc w:val="center"/>
              <w:rPr>
                <w:rFonts w:ascii="宋体" w:hAnsi="宋体" w:eastAsia="宋体" w:cs="宋体"/>
                <w:sz w:val="21"/>
                <w:szCs w:val="21"/>
              </w:rPr>
            </w:pPr>
            <w:r>
              <w:rPr>
                <w:rFonts w:hint="eastAsia" w:ascii="宋体" w:hAnsi="宋体" w:eastAsia="宋体" w:cs="宋体"/>
                <w:sz w:val="21"/>
                <w:szCs w:val="21"/>
              </w:rPr>
              <w:t>姓名</w:t>
            </w:r>
          </w:p>
        </w:tc>
        <w:tc>
          <w:tcPr>
            <w:tcW w:w="1573" w:type="dxa"/>
            <w:tcBorders>
              <w:top w:val="single" w:color="auto" w:sz="4" w:space="0"/>
              <w:left w:val="single" w:color="auto" w:sz="4" w:space="0"/>
              <w:bottom w:val="single" w:color="auto" w:sz="4" w:space="0"/>
              <w:right w:val="single" w:color="auto" w:sz="4" w:space="0"/>
            </w:tcBorders>
            <w:noWrap/>
            <w:vAlign w:val="center"/>
          </w:tcPr>
          <w:p w14:paraId="0DFA27A4">
            <w:pPr>
              <w:adjustRightInd w:val="0"/>
              <w:jc w:val="center"/>
              <w:rPr>
                <w:rFonts w:ascii="宋体" w:hAnsi="宋体" w:eastAsia="宋体" w:cs="宋体"/>
                <w:sz w:val="21"/>
                <w:szCs w:val="21"/>
              </w:rPr>
            </w:pPr>
          </w:p>
        </w:tc>
        <w:tc>
          <w:tcPr>
            <w:tcW w:w="1335" w:type="dxa"/>
            <w:gridSpan w:val="2"/>
            <w:tcBorders>
              <w:top w:val="single" w:color="auto" w:sz="4" w:space="0"/>
              <w:left w:val="single" w:color="auto" w:sz="4" w:space="0"/>
              <w:bottom w:val="single" w:color="auto" w:sz="4" w:space="0"/>
              <w:right w:val="single" w:color="auto" w:sz="4" w:space="0"/>
            </w:tcBorders>
            <w:noWrap/>
            <w:vAlign w:val="center"/>
          </w:tcPr>
          <w:p w14:paraId="757D89FA">
            <w:pPr>
              <w:adjustRightInd w:val="0"/>
              <w:jc w:val="center"/>
              <w:rPr>
                <w:rFonts w:ascii="宋体" w:hAnsi="宋体" w:eastAsia="宋体" w:cs="宋体"/>
                <w:sz w:val="21"/>
                <w:szCs w:val="21"/>
              </w:rPr>
            </w:pPr>
            <w:r>
              <w:rPr>
                <w:rFonts w:hint="eastAsia" w:ascii="宋体" w:hAnsi="宋体" w:eastAsia="宋体" w:cs="宋体"/>
                <w:sz w:val="21"/>
                <w:szCs w:val="21"/>
              </w:rPr>
              <w:t>技术职称</w:t>
            </w:r>
          </w:p>
        </w:tc>
        <w:tc>
          <w:tcPr>
            <w:tcW w:w="1485" w:type="dxa"/>
            <w:tcBorders>
              <w:top w:val="single" w:color="auto" w:sz="4" w:space="0"/>
              <w:left w:val="single" w:color="auto" w:sz="4" w:space="0"/>
              <w:bottom w:val="single" w:color="auto" w:sz="4" w:space="0"/>
              <w:right w:val="single" w:color="auto" w:sz="4" w:space="0"/>
            </w:tcBorders>
            <w:noWrap/>
            <w:vAlign w:val="center"/>
          </w:tcPr>
          <w:p w14:paraId="33AADD65">
            <w:pPr>
              <w:adjustRightInd w:val="0"/>
              <w:jc w:val="center"/>
              <w:rPr>
                <w:rFonts w:ascii="宋体" w:hAnsi="宋体" w:eastAsia="宋体" w:cs="宋体"/>
                <w:sz w:val="21"/>
                <w:szCs w:val="21"/>
              </w:rPr>
            </w:pPr>
          </w:p>
        </w:tc>
        <w:tc>
          <w:tcPr>
            <w:tcW w:w="1140" w:type="dxa"/>
            <w:tcBorders>
              <w:top w:val="single" w:color="auto" w:sz="4" w:space="0"/>
              <w:left w:val="single" w:color="auto" w:sz="4" w:space="0"/>
              <w:bottom w:val="single" w:color="auto" w:sz="4" w:space="0"/>
              <w:right w:val="single" w:color="auto" w:sz="4" w:space="0"/>
            </w:tcBorders>
            <w:noWrap/>
            <w:vAlign w:val="center"/>
          </w:tcPr>
          <w:p w14:paraId="72D0FDD0">
            <w:pPr>
              <w:adjustRightInd w:val="0"/>
              <w:jc w:val="center"/>
              <w:rPr>
                <w:rFonts w:ascii="宋体" w:hAnsi="宋体" w:eastAsia="宋体" w:cs="宋体"/>
                <w:sz w:val="21"/>
                <w:szCs w:val="21"/>
              </w:rPr>
            </w:pPr>
            <w:r>
              <w:rPr>
                <w:rFonts w:hint="eastAsia" w:ascii="宋体" w:hAnsi="宋体" w:eastAsia="宋体" w:cs="宋体"/>
                <w:sz w:val="21"/>
                <w:szCs w:val="21"/>
              </w:rPr>
              <w:t>电话</w:t>
            </w:r>
          </w:p>
        </w:tc>
        <w:tc>
          <w:tcPr>
            <w:tcW w:w="1620" w:type="dxa"/>
            <w:tcBorders>
              <w:top w:val="single" w:color="auto" w:sz="4" w:space="0"/>
              <w:left w:val="single" w:color="auto" w:sz="4" w:space="0"/>
              <w:bottom w:val="single" w:color="auto" w:sz="4" w:space="0"/>
              <w:right w:val="single" w:color="auto" w:sz="4" w:space="0"/>
            </w:tcBorders>
            <w:noWrap/>
            <w:vAlign w:val="center"/>
          </w:tcPr>
          <w:p w14:paraId="14EA056A">
            <w:pPr>
              <w:adjustRightInd w:val="0"/>
              <w:jc w:val="center"/>
              <w:rPr>
                <w:rFonts w:ascii="宋体" w:hAnsi="宋体" w:eastAsia="宋体" w:cs="宋体"/>
                <w:sz w:val="21"/>
                <w:szCs w:val="21"/>
              </w:rPr>
            </w:pPr>
          </w:p>
        </w:tc>
      </w:tr>
      <w:tr w14:paraId="091AB693">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24D65DE2">
            <w:pPr>
              <w:adjustRightInd w:val="0"/>
              <w:jc w:val="center"/>
              <w:rPr>
                <w:rFonts w:ascii="宋体" w:hAnsi="宋体" w:eastAsia="宋体" w:cs="宋体"/>
                <w:sz w:val="21"/>
                <w:szCs w:val="21"/>
              </w:rPr>
            </w:pPr>
            <w:r>
              <w:rPr>
                <w:rFonts w:hint="eastAsia" w:ascii="宋体" w:hAnsi="宋体" w:eastAsia="宋体" w:cs="宋体"/>
                <w:sz w:val="21"/>
                <w:szCs w:val="21"/>
              </w:rPr>
              <w:t>技术负责人</w:t>
            </w:r>
          </w:p>
        </w:tc>
        <w:tc>
          <w:tcPr>
            <w:tcW w:w="830" w:type="dxa"/>
            <w:tcBorders>
              <w:top w:val="single" w:color="auto" w:sz="4" w:space="0"/>
              <w:left w:val="single" w:color="auto" w:sz="4" w:space="0"/>
              <w:bottom w:val="single" w:color="auto" w:sz="4" w:space="0"/>
              <w:right w:val="single" w:color="auto" w:sz="4" w:space="0"/>
            </w:tcBorders>
            <w:noWrap/>
            <w:vAlign w:val="center"/>
          </w:tcPr>
          <w:p w14:paraId="51AD8630">
            <w:pPr>
              <w:adjustRightInd w:val="0"/>
              <w:jc w:val="center"/>
              <w:rPr>
                <w:rFonts w:ascii="宋体" w:hAnsi="宋体" w:eastAsia="宋体" w:cs="宋体"/>
                <w:sz w:val="21"/>
                <w:szCs w:val="21"/>
              </w:rPr>
            </w:pPr>
            <w:r>
              <w:rPr>
                <w:rFonts w:hint="eastAsia" w:ascii="宋体" w:hAnsi="宋体" w:eastAsia="宋体" w:cs="宋体"/>
                <w:sz w:val="21"/>
                <w:szCs w:val="21"/>
              </w:rPr>
              <w:t>姓名</w:t>
            </w:r>
          </w:p>
        </w:tc>
        <w:tc>
          <w:tcPr>
            <w:tcW w:w="1573" w:type="dxa"/>
            <w:tcBorders>
              <w:top w:val="single" w:color="auto" w:sz="4" w:space="0"/>
              <w:left w:val="single" w:color="auto" w:sz="4" w:space="0"/>
              <w:bottom w:val="single" w:color="auto" w:sz="4" w:space="0"/>
              <w:right w:val="single" w:color="auto" w:sz="4" w:space="0"/>
            </w:tcBorders>
            <w:noWrap/>
            <w:vAlign w:val="center"/>
          </w:tcPr>
          <w:p w14:paraId="0D59D903">
            <w:pPr>
              <w:adjustRightInd w:val="0"/>
              <w:jc w:val="center"/>
              <w:rPr>
                <w:rFonts w:ascii="宋体" w:hAnsi="宋体" w:eastAsia="宋体" w:cs="宋体"/>
                <w:sz w:val="21"/>
                <w:szCs w:val="21"/>
              </w:rPr>
            </w:pPr>
          </w:p>
        </w:tc>
        <w:tc>
          <w:tcPr>
            <w:tcW w:w="1335" w:type="dxa"/>
            <w:gridSpan w:val="2"/>
            <w:tcBorders>
              <w:top w:val="single" w:color="auto" w:sz="4" w:space="0"/>
              <w:left w:val="single" w:color="auto" w:sz="4" w:space="0"/>
              <w:bottom w:val="single" w:color="auto" w:sz="4" w:space="0"/>
              <w:right w:val="single" w:color="auto" w:sz="4" w:space="0"/>
            </w:tcBorders>
            <w:noWrap/>
            <w:vAlign w:val="center"/>
          </w:tcPr>
          <w:p w14:paraId="0A414315">
            <w:pPr>
              <w:adjustRightInd w:val="0"/>
              <w:jc w:val="center"/>
              <w:rPr>
                <w:rFonts w:ascii="宋体" w:hAnsi="宋体" w:eastAsia="宋体" w:cs="宋体"/>
                <w:sz w:val="21"/>
                <w:szCs w:val="21"/>
              </w:rPr>
            </w:pPr>
            <w:r>
              <w:rPr>
                <w:rFonts w:hint="eastAsia" w:ascii="宋体" w:hAnsi="宋体" w:eastAsia="宋体" w:cs="宋体"/>
                <w:sz w:val="21"/>
                <w:szCs w:val="21"/>
              </w:rPr>
              <w:t>技术职称</w:t>
            </w:r>
          </w:p>
        </w:tc>
        <w:tc>
          <w:tcPr>
            <w:tcW w:w="1485" w:type="dxa"/>
            <w:tcBorders>
              <w:top w:val="single" w:color="auto" w:sz="4" w:space="0"/>
              <w:left w:val="single" w:color="auto" w:sz="4" w:space="0"/>
              <w:bottom w:val="single" w:color="auto" w:sz="4" w:space="0"/>
              <w:right w:val="single" w:color="auto" w:sz="4" w:space="0"/>
            </w:tcBorders>
            <w:noWrap/>
            <w:vAlign w:val="center"/>
          </w:tcPr>
          <w:p w14:paraId="2F43FD20">
            <w:pPr>
              <w:adjustRightInd w:val="0"/>
              <w:jc w:val="center"/>
              <w:rPr>
                <w:rFonts w:ascii="宋体" w:hAnsi="宋体" w:eastAsia="宋体" w:cs="宋体"/>
                <w:sz w:val="21"/>
                <w:szCs w:val="21"/>
              </w:rPr>
            </w:pPr>
          </w:p>
        </w:tc>
        <w:tc>
          <w:tcPr>
            <w:tcW w:w="1140" w:type="dxa"/>
            <w:tcBorders>
              <w:top w:val="single" w:color="auto" w:sz="4" w:space="0"/>
              <w:left w:val="single" w:color="auto" w:sz="4" w:space="0"/>
              <w:bottom w:val="single" w:color="auto" w:sz="4" w:space="0"/>
              <w:right w:val="single" w:color="auto" w:sz="4" w:space="0"/>
            </w:tcBorders>
            <w:noWrap/>
            <w:vAlign w:val="center"/>
          </w:tcPr>
          <w:p w14:paraId="3018D070">
            <w:pPr>
              <w:adjustRightInd w:val="0"/>
              <w:jc w:val="center"/>
              <w:rPr>
                <w:rFonts w:ascii="宋体" w:hAnsi="宋体" w:eastAsia="宋体" w:cs="宋体"/>
                <w:sz w:val="21"/>
                <w:szCs w:val="21"/>
              </w:rPr>
            </w:pPr>
            <w:r>
              <w:rPr>
                <w:rFonts w:hint="eastAsia" w:ascii="宋体" w:hAnsi="宋体" w:eastAsia="宋体" w:cs="宋体"/>
                <w:sz w:val="21"/>
                <w:szCs w:val="21"/>
              </w:rPr>
              <w:t>电话</w:t>
            </w:r>
          </w:p>
        </w:tc>
        <w:tc>
          <w:tcPr>
            <w:tcW w:w="1620" w:type="dxa"/>
            <w:tcBorders>
              <w:top w:val="single" w:color="auto" w:sz="4" w:space="0"/>
              <w:left w:val="single" w:color="auto" w:sz="4" w:space="0"/>
              <w:bottom w:val="single" w:color="auto" w:sz="4" w:space="0"/>
              <w:right w:val="single" w:color="auto" w:sz="4" w:space="0"/>
            </w:tcBorders>
            <w:noWrap/>
            <w:vAlign w:val="center"/>
          </w:tcPr>
          <w:p w14:paraId="71662AB2">
            <w:pPr>
              <w:adjustRightInd w:val="0"/>
              <w:jc w:val="center"/>
              <w:rPr>
                <w:rFonts w:ascii="宋体" w:hAnsi="宋体" w:eastAsia="宋体" w:cs="宋体"/>
                <w:sz w:val="21"/>
                <w:szCs w:val="21"/>
              </w:rPr>
            </w:pPr>
          </w:p>
        </w:tc>
      </w:tr>
      <w:tr w14:paraId="0D64BFF9">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0428D551">
            <w:pPr>
              <w:adjustRightInd w:val="0"/>
              <w:jc w:val="center"/>
              <w:rPr>
                <w:rFonts w:ascii="宋体" w:hAnsi="宋体" w:eastAsia="宋体" w:cs="宋体"/>
                <w:sz w:val="21"/>
                <w:szCs w:val="21"/>
              </w:rPr>
            </w:pPr>
            <w:r>
              <w:rPr>
                <w:rFonts w:hint="eastAsia" w:ascii="宋体" w:hAnsi="宋体" w:eastAsia="宋体" w:cs="宋体"/>
                <w:sz w:val="21"/>
                <w:szCs w:val="21"/>
              </w:rPr>
              <w:t>成立时间</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14:paraId="401CAA30">
            <w:pPr>
              <w:adjustRightInd w:val="0"/>
              <w:jc w:val="center"/>
              <w:rPr>
                <w:rFonts w:ascii="宋体" w:hAnsi="宋体" w:eastAsia="宋体" w:cs="宋体"/>
                <w:sz w:val="21"/>
                <w:szCs w:val="21"/>
              </w:rPr>
            </w:pPr>
          </w:p>
        </w:tc>
        <w:tc>
          <w:tcPr>
            <w:tcW w:w="2820" w:type="dxa"/>
            <w:gridSpan w:val="3"/>
            <w:tcBorders>
              <w:top w:val="single" w:color="auto" w:sz="4" w:space="0"/>
              <w:left w:val="single" w:color="auto" w:sz="4" w:space="0"/>
              <w:bottom w:val="single" w:color="auto" w:sz="4" w:space="0"/>
              <w:right w:val="single" w:color="auto" w:sz="4" w:space="0"/>
            </w:tcBorders>
            <w:noWrap/>
            <w:vAlign w:val="center"/>
          </w:tcPr>
          <w:p w14:paraId="19C7F88C">
            <w:pPr>
              <w:adjustRightInd w:val="0"/>
              <w:jc w:val="center"/>
              <w:rPr>
                <w:rFonts w:ascii="宋体" w:hAnsi="宋体" w:eastAsia="宋体" w:cs="宋体"/>
                <w:sz w:val="21"/>
                <w:szCs w:val="21"/>
              </w:rPr>
            </w:pPr>
            <w:r>
              <w:rPr>
                <w:rFonts w:hint="eastAsia" w:ascii="宋体" w:hAnsi="宋体" w:eastAsia="宋体" w:cs="宋体"/>
                <w:sz w:val="21"/>
                <w:szCs w:val="21"/>
              </w:rPr>
              <w:t>员工总人数</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7779CD40">
            <w:pPr>
              <w:adjustRightInd w:val="0"/>
              <w:jc w:val="center"/>
              <w:rPr>
                <w:rFonts w:ascii="宋体" w:hAnsi="宋体" w:eastAsia="宋体" w:cs="宋体"/>
                <w:sz w:val="21"/>
                <w:szCs w:val="21"/>
              </w:rPr>
            </w:pPr>
            <w:r>
              <w:rPr>
                <w:rFonts w:hint="eastAsia" w:ascii="宋体" w:hAnsi="宋体" w:eastAsia="宋体" w:cs="宋体"/>
                <w:sz w:val="21"/>
                <w:szCs w:val="21"/>
              </w:rPr>
              <w:t>人</w:t>
            </w:r>
          </w:p>
        </w:tc>
      </w:tr>
      <w:tr w14:paraId="540EF539">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6D153D80">
            <w:pPr>
              <w:adjustRightInd w:val="0"/>
              <w:jc w:val="center"/>
              <w:rPr>
                <w:rFonts w:ascii="宋体" w:hAnsi="宋体" w:eastAsia="宋体" w:cs="宋体"/>
                <w:sz w:val="21"/>
                <w:szCs w:val="21"/>
              </w:rPr>
            </w:pPr>
            <w:r>
              <w:rPr>
                <w:rFonts w:hint="eastAsia" w:ascii="宋体" w:hAnsi="宋体" w:eastAsia="宋体" w:cs="宋体"/>
                <w:sz w:val="21"/>
                <w:szCs w:val="21"/>
              </w:rPr>
              <w:t>企业资质等级</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14:paraId="2C0A68B3">
            <w:pPr>
              <w:adjustRightInd w:val="0"/>
              <w:jc w:val="center"/>
              <w:rPr>
                <w:rFonts w:ascii="宋体" w:hAnsi="宋体" w:eastAsia="宋体" w:cs="宋体"/>
                <w:sz w:val="21"/>
                <w:szCs w:val="21"/>
              </w:rPr>
            </w:pPr>
          </w:p>
        </w:tc>
        <w:tc>
          <w:tcPr>
            <w:tcW w:w="690" w:type="dxa"/>
            <w:vMerge w:val="restart"/>
            <w:tcBorders>
              <w:top w:val="single" w:color="auto" w:sz="4" w:space="0"/>
              <w:left w:val="single" w:color="auto" w:sz="4" w:space="0"/>
              <w:right w:val="single" w:color="auto" w:sz="4" w:space="0"/>
            </w:tcBorders>
            <w:noWrap/>
            <w:vAlign w:val="center"/>
          </w:tcPr>
          <w:p w14:paraId="7CA93AF1">
            <w:pPr>
              <w:adjustRightInd w:val="0"/>
              <w:jc w:val="center"/>
              <w:rPr>
                <w:rFonts w:ascii="宋体" w:hAnsi="宋体" w:eastAsia="宋体" w:cs="宋体"/>
                <w:sz w:val="21"/>
                <w:szCs w:val="21"/>
              </w:rPr>
            </w:pPr>
            <w:r>
              <w:rPr>
                <w:rFonts w:hint="eastAsia" w:ascii="宋体" w:hAnsi="宋体" w:eastAsia="宋体" w:cs="宋体"/>
                <w:sz w:val="21"/>
                <w:szCs w:val="21"/>
              </w:rPr>
              <w:t>其中</w:t>
            </w:r>
          </w:p>
        </w:tc>
        <w:tc>
          <w:tcPr>
            <w:tcW w:w="2130" w:type="dxa"/>
            <w:gridSpan w:val="2"/>
            <w:tcBorders>
              <w:top w:val="single" w:color="auto" w:sz="4" w:space="0"/>
              <w:left w:val="single" w:color="auto" w:sz="4" w:space="0"/>
              <w:bottom w:val="single" w:color="auto" w:sz="4" w:space="0"/>
              <w:right w:val="single" w:color="auto" w:sz="4" w:space="0"/>
            </w:tcBorders>
            <w:noWrap/>
            <w:vAlign w:val="center"/>
          </w:tcPr>
          <w:p w14:paraId="722B40FE">
            <w:pPr>
              <w:adjustRightInd w:val="0"/>
              <w:jc w:val="center"/>
              <w:rPr>
                <w:rFonts w:ascii="宋体" w:hAnsi="宋体" w:eastAsia="宋体" w:cs="宋体"/>
                <w:sz w:val="21"/>
                <w:szCs w:val="21"/>
              </w:rPr>
            </w:pPr>
            <w:r>
              <w:rPr>
                <w:rFonts w:hint="eastAsia" w:ascii="宋体" w:hAnsi="宋体" w:eastAsia="宋体" w:cs="宋体"/>
                <w:sz w:val="21"/>
                <w:szCs w:val="21"/>
              </w:rPr>
              <w:t>项目经理</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4803B30C">
            <w:pPr>
              <w:adjustRightInd w:val="0"/>
              <w:jc w:val="center"/>
              <w:rPr>
                <w:rFonts w:ascii="宋体" w:hAnsi="宋体" w:eastAsia="宋体" w:cs="宋体"/>
                <w:sz w:val="21"/>
                <w:szCs w:val="21"/>
              </w:rPr>
            </w:pPr>
            <w:r>
              <w:rPr>
                <w:rFonts w:hint="eastAsia" w:ascii="宋体" w:hAnsi="宋体" w:eastAsia="宋体" w:cs="宋体"/>
                <w:sz w:val="21"/>
                <w:szCs w:val="21"/>
              </w:rPr>
              <w:t>人</w:t>
            </w:r>
          </w:p>
        </w:tc>
      </w:tr>
      <w:tr w14:paraId="4F49645A">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1E6AA7C9">
            <w:pPr>
              <w:adjustRightInd w:val="0"/>
              <w:jc w:val="center"/>
              <w:rPr>
                <w:rFonts w:ascii="宋体" w:hAnsi="宋体" w:eastAsia="宋体" w:cs="宋体"/>
                <w:sz w:val="21"/>
                <w:szCs w:val="21"/>
              </w:rPr>
            </w:pPr>
            <w:r>
              <w:rPr>
                <w:rFonts w:hint="eastAsia" w:ascii="宋体" w:hAnsi="宋体" w:eastAsia="宋体" w:cs="宋体"/>
                <w:sz w:val="21"/>
                <w:szCs w:val="21"/>
              </w:rPr>
              <w:t>营业执照号</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14:paraId="3C30CF6D">
            <w:pPr>
              <w:adjustRightInd w:val="0"/>
              <w:jc w:val="center"/>
              <w:rPr>
                <w:rFonts w:ascii="宋体" w:hAnsi="宋体" w:eastAsia="宋体" w:cs="宋体"/>
                <w:sz w:val="21"/>
                <w:szCs w:val="21"/>
              </w:rPr>
            </w:pPr>
          </w:p>
        </w:tc>
        <w:tc>
          <w:tcPr>
            <w:tcW w:w="690" w:type="dxa"/>
            <w:vMerge w:val="continue"/>
            <w:tcBorders>
              <w:left w:val="single" w:color="auto" w:sz="4" w:space="0"/>
              <w:right w:val="single" w:color="auto" w:sz="4" w:space="0"/>
            </w:tcBorders>
            <w:noWrap/>
            <w:vAlign w:val="center"/>
          </w:tcPr>
          <w:p w14:paraId="396BAC8D">
            <w:pPr>
              <w:adjustRightInd w:val="0"/>
              <w:jc w:val="center"/>
              <w:rPr>
                <w:rFonts w:ascii="宋体" w:hAnsi="宋体" w:eastAsia="宋体" w:cs="宋体"/>
                <w:sz w:val="21"/>
                <w:szCs w:val="21"/>
              </w:rPr>
            </w:pPr>
          </w:p>
        </w:tc>
        <w:tc>
          <w:tcPr>
            <w:tcW w:w="2130" w:type="dxa"/>
            <w:gridSpan w:val="2"/>
            <w:tcBorders>
              <w:top w:val="single" w:color="auto" w:sz="4" w:space="0"/>
              <w:left w:val="single" w:color="auto" w:sz="4" w:space="0"/>
              <w:bottom w:val="single" w:color="auto" w:sz="4" w:space="0"/>
              <w:right w:val="single" w:color="auto" w:sz="4" w:space="0"/>
            </w:tcBorders>
            <w:noWrap/>
            <w:vAlign w:val="center"/>
          </w:tcPr>
          <w:p w14:paraId="29FE4301">
            <w:pPr>
              <w:adjustRightInd w:val="0"/>
              <w:jc w:val="center"/>
              <w:rPr>
                <w:rFonts w:ascii="宋体" w:hAnsi="宋体" w:eastAsia="宋体" w:cs="宋体"/>
                <w:sz w:val="21"/>
                <w:szCs w:val="21"/>
              </w:rPr>
            </w:pPr>
            <w:r>
              <w:rPr>
                <w:rFonts w:hint="eastAsia" w:ascii="宋体" w:hAnsi="宋体" w:eastAsia="宋体" w:cs="宋体"/>
                <w:sz w:val="21"/>
                <w:szCs w:val="21"/>
              </w:rPr>
              <w:t>高级职称人员</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0B3D5FF6">
            <w:pPr>
              <w:adjustRightInd w:val="0"/>
              <w:jc w:val="center"/>
              <w:rPr>
                <w:rFonts w:ascii="宋体" w:hAnsi="宋体" w:eastAsia="宋体" w:cs="宋体"/>
                <w:sz w:val="21"/>
                <w:szCs w:val="21"/>
              </w:rPr>
            </w:pPr>
            <w:r>
              <w:rPr>
                <w:rFonts w:hint="eastAsia" w:ascii="宋体" w:hAnsi="宋体" w:eastAsia="宋体" w:cs="宋体"/>
                <w:sz w:val="21"/>
                <w:szCs w:val="21"/>
              </w:rPr>
              <w:t>人</w:t>
            </w:r>
          </w:p>
        </w:tc>
      </w:tr>
      <w:tr w14:paraId="097000CD">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1B4525C3">
            <w:pPr>
              <w:adjustRightInd w:val="0"/>
              <w:jc w:val="center"/>
              <w:rPr>
                <w:rFonts w:ascii="宋体" w:hAnsi="宋体" w:eastAsia="宋体" w:cs="宋体"/>
                <w:sz w:val="21"/>
                <w:szCs w:val="21"/>
              </w:rPr>
            </w:pPr>
            <w:r>
              <w:rPr>
                <w:rFonts w:hint="eastAsia" w:ascii="宋体" w:hAnsi="宋体" w:eastAsia="宋体" w:cs="宋体"/>
                <w:sz w:val="21"/>
                <w:szCs w:val="21"/>
              </w:rPr>
              <w:t>注册资金</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14:paraId="09E5AC1B">
            <w:pPr>
              <w:adjustRightInd w:val="0"/>
              <w:jc w:val="center"/>
              <w:rPr>
                <w:rFonts w:ascii="宋体" w:hAnsi="宋体" w:eastAsia="宋体" w:cs="宋体"/>
                <w:sz w:val="21"/>
                <w:szCs w:val="21"/>
              </w:rPr>
            </w:pPr>
          </w:p>
        </w:tc>
        <w:tc>
          <w:tcPr>
            <w:tcW w:w="690" w:type="dxa"/>
            <w:vMerge w:val="continue"/>
            <w:tcBorders>
              <w:left w:val="single" w:color="auto" w:sz="4" w:space="0"/>
              <w:right w:val="single" w:color="auto" w:sz="4" w:space="0"/>
            </w:tcBorders>
            <w:noWrap/>
            <w:vAlign w:val="center"/>
          </w:tcPr>
          <w:p w14:paraId="118D91A2">
            <w:pPr>
              <w:adjustRightInd w:val="0"/>
              <w:jc w:val="center"/>
              <w:rPr>
                <w:rFonts w:ascii="宋体" w:hAnsi="宋体" w:eastAsia="宋体" w:cs="宋体"/>
                <w:sz w:val="21"/>
                <w:szCs w:val="21"/>
              </w:rPr>
            </w:pPr>
          </w:p>
        </w:tc>
        <w:tc>
          <w:tcPr>
            <w:tcW w:w="2130" w:type="dxa"/>
            <w:gridSpan w:val="2"/>
            <w:tcBorders>
              <w:top w:val="single" w:color="auto" w:sz="4" w:space="0"/>
              <w:left w:val="single" w:color="auto" w:sz="4" w:space="0"/>
              <w:bottom w:val="single" w:color="auto" w:sz="4" w:space="0"/>
              <w:right w:val="single" w:color="auto" w:sz="4" w:space="0"/>
            </w:tcBorders>
            <w:noWrap/>
            <w:vAlign w:val="center"/>
          </w:tcPr>
          <w:p w14:paraId="37C70665">
            <w:pPr>
              <w:adjustRightInd w:val="0"/>
              <w:jc w:val="center"/>
              <w:rPr>
                <w:rFonts w:ascii="宋体" w:hAnsi="宋体" w:eastAsia="宋体" w:cs="宋体"/>
                <w:sz w:val="21"/>
                <w:szCs w:val="21"/>
              </w:rPr>
            </w:pPr>
            <w:r>
              <w:rPr>
                <w:rFonts w:hint="eastAsia" w:ascii="宋体" w:hAnsi="宋体" w:eastAsia="宋体" w:cs="宋体"/>
                <w:sz w:val="21"/>
                <w:szCs w:val="21"/>
              </w:rPr>
              <w:t>中级职称人员</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3967FF2C">
            <w:pPr>
              <w:adjustRightInd w:val="0"/>
              <w:jc w:val="center"/>
              <w:rPr>
                <w:rFonts w:ascii="宋体" w:hAnsi="宋体" w:eastAsia="宋体" w:cs="宋体"/>
                <w:sz w:val="21"/>
                <w:szCs w:val="21"/>
              </w:rPr>
            </w:pPr>
            <w:r>
              <w:rPr>
                <w:rFonts w:hint="eastAsia" w:ascii="宋体" w:hAnsi="宋体" w:eastAsia="宋体" w:cs="宋体"/>
                <w:sz w:val="21"/>
                <w:szCs w:val="21"/>
              </w:rPr>
              <w:t>人</w:t>
            </w:r>
          </w:p>
        </w:tc>
      </w:tr>
      <w:tr w14:paraId="092B86BB">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6D8FF38B">
            <w:pPr>
              <w:adjustRightInd w:val="0"/>
              <w:jc w:val="center"/>
              <w:rPr>
                <w:rFonts w:ascii="宋体" w:hAnsi="宋体" w:eastAsia="宋体" w:cs="宋体"/>
                <w:sz w:val="21"/>
                <w:szCs w:val="21"/>
              </w:rPr>
            </w:pPr>
            <w:r>
              <w:rPr>
                <w:rFonts w:hint="eastAsia" w:ascii="宋体" w:hAnsi="宋体" w:eastAsia="宋体" w:cs="宋体"/>
                <w:sz w:val="21"/>
                <w:szCs w:val="21"/>
              </w:rPr>
              <w:t>开户银行</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14:paraId="68E41E09">
            <w:pPr>
              <w:adjustRightInd w:val="0"/>
              <w:jc w:val="center"/>
              <w:rPr>
                <w:rFonts w:ascii="宋体" w:hAnsi="宋体" w:eastAsia="宋体" w:cs="宋体"/>
                <w:sz w:val="21"/>
                <w:szCs w:val="21"/>
              </w:rPr>
            </w:pPr>
          </w:p>
        </w:tc>
        <w:tc>
          <w:tcPr>
            <w:tcW w:w="690" w:type="dxa"/>
            <w:vMerge w:val="continue"/>
            <w:tcBorders>
              <w:left w:val="single" w:color="auto" w:sz="4" w:space="0"/>
              <w:right w:val="single" w:color="auto" w:sz="4" w:space="0"/>
            </w:tcBorders>
            <w:noWrap/>
            <w:vAlign w:val="center"/>
          </w:tcPr>
          <w:p w14:paraId="6C364725">
            <w:pPr>
              <w:adjustRightInd w:val="0"/>
              <w:jc w:val="center"/>
              <w:rPr>
                <w:rFonts w:ascii="宋体" w:hAnsi="宋体" w:eastAsia="宋体" w:cs="宋体"/>
                <w:sz w:val="21"/>
                <w:szCs w:val="21"/>
              </w:rPr>
            </w:pPr>
          </w:p>
        </w:tc>
        <w:tc>
          <w:tcPr>
            <w:tcW w:w="2130" w:type="dxa"/>
            <w:gridSpan w:val="2"/>
            <w:tcBorders>
              <w:top w:val="single" w:color="auto" w:sz="4" w:space="0"/>
              <w:left w:val="single" w:color="auto" w:sz="4" w:space="0"/>
              <w:bottom w:val="single" w:color="auto" w:sz="4" w:space="0"/>
              <w:right w:val="single" w:color="auto" w:sz="4" w:space="0"/>
            </w:tcBorders>
            <w:noWrap/>
            <w:vAlign w:val="center"/>
          </w:tcPr>
          <w:p w14:paraId="06FF30DF">
            <w:pPr>
              <w:adjustRightInd w:val="0"/>
              <w:jc w:val="center"/>
              <w:rPr>
                <w:rFonts w:ascii="宋体" w:hAnsi="宋体" w:eastAsia="宋体" w:cs="宋体"/>
                <w:sz w:val="21"/>
                <w:szCs w:val="21"/>
              </w:rPr>
            </w:pPr>
            <w:r>
              <w:rPr>
                <w:rFonts w:hint="eastAsia" w:ascii="宋体" w:hAnsi="宋体" w:eastAsia="宋体" w:cs="宋体"/>
                <w:sz w:val="21"/>
                <w:szCs w:val="21"/>
              </w:rPr>
              <w:t>初级职称人员</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77A0D1A0">
            <w:pPr>
              <w:adjustRightInd w:val="0"/>
              <w:jc w:val="center"/>
              <w:rPr>
                <w:rFonts w:ascii="宋体" w:hAnsi="宋体" w:eastAsia="宋体" w:cs="宋体"/>
                <w:sz w:val="21"/>
                <w:szCs w:val="21"/>
              </w:rPr>
            </w:pPr>
            <w:r>
              <w:rPr>
                <w:rFonts w:hint="eastAsia" w:ascii="宋体" w:hAnsi="宋体" w:eastAsia="宋体" w:cs="宋体"/>
                <w:sz w:val="21"/>
                <w:szCs w:val="21"/>
              </w:rPr>
              <w:t>人</w:t>
            </w:r>
          </w:p>
        </w:tc>
      </w:tr>
      <w:tr w14:paraId="2500B305">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77C05246">
            <w:pPr>
              <w:adjustRightInd w:val="0"/>
              <w:jc w:val="center"/>
              <w:rPr>
                <w:rFonts w:ascii="宋体" w:hAnsi="宋体" w:eastAsia="宋体" w:cs="宋体"/>
                <w:sz w:val="21"/>
                <w:szCs w:val="21"/>
              </w:rPr>
            </w:pPr>
            <w:r>
              <w:rPr>
                <w:rFonts w:hint="eastAsia" w:ascii="宋体" w:hAnsi="宋体" w:eastAsia="宋体" w:cs="宋体"/>
                <w:sz w:val="21"/>
                <w:szCs w:val="21"/>
              </w:rPr>
              <w:t>账号</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14:paraId="4E737A91">
            <w:pPr>
              <w:adjustRightInd w:val="0"/>
              <w:jc w:val="center"/>
              <w:rPr>
                <w:rFonts w:ascii="宋体" w:hAnsi="宋体" w:eastAsia="宋体" w:cs="宋体"/>
                <w:sz w:val="21"/>
                <w:szCs w:val="21"/>
              </w:rPr>
            </w:pPr>
          </w:p>
        </w:tc>
        <w:tc>
          <w:tcPr>
            <w:tcW w:w="690" w:type="dxa"/>
            <w:vMerge w:val="continue"/>
            <w:tcBorders>
              <w:left w:val="single" w:color="auto" w:sz="4" w:space="0"/>
              <w:bottom w:val="single" w:color="auto" w:sz="4" w:space="0"/>
              <w:right w:val="single" w:color="auto" w:sz="4" w:space="0"/>
            </w:tcBorders>
            <w:noWrap/>
            <w:vAlign w:val="center"/>
          </w:tcPr>
          <w:p w14:paraId="434EF8D9">
            <w:pPr>
              <w:adjustRightInd w:val="0"/>
              <w:jc w:val="center"/>
              <w:rPr>
                <w:rFonts w:ascii="宋体" w:hAnsi="宋体" w:eastAsia="宋体" w:cs="宋体"/>
                <w:sz w:val="21"/>
                <w:szCs w:val="21"/>
              </w:rPr>
            </w:pPr>
          </w:p>
        </w:tc>
        <w:tc>
          <w:tcPr>
            <w:tcW w:w="2130" w:type="dxa"/>
            <w:gridSpan w:val="2"/>
            <w:tcBorders>
              <w:top w:val="single" w:color="auto" w:sz="4" w:space="0"/>
              <w:left w:val="single" w:color="auto" w:sz="4" w:space="0"/>
              <w:bottom w:val="single" w:color="auto" w:sz="4" w:space="0"/>
              <w:right w:val="single" w:color="auto" w:sz="4" w:space="0"/>
            </w:tcBorders>
            <w:noWrap/>
            <w:vAlign w:val="center"/>
          </w:tcPr>
          <w:p w14:paraId="6C49EBF5">
            <w:pPr>
              <w:adjustRightInd w:val="0"/>
              <w:jc w:val="center"/>
              <w:rPr>
                <w:rFonts w:ascii="宋体" w:hAnsi="宋体" w:eastAsia="宋体" w:cs="宋体"/>
                <w:sz w:val="21"/>
                <w:szCs w:val="21"/>
              </w:rPr>
            </w:pPr>
            <w:r>
              <w:rPr>
                <w:rFonts w:hint="eastAsia" w:ascii="宋体" w:hAnsi="宋体" w:eastAsia="宋体" w:cs="宋体"/>
                <w:sz w:val="21"/>
                <w:szCs w:val="21"/>
              </w:rPr>
              <w:t>技工</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6210E66F">
            <w:pPr>
              <w:adjustRightInd w:val="0"/>
              <w:jc w:val="center"/>
              <w:rPr>
                <w:rFonts w:ascii="宋体" w:hAnsi="宋体" w:eastAsia="宋体" w:cs="宋体"/>
                <w:sz w:val="21"/>
                <w:szCs w:val="21"/>
              </w:rPr>
            </w:pPr>
            <w:r>
              <w:rPr>
                <w:rFonts w:hint="eastAsia" w:ascii="宋体" w:hAnsi="宋体" w:eastAsia="宋体" w:cs="宋体"/>
                <w:sz w:val="21"/>
                <w:szCs w:val="21"/>
              </w:rPr>
              <w:t>人</w:t>
            </w:r>
          </w:p>
        </w:tc>
      </w:tr>
      <w:tr w14:paraId="0F9D0590">
        <w:tblPrEx>
          <w:tblCellMar>
            <w:top w:w="0" w:type="dxa"/>
            <w:left w:w="108" w:type="dxa"/>
            <w:bottom w:w="0" w:type="dxa"/>
            <w:right w:w="108" w:type="dxa"/>
          </w:tblCellMar>
        </w:tblPrEx>
        <w:trPr>
          <w:trHeight w:val="239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315F86F3">
            <w:pPr>
              <w:adjustRightInd w:val="0"/>
              <w:jc w:val="center"/>
              <w:rPr>
                <w:rFonts w:ascii="宋体" w:hAnsi="宋体" w:eastAsia="宋体" w:cs="宋体"/>
                <w:sz w:val="21"/>
                <w:szCs w:val="21"/>
              </w:rPr>
            </w:pPr>
            <w:r>
              <w:rPr>
                <w:rFonts w:hint="eastAsia" w:ascii="宋体" w:hAnsi="宋体" w:eastAsia="宋体" w:cs="宋体"/>
                <w:sz w:val="21"/>
                <w:szCs w:val="21"/>
              </w:rPr>
              <w:t>经营范围</w:t>
            </w:r>
          </w:p>
        </w:tc>
        <w:tc>
          <w:tcPr>
            <w:tcW w:w="7983" w:type="dxa"/>
            <w:gridSpan w:val="7"/>
            <w:tcBorders>
              <w:top w:val="single" w:color="auto" w:sz="4" w:space="0"/>
              <w:left w:val="single" w:color="auto" w:sz="4" w:space="0"/>
              <w:bottom w:val="single" w:color="auto" w:sz="4" w:space="0"/>
              <w:right w:val="single" w:color="auto" w:sz="4" w:space="0"/>
            </w:tcBorders>
            <w:noWrap/>
            <w:vAlign w:val="center"/>
          </w:tcPr>
          <w:p w14:paraId="15BD5329">
            <w:pPr>
              <w:adjustRightInd w:val="0"/>
              <w:jc w:val="center"/>
              <w:rPr>
                <w:rFonts w:ascii="宋体" w:hAnsi="宋体" w:eastAsia="宋体" w:cs="宋体"/>
                <w:sz w:val="21"/>
                <w:szCs w:val="21"/>
              </w:rPr>
            </w:pPr>
          </w:p>
        </w:tc>
      </w:tr>
      <w:tr w14:paraId="4C8054AF">
        <w:tblPrEx>
          <w:tblCellMar>
            <w:top w:w="0" w:type="dxa"/>
            <w:left w:w="108" w:type="dxa"/>
            <w:bottom w:w="0" w:type="dxa"/>
            <w:right w:w="108" w:type="dxa"/>
          </w:tblCellMar>
        </w:tblPrEx>
        <w:trPr>
          <w:trHeight w:val="239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7C39BFF9">
            <w:pPr>
              <w:adjustRightInd w:val="0"/>
              <w:jc w:val="center"/>
              <w:rPr>
                <w:rFonts w:ascii="宋体" w:hAnsi="宋体" w:eastAsia="宋体" w:cs="宋体"/>
                <w:sz w:val="21"/>
                <w:szCs w:val="21"/>
              </w:rPr>
            </w:pPr>
            <w:r>
              <w:rPr>
                <w:rFonts w:hint="eastAsia" w:ascii="宋体" w:hAnsi="宋体" w:eastAsia="宋体" w:cs="宋体"/>
                <w:sz w:val="21"/>
                <w:szCs w:val="21"/>
              </w:rPr>
              <w:t>备注</w:t>
            </w:r>
          </w:p>
        </w:tc>
        <w:tc>
          <w:tcPr>
            <w:tcW w:w="7983" w:type="dxa"/>
            <w:gridSpan w:val="7"/>
            <w:tcBorders>
              <w:top w:val="single" w:color="auto" w:sz="4" w:space="0"/>
              <w:left w:val="single" w:color="auto" w:sz="4" w:space="0"/>
              <w:bottom w:val="single" w:color="auto" w:sz="4" w:space="0"/>
              <w:right w:val="single" w:color="auto" w:sz="4" w:space="0"/>
            </w:tcBorders>
            <w:noWrap/>
            <w:vAlign w:val="center"/>
          </w:tcPr>
          <w:p w14:paraId="389B65CF">
            <w:pPr>
              <w:adjustRightInd w:val="0"/>
              <w:jc w:val="center"/>
              <w:rPr>
                <w:rFonts w:ascii="宋体" w:hAnsi="宋体" w:eastAsia="宋体" w:cs="宋体"/>
                <w:sz w:val="21"/>
                <w:szCs w:val="21"/>
              </w:rPr>
            </w:pPr>
          </w:p>
        </w:tc>
      </w:tr>
    </w:tbl>
    <w:p w14:paraId="6C9B9388">
      <w:pPr>
        <w:pStyle w:val="15"/>
        <w:spacing w:before="60" w:after="60" w:line="500" w:lineRule="exact"/>
        <w:ind w:firstLine="4320" w:firstLineChars="1800"/>
        <w:rPr>
          <w:rFonts w:hAnsi="宋体" w:eastAsia="宋体" w:cs="宋体"/>
          <w:sz w:val="24"/>
        </w:rPr>
      </w:pPr>
      <w:r>
        <w:rPr>
          <w:rFonts w:hint="eastAsia" w:hAnsi="宋体" w:eastAsia="宋体" w:cs="宋体"/>
          <w:sz w:val="24"/>
        </w:rPr>
        <w:t>法定代表人(或全权代表)签字或盖章：</w:t>
      </w:r>
    </w:p>
    <w:p w14:paraId="713747E5">
      <w:pPr>
        <w:pStyle w:val="15"/>
        <w:jc w:val="center"/>
        <w:rPr>
          <w:rFonts w:hAnsi="宋体" w:eastAsia="宋体" w:cs="宋体"/>
          <w:sz w:val="24"/>
          <w:szCs w:val="24"/>
        </w:rPr>
      </w:pPr>
    </w:p>
    <w:p w14:paraId="78D85CD8">
      <w:pPr>
        <w:spacing w:line="360" w:lineRule="auto"/>
        <w:jc w:val="left"/>
        <w:rPr>
          <w:rFonts w:ascii="宋体" w:hAnsi="宋体" w:eastAsia="宋体" w:cs="宋体"/>
          <w:sz w:val="24"/>
        </w:rPr>
      </w:pPr>
      <w:r>
        <w:rPr>
          <w:rFonts w:hint="eastAsia" w:ascii="宋体" w:hAnsi="宋体" w:eastAsia="宋体" w:cs="宋体"/>
          <w:sz w:val="24"/>
        </w:rPr>
        <w:t>                                    磋商人 (盖单位章)：</w:t>
      </w:r>
    </w:p>
    <w:p w14:paraId="69DEB235">
      <w:pPr>
        <w:pStyle w:val="15"/>
        <w:adjustRightInd w:val="0"/>
        <w:snapToGrid w:val="0"/>
        <w:spacing w:before="120" w:after="120" w:line="360" w:lineRule="auto"/>
        <w:ind w:firstLine="4320" w:firstLineChars="1800"/>
        <w:jc w:val="left"/>
        <w:rPr>
          <w:rFonts w:hAnsi="宋体" w:eastAsia="宋体" w:cs="宋体"/>
        </w:rPr>
        <w:sectPr>
          <w:footerReference r:id="rId12" w:type="default"/>
          <w:pgSz w:w="11906" w:h="16838"/>
          <w:pgMar w:top="1440" w:right="1440" w:bottom="1440" w:left="1440" w:header="851" w:footer="992" w:gutter="0"/>
          <w:cols w:space="720" w:num="1"/>
          <w:docGrid w:linePitch="312" w:charSpace="0"/>
        </w:sectPr>
      </w:pPr>
      <w:r>
        <w:rPr>
          <w:rFonts w:hint="eastAsia" w:hAnsi="宋体" w:eastAsia="宋体" w:cs="宋体"/>
          <w:sz w:val="24"/>
          <w:szCs w:val="24"/>
        </w:rPr>
        <w:t>日　期：</w:t>
      </w:r>
    </w:p>
    <w:p w14:paraId="42DAE080">
      <w:pPr>
        <w:pStyle w:val="15"/>
        <w:adjustRightInd w:val="0"/>
        <w:snapToGrid w:val="0"/>
        <w:spacing w:before="156" w:after="156"/>
        <w:rPr>
          <w:rFonts w:hAnsi="宋体" w:eastAsia="宋体" w:cs="宋体"/>
          <w:b/>
          <w:sz w:val="24"/>
          <w:szCs w:val="24"/>
        </w:rPr>
      </w:pPr>
      <w:r>
        <w:rPr>
          <w:rFonts w:hint="eastAsia" w:hAnsi="宋体" w:eastAsia="宋体" w:cs="宋体"/>
          <w:b/>
          <w:bCs/>
          <w:sz w:val="24"/>
          <w:szCs w:val="24"/>
        </w:rPr>
        <w:t>附件七：</w:t>
      </w:r>
    </w:p>
    <w:p w14:paraId="0ECCCD5F">
      <w:pPr>
        <w:pStyle w:val="5"/>
        <w:spacing w:line="360" w:lineRule="auto"/>
        <w:jc w:val="center"/>
        <w:rPr>
          <w:rFonts w:ascii="宋体" w:hAnsi="宋体" w:eastAsia="宋体" w:cs="宋体"/>
          <w:sz w:val="32"/>
          <w:szCs w:val="32"/>
        </w:rPr>
      </w:pPr>
      <w:r>
        <w:rPr>
          <w:rFonts w:hint="eastAsia" w:ascii="宋体" w:hAnsi="宋体" w:eastAsia="宋体" w:cs="宋体"/>
          <w:sz w:val="32"/>
          <w:szCs w:val="32"/>
        </w:rPr>
        <w:t>商务响应表</w:t>
      </w:r>
    </w:p>
    <w:tbl>
      <w:tblPr>
        <w:tblStyle w:val="29"/>
        <w:tblW w:w="9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000"/>
        <w:gridCol w:w="2966"/>
        <w:gridCol w:w="2339"/>
        <w:gridCol w:w="1308"/>
      </w:tblGrid>
      <w:tr w14:paraId="6AB16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1" w:hRule="atLeast"/>
        </w:trPr>
        <w:tc>
          <w:tcPr>
            <w:tcW w:w="764" w:type="dxa"/>
            <w:noWrap/>
            <w:vAlign w:val="center"/>
          </w:tcPr>
          <w:p w14:paraId="1BED286D">
            <w:pPr>
              <w:jc w:val="center"/>
              <w:rPr>
                <w:rFonts w:ascii="宋体" w:hAnsi="宋体" w:eastAsia="宋体" w:cs="宋体"/>
                <w:sz w:val="21"/>
                <w:szCs w:val="21"/>
              </w:rPr>
            </w:pPr>
            <w:r>
              <w:rPr>
                <w:rFonts w:hint="eastAsia" w:ascii="宋体" w:hAnsi="宋体" w:eastAsia="宋体" w:cs="宋体"/>
                <w:sz w:val="21"/>
                <w:szCs w:val="21"/>
              </w:rPr>
              <w:t>序号</w:t>
            </w:r>
          </w:p>
        </w:tc>
        <w:tc>
          <w:tcPr>
            <w:tcW w:w="2000" w:type="dxa"/>
            <w:noWrap/>
            <w:vAlign w:val="center"/>
          </w:tcPr>
          <w:p w14:paraId="506DD32C">
            <w:pPr>
              <w:jc w:val="center"/>
              <w:rPr>
                <w:rFonts w:ascii="宋体" w:hAnsi="宋体" w:eastAsia="宋体" w:cs="宋体"/>
                <w:sz w:val="21"/>
                <w:szCs w:val="21"/>
              </w:rPr>
            </w:pPr>
            <w:r>
              <w:rPr>
                <w:rFonts w:hint="eastAsia" w:ascii="宋体" w:hAnsi="宋体" w:eastAsia="宋体" w:cs="宋体"/>
                <w:sz w:val="21"/>
                <w:szCs w:val="21"/>
              </w:rPr>
              <w:t>类别</w:t>
            </w:r>
          </w:p>
        </w:tc>
        <w:tc>
          <w:tcPr>
            <w:tcW w:w="2966" w:type="dxa"/>
            <w:noWrap/>
            <w:vAlign w:val="center"/>
          </w:tcPr>
          <w:p w14:paraId="3EE85F25">
            <w:pPr>
              <w:jc w:val="center"/>
              <w:rPr>
                <w:rFonts w:ascii="宋体" w:hAnsi="宋体" w:eastAsia="宋体" w:cs="宋体"/>
                <w:sz w:val="21"/>
                <w:szCs w:val="21"/>
              </w:rPr>
            </w:pPr>
            <w:r>
              <w:rPr>
                <w:rFonts w:hint="eastAsia" w:ascii="宋体" w:hAnsi="宋体" w:eastAsia="宋体" w:cs="宋体"/>
                <w:sz w:val="21"/>
                <w:szCs w:val="21"/>
              </w:rPr>
              <w:t>磋商文件要求</w:t>
            </w:r>
          </w:p>
        </w:tc>
        <w:tc>
          <w:tcPr>
            <w:tcW w:w="2339" w:type="dxa"/>
            <w:noWrap/>
            <w:vAlign w:val="center"/>
          </w:tcPr>
          <w:p w14:paraId="3F7501AC">
            <w:pPr>
              <w:jc w:val="center"/>
              <w:rPr>
                <w:rFonts w:ascii="宋体" w:hAnsi="宋体" w:eastAsia="宋体" w:cs="宋体"/>
                <w:sz w:val="21"/>
                <w:szCs w:val="21"/>
              </w:rPr>
            </w:pPr>
            <w:r>
              <w:rPr>
                <w:rFonts w:hint="eastAsia" w:ascii="宋体" w:hAnsi="宋体" w:eastAsia="宋体" w:cs="宋体"/>
                <w:sz w:val="21"/>
                <w:szCs w:val="21"/>
              </w:rPr>
              <w:t>供应商承诺</w:t>
            </w:r>
          </w:p>
        </w:tc>
        <w:tc>
          <w:tcPr>
            <w:tcW w:w="1308" w:type="dxa"/>
            <w:noWrap/>
            <w:vAlign w:val="center"/>
          </w:tcPr>
          <w:p w14:paraId="056C7AE9">
            <w:pPr>
              <w:jc w:val="center"/>
              <w:rPr>
                <w:rFonts w:ascii="宋体" w:hAnsi="宋体" w:eastAsia="宋体" w:cs="宋体"/>
                <w:sz w:val="21"/>
                <w:szCs w:val="21"/>
              </w:rPr>
            </w:pPr>
            <w:r>
              <w:rPr>
                <w:rFonts w:hint="eastAsia" w:ascii="宋体" w:hAnsi="宋体" w:eastAsia="宋体" w:cs="宋体"/>
                <w:sz w:val="21"/>
                <w:szCs w:val="21"/>
              </w:rPr>
              <w:t>是否响应</w:t>
            </w:r>
          </w:p>
        </w:tc>
      </w:tr>
      <w:tr w14:paraId="656F6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64" w:type="dxa"/>
            <w:noWrap/>
            <w:vAlign w:val="center"/>
          </w:tcPr>
          <w:p w14:paraId="6C22F0FC">
            <w:pPr>
              <w:jc w:val="center"/>
              <w:rPr>
                <w:rFonts w:ascii="宋体" w:hAnsi="宋体" w:eastAsia="宋体" w:cs="宋体"/>
                <w:sz w:val="21"/>
                <w:szCs w:val="21"/>
              </w:rPr>
            </w:pPr>
            <w:r>
              <w:rPr>
                <w:rFonts w:hint="eastAsia" w:ascii="宋体" w:hAnsi="宋体" w:eastAsia="宋体" w:cs="宋体"/>
                <w:sz w:val="21"/>
                <w:szCs w:val="21"/>
              </w:rPr>
              <w:t>1</w:t>
            </w:r>
          </w:p>
        </w:tc>
        <w:tc>
          <w:tcPr>
            <w:tcW w:w="2000" w:type="dxa"/>
            <w:noWrap/>
            <w:vAlign w:val="center"/>
          </w:tcPr>
          <w:p w14:paraId="1D1761D6">
            <w:pPr>
              <w:jc w:val="center"/>
              <w:rPr>
                <w:rFonts w:ascii="宋体" w:hAnsi="宋体" w:eastAsia="宋体" w:cs="宋体"/>
                <w:sz w:val="21"/>
                <w:szCs w:val="21"/>
              </w:rPr>
            </w:pPr>
            <w:r>
              <w:rPr>
                <w:rFonts w:hint="eastAsia" w:ascii="宋体" w:hAnsi="宋体" w:eastAsia="宋体" w:cs="宋体"/>
                <w:sz w:val="21"/>
                <w:szCs w:val="21"/>
              </w:rPr>
              <w:t>项目工期</w:t>
            </w:r>
          </w:p>
        </w:tc>
        <w:tc>
          <w:tcPr>
            <w:tcW w:w="2966" w:type="dxa"/>
            <w:noWrap/>
            <w:vAlign w:val="center"/>
          </w:tcPr>
          <w:p w14:paraId="6C83F357">
            <w:pPr>
              <w:rPr>
                <w:rFonts w:hint="default" w:ascii="宋体" w:hAnsi="宋体" w:eastAsia="宋体" w:cs="宋体"/>
                <w:sz w:val="21"/>
                <w:szCs w:val="21"/>
                <w:lang w:val="en-US" w:eastAsia="zh-CN"/>
              </w:rPr>
            </w:pPr>
            <w:r>
              <w:rPr>
                <w:rFonts w:hint="eastAsia" w:ascii="宋体" w:hAnsi="宋体" w:eastAsia="宋体" w:cs="宋体"/>
                <w:color w:val="auto"/>
                <w:kern w:val="0"/>
                <w:sz w:val="21"/>
                <w:szCs w:val="21"/>
                <w:highlight w:val="yellow"/>
                <w:lang w:val="en-US" w:eastAsia="zh-CN"/>
              </w:rPr>
              <w:t>合同签订后30日内完成全部工作</w:t>
            </w:r>
            <w:r>
              <w:rPr>
                <w:rFonts w:hint="eastAsia" w:ascii="宋体" w:hAnsi="宋体" w:eastAsia="宋体" w:cs="宋体"/>
                <w:color w:val="auto"/>
                <w:sz w:val="21"/>
                <w:szCs w:val="21"/>
                <w:highlight w:val="yellow"/>
              </w:rPr>
              <w:t>。</w:t>
            </w:r>
          </w:p>
        </w:tc>
        <w:tc>
          <w:tcPr>
            <w:tcW w:w="2339" w:type="dxa"/>
            <w:noWrap/>
            <w:vAlign w:val="center"/>
          </w:tcPr>
          <w:p w14:paraId="25DB9E23">
            <w:pPr>
              <w:jc w:val="center"/>
              <w:rPr>
                <w:rFonts w:ascii="宋体" w:hAnsi="宋体" w:eastAsia="宋体" w:cs="宋体"/>
                <w:sz w:val="21"/>
                <w:szCs w:val="21"/>
              </w:rPr>
            </w:pPr>
          </w:p>
        </w:tc>
        <w:tc>
          <w:tcPr>
            <w:tcW w:w="1308" w:type="dxa"/>
            <w:noWrap/>
            <w:vAlign w:val="center"/>
          </w:tcPr>
          <w:p w14:paraId="241D02A6">
            <w:pPr>
              <w:jc w:val="center"/>
              <w:rPr>
                <w:rFonts w:ascii="宋体" w:hAnsi="宋体" w:eastAsia="宋体" w:cs="宋体"/>
                <w:sz w:val="21"/>
                <w:szCs w:val="21"/>
              </w:rPr>
            </w:pPr>
          </w:p>
        </w:tc>
      </w:tr>
      <w:tr w14:paraId="02875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4" w:type="dxa"/>
            <w:noWrap/>
            <w:vAlign w:val="center"/>
          </w:tcPr>
          <w:p w14:paraId="44B0F783">
            <w:pPr>
              <w:jc w:val="center"/>
              <w:rPr>
                <w:rFonts w:ascii="宋体" w:hAnsi="宋体" w:eastAsia="宋体" w:cs="宋体"/>
                <w:sz w:val="21"/>
                <w:szCs w:val="21"/>
              </w:rPr>
            </w:pPr>
            <w:r>
              <w:rPr>
                <w:rFonts w:hint="eastAsia" w:ascii="宋体" w:hAnsi="宋体" w:eastAsia="宋体" w:cs="宋体"/>
                <w:sz w:val="21"/>
                <w:szCs w:val="21"/>
              </w:rPr>
              <w:t>2</w:t>
            </w:r>
          </w:p>
        </w:tc>
        <w:tc>
          <w:tcPr>
            <w:tcW w:w="2000" w:type="dxa"/>
            <w:noWrap/>
            <w:vAlign w:val="center"/>
          </w:tcPr>
          <w:p w14:paraId="12FBF67C">
            <w:pPr>
              <w:jc w:val="center"/>
              <w:rPr>
                <w:rFonts w:ascii="宋体" w:hAnsi="宋体" w:eastAsia="宋体" w:cs="宋体"/>
                <w:sz w:val="21"/>
                <w:szCs w:val="21"/>
              </w:rPr>
            </w:pPr>
            <w:r>
              <w:rPr>
                <w:rFonts w:hint="eastAsia" w:ascii="宋体" w:hAnsi="宋体" w:eastAsia="宋体" w:cs="宋体"/>
                <w:sz w:val="21"/>
                <w:szCs w:val="21"/>
              </w:rPr>
              <w:t>质量要求</w:t>
            </w:r>
          </w:p>
        </w:tc>
        <w:tc>
          <w:tcPr>
            <w:tcW w:w="2966" w:type="dxa"/>
            <w:noWrap/>
            <w:vAlign w:val="center"/>
          </w:tcPr>
          <w:p w14:paraId="4D441193">
            <w:pPr>
              <w:rPr>
                <w:rFonts w:ascii="宋体" w:hAnsi="宋体" w:eastAsia="宋体" w:cs="宋体"/>
                <w:sz w:val="21"/>
                <w:szCs w:val="21"/>
              </w:rPr>
            </w:pPr>
            <w:r>
              <w:rPr>
                <w:rFonts w:hint="eastAsia" w:ascii="宋体" w:hAnsi="宋体" w:eastAsia="宋体" w:cs="宋体"/>
                <w:sz w:val="21"/>
                <w:szCs w:val="21"/>
              </w:rPr>
              <w:t>本工程施工严格按照规范要求进行施工，达到各项拟定的设计指标，确保工程质量达到国家合格验收标准。</w:t>
            </w:r>
          </w:p>
        </w:tc>
        <w:tc>
          <w:tcPr>
            <w:tcW w:w="2339" w:type="dxa"/>
            <w:noWrap/>
            <w:vAlign w:val="center"/>
          </w:tcPr>
          <w:p w14:paraId="51814230">
            <w:pPr>
              <w:jc w:val="center"/>
              <w:rPr>
                <w:rFonts w:ascii="宋体" w:hAnsi="宋体" w:eastAsia="宋体" w:cs="宋体"/>
                <w:sz w:val="21"/>
                <w:szCs w:val="21"/>
              </w:rPr>
            </w:pPr>
          </w:p>
        </w:tc>
        <w:tc>
          <w:tcPr>
            <w:tcW w:w="1308" w:type="dxa"/>
            <w:noWrap/>
            <w:vAlign w:val="center"/>
          </w:tcPr>
          <w:p w14:paraId="4CC97F24">
            <w:pPr>
              <w:jc w:val="center"/>
              <w:rPr>
                <w:rFonts w:ascii="宋体" w:hAnsi="宋体" w:eastAsia="宋体" w:cs="宋体"/>
                <w:sz w:val="21"/>
                <w:szCs w:val="21"/>
              </w:rPr>
            </w:pPr>
          </w:p>
        </w:tc>
      </w:tr>
      <w:tr w14:paraId="70C99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64" w:type="dxa"/>
            <w:noWrap/>
            <w:vAlign w:val="center"/>
          </w:tcPr>
          <w:p w14:paraId="2E3C3F29">
            <w:pPr>
              <w:jc w:val="center"/>
              <w:rPr>
                <w:rFonts w:ascii="宋体" w:hAnsi="宋体" w:eastAsia="宋体" w:cs="宋体"/>
                <w:sz w:val="21"/>
                <w:szCs w:val="21"/>
              </w:rPr>
            </w:pPr>
            <w:r>
              <w:rPr>
                <w:rFonts w:hint="eastAsia" w:ascii="宋体" w:hAnsi="宋体" w:eastAsia="宋体" w:cs="宋体"/>
                <w:sz w:val="21"/>
                <w:szCs w:val="21"/>
              </w:rPr>
              <w:t>3</w:t>
            </w:r>
          </w:p>
        </w:tc>
        <w:tc>
          <w:tcPr>
            <w:tcW w:w="2000" w:type="dxa"/>
            <w:noWrap/>
            <w:vAlign w:val="center"/>
          </w:tcPr>
          <w:p w14:paraId="22FEC2A1">
            <w:pPr>
              <w:jc w:val="center"/>
              <w:rPr>
                <w:rFonts w:ascii="宋体" w:hAnsi="宋体" w:eastAsia="宋体" w:cs="宋体"/>
                <w:sz w:val="21"/>
                <w:szCs w:val="21"/>
              </w:rPr>
            </w:pPr>
            <w:r>
              <w:rPr>
                <w:rFonts w:hint="eastAsia" w:ascii="宋体" w:hAnsi="宋体" w:eastAsia="宋体" w:cs="宋体"/>
                <w:sz w:val="21"/>
                <w:szCs w:val="21"/>
              </w:rPr>
              <w:t>保修期</w:t>
            </w:r>
          </w:p>
        </w:tc>
        <w:tc>
          <w:tcPr>
            <w:tcW w:w="2966" w:type="dxa"/>
            <w:noWrap/>
            <w:vAlign w:val="center"/>
          </w:tcPr>
          <w:p w14:paraId="06341A73">
            <w:pPr>
              <w:rPr>
                <w:rFonts w:ascii="宋体" w:hAnsi="宋体" w:eastAsia="宋体" w:cs="宋体"/>
                <w:sz w:val="21"/>
                <w:szCs w:val="21"/>
              </w:rPr>
            </w:pPr>
            <w:r>
              <w:rPr>
                <w:rFonts w:hint="eastAsia" w:ascii="宋体" w:hAnsi="宋体" w:eastAsia="宋体" w:cs="宋体"/>
                <w:sz w:val="21"/>
                <w:szCs w:val="21"/>
              </w:rPr>
              <w:t>2年</w:t>
            </w:r>
          </w:p>
        </w:tc>
        <w:tc>
          <w:tcPr>
            <w:tcW w:w="2339" w:type="dxa"/>
            <w:noWrap/>
            <w:vAlign w:val="center"/>
          </w:tcPr>
          <w:p w14:paraId="3503C21A">
            <w:pPr>
              <w:jc w:val="center"/>
              <w:rPr>
                <w:rFonts w:ascii="宋体" w:hAnsi="宋体" w:eastAsia="宋体" w:cs="宋体"/>
                <w:sz w:val="21"/>
                <w:szCs w:val="21"/>
              </w:rPr>
            </w:pPr>
          </w:p>
        </w:tc>
        <w:tc>
          <w:tcPr>
            <w:tcW w:w="1308" w:type="dxa"/>
            <w:noWrap/>
            <w:vAlign w:val="center"/>
          </w:tcPr>
          <w:p w14:paraId="072B98B2">
            <w:pPr>
              <w:jc w:val="center"/>
              <w:rPr>
                <w:rFonts w:ascii="宋体" w:hAnsi="宋体" w:eastAsia="宋体" w:cs="宋体"/>
                <w:sz w:val="21"/>
                <w:szCs w:val="21"/>
              </w:rPr>
            </w:pPr>
          </w:p>
        </w:tc>
      </w:tr>
      <w:tr w14:paraId="2D465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64" w:type="dxa"/>
            <w:noWrap/>
            <w:vAlign w:val="center"/>
          </w:tcPr>
          <w:p w14:paraId="6B58F0FF">
            <w:pPr>
              <w:jc w:val="center"/>
              <w:rPr>
                <w:rFonts w:ascii="宋体" w:hAnsi="宋体" w:eastAsia="宋体" w:cs="宋体"/>
                <w:sz w:val="21"/>
                <w:szCs w:val="21"/>
              </w:rPr>
            </w:pPr>
            <w:r>
              <w:rPr>
                <w:rFonts w:hint="eastAsia" w:ascii="宋体" w:hAnsi="宋体" w:eastAsia="宋体" w:cs="宋体"/>
                <w:sz w:val="21"/>
                <w:szCs w:val="21"/>
              </w:rPr>
              <w:t>4</w:t>
            </w:r>
          </w:p>
        </w:tc>
        <w:tc>
          <w:tcPr>
            <w:tcW w:w="2000" w:type="dxa"/>
            <w:noWrap/>
            <w:vAlign w:val="center"/>
          </w:tcPr>
          <w:p w14:paraId="3B424112">
            <w:pPr>
              <w:jc w:val="center"/>
              <w:rPr>
                <w:rFonts w:ascii="宋体" w:hAnsi="宋体" w:eastAsia="宋体" w:cs="宋体"/>
                <w:sz w:val="21"/>
                <w:szCs w:val="21"/>
              </w:rPr>
            </w:pPr>
            <w:r>
              <w:rPr>
                <w:rFonts w:hint="eastAsia" w:ascii="宋体" w:hAnsi="宋体" w:eastAsia="宋体" w:cs="宋体"/>
                <w:sz w:val="21"/>
                <w:szCs w:val="21"/>
              </w:rPr>
              <w:t>付款方式</w:t>
            </w:r>
          </w:p>
        </w:tc>
        <w:tc>
          <w:tcPr>
            <w:tcW w:w="2966" w:type="dxa"/>
            <w:noWrap/>
            <w:vAlign w:val="center"/>
          </w:tcPr>
          <w:p w14:paraId="60095269">
            <w:pPr>
              <w:rPr>
                <w:rFonts w:ascii="宋体" w:hAnsi="宋体" w:eastAsia="宋体" w:cs="宋体"/>
                <w:sz w:val="21"/>
                <w:szCs w:val="21"/>
              </w:rPr>
            </w:pPr>
            <w:r>
              <w:rPr>
                <w:rFonts w:hint="eastAsia" w:ascii="宋体" w:hAnsi="宋体" w:eastAsia="宋体" w:cs="宋体"/>
                <w:color w:val="FF0000"/>
                <w:sz w:val="21"/>
                <w:szCs w:val="21"/>
              </w:rPr>
              <w:t>本项目支付一次预付款，金额为签约合同价的</w:t>
            </w:r>
            <w:r>
              <w:rPr>
                <w:rFonts w:hint="eastAsia" w:hAnsi="仿宋"/>
                <w:color w:val="FF0000"/>
                <w:sz w:val="21"/>
                <w:szCs w:val="21"/>
              </w:rPr>
              <w:t>10%</w:t>
            </w:r>
            <w:r>
              <w:rPr>
                <w:rFonts w:hint="eastAsia" w:ascii="宋体" w:hAnsi="宋体" w:eastAsia="宋体" w:cs="宋体"/>
                <w:color w:val="FF0000"/>
                <w:sz w:val="21"/>
                <w:szCs w:val="21"/>
              </w:rPr>
              <w:t>，后续款项待完工并验收通过后，一次性支付结算审定金额的100%；</w:t>
            </w:r>
            <w:r>
              <w:rPr>
                <w:rFonts w:hint="eastAsia" w:ascii="宋体" w:hAnsi="宋体" w:eastAsia="宋体" w:cs="宋体"/>
                <w:b/>
                <w:bCs/>
                <w:color w:val="FF0000"/>
                <w:sz w:val="21"/>
                <w:szCs w:val="21"/>
              </w:rPr>
              <w:t>结算审定金额不得超过签约合同价，若超过签约合同价的，以签约合同价作为最高结算价</w:t>
            </w:r>
            <w:r>
              <w:rPr>
                <w:rFonts w:hint="eastAsia" w:ascii="宋体" w:hAnsi="宋体" w:eastAsia="宋体" w:cs="宋体"/>
                <w:sz w:val="21"/>
                <w:szCs w:val="21"/>
              </w:rPr>
              <w:t>。</w:t>
            </w:r>
          </w:p>
        </w:tc>
        <w:tc>
          <w:tcPr>
            <w:tcW w:w="2339" w:type="dxa"/>
            <w:noWrap/>
            <w:vAlign w:val="center"/>
          </w:tcPr>
          <w:p w14:paraId="39A432CF">
            <w:pPr>
              <w:jc w:val="center"/>
              <w:rPr>
                <w:rFonts w:ascii="宋体" w:hAnsi="宋体" w:eastAsia="宋体" w:cs="宋体"/>
                <w:sz w:val="21"/>
                <w:szCs w:val="21"/>
              </w:rPr>
            </w:pPr>
          </w:p>
        </w:tc>
        <w:tc>
          <w:tcPr>
            <w:tcW w:w="1308" w:type="dxa"/>
            <w:noWrap/>
            <w:vAlign w:val="center"/>
          </w:tcPr>
          <w:p w14:paraId="27C38F60">
            <w:pPr>
              <w:jc w:val="center"/>
              <w:rPr>
                <w:rFonts w:ascii="宋体" w:hAnsi="宋体" w:eastAsia="宋体" w:cs="宋体"/>
                <w:sz w:val="21"/>
                <w:szCs w:val="21"/>
              </w:rPr>
            </w:pPr>
          </w:p>
        </w:tc>
      </w:tr>
    </w:tbl>
    <w:p w14:paraId="36045F6B">
      <w:pPr>
        <w:rPr>
          <w:rFonts w:ascii="宋体" w:hAnsi="宋体" w:eastAsia="宋体" w:cs="宋体"/>
          <w:b/>
          <w:bCs/>
          <w:sz w:val="21"/>
          <w:szCs w:val="21"/>
        </w:rPr>
      </w:pPr>
      <w:r>
        <w:rPr>
          <w:rFonts w:hint="eastAsia" w:ascii="宋体" w:hAnsi="宋体" w:eastAsia="宋体" w:cs="宋体"/>
          <w:b/>
          <w:bCs/>
          <w:sz w:val="21"/>
          <w:szCs w:val="21"/>
        </w:rPr>
        <w:t>注：商务响应表中事项在响应磋商文件要求的前提下可提供更优惠的承诺。</w:t>
      </w:r>
    </w:p>
    <w:p w14:paraId="4E8DBC4D">
      <w:pPr>
        <w:pStyle w:val="15"/>
        <w:spacing w:line="560" w:lineRule="exact"/>
        <w:ind w:firstLine="5040" w:firstLineChars="2400"/>
        <w:rPr>
          <w:rFonts w:hAnsi="宋体" w:eastAsia="宋体" w:cs="宋体"/>
          <w:szCs w:val="21"/>
        </w:rPr>
      </w:pPr>
    </w:p>
    <w:p w14:paraId="67096DAD">
      <w:pPr>
        <w:pStyle w:val="15"/>
        <w:spacing w:line="560" w:lineRule="exact"/>
        <w:ind w:firstLine="5040" w:firstLineChars="2400"/>
        <w:rPr>
          <w:rFonts w:hAnsi="宋体" w:eastAsia="宋体" w:cs="宋体"/>
          <w:szCs w:val="21"/>
        </w:rPr>
      </w:pPr>
      <w:r>
        <w:rPr>
          <w:rFonts w:hint="eastAsia" w:hAnsi="宋体" w:eastAsia="宋体" w:cs="宋体"/>
          <w:szCs w:val="21"/>
        </w:rPr>
        <w:t>法定代表人(或全权代表)签字或盖章：</w:t>
      </w:r>
    </w:p>
    <w:p w14:paraId="7D04A844">
      <w:pPr>
        <w:pStyle w:val="15"/>
        <w:spacing w:line="560" w:lineRule="exact"/>
        <w:ind w:firstLine="5040" w:firstLineChars="2400"/>
        <w:rPr>
          <w:rFonts w:hAnsi="宋体" w:eastAsia="宋体" w:cs="宋体"/>
          <w:szCs w:val="21"/>
          <w:lang w:val="zh-CN"/>
        </w:rPr>
      </w:pPr>
      <w:r>
        <w:rPr>
          <w:rFonts w:hint="eastAsia" w:hAnsi="宋体" w:eastAsia="宋体" w:cs="宋体"/>
          <w:szCs w:val="21"/>
        </w:rPr>
        <w:t>磋商人</w:t>
      </w:r>
      <w:r>
        <w:rPr>
          <w:rFonts w:hint="eastAsia" w:hAnsi="宋体" w:eastAsia="宋体" w:cs="宋体"/>
          <w:szCs w:val="21"/>
          <w:lang w:val="zh-CN"/>
        </w:rPr>
        <w:t>（盖单位章）：</w:t>
      </w:r>
    </w:p>
    <w:p w14:paraId="632C902E">
      <w:pPr>
        <w:spacing w:line="450" w:lineRule="atLeast"/>
        <w:ind w:firstLine="5040" w:firstLineChars="2400"/>
        <w:rPr>
          <w:rFonts w:ascii="宋体" w:hAnsi="宋体" w:eastAsia="宋体" w:cs="宋体"/>
          <w:b/>
          <w:sz w:val="28"/>
          <w:szCs w:val="28"/>
        </w:rPr>
      </w:pPr>
      <w:r>
        <w:rPr>
          <w:rFonts w:hint="eastAsia" w:ascii="宋体" w:hAnsi="宋体" w:eastAsia="宋体" w:cs="宋体"/>
          <w:sz w:val="21"/>
          <w:szCs w:val="21"/>
          <w:lang w:val="zh-CN"/>
        </w:rPr>
        <w:t>日期：</w:t>
      </w:r>
    </w:p>
    <w:p w14:paraId="22F0B5FB">
      <w:pPr>
        <w:pStyle w:val="55"/>
        <w:spacing w:line="360" w:lineRule="auto"/>
        <w:rPr>
          <w:rFonts w:ascii="宋体" w:hAnsi="宋体" w:cs="宋体"/>
          <w:b/>
          <w:bCs/>
          <w:sz w:val="24"/>
        </w:rPr>
      </w:pPr>
    </w:p>
    <w:p w14:paraId="6F11138A">
      <w:pPr>
        <w:pStyle w:val="55"/>
        <w:spacing w:line="360" w:lineRule="auto"/>
        <w:jc w:val="center"/>
        <w:rPr>
          <w:rFonts w:ascii="宋体" w:hAnsi="宋体" w:cs="宋体"/>
          <w:b/>
          <w:sz w:val="28"/>
          <w:szCs w:val="28"/>
        </w:rPr>
      </w:pPr>
    </w:p>
    <w:p w14:paraId="0CBC78DC">
      <w:pPr>
        <w:rPr>
          <w:rFonts w:ascii="宋体" w:hAnsi="宋体" w:eastAsia="宋体" w:cs="宋体"/>
          <w:b/>
          <w:bCs/>
          <w:sz w:val="24"/>
        </w:rPr>
      </w:pPr>
      <w:r>
        <w:rPr>
          <w:rFonts w:hint="eastAsia" w:ascii="宋体" w:hAnsi="宋体" w:eastAsia="宋体" w:cs="宋体"/>
          <w:b/>
          <w:bCs/>
          <w:sz w:val="24"/>
        </w:rPr>
        <w:br w:type="page"/>
      </w:r>
    </w:p>
    <w:p w14:paraId="7F18A252">
      <w:pPr>
        <w:pStyle w:val="55"/>
        <w:spacing w:line="360" w:lineRule="auto"/>
        <w:rPr>
          <w:rFonts w:ascii="宋体" w:hAnsi="宋体" w:cs="宋体"/>
          <w:b/>
          <w:sz w:val="24"/>
        </w:rPr>
      </w:pPr>
      <w:r>
        <w:rPr>
          <w:rFonts w:hint="eastAsia" w:ascii="宋体" w:hAnsi="宋体" w:cs="宋体"/>
          <w:b/>
          <w:bCs/>
          <w:sz w:val="24"/>
        </w:rPr>
        <w:t>附件八：</w:t>
      </w:r>
    </w:p>
    <w:p w14:paraId="19DD47F7">
      <w:pPr>
        <w:pStyle w:val="55"/>
        <w:spacing w:line="360" w:lineRule="auto"/>
        <w:jc w:val="center"/>
        <w:rPr>
          <w:rFonts w:ascii="宋体" w:hAnsi="宋体" w:cs="宋体"/>
          <w:b/>
          <w:sz w:val="32"/>
          <w:szCs w:val="32"/>
        </w:rPr>
      </w:pPr>
      <w:r>
        <w:rPr>
          <w:rFonts w:hint="eastAsia" w:ascii="宋体" w:hAnsi="宋体" w:cs="宋体"/>
          <w:b/>
          <w:sz w:val="32"/>
          <w:szCs w:val="32"/>
        </w:rPr>
        <w:t>类似项目业绩一览表</w:t>
      </w:r>
    </w:p>
    <w:tbl>
      <w:tblPr>
        <w:tblStyle w:val="29"/>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4"/>
        <w:gridCol w:w="1200"/>
        <w:gridCol w:w="1464"/>
        <w:gridCol w:w="1260"/>
        <w:gridCol w:w="1452"/>
        <w:gridCol w:w="1383"/>
        <w:gridCol w:w="2037"/>
      </w:tblGrid>
      <w:tr w14:paraId="314787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6" w:hRule="atLeast"/>
          <w:jc w:val="center"/>
        </w:trPr>
        <w:tc>
          <w:tcPr>
            <w:tcW w:w="744" w:type="dxa"/>
            <w:tcBorders>
              <w:top w:val="single" w:color="auto" w:sz="6" w:space="0"/>
              <w:left w:val="single" w:color="auto" w:sz="6" w:space="0"/>
              <w:bottom w:val="single" w:color="auto" w:sz="6" w:space="0"/>
              <w:right w:val="single" w:color="auto" w:sz="6" w:space="0"/>
            </w:tcBorders>
            <w:noWrap/>
            <w:vAlign w:val="center"/>
          </w:tcPr>
          <w:p w14:paraId="14BC2578">
            <w:pPr>
              <w:pStyle w:val="55"/>
              <w:jc w:val="center"/>
              <w:rPr>
                <w:rFonts w:ascii="宋体" w:hAnsi="宋体" w:cs="宋体"/>
                <w:b/>
                <w:bCs/>
                <w:szCs w:val="21"/>
              </w:rPr>
            </w:pPr>
            <w:r>
              <w:rPr>
                <w:rFonts w:hint="eastAsia" w:ascii="宋体" w:hAnsi="宋体" w:cs="宋体"/>
                <w:b/>
                <w:bCs/>
                <w:szCs w:val="21"/>
              </w:rPr>
              <w:t>序号</w:t>
            </w:r>
          </w:p>
        </w:tc>
        <w:tc>
          <w:tcPr>
            <w:tcW w:w="1200" w:type="dxa"/>
            <w:tcBorders>
              <w:top w:val="single" w:color="auto" w:sz="6" w:space="0"/>
              <w:left w:val="single" w:color="auto" w:sz="6" w:space="0"/>
              <w:bottom w:val="single" w:color="auto" w:sz="6" w:space="0"/>
              <w:right w:val="single" w:color="auto" w:sz="6" w:space="0"/>
            </w:tcBorders>
            <w:noWrap/>
            <w:vAlign w:val="center"/>
          </w:tcPr>
          <w:p w14:paraId="451E9C23">
            <w:pPr>
              <w:pStyle w:val="55"/>
              <w:jc w:val="center"/>
              <w:rPr>
                <w:rFonts w:ascii="宋体" w:hAnsi="宋体" w:cs="宋体"/>
                <w:b/>
                <w:bCs/>
                <w:szCs w:val="21"/>
              </w:rPr>
            </w:pPr>
            <w:r>
              <w:rPr>
                <w:rFonts w:hint="eastAsia" w:ascii="宋体" w:hAnsi="宋体" w:cs="宋体"/>
                <w:b/>
                <w:bCs/>
                <w:szCs w:val="21"/>
              </w:rPr>
              <w:t>项目名称</w:t>
            </w:r>
          </w:p>
        </w:tc>
        <w:tc>
          <w:tcPr>
            <w:tcW w:w="1464" w:type="dxa"/>
            <w:tcBorders>
              <w:top w:val="single" w:color="auto" w:sz="6" w:space="0"/>
              <w:left w:val="single" w:color="auto" w:sz="6" w:space="0"/>
              <w:bottom w:val="single" w:color="auto" w:sz="6" w:space="0"/>
              <w:right w:val="single" w:color="auto" w:sz="6" w:space="0"/>
            </w:tcBorders>
            <w:noWrap/>
            <w:vAlign w:val="center"/>
          </w:tcPr>
          <w:p w14:paraId="5C0FCA0F">
            <w:pPr>
              <w:pStyle w:val="55"/>
              <w:jc w:val="center"/>
              <w:rPr>
                <w:rFonts w:ascii="宋体" w:hAnsi="宋体" w:cs="宋体"/>
                <w:b/>
                <w:bCs/>
                <w:szCs w:val="21"/>
              </w:rPr>
            </w:pPr>
            <w:r>
              <w:rPr>
                <w:rFonts w:hint="eastAsia" w:ascii="宋体" w:hAnsi="宋体" w:cs="宋体"/>
                <w:b/>
                <w:bCs/>
                <w:szCs w:val="21"/>
              </w:rPr>
              <w:t>项目地址</w:t>
            </w:r>
          </w:p>
        </w:tc>
        <w:tc>
          <w:tcPr>
            <w:tcW w:w="1260" w:type="dxa"/>
            <w:tcBorders>
              <w:top w:val="single" w:color="auto" w:sz="6" w:space="0"/>
              <w:left w:val="single" w:color="auto" w:sz="6" w:space="0"/>
              <w:bottom w:val="single" w:color="auto" w:sz="6" w:space="0"/>
              <w:right w:val="single" w:color="auto" w:sz="6" w:space="0"/>
            </w:tcBorders>
            <w:noWrap/>
            <w:vAlign w:val="center"/>
          </w:tcPr>
          <w:p w14:paraId="0D439438">
            <w:pPr>
              <w:pStyle w:val="55"/>
              <w:jc w:val="center"/>
              <w:rPr>
                <w:rFonts w:ascii="宋体" w:hAnsi="宋体" w:cs="宋体"/>
                <w:b/>
                <w:bCs/>
                <w:szCs w:val="21"/>
              </w:rPr>
            </w:pPr>
            <w:r>
              <w:rPr>
                <w:rFonts w:hint="eastAsia" w:ascii="宋体" w:hAnsi="宋体" w:cs="宋体"/>
                <w:b/>
                <w:bCs/>
                <w:szCs w:val="21"/>
              </w:rPr>
              <w:t>合同总价</w:t>
            </w:r>
          </w:p>
        </w:tc>
        <w:tc>
          <w:tcPr>
            <w:tcW w:w="1452" w:type="dxa"/>
            <w:tcBorders>
              <w:top w:val="single" w:color="auto" w:sz="6" w:space="0"/>
              <w:left w:val="single" w:color="auto" w:sz="6" w:space="0"/>
              <w:bottom w:val="single" w:color="auto" w:sz="6" w:space="0"/>
              <w:right w:val="single" w:color="auto" w:sz="6" w:space="0"/>
            </w:tcBorders>
            <w:noWrap/>
            <w:vAlign w:val="center"/>
          </w:tcPr>
          <w:p w14:paraId="08BFD5D0">
            <w:pPr>
              <w:pStyle w:val="55"/>
              <w:jc w:val="center"/>
              <w:rPr>
                <w:rFonts w:ascii="宋体" w:hAnsi="宋体" w:cs="宋体"/>
                <w:b/>
                <w:bCs/>
                <w:szCs w:val="21"/>
              </w:rPr>
            </w:pPr>
            <w:r>
              <w:rPr>
                <w:rFonts w:hint="eastAsia" w:ascii="宋体" w:hAnsi="宋体" w:cs="宋体"/>
                <w:b/>
                <w:bCs/>
                <w:szCs w:val="21"/>
              </w:rPr>
              <w:t>实施时间</w:t>
            </w:r>
          </w:p>
        </w:tc>
        <w:tc>
          <w:tcPr>
            <w:tcW w:w="1383" w:type="dxa"/>
            <w:tcBorders>
              <w:top w:val="single" w:color="auto" w:sz="6" w:space="0"/>
              <w:left w:val="single" w:color="auto" w:sz="6" w:space="0"/>
              <w:bottom w:val="single" w:color="auto" w:sz="6" w:space="0"/>
              <w:right w:val="single" w:color="auto" w:sz="6" w:space="0"/>
            </w:tcBorders>
            <w:noWrap/>
            <w:vAlign w:val="center"/>
          </w:tcPr>
          <w:p w14:paraId="1C7DDE1A">
            <w:pPr>
              <w:pStyle w:val="55"/>
              <w:jc w:val="center"/>
              <w:rPr>
                <w:rFonts w:ascii="宋体" w:hAnsi="宋体" w:cs="宋体"/>
                <w:b/>
                <w:bCs/>
                <w:szCs w:val="21"/>
              </w:rPr>
            </w:pPr>
            <w:r>
              <w:rPr>
                <w:rFonts w:hint="eastAsia" w:ascii="宋体" w:hAnsi="宋体" w:cs="宋体"/>
                <w:b/>
                <w:bCs/>
                <w:szCs w:val="21"/>
              </w:rPr>
              <w:t>项目质量</w:t>
            </w:r>
          </w:p>
        </w:tc>
        <w:tc>
          <w:tcPr>
            <w:tcW w:w="2037" w:type="dxa"/>
            <w:tcBorders>
              <w:top w:val="single" w:color="auto" w:sz="6" w:space="0"/>
              <w:left w:val="single" w:color="auto" w:sz="6" w:space="0"/>
              <w:bottom w:val="single" w:color="auto" w:sz="6" w:space="0"/>
              <w:right w:val="single" w:color="auto" w:sz="6" w:space="0"/>
            </w:tcBorders>
            <w:noWrap/>
            <w:vAlign w:val="center"/>
          </w:tcPr>
          <w:p w14:paraId="63A25497">
            <w:pPr>
              <w:pStyle w:val="55"/>
              <w:jc w:val="center"/>
              <w:rPr>
                <w:rFonts w:ascii="宋体" w:hAnsi="宋体" w:cs="宋体"/>
                <w:b/>
                <w:bCs/>
                <w:szCs w:val="21"/>
              </w:rPr>
            </w:pPr>
            <w:r>
              <w:rPr>
                <w:rFonts w:hint="eastAsia" w:ascii="宋体" w:hAnsi="宋体" w:cs="宋体"/>
                <w:b/>
                <w:bCs/>
                <w:szCs w:val="21"/>
              </w:rPr>
              <w:t>项目单位名称及其联系人电话</w:t>
            </w:r>
          </w:p>
        </w:tc>
      </w:tr>
      <w:tr w14:paraId="45D21C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744" w:type="dxa"/>
            <w:tcBorders>
              <w:top w:val="single" w:color="auto" w:sz="6" w:space="0"/>
              <w:left w:val="single" w:color="auto" w:sz="6" w:space="0"/>
              <w:bottom w:val="single" w:color="auto" w:sz="6" w:space="0"/>
              <w:right w:val="single" w:color="auto" w:sz="6" w:space="0"/>
            </w:tcBorders>
            <w:noWrap/>
            <w:vAlign w:val="center"/>
          </w:tcPr>
          <w:p w14:paraId="0B7058C9">
            <w:pPr>
              <w:pStyle w:val="55"/>
              <w:jc w:val="center"/>
              <w:rPr>
                <w:rFonts w:ascii="宋体" w:hAnsi="宋体" w:cs="宋体"/>
                <w:szCs w:val="21"/>
              </w:rPr>
            </w:pPr>
            <w:r>
              <w:rPr>
                <w:rFonts w:hint="eastAsia" w:ascii="宋体" w:hAnsi="宋体" w:cs="宋体"/>
                <w:szCs w:val="21"/>
              </w:rPr>
              <w:t>1</w:t>
            </w:r>
          </w:p>
        </w:tc>
        <w:tc>
          <w:tcPr>
            <w:tcW w:w="1200" w:type="dxa"/>
            <w:tcBorders>
              <w:top w:val="single" w:color="auto" w:sz="6" w:space="0"/>
              <w:left w:val="single" w:color="auto" w:sz="6" w:space="0"/>
              <w:bottom w:val="single" w:color="auto" w:sz="6" w:space="0"/>
              <w:right w:val="single" w:color="auto" w:sz="6" w:space="0"/>
            </w:tcBorders>
            <w:noWrap/>
            <w:vAlign w:val="center"/>
          </w:tcPr>
          <w:p w14:paraId="51629AD4">
            <w:pPr>
              <w:pStyle w:val="55"/>
              <w:jc w:val="center"/>
              <w:rPr>
                <w:rFonts w:ascii="宋体" w:hAnsi="宋体" w:cs="宋体"/>
                <w:szCs w:val="21"/>
              </w:rPr>
            </w:pPr>
          </w:p>
        </w:tc>
        <w:tc>
          <w:tcPr>
            <w:tcW w:w="1464" w:type="dxa"/>
            <w:tcBorders>
              <w:top w:val="single" w:color="auto" w:sz="6" w:space="0"/>
              <w:left w:val="single" w:color="auto" w:sz="6" w:space="0"/>
              <w:bottom w:val="single" w:color="auto" w:sz="6" w:space="0"/>
              <w:right w:val="single" w:color="auto" w:sz="6" w:space="0"/>
            </w:tcBorders>
            <w:noWrap/>
            <w:vAlign w:val="center"/>
          </w:tcPr>
          <w:p w14:paraId="076CF945">
            <w:pPr>
              <w:pStyle w:val="55"/>
              <w:jc w:val="center"/>
              <w:rPr>
                <w:rFonts w:ascii="宋体" w:hAnsi="宋体" w:cs="宋体"/>
                <w:szCs w:val="21"/>
              </w:rPr>
            </w:pPr>
          </w:p>
        </w:tc>
        <w:tc>
          <w:tcPr>
            <w:tcW w:w="1260" w:type="dxa"/>
            <w:tcBorders>
              <w:top w:val="single" w:color="auto" w:sz="6" w:space="0"/>
              <w:left w:val="single" w:color="auto" w:sz="6" w:space="0"/>
              <w:bottom w:val="single" w:color="auto" w:sz="6" w:space="0"/>
              <w:right w:val="single" w:color="auto" w:sz="6" w:space="0"/>
            </w:tcBorders>
            <w:noWrap/>
            <w:vAlign w:val="center"/>
          </w:tcPr>
          <w:p w14:paraId="37FA90E5">
            <w:pPr>
              <w:pStyle w:val="55"/>
              <w:jc w:val="center"/>
              <w:rPr>
                <w:rFonts w:ascii="宋体" w:hAnsi="宋体" w:cs="宋体"/>
                <w:szCs w:val="21"/>
              </w:rPr>
            </w:pPr>
          </w:p>
        </w:tc>
        <w:tc>
          <w:tcPr>
            <w:tcW w:w="1452" w:type="dxa"/>
            <w:tcBorders>
              <w:top w:val="single" w:color="auto" w:sz="6" w:space="0"/>
              <w:left w:val="single" w:color="auto" w:sz="6" w:space="0"/>
              <w:bottom w:val="single" w:color="auto" w:sz="6" w:space="0"/>
              <w:right w:val="single" w:color="auto" w:sz="6" w:space="0"/>
            </w:tcBorders>
            <w:noWrap/>
            <w:vAlign w:val="center"/>
          </w:tcPr>
          <w:p w14:paraId="61373D65">
            <w:pPr>
              <w:pStyle w:val="55"/>
              <w:jc w:val="center"/>
              <w:rPr>
                <w:rFonts w:ascii="宋体" w:hAnsi="宋体" w:cs="宋体"/>
                <w:szCs w:val="21"/>
              </w:rPr>
            </w:pPr>
          </w:p>
        </w:tc>
        <w:tc>
          <w:tcPr>
            <w:tcW w:w="1383" w:type="dxa"/>
            <w:tcBorders>
              <w:top w:val="single" w:color="auto" w:sz="6" w:space="0"/>
              <w:left w:val="single" w:color="auto" w:sz="6" w:space="0"/>
              <w:bottom w:val="single" w:color="auto" w:sz="6" w:space="0"/>
              <w:right w:val="single" w:color="auto" w:sz="6" w:space="0"/>
            </w:tcBorders>
            <w:noWrap/>
            <w:vAlign w:val="center"/>
          </w:tcPr>
          <w:p w14:paraId="79F0D9CE">
            <w:pPr>
              <w:pStyle w:val="55"/>
              <w:jc w:val="center"/>
              <w:rPr>
                <w:rFonts w:ascii="宋体" w:hAnsi="宋体" w:cs="宋体"/>
                <w:szCs w:val="21"/>
              </w:rPr>
            </w:pPr>
          </w:p>
        </w:tc>
        <w:tc>
          <w:tcPr>
            <w:tcW w:w="2037" w:type="dxa"/>
            <w:tcBorders>
              <w:top w:val="single" w:color="auto" w:sz="6" w:space="0"/>
              <w:left w:val="single" w:color="auto" w:sz="6" w:space="0"/>
              <w:bottom w:val="single" w:color="auto" w:sz="6" w:space="0"/>
              <w:right w:val="single" w:color="auto" w:sz="6" w:space="0"/>
            </w:tcBorders>
            <w:noWrap/>
            <w:vAlign w:val="center"/>
          </w:tcPr>
          <w:p w14:paraId="13AC6B1D">
            <w:pPr>
              <w:pStyle w:val="55"/>
              <w:jc w:val="center"/>
              <w:rPr>
                <w:rFonts w:ascii="宋体" w:hAnsi="宋体" w:cs="宋体"/>
                <w:szCs w:val="21"/>
              </w:rPr>
            </w:pPr>
          </w:p>
        </w:tc>
      </w:tr>
      <w:tr w14:paraId="5F879F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4" w:hRule="atLeast"/>
          <w:jc w:val="center"/>
        </w:trPr>
        <w:tc>
          <w:tcPr>
            <w:tcW w:w="744" w:type="dxa"/>
            <w:tcBorders>
              <w:top w:val="single" w:color="auto" w:sz="6" w:space="0"/>
              <w:left w:val="single" w:color="auto" w:sz="6" w:space="0"/>
              <w:bottom w:val="single" w:color="auto" w:sz="6" w:space="0"/>
              <w:right w:val="single" w:color="auto" w:sz="6" w:space="0"/>
            </w:tcBorders>
            <w:noWrap/>
            <w:vAlign w:val="center"/>
          </w:tcPr>
          <w:p w14:paraId="68C1C0D3">
            <w:pPr>
              <w:pStyle w:val="55"/>
              <w:jc w:val="center"/>
              <w:rPr>
                <w:rFonts w:ascii="宋体" w:hAnsi="宋体" w:cs="宋体"/>
                <w:szCs w:val="21"/>
              </w:rPr>
            </w:pPr>
            <w:r>
              <w:rPr>
                <w:rFonts w:hint="eastAsia" w:ascii="宋体" w:hAnsi="宋体" w:cs="宋体"/>
                <w:szCs w:val="21"/>
              </w:rPr>
              <w:t>2</w:t>
            </w:r>
          </w:p>
        </w:tc>
        <w:tc>
          <w:tcPr>
            <w:tcW w:w="1200" w:type="dxa"/>
            <w:tcBorders>
              <w:top w:val="single" w:color="auto" w:sz="6" w:space="0"/>
              <w:left w:val="single" w:color="auto" w:sz="6" w:space="0"/>
              <w:bottom w:val="single" w:color="auto" w:sz="6" w:space="0"/>
              <w:right w:val="single" w:color="auto" w:sz="6" w:space="0"/>
            </w:tcBorders>
            <w:noWrap/>
            <w:vAlign w:val="center"/>
          </w:tcPr>
          <w:p w14:paraId="5CFD9202">
            <w:pPr>
              <w:pStyle w:val="55"/>
              <w:jc w:val="center"/>
              <w:rPr>
                <w:rFonts w:ascii="宋体" w:hAnsi="宋体" w:cs="宋体"/>
                <w:szCs w:val="21"/>
              </w:rPr>
            </w:pPr>
          </w:p>
        </w:tc>
        <w:tc>
          <w:tcPr>
            <w:tcW w:w="1464" w:type="dxa"/>
            <w:tcBorders>
              <w:top w:val="single" w:color="auto" w:sz="6" w:space="0"/>
              <w:left w:val="single" w:color="auto" w:sz="6" w:space="0"/>
              <w:bottom w:val="single" w:color="auto" w:sz="6" w:space="0"/>
              <w:right w:val="single" w:color="auto" w:sz="6" w:space="0"/>
            </w:tcBorders>
            <w:noWrap/>
            <w:vAlign w:val="center"/>
          </w:tcPr>
          <w:p w14:paraId="3A244AAA">
            <w:pPr>
              <w:pStyle w:val="55"/>
              <w:jc w:val="center"/>
              <w:rPr>
                <w:rFonts w:ascii="宋体" w:hAnsi="宋体" w:cs="宋体"/>
                <w:szCs w:val="21"/>
              </w:rPr>
            </w:pPr>
          </w:p>
        </w:tc>
        <w:tc>
          <w:tcPr>
            <w:tcW w:w="1260" w:type="dxa"/>
            <w:tcBorders>
              <w:top w:val="single" w:color="auto" w:sz="6" w:space="0"/>
              <w:left w:val="single" w:color="auto" w:sz="6" w:space="0"/>
              <w:bottom w:val="single" w:color="auto" w:sz="6" w:space="0"/>
              <w:right w:val="single" w:color="auto" w:sz="6" w:space="0"/>
            </w:tcBorders>
            <w:noWrap/>
            <w:vAlign w:val="center"/>
          </w:tcPr>
          <w:p w14:paraId="6A4EEE1B">
            <w:pPr>
              <w:pStyle w:val="55"/>
              <w:jc w:val="center"/>
              <w:rPr>
                <w:rFonts w:ascii="宋体" w:hAnsi="宋体" w:cs="宋体"/>
                <w:szCs w:val="21"/>
              </w:rPr>
            </w:pPr>
          </w:p>
        </w:tc>
        <w:tc>
          <w:tcPr>
            <w:tcW w:w="1452" w:type="dxa"/>
            <w:tcBorders>
              <w:top w:val="single" w:color="auto" w:sz="6" w:space="0"/>
              <w:left w:val="single" w:color="auto" w:sz="6" w:space="0"/>
              <w:bottom w:val="single" w:color="auto" w:sz="6" w:space="0"/>
              <w:right w:val="single" w:color="auto" w:sz="6" w:space="0"/>
            </w:tcBorders>
            <w:noWrap/>
            <w:vAlign w:val="center"/>
          </w:tcPr>
          <w:p w14:paraId="4F85E505">
            <w:pPr>
              <w:pStyle w:val="55"/>
              <w:jc w:val="center"/>
              <w:rPr>
                <w:rFonts w:ascii="宋体" w:hAnsi="宋体" w:cs="宋体"/>
                <w:szCs w:val="21"/>
              </w:rPr>
            </w:pPr>
          </w:p>
        </w:tc>
        <w:tc>
          <w:tcPr>
            <w:tcW w:w="1383" w:type="dxa"/>
            <w:tcBorders>
              <w:top w:val="single" w:color="auto" w:sz="6" w:space="0"/>
              <w:left w:val="single" w:color="auto" w:sz="6" w:space="0"/>
              <w:bottom w:val="single" w:color="auto" w:sz="6" w:space="0"/>
              <w:right w:val="single" w:color="auto" w:sz="6" w:space="0"/>
            </w:tcBorders>
            <w:noWrap/>
            <w:vAlign w:val="center"/>
          </w:tcPr>
          <w:p w14:paraId="3335D4F7">
            <w:pPr>
              <w:pStyle w:val="55"/>
              <w:jc w:val="center"/>
              <w:rPr>
                <w:rFonts w:ascii="宋体" w:hAnsi="宋体" w:cs="宋体"/>
                <w:szCs w:val="21"/>
              </w:rPr>
            </w:pPr>
          </w:p>
        </w:tc>
        <w:tc>
          <w:tcPr>
            <w:tcW w:w="2037" w:type="dxa"/>
            <w:tcBorders>
              <w:top w:val="single" w:color="auto" w:sz="6" w:space="0"/>
              <w:left w:val="single" w:color="auto" w:sz="6" w:space="0"/>
              <w:bottom w:val="single" w:color="auto" w:sz="6" w:space="0"/>
              <w:right w:val="single" w:color="auto" w:sz="6" w:space="0"/>
            </w:tcBorders>
            <w:noWrap/>
            <w:vAlign w:val="center"/>
          </w:tcPr>
          <w:p w14:paraId="7FDA60B1">
            <w:pPr>
              <w:pStyle w:val="55"/>
              <w:jc w:val="center"/>
              <w:rPr>
                <w:rFonts w:ascii="宋体" w:hAnsi="宋体" w:cs="宋体"/>
                <w:szCs w:val="21"/>
              </w:rPr>
            </w:pPr>
          </w:p>
        </w:tc>
      </w:tr>
      <w:tr w14:paraId="41191B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744" w:type="dxa"/>
            <w:tcBorders>
              <w:top w:val="single" w:color="auto" w:sz="6" w:space="0"/>
              <w:left w:val="single" w:color="auto" w:sz="6" w:space="0"/>
              <w:bottom w:val="single" w:color="auto" w:sz="6" w:space="0"/>
              <w:right w:val="single" w:color="auto" w:sz="6" w:space="0"/>
            </w:tcBorders>
            <w:noWrap/>
            <w:vAlign w:val="center"/>
          </w:tcPr>
          <w:p w14:paraId="5EB7B04D">
            <w:pPr>
              <w:pStyle w:val="55"/>
              <w:jc w:val="center"/>
              <w:rPr>
                <w:rFonts w:ascii="宋体" w:hAnsi="宋体" w:cs="宋体"/>
                <w:szCs w:val="21"/>
              </w:rPr>
            </w:pPr>
            <w:r>
              <w:rPr>
                <w:rFonts w:hint="eastAsia" w:ascii="宋体" w:hAnsi="宋体" w:cs="宋体"/>
                <w:szCs w:val="21"/>
              </w:rPr>
              <w:t>3</w:t>
            </w:r>
          </w:p>
        </w:tc>
        <w:tc>
          <w:tcPr>
            <w:tcW w:w="1200" w:type="dxa"/>
            <w:tcBorders>
              <w:top w:val="single" w:color="auto" w:sz="6" w:space="0"/>
              <w:left w:val="single" w:color="auto" w:sz="6" w:space="0"/>
              <w:bottom w:val="single" w:color="auto" w:sz="6" w:space="0"/>
              <w:right w:val="single" w:color="auto" w:sz="6" w:space="0"/>
            </w:tcBorders>
            <w:noWrap/>
            <w:vAlign w:val="center"/>
          </w:tcPr>
          <w:p w14:paraId="736E4B54">
            <w:pPr>
              <w:pStyle w:val="55"/>
              <w:jc w:val="center"/>
              <w:rPr>
                <w:rFonts w:ascii="宋体" w:hAnsi="宋体" w:cs="宋体"/>
                <w:szCs w:val="21"/>
              </w:rPr>
            </w:pPr>
          </w:p>
        </w:tc>
        <w:tc>
          <w:tcPr>
            <w:tcW w:w="1464" w:type="dxa"/>
            <w:tcBorders>
              <w:top w:val="single" w:color="auto" w:sz="6" w:space="0"/>
              <w:left w:val="single" w:color="auto" w:sz="6" w:space="0"/>
              <w:bottom w:val="single" w:color="auto" w:sz="6" w:space="0"/>
              <w:right w:val="single" w:color="auto" w:sz="6" w:space="0"/>
            </w:tcBorders>
            <w:noWrap/>
            <w:vAlign w:val="center"/>
          </w:tcPr>
          <w:p w14:paraId="030B936C">
            <w:pPr>
              <w:pStyle w:val="55"/>
              <w:jc w:val="center"/>
              <w:rPr>
                <w:rFonts w:ascii="宋体" w:hAnsi="宋体" w:cs="宋体"/>
                <w:szCs w:val="21"/>
              </w:rPr>
            </w:pPr>
          </w:p>
        </w:tc>
        <w:tc>
          <w:tcPr>
            <w:tcW w:w="1260" w:type="dxa"/>
            <w:tcBorders>
              <w:top w:val="single" w:color="auto" w:sz="6" w:space="0"/>
              <w:left w:val="single" w:color="auto" w:sz="6" w:space="0"/>
              <w:bottom w:val="single" w:color="auto" w:sz="6" w:space="0"/>
              <w:right w:val="single" w:color="auto" w:sz="6" w:space="0"/>
            </w:tcBorders>
            <w:noWrap/>
            <w:vAlign w:val="center"/>
          </w:tcPr>
          <w:p w14:paraId="2841746C">
            <w:pPr>
              <w:pStyle w:val="55"/>
              <w:jc w:val="center"/>
              <w:rPr>
                <w:rFonts w:ascii="宋体" w:hAnsi="宋体" w:cs="宋体"/>
                <w:szCs w:val="21"/>
              </w:rPr>
            </w:pPr>
          </w:p>
        </w:tc>
        <w:tc>
          <w:tcPr>
            <w:tcW w:w="1452" w:type="dxa"/>
            <w:tcBorders>
              <w:top w:val="single" w:color="auto" w:sz="6" w:space="0"/>
              <w:left w:val="single" w:color="auto" w:sz="6" w:space="0"/>
              <w:bottom w:val="single" w:color="auto" w:sz="6" w:space="0"/>
              <w:right w:val="single" w:color="auto" w:sz="6" w:space="0"/>
            </w:tcBorders>
            <w:noWrap/>
            <w:vAlign w:val="center"/>
          </w:tcPr>
          <w:p w14:paraId="5D9861DB">
            <w:pPr>
              <w:pStyle w:val="55"/>
              <w:jc w:val="center"/>
              <w:rPr>
                <w:rFonts w:ascii="宋体" w:hAnsi="宋体" w:cs="宋体"/>
                <w:szCs w:val="21"/>
              </w:rPr>
            </w:pPr>
          </w:p>
        </w:tc>
        <w:tc>
          <w:tcPr>
            <w:tcW w:w="1383" w:type="dxa"/>
            <w:tcBorders>
              <w:top w:val="single" w:color="auto" w:sz="6" w:space="0"/>
              <w:left w:val="single" w:color="auto" w:sz="6" w:space="0"/>
              <w:bottom w:val="single" w:color="auto" w:sz="6" w:space="0"/>
              <w:right w:val="single" w:color="auto" w:sz="6" w:space="0"/>
            </w:tcBorders>
            <w:noWrap/>
            <w:vAlign w:val="center"/>
          </w:tcPr>
          <w:p w14:paraId="38E3F9B8">
            <w:pPr>
              <w:pStyle w:val="55"/>
              <w:jc w:val="center"/>
              <w:rPr>
                <w:rFonts w:ascii="宋体" w:hAnsi="宋体" w:cs="宋体"/>
                <w:szCs w:val="21"/>
              </w:rPr>
            </w:pPr>
          </w:p>
        </w:tc>
        <w:tc>
          <w:tcPr>
            <w:tcW w:w="2037" w:type="dxa"/>
            <w:tcBorders>
              <w:top w:val="single" w:color="auto" w:sz="6" w:space="0"/>
              <w:left w:val="single" w:color="auto" w:sz="6" w:space="0"/>
              <w:bottom w:val="single" w:color="auto" w:sz="6" w:space="0"/>
              <w:right w:val="single" w:color="auto" w:sz="6" w:space="0"/>
            </w:tcBorders>
            <w:noWrap/>
            <w:vAlign w:val="center"/>
          </w:tcPr>
          <w:p w14:paraId="1E3AE694">
            <w:pPr>
              <w:pStyle w:val="55"/>
              <w:jc w:val="center"/>
              <w:rPr>
                <w:rFonts w:ascii="宋体" w:hAnsi="宋体" w:cs="宋体"/>
                <w:szCs w:val="21"/>
              </w:rPr>
            </w:pPr>
          </w:p>
        </w:tc>
      </w:tr>
      <w:tr w14:paraId="6ED78A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744" w:type="dxa"/>
            <w:tcBorders>
              <w:top w:val="single" w:color="auto" w:sz="6" w:space="0"/>
              <w:left w:val="single" w:color="auto" w:sz="6" w:space="0"/>
              <w:bottom w:val="single" w:color="auto" w:sz="6" w:space="0"/>
              <w:right w:val="single" w:color="auto" w:sz="6" w:space="0"/>
            </w:tcBorders>
            <w:noWrap/>
            <w:vAlign w:val="center"/>
          </w:tcPr>
          <w:p w14:paraId="3EA95A51">
            <w:pPr>
              <w:pStyle w:val="55"/>
              <w:jc w:val="center"/>
              <w:rPr>
                <w:rFonts w:ascii="宋体" w:hAnsi="宋体" w:cs="宋体"/>
                <w:szCs w:val="21"/>
              </w:rPr>
            </w:pPr>
            <w:r>
              <w:rPr>
                <w:rFonts w:hint="eastAsia" w:ascii="宋体" w:hAnsi="宋体" w:cs="宋体"/>
                <w:szCs w:val="21"/>
              </w:rPr>
              <w:t>…</w:t>
            </w:r>
          </w:p>
        </w:tc>
        <w:tc>
          <w:tcPr>
            <w:tcW w:w="1200" w:type="dxa"/>
            <w:tcBorders>
              <w:top w:val="single" w:color="auto" w:sz="6" w:space="0"/>
              <w:left w:val="single" w:color="auto" w:sz="6" w:space="0"/>
              <w:bottom w:val="single" w:color="auto" w:sz="6" w:space="0"/>
              <w:right w:val="single" w:color="auto" w:sz="6" w:space="0"/>
            </w:tcBorders>
            <w:noWrap/>
            <w:vAlign w:val="center"/>
          </w:tcPr>
          <w:p w14:paraId="7F6FDFBF">
            <w:pPr>
              <w:pStyle w:val="55"/>
              <w:jc w:val="center"/>
              <w:rPr>
                <w:rFonts w:ascii="宋体" w:hAnsi="宋体" w:cs="宋体"/>
                <w:szCs w:val="21"/>
              </w:rPr>
            </w:pPr>
          </w:p>
        </w:tc>
        <w:tc>
          <w:tcPr>
            <w:tcW w:w="1464" w:type="dxa"/>
            <w:tcBorders>
              <w:top w:val="single" w:color="auto" w:sz="6" w:space="0"/>
              <w:left w:val="single" w:color="auto" w:sz="6" w:space="0"/>
              <w:bottom w:val="single" w:color="auto" w:sz="6" w:space="0"/>
              <w:right w:val="single" w:color="auto" w:sz="6" w:space="0"/>
            </w:tcBorders>
            <w:noWrap/>
            <w:vAlign w:val="center"/>
          </w:tcPr>
          <w:p w14:paraId="7D4CFB98">
            <w:pPr>
              <w:pStyle w:val="55"/>
              <w:jc w:val="center"/>
              <w:rPr>
                <w:rFonts w:ascii="宋体" w:hAnsi="宋体" w:cs="宋体"/>
                <w:szCs w:val="21"/>
              </w:rPr>
            </w:pPr>
          </w:p>
        </w:tc>
        <w:tc>
          <w:tcPr>
            <w:tcW w:w="1260" w:type="dxa"/>
            <w:tcBorders>
              <w:top w:val="single" w:color="auto" w:sz="6" w:space="0"/>
              <w:left w:val="single" w:color="auto" w:sz="6" w:space="0"/>
              <w:bottom w:val="single" w:color="auto" w:sz="6" w:space="0"/>
              <w:right w:val="single" w:color="auto" w:sz="6" w:space="0"/>
            </w:tcBorders>
            <w:noWrap/>
            <w:vAlign w:val="center"/>
          </w:tcPr>
          <w:p w14:paraId="04A98CD3">
            <w:pPr>
              <w:pStyle w:val="55"/>
              <w:jc w:val="center"/>
              <w:rPr>
                <w:rFonts w:ascii="宋体" w:hAnsi="宋体" w:cs="宋体"/>
                <w:szCs w:val="21"/>
              </w:rPr>
            </w:pPr>
          </w:p>
        </w:tc>
        <w:tc>
          <w:tcPr>
            <w:tcW w:w="1452" w:type="dxa"/>
            <w:tcBorders>
              <w:top w:val="single" w:color="auto" w:sz="6" w:space="0"/>
              <w:left w:val="single" w:color="auto" w:sz="6" w:space="0"/>
              <w:bottom w:val="single" w:color="auto" w:sz="6" w:space="0"/>
              <w:right w:val="single" w:color="auto" w:sz="6" w:space="0"/>
            </w:tcBorders>
            <w:noWrap/>
            <w:vAlign w:val="center"/>
          </w:tcPr>
          <w:p w14:paraId="46664F6C">
            <w:pPr>
              <w:pStyle w:val="55"/>
              <w:jc w:val="center"/>
              <w:rPr>
                <w:rFonts w:ascii="宋体" w:hAnsi="宋体" w:cs="宋体"/>
                <w:szCs w:val="21"/>
              </w:rPr>
            </w:pPr>
          </w:p>
        </w:tc>
        <w:tc>
          <w:tcPr>
            <w:tcW w:w="1383" w:type="dxa"/>
            <w:tcBorders>
              <w:top w:val="single" w:color="auto" w:sz="6" w:space="0"/>
              <w:left w:val="single" w:color="auto" w:sz="6" w:space="0"/>
              <w:bottom w:val="single" w:color="auto" w:sz="6" w:space="0"/>
              <w:right w:val="single" w:color="auto" w:sz="6" w:space="0"/>
            </w:tcBorders>
            <w:noWrap/>
            <w:vAlign w:val="center"/>
          </w:tcPr>
          <w:p w14:paraId="582A5EA2">
            <w:pPr>
              <w:pStyle w:val="55"/>
              <w:jc w:val="center"/>
              <w:rPr>
                <w:rFonts w:ascii="宋体" w:hAnsi="宋体" w:cs="宋体"/>
                <w:szCs w:val="21"/>
              </w:rPr>
            </w:pPr>
          </w:p>
        </w:tc>
        <w:tc>
          <w:tcPr>
            <w:tcW w:w="2037" w:type="dxa"/>
            <w:tcBorders>
              <w:top w:val="single" w:color="auto" w:sz="6" w:space="0"/>
              <w:left w:val="single" w:color="auto" w:sz="6" w:space="0"/>
              <w:bottom w:val="single" w:color="auto" w:sz="6" w:space="0"/>
              <w:right w:val="single" w:color="auto" w:sz="6" w:space="0"/>
            </w:tcBorders>
            <w:noWrap/>
            <w:vAlign w:val="center"/>
          </w:tcPr>
          <w:p w14:paraId="1A5ECEB8">
            <w:pPr>
              <w:pStyle w:val="55"/>
              <w:jc w:val="center"/>
              <w:rPr>
                <w:rFonts w:ascii="宋体" w:hAnsi="宋体" w:cs="宋体"/>
                <w:szCs w:val="21"/>
              </w:rPr>
            </w:pPr>
          </w:p>
        </w:tc>
      </w:tr>
    </w:tbl>
    <w:p w14:paraId="14810FBD">
      <w:pPr>
        <w:spacing w:line="120" w:lineRule="exact"/>
        <w:rPr>
          <w:rFonts w:ascii="宋体" w:hAnsi="宋体" w:eastAsia="宋体" w:cs="宋体"/>
          <w:bCs/>
          <w:kern w:val="0"/>
          <w:sz w:val="21"/>
          <w:szCs w:val="21"/>
        </w:rPr>
      </w:pPr>
    </w:p>
    <w:p w14:paraId="0CE79B9F">
      <w:pPr>
        <w:spacing w:line="360" w:lineRule="auto"/>
        <w:ind w:firstLine="422" w:firstLineChars="200"/>
        <w:rPr>
          <w:rFonts w:ascii="宋体" w:hAnsi="宋体" w:eastAsia="宋体" w:cs="宋体"/>
          <w:b/>
          <w:kern w:val="0"/>
          <w:sz w:val="21"/>
          <w:szCs w:val="21"/>
        </w:rPr>
      </w:pPr>
      <w:r>
        <w:rPr>
          <w:rFonts w:hint="eastAsia" w:ascii="宋体" w:hAnsi="宋体" w:eastAsia="宋体" w:cs="宋体"/>
          <w:b/>
          <w:kern w:val="0"/>
          <w:sz w:val="21"/>
          <w:szCs w:val="21"/>
        </w:rPr>
        <w:t>注：1、表中业绩参照“第四部分评标办法及评分标准”中要求提供，并附上每个业绩相关材料；</w:t>
      </w:r>
    </w:p>
    <w:p w14:paraId="01550A88">
      <w:pPr>
        <w:spacing w:line="360" w:lineRule="auto"/>
        <w:ind w:firstLine="422" w:firstLineChars="200"/>
        <w:rPr>
          <w:rFonts w:ascii="宋体" w:hAnsi="宋体" w:eastAsia="宋体" w:cs="宋体"/>
          <w:b/>
          <w:kern w:val="0"/>
          <w:sz w:val="21"/>
          <w:szCs w:val="21"/>
        </w:rPr>
      </w:pPr>
      <w:r>
        <w:rPr>
          <w:rFonts w:hint="eastAsia" w:ascii="宋体" w:hAnsi="宋体" w:eastAsia="宋体" w:cs="宋体"/>
          <w:b/>
          <w:kern w:val="0"/>
          <w:sz w:val="21"/>
          <w:szCs w:val="21"/>
        </w:rPr>
        <w:t>2、供应商承诺提供的上述业绩相关材料真实不假，否则作为磋商响应文件提供虚假材料，按照采购文件相关条款处理，承担一切责任。</w:t>
      </w:r>
    </w:p>
    <w:p w14:paraId="3E36B077">
      <w:pPr>
        <w:spacing w:line="360" w:lineRule="auto"/>
        <w:rPr>
          <w:rFonts w:ascii="宋体" w:hAnsi="宋体" w:eastAsia="宋体" w:cs="宋体"/>
          <w:sz w:val="21"/>
          <w:szCs w:val="21"/>
        </w:rPr>
      </w:pPr>
    </w:p>
    <w:p w14:paraId="1E4617A5">
      <w:pPr>
        <w:spacing w:line="360" w:lineRule="auto"/>
        <w:rPr>
          <w:rFonts w:ascii="宋体" w:hAnsi="宋体" w:eastAsia="宋体" w:cs="宋体"/>
          <w:sz w:val="21"/>
          <w:szCs w:val="21"/>
        </w:rPr>
      </w:pPr>
    </w:p>
    <w:p w14:paraId="151E2DF8">
      <w:pPr>
        <w:wordWrap w:val="0"/>
        <w:spacing w:line="360" w:lineRule="auto"/>
        <w:jc w:val="right"/>
        <w:rPr>
          <w:rFonts w:ascii="宋体" w:hAnsi="宋体" w:eastAsia="宋体" w:cs="宋体"/>
          <w:sz w:val="21"/>
          <w:szCs w:val="21"/>
        </w:rPr>
      </w:pPr>
      <w:r>
        <w:rPr>
          <w:rFonts w:hint="eastAsia" w:ascii="宋体" w:hAnsi="宋体" w:eastAsia="宋体" w:cs="宋体"/>
          <w:sz w:val="21"/>
          <w:szCs w:val="21"/>
        </w:rPr>
        <w:t>磋商人</w:t>
      </w:r>
      <w:r>
        <w:rPr>
          <w:rFonts w:hint="eastAsia" w:ascii="宋体" w:hAnsi="宋体" w:eastAsia="宋体" w:cs="宋体"/>
          <w:sz w:val="21"/>
          <w:szCs w:val="21"/>
          <w:lang w:val="zh-CN"/>
        </w:rPr>
        <w:t>（盖单位章）：</w:t>
      </w:r>
    </w:p>
    <w:p w14:paraId="2382C8B9">
      <w:pPr>
        <w:spacing w:line="360" w:lineRule="auto"/>
        <w:jc w:val="right"/>
        <w:rPr>
          <w:rFonts w:ascii="宋体" w:hAnsi="宋体" w:eastAsia="宋体" w:cs="宋体"/>
          <w:sz w:val="21"/>
          <w:szCs w:val="21"/>
          <w:lang w:val="zh-CN"/>
        </w:rPr>
      </w:pPr>
    </w:p>
    <w:p w14:paraId="1CD292DA">
      <w:pPr>
        <w:spacing w:line="360" w:lineRule="auto"/>
        <w:jc w:val="right"/>
        <w:rPr>
          <w:rFonts w:ascii="宋体" w:hAnsi="宋体" w:eastAsia="宋体" w:cs="宋体"/>
          <w:b/>
          <w:sz w:val="21"/>
          <w:szCs w:val="21"/>
        </w:rPr>
      </w:pPr>
      <w:r>
        <w:rPr>
          <w:rFonts w:hint="eastAsia" w:ascii="宋体" w:hAnsi="宋体" w:eastAsia="宋体" w:cs="宋体"/>
          <w:sz w:val="21"/>
          <w:szCs w:val="21"/>
          <w:lang w:val="zh-CN"/>
        </w:rPr>
        <w:t>日期：</w:t>
      </w:r>
      <w:r>
        <w:rPr>
          <w:rFonts w:hint="eastAsia" w:ascii="宋体" w:hAnsi="宋体" w:eastAsia="宋体" w:cs="宋体"/>
          <w:sz w:val="21"/>
          <w:szCs w:val="21"/>
        </w:rPr>
        <w:t>年月日</w:t>
      </w:r>
    </w:p>
    <w:p w14:paraId="7C3B803A">
      <w:pPr>
        <w:rPr>
          <w:rFonts w:ascii="宋体" w:hAnsi="宋体" w:eastAsia="宋体" w:cs="宋体"/>
          <w:b/>
          <w:sz w:val="24"/>
        </w:rPr>
      </w:pPr>
    </w:p>
    <w:p w14:paraId="014957B6">
      <w:pPr>
        <w:rPr>
          <w:rFonts w:ascii="宋体" w:hAnsi="宋体" w:eastAsia="宋体" w:cs="宋体"/>
          <w:b/>
          <w:bCs/>
          <w:sz w:val="24"/>
        </w:rPr>
      </w:pPr>
      <w:r>
        <w:rPr>
          <w:rFonts w:hint="eastAsia" w:ascii="宋体" w:hAnsi="宋体" w:eastAsia="宋体" w:cs="宋体"/>
          <w:b/>
          <w:bCs/>
          <w:sz w:val="24"/>
        </w:rPr>
        <w:br w:type="page"/>
      </w:r>
      <w:r>
        <w:rPr>
          <w:rFonts w:hint="eastAsia" w:ascii="宋体" w:hAnsi="宋体" w:eastAsia="宋体" w:cs="宋体"/>
          <w:b/>
          <w:bCs/>
          <w:sz w:val="24"/>
        </w:rPr>
        <w:t>附件九：</w:t>
      </w:r>
    </w:p>
    <w:p w14:paraId="2C10AC56">
      <w:pPr>
        <w:pStyle w:val="15"/>
        <w:adjustRightInd w:val="0"/>
        <w:snapToGrid w:val="0"/>
        <w:spacing w:before="156" w:after="156"/>
        <w:jc w:val="center"/>
        <w:rPr>
          <w:rFonts w:hAnsi="宋体" w:eastAsia="宋体" w:cs="宋体"/>
          <w:b/>
          <w:bCs/>
          <w:sz w:val="28"/>
          <w:szCs w:val="28"/>
        </w:rPr>
      </w:pPr>
      <w:bookmarkStart w:id="525" w:name="_Toc18370_WPSOffice_Level2"/>
      <w:bookmarkStart w:id="526" w:name="_Toc28183_WPSOffice_Level2"/>
      <w:bookmarkStart w:id="527" w:name="_Toc11913"/>
      <w:bookmarkStart w:id="528" w:name="_Toc2242_WPSOffice_Level2"/>
      <w:r>
        <w:rPr>
          <w:rFonts w:hint="eastAsia" w:hAnsi="宋体" w:eastAsia="宋体" w:cs="宋体"/>
          <w:b/>
          <w:bCs/>
          <w:sz w:val="28"/>
          <w:szCs w:val="28"/>
        </w:rPr>
        <w:t>项目经理简历表</w:t>
      </w:r>
    </w:p>
    <w:tbl>
      <w:tblPr>
        <w:tblStyle w:val="29"/>
        <w:tblW w:w="8903" w:type="dxa"/>
        <w:tblInd w:w="108" w:type="dxa"/>
        <w:tblLayout w:type="fixed"/>
        <w:tblCellMar>
          <w:top w:w="0" w:type="dxa"/>
          <w:left w:w="108" w:type="dxa"/>
          <w:bottom w:w="0" w:type="dxa"/>
          <w:right w:w="108" w:type="dxa"/>
        </w:tblCellMar>
      </w:tblPr>
      <w:tblGrid>
        <w:gridCol w:w="1089"/>
        <w:gridCol w:w="279"/>
        <w:gridCol w:w="664"/>
        <w:gridCol w:w="894"/>
        <w:gridCol w:w="1089"/>
        <w:gridCol w:w="1116"/>
        <w:gridCol w:w="933"/>
        <w:gridCol w:w="972"/>
        <w:gridCol w:w="1867"/>
      </w:tblGrid>
      <w:tr w14:paraId="02802942">
        <w:tblPrEx>
          <w:tblCellMar>
            <w:top w:w="0" w:type="dxa"/>
            <w:left w:w="108" w:type="dxa"/>
            <w:bottom w:w="0" w:type="dxa"/>
            <w:right w:w="108" w:type="dxa"/>
          </w:tblCellMar>
        </w:tblPrEx>
        <w:trPr>
          <w:trHeight w:val="475" w:hRule="atLeast"/>
        </w:trPr>
        <w:tc>
          <w:tcPr>
            <w:tcW w:w="10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3AF7B1">
            <w:pPr>
              <w:widowControl/>
              <w:jc w:val="center"/>
              <w:rPr>
                <w:rFonts w:ascii="宋体" w:hAnsi="宋体" w:eastAsia="宋体" w:cs="宋体"/>
                <w:kern w:val="0"/>
                <w:sz w:val="24"/>
              </w:rPr>
            </w:pPr>
            <w:r>
              <w:rPr>
                <w:rFonts w:hint="eastAsia" w:ascii="宋体" w:hAnsi="宋体" w:eastAsia="宋体" w:cs="宋体"/>
                <w:kern w:val="0"/>
                <w:sz w:val="24"/>
              </w:rPr>
              <w:t>姓名</w:t>
            </w:r>
          </w:p>
        </w:tc>
        <w:tc>
          <w:tcPr>
            <w:tcW w:w="943" w:type="dxa"/>
            <w:gridSpan w:val="2"/>
            <w:tcBorders>
              <w:top w:val="single" w:color="000000" w:sz="4" w:space="0"/>
              <w:left w:val="nil"/>
              <w:bottom w:val="single" w:color="000000" w:sz="4" w:space="0"/>
              <w:right w:val="single" w:color="000000" w:sz="4" w:space="0"/>
            </w:tcBorders>
            <w:shd w:val="clear" w:color="auto" w:fill="FFFFFF"/>
            <w:noWrap/>
            <w:vAlign w:val="center"/>
          </w:tcPr>
          <w:p w14:paraId="339656D2">
            <w:pPr>
              <w:widowControl/>
              <w:jc w:val="center"/>
              <w:rPr>
                <w:rFonts w:ascii="宋体" w:hAnsi="宋体" w:eastAsia="宋体" w:cs="宋体"/>
                <w:kern w:val="0"/>
                <w:sz w:val="24"/>
              </w:rPr>
            </w:pPr>
            <w:r>
              <w:rPr>
                <w:rFonts w:hint="eastAsia" w:ascii="宋体" w:hAnsi="宋体" w:eastAsia="宋体" w:cs="宋体"/>
                <w:kern w:val="0"/>
                <w:sz w:val="24"/>
              </w:rPr>
              <w:t>　</w:t>
            </w:r>
          </w:p>
        </w:tc>
        <w:tc>
          <w:tcPr>
            <w:tcW w:w="894" w:type="dxa"/>
            <w:tcBorders>
              <w:top w:val="single" w:color="000000" w:sz="4" w:space="0"/>
              <w:left w:val="nil"/>
              <w:bottom w:val="single" w:color="000000" w:sz="4" w:space="0"/>
              <w:right w:val="single" w:color="000000" w:sz="4" w:space="0"/>
            </w:tcBorders>
            <w:shd w:val="clear" w:color="auto" w:fill="FFFFFF"/>
            <w:noWrap/>
            <w:vAlign w:val="center"/>
          </w:tcPr>
          <w:p w14:paraId="73094C39">
            <w:pPr>
              <w:widowControl/>
              <w:jc w:val="center"/>
              <w:rPr>
                <w:rFonts w:ascii="宋体" w:hAnsi="宋体" w:eastAsia="宋体" w:cs="宋体"/>
                <w:kern w:val="0"/>
                <w:sz w:val="24"/>
              </w:rPr>
            </w:pPr>
            <w:r>
              <w:rPr>
                <w:rFonts w:hint="eastAsia" w:ascii="宋体" w:hAnsi="宋体" w:eastAsia="宋体" w:cs="宋体"/>
                <w:kern w:val="0"/>
                <w:sz w:val="24"/>
              </w:rPr>
              <w:t>性别</w:t>
            </w:r>
          </w:p>
        </w:tc>
        <w:tc>
          <w:tcPr>
            <w:tcW w:w="1089" w:type="dxa"/>
            <w:tcBorders>
              <w:top w:val="single" w:color="000000" w:sz="4" w:space="0"/>
              <w:left w:val="nil"/>
              <w:bottom w:val="single" w:color="000000" w:sz="4" w:space="0"/>
              <w:right w:val="single" w:color="000000" w:sz="4" w:space="0"/>
            </w:tcBorders>
            <w:shd w:val="clear" w:color="auto" w:fill="FFFFFF"/>
            <w:noWrap/>
            <w:vAlign w:val="center"/>
          </w:tcPr>
          <w:p w14:paraId="5A859D91">
            <w:pPr>
              <w:widowControl/>
              <w:jc w:val="center"/>
              <w:rPr>
                <w:rFonts w:ascii="宋体" w:hAnsi="宋体" w:eastAsia="宋体" w:cs="宋体"/>
                <w:kern w:val="0"/>
                <w:sz w:val="24"/>
              </w:rPr>
            </w:pPr>
            <w:r>
              <w:rPr>
                <w:rFonts w:hint="eastAsia" w:ascii="宋体" w:hAnsi="宋体" w:eastAsia="宋体" w:cs="宋体"/>
                <w:kern w:val="0"/>
                <w:sz w:val="24"/>
              </w:rPr>
              <w:t>　</w:t>
            </w:r>
          </w:p>
        </w:tc>
        <w:tc>
          <w:tcPr>
            <w:tcW w:w="1116" w:type="dxa"/>
            <w:tcBorders>
              <w:top w:val="single" w:color="000000" w:sz="4" w:space="0"/>
              <w:left w:val="nil"/>
              <w:bottom w:val="single" w:color="000000" w:sz="4" w:space="0"/>
              <w:right w:val="single" w:color="000000" w:sz="4" w:space="0"/>
            </w:tcBorders>
            <w:shd w:val="clear" w:color="auto" w:fill="FFFFFF"/>
            <w:noWrap/>
            <w:vAlign w:val="center"/>
          </w:tcPr>
          <w:p w14:paraId="1406065D">
            <w:pPr>
              <w:widowControl/>
              <w:jc w:val="center"/>
              <w:rPr>
                <w:rFonts w:ascii="宋体" w:hAnsi="宋体" w:eastAsia="宋体" w:cs="宋体"/>
                <w:kern w:val="0"/>
                <w:sz w:val="24"/>
              </w:rPr>
            </w:pPr>
            <w:r>
              <w:rPr>
                <w:rFonts w:hint="eastAsia" w:ascii="宋体" w:hAnsi="宋体" w:eastAsia="宋体" w:cs="宋体"/>
                <w:kern w:val="0"/>
                <w:sz w:val="24"/>
              </w:rPr>
              <w:t>年龄</w:t>
            </w:r>
          </w:p>
        </w:tc>
        <w:tc>
          <w:tcPr>
            <w:tcW w:w="933" w:type="dxa"/>
            <w:tcBorders>
              <w:top w:val="single" w:color="000000" w:sz="4" w:space="0"/>
              <w:left w:val="nil"/>
              <w:bottom w:val="single" w:color="000000" w:sz="4" w:space="0"/>
              <w:right w:val="single" w:color="000000" w:sz="4" w:space="0"/>
            </w:tcBorders>
            <w:shd w:val="clear" w:color="auto" w:fill="FFFFFF"/>
            <w:noWrap/>
            <w:vAlign w:val="center"/>
          </w:tcPr>
          <w:p w14:paraId="2ED95CD2">
            <w:pPr>
              <w:widowControl/>
              <w:jc w:val="center"/>
              <w:rPr>
                <w:rFonts w:ascii="宋体" w:hAnsi="宋体" w:eastAsia="宋体" w:cs="宋体"/>
                <w:kern w:val="0"/>
                <w:sz w:val="24"/>
              </w:rPr>
            </w:pPr>
            <w:r>
              <w:rPr>
                <w:rFonts w:hint="eastAsia" w:ascii="宋体" w:hAnsi="宋体" w:eastAsia="宋体" w:cs="宋体"/>
                <w:kern w:val="0"/>
                <w:sz w:val="24"/>
              </w:rPr>
              <w:t>　</w:t>
            </w:r>
          </w:p>
        </w:tc>
        <w:tc>
          <w:tcPr>
            <w:tcW w:w="972" w:type="dxa"/>
            <w:tcBorders>
              <w:top w:val="single" w:color="000000" w:sz="4" w:space="0"/>
              <w:left w:val="nil"/>
              <w:bottom w:val="single" w:color="000000" w:sz="4" w:space="0"/>
              <w:right w:val="single" w:color="000000" w:sz="4" w:space="0"/>
            </w:tcBorders>
            <w:shd w:val="clear" w:color="auto" w:fill="FFFFFF"/>
            <w:noWrap/>
            <w:vAlign w:val="center"/>
          </w:tcPr>
          <w:p w14:paraId="502A882A">
            <w:pPr>
              <w:widowControl/>
              <w:jc w:val="center"/>
              <w:rPr>
                <w:rFonts w:ascii="宋体" w:hAnsi="宋体" w:eastAsia="宋体" w:cs="宋体"/>
                <w:kern w:val="0"/>
                <w:sz w:val="24"/>
              </w:rPr>
            </w:pPr>
            <w:r>
              <w:rPr>
                <w:rFonts w:hint="eastAsia" w:ascii="宋体" w:hAnsi="宋体" w:eastAsia="宋体" w:cs="宋体"/>
                <w:kern w:val="0"/>
                <w:sz w:val="24"/>
              </w:rPr>
              <w:t>专业</w:t>
            </w:r>
          </w:p>
        </w:tc>
        <w:tc>
          <w:tcPr>
            <w:tcW w:w="1867" w:type="dxa"/>
            <w:tcBorders>
              <w:top w:val="single" w:color="000000" w:sz="4" w:space="0"/>
              <w:left w:val="nil"/>
              <w:bottom w:val="single" w:color="000000" w:sz="4" w:space="0"/>
              <w:right w:val="single" w:color="000000" w:sz="4" w:space="0"/>
            </w:tcBorders>
            <w:shd w:val="clear" w:color="auto" w:fill="FFFFFF"/>
            <w:noWrap/>
            <w:vAlign w:val="center"/>
          </w:tcPr>
          <w:p w14:paraId="6D1AD7B9">
            <w:pPr>
              <w:widowControl/>
              <w:jc w:val="center"/>
              <w:rPr>
                <w:rFonts w:ascii="宋体" w:hAnsi="宋体" w:eastAsia="宋体" w:cs="宋体"/>
                <w:kern w:val="0"/>
                <w:sz w:val="24"/>
              </w:rPr>
            </w:pPr>
            <w:r>
              <w:rPr>
                <w:rFonts w:hint="eastAsia" w:ascii="宋体" w:hAnsi="宋体" w:eastAsia="宋体" w:cs="宋体"/>
                <w:kern w:val="0"/>
                <w:sz w:val="24"/>
              </w:rPr>
              <w:t>　</w:t>
            </w:r>
          </w:p>
        </w:tc>
      </w:tr>
      <w:tr w14:paraId="3FE4040F">
        <w:tblPrEx>
          <w:tblCellMar>
            <w:top w:w="0" w:type="dxa"/>
            <w:left w:w="108" w:type="dxa"/>
            <w:bottom w:w="0" w:type="dxa"/>
            <w:right w:w="108" w:type="dxa"/>
          </w:tblCellMar>
        </w:tblPrEx>
        <w:trPr>
          <w:trHeight w:val="489"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9BC380">
            <w:pPr>
              <w:widowControl/>
              <w:jc w:val="center"/>
              <w:rPr>
                <w:rFonts w:ascii="宋体" w:hAnsi="宋体" w:eastAsia="宋体" w:cs="宋体"/>
                <w:kern w:val="0"/>
                <w:sz w:val="24"/>
              </w:rPr>
            </w:pPr>
            <w:r>
              <w:rPr>
                <w:rFonts w:hint="eastAsia" w:ascii="宋体" w:hAnsi="宋体" w:eastAsia="宋体" w:cs="宋体"/>
                <w:kern w:val="0"/>
                <w:sz w:val="24"/>
              </w:rPr>
              <w:t>资质等级</w:t>
            </w:r>
          </w:p>
        </w:tc>
        <w:tc>
          <w:tcPr>
            <w:tcW w:w="1558" w:type="dxa"/>
            <w:gridSpan w:val="2"/>
            <w:tcBorders>
              <w:top w:val="single" w:color="000000" w:sz="4" w:space="0"/>
              <w:left w:val="nil"/>
              <w:bottom w:val="single" w:color="000000" w:sz="4" w:space="0"/>
              <w:right w:val="single" w:color="000000" w:sz="4" w:space="0"/>
            </w:tcBorders>
            <w:shd w:val="clear" w:color="auto" w:fill="FFFFFF"/>
            <w:noWrap/>
            <w:vAlign w:val="center"/>
          </w:tcPr>
          <w:p w14:paraId="144BA4F8">
            <w:pPr>
              <w:widowControl/>
              <w:jc w:val="center"/>
              <w:rPr>
                <w:rFonts w:ascii="宋体" w:hAnsi="宋体" w:eastAsia="宋体" w:cs="宋体"/>
                <w:kern w:val="0"/>
                <w:sz w:val="24"/>
              </w:rPr>
            </w:pPr>
            <w:r>
              <w:rPr>
                <w:rFonts w:hint="eastAsia" w:ascii="宋体" w:hAnsi="宋体" w:eastAsia="宋体" w:cs="宋体"/>
                <w:kern w:val="0"/>
                <w:sz w:val="24"/>
              </w:rPr>
              <w:t>　</w:t>
            </w:r>
          </w:p>
        </w:tc>
        <w:tc>
          <w:tcPr>
            <w:tcW w:w="1089" w:type="dxa"/>
            <w:tcBorders>
              <w:top w:val="nil"/>
              <w:left w:val="nil"/>
              <w:bottom w:val="single" w:color="000000" w:sz="4" w:space="0"/>
              <w:right w:val="single" w:color="000000" w:sz="4" w:space="0"/>
            </w:tcBorders>
            <w:shd w:val="clear" w:color="auto" w:fill="FFFFFF"/>
            <w:noWrap/>
            <w:vAlign w:val="center"/>
          </w:tcPr>
          <w:p w14:paraId="7A105448">
            <w:pPr>
              <w:widowControl/>
              <w:jc w:val="center"/>
              <w:rPr>
                <w:rFonts w:ascii="宋体" w:hAnsi="宋体" w:eastAsia="宋体" w:cs="宋体"/>
                <w:kern w:val="0"/>
                <w:sz w:val="24"/>
              </w:rPr>
            </w:pPr>
            <w:r>
              <w:rPr>
                <w:rFonts w:hint="eastAsia" w:ascii="宋体" w:hAnsi="宋体" w:eastAsia="宋体" w:cs="宋体"/>
                <w:kern w:val="0"/>
                <w:sz w:val="24"/>
              </w:rPr>
              <w:t>职称</w:t>
            </w:r>
          </w:p>
        </w:tc>
        <w:tc>
          <w:tcPr>
            <w:tcW w:w="2049" w:type="dxa"/>
            <w:gridSpan w:val="2"/>
            <w:tcBorders>
              <w:top w:val="single" w:color="000000" w:sz="4" w:space="0"/>
              <w:left w:val="nil"/>
              <w:bottom w:val="single" w:color="000000" w:sz="4" w:space="0"/>
              <w:right w:val="single" w:color="000000" w:sz="4" w:space="0"/>
            </w:tcBorders>
            <w:shd w:val="clear" w:color="auto" w:fill="FFFFFF"/>
            <w:noWrap/>
            <w:vAlign w:val="center"/>
          </w:tcPr>
          <w:p w14:paraId="04C55F57">
            <w:pPr>
              <w:widowControl/>
              <w:jc w:val="center"/>
              <w:rPr>
                <w:rFonts w:ascii="宋体" w:hAnsi="宋体" w:eastAsia="宋体" w:cs="宋体"/>
                <w:kern w:val="0"/>
                <w:sz w:val="24"/>
              </w:rPr>
            </w:pPr>
            <w:r>
              <w:rPr>
                <w:rFonts w:hint="eastAsia" w:ascii="宋体" w:hAnsi="宋体" w:eastAsia="宋体" w:cs="宋体"/>
                <w:kern w:val="0"/>
                <w:sz w:val="24"/>
              </w:rPr>
              <w:t>　</w:t>
            </w:r>
          </w:p>
        </w:tc>
        <w:tc>
          <w:tcPr>
            <w:tcW w:w="972" w:type="dxa"/>
            <w:tcBorders>
              <w:top w:val="nil"/>
              <w:left w:val="nil"/>
              <w:bottom w:val="single" w:color="000000" w:sz="4" w:space="0"/>
              <w:right w:val="single" w:color="000000" w:sz="4" w:space="0"/>
            </w:tcBorders>
            <w:shd w:val="clear" w:color="auto" w:fill="FFFFFF"/>
            <w:noWrap/>
            <w:vAlign w:val="center"/>
          </w:tcPr>
          <w:p w14:paraId="486202B2">
            <w:pPr>
              <w:widowControl/>
              <w:jc w:val="center"/>
              <w:rPr>
                <w:rFonts w:ascii="宋体" w:hAnsi="宋体" w:eastAsia="宋体" w:cs="宋体"/>
                <w:kern w:val="0"/>
                <w:sz w:val="24"/>
              </w:rPr>
            </w:pPr>
            <w:r>
              <w:rPr>
                <w:rFonts w:hint="eastAsia" w:ascii="宋体" w:hAnsi="宋体" w:eastAsia="宋体" w:cs="宋体"/>
                <w:kern w:val="0"/>
                <w:sz w:val="24"/>
              </w:rPr>
              <w:t>学历</w:t>
            </w:r>
          </w:p>
        </w:tc>
        <w:tc>
          <w:tcPr>
            <w:tcW w:w="1867" w:type="dxa"/>
            <w:tcBorders>
              <w:top w:val="nil"/>
              <w:left w:val="nil"/>
              <w:bottom w:val="single" w:color="000000" w:sz="4" w:space="0"/>
              <w:right w:val="single" w:color="000000" w:sz="4" w:space="0"/>
            </w:tcBorders>
            <w:shd w:val="clear" w:color="auto" w:fill="FFFFFF"/>
            <w:noWrap/>
            <w:vAlign w:val="center"/>
          </w:tcPr>
          <w:p w14:paraId="3C6F0B28">
            <w:pPr>
              <w:widowControl/>
              <w:jc w:val="center"/>
              <w:rPr>
                <w:rFonts w:ascii="宋体" w:hAnsi="宋体" w:eastAsia="宋体" w:cs="宋体"/>
                <w:kern w:val="0"/>
                <w:sz w:val="24"/>
              </w:rPr>
            </w:pPr>
            <w:r>
              <w:rPr>
                <w:rFonts w:hint="eastAsia" w:ascii="宋体" w:hAnsi="宋体" w:eastAsia="宋体" w:cs="宋体"/>
                <w:kern w:val="0"/>
                <w:sz w:val="24"/>
              </w:rPr>
              <w:t>　</w:t>
            </w:r>
          </w:p>
        </w:tc>
      </w:tr>
      <w:tr w14:paraId="51F483D6">
        <w:tblPrEx>
          <w:tblCellMar>
            <w:top w:w="0" w:type="dxa"/>
            <w:left w:w="108" w:type="dxa"/>
            <w:bottom w:w="0" w:type="dxa"/>
            <w:right w:w="108" w:type="dxa"/>
          </w:tblCellMar>
        </w:tblPrEx>
        <w:trPr>
          <w:trHeight w:val="500" w:hRule="atLeast"/>
        </w:trPr>
        <w:tc>
          <w:tcPr>
            <w:tcW w:w="203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D94038">
            <w:pPr>
              <w:widowControl/>
              <w:jc w:val="center"/>
              <w:rPr>
                <w:rFonts w:ascii="宋体" w:hAnsi="宋体" w:eastAsia="宋体" w:cs="宋体"/>
                <w:kern w:val="0"/>
                <w:sz w:val="24"/>
              </w:rPr>
            </w:pPr>
            <w:r>
              <w:rPr>
                <w:rFonts w:hint="eastAsia" w:ascii="宋体" w:hAnsi="宋体" w:eastAsia="宋体" w:cs="宋体"/>
                <w:kern w:val="0"/>
                <w:sz w:val="24"/>
              </w:rPr>
              <w:t>参加工作时间</w:t>
            </w:r>
          </w:p>
        </w:tc>
        <w:tc>
          <w:tcPr>
            <w:tcW w:w="1983" w:type="dxa"/>
            <w:gridSpan w:val="2"/>
            <w:tcBorders>
              <w:top w:val="single" w:color="000000" w:sz="4" w:space="0"/>
              <w:left w:val="nil"/>
              <w:bottom w:val="single" w:color="000000" w:sz="4" w:space="0"/>
              <w:right w:val="single" w:color="000000" w:sz="4" w:space="0"/>
            </w:tcBorders>
            <w:shd w:val="clear" w:color="auto" w:fill="FFFFFF"/>
            <w:noWrap/>
            <w:vAlign w:val="center"/>
          </w:tcPr>
          <w:p w14:paraId="430A569F">
            <w:pPr>
              <w:widowControl/>
              <w:ind w:left="-205" w:leftChars="-137" w:hanging="288" w:hangingChars="120"/>
              <w:jc w:val="left"/>
              <w:rPr>
                <w:rFonts w:ascii="宋体" w:hAnsi="宋体" w:eastAsia="宋体" w:cs="宋体"/>
                <w:kern w:val="0"/>
                <w:sz w:val="24"/>
              </w:rPr>
            </w:pPr>
          </w:p>
        </w:tc>
        <w:tc>
          <w:tcPr>
            <w:tcW w:w="3021" w:type="dxa"/>
            <w:gridSpan w:val="3"/>
            <w:tcBorders>
              <w:top w:val="single" w:color="000000" w:sz="4" w:space="0"/>
              <w:left w:val="nil"/>
              <w:bottom w:val="single" w:color="000000" w:sz="4" w:space="0"/>
              <w:right w:val="single" w:color="000000" w:sz="4" w:space="0"/>
            </w:tcBorders>
            <w:shd w:val="clear" w:color="auto" w:fill="FFFFFF"/>
            <w:noWrap/>
            <w:vAlign w:val="center"/>
          </w:tcPr>
          <w:p w14:paraId="33CFC03A">
            <w:pPr>
              <w:widowControl/>
              <w:jc w:val="center"/>
              <w:rPr>
                <w:rFonts w:ascii="宋体" w:hAnsi="宋体" w:eastAsia="宋体" w:cs="宋体"/>
                <w:kern w:val="0"/>
                <w:sz w:val="24"/>
              </w:rPr>
            </w:pPr>
            <w:r>
              <w:rPr>
                <w:rFonts w:hint="eastAsia" w:ascii="宋体" w:hAnsi="宋体" w:eastAsia="宋体" w:cs="宋体"/>
                <w:kern w:val="0"/>
                <w:sz w:val="24"/>
              </w:rPr>
              <w:t>从事项目负责人年限</w:t>
            </w:r>
          </w:p>
        </w:tc>
        <w:tc>
          <w:tcPr>
            <w:tcW w:w="1867" w:type="dxa"/>
            <w:tcBorders>
              <w:top w:val="nil"/>
              <w:left w:val="nil"/>
              <w:bottom w:val="single" w:color="000000" w:sz="4" w:space="0"/>
              <w:right w:val="single" w:color="000000" w:sz="4" w:space="0"/>
            </w:tcBorders>
            <w:shd w:val="clear" w:color="auto" w:fill="FFFFFF"/>
            <w:noWrap/>
            <w:vAlign w:val="center"/>
          </w:tcPr>
          <w:p w14:paraId="5E2DBEDC">
            <w:pPr>
              <w:widowControl/>
              <w:jc w:val="left"/>
              <w:rPr>
                <w:rFonts w:ascii="宋体" w:hAnsi="宋体" w:eastAsia="宋体" w:cs="宋体"/>
                <w:kern w:val="0"/>
                <w:sz w:val="24"/>
              </w:rPr>
            </w:pPr>
            <w:r>
              <w:rPr>
                <w:rFonts w:hint="eastAsia" w:ascii="宋体" w:hAnsi="宋体" w:eastAsia="宋体" w:cs="宋体"/>
                <w:kern w:val="0"/>
                <w:sz w:val="24"/>
              </w:rPr>
              <w:t>　</w:t>
            </w:r>
          </w:p>
        </w:tc>
      </w:tr>
      <w:tr w14:paraId="0D5AA8A4">
        <w:tblPrEx>
          <w:tblCellMar>
            <w:top w:w="0" w:type="dxa"/>
            <w:left w:w="108" w:type="dxa"/>
            <w:bottom w:w="0" w:type="dxa"/>
            <w:right w:w="108" w:type="dxa"/>
          </w:tblCellMar>
        </w:tblPrEx>
        <w:trPr>
          <w:trHeight w:val="513"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024ACC">
            <w:pPr>
              <w:widowControl/>
              <w:jc w:val="center"/>
              <w:rPr>
                <w:rFonts w:ascii="宋体" w:hAnsi="宋体" w:eastAsia="宋体" w:cs="宋体"/>
                <w:kern w:val="0"/>
                <w:sz w:val="24"/>
              </w:rPr>
            </w:pPr>
            <w:r>
              <w:rPr>
                <w:rFonts w:hint="eastAsia" w:ascii="宋体" w:hAnsi="宋体" w:eastAsia="宋体" w:cs="宋体"/>
                <w:kern w:val="0"/>
                <w:sz w:val="24"/>
              </w:rPr>
              <w:t>证书号</w:t>
            </w:r>
          </w:p>
        </w:tc>
        <w:tc>
          <w:tcPr>
            <w:tcW w:w="2647" w:type="dxa"/>
            <w:gridSpan w:val="3"/>
            <w:tcBorders>
              <w:top w:val="single" w:color="000000" w:sz="4" w:space="0"/>
              <w:left w:val="nil"/>
              <w:bottom w:val="single" w:color="000000" w:sz="4" w:space="0"/>
              <w:right w:val="single" w:color="000000" w:sz="4" w:space="0"/>
            </w:tcBorders>
            <w:shd w:val="clear" w:color="auto" w:fill="FFFFFF"/>
            <w:noWrap/>
            <w:vAlign w:val="center"/>
          </w:tcPr>
          <w:p w14:paraId="2A45EF42">
            <w:pPr>
              <w:widowControl/>
              <w:jc w:val="center"/>
              <w:rPr>
                <w:rFonts w:ascii="宋体" w:hAnsi="宋体" w:eastAsia="宋体" w:cs="宋体"/>
                <w:kern w:val="0"/>
                <w:sz w:val="24"/>
              </w:rPr>
            </w:pPr>
            <w:r>
              <w:rPr>
                <w:rFonts w:hint="eastAsia" w:ascii="宋体" w:hAnsi="宋体" w:eastAsia="宋体" w:cs="宋体"/>
                <w:kern w:val="0"/>
                <w:sz w:val="24"/>
              </w:rPr>
              <w:t>　</w:t>
            </w:r>
          </w:p>
        </w:tc>
        <w:tc>
          <w:tcPr>
            <w:tcW w:w="1116" w:type="dxa"/>
            <w:tcBorders>
              <w:top w:val="nil"/>
              <w:left w:val="nil"/>
              <w:bottom w:val="single" w:color="000000" w:sz="4" w:space="0"/>
              <w:right w:val="single" w:color="000000" w:sz="4" w:space="0"/>
            </w:tcBorders>
            <w:shd w:val="clear" w:color="auto" w:fill="FFFFFF"/>
            <w:noWrap/>
            <w:vAlign w:val="center"/>
          </w:tcPr>
          <w:p w14:paraId="10E92B5B">
            <w:pPr>
              <w:widowControl/>
              <w:jc w:val="center"/>
              <w:rPr>
                <w:rFonts w:ascii="宋体" w:hAnsi="宋体" w:eastAsia="宋体" w:cs="宋体"/>
                <w:kern w:val="0"/>
                <w:sz w:val="24"/>
              </w:rPr>
            </w:pPr>
            <w:r>
              <w:rPr>
                <w:rFonts w:hint="eastAsia" w:ascii="宋体" w:hAnsi="宋体" w:eastAsia="宋体" w:cs="宋体"/>
                <w:kern w:val="0"/>
                <w:sz w:val="24"/>
              </w:rPr>
              <w:t>身份证</w:t>
            </w:r>
          </w:p>
        </w:tc>
        <w:tc>
          <w:tcPr>
            <w:tcW w:w="3772" w:type="dxa"/>
            <w:gridSpan w:val="3"/>
            <w:tcBorders>
              <w:top w:val="single" w:color="000000" w:sz="4" w:space="0"/>
              <w:left w:val="nil"/>
              <w:bottom w:val="single" w:color="000000" w:sz="4" w:space="0"/>
              <w:right w:val="single" w:color="000000" w:sz="4" w:space="0"/>
            </w:tcBorders>
            <w:shd w:val="clear" w:color="auto" w:fill="FFFFFF"/>
            <w:noWrap/>
            <w:vAlign w:val="center"/>
          </w:tcPr>
          <w:p w14:paraId="4905E61C">
            <w:pPr>
              <w:widowControl/>
              <w:jc w:val="center"/>
              <w:rPr>
                <w:rFonts w:ascii="宋体" w:hAnsi="宋体" w:eastAsia="宋体" w:cs="宋体"/>
                <w:kern w:val="0"/>
                <w:sz w:val="24"/>
              </w:rPr>
            </w:pPr>
            <w:r>
              <w:rPr>
                <w:rFonts w:hint="eastAsia" w:ascii="宋体" w:hAnsi="宋体" w:eastAsia="宋体" w:cs="宋体"/>
                <w:kern w:val="0"/>
                <w:sz w:val="24"/>
              </w:rPr>
              <w:t>　</w:t>
            </w:r>
          </w:p>
        </w:tc>
      </w:tr>
      <w:tr w14:paraId="414F18FB">
        <w:tblPrEx>
          <w:tblCellMar>
            <w:top w:w="0" w:type="dxa"/>
            <w:left w:w="108" w:type="dxa"/>
            <w:bottom w:w="0" w:type="dxa"/>
            <w:right w:w="108" w:type="dxa"/>
          </w:tblCellMar>
        </w:tblPrEx>
        <w:trPr>
          <w:cantSplit/>
          <w:trHeight w:val="6803" w:hRule="atLeast"/>
        </w:trPr>
        <w:tc>
          <w:tcPr>
            <w:tcW w:w="1089" w:type="dxa"/>
            <w:vMerge w:val="restart"/>
            <w:tcBorders>
              <w:top w:val="nil"/>
              <w:left w:val="single" w:color="000000" w:sz="4" w:space="0"/>
              <w:bottom w:val="single" w:color="000000" w:sz="4" w:space="0"/>
              <w:right w:val="single" w:color="000000" w:sz="4" w:space="0"/>
            </w:tcBorders>
            <w:shd w:val="clear" w:color="auto" w:fill="FFFFFF"/>
            <w:noWrap/>
            <w:vAlign w:val="center"/>
          </w:tcPr>
          <w:p w14:paraId="7C456D57">
            <w:pPr>
              <w:widowControl/>
              <w:jc w:val="center"/>
              <w:rPr>
                <w:rFonts w:ascii="宋体" w:hAnsi="宋体" w:eastAsia="宋体" w:cs="宋体"/>
                <w:kern w:val="0"/>
                <w:sz w:val="24"/>
              </w:rPr>
            </w:pPr>
            <w:r>
              <w:rPr>
                <w:rFonts w:hint="eastAsia" w:ascii="宋体" w:hAnsi="宋体" w:eastAsia="宋体" w:cs="宋体"/>
                <w:kern w:val="0"/>
                <w:sz w:val="24"/>
              </w:rPr>
              <w:t>简</w:t>
            </w:r>
          </w:p>
          <w:p w14:paraId="441BF797">
            <w:pPr>
              <w:widowControl/>
              <w:jc w:val="center"/>
              <w:rPr>
                <w:rFonts w:ascii="宋体" w:hAnsi="宋体" w:eastAsia="宋体" w:cs="宋体"/>
                <w:kern w:val="0"/>
                <w:sz w:val="24"/>
              </w:rPr>
            </w:pPr>
          </w:p>
          <w:p w14:paraId="013B9F19">
            <w:pPr>
              <w:widowControl/>
              <w:jc w:val="center"/>
              <w:rPr>
                <w:rFonts w:ascii="宋体" w:hAnsi="宋体" w:eastAsia="宋体" w:cs="宋体"/>
                <w:kern w:val="0"/>
                <w:sz w:val="24"/>
              </w:rPr>
            </w:pPr>
          </w:p>
          <w:p w14:paraId="51CF3DD8">
            <w:pPr>
              <w:widowControl/>
              <w:jc w:val="center"/>
              <w:rPr>
                <w:rFonts w:ascii="宋体" w:hAnsi="宋体" w:eastAsia="宋体" w:cs="宋体"/>
                <w:kern w:val="0"/>
                <w:sz w:val="24"/>
              </w:rPr>
            </w:pPr>
          </w:p>
          <w:p w14:paraId="3783AD8B">
            <w:pPr>
              <w:widowControl/>
              <w:jc w:val="center"/>
              <w:rPr>
                <w:rFonts w:ascii="宋体" w:hAnsi="宋体" w:eastAsia="宋体" w:cs="宋体"/>
                <w:kern w:val="0"/>
                <w:sz w:val="24"/>
              </w:rPr>
            </w:pPr>
          </w:p>
          <w:p w14:paraId="5342553A">
            <w:pPr>
              <w:widowControl/>
              <w:jc w:val="center"/>
              <w:rPr>
                <w:rFonts w:ascii="宋体" w:hAnsi="宋体" w:eastAsia="宋体" w:cs="宋体"/>
                <w:kern w:val="0"/>
                <w:sz w:val="24"/>
              </w:rPr>
            </w:pPr>
          </w:p>
          <w:p w14:paraId="22C7DBA1">
            <w:pPr>
              <w:widowControl/>
              <w:jc w:val="center"/>
              <w:rPr>
                <w:rFonts w:ascii="宋体" w:hAnsi="宋体" w:eastAsia="宋体" w:cs="宋体"/>
                <w:kern w:val="0"/>
                <w:sz w:val="24"/>
              </w:rPr>
            </w:pPr>
            <w:r>
              <w:rPr>
                <w:rFonts w:hint="eastAsia" w:ascii="宋体" w:hAnsi="宋体" w:eastAsia="宋体" w:cs="宋体"/>
                <w:kern w:val="0"/>
                <w:sz w:val="24"/>
              </w:rPr>
              <w:t>历</w:t>
            </w:r>
          </w:p>
        </w:tc>
        <w:tc>
          <w:tcPr>
            <w:tcW w:w="7814"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noWrap/>
          </w:tcPr>
          <w:p w14:paraId="04D92A05">
            <w:pPr>
              <w:widowControl/>
              <w:jc w:val="left"/>
              <w:rPr>
                <w:rFonts w:ascii="宋体" w:hAnsi="宋体" w:eastAsia="宋体" w:cs="宋体"/>
                <w:kern w:val="0"/>
                <w:sz w:val="24"/>
              </w:rPr>
            </w:pPr>
          </w:p>
        </w:tc>
      </w:tr>
      <w:tr w14:paraId="2C09312A">
        <w:tblPrEx>
          <w:tblCellMar>
            <w:top w:w="0" w:type="dxa"/>
            <w:left w:w="108" w:type="dxa"/>
            <w:bottom w:w="0" w:type="dxa"/>
            <w:right w:w="108" w:type="dxa"/>
          </w:tblCellMar>
        </w:tblPrEx>
        <w:trPr>
          <w:trHeight w:val="312" w:hRule="atLeast"/>
        </w:trPr>
        <w:tc>
          <w:tcPr>
            <w:tcW w:w="1089" w:type="dxa"/>
            <w:vMerge w:val="continue"/>
            <w:tcBorders>
              <w:top w:val="nil"/>
              <w:left w:val="single" w:color="000000" w:sz="4" w:space="0"/>
              <w:bottom w:val="single" w:color="000000" w:sz="4" w:space="0"/>
              <w:right w:val="single" w:color="000000" w:sz="4" w:space="0"/>
            </w:tcBorders>
            <w:noWrap/>
            <w:vAlign w:val="center"/>
          </w:tcPr>
          <w:p w14:paraId="3EB778B9">
            <w:pPr>
              <w:widowControl/>
              <w:jc w:val="left"/>
              <w:rPr>
                <w:rFonts w:ascii="宋体" w:hAnsi="宋体" w:eastAsia="宋体" w:cs="宋体"/>
                <w:kern w:val="0"/>
                <w:sz w:val="22"/>
                <w:szCs w:val="22"/>
              </w:rPr>
            </w:pPr>
          </w:p>
        </w:tc>
        <w:tc>
          <w:tcPr>
            <w:tcW w:w="7814" w:type="dxa"/>
            <w:gridSpan w:val="8"/>
            <w:vMerge w:val="continue"/>
            <w:tcBorders>
              <w:top w:val="single" w:color="000000" w:sz="4" w:space="0"/>
              <w:left w:val="single" w:color="000000" w:sz="4" w:space="0"/>
              <w:bottom w:val="single" w:color="000000" w:sz="4" w:space="0"/>
              <w:right w:val="single" w:color="000000" w:sz="4" w:space="0"/>
            </w:tcBorders>
            <w:noWrap/>
            <w:vAlign w:val="center"/>
          </w:tcPr>
          <w:p w14:paraId="46A812DF">
            <w:pPr>
              <w:widowControl/>
              <w:jc w:val="left"/>
              <w:rPr>
                <w:rFonts w:ascii="宋体" w:hAnsi="宋体" w:eastAsia="宋体" w:cs="宋体"/>
                <w:kern w:val="0"/>
                <w:sz w:val="22"/>
                <w:szCs w:val="22"/>
              </w:rPr>
            </w:pPr>
          </w:p>
        </w:tc>
      </w:tr>
    </w:tbl>
    <w:p w14:paraId="0BC7C3D7">
      <w:pPr>
        <w:spacing w:line="360" w:lineRule="auto"/>
        <w:rPr>
          <w:rFonts w:ascii="宋体" w:hAnsi="宋体" w:eastAsia="宋体" w:cs="宋体"/>
          <w:b/>
          <w:bCs/>
          <w:kern w:val="0"/>
          <w:sz w:val="21"/>
          <w:szCs w:val="21"/>
        </w:rPr>
      </w:pPr>
      <w:r>
        <w:rPr>
          <w:rFonts w:hint="eastAsia" w:ascii="宋体" w:hAnsi="宋体" w:eastAsia="宋体" w:cs="宋体"/>
          <w:b/>
          <w:bCs/>
          <w:sz w:val="21"/>
          <w:szCs w:val="21"/>
        </w:rPr>
        <w:t>注：</w:t>
      </w:r>
      <w:r>
        <w:rPr>
          <w:rFonts w:hint="eastAsia" w:ascii="宋体" w:hAnsi="宋体" w:eastAsia="宋体" w:cs="宋体"/>
          <w:b/>
          <w:bCs/>
          <w:kern w:val="0"/>
          <w:sz w:val="21"/>
          <w:szCs w:val="21"/>
        </w:rPr>
        <w:t>1、表格后面附上项目负责人注册证书、职称证书及社保证明。</w:t>
      </w:r>
    </w:p>
    <w:p w14:paraId="31D1ECB2">
      <w:pPr>
        <w:pStyle w:val="15"/>
        <w:spacing w:before="60" w:after="60" w:line="500" w:lineRule="exact"/>
        <w:ind w:firstLine="3570" w:firstLineChars="1700"/>
        <w:rPr>
          <w:rFonts w:hAnsi="宋体" w:eastAsia="宋体" w:cs="宋体"/>
          <w:szCs w:val="21"/>
        </w:rPr>
      </w:pPr>
      <w:r>
        <w:rPr>
          <w:rFonts w:hint="eastAsia" w:hAnsi="宋体" w:eastAsia="宋体" w:cs="宋体"/>
          <w:szCs w:val="21"/>
        </w:rPr>
        <w:t>法定代表人(或全权代表)签字或盖章：</w:t>
      </w:r>
    </w:p>
    <w:p w14:paraId="1816D3F4">
      <w:pPr>
        <w:pStyle w:val="50"/>
        <w:ind w:firstLine="420" w:firstLineChars="200"/>
        <w:rPr>
          <w:rFonts w:ascii="宋体" w:hAnsi="宋体" w:cs="宋体"/>
          <w:bCs/>
          <w:kern w:val="0"/>
          <w:szCs w:val="21"/>
        </w:rPr>
      </w:pPr>
    </w:p>
    <w:p w14:paraId="3B81271F">
      <w:pPr>
        <w:spacing w:line="360" w:lineRule="auto"/>
        <w:ind w:firstLine="4200" w:firstLineChars="2000"/>
        <w:rPr>
          <w:rFonts w:ascii="宋体" w:hAnsi="宋体" w:eastAsia="宋体" w:cs="宋体"/>
          <w:sz w:val="21"/>
          <w:szCs w:val="21"/>
          <w:lang w:val="zh-CN"/>
        </w:rPr>
      </w:pPr>
      <w:r>
        <w:rPr>
          <w:rFonts w:hint="eastAsia" w:ascii="宋体" w:hAnsi="宋体" w:eastAsia="宋体" w:cs="宋体"/>
          <w:sz w:val="21"/>
          <w:szCs w:val="21"/>
        </w:rPr>
        <w:t>磋商人</w:t>
      </w:r>
      <w:r>
        <w:rPr>
          <w:rFonts w:hint="eastAsia" w:ascii="宋体" w:hAnsi="宋体" w:eastAsia="宋体" w:cs="宋体"/>
          <w:sz w:val="21"/>
          <w:szCs w:val="21"/>
          <w:lang w:val="zh-CN"/>
        </w:rPr>
        <w:t>（盖单位章）：</w:t>
      </w:r>
    </w:p>
    <w:p w14:paraId="3E7195F6">
      <w:pPr>
        <w:spacing w:line="450" w:lineRule="atLeast"/>
        <w:jc w:val="center"/>
        <w:rPr>
          <w:rFonts w:ascii="宋体" w:hAnsi="宋体" w:eastAsia="宋体" w:cs="宋体"/>
          <w:b/>
          <w:sz w:val="24"/>
        </w:rPr>
      </w:pPr>
      <w:r>
        <w:rPr>
          <w:rFonts w:hint="eastAsia" w:ascii="宋体" w:hAnsi="宋体" w:eastAsia="宋体" w:cs="宋体"/>
          <w:sz w:val="21"/>
          <w:szCs w:val="21"/>
          <w:lang w:val="zh-CN"/>
        </w:rPr>
        <w:t>日期：</w:t>
      </w:r>
    </w:p>
    <w:p w14:paraId="2B30BC74">
      <w:pPr>
        <w:tabs>
          <w:tab w:val="left" w:pos="720"/>
        </w:tabs>
        <w:spacing w:line="360" w:lineRule="auto"/>
        <w:outlineLvl w:val="0"/>
        <w:rPr>
          <w:rFonts w:ascii="宋体" w:hAnsi="宋体" w:eastAsia="宋体" w:cs="宋体"/>
          <w:b/>
          <w:sz w:val="24"/>
        </w:rPr>
      </w:pPr>
    </w:p>
    <w:p w14:paraId="5DB3220C">
      <w:pPr>
        <w:rPr>
          <w:rFonts w:ascii="宋体" w:hAnsi="宋体" w:eastAsia="宋体" w:cs="宋体"/>
          <w:b/>
          <w:bCs/>
          <w:sz w:val="24"/>
        </w:rPr>
      </w:pPr>
      <w:r>
        <w:rPr>
          <w:rFonts w:hint="eastAsia" w:ascii="宋体" w:hAnsi="宋体" w:eastAsia="宋体" w:cs="宋体"/>
          <w:b/>
          <w:bCs/>
          <w:sz w:val="24"/>
        </w:rPr>
        <w:t>附件十：</w:t>
      </w:r>
    </w:p>
    <w:p w14:paraId="331EF033">
      <w:pPr>
        <w:pStyle w:val="15"/>
        <w:adjustRightInd w:val="0"/>
        <w:snapToGrid w:val="0"/>
        <w:spacing w:before="156" w:after="156"/>
        <w:jc w:val="center"/>
        <w:rPr>
          <w:rFonts w:hAnsi="宋体" w:eastAsia="宋体" w:cs="宋体"/>
          <w:b/>
          <w:bCs/>
          <w:sz w:val="28"/>
          <w:szCs w:val="28"/>
        </w:rPr>
      </w:pPr>
      <w:r>
        <w:rPr>
          <w:rFonts w:hint="eastAsia" w:hAnsi="宋体" w:eastAsia="宋体" w:cs="宋体"/>
          <w:b/>
          <w:bCs/>
          <w:sz w:val="28"/>
          <w:szCs w:val="28"/>
        </w:rPr>
        <w:t>项目技术负责人简历表</w:t>
      </w:r>
    </w:p>
    <w:tbl>
      <w:tblPr>
        <w:tblStyle w:val="29"/>
        <w:tblW w:w="8903" w:type="dxa"/>
        <w:tblInd w:w="108" w:type="dxa"/>
        <w:tblLayout w:type="fixed"/>
        <w:tblCellMar>
          <w:top w:w="0" w:type="dxa"/>
          <w:left w:w="108" w:type="dxa"/>
          <w:bottom w:w="0" w:type="dxa"/>
          <w:right w:w="108" w:type="dxa"/>
        </w:tblCellMar>
      </w:tblPr>
      <w:tblGrid>
        <w:gridCol w:w="1089"/>
        <w:gridCol w:w="279"/>
        <w:gridCol w:w="664"/>
        <w:gridCol w:w="894"/>
        <w:gridCol w:w="1089"/>
        <w:gridCol w:w="1116"/>
        <w:gridCol w:w="933"/>
        <w:gridCol w:w="972"/>
        <w:gridCol w:w="1867"/>
      </w:tblGrid>
      <w:tr w14:paraId="571C6E0B">
        <w:tblPrEx>
          <w:tblCellMar>
            <w:top w:w="0" w:type="dxa"/>
            <w:left w:w="108" w:type="dxa"/>
            <w:bottom w:w="0" w:type="dxa"/>
            <w:right w:w="108" w:type="dxa"/>
          </w:tblCellMar>
        </w:tblPrEx>
        <w:trPr>
          <w:trHeight w:val="475" w:hRule="atLeast"/>
        </w:trPr>
        <w:tc>
          <w:tcPr>
            <w:tcW w:w="10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EC1B9B">
            <w:pPr>
              <w:widowControl/>
              <w:jc w:val="center"/>
              <w:rPr>
                <w:rFonts w:ascii="宋体" w:hAnsi="宋体" w:eastAsia="宋体" w:cs="宋体"/>
                <w:kern w:val="0"/>
                <w:sz w:val="24"/>
              </w:rPr>
            </w:pPr>
            <w:r>
              <w:rPr>
                <w:rFonts w:hint="eastAsia" w:ascii="宋体" w:hAnsi="宋体" w:eastAsia="宋体" w:cs="宋体"/>
                <w:kern w:val="0"/>
                <w:sz w:val="24"/>
              </w:rPr>
              <w:t>姓名</w:t>
            </w:r>
          </w:p>
        </w:tc>
        <w:tc>
          <w:tcPr>
            <w:tcW w:w="943" w:type="dxa"/>
            <w:gridSpan w:val="2"/>
            <w:tcBorders>
              <w:top w:val="single" w:color="000000" w:sz="4" w:space="0"/>
              <w:left w:val="nil"/>
              <w:bottom w:val="single" w:color="000000" w:sz="4" w:space="0"/>
              <w:right w:val="single" w:color="000000" w:sz="4" w:space="0"/>
            </w:tcBorders>
            <w:shd w:val="clear" w:color="auto" w:fill="FFFFFF"/>
            <w:noWrap/>
            <w:vAlign w:val="center"/>
          </w:tcPr>
          <w:p w14:paraId="14CF6A55">
            <w:pPr>
              <w:widowControl/>
              <w:jc w:val="center"/>
              <w:rPr>
                <w:rFonts w:ascii="宋体" w:hAnsi="宋体" w:eastAsia="宋体" w:cs="宋体"/>
                <w:kern w:val="0"/>
                <w:sz w:val="24"/>
              </w:rPr>
            </w:pPr>
            <w:r>
              <w:rPr>
                <w:rFonts w:hint="eastAsia" w:ascii="宋体" w:hAnsi="宋体" w:eastAsia="宋体" w:cs="宋体"/>
                <w:kern w:val="0"/>
                <w:sz w:val="24"/>
              </w:rPr>
              <w:t>　</w:t>
            </w:r>
          </w:p>
        </w:tc>
        <w:tc>
          <w:tcPr>
            <w:tcW w:w="894" w:type="dxa"/>
            <w:tcBorders>
              <w:top w:val="single" w:color="000000" w:sz="4" w:space="0"/>
              <w:left w:val="nil"/>
              <w:bottom w:val="single" w:color="000000" w:sz="4" w:space="0"/>
              <w:right w:val="single" w:color="000000" w:sz="4" w:space="0"/>
            </w:tcBorders>
            <w:shd w:val="clear" w:color="auto" w:fill="FFFFFF"/>
            <w:noWrap/>
            <w:vAlign w:val="center"/>
          </w:tcPr>
          <w:p w14:paraId="0F7325C1">
            <w:pPr>
              <w:widowControl/>
              <w:jc w:val="center"/>
              <w:rPr>
                <w:rFonts w:ascii="宋体" w:hAnsi="宋体" w:eastAsia="宋体" w:cs="宋体"/>
                <w:kern w:val="0"/>
                <w:sz w:val="24"/>
              </w:rPr>
            </w:pPr>
            <w:r>
              <w:rPr>
                <w:rFonts w:hint="eastAsia" w:ascii="宋体" w:hAnsi="宋体" w:eastAsia="宋体" w:cs="宋体"/>
                <w:kern w:val="0"/>
                <w:sz w:val="24"/>
              </w:rPr>
              <w:t>性别</w:t>
            </w:r>
          </w:p>
        </w:tc>
        <w:tc>
          <w:tcPr>
            <w:tcW w:w="1089" w:type="dxa"/>
            <w:tcBorders>
              <w:top w:val="single" w:color="000000" w:sz="4" w:space="0"/>
              <w:left w:val="nil"/>
              <w:bottom w:val="single" w:color="000000" w:sz="4" w:space="0"/>
              <w:right w:val="single" w:color="000000" w:sz="4" w:space="0"/>
            </w:tcBorders>
            <w:shd w:val="clear" w:color="auto" w:fill="FFFFFF"/>
            <w:noWrap/>
            <w:vAlign w:val="center"/>
          </w:tcPr>
          <w:p w14:paraId="6BACF214">
            <w:pPr>
              <w:widowControl/>
              <w:jc w:val="center"/>
              <w:rPr>
                <w:rFonts w:ascii="宋体" w:hAnsi="宋体" w:eastAsia="宋体" w:cs="宋体"/>
                <w:kern w:val="0"/>
                <w:sz w:val="24"/>
              </w:rPr>
            </w:pPr>
            <w:r>
              <w:rPr>
                <w:rFonts w:hint="eastAsia" w:ascii="宋体" w:hAnsi="宋体" w:eastAsia="宋体" w:cs="宋体"/>
                <w:kern w:val="0"/>
                <w:sz w:val="24"/>
              </w:rPr>
              <w:t>　</w:t>
            </w:r>
          </w:p>
        </w:tc>
        <w:tc>
          <w:tcPr>
            <w:tcW w:w="1116" w:type="dxa"/>
            <w:tcBorders>
              <w:top w:val="single" w:color="000000" w:sz="4" w:space="0"/>
              <w:left w:val="nil"/>
              <w:bottom w:val="single" w:color="000000" w:sz="4" w:space="0"/>
              <w:right w:val="single" w:color="000000" w:sz="4" w:space="0"/>
            </w:tcBorders>
            <w:shd w:val="clear" w:color="auto" w:fill="FFFFFF"/>
            <w:noWrap/>
            <w:vAlign w:val="center"/>
          </w:tcPr>
          <w:p w14:paraId="6D901C86">
            <w:pPr>
              <w:widowControl/>
              <w:jc w:val="center"/>
              <w:rPr>
                <w:rFonts w:ascii="宋体" w:hAnsi="宋体" w:eastAsia="宋体" w:cs="宋体"/>
                <w:kern w:val="0"/>
                <w:sz w:val="24"/>
              </w:rPr>
            </w:pPr>
            <w:r>
              <w:rPr>
                <w:rFonts w:hint="eastAsia" w:ascii="宋体" w:hAnsi="宋体" w:eastAsia="宋体" w:cs="宋体"/>
                <w:kern w:val="0"/>
                <w:sz w:val="24"/>
              </w:rPr>
              <w:t>年龄</w:t>
            </w:r>
          </w:p>
        </w:tc>
        <w:tc>
          <w:tcPr>
            <w:tcW w:w="933" w:type="dxa"/>
            <w:tcBorders>
              <w:top w:val="single" w:color="000000" w:sz="4" w:space="0"/>
              <w:left w:val="nil"/>
              <w:bottom w:val="single" w:color="000000" w:sz="4" w:space="0"/>
              <w:right w:val="single" w:color="000000" w:sz="4" w:space="0"/>
            </w:tcBorders>
            <w:shd w:val="clear" w:color="auto" w:fill="FFFFFF"/>
            <w:noWrap/>
            <w:vAlign w:val="center"/>
          </w:tcPr>
          <w:p w14:paraId="0D5A6457">
            <w:pPr>
              <w:widowControl/>
              <w:jc w:val="center"/>
              <w:rPr>
                <w:rFonts w:ascii="宋体" w:hAnsi="宋体" w:eastAsia="宋体" w:cs="宋体"/>
                <w:kern w:val="0"/>
                <w:sz w:val="24"/>
              </w:rPr>
            </w:pPr>
            <w:r>
              <w:rPr>
                <w:rFonts w:hint="eastAsia" w:ascii="宋体" w:hAnsi="宋体" w:eastAsia="宋体" w:cs="宋体"/>
                <w:kern w:val="0"/>
                <w:sz w:val="24"/>
              </w:rPr>
              <w:t>　</w:t>
            </w:r>
          </w:p>
        </w:tc>
        <w:tc>
          <w:tcPr>
            <w:tcW w:w="972" w:type="dxa"/>
            <w:tcBorders>
              <w:top w:val="single" w:color="000000" w:sz="4" w:space="0"/>
              <w:left w:val="nil"/>
              <w:bottom w:val="single" w:color="000000" w:sz="4" w:space="0"/>
              <w:right w:val="single" w:color="000000" w:sz="4" w:space="0"/>
            </w:tcBorders>
            <w:shd w:val="clear" w:color="auto" w:fill="FFFFFF"/>
            <w:noWrap/>
            <w:vAlign w:val="center"/>
          </w:tcPr>
          <w:p w14:paraId="7AEE6B1B">
            <w:pPr>
              <w:widowControl/>
              <w:jc w:val="center"/>
              <w:rPr>
                <w:rFonts w:ascii="宋体" w:hAnsi="宋体" w:eastAsia="宋体" w:cs="宋体"/>
                <w:kern w:val="0"/>
                <w:sz w:val="24"/>
              </w:rPr>
            </w:pPr>
            <w:r>
              <w:rPr>
                <w:rFonts w:hint="eastAsia" w:ascii="宋体" w:hAnsi="宋体" w:eastAsia="宋体" w:cs="宋体"/>
                <w:kern w:val="0"/>
                <w:sz w:val="24"/>
              </w:rPr>
              <w:t>专业</w:t>
            </w:r>
          </w:p>
        </w:tc>
        <w:tc>
          <w:tcPr>
            <w:tcW w:w="1867" w:type="dxa"/>
            <w:tcBorders>
              <w:top w:val="single" w:color="000000" w:sz="4" w:space="0"/>
              <w:left w:val="nil"/>
              <w:bottom w:val="single" w:color="000000" w:sz="4" w:space="0"/>
              <w:right w:val="single" w:color="000000" w:sz="4" w:space="0"/>
            </w:tcBorders>
            <w:shd w:val="clear" w:color="auto" w:fill="FFFFFF"/>
            <w:noWrap/>
            <w:vAlign w:val="center"/>
          </w:tcPr>
          <w:p w14:paraId="3F48A592">
            <w:pPr>
              <w:widowControl/>
              <w:jc w:val="center"/>
              <w:rPr>
                <w:rFonts w:ascii="宋体" w:hAnsi="宋体" w:eastAsia="宋体" w:cs="宋体"/>
                <w:kern w:val="0"/>
                <w:sz w:val="24"/>
              </w:rPr>
            </w:pPr>
            <w:r>
              <w:rPr>
                <w:rFonts w:hint="eastAsia" w:ascii="宋体" w:hAnsi="宋体" w:eastAsia="宋体" w:cs="宋体"/>
                <w:kern w:val="0"/>
                <w:sz w:val="24"/>
              </w:rPr>
              <w:t>　</w:t>
            </w:r>
          </w:p>
        </w:tc>
      </w:tr>
      <w:tr w14:paraId="2F7438EF">
        <w:tblPrEx>
          <w:tblCellMar>
            <w:top w:w="0" w:type="dxa"/>
            <w:left w:w="108" w:type="dxa"/>
            <w:bottom w:w="0" w:type="dxa"/>
            <w:right w:w="108" w:type="dxa"/>
          </w:tblCellMar>
        </w:tblPrEx>
        <w:trPr>
          <w:trHeight w:val="489"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9417EA">
            <w:pPr>
              <w:widowControl/>
              <w:jc w:val="center"/>
              <w:rPr>
                <w:rFonts w:ascii="宋体" w:hAnsi="宋体" w:eastAsia="宋体" w:cs="宋体"/>
                <w:kern w:val="0"/>
                <w:sz w:val="24"/>
              </w:rPr>
            </w:pPr>
            <w:r>
              <w:rPr>
                <w:rFonts w:hint="eastAsia" w:ascii="宋体" w:hAnsi="宋体" w:eastAsia="宋体" w:cs="宋体"/>
                <w:kern w:val="0"/>
                <w:sz w:val="24"/>
              </w:rPr>
              <w:t>资质等级</w:t>
            </w:r>
          </w:p>
        </w:tc>
        <w:tc>
          <w:tcPr>
            <w:tcW w:w="1558" w:type="dxa"/>
            <w:gridSpan w:val="2"/>
            <w:tcBorders>
              <w:top w:val="single" w:color="000000" w:sz="4" w:space="0"/>
              <w:left w:val="nil"/>
              <w:bottom w:val="single" w:color="000000" w:sz="4" w:space="0"/>
              <w:right w:val="single" w:color="000000" w:sz="4" w:space="0"/>
            </w:tcBorders>
            <w:shd w:val="clear" w:color="auto" w:fill="FFFFFF"/>
            <w:noWrap/>
            <w:vAlign w:val="center"/>
          </w:tcPr>
          <w:p w14:paraId="736918C5">
            <w:pPr>
              <w:widowControl/>
              <w:jc w:val="center"/>
              <w:rPr>
                <w:rFonts w:ascii="宋体" w:hAnsi="宋体" w:eastAsia="宋体" w:cs="宋体"/>
                <w:kern w:val="0"/>
                <w:sz w:val="24"/>
              </w:rPr>
            </w:pPr>
            <w:r>
              <w:rPr>
                <w:rFonts w:hint="eastAsia" w:ascii="宋体" w:hAnsi="宋体" w:eastAsia="宋体" w:cs="宋体"/>
                <w:kern w:val="0"/>
                <w:sz w:val="24"/>
              </w:rPr>
              <w:t>　</w:t>
            </w:r>
          </w:p>
        </w:tc>
        <w:tc>
          <w:tcPr>
            <w:tcW w:w="1089" w:type="dxa"/>
            <w:tcBorders>
              <w:top w:val="nil"/>
              <w:left w:val="nil"/>
              <w:bottom w:val="single" w:color="000000" w:sz="4" w:space="0"/>
              <w:right w:val="single" w:color="000000" w:sz="4" w:space="0"/>
            </w:tcBorders>
            <w:shd w:val="clear" w:color="auto" w:fill="FFFFFF"/>
            <w:noWrap/>
            <w:vAlign w:val="center"/>
          </w:tcPr>
          <w:p w14:paraId="0B26AD50">
            <w:pPr>
              <w:widowControl/>
              <w:jc w:val="center"/>
              <w:rPr>
                <w:rFonts w:ascii="宋体" w:hAnsi="宋体" w:eastAsia="宋体" w:cs="宋体"/>
                <w:kern w:val="0"/>
                <w:sz w:val="24"/>
              </w:rPr>
            </w:pPr>
            <w:r>
              <w:rPr>
                <w:rFonts w:hint="eastAsia" w:ascii="宋体" w:hAnsi="宋体" w:eastAsia="宋体" w:cs="宋体"/>
                <w:kern w:val="0"/>
                <w:sz w:val="24"/>
              </w:rPr>
              <w:t>职称</w:t>
            </w:r>
          </w:p>
        </w:tc>
        <w:tc>
          <w:tcPr>
            <w:tcW w:w="2049" w:type="dxa"/>
            <w:gridSpan w:val="2"/>
            <w:tcBorders>
              <w:top w:val="single" w:color="000000" w:sz="4" w:space="0"/>
              <w:left w:val="nil"/>
              <w:bottom w:val="single" w:color="000000" w:sz="4" w:space="0"/>
              <w:right w:val="single" w:color="000000" w:sz="4" w:space="0"/>
            </w:tcBorders>
            <w:shd w:val="clear" w:color="auto" w:fill="FFFFFF"/>
            <w:noWrap/>
            <w:vAlign w:val="center"/>
          </w:tcPr>
          <w:p w14:paraId="69F8C193">
            <w:pPr>
              <w:widowControl/>
              <w:jc w:val="center"/>
              <w:rPr>
                <w:rFonts w:ascii="宋体" w:hAnsi="宋体" w:eastAsia="宋体" w:cs="宋体"/>
                <w:kern w:val="0"/>
                <w:sz w:val="24"/>
              </w:rPr>
            </w:pPr>
            <w:r>
              <w:rPr>
                <w:rFonts w:hint="eastAsia" w:ascii="宋体" w:hAnsi="宋体" w:eastAsia="宋体" w:cs="宋体"/>
                <w:kern w:val="0"/>
                <w:sz w:val="24"/>
              </w:rPr>
              <w:t>　</w:t>
            </w:r>
          </w:p>
        </w:tc>
        <w:tc>
          <w:tcPr>
            <w:tcW w:w="972" w:type="dxa"/>
            <w:tcBorders>
              <w:top w:val="nil"/>
              <w:left w:val="nil"/>
              <w:bottom w:val="single" w:color="000000" w:sz="4" w:space="0"/>
              <w:right w:val="single" w:color="000000" w:sz="4" w:space="0"/>
            </w:tcBorders>
            <w:shd w:val="clear" w:color="auto" w:fill="FFFFFF"/>
            <w:noWrap/>
            <w:vAlign w:val="center"/>
          </w:tcPr>
          <w:p w14:paraId="01822D18">
            <w:pPr>
              <w:widowControl/>
              <w:jc w:val="center"/>
              <w:rPr>
                <w:rFonts w:ascii="宋体" w:hAnsi="宋体" w:eastAsia="宋体" w:cs="宋体"/>
                <w:kern w:val="0"/>
                <w:sz w:val="24"/>
              </w:rPr>
            </w:pPr>
            <w:r>
              <w:rPr>
                <w:rFonts w:hint="eastAsia" w:ascii="宋体" w:hAnsi="宋体" w:eastAsia="宋体" w:cs="宋体"/>
                <w:kern w:val="0"/>
                <w:sz w:val="24"/>
              </w:rPr>
              <w:t>学历</w:t>
            </w:r>
          </w:p>
        </w:tc>
        <w:tc>
          <w:tcPr>
            <w:tcW w:w="1867" w:type="dxa"/>
            <w:tcBorders>
              <w:top w:val="nil"/>
              <w:left w:val="nil"/>
              <w:bottom w:val="single" w:color="000000" w:sz="4" w:space="0"/>
              <w:right w:val="single" w:color="000000" w:sz="4" w:space="0"/>
            </w:tcBorders>
            <w:shd w:val="clear" w:color="auto" w:fill="FFFFFF"/>
            <w:noWrap/>
            <w:vAlign w:val="center"/>
          </w:tcPr>
          <w:p w14:paraId="6218A9EF">
            <w:pPr>
              <w:widowControl/>
              <w:jc w:val="center"/>
              <w:rPr>
                <w:rFonts w:ascii="宋体" w:hAnsi="宋体" w:eastAsia="宋体" w:cs="宋体"/>
                <w:kern w:val="0"/>
                <w:sz w:val="24"/>
              </w:rPr>
            </w:pPr>
            <w:r>
              <w:rPr>
                <w:rFonts w:hint="eastAsia" w:ascii="宋体" w:hAnsi="宋体" w:eastAsia="宋体" w:cs="宋体"/>
                <w:kern w:val="0"/>
                <w:sz w:val="24"/>
              </w:rPr>
              <w:t>　</w:t>
            </w:r>
          </w:p>
        </w:tc>
      </w:tr>
      <w:tr w14:paraId="1F647553">
        <w:tblPrEx>
          <w:tblCellMar>
            <w:top w:w="0" w:type="dxa"/>
            <w:left w:w="108" w:type="dxa"/>
            <w:bottom w:w="0" w:type="dxa"/>
            <w:right w:w="108" w:type="dxa"/>
          </w:tblCellMar>
        </w:tblPrEx>
        <w:trPr>
          <w:trHeight w:val="500" w:hRule="atLeast"/>
        </w:trPr>
        <w:tc>
          <w:tcPr>
            <w:tcW w:w="203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D19B49">
            <w:pPr>
              <w:widowControl/>
              <w:jc w:val="center"/>
              <w:rPr>
                <w:rFonts w:ascii="宋体" w:hAnsi="宋体" w:eastAsia="宋体" w:cs="宋体"/>
                <w:kern w:val="0"/>
                <w:sz w:val="24"/>
              </w:rPr>
            </w:pPr>
            <w:r>
              <w:rPr>
                <w:rFonts w:hint="eastAsia" w:ascii="宋体" w:hAnsi="宋体" w:eastAsia="宋体" w:cs="宋体"/>
                <w:kern w:val="0"/>
                <w:sz w:val="24"/>
              </w:rPr>
              <w:t>参加工作时间</w:t>
            </w:r>
          </w:p>
        </w:tc>
        <w:tc>
          <w:tcPr>
            <w:tcW w:w="1983" w:type="dxa"/>
            <w:gridSpan w:val="2"/>
            <w:tcBorders>
              <w:top w:val="single" w:color="000000" w:sz="4" w:space="0"/>
              <w:left w:val="nil"/>
              <w:bottom w:val="single" w:color="000000" w:sz="4" w:space="0"/>
              <w:right w:val="single" w:color="000000" w:sz="4" w:space="0"/>
            </w:tcBorders>
            <w:shd w:val="clear" w:color="auto" w:fill="FFFFFF"/>
            <w:noWrap/>
            <w:vAlign w:val="center"/>
          </w:tcPr>
          <w:p w14:paraId="6F7D24DA">
            <w:pPr>
              <w:widowControl/>
              <w:ind w:left="-205" w:leftChars="-137" w:hanging="288" w:hangingChars="120"/>
              <w:jc w:val="left"/>
              <w:rPr>
                <w:rFonts w:ascii="宋体" w:hAnsi="宋体" w:eastAsia="宋体" w:cs="宋体"/>
                <w:kern w:val="0"/>
                <w:sz w:val="24"/>
              </w:rPr>
            </w:pPr>
          </w:p>
        </w:tc>
        <w:tc>
          <w:tcPr>
            <w:tcW w:w="3021" w:type="dxa"/>
            <w:gridSpan w:val="3"/>
            <w:tcBorders>
              <w:top w:val="single" w:color="000000" w:sz="4" w:space="0"/>
              <w:left w:val="nil"/>
              <w:bottom w:val="single" w:color="000000" w:sz="4" w:space="0"/>
              <w:right w:val="single" w:color="000000" w:sz="4" w:space="0"/>
            </w:tcBorders>
            <w:shd w:val="clear" w:color="auto" w:fill="FFFFFF"/>
            <w:noWrap/>
            <w:vAlign w:val="center"/>
          </w:tcPr>
          <w:p w14:paraId="350F5ACA">
            <w:pPr>
              <w:widowControl/>
              <w:jc w:val="center"/>
              <w:rPr>
                <w:rFonts w:ascii="宋体" w:hAnsi="宋体" w:eastAsia="宋体" w:cs="宋体"/>
                <w:kern w:val="0"/>
                <w:sz w:val="24"/>
              </w:rPr>
            </w:pPr>
            <w:r>
              <w:rPr>
                <w:rFonts w:hint="eastAsia" w:ascii="宋体" w:hAnsi="宋体" w:eastAsia="宋体" w:cs="宋体"/>
                <w:kern w:val="0"/>
                <w:sz w:val="24"/>
              </w:rPr>
              <w:t>从事技术负责人年限</w:t>
            </w:r>
          </w:p>
        </w:tc>
        <w:tc>
          <w:tcPr>
            <w:tcW w:w="1867" w:type="dxa"/>
            <w:tcBorders>
              <w:top w:val="nil"/>
              <w:left w:val="nil"/>
              <w:bottom w:val="single" w:color="000000" w:sz="4" w:space="0"/>
              <w:right w:val="single" w:color="000000" w:sz="4" w:space="0"/>
            </w:tcBorders>
            <w:shd w:val="clear" w:color="auto" w:fill="FFFFFF"/>
            <w:noWrap/>
            <w:vAlign w:val="center"/>
          </w:tcPr>
          <w:p w14:paraId="674746D5">
            <w:pPr>
              <w:widowControl/>
              <w:jc w:val="left"/>
              <w:rPr>
                <w:rFonts w:ascii="宋体" w:hAnsi="宋体" w:eastAsia="宋体" w:cs="宋体"/>
                <w:kern w:val="0"/>
                <w:sz w:val="24"/>
              </w:rPr>
            </w:pPr>
            <w:r>
              <w:rPr>
                <w:rFonts w:hint="eastAsia" w:ascii="宋体" w:hAnsi="宋体" w:eastAsia="宋体" w:cs="宋体"/>
                <w:kern w:val="0"/>
                <w:sz w:val="24"/>
              </w:rPr>
              <w:t>　</w:t>
            </w:r>
          </w:p>
        </w:tc>
      </w:tr>
      <w:tr w14:paraId="602FEB82">
        <w:tblPrEx>
          <w:tblCellMar>
            <w:top w:w="0" w:type="dxa"/>
            <w:left w:w="108" w:type="dxa"/>
            <w:bottom w:w="0" w:type="dxa"/>
            <w:right w:w="108" w:type="dxa"/>
          </w:tblCellMar>
        </w:tblPrEx>
        <w:trPr>
          <w:trHeight w:val="513"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7CEEFE">
            <w:pPr>
              <w:widowControl/>
              <w:jc w:val="center"/>
              <w:rPr>
                <w:rFonts w:ascii="宋体" w:hAnsi="宋体" w:eastAsia="宋体" w:cs="宋体"/>
                <w:kern w:val="0"/>
                <w:sz w:val="24"/>
              </w:rPr>
            </w:pPr>
            <w:r>
              <w:rPr>
                <w:rFonts w:hint="eastAsia" w:ascii="宋体" w:hAnsi="宋体" w:eastAsia="宋体" w:cs="宋体"/>
                <w:kern w:val="0"/>
                <w:sz w:val="24"/>
              </w:rPr>
              <w:t>证书号</w:t>
            </w:r>
          </w:p>
        </w:tc>
        <w:tc>
          <w:tcPr>
            <w:tcW w:w="2647" w:type="dxa"/>
            <w:gridSpan w:val="3"/>
            <w:tcBorders>
              <w:top w:val="single" w:color="000000" w:sz="4" w:space="0"/>
              <w:left w:val="nil"/>
              <w:bottom w:val="single" w:color="000000" w:sz="4" w:space="0"/>
              <w:right w:val="single" w:color="000000" w:sz="4" w:space="0"/>
            </w:tcBorders>
            <w:shd w:val="clear" w:color="auto" w:fill="FFFFFF"/>
            <w:noWrap/>
            <w:vAlign w:val="center"/>
          </w:tcPr>
          <w:p w14:paraId="7A6D1F8D">
            <w:pPr>
              <w:widowControl/>
              <w:jc w:val="center"/>
              <w:rPr>
                <w:rFonts w:ascii="宋体" w:hAnsi="宋体" w:eastAsia="宋体" w:cs="宋体"/>
                <w:kern w:val="0"/>
                <w:sz w:val="24"/>
              </w:rPr>
            </w:pPr>
            <w:r>
              <w:rPr>
                <w:rFonts w:hint="eastAsia" w:ascii="宋体" w:hAnsi="宋体" w:eastAsia="宋体" w:cs="宋体"/>
                <w:kern w:val="0"/>
                <w:sz w:val="24"/>
              </w:rPr>
              <w:t>　</w:t>
            </w:r>
          </w:p>
        </w:tc>
        <w:tc>
          <w:tcPr>
            <w:tcW w:w="1116" w:type="dxa"/>
            <w:tcBorders>
              <w:top w:val="nil"/>
              <w:left w:val="nil"/>
              <w:bottom w:val="single" w:color="000000" w:sz="4" w:space="0"/>
              <w:right w:val="single" w:color="000000" w:sz="4" w:space="0"/>
            </w:tcBorders>
            <w:shd w:val="clear" w:color="auto" w:fill="FFFFFF"/>
            <w:noWrap/>
            <w:vAlign w:val="center"/>
          </w:tcPr>
          <w:p w14:paraId="2C9D12BF">
            <w:pPr>
              <w:widowControl/>
              <w:jc w:val="center"/>
              <w:rPr>
                <w:rFonts w:ascii="宋体" w:hAnsi="宋体" w:eastAsia="宋体" w:cs="宋体"/>
                <w:kern w:val="0"/>
                <w:sz w:val="24"/>
              </w:rPr>
            </w:pPr>
            <w:r>
              <w:rPr>
                <w:rFonts w:hint="eastAsia" w:ascii="宋体" w:hAnsi="宋体" w:eastAsia="宋体" w:cs="宋体"/>
                <w:kern w:val="0"/>
                <w:sz w:val="24"/>
              </w:rPr>
              <w:t>身份证</w:t>
            </w:r>
          </w:p>
        </w:tc>
        <w:tc>
          <w:tcPr>
            <w:tcW w:w="3772" w:type="dxa"/>
            <w:gridSpan w:val="3"/>
            <w:tcBorders>
              <w:top w:val="single" w:color="000000" w:sz="4" w:space="0"/>
              <w:left w:val="nil"/>
              <w:bottom w:val="single" w:color="000000" w:sz="4" w:space="0"/>
              <w:right w:val="single" w:color="000000" w:sz="4" w:space="0"/>
            </w:tcBorders>
            <w:shd w:val="clear" w:color="auto" w:fill="FFFFFF"/>
            <w:noWrap/>
            <w:vAlign w:val="center"/>
          </w:tcPr>
          <w:p w14:paraId="33F68DBA">
            <w:pPr>
              <w:widowControl/>
              <w:jc w:val="center"/>
              <w:rPr>
                <w:rFonts w:ascii="宋体" w:hAnsi="宋体" w:eastAsia="宋体" w:cs="宋体"/>
                <w:kern w:val="0"/>
                <w:sz w:val="24"/>
              </w:rPr>
            </w:pPr>
            <w:r>
              <w:rPr>
                <w:rFonts w:hint="eastAsia" w:ascii="宋体" w:hAnsi="宋体" w:eastAsia="宋体" w:cs="宋体"/>
                <w:kern w:val="0"/>
                <w:sz w:val="24"/>
              </w:rPr>
              <w:t>　</w:t>
            </w:r>
          </w:p>
        </w:tc>
      </w:tr>
      <w:tr w14:paraId="05AB8701">
        <w:tblPrEx>
          <w:tblCellMar>
            <w:top w:w="0" w:type="dxa"/>
            <w:left w:w="108" w:type="dxa"/>
            <w:bottom w:w="0" w:type="dxa"/>
            <w:right w:w="108" w:type="dxa"/>
          </w:tblCellMar>
        </w:tblPrEx>
        <w:trPr>
          <w:cantSplit/>
          <w:trHeight w:val="6803" w:hRule="atLeast"/>
        </w:trPr>
        <w:tc>
          <w:tcPr>
            <w:tcW w:w="1089" w:type="dxa"/>
            <w:vMerge w:val="restart"/>
            <w:tcBorders>
              <w:top w:val="nil"/>
              <w:left w:val="single" w:color="000000" w:sz="4" w:space="0"/>
              <w:bottom w:val="single" w:color="000000" w:sz="4" w:space="0"/>
              <w:right w:val="single" w:color="000000" w:sz="4" w:space="0"/>
            </w:tcBorders>
            <w:shd w:val="clear" w:color="auto" w:fill="FFFFFF"/>
            <w:noWrap/>
            <w:vAlign w:val="center"/>
          </w:tcPr>
          <w:p w14:paraId="740E252A">
            <w:pPr>
              <w:widowControl/>
              <w:jc w:val="center"/>
              <w:rPr>
                <w:rFonts w:ascii="宋体" w:hAnsi="宋体" w:eastAsia="宋体" w:cs="宋体"/>
                <w:kern w:val="0"/>
                <w:sz w:val="24"/>
              </w:rPr>
            </w:pPr>
            <w:r>
              <w:rPr>
                <w:rFonts w:hint="eastAsia" w:ascii="宋体" w:hAnsi="宋体" w:eastAsia="宋体" w:cs="宋体"/>
                <w:kern w:val="0"/>
                <w:sz w:val="24"/>
              </w:rPr>
              <w:t>简</w:t>
            </w:r>
          </w:p>
          <w:p w14:paraId="012A0424">
            <w:pPr>
              <w:widowControl/>
              <w:jc w:val="center"/>
              <w:rPr>
                <w:rFonts w:ascii="宋体" w:hAnsi="宋体" w:eastAsia="宋体" w:cs="宋体"/>
                <w:kern w:val="0"/>
                <w:sz w:val="24"/>
              </w:rPr>
            </w:pPr>
          </w:p>
          <w:p w14:paraId="68C13856">
            <w:pPr>
              <w:widowControl/>
              <w:jc w:val="center"/>
              <w:rPr>
                <w:rFonts w:ascii="宋体" w:hAnsi="宋体" w:eastAsia="宋体" w:cs="宋体"/>
                <w:kern w:val="0"/>
                <w:sz w:val="24"/>
              </w:rPr>
            </w:pPr>
          </w:p>
          <w:p w14:paraId="1221C6ED">
            <w:pPr>
              <w:widowControl/>
              <w:jc w:val="center"/>
              <w:rPr>
                <w:rFonts w:ascii="宋体" w:hAnsi="宋体" w:eastAsia="宋体" w:cs="宋体"/>
                <w:kern w:val="0"/>
                <w:sz w:val="24"/>
              </w:rPr>
            </w:pPr>
          </w:p>
          <w:p w14:paraId="45512490">
            <w:pPr>
              <w:widowControl/>
              <w:jc w:val="center"/>
              <w:rPr>
                <w:rFonts w:ascii="宋体" w:hAnsi="宋体" w:eastAsia="宋体" w:cs="宋体"/>
                <w:kern w:val="0"/>
                <w:sz w:val="24"/>
              </w:rPr>
            </w:pPr>
          </w:p>
          <w:p w14:paraId="06C47236">
            <w:pPr>
              <w:widowControl/>
              <w:jc w:val="center"/>
              <w:rPr>
                <w:rFonts w:ascii="宋体" w:hAnsi="宋体" w:eastAsia="宋体" w:cs="宋体"/>
                <w:kern w:val="0"/>
                <w:sz w:val="24"/>
              </w:rPr>
            </w:pPr>
          </w:p>
          <w:p w14:paraId="7C10CFBE">
            <w:pPr>
              <w:widowControl/>
              <w:jc w:val="center"/>
              <w:rPr>
                <w:rFonts w:ascii="宋体" w:hAnsi="宋体" w:eastAsia="宋体" w:cs="宋体"/>
                <w:kern w:val="0"/>
                <w:sz w:val="24"/>
              </w:rPr>
            </w:pPr>
            <w:r>
              <w:rPr>
                <w:rFonts w:hint="eastAsia" w:ascii="宋体" w:hAnsi="宋体" w:eastAsia="宋体" w:cs="宋体"/>
                <w:kern w:val="0"/>
                <w:sz w:val="24"/>
              </w:rPr>
              <w:t>历</w:t>
            </w:r>
          </w:p>
        </w:tc>
        <w:tc>
          <w:tcPr>
            <w:tcW w:w="7814"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noWrap/>
          </w:tcPr>
          <w:p w14:paraId="75BD8287">
            <w:pPr>
              <w:widowControl/>
              <w:jc w:val="left"/>
              <w:rPr>
                <w:rFonts w:ascii="宋体" w:hAnsi="宋体" w:eastAsia="宋体" w:cs="宋体"/>
                <w:kern w:val="0"/>
                <w:sz w:val="24"/>
              </w:rPr>
            </w:pPr>
          </w:p>
        </w:tc>
      </w:tr>
      <w:tr w14:paraId="02364140">
        <w:tblPrEx>
          <w:tblCellMar>
            <w:top w:w="0" w:type="dxa"/>
            <w:left w:w="108" w:type="dxa"/>
            <w:bottom w:w="0" w:type="dxa"/>
            <w:right w:w="108" w:type="dxa"/>
          </w:tblCellMar>
        </w:tblPrEx>
        <w:trPr>
          <w:trHeight w:val="285" w:hRule="atLeast"/>
        </w:trPr>
        <w:tc>
          <w:tcPr>
            <w:tcW w:w="1089" w:type="dxa"/>
            <w:vMerge w:val="continue"/>
            <w:tcBorders>
              <w:top w:val="nil"/>
              <w:left w:val="single" w:color="000000" w:sz="4" w:space="0"/>
              <w:bottom w:val="single" w:color="000000" w:sz="4" w:space="0"/>
              <w:right w:val="single" w:color="000000" w:sz="4" w:space="0"/>
            </w:tcBorders>
            <w:noWrap/>
            <w:vAlign w:val="center"/>
          </w:tcPr>
          <w:p w14:paraId="0735338A">
            <w:pPr>
              <w:widowControl/>
              <w:jc w:val="left"/>
              <w:rPr>
                <w:rFonts w:ascii="宋体" w:hAnsi="宋体" w:eastAsia="宋体" w:cs="宋体"/>
                <w:kern w:val="0"/>
                <w:sz w:val="22"/>
                <w:szCs w:val="22"/>
              </w:rPr>
            </w:pPr>
          </w:p>
        </w:tc>
        <w:tc>
          <w:tcPr>
            <w:tcW w:w="7814" w:type="dxa"/>
            <w:gridSpan w:val="8"/>
            <w:vMerge w:val="continue"/>
            <w:tcBorders>
              <w:top w:val="single" w:color="000000" w:sz="4" w:space="0"/>
              <w:left w:val="single" w:color="000000" w:sz="4" w:space="0"/>
              <w:bottom w:val="single" w:color="000000" w:sz="4" w:space="0"/>
              <w:right w:val="single" w:color="000000" w:sz="4" w:space="0"/>
            </w:tcBorders>
            <w:noWrap/>
            <w:vAlign w:val="center"/>
          </w:tcPr>
          <w:p w14:paraId="2AA6C277">
            <w:pPr>
              <w:widowControl/>
              <w:jc w:val="left"/>
              <w:rPr>
                <w:rFonts w:ascii="宋体" w:hAnsi="宋体" w:eastAsia="宋体" w:cs="宋体"/>
                <w:kern w:val="0"/>
                <w:sz w:val="22"/>
                <w:szCs w:val="22"/>
              </w:rPr>
            </w:pPr>
          </w:p>
        </w:tc>
      </w:tr>
    </w:tbl>
    <w:p w14:paraId="2103BA3A">
      <w:pPr>
        <w:spacing w:line="360" w:lineRule="auto"/>
        <w:rPr>
          <w:rFonts w:hAnsi="宋体" w:eastAsia="宋体" w:cs="宋体"/>
          <w:szCs w:val="21"/>
        </w:rPr>
      </w:pPr>
      <w:r>
        <w:rPr>
          <w:rFonts w:hint="eastAsia" w:ascii="宋体" w:hAnsi="宋体" w:eastAsia="宋体" w:cs="宋体"/>
          <w:b/>
          <w:bCs/>
          <w:sz w:val="21"/>
          <w:szCs w:val="21"/>
        </w:rPr>
        <w:t>注：</w:t>
      </w:r>
      <w:r>
        <w:rPr>
          <w:rFonts w:hint="eastAsia" w:ascii="宋体" w:hAnsi="宋体" w:eastAsia="宋体" w:cs="宋体"/>
          <w:b/>
          <w:bCs/>
          <w:kern w:val="0"/>
          <w:sz w:val="21"/>
          <w:szCs w:val="21"/>
        </w:rPr>
        <w:t>1、表格后面附上项目技术负责人职称证书及社保证明。</w:t>
      </w:r>
    </w:p>
    <w:p w14:paraId="2B807FCA">
      <w:pPr>
        <w:pStyle w:val="15"/>
        <w:spacing w:before="60" w:after="60" w:line="500" w:lineRule="exact"/>
        <w:ind w:firstLine="3570" w:firstLineChars="1700"/>
        <w:rPr>
          <w:rFonts w:hAnsi="宋体" w:eastAsia="宋体" w:cs="宋体"/>
          <w:szCs w:val="21"/>
        </w:rPr>
      </w:pPr>
      <w:r>
        <w:rPr>
          <w:rFonts w:hint="eastAsia" w:hAnsi="宋体" w:eastAsia="宋体" w:cs="宋体"/>
          <w:szCs w:val="21"/>
        </w:rPr>
        <w:t>法定代表人(或全权代表)签字或盖章：</w:t>
      </w:r>
    </w:p>
    <w:p w14:paraId="32027A46">
      <w:pPr>
        <w:pStyle w:val="50"/>
        <w:ind w:firstLine="420" w:firstLineChars="200"/>
        <w:rPr>
          <w:rFonts w:ascii="宋体" w:hAnsi="宋体" w:cs="宋体"/>
          <w:bCs/>
          <w:kern w:val="0"/>
          <w:szCs w:val="21"/>
        </w:rPr>
      </w:pPr>
    </w:p>
    <w:p w14:paraId="514BA0AC">
      <w:pPr>
        <w:spacing w:line="360" w:lineRule="auto"/>
        <w:ind w:firstLine="4200" w:firstLineChars="2000"/>
        <w:rPr>
          <w:rFonts w:ascii="宋体" w:hAnsi="宋体" w:eastAsia="宋体" w:cs="宋体"/>
          <w:sz w:val="21"/>
          <w:szCs w:val="21"/>
          <w:lang w:val="zh-CN"/>
        </w:rPr>
      </w:pPr>
      <w:r>
        <w:rPr>
          <w:rFonts w:hint="eastAsia" w:ascii="宋体" w:hAnsi="宋体" w:eastAsia="宋体" w:cs="宋体"/>
          <w:sz w:val="21"/>
          <w:szCs w:val="21"/>
        </w:rPr>
        <w:t>磋商人</w:t>
      </w:r>
      <w:r>
        <w:rPr>
          <w:rFonts w:hint="eastAsia" w:ascii="宋体" w:hAnsi="宋体" w:eastAsia="宋体" w:cs="宋体"/>
          <w:sz w:val="21"/>
          <w:szCs w:val="21"/>
          <w:lang w:val="zh-CN"/>
        </w:rPr>
        <w:t>（盖单位章）：</w:t>
      </w:r>
    </w:p>
    <w:p w14:paraId="57C86715">
      <w:pPr>
        <w:ind w:firstLine="5040" w:firstLineChars="2400"/>
        <w:rPr>
          <w:rFonts w:ascii="宋体" w:hAnsi="宋体" w:eastAsia="宋体" w:cs="宋体"/>
          <w:sz w:val="21"/>
          <w:szCs w:val="21"/>
          <w:lang w:val="zh-CN"/>
        </w:rPr>
      </w:pPr>
      <w:r>
        <w:rPr>
          <w:rFonts w:hint="eastAsia" w:ascii="宋体" w:hAnsi="宋体" w:eastAsia="宋体" w:cs="宋体"/>
          <w:sz w:val="21"/>
          <w:szCs w:val="21"/>
          <w:lang w:val="zh-CN"/>
        </w:rPr>
        <w:t>日期：</w:t>
      </w:r>
    </w:p>
    <w:p w14:paraId="5524388A">
      <w:pPr>
        <w:rPr>
          <w:rFonts w:ascii="宋体" w:hAnsi="宋体" w:eastAsia="宋体" w:cs="宋体"/>
          <w:b/>
          <w:sz w:val="24"/>
        </w:rPr>
      </w:pPr>
    </w:p>
    <w:p w14:paraId="7CFF96B9">
      <w:pPr>
        <w:rPr>
          <w:rFonts w:ascii="宋体" w:hAnsi="宋体" w:eastAsia="宋体" w:cs="宋体"/>
          <w:b/>
          <w:sz w:val="24"/>
        </w:rPr>
      </w:pPr>
      <w:r>
        <w:rPr>
          <w:rFonts w:hint="eastAsia" w:ascii="宋体" w:hAnsi="宋体" w:eastAsia="宋体" w:cs="宋体"/>
          <w:b/>
          <w:sz w:val="24"/>
        </w:rPr>
        <w:br w:type="page"/>
      </w:r>
    </w:p>
    <w:p w14:paraId="3DA7089C">
      <w:pPr>
        <w:rPr>
          <w:rFonts w:ascii="宋体" w:hAnsi="宋体" w:eastAsia="宋体" w:cs="宋体"/>
          <w:b/>
          <w:sz w:val="24"/>
        </w:rPr>
      </w:pPr>
      <w:r>
        <w:rPr>
          <w:rFonts w:hint="eastAsia" w:ascii="宋体" w:hAnsi="宋体" w:eastAsia="宋体" w:cs="宋体"/>
          <w:b/>
          <w:sz w:val="24"/>
        </w:rPr>
        <w:t>附表十一：</w:t>
      </w:r>
      <w:bookmarkEnd w:id="525"/>
      <w:bookmarkEnd w:id="526"/>
      <w:bookmarkEnd w:id="527"/>
      <w:bookmarkEnd w:id="528"/>
    </w:p>
    <w:p w14:paraId="25E7995A">
      <w:pPr>
        <w:tabs>
          <w:tab w:val="left" w:pos="720"/>
        </w:tabs>
        <w:spacing w:line="360" w:lineRule="auto"/>
        <w:jc w:val="center"/>
        <w:outlineLvl w:val="0"/>
        <w:rPr>
          <w:rFonts w:ascii="宋体" w:hAnsi="宋体" w:eastAsia="宋体" w:cs="宋体"/>
          <w:b/>
          <w:sz w:val="32"/>
          <w:szCs w:val="32"/>
        </w:rPr>
      </w:pPr>
      <w:r>
        <w:rPr>
          <w:rFonts w:hint="eastAsia" w:ascii="宋体" w:hAnsi="宋体" w:eastAsia="宋体" w:cs="宋体"/>
          <w:b/>
          <w:sz w:val="32"/>
          <w:szCs w:val="32"/>
        </w:rPr>
        <w:t>拟投入的主要施工设备表</w:t>
      </w:r>
    </w:p>
    <w:tbl>
      <w:tblPr>
        <w:tblStyle w:val="29"/>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938"/>
        <w:gridCol w:w="940"/>
        <w:gridCol w:w="939"/>
        <w:gridCol w:w="940"/>
        <w:gridCol w:w="942"/>
        <w:gridCol w:w="960"/>
        <w:gridCol w:w="942"/>
        <w:gridCol w:w="1303"/>
        <w:gridCol w:w="943"/>
      </w:tblGrid>
      <w:tr w14:paraId="7D714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791" w:type="dxa"/>
            <w:noWrap/>
            <w:vAlign w:val="center"/>
          </w:tcPr>
          <w:p w14:paraId="5FE33C36">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938" w:type="dxa"/>
            <w:noWrap/>
            <w:vAlign w:val="center"/>
          </w:tcPr>
          <w:p w14:paraId="350F999D">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设备</w:t>
            </w:r>
          </w:p>
          <w:p w14:paraId="20670E93">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940" w:type="dxa"/>
            <w:noWrap/>
            <w:vAlign w:val="center"/>
          </w:tcPr>
          <w:p w14:paraId="028C244E">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型号</w:t>
            </w:r>
          </w:p>
          <w:p w14:paraId="2F334DF1">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规格</w:t>
            </w:r>
          </w:p>
        </w:tc>
        <w:tc>
          <w:tcPr>
            <w:tcW w:w="939" w:type="dxa"/>
            <w:noWrap/>
            <w:vAlign w:val="center"/>
          </w:tcPr>
          <w:p w14:paraId="7D755F55">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数量</w:t>
            </w:r>
          </w:p>
        </w:tc>
        <w:tc>
          <w:tcPr>
            <w:tcW w:w="940" w:type="dxa"/>
            <w:noWrap/>
            <w:vAlign w:val="center"/>
          </w:tcPr>
          <w:p w14:paraId="3FDED233">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国别</w:t>
            </w:r>
          </w:p>
          <w:p w14:paraId="498CBF8F">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产地</w:t>
            </w:r>
          </w:p>
        </w:tc>
        <w:tc>
          <w:tcPr>
            <w:tcW w:w="942" w:type="dxa"/>
            <w:noWrap/>
            <w:vAlign w:val="center"/>
          </w:tcPr>
          <w:p w14:paraId="606B8BB8">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制造</w:t>
            </w:r>
          </w:p>
          <w:p w14:paraId="493828EE">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年份</w:t>
            </w:r>
          </w:p>
        </w:tc>
        <w:tc>
          <w:tcPr>
            <w:tcW w:w="960" w:type="dxa"/>
            <w:noWrap/>
            <w:vAlign w:val="center"/>
          </w:tcPr>
          <w:p w14:paraId="6D02F824">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额定功率（KW）</w:t>
            </w:r>
          </w:p>
        </w:tc>
        <w:tc>
          <w:tcPr>
            <w:tcW w:w="942" w:type="dxa"/>
            <w:noWrap/>
            <w:vAlign w:val="center"/>
          </w:tcPr>
          <w:p w14:paraId="740E3A40">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生产</w:t>
            </w:r>
          </w:p>
          <w:p w14:paraId="27944331">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能力</w:t>
            </w:r>
          </w:p>
        </w:tc>
        <w:tc>
          <w:tcPr>
            <w:tcW w:w="1303" w:type="dxa"/>
            <w:noWrap/>
            <w:vAlign w:val="center"/>
          </w:tcPr>
          <w:p w14:paraId="7CDCAB6A">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用于施工部位</w:t>
            </w:r>
          </w:p>
        </w:tc>
        <w:tc>
          <w:tcPr>
            <w:tcW w:w="943" w:type="dxa"/>
            <w:noWrap/>
            <w:vAlign w:val="center"/>
          </w:tcPr>
          <w:p w14:paraId="108774AC">
            <w:pPr>
              <w:tabs>
                <w:tab w:val="left" w:pos="720"/>
              </w:tabs>
              <w:spacing w:line="240" w:lineRule="atLeast"/>
              <w:jc w:val="center"/>
              <w:rPr>
                <w:rFonts w:ascii="宋体" w:hAnsi="宋体" w:eastAsia="宋体" w:cs="宋体"/>
                <w:b/>
                <w:bCs/>
                <w:sz w:val="21"/>
                <w:szCs w:val="21"/>
              </w:rPr>
            </w:pPr>
            <w:r>
              <w:rPr>
                <w:rFonts w:hint="eastAsia" w:ascii="宋体" w:hAnsi="宋体" w:eastAsia="宋体" w:cs="宋体"/>
                <w:b/>
                <w:bCs/>
                <w:sz w:val="21"/>
                <w:szCs w:val="21"/>
              </w:rPr>
              <w:t>备注</w:t>
            </w:r>
          </w:p>
        </w:tc>
      </w:tr>
      <w:tr w14:paraId="27858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91" w:type="dxa"/>
            <w:noWrap/>
            <w:vAlign w:val="center"/>
          </w:tcPr>
          <w:p w14:paraId="70714551">
            <w:pPr>
              <w:spacing w:line="440" w:lineRule="exact"/>
              <w:jc w:val="center"/>
              <w:rPr>
                <w:rFonts w:ascii="宋体" w:hAnsi="宋体" w:eastAsia="宋体" w:cs="宋体"/>
                <w:sz w:val="21"/>
                <w:szCs w:val="21"/>
              </w:rPr>
            </w:pPr>
          </w:p>
        </w:tc>
        <w:tc>
          <w:tcPr>
            <w:tcW w:w="938" w:type="dxa"/>
            <w:noWrap/>
            <w:vAlign w:val="center"/>
          </w:tcPr>
          <w:p w14:paraId="2630236A">
            <w:pPr>
              <w:spacing w:line="440" w:lineRule="exact"/>
              <w:jc w:val="center"/>
              <w:rPr>
                <w:rFonts w:ascii="宋体" w:hAnsi="宋体" w:eastAsia="宋体" w:cs="宋体"/>
                <w:sz w:val="21"/>
                <w:szCs w:val="21"/>
              </w:rPr>
            </w:pPr>
          </w:p>
        </w:tc>
        <w:tc>
          <w:tcPr>
            <w:tcW w:w="940" w:type="dxa"/>
            <w:noWrap/>
            <w:vAlign w:val="center"/>
          </w:tcPr>
          <w:p w14:paraId="178327EE">
            <w:pPr>
              <w:spacing w:line="440" w:lineRule="exact"/>
              <w:jc w:val="center"/>
              <w:rPr>
                <w:rFonts w:ascii="宋体" w:hAnsi="宋体" w:eastAsia="宋体" w:cs="宋体"/>
                <w:sz w:val="21"/>
                <w:szCs w:val="21"/>
              </w:rPr>
            </w:pPr>
          </w:p>
        </w:tc>
        <w:tc>
          <w:tcPr>
            <w:tcW w:w="939" w:type="dxa"/>
            <w:noWrap/>
            <w:vAlign w:val="center"/>
          </w:tcPr>
          <w:p w14:paraId="3BF2AAAB">
            <w:pPr>
              <w:spacing w:line="440" w:lineRule="exact"/>
              <w:jc w:val="center"/>
              <w:rPr>
                <w:rFonts w:ascii="宋体" w:hAnsi="宋体" w:eastAsia="宋体" w:cs="宋体"/>
                <w:sz w:val="21"/>
                <w:szCs w:val="21"/>
              </w:rPr>
            </w:pPr>
          </w:p>
        </w:tc>
        <w:tc>
          <w:tcPr>
            <w:tcW w:w="940" w:type="dxa"/>
            <w:noWrap/>
            <w:vAlign w:val="center"/>
          </w:tcPr>
          <w:p w14:paraId="52C637B9">
            <w:pPr>
              <w:spacing w:line="440" w:lineRule="exact"/>
              <w:jc w:val="center"/>
              <w:rPr>
                <w:rFonts w:ascii="宋体" w:hAnsi="宋体" w:eastAsia="宋体" w:cs="宋体"/>
                <w:sz w:val="21"/>
                <w:szCs w:val="21"/>
              </w:rPr>
            </w:pPr>
          </w:p>
        </w:tc>
        <w:tc>
          <w:tcPr>
            <w:tcW w:w="942" w:type="dxa"/>
            <w:noWrap/>
            <w:vAlign w:val="center"/>
          </w:tcPr>
          <w:p w14:paraId="78B306E1">
            <w:pPr>
              <w:spacing w:line="440" w:lineRule="exact"/>
              <w:jc w:val="center"/>
              <w:rPr>
                <w:rFonts w:ascii="宋体" w:hAnsi="宋体" w:eastAsia="宋体" w:cs="宋体"/>
                <w:sz w:val="21"/>
                <w:szCs w:val="21"/>
              </w:rPr>
            </w:pPr>
          </w:p>
        </w:tc>
        <w:tc>
          <w:tcPr>
            <w:tcW w:w="960" w:type="dxa"/>
            <w:noWrap/>
            <w:vAlign w:val="center"/>
          </w:tcPr>
          <w:p w14:paraId="4F126E74">
            <w:pPr>
              <w:spacing w:line="440" w:lineRule="exact"/>
              <w:jc w:val="center"/>
              <w:rPr>
                <w:rFonts w:ascii="宋体" w:hAnsi="宋体" w:eastAsia="宋体" w:cs="宋体"/>
                <w:sz w:val="21"/>
                <w:szCs w:val="21"/>
              </w:rPr>
            </w:pPr>
          </w:p>
        </w:tc>
        <w:tc>
          <w:tcPr>
            <w:tcW w:w="942" w:type="dxa"/>
            <w:noWrap/>
            <w:vAlign w:val="center"/>
          </w:tcPr>
          <w:p w14:paraId="663EF3E4">
            <w:pPr>
              <w:spacing w:line="440" w:lineRule="exact"/>
              <w:jc w:val="center"/>
              <w:rPr>
                <w:rFonts w:ascii="宋体" w:hAnsi="宋体" w:eastAsia="宋体" w:cs="宋体"/>
                <w:sz w:val="21"/>
                <w:szCs w:val="21"/>
              </w:rPr>
            </w:pPr>
          </w:p>
        </w:tc>
        <w:tc>
          <w:tcPr>
            <w:tcW w:w="1303" w:type="dxa"/>
            <w:noWrap/>
            <w:vAlign w:val="center"/>
          </w:tcPr>
          <w:p w14:paraId="3BF77A87">
            <w:pPr>
              <w:spacing w:line="440" w:lineRule="exact"/>
              <w:jc w:val="center"/>
              <w:rPr>
                <w:rFonts w:ascii="宋体" w:hAnsi="宋体" w:eastAsia="宋体" w:cs="宋体"/>
                <w:sz w:val="21"/>
                <w:szCs w:val="21"/>
              </w:rPr>
            </w:pPr>
          </w:p>
        </w:tc>
        <w:tc>
          <w:tcPr>
            <w:tcW w:w="943" w:type="dxa"/>
            <w:noWrap/>
            <w:vAlign w:val="center"/>
          </w:tcPr>
          <w:p w14:paraId="2D9B7EA6">
            <w:pPr>
              <w:spacing w:line="440" w:lineRule="exact"/>
              <w:jc w:val="center"/>
              <w:rPr>
                <w:rFonts w:ascii="宋体" w:hAnsi="宋体" w:eastAsia="宋体" w:cs="宋体"/>
                <w:sz w:val="21"/>
                <w:szCs w:val="21"/>
              </w:rPr>
            </w:pPr>
          </w:p>
        </w:tc>
      </w:tr>
      <w:tr w14:paraId="65D07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91" w:type="dxa"/>
            <w:noWrap/>
            <w:vAlign w:val="center"/>
          </w:tcPr>
          <w:p w14:paraId="6C33E4EF">
            <w:pPr>
              <w:spacing w:line="440" w:lineRule="exact"/>
              <w:jc w:val="center"/>
              <w:rPr>
                <w:rFonts w:ascii="宋体" w:hAnsi="宋体" w:eastAsia="宋体" w:cs="宋体"/>
                <w:sz w:val="21"/>
                <w:szCs w:val="21"/>
              </w:rPr>
            </w:pPr>
          </w:p>
        </w:tc>
        <w:tc>
          <w:tcPr>
            <w:tcW w:w="938" w:type="dxa"/>
            <w:noWrap/>
            <w:vAlign w:val="center"/>
          </w:tcPr>
          <w:p w14:paraId="564F88E0">
            <w:pPr>
              <w:spacing w:line="440" w:lineRule="exact"/>
              <w:jc w:val="center"/>
              <w:rPr>
                <w:rFonts w:ascii="宋体" w:hAnsi="宋体" w:eastAsia="宋体" w:cs="宋体"/>
                <w:sz w:val="21"/>
                <w:szCs w:val="21"/>
              </w:rPr>
            </w:pPr>
          </w:p>
        </w:tc>
        <w:tc>
          <w:tcPr>
            <w:tcW w:w="940" w:type="dxa"/>
            <w:noWrap/>
            <w:vAlign w:val="center"/>
          </w:tcPr>
          <w:p w14:paraId="724A8B27">
            <w:pPr>
              <w:spacing w:line="440" w:lineRule="exact"/>
              <w:jc w:val="center"/>
              <w:rPr>
                <w:rFonts w:ascii="宋体" w:hAnsi="宋体" w:eastAsia="宋体" w:cs="宋体"/>
                <w:sz w:val="21"/>
                <w:szCs w:val="21"/>
              </w:rPr>
            </w:pPr>
          </w:p>
        </w:tc>
        <w:tc>
          <w:tcPr>
            <w:tcW w:w="939" w:type="dxa"/>
            <w:noWrap/>
            <w:vAlign w:val="center"/>
          </w:tcPr>
          <w:p w14:paraId="2C6622B6">
            <w:pPr>
              <w:spacing w:line="440" w:lineRule="exact"/>
              <w:jc w:val="center"/>
              <w:rPr>
                <w:rFonts w:ascii="宋体" w:hAnsi="宋体" w:eastAsia="宋体" w:cs="宋体"/>
                <w:sz w:val="21"/>
                <w:szCs w:val="21"/>
              </w:rPr>
            </w:pPr>
          </w:p>
        </w:tc>
        <w:tc>
          <w:tcPr>
            <w:tcW w:w="940" w:type="dxa"/>
            <w:noWrap/>
            <w:vAlign w:val="center"/>
          </w:tcPr>
          <w:p w14:paraId="32C03DE7">
            <w:pPr>
              <w:spacing w:line="440" w:lineRule="exact"/>
              <w:jc w:val="center"/>
              <w:rPr>
                <w:rFonts w:ascii="宋体" w:hAnsi="宋体" w:eastAsia="宋体" w:cs="宋体"/>
                <w:sz w:val="21"/>
                <w:szCs w:val="21"/>
              </w:rPr>
            </w:pPr>
          </w:p>
        </w:tc>
        <w:tc>
          <w:tcPr>
            <w:tcW w:w="942" w:type="dxa"/>
            <w:noWrap/>
            <w:vAlign w:val="center"/>
          </w:tcPr>
          <w:p w14:paraId="24962A65">
            <w:pPr>
              <w:spacing w:line="440" w:lineRule="exact"/>
              <w:jc w:val="center"/>
              <w:rPr>
                <w:rFonts w:ascii="宋体" w:hAnsi="宋体" w:eastAsia="宋体" w:cs="宋体"/>
                <w:sz w:val="21"/>
                <w:szCs w:val="21"/>
              </w:rPr>
            </w:pPr>
          </w:p>
        </w:tc>
        <w:tc>
          <w:tcPr>
            <w:tcW w:w="960" w:type="dxa"/>
            <w:noWrap/>
            <w:vAlign w:val="center"/>
          </w:tcPr>
          <w:p w14:paraId="454CD0B0">
            <w:pPr>
              <w:spacing w:line="440" w:lineRule="exact"/>
              <w:jc w:val="center"/>
              <w:rPr>
                <w:rFonts w:ascii="宋体" w:hAnsi="宋体" w:eastAsia="宋体" w:cs="宋体"/>
                <w:sz w:val="21"/>
                <w:szCs w:val="21"/>
              </w:rPr>
            </w:pPr>
          </w:p>
        </w:tc>
        <w:tc>
          <w:tcPr>
            <w:tcW w:w="942" w:type="dxa"/>
            <w:noWrap/>
            <w:vAlign w:val="center"/>
          </w:tcPr>
          <w:p w14:paraId="2A272D1F">
            <w:pPr>
              <w:spacing w:line="440" w:lineRule="exact"/>
              <w:jc w:val="center"/>
              <w:rPr>
                <w:rFonts w:ascii="宋体" w:hAnsi="宋体" w:eastAsia="宋体" w:cs="宋体"/>
                <w:sz w:val="21"/>
                <w:szCs w:val="21"/>
              </w:rPr>
            </w:pPr>
          </w:p>
        </w:tc>
        <w:tc>
          <w:tcPr>
            <w:tcW w:w="1303" w:type="dxa"/>
            <w:noWrap/>
            <w:vAlign w:val="center"/>
          </w:tcPr>
          <w:p w14:paraId="3FF78408">
            <w:pPr>
              <w:spacing w:line="440" w:lineRule="exact"/>
              <w:jc w:val="center"/>
              <w:rPr>
                <w:rFonts w:ascii="宋体" w:hAnsi="宋体" w:eastAsia="宋体" w:cs="宋体"/>
                <w:sz w:val="21"/>
                <w:szCs w:val="21"/>
              </w:rPr>
            </w:pPr>
          </w:p>
        </w:tc>
        <w:tc>
          <w:tcPr>
            <w:tcW w:w="943" w:type="dxa"/>
            <w:noWrap/>
            <w:vAlign w:val="center"/>
          </w:tcPr>
          <w:p w14:paraId="7F320B73">
            <w:pPr>
              <w:spacing w:line="440" w:lineRule="exact"/>
              <w:jc w:val="center"/>
              <w:rPr>
                <w:rFonts w:ascii="宋体" w:hAnsi="宋体" w:eastAsia="宋体" w:cs="宋体"/>
                <w:sz w:val="21"/>
                <w:szCs w:val="21"/>
              </w:rPr>
            </w:pPr>
          </w:p>
        </w:tc>
      </w:tr>
      <w:tr w14:paraId="34FD5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91" w:type="dxa"/>
            <w:noWrap/>
            <w:vAlign w:val="center"/>
          </w:tcPr>
          <w:p w14:paraId="52B3B934">
            <w:pPr>
              <w:spacing w:line="440" w:lineRule="exact"/>
              <w:jc w:val="center"/>
              <w:rPr>
                <w:rFonts w:ascii="宋体" w:hAnsi="宋体" w:eastAsia="宋体" w:cs="宋体"/>
                <w:sz w:val="21"/>
                <w:szCs w:val="21"/>
              </w:rPr>
            </w:pPr>
          </w:p>
        </w:tc>
        <w:tc>
          <w:tcPr>
            <w:tcW w:w="938" w:type="dxa"/>
            <w:noWrap/>
            <w:vAlign w:val="center"/>
          </w:tcPr>
          <w:p w14:paraId="277C2430">
            <w:pPr>
              <w:spacing w:line="440" w:lineRule="exact"/>
              <w:jc w:val="center"/>
              <w:rPr>
                <w:rFonts w:ascii="宋体" w:hAnsi="宋体" w:eastAsia="宋体" w:cs="宋体"/>
                <w:sz w:val="21"/>
                <w:szCs w:val="21"/>
              </w:rPr>
            </w:pPr>
          </w:p>
        </w:tc>
        <w:tc>
          <w:tcPr>
            <w:tcW w:w="940" w:type="dxa"/>
            <w:noWrap/>
            <w:vAlign w:val="center"/>
          </w:tcPr>
          <w:p w14:paraId="4E0E8BC9">
            <w:pPr>
              <w:spacing w:line="440" w:lineRule="exact"/>
              <w:jc w:val="center"/>
              <w:rPr>
                <w:rFonts w:ascii="宋体" w:hAnsi="宋体" w:eastAsia="宋体" w:cs="宋体"/>
                <w:sz w:val="21"/>
                <w:szCs w:val="21"/>
              </w:rPr>
            </w:pPr>
          </w:p>
        </w:tc>
        <w:tc>
          <w:tcPr>
            <w:tcW w:w="939" w:type="dxa"/>
            <w:noWrap/>
            <w:vAlign w:val="center"/>
          </w:tcPr>
          <w:p w14:paraId="5B4F230C">
            <w:pPr>
              <w:spacing w:line="440" w:lineRule="exact"/>
              <w:jc w:val="center"/>
              <w:rPr>
                <w:rFonts w:ascii="宋体" w:hAnsi="宋体" w:eastAsia="宋体" w:cs="宋体"/>
                <w:sz w:val="21"/>
                <w:szCs w:val="21"/>
              </w:rPr>
            </w:pPr>
          </w:p>
        </w:tc>
        <w:tc>
          <w:tcPr>
            <w:tcW w:w="940" w:type="dxa"/>
            <w:noWrap/>
            <w:vAlign w:val="center"/>
          </w:tcPr>
          <w:p w14:paraId="049E58B3">
            <w:pPr>
              <w:spacing w:line="440" w:lineRule="exact"/>
              <w:jc w:val="center"/>
              <w:rPr>
                <w:rFonts w:ascii="宋体" w:hAnsi="宋体" w:eastAsia="宋体" w:cs="宋体"/>
                <w:sz w:val="21"/>
                <w:szCs w:val="21"/>
              </w:rPr>
            </w:pPr>
          </w:p>
        </w:tc>
        <w:tc>
          <w:tcPr>
            <w:tcW w:w="942" w:type="dxa"/>
            <w:noWrap/>
            <w:vAlign w:val="center"/>
          </w:tcPr>
          <w:p w14:paraId="0B8AFFE1">
            <w:pPr>
              <w:spacing w:line="440" w:lineRule="exact"/>
              <w:jc w:val="center"/>
              <w:rPr>
                <w:rFonts w:ascii="宋体" w:hAnsi="宋体" w:eastAsia="宋体" w:cs="宋体"/>
                <w:sz w:val="21"/>
                <w:szCs w:val="21"/>
              </w:rPr>
            </w:pPr>
          </w:p>
        </w:tc>
        <w:tc>
          <w:tcPr>
            <w:tcW w:w="960" w:type="dxa"/>
            <w:noWrap/>
            <w:vAlign w:val="center"/>
          </w:tcPr>
          <w:p w14:paraId="102E29D5">
            <w:pPr>
              <w:spacing w:line="440" w:lineRule="exact"/>
              <w:jc w:val="center"/>
              <w:rPr>
                <w:rFonts w:ascii="宋体" w:hAnsi="宋体" w:eastAsia="宋体" w:cs="宋体"/>
                <w:sz w:val="21"/>
                <w:szCs w:val="21"/>
              </w:rPr>
            </w:pPr>
          </w:p>
        </w:tc>
        <w:tc>
          <w:tcPr>
            <w:tcW w:w="942" w:type="dxa"/>
            <w:noWrap/>
            <w:vAlign w:val="center"/>
          </w:tcPr>
          <w:p w14:paraId="40B645DA">
            <w:pPr>
              <w:spacing w:line="440" w:lineRule="exact"/>
              <w:jc w:val="center"/>
              <w:rPr>
                <w:rFonts w:ascii="宋体" w:hAnsi="宋体" w:eastAsia="宋体" w:cs="宋体"/>
                <w:sz w:val="21"/>
                <w:szCs w:val="21"/>
              </w:rPr>
            </w:pPr>
          </w:p>
        </w:tc>
        <w:tc>
          <w:tcPr>
            <w:tcW w:w="1303" w:type="dxa"/>
            <w:noWrap/>
            <w:vAlign w:val="center"/>
          </w:tcPr>
          <w:p w14:paraId="1A23A162">
            <w:pPr>
              <w:spacing w:line="440" w:lineRule="exact"/>
              <w:jc w:val="center"/>
              <w:rPr>
                <w:rFonts w:ascii="宋体" w:hAnsi="宋体" w:eastAsia="宋体" w:cs="宋体"/>
                <w:sz w:val="21"/>
                <w:szCs w:val="21"/>
              </w:rPr>
            </w:pPr>
          </w:p>
        </w:tc>
        <w:tc>
          <w:tcPr>
            <w:tcW w:w="943" w:type="dxa"/>
            <w:noWrap/>
            <w:vAlign w:val="center"/>
          </w:tcPr>
          <w:p w14:paraId="19584E47">
            <w:pPr>
              <w:spacing w:line="440" w:lineRule="exact"/>
              <w:jc w:val="center"/>
              <w:rPr>
                <w:rFonts w:ascii="宋体" w:hAnsi="宋体" w:eastAsia="宋体" w:cs="宋体"/>
                <w:sz w:val="21"/>
                <w:szCs w:val="21"/>
              </w:rPr>
            </w:pPr>
          </w:p>
        </w:tc>
      </w:tr>
      <w:tr w14:paraId="664C2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91" w:type="dxa"/>
            <w:noWrap/>
            <w:vAlign w:val="center"/>
          </w:tcPr>
          <w:p w14:paraId="539AA498">
            <w:pPr>
              <w:spacing w:line="440" w:lineRule="exact"/>
              <w:jc w:val="center"/>
              <w:rPr>
                <w:rFonts w:ascii="宋体" w:hAnsi="宋体" w:eastAsia="宋体" w:cs="宋体"/>
                <w:sz w:val="21"/>
                <w:szCs w:val="21"/>
              </w:rPr>
            </w:pPr>
          </w:p>
        </w:tc>
        <w:tc>
          <w:tcPr>
            <w:tcW w:w="938" w:type="dxa"/>
            <w:noWrap/>
            <w:vAlign w:val="center"/>
          </w:tcPr>
          <w:p w14:paraId="2E1B1500">
            <w:pPr>
              <w:spacing w:line="440" w:lineRule="exact"/>
              <w:jc w:val="center"/>
              <w:rPr>
                <w:rFonts w:ascii="宋体" w:hAnsi="宋体" w:eastAsia="宋体" w:cs="宋体"/>
                <w:sz w:val="21"/>
                <w:szCs w:val="21"/>
              </w:rPr>
            </w:pPr>
          </w:p>
        </w:tc>
        <w:tc>
          <w:tcPr>
            <w:tcW w:w="940" w:type="dxa"/>
            <w:noWrap/>
            <w:vAlign w:val="center"/>
          </w:tcPr>
          <w:p w14:paraId="0D91F24A">
            <w:pPr>
              <w:spacing w:line="440" w:lineRule="exact"/>
              <w:jc w:val="center"/>
              <w:rPr>
                <w:rFonts w:ascii="宋体" w:hAnsi="宋体" w:eastAsia="宋体" w:cs="宋体"/>
                <w:sz w:val="21"/>
                <w:szCs w:val="21"/>
              </w:rPr>
            </w:pPr>
          </w:p>
        </w:tc>
        <w:tc>
          <w:tcPr>
            <w:tcW w:w="939" w:type="dxa"/>
            <w:noWrap/>
            <w:vAlign w:val="center"/>
          </w:tcPr>
          <w:p w14:paraId="21A50806">
            <w:pPr>
              <w:spacing w:line="440" w:lineRule="exact"/>
              <w:jc w:val="center"/>
              <w:rPr>
                <w:rFonts w:ascii="宋体" w:hAnsi="宋体" w:eastAsia="宋体" w:cs="宋体"/>
                <w:sz w:val="21"/>
                <w:szCs w:val="21"/>
              </w:rPr>
            </w:pPr>
          </w:p>
        </w:tc>
        <w:tc>
          <w:tcPr>
            <w:tcW w:w="940" w:type="dxa"/>
            <w:noWrap/>
            <w:vAlign w:val="center"/>
          </w:tcPr>
          <w:p w14:paraId="77F0AC53">
            <w:pPr>
              <w:spacing w:line="440" w:lineRule="exact"/>
              <w:jc w:val="center"/>
              <w:rPr>
                <w:rFonts w:ascii="宋体" w:hAnsi="宋体" w:eastAsia="宋体" w:cs="宋体"/>
                <w:sz w:val="21"/>
                <w:szCs w:val="21"/>
              </w:rPr>
            </w:pPr>
          </w:p>
        </w:tc>
        <w:tc>
          <w:tcPr>
            <w:tcW w:w="942" w:type="dxa"/>
            <w:noWrap/>
            <w:vAlign w:val="center"/>
          </w:tcPr>
          <w:p w14:paraId="35739E91">
            <w:pPr>
              <w:spacing w:line="440" w:lineRule="exact"/>
              <w:jc w:val="center"/>
              <w:rPr>
                <w:rFonts w:ascii="宋体" w:hAnsi="宋体" w:eastAsia="宋体" w:cs="宋体"/>
                <w:sz w:val="21"/>
                <w:szCs w:val="21"/>
              </w:rPr>
            </w:pPr>
          </w:p>
        </w:tc>
        <w:tc>
          <w:tcPr>
            <w:tcW w:w="960" w:type="dxa"/>
            <w:noWrap/>
            <w:vAlign w:val="center"/>
          </w:tcPr>
          <w:p w14:paraId="05F08741">
            <w:pPr>
              <w:spacing w:line="440" w:lineRule="exact"/>
              <w:jc w:val="center"/>
              <w:rPr>
                <w:rFonts w:ascii="宋体" w:hAnsi="宋体" w:eastAsia="宋体" w:cs="宋体"/>
                <w:sz w:val="21"/>
                <w:szCs w:val="21"/>
              </w:rPr>
            </w:pPr>
          </w:p>
        </w:tc>
        <w:tc>
          <w:tcPr>
            <w:tcW w:w="942" w:type="dxa"/>
            <w:noWrap/>
            <w:vAlign w:val="center"/>
          </w:tcPr>
          <w:p w14:paraId="668D56E8">
            <w:pPr>
              <w:spacing w:line="440" w:lineRule="exact"/>
              <w:jc w:val="center"/>
              <w:rPr>
                <w:rFonts w:ascii="宋体" w:hAnsi="宋体" w:eastAsia="宋体" w:cs="宋体"/>
                <w:sz w:val="21"/>
                <w:szCs w:val="21"/>
              </w:rPr>
            </w:pPr>
          </w:p>
        </w:tc>
        <w:tc>
          <w:tcPr>
            <w:tcW w:w="1303" w:type="dxa"/>
            <w:noWrap/>
            <w:vAlign w:val="center"/>
          </w:tcPr>
          <w:p w14:paraId="185CCB1C">
            <w:pPr>
              <w:spacing w:line="440" w:lineRule="exact"/>
              <w:jc w:val="center"/>
              <w:rPr>
                <w:rFonts w:ascii="宋体" w:hAnsi="宋体" w:eastAsia="宋体" w:cs="宋体"/>
                <w:sz w:val="21"/>
                <w:szCs w:val="21"/>
              </w:rPr>
            </w:pPr>
          </w:p>
        </w:tc>
        <w:tc>
          <w:tcPr>
            <w:tcW w:w="943" w:type="dxa"/>
            <w:noWrap/>
            <w:vAlign w:val="center"/>
          </w:tcPr>
          <w:p w14:paraId="55F37D15">
            <w:pPr>
              <w:spacing w:line="440" w:lineRule="exact"/>
              <w:jc w:val="center"/>
              <w:rPr>
                <w:rFonts w:ascii="宋体" w:hAnsi="宋体" w:eastAsia="宋体" w:cs="宋体"/>
                <w:sz w:val="21"/>
                <w:szCs w:val="21"/>
              </w:rPr>
            </w:pPr>
          </w:p>
        </w:tc>
      </w:tr>
      <w:tr w14:paraId="2E175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91" w:type="dxa"/>
            <w:noWrap/>
            <w:vAlign w:val="center"/>
          </w:tcPr>
          <w:p w14:paraId="756E61A4">
            <w:pPr>
              <w:spacing w:line="440" w:lineRule="exact"/>
              <w:jc w:val="center"/>
              <w:rPr>
                <w:rFonts w:ascii="宋体" w:hAnsi="宋体" w:eastAsia="宋体" w:cs="宋体"/>
                <w:sz w:val="21"/>
                <w:szCs w:val="21"/>
              </w:rPr>
            </w:pPr>
          </w:p>
        </w:tc>
        <w:tc>
          <w:tcPr>
            <w:tcW w:w="938" w:type="dxa"/>
            <w:noWrap/>
            <w:vAlign w:val="center"/>
          </w:tcPr>
          <w:p w14:paraId="79FAAD97">
            <w:pPr>
              <w:spacing w:line="440" w:lineRule="exact"/>
              <w:jc w:val="center"/>
              <w:rPr>
                <w:rFonts w:ascii="宋体" w:hAnsi="宋体" w:eastAsia="宋体" w:cs="宋体"/>
                <w:sz w:val="21"/>
                <w:szCs w:val="21"/>
              </w:rPr>
            </w:pPr>
          </w:p>
        </w:tc>
        <w:tc>
          <w:tcPr>
            <w:tcW w:w="940" w:type="dxa"/>
            <w:noWrap/>
            <w:vAlign w:val="center"/>
          </w:tcPr>
          <w:p w14:paraId="6B1E6C28">
            <w:pPr>
              <w:spacing w:line="440" w:lineRule="exact"/>
              <w:jc w:val="center"/>
              <w:rPr>
                <w:rFonts w:ascii="宋体" w:hAnsi="宋体" w:eastAsia="宋体" w:cs="宋体"/>
                <w:sz w:val="21"/>
                <w:szCs w:val="21"/>
              </w:rPr>
            </w:pPr>
          </w:p>
        </w:tc>
        <w:tc>
          <w:tcPr>
            <w:tcW w:w="939" w:type="dxa"/>
            <w:noWrap/>
            <w:vAlign w:val="center"/>
          </w:tcPr>
          <w:p w14:paraId="580F13A5">
            <w:pPr>
              <w:spacing w:line="440" w:lineRule="exact"/>
              <w:jc w:val="center"/>
              <w:rPr>
                <w:rFonts w:ascii="宋体" w:hAnsi="宋体" w:eastAsia="宋体" w:cs="宋体"/>
                <w:sz w:val="21"/>
                <w:szCs w:val="21"/>
              </w:rPr>
            </w:pPr>
          </w:p>
        </w:tc>
        <w:tc>
          <w:tcPr>
            <w:tcW w:w="940" w:type="dxa"/>
            <w:noWrap/>
            <w:vAlign w:val="center"/>
          </w:tcPr>
          <w:p w14:paraId="76361408">
            <w:pPr>
              <w:spacing w:line="440" w:lineRule="exact"/>
              <w:jc w:val="center"/>
              <w:rPr>
                <w:rFonts w:ascii="宋体" w:hAnsi="宋体" w:eastAsia="宋体" w:cs="宋体"/>
                <w:sz w:val="21"/>
                <w:szCs w:val="21"/>
              </w:rPr>
            </w:pPr>
          </w:p>
        </w:tc>
        <w:tc>
          <w:tcPr>
            <w:tcW w:w="942" w:type="dxa"/>
            <w:noWrap/>
            <w:vAlign w:val="center"/>
          </w:tcPr>
          <w:p w14:paraId="7F223B36">
            <w:pPr>
              <w:spacing w:line="440" w:lineRule="exact"/>
              <w:jc w:val="center"/>
              <w:rPr>
                <w:rFonts w:ascii="宋体" w:hAnsi="宋体" w:eastAsia="宋体" w:cs="宋体"/>
                <w:sz w:val="21"/>
                <w:szCs w:val="21"/>
              </w:rPr>
            </w:pPr>
          </w:p>
        </w:tc>
        <w:tc>
          <w:tcPr>
            <w:tcW w:w="960" w:type="dxa"/>
            <w:noWrap/>
            <w:vAlign w:val="center"/>
          </w:tcPr>
          <w:p w14:paraId="049253F0">
            <w:pPr>
              <w:spacing w:line="440" w:lineRule="exact"/>
              <w:jc w:val="center"/>
              <w:rPr>
                <w:rFonts w:ascii="宋体" w:hAnsi="宋体" w:eastAsia="宋体" w:cs="宋体"/>
                <w:sz w:val="21"/>
                <w:szCs w:val="21"/>
              </w:rPr>
            </w:pPr>
          </w:p>
        </w:tc>
        <w:tc>
          <w:tcPr>
            <w:tcW w:w="942" w:type="dxa"/>
            <w:noWrap/>
            <w:vAlign w:val="center"/>
          </w:tcPr>
          <w:p w14:paraId="2C51FB51">
            <w:pPr>
              <w:spacing w:line="440" w:lineRule="exact"/>
              <w:jc w:val="center"/>
              <w:rPr>
                <w:rFonts w:ascii="宋体" w:hAnsi="宋体" w:eastAsia="宋体" w:cs="宋体"/>
                <w:sz w:val="21"/>
                <w:szCs w:val="21"/>
              </w:rPr>
            </w:pPr>
          </w:p>
        </w:tc>
        <w:tc>
          <w:tcPr>
            <w:tcW w:w="1303" w:type="dxa"/>
            <w:noWrap/>
            <w:vAlign w:val="center"/>
          </w:tcPr>
          <w:p w14:paraId="09FF77A0">
            <w:pPr>
              <w:spacing w:line="440" w:lineRule="exact"/>
              <w:jc w:val="center"/>
              <w:rPr>
                <w:rFonts w:ascii="宋体" w:hAnsi="宋体" w:eastAsia="宋体" w:cs="宋体"/>
                <w:sz w:val="21"/>
                <w:szCs w:val="21"/>
              </w:rPr>
            </w:pPr>
          </w:p>
        </w:tc>
        <w:tc>
          <w:tcPr>
            <w:tcW w:w="943" w:type="dxa"/>
            <w:noWrap/>
            <w:vAlign w:val="center"/>
          </w:tcPr>
          <w:p w14:paraId="4E1ABAF6">
            <w:pPr>
              <w:spacing w:line="440" w:lineRule="exact"/>
              <w:jc w:val="center"/>
              <w:rPr>
                <w:rFonts w:ascii="宋体" w:hAnsi="宋体" w:eastAsia="宋体" w:cs="宋体"/>
                <w:sz w:val="21"/>
                <w:szCs w:val="21"/>
              </w:rPr>
            </w:pPr>
          </w:p>
        </w:tc>
      </w:tr>
    </w:tbl>
    <w:p w14:paraId="1C264D1E">
      <w:pPr>
        <w:spacing w:line="360" w:lineRule="auto"/>
        <w:rPr>
          <w:rFonts w:ascii="宋体" w:hAnsi="宋体" w:eastAsia="宋体" w:cs="宋体"/>
          <w:sz w:val="21"/>
          <w:szCs w:val="21"/>
        </w:rPr>
      </w:pPr>
    </w:p>
    <w:p w14:paraId="4DEA8298">
      <w:pPr>
        <w:pStyle w:val="15"/>
        <w:spacing w:before="60" w:after="60" w:line="500" w:lineRule="exact"/>
        <w:ind w:firstLine="5250" w:firstLineChars="2500"/>
        <w:rPr>
          <w:rFonts w:hAnsi="宋体" w:eastAsia="宋体" w:cs="宋体"/>
          <w:szCs w:val="21"/>
        </w:rPr>
      </w:pPr>
      <w:r>
        <w:rPr>
          <w:rFonts w:hint="eastAsia" w:hAnsi="宋体" w:eastAsia="宋体" w:cs="宋体"/>
          <w:szCs w:val="21"/>
        </w:rPr>
        <w:t>法定代表人(或全权代表)签字或盖章：</w:t>
      </w:r>
    </w:p>
    <w:p w14:paraId="6E503859">
      <w:pPr>
        <w:spacing w:line="360" w:lineRule="auto"/>
        <w:rPr>
          <w:rFonts w:ascii="宋体" w:hAnsi="宋体" w:eastAsia="宋体" w:cs="宋体"/>
          <w:sz w:val="21"/>
          <w:szCs w:val="21"/>
        </w:rPr>
      </w:pPr>
    </w:p>
    <w:p w14:paraId="3A9FDEBD">
      <w:pPr>
        <w:wordWrap w:val="0"/>
        <w:spacing w:line="360" w:lineRule="auto"/>
        <w:jc w:val="right"/>
        <w:rPr>
          <w:rFonts w:ascii="宋体" w:hAnsi="宋体" w:eastAsia="宋体" w:cs="宋体"/>
          <w:sz w:val="21"/>
          <w:szCs w:val="21"/>
        </w:rPr>
      </w:pPr>
      <w:r>
        <w:rPr>
          <w:rFonts w:hint="eastAsia" w:ascii="宋体" w:hAnsi="宋体" w:eastAsia="宋体" w:cs="宋体"/>
          <w:sz w:val="21"/>
          <w:szCs w:val="21"/>
        </w:rPr>
        <w:t>磋商人</w:t>
      </w:r>
      <w:r>
        <w:rPr>
          <w:rFonts w:hint="eastAsia" w:ascii="宋体" w:hAnsi="宋体" w:eastAsia="宋体" w:cs="宋体"/>
          <w:sz w:val="21"/>
          <w:szCs w:val="21"/>
          <w:lang w:val="zh-CN"/>
        </w:rPr>
        <w:t>（盖单位章）：</w:t>
      </w:r>
    </w:p>
    <w:p w14:paraId="60B3E110">
      <w:pPr>
        <w:spacing w:line="360" w:lineRule="auto"/>
        <w:jc w:val="right"/>
        <w:rPr>
          <w:rFonts w:ascii="宋体" w:hAnsi="宋体" w:eastAsia="宋体" w:cs="宋体"/>
          <w:sz w:val="21"/>
          <w:szCs w:val="21"/>
          <w:lang w:val="zh-CN"/>
        </w:rPr>
      </w:pPr>
    </w:p>
    <w:p w14:paraId="6B42751D">
      <w:pPr>
        <w:jc w:val="right"/>
        <w:rPr>
          <w:rFonts w:ascii="宋体" w:hAnsi="宋体" w:eastAsia="宋体" w:cs="宋体"/>
          <w:b/>
          <w:sz w:val="24"/>
        </w:rPr>
      </w:pPr>
      <w:r>
        <w:rPr>
          <w:rFonts w:hint="eastAsia" w:ascii="宋体" w:hAnsi="宋体" w:eastAsia="宋体" w:cs="宋体"/>
          <w:sz w:val="21"/>
          <w:szCs w:val="21"/>
          <w:lang w:val="zh-CN"/>
        </w:rPr>
        <w:t>日期：</w:t>
      </w:r>
      <w:r>
        <w:rPr>
          <w:rFonts w:hint="eastAsia" w:ascii="宋体" w:hAnsi="宋体" w:eastAsia="宋体" w:cs="宋体"/>
          <w:sz w:val="21"/>
          <w:szCs w:val="21"/>
        </w:rPr>
        <w:t>年月日</w:t>
      </w:r>
      <w:r>
        <w:rPr>
          <w:rFonts w:hint="eastAsia" w:ascii="宋体" w:hAnsi="宋体" w:eastAsia="宋体" w:cs="宋体"/>
          <w:b/>
          <w:sz w:val="24"/>
        </w:rPr>
        <w:br w:type="page"/>
      </w:r>
    </w:p>
    <w:p w14:paraId="03A06BB3">
      <w:pPr>
        <w:tabs>
          <w:tab w:val="left" w:pos="720"/>
        </w:tabs>
        <w:spacing w:line="360" w:lineRule="auto"/>
        <w:outlineLvl w:val="0"/>
        <w:rPr>
          <w:rFonts w:ascii="宋体" w:hAnsi="宋体" w:eastAsia="宋体" w:cs="宋体"/>
          <w:b/>
          <w:sz w:val="24"/>
        </w:rPr>
      </w:pPr>
      <w:r>
        <w:rPr>
          <w:rFonts w:hint="eastAsia" w:ascii="宋体" w:hAnsi="宋体" w:eastAsia="宋体" w:cs="宋体"/>
          <w:b/>
          <w:sz w:val="24"/>
        </w:rPr>
        <w:t>附表十二：</w:t>
      </w:r>
    </w:p>
    <w:p w14:paraId="1A7E3EE1">
      <w:pPr>
        <w:tabs>
          <w:tab w:val="left" w:pos="720"/>
        </w:tabs>
        <w:spacing w:line="360" w:lineRule="auto"/>
        <w:jc w:val="center"/>
        <w:outlineLvl w:val="0"/>
        <w:rPr>
          <w:rFonts w:ascii="宋体" w:hAnsi="宋体" w:eastAsia="宋体" w:cs="宋体"/>
          <w:b/>
          <w:sz w:val="32"/>
          <w:szCs w:val="32"/>
        </w:rPr>
      </w:pPr>
      <w:r>
        <w:rPr>
          <w:rFonts w:hint="eastAsia" w:ascii="宋体" w:hAnsi="宋体" w:eastAsia="宋体" w:cs="宋体"/>
          <w:b/>
          <w:sz w:val="32"/>
          <w:szCs w:val="32"/>
        </w:rPr>
        <w:t>项目管理班子配备情况表</w:t>
      </w:r>
    </w:p>
    <w:tbl>
      <w:tblPr>
        <w:tblStyle w:val="29"/>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703"/>
        <w:gridCol w:w="703"/>
        <w:gridCol w:w="942"/>
        <w:gridCol w:w="943"/>
        <w:gridCol w:w="942"/>
        <w:gridCol w:w="944"/>
        <w:gridCol w:w="1579"/>
        <w:gridCol w:w="944"/>
        <w:gridCol w:w="1235"/>
      </w:tblGrid>
      <w:tr w14:paraId="4633A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703" w:type="dxa"/>
            <w:vMerge w:val="restart"/>
            <w:noWrap/>
            <w:vAlign w:val="center"/>
          </w:tcPr>
          <w:p w14:paraId="5528B3CE">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职务</w:t>
            </w:r>
          </w:p>
        </w:tc>
        <w:tc>
          <w:tcPr>
            <w:tcW w:w="703" w:type="dxa"/>
            <w:vMerge w:val="restart"/>
            <w:noWrap/>
            <w:vAlign w:val="center"/>
          </w:tcPr>
          <w:p w14:paraId="2DFCA03E">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姓名</w:t>
            </w:r>
          </w:p>
        </w:tc>
        <w:tc>
          <w:tcPr>
            <w:tcW w:w="703" w:type="dxa"/>
            <w:vMerge w:val="restart"/>
            <w:noWrap/>
            <w:vAlign w:val="center"/>
          </w:tcPr>
          <w:p w14:paraId="4843CC0B">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职称</w:t>
            </w:r>
          </w:p>
        </w:tc>
        <w:tc>
          <w:tcPr>
            <w:tcW w:w="5350" w:type="dxa"/>
            <w:gridSpan w:val="5"/>
            <w:noWrap/>
            <w:vAlign w:val="center"/>
          </w:tcPr>
          <w:p w14:paraId="215A2BED">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上岗资格证明</w:t>
            </w:r>
          </w:p>
        </w:tc>
        <w:tc>
          <w:tcPr>
            <w:tcW w:w="2179" w:type="dxa"/>
            <w:gridSpan w:val="2"/>
            <w:noWrap/>
            <w:vAlign w:val="center"/>
          </w:tcPr>
          <w:p w14:paraId="3456515E">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已承担</w:t>
            </w:r>
          </w:p>
          <w:p w14:paraId="49D4A3E7">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在建工程情况</w:t>
            </w:r>
          </w:p>
        </w:tc>
      </w:tr>
      <w:tr w14:paraId="08F9F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703" w:type="dxa"/>
            <w:vMerge w:val="continue"/>
            <w:noWrap/>
            <w:vAlign w:val="center"/>
          </w:tcPr>
          <w:p w14:paraId="7C43F27C">
            <w:pPr>
              <w:spacing w:before="120" w:beforeLines="50" w:line="360" w:lineRule="auto"/>
              <w:jc w:val="center"/>
              <w:rPr>
                <w:rFonts w:ascii="宋体" w:hAnsi="宋体" w:eastAsia="宋体" w:cs="宋体"/>
                <w:b/>
                <w:bCs/>
                <w:sz w:val="21"/>
                <w:szCs w:val="21"/>
              </w:rPr>
            </w:pPr>
          </w:p>
        </w:tc>
        <w:tc>
          <w:tcPr>
            <w:tcW w:w="703" w:type="dxa"/>
            <w:vMerge w:val="continue"/>
            <w:noWrap/>
            <w:vAlign w:val="center"/>
          </w:tcPr>
          <w:p w14:paraId="78020C5F">
            <w:pPr>
              <w:spacing w:before="120" w:beforeLines="50" w:line="360" w:lineRule="auto"/>
              <w:jc w:val="center"/>
              <w:rPr>
                <w:rFonts w:ascii="宋体" w:hAnsi="宋体" w:eastAsia="宋体" w:cs="宋体"/>
                <w:b/>
                <w:bCs/>
                <w:sz w:val="21"/>
                <w:szCs w:val="21"/>
              </w:rPr>
            </w:pPr>
          </w:p>
        </w:tc>
        <w:tc>
          <w:tcPr>
            <w:tcW w:w="703" w:type="dxa"/>
            <w:vMerge w:val="continue"/>
            <w:noWrap/>
            <w:vAlign w:val="center"/>
          </w:tcPr>
          <w:p w14:paraId="6E0906E3">
            <w:pPr>
              <w:spacing w:before="120" w:beforeLines="50" w:line="360" w:lineRule="auto"/>
              <w:jc w:val="center"/>
              <w:rPr>
                <w:rFonts w:ascii="宋体" w:hAnsi="宋体" w:eastAsia="宋体" w:cs="宋体"/>
                <w:b/>
                <w:bCs/>
                <w:sz w:val="21"/>
                <w:szCs w:val="21"/>
              </w:rPr>
            </w:pPr>
          </w:p>
        </w:tc>
        <w:tc>
          <w:tcPr>
            <w:tcW w:w="942" w:type="dxa"/>
            <w:noWrap/>
            <w:vAlign w:val="center"/>
          </w:tcPr>
          <w:p w14:paraId="68ABCEB3">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证书</w:t>
            </w:r>
          </w:p>
          <w:p w14:paraId="324D15A5">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943" w:type="dxa"/>
            <w:noWrap/>
            <w:vAlign w:val="center"/>
          </w:tcPr>
          <w:p w14:paraId="40290146">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级别</w:t>
            </w:r>
          </w:p>
        </w:tc>
        <w:tc>
          <w:tcPr>
            <w:tcW w:w="942" w:type="dxa"/>
            <w:noWrap/>
            <w:vAlign w:val="center"/>
          </w:tcPr>
          <w:p w14:paraId="21D2301F">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证号</w:t>
            </w:r>
          </w:p>
        </w:tc>
        <w:tc>
          <w:tcPr>
            <w:tcW w:w="944" w:type="dxa"/>
            <w:noWrap/>
            <w:vAlign w:val="center"/>
          </w:tcPr>
          <w:p w14:paraId="554DC769">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专业</w:t>
            </w:r>
          </w:p>
        </w:tc>
        <w:tc>
          <w:tcPr>
            <w:tcW w:w="1579" w:type="dxa"/>
            <w:noWrap/>
            <w:vAlign w:val="center"/>
          </w:tcPr>
          <w:p w14:paraId="3274EAE5">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身份证号</w:t>
            </w:r>
          </w:p>
        </w:tc>
        <w:tc>
          <w:tcPr>
            <w:tcW w:w="944" w:type="dxa"/>
            <w:noWrap/>
            <w:vAlign w:val="center"/>
          </w:tcPr>
          <w:p w14:paraId="25060560">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项目数</w:t>
            </w:r>
          </w:p>
        </w:tc>
        <w:tc>
          <w:tcPr>
            <w:tcW w:w="1235" w:type="dxa"/>
            <w:noWrap/>
            <w:vAlign w:val="center"/>
          </w:tcPr>
          <w:p w14:paraId="063E3D34">
            <w:pPr>
              <w:spacing w:before="120" w:beforeLines="50" w:line="360" w:lineRule="auto"/>
              <w:jc w:val="center"/>
              <w:rPr>
                <w:rFonts w:ascii="宋体" w:hAnsi="宋体" w:eastAsia="宋体" w:cs="宋体"/>
                <w:b/>
                <w:bCs/>
                <w:sz w:val="21"/>
                <w:szCs w:val="21"/>
              </w:rPr>
            </w:pPr>
            <w:r>
              <w:rPr>
                <w:rFonts w:hint="eastAsia" w:ascii="宋体" w:hAnsi="宋体" w:eastAsia="宋体" w:cs="宋体"/>
                <w:b/>
                <w:bCs/>
                <w:sz w:val="21"/>
                <w:szCs w:val="21"/>
              </w:rPr>
              <w:t>主要项目名称</w:t>
            </w:r>
          </w:p>
        </w:tc>
      </w:tr>
      <w:tr w14:paraId="7AD8C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exact"/>
          <w:jc w:val="center"/>
        </w:trPr>
        <w:tc>
          <w:tcPr>
            <w:tcW w:w="703" w:type="dxa"/>
            <w:noWrap/>
            <w:vAlign w:val="center"/>
          </w:tcPr>
          <w:p w14:paraId="12E4CD35">
            <w:pPr>
              <w:spacing w:before="120" w:beforeLines="50" w:line="360" w:lineRule="auto"/>
              <w:jc w:val="center"/>
              <w:rPr>
                <w:rFonts w:ascii="宋体" w:hAnsi="宋体" w:eastAsia="宋体" w:cs="宋体"/>
                <w:sz w:val="21"/>
                <w:szCs w:val="21"/>
              </w:rPr>
            </w:pPr>
          </w:p>
        </w:tc>
        <w:tc>
          <w:tcPr>
            <w:tcW w:w="703" w:type="dxa"/>
            <w:noWrap/>
            <w:vAlign w:val="center"/>
          </w:tcPr>
          <w:p w14:paraId="46BF8B70">
            <w:pPr>
              <w:spacing w:before="120" w:beforeLines="50" w:line="360" w:lineRule="auto"/>
              <w:jc w:val="center"/>
              <w:rPr>
                <w:rFonts w:ascii="宋体" w:hAnsi="宋体" w:eastAsia="宋体" w:cs="宋体"/>
                <w:sz w:val="21"/>
                <w:szCs w:val="21"/>
              </w:rPr>
            </w:pPr>
          </w:p>
        </w:tc>
        <w:tc>
          <w:tcPr>
            <w:tcW w:w="703" w:type="dxa"/>
            <w:noWrap/>
            <w:vAlign w:val="center"/>
          </w:tcPr>
          <w:p w14:paraId="35C4233D">
            <w:pPr>
              <w:spacing w:before="120" w:beforeLines="50" w:line="360" w:lineRule="auto"/>
              <w:jc w:val="center"/>
              <w:rPr>
                <w:rFonts w:ascii="宋体" w:hAnsi="宋体" w:eastAsia="宋体" w:cs="宋体"/>
                <w:sz w:val="21"/>
                <w:szCs w:val="21"/>
              </w:rPr>
            </w:pPr>
          </w:p>
        </w:tc>
        <w:tc>
          <w:tcPr>
            <w:tcW w:w="942" w:type="dxa"/>
            <w:noWrap/>
            <w:vAlign w:val="center"/>
          </w:tcPr>
          <w:p w14:paraId="1F5B72F2">
            <w:pPr>
              <w:spacing w:before="120" w:beforeLines="50" w:line="360" w:lineRule="auto"/>
              <w:jc w:val="center"/>
              <w:rPr>
                <w:rFonts w:ascii="宋体" w:hAnsi="宋体" w:eastAsia="宋体" w:cs="宋体"/>
                <w:sz w:val="21"/>
                <w:szCs w:val="21"/>
              </w:rPr>
            </w:pPr>
          </w:p>
        </w:tc>
        <w:tc>
          <w:tcPr>
            <w:tcW w:w="943" w:type="dxa"/>
            <w:noWrap/>
            <w:vAlign w:val="center"/>
          </w:tcPr>
          <w:p w14:paraId="4B1ABDE0">
            <w:pPr>
              <w:spacing w:before="120" w:beforeLines="50" w:line="360" w:lineRule="auto"/>
              <w:jc w:val="center"/>
              <w:rPr>
                <w:rFonts w:ascii="宋体" w:hAnsi="宋体" w:eastAsia="宋体" w:cs="宋体"/>
                <w:sz w:val="21"/>
                <w:szCs w:val="21"/>
              </w:rPr>
            </w:pPr>
          </w:p>
        </w:tc>
        <w:tc>
          <w:tcPr>
            <w:tcW w:w="942" w:type="dxa"/>
            <w:noWrap/>
            <w:vAlign w:val="center"/>
          </w:tcPr>
          <w:p w14:paraId="3FA781E6">
            <w:pPr>
              <w:spacing w:before="120" w:beforeLines="50" w:line="360" w:lineRule="auto"/>
              <w:jc w:val="center"/>
              <w:rPr>
                <w:rFonts w:ascii="宋体" w:hAnsi="宋体" w:eastAsia="宋体" w:cs="宋体"/>
                <w:sz w:val="21"/>
                <w:szCs w:val="21"/>
              </w:rPr>
            </w:pPr>
          </w:p>
        </w:tc>
        <w:tc>
          <w:tcPr>
            <w:tcW w:w="944" w:type="dxa"/>
            <w:noWrap/>
            <w:vAlign w:val="center"/>
          </w:tcPr>
          <w:p w14:paraId="68FD74E3">
            <w:pPr>
              <w:spacing w:before="120" w:beforeLines="50" w:line="360" w:lineRule="auto"/>
              <w:jc w:val="center"/>
              <w:rPr>
                <w:rFonts w:ascii="宋体" w:hAnsi="宋体" w:eastAsia="宋体" w:cs="宋体"/>
                <w:sz w:val="21"/>
                <w:szCs w:val="21"/>
              </w:rPr>
            </w:pPr>
          </w:p>
        </w:tc>
        <w:tc>
          <w:tcPr>
            <w:tcW w:w="1579" w:type="dxa"/>
            <w:noWrap/>
            <w:vAlign w:val="center"/>
          </w:tcPr>
          <w:p w14:paraId="75E7AD14">
            <w:pPr>
              <w:spacing w:before="120" w:beforeLines="50" w:line="360" w:lineRule="auto"/>
              <w:jc w:val="center"/>
              <w:rPr>
                <w:rFonts w:ascii="宋体" w:hAnsi="宋体" w:eastAsia="宋体" w:cs="宋体"/>
                <w:sz w:val="21"/>
                <w:szCs w:val="21"/>
              </w:rPr>
            </w:pPr>
          </w:p>
        </w:tc>
        <w:tc>
          <w:tcPr>
            <w:tcW w:w="944" w:type="dxa"/>
            <w:noWrap/>
            <w:vAlign w:val="center"/>
          </w:tcPr>
          <w:p w14:paraId="7FD01292">
            <w:pPr>
              <w:spacing w:before="120" w:beforeLines="50" w:line="360" w:lineRule="auto"/>
              <w:jc w:val="center"/>
              <w:rPr>
                <w:rFonts w:ascii="宋体" w:hAnsi="宋体" w:eastAsia="宋体" w:cs="宋体"/>
                <w:sz w:val="21"/>
                <w:szCs w:val="21"/>
              </w:rPr>
            </w:pPr>
          </w:p>
        </w:tc>
        <w:tc>
          <w:tcPr>
            <w:tcW w:w="1235" w:type="dxa"/>
            <w:noWrap/>
            <w:vAlign w:val="center"/>
          </w:tcPr>
          <w:p w14:paraId="253D83A7">
            <w:pPr>
              <w:spacing w:before="120" w:beforeLines="50" w:line="360" w:lineRule="auto"/>
              <w:jc w:val="center"/>
              <w:rPr>
                <w:rFonts w:ascii="宋体" w:hAnsi="宋体" w:eastAsia="宋体" w:cs="宋体"/>
                <w:sz w:val="21"/>
                <w:szCs w:val="21"/>
              </w:rPr>
            </w:pPr>
          </w:p>
        </w:tc>
      </w:tr>
      <w:tr w14:paraId="115E8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exact"/>
          <w:jc w:val="center"/>
        </w:trPr>
        <w:tc>
          <w:tcPr>
            <w:tcW w:w="703" w:type="dxa"/>
            <w:noWrap/>
            <w:vAlign w:val="center"/>
          </w:tcPr>
          <w:p w14:paraId="120A829D">
            <w:pPr>
              <w:spacing w:before="120" w:beforeLines="50" w:line="360" w:lineRule="auto"/>
              <w:jc w:val="center"/>
              <w:rPr>
                <w:rFonts w:ascii="宋体" w:hAnsi="宋体" w:eastAsia="宋体" w:cs="宋体"/>
                <w:sz w:val="21"/>
                <w:szCs w:val="21"/>
              </w:rPr>
            </w:pPr>
          </w:p>
        </w:tc>
        <w:tc>
          <w:tcPr>
            <w:tcW w:w="703" w:type="dxa"/>
            <w:noWrap/>
            <w:vAlign w:val="center"/>
          </w:tcPr>
          <w:p w14:paraId="164518F1">
            <w:pPr>
              <w:spacing w:before="120" w:beforeLines="50" w:line="360" w:lineRule="auto"/>
              <w:jc w:val="center"/>
              <w:rPr>
                <w:rFonts w:ascii="宋体" w:hAnsi="宋体" w:eastAsia="宋体" w:cs="宋体"/>
                <w:sz w:val="21"/>
                <w:szCs w:val="21"/>
              </w:rPr>
            </w:pPr>
          </w:p>
        </w:tc>
        <w:tc>
          <w:tcPr>
            <w:tcW w:w="703" w:type="dxa"/>
            <w:noWrap/>
            <w:vAlign w:val="center"/>
          </w:tcPr>
          <w:p w14:paraId="5B7362D5">
            <w:pPr>
              <w:spacing w:before="120" w:beforeLines="50" w:line="360" w:lineRule="auto"/>
              <w:jc w:val="center"/>
              <w:rPr>
                <w:rFonts w:ascii="宋体" w:hAnsi="宋体" w:eastAsia="宋体" w:cs="宋体"/>
                <w:sz w:val="21"/>
                <w:szCs w:val="21"/>
              </w:rPr>
            </w:pPr>
          </w:p>
        </w:tc>
        <w:tc>
          <w:tcPr>
            <w:tcW w:w="942" w:type="dxa"/>
            <w:noWrap/>
            <w:vAlign w:val="center"/>
          </w:tcPr>
          <w:p w14:paraId="24911E13">
            <w:pPr>
              <w:spacing w:before="120" w:beforeLines="50" w:line="360" w:lineRule="auto"/>
              <w:jc w:val="center"/>
              <w:rPr>
                <w:rFonts w:ascii="宋体" w:hAnsi="宋体" w:eastAsia="宋体" w:cs="宋体"/>
                <w:sz w:val="21"/>
                <w:szCs w:val="21"/>
              </w:rPr>
            </w:pPr>
          </w:p>
        </w:tc>
        <w:tc>
          <w:tcPr>
            <w:tcW w:w="943" w:type="dxa"/>
            <w:noWrap/>
            <w:vAlign w:val="center"/>
          </w:tcPr>
          <w:p w14:paraId="0DB824E9">
            <w:pPr>
              <w:spacing w:before="120" w:beforeLines="50" w:line="360" w:lineRule="auto"/>
              <w:jc w:val="center"/>
              <w:rPr>
                <w:rFonts w:ascii="宋体" w:hAnsi="宋体" w:eastAsia="宋体" w:cs="宋体"/>
                <w:sz w:val="21"/>
                <w:szCs w:val="21"/>
              </w:rPr>
            </w:pPr>
          </w:p>
        </w:tc>
        <w:tc>
          <w:tcPr>
            <w:tcW w:w="942" w:type="dxa"/>
            <w:noWrap/>
            <w:vAlign w:val="center"/>
          </w:tcPr>
          <w:p w14:paraId="6AAAA42B">
            <w:pPr>
              <w:spacing w:before="120" w:beforeLines="50" w:line="360" w:lineRule="auto"/>
              <w:jc w:val="center"/>
              <w:rPr>
                <w:rFonts w:ascii="宋体" w:hAnsi="宋体" w:eastAsia="宋体" w:cs="宋体"/>
                <w:sz w:val="21"/>
                <w:szCs w:val="21"/>
              </w:rPr>
            </w:pPr>
          </w:p>
        </w:tc>
        <w:tc>
          <w:tcPr>
            <w:tcW w:w="944" w:type="dxa"/>
            <w:noWrap/>
            <w:vAlign w:val="center"/>
          </w:tcPr>
          <w:p w14:paraId="131DC6B1">
            <w:pPr>
              <w:spacing w:before="120" w:beforeLines="50" w:line="360" w:lineRule="auto"/>
              <w:jc w:val="center"/>
              <w:rPr>
                <w:rFonts w:ascii="宋体" w:hAnsi="宋体" w:eastAsia="宋体" w:cs="宋体"/>
                <w:sz w:val="21"/>
                <w:szCs w:val="21"/>
              </w:rPr>
            </w:pPr>
          </w:p>
        </w:tc>
        <w:tc>
          <w:tcPr>
            <w:tcW w:w="1579" w:type="dxa"/>
            <w:noWrap/>
            <w:vAlign w:val="center"/>
          </w:tcPr>
          <w:p w14:paraId="75DCC71B">
            <w:pPr>
              <w:spacing w:before="120" w:beforeLines="50" w:line="360" w:lineRule="auto"/>
              <w:jc w:val="center"/>
              <w:rPr>
                <w:rFonts w:ascii="宋体" w:hAnsi="宋体" w:eastAsia="宋体" w:cs="宋体"/>
                <w:sz w:val="21"/>
                <w:szCs w:val="21"/>
              </w:rPr>
            </w:pPr>
          </w:p>
        </w:tc>
        <w:tc>
          <w:tcPr>
            <w:tcW w:w="944" w:type="dxa"/>
            <w:noWrap/>
            <w:vAlign w:val="center"/>
          </w:tcPr>
          <w:p w14:paraId="795718CB">
            <w:pPr>
              <w:spacing w:before="120" w:beforeLines="50" w:line="360" w:lineRule="auto"/>
              <w:jc w:val="center"/>
              <w:rPr>
                <w:rFonts w:ascii="宋体" w:hAnsi="宋体" w:eastAsia="宋体" w:cs="宋体"/>
                <w:sz w:val="21"/>
                <w:szCs w:val="21"/>
              </w:rPr>
            </w:pPr>
          </w:p>
        </w:tc>
        <w:tc>
          <w:tcPr>
            <w:tcW w:w="1235" w:type="dxa"/>
            <w:noWrap/>
            <w:vAlign w:val="center"/>
          </w:tcPr>
          <w:p w14:paraId="25DDB3D4">
            <w:pPr>
              <w:spacing w:before="120" w:beforeLines="50" w:line="360" w:lineRule="auto"/>
              <w:jc w:val="center"/>
              <w:rPr>
                <w:rFonts w:ascii="宋体" w:hAnsi="宋体" w:eastAsia="宋体" w:cs="宋体"/>
                <w:sz w:val="21"/>
                <w:szCs w:val="21"/>
              </w:rPr>
            </w:pPr>
          </w:p>
        </w:tc>
      </w:tr>
      <w:tr w14:paraId="184AF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exact"/>
          <w:jc w:val="center"/>
        </w:trPr>
        <w:tc>
          <w:tcPr>
            <w:tcW w:w="703" w:type="dxa"/>
            <w:noWrap/>
            <w:vAlign w:val="center"/>
          </w:tcPr>
          <w:p w14:paraId="33107410">
            <w:pPr>
              <w:spacing w:before="120" w:beforeLines="50" w:line="360" w:lineRule="auto"/>
              <w:jc w:val="center"/>
              <w:rPr>
                <w:rFonts w:ascii="宋体" w:hAnsi="宋体" w:eastAsia="宋体" w:cs="宋体"/>
                <w:sz w:val="21"/>
                <w:szCs w:val="21"/>
              </w:rPr>
            </w:pPr>
          </w:p>
        </w:tc>
        <w:tc>
          <w:tcPr>
            <w:tcW w:w="703" w:type="dxa"/>
            <w:noWrap/>
            <w:vAlign w:val="center"/>
          </w:tcPr>
          <w:p w14:paraId="7AC45866">
            <w:pPr>
              <w:spacing w:before="120" w:beforeLines="50" w:line="360" w:lineRule="auto"/>
              <w:jc w:val="center"/>
              <w:rPr>
                <w:rFonts w:ascii="宋体" w:hAnsi="宋体" w:eastAsia="宋体" w:cs="宋体"/>
                <w:sz w:val="21"/>
                <w:szCs w:val="21"/>
              </w:rPr>
            </w:pPr>
          </w:p>
        </w:tc>
        <w:tc>
          <w:tcPr>
            <w:tcW w:w="703" w:type="dxa"/>
            <w:noWrap/>
            <w:vAlign w:val="center"/>
          </w:tcPr>
          <w:p w14:paraId="16A4FCF8">
            <w:pPr>
              <w:spacing w:before="120" w:beforeLines="50" w:line="360" w:lineRule="auto"/>
              <w:jc w:val="center"/>
              <w:rPr>
                <w:rFonts w:ascii="宋体" w:hAnsi="宋体" w:eastAsia="宋体" w:cs="宋体"/>
                <w:sz w:val="21"/>
                <w:szCs w:val="21"/>
              </w:rPr>
            </w:pPr>
          </w:p>
        </w:tc>
        <w:tc>
          <w:tcPr>
            <w:tcW w:w="942" w:type="dxa"/>
            <w:noWrap/>
            <w:vAlign w:val="center"/>
          </w:tcPr>
          <w:p w14:paraId="066ECF32">
            <w:pPr>
              <w:spacing w:before="120" w:beforeLines="50" w:line="360" w:lineRule="auto"/>
              <w:jc w:val="center"/>
              <w:rPr>
                <w:rFonts w:ascii="宋体" w:hAnsi="宋体" w:eastAsia="宋体" w:cs="宋体"/>
                <w:sz w:val="21"/>
                <w:szCs w:val="21"/>
              </w:rPr>
            </w:pPr>
          </w:p>
        </w:tc>
        <w:tc>
          <w:tcPr>
            <w:tcW w:w="943" w:type="dxa"/>
            <w:noWrap/>
            <w:vAlign w:val="center"/>
          </w:tcPr>
          <w:p w14:paraId="7F12966F">
            <w:pPr>
              <w:spacing w:before="120" w:beforeLines="50" w:line="360" w:lineRule="auto"/>
              <w:jc w:val="center"/>
              <w:rPr>
                <w:rFonts w:ascii="宋体" w:hAnsi="宋体" w:eastAsia="宋体" w:cs="宋体"/>
                <w:sz w:val="21"/>
                <w:szCs w:val="21"/>
              </w:rPr>
            </w:pPr>
          </w:p>
        </w:tc>
        <w:tc>
          <w:tcPr>
            <w:tcW w:w="942" w:type="dxa"/>
            <w:noWrap/>
            <w:vAlign w:val="center"/>
          </w:tcPr>
          <w:p w14:paraId="09AD5C08">
            <w:pPr>
              <w:spacing w:before="120" w:beforeLines="50" w:line="360" w:lineRule="auto"/>
              <w:jc w:val="center"/>
              <w:rPr>
                <w:rFonts w:ascii="宋体" w:hAnsi="宋体" w:eastAsia="宋体" w:cs="宋体"/>
                <w:sz w:val="21"/>
                <w:szCs w:val="21"/>
              </w:rPr>
            </w:pPr>
          </w:p>
        </w:tc>
        <w:tc>
          <w:tcPr>
            <w:tcW w:w="944" w:type="dxa"/>
            <w:noWrap/>
            <w:vAlign w:val="center"/>
          </w:tcPr>
          <w:p w14:paraId="2D654F60">
            <w:pPr>
              <w:spacing w:before="120" w:beforeLines="50" w:line="360" w:lineRule="auto"/>
              <w:jc w:val="center"/>
              <w:rPr>
                <w:rFonts w:ascii="宋体" w:hAnsi="宋体" w:eastAsia="宋体" w:cs="宋体"/>
                <w:sz w:val="21"/>
                <w:szCs w:val="21"/>
              </w:rPr>
            </w:pPr>
          </w:p>
        </w:tc>
        <w:tc>
          <w:tcPr>
            <w:tcW w:w="1579" w:type="dxa"/>
            <w:noWrap/>
            <w:vAlign w:val="center"/>
          </w:tcPr>
          <w:p w14:paraId="49A5EA90">
            <w:pPr>
              <w:spacing w:before="120" w:beforeLines="50" w:line="360" w:lineRule="auto"/>
              <w:jc w:val="center"/>
              <w:rPr>
                <w:rFonts w:ascii="宋体" w:hAnsi="宋体" w:eastAsia="宋体" w:cs="宋体"/>
                <w:sz w:val="21"/>
                <w:szCs w:val="21"/>
              </w:rPr>
            </w:pPr>
          </w:p>
        </w:tc>
        <w:tc>
          <w:tcPr>
            <w:tcW w:w="944" w:type="dxa"/>
            <w:noWrap/>
            <w:vAlign w:val="center"/>
          </w:tcPr>
          <w:p w14:paraId="2FD54CD8">
            <w:pPr>
              <w:spacing w:before="120" w:beforeLines="50" w:line="360" w:lineRule="auto"/>
              <w:jc w:val="center"/>
              <w:rPr>
                <w:rFonts w:ascii="宋体" w:hAnsi="宋体" w:eastAsia="宋体" w:cs="宋体"/>
                <w:sz w:val="21"/>
                <w:szCs w:val="21"/>
              </w:rPr>
            </w:pPr>
          </w:p>
        </w:tc>
        <w:tc>
          <w:tcPr>
            <w:tcW w:w="1235" w:type="dxa"/>
            <w:noWrap/>
            <w:vAlign w:val="center"/>
          </w:tcPr>
          <w:p w14:paraId="1449676C">
            <w:pPr>
              <w:spacing w:before="120" w:beforeLines="50" w:line="360" w:lineRule="auto"/>
              <w:jc w:val="center"/>
              <w:rPr>
                <w:rFonts w:ascii="宋体" w:hAnsi="宋体" w:eastAsia="宋体" w:cs="宋体"/>
                <w:sz w:val="21"/>
                <w:szCs w:val="21"/>
              </w:rPr>
            </w:pPr>
          </w:p>
        </w:tc>
      </w:tr>
      <w:tr w14:paraId="6635B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exact"/>
          <w:jc w:val="center"/>
        </w:trPr>
        <w:tc>
          <w:tcPr>
            <w:tcW w:w="703" w:type="dxa"/>
            <w:noWrap/>
            <w:vAlign w:val="center"/>
          </w:tcPr>
          <w:p w14:paraId="0238D95E">
            <w:pPr>
              <w:spacing w:before="120" w:beforeLines="50" w:line="360" w:lineRule="auto"/>
              <w:jc w:val="center"/>
              <w:rPr>
                <w:rFonts w:ascii="宋体" w:hAnsi="宋体" w:eastAsia="宋体" w:cs="宋体"/>
                <w:sz w:val="21"/>
                <w:szCs w:val="21"/>
              </w:rPr>
            </w:pPr>
          </w:p>
        </w:tc>
        <w:tc>
          <w:tcPr>
            <w:tcW w:w="703" w:type="dxa"/>
            <w:noWrap/>
            <w:vAlign w:val="center"/>
          </w:tcPr>
          <w:p w14:paraId="262D67A6">
            <w:pPr>
              <w:spacing w:before="120" w:beforeLines="50" w:line="360" w:lineRule="auto"/>
              <w:jc w:val="center"/>
              <w:rPr>
                <w:rFonts w:ascii="宋体" w:hAnsi="宋体" w:eastAsia="宋体" w:cs="宋体"/>
                <w:sz w:val="21"/>
                <w:szCs w:val="21"/>
              </w:rPr>
            </w:pPr>
          </w:p>
        </w:tc>
        <w:tc>
          <w:tcPr>
            <w:tcW w:w="703" w:type="dxa"/>
            <w:noWrap/>
            <w:vAlign w:val="center"/>
          </w:tcPr>
          <w:p w14:paraId="4FB3A36A">
            <w:pPr>
              <w:spacing w:before="120" w:beforeLines="50" w:line="360" w:lineRule="auto"/>
              <w:jc w:val="center"/>
              <w:rPr>
                <w:rFonts w:ascii="宋体" w:hAnsi="宋体" w:eastAsia="宋体" w:cs="宋体"/>
                <w:sz w:val="21"/>
                <w:szCs w:val="21"/>
              </w:rPr>
            </w:pPr>
          </w:p>
        </w:tc>
        <w:tc>
          <w:tcPr>
            <w:tcW w:w="942" w:type="dxa"/>
            <w:noWrap/>
            <w:vAlign w:val="center"/>
          </w:tcPr>
          <w:p w14:paraId="4BA10276">
            <w:pPr>
              <w:spacing w:before="120" w:beforeLines="50" w:line="360" w:lineRule="auto"/>
              <w:jc w:val="center"/>
              <w:rPr>
                <w:rFonts w:ascii="宋体" w:hAnsi="宋体" w:eastAsia="宋体" w:cs="宋体"/>
                <w:sz w:val="21"/>
                <w:szCs w:val="21"/>
              </w:rPr>
            </w:pPr>
          </w:p>
        </w:tc>
        <w:tc>
          <w:tcPr>
            <w:tcW w:w="943" w:type="dxa"/>
            <w:noWrap/>
            <w:vAlign w:val="center"/>
          </w:tcPr>
          <w:p w14:paraId="3ACD0174">
            <w:pPr>
              <w:spacing w:before="120" w:beforeLines="50" w:line="360" w:lineRule="auto"/>
              <w:jc w:val="center"/>
              <w:rPr>
                <w:rFonts w:ascii="宋体" w:hAnsi="宋体" w:eastAsia="宋体" w:cs="宋体"/>
                <w:sz w:val="21"/>
                <w:szCs w:val="21"/>
              </w:rPr>
            </w:pPr>
          </w:p>
        </w:tc>
        <w:tc>
          <w:tcPr>
            <w:tcW w:w="942" w:type="dxa"/>
            <w:noWrap/>
            <w:vAlign w:val="center"/>
          </w:tcPr>
          <w:p w14:paraId="7250F27E">
            <w:pPr>
              <w:spacing w:before="120" w:beforeLines="50" w:line="360" w:lineRule="auto"/>
              <w:jc w:val="center"/>
              <w:rPr>
                <w:rFonts w:ascii="宋体" w:hAnsi="宋体" w:eastAsia="宋体" w:cs="宋体"/>
                <w:sz w:val="21"/>
                <w:szCs w:val="21"/>
              </w:rPr>
            </w:pPr>
          </w:p>
        </w:tc>
        <w:tc>
          <w:tcPr>
            <w:tcW w:w="944" w:type="dxa"/>
            <w:noWrap/>
            <w:vAlign w:val="center"/>
          </w:tcPr>
          <w:p w14:paraId="272D3711">
            <w:pPr>
              <w:spacing w:before="120" w:beforeLines="50" w:line="360" w:lineRule="auto"/>
              <w:jc w:val="center"/>
              <w:rPr>
                <w:rFonts w:ascii="宋体" w:hAnsi="宋体" w:eastAsia="宋体" w:cs="宋体"/>
                <w:sz w:val="21"/>
                <w:szCs w:val="21"/>
              </w:rPr>
            </w:pPr>
          </w:p>
        </w:tc>
        <w:tc>
          <w:tcPr>
            <w:tcW w:w="1579" w:type="dxa"/>
            <w:noWrap/>
            <w:vAlign w:val="center"/>
          </w:tcPr>
          <w:p w14:paraId="3AF0CB1E">
            <w:pPr>
              <w:spacing w:before="120" w:beforeLines="50" w:line="360" w:lineRule="auto"/>
              <w:jc w:val="center"/>
              <w:rPr>
                <w:rFonts w:ascii="宋体" w:hAnsi="宋体" w:eastAsia="宋体" w:cs="宋体"/>
                <w:sz w:val="21"/>
                <w:szCs w:val="21"/>
              </w:rPr>
            </w:pPr>
          </w:p>
        </w:tc>
        <w:tc>
          <w:tcPr>
            <w:tcW w:w="944" w:type="dxa"/>
            <w:noWrap/>
            <w:vAlign w:val="center"/>
          </w:tcPr>
          <w:p w14:paraId="7D9FB351">
            <w:pPr>
              <w:spacing w:before="120" w:beforeLines="50" w:line="360" w:lineRule="auto"/>
              <w:jc w:val="center"/>
              <w:rPr>
                <w:rFonts w:ascii="宋体" w:hAnsi="宋体" w:eastAsia="宋体" w:cs="宋体"/>
                <w:sz w:val="21"/>
                <w:szCs w:val="21"/>
              </w:rPr>
            </w:pPr>
          </w:p>
        </w:tc>
        <w:tc>
          <w:tcPr>
            <w:tcW w:w="1235" w:type="dxa"/>
            <w:noWrap/>
            <w:vAlign w:val="center"/>
          </w:tcPr>
          <w:p w14:paraId="6B773342">
            <w:pPr>
              <w:spacing w:before="120" w:beforeLines="50" w:line="360" w:lineRule="auto"/>
              <w:jc w:val="center"/>
              <w:rPr>
                <w:rFonts w:ascii="宋体" w:hAnsi="宋体" w:eastAsia="宋体" w:cs="宋体"/>
                <w:sz w:val="21"/>
                <w:szCs w:val="21"/>
              </w:rPr>
            </w:pPr>
          </w:p>
        </w:tc>
      </w:tr>
      <w:tr w14:paraId="24504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3" w:hRule="exact"/>
          <w:jc w:val="center"/>
        </w:trPr>
        <w:tc>
          <w:tcPr>
            <w:tcW w:w="9638" w:type="dxa"/>
            <w:gridSpan w:val="10"/>
            <w:noWrap/>
            <w:vAlign w:val="center"/>
          </w:tcPr>
          <w:p w14:paraId="03BA5357">
            <w:pPr>
              <w:numPr>
                <w:ilvl w:val="0"/>
                <w:numId w:val="6"/>
              </w:numPr>
              <w:spacing w:before="120" w:beforeLines="50"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本工程一旦我单位中标，将实行项目经理负责制，并配备上述项目管理班子。上述填报内容真实，若不真实，愿按有关规定接受处理。项目管理班子机构设置、职责分工等情况另附资料说明。可根据实际情况及本表格式自行划表填写。</w:t>
            </w:r>
          </w:p>
          <w:p w14:paraId="28DC415D">
            <w:pPr>
              <w:pStyle w:val="27"/>
              <w:ind w:firstLine="420" w:firstLineChars="200"/>
              <w:jc w:val="left"/>
              <w:rPr>
                <w:rFonts w:ascii="宋体" w:hAnsi="宋体" w:eastAsia="宋体" w:cs="宋体"/>
                <w:sz w:val="21"/>
                <w:szCs w:val="21"/>
                <w:lang w:val="en-US"/>
              </w:rPr>
            </w:pPr>
            <w:r>
              <w:rPr>
                <w:rFonts w:hint="eastAsia" w:ascii="宋体" w:hAnsi="宋体" w:eastAsia="宋体" w:cs="宋体"/>
                <w:b w:val="0"/>
                <w:bCs/>
                <w:sz w:val="21"/>
                <w:szCs w:val="21"/>
                <w:lang w:val="en-US"/>
              </w:rPr>
              <w:t>2、</w:t>
            </w:r>
            <w:r>
              <w:rPr>
                <w:rFonts w:hint="eastAsia" w:ascii="宋体" w:hAnsi="宋体" w:eastAsia="宋体" w:cs="宋体"/>
                <w:sz w:val="21"/>
                <w:szCs w:val="21"/>
                <w:lang w:val="en-US"/>
              </w:rPr>
              <w:t>表后须附相关人员证书、证件以及其他相关证明材料的复印件。</w:t>
            </w:r>
          </w:p>
        </w:tc>
      </w:tr>
    </w:tbl>
    <w:p w14:paraId="5CE9CACA">
      <w:pPr>
        <w:spacing w:line="360" w:lineRule="auto"/>
        <w:rPr>
          <w:rFonts w:ascii="宋体" w:hAnsi="宋体" w:eastAsia="宋体" w:cs="宋体"/>
          <w:sz w:val="21"/>
          <w:szCs w:val="21"/>
        </w:rPr>
      </w:pPr>
    </w:p>
    <w:p w14:paraId="459A7F50">
      <w:pPr>
        <w:pStyle w:val="15"/>
        <w:spacing w:before="60" w:after="60" w:line="500" w:lineRule="exact"/>
        <w:rPr>
          <w:rFonts w:hAnsi="宋体" w:eastAsia="宋体" w:cs="宋体"/>
          <w:szCs w:val="21"/>
        </w:rPr>
      </w:pPr>
      <w:r>
        <w:rPr>
          <w:rFonts w:hint="eastAsia" w:hAnsi="宋体" w:eastAsia="宋体" w:cs="宋体"/>
          <w:szCs w:val="21"/>
        </w:rPr>
        <w:t>法定代表人(或全权代表)签字或盖章：</w:t>
      </w:r>
    </w:p>
    <w:p w14:paraId="7865238F">
      <w:pPr>
        <w:pStyle w:val="15"/>
        <w:spacing w:before="60" w:after="60" w:line="500" w:lineRule="exact"/>
        <w:rPr>
          <w:rFonts w:hAnsi="宋体" w:eastAsia="宋体" w:cs="宋体"/>
          <w:szCs w:val="21"/>
        </w:rPr>
      </w:pPr>
      <w:r>
        <w:rPr>
          <w:rFonts w:hint="eastAsia" w:hAnsi="宋体" w:eastAsia="宋体" w:cs="宋体"/>
          <w:szCs w:val="21"/>
        </w:rPr>
        <w:t>磋商人</w:t>
      </w:r>
      <w:r>
        <w:rPr>
          <w:rFonts w:hint="eastAsia" w:hAnsi="宋体" w:eastAsia="宋体" w:cs="宋体"/>
          <w:szCs w:val="21"/>
          <w:lang w:val="zh-CN"/>
        </w:rPr>
        <w:t>（盖单位章）：</w:t>
      </w:r>
    </w:p>
    <w:p w14:paraId="2F7CAFD5">
      <w:pPr>
        <w:pStyle w:val="6"/>
        <w:spacing w:line="360" w:lineRule="auto"/>
        <w:ind w:left="5670"/>
        <w:rPr>
          <w:rFonts w:ascii="宋体" w:hAnsi="宋体" w:eastAsia="宋体" w:cs="宋体"/>
          <w:bCs w:val="0"/>
          <w:sz w:val="21"/>
          <w:szCs w:val="21"/>
          <w:lang w:val="zh-CN"/>
        </w:rPr>
      </w:pPr>
      <w:r>
        <w:rPr>
          <w:rFonts w:hint="eastAsia" w:ascii="宋体" w:hAnsi="宋体" w:eastAsia="宋体" w:cs="宋体"/>
          <w:b w:val="0"/>
          <w:bCs w:val="0"/>
          <w:sz w:val="21"/>
          <w:szCs w:val="21"/>
          <w:lang w:val="zh-CN"/>
        </w:rPr>
        <w:t xml:space="preserve">日期：   </w:t>
      </w:r>
      <w:r>
        <w:rPr>
          <w:rFonts w:hint="eastAsia" w:ascii="宋体" w:hAnsi="宋体" w:eastAsia="宋体" w:cs="宋体"/>
          <w:b w:val="0"/>
          <w:bCs w:val="0"/>
          <w:sz w:val="21"/>
          <w:szCs w:val="21"/>
        </w:rPr>
        <w:t>年  月   日</w:t>
      </w:r>
    </w:p>
    <w:p w14:paraId="6B68DDC5">
      <w:pPr>
        <w:rPr>
          <w:rFonts w:ascii="宋体" w:hAnsi="宋体" w:eastAsia="宋体" w:cs="宋体"/>
          <w:lang w:val="zh-CN"/>
        </w:rPr>
      </w:pPr>
    </w:p>
    <w:p w14:paraId="4627DCBA">
      <w:pPr>
        <w:rPr>
          <w:rFonts w:ascii="宋体" w:hAnsi="宋体" w:eastAsia="宋体" w:cs="宋体"/>
          <w:lang w:val="zh-CN"/>
        </w:rPr>
      </w:pPr>
      <w:r>
        <w:rPr>
          <w:rFonts w:hint="eastAsia" w:ascii="宋体" w:hAnsi="宋体" w:eastAsia="宋体" w:cs="宋体"/>
          <w:lang w:val="zh-CN"/>
        </w:rPr>
        <w:br w:type="page"/>
      </w:r>
    </w:p>
    <w:p w14:paraId="5CEA5DCD">
      <w:pPr>
        <w:pStyle w:val="6"/>
        <w:spacing w:line="360" w:lineRule="auto"/>
        <w:jc w:val="center"/>
        <w:rPr>
          <w:rFonts w:ascii="宋体" w:hAnsi="宋体" w:eastAsia="宋体" w:cs="宋体"/>
          <w:bCs w:val="0"/>
          <w:lang w:val="zh-CN"/>
        </w:rPr>
      </w:pPr>
      <w:r>
        <w:rPr>
          <w:rFonts w:hint="eastAsia" w:ascii="宋体" w:hAnsi="宋体" w:eastAsia="宋体" w:cs="宋体"/>
          <w:bCs w:val="0"/>
          <w:lang w:val="zh-CN"/>
        </w:rPr>
        <w:t>3、报价文件格式</w:t>
      </w:r>
    </w:p>
    <w:p w14:paraId="211087E9">
      <w:pPr>
        <w:spacing w:line="360" w:lineRule="auto"/>
        <w:jc w:val="center"/>
        <w:rPr>
          <w:rFonts w:ascii="宋体" w:hAnsi="宋体" w:eastAsia="宋体" w:cs="宋体"/>
          <w:b/>
          <w:bCs/>
          <w:sz w:val="32"/>
          <w:szCs w:val="32"/>
        </w:rPr>
      </w:pPr>
      <w:r>
        <w:rPr>
          <w:rFonts w:hint="eastAsia" w:ascii="宋体" w:hAnsi="宋体" w:eastAsia="宋体" w:cs="宋体"/>
          <w:b/>
          <w:bCs/>
          <w:sz w:val="32"/>
          <w:szCs w:val="32"/>
        </w:rPr>
        <w:t>目录</w:t>
      </w:r>
    </w:p>
    <w:p w14:paraId="63326286">
      <w:pPr>
        <w:spacing w:line="360" w:lineRule="auto"/>
        <w:jc w:val="center"/>
        <w:rPr>
          <w:rFonts w:ascii="宋体" w:hAnsi="宋体" w:eastAsia="宋体" w:cs="宋体"/>
          <w:sz w:val="21"/>
          <w:szCs w:val="21"/>
        </w:rPr>
      </w:pPr>
      <w:r>
        <w:rPr>
          <w:rFonts w:hint="eastAsia" w:ascii="宋体" w:hAnsi="宋体" w:eastAsia="宋体" w:cs="宋体"/>
          <w:sz w:val="21"/>
          <w:szCs w:val="21"/>
        </w:rPr>
        <w:t>（供应商可参考采购文件“第三部分磋商须知”报价文件组成要求编排）</w:t>
      </w:r>
    </w:p>
    <w:p w14:paraId="3601ABDA">
      <w:pPr>
        <w:snapToGrid w:val="0"/>
        <w:spacing w:before="50" w:after="50"/>
        <w:jc w:val="center"/>
        <w:rPr>
          <w:rFonts w:ascii="宋体" w:hAnsi="宋体" w:eastAsia="宋体" w:cs="宋体"/>
          <w:b/>
          <w:sz w:val="24"/>
        </w:rPr>
      </w:pPr>
    </w:p>
    <w:p w14:paraId="7036AE4E">
      <w:pPr>
        <w:snapToGrid w:val="0"/>
        <w:spacing w:before="120" w:beforeLines="50" w:after="50" w:line="360" w:lineRule="auto"/>
        <w:rPr>
          <w:rFonts w:ascii="宋体" w:hAnsi="宋体" w:eastAsia="宋体" w:cs="宋体"/>
          <w:b/>
          <w:sz w:val="28"/>
        </w:rPr>
      </w:pPr>
    </w:p>
    <w:p w14:paraId="0896A9B1">
      <w:pPr>
        <w:pStyle w:val="2"/>
        <w:ind w:firstLine="241"/>
        <w:rPr>
          <w:rFonts w:ascii="宋体" w:hAnsi="宋体" w:eastAsia="宋体" w:cs="宋体"/>
          <w:b/>
          <w:sz w:val="24"/>
          <w:szCs w:val="24"/>
        </w:rPr>
      </w:pPr>
    </w:p>
    <w:p w14:paraId="42E81A87">
      <w:pPr>
        <w:pStyle w:val="2"/>
        <w:ind w:firstLine="241"/>
        <w:rPr>
          <w:rFonts w:ascii="宋体" w:hAnsi="宋体" w:eastAsia="宋体" w:cs="宋体"/>
          <w:b/>
          <w:sz w:val="24"/>
          <w:szCs w:val="24"/>
        </w:rPr>
      </w:pPr>
    </w:p>
    <w:p w14:paraId="169BACBC">
      <w:pPr>
        <w:pStyle w:val="2"/>
        <w:ind w:firstLine="241"/>
        <w:rPr>
          <w:rFonts w:ascii="宋体" w:hAnsi="宋体" w:eastAsia="宋体" w:cs="宋体"/>
          <w:b/>
          <w:sz w:val="24"/>
          <w:szCs w:val="24"/>
        </w:rPr>
      </w:pPr>
    </w:p>
    <w:p w14:paraId="0A0BFA82">
      <w:pPr>
        <w:pStyle w:val="2"/>
        <w:ind w:firstLine="241"/>
        <w:rPr>
          <w:rFonts w:ascii="宋体" w:hAnsi="宋体" w:eastAsia="宋体" w:cs="宋体"/>
          <w:b/>
          <w:sz w:val="24"/>
          <w:szCs w:val="24"/>
        </w:rPr>
      </w:pPr>
    </w:p>
    <w:p w14:paraId="7715D16A">
      <w:pPr>
        <w:pStyle w:val="2"/>
        <w:ind w:firstLine="241"/>
        <w:rPr>
          <w:rFonts w:ascii="宋体" w:hAnsi="宋体" w:eastAsia="宋体" w:cs="宋体"/>
          <w:b/>
          <w:sz w:val="24"/>
          <w:szCs w:val="24"/>
        </w:rPr>
      </w:pPr>
    </w:p>
    <w:p w14:paraId="29203DAD">
      <w:pPr>
        <w:pStyle w:val="2"/>
        <w:ind w:firstLine="241"/>
        <w:rPr>
          <w:rFonts w:ascii="宋体" w:hAnsi="宋体" w:eastAsia="宋体" w:cs="宋体"/>
          <w:b/>
          <w:sz w:val="24"/>
          <w:szCs w:val="24"/>
        </w:rPr>
      </w:pPr>
    </w:p>
    <w:p w14:paraId="5068458C">
      <w:pPr>
        <w:pStyle w:val="2"/>
        <w:ind w:firstLine="241"/>
        <w:rPr>
          <w:rFonts w:ascii="宋体" w:hAnsi="宋体" w:eastAsia="宋体" w:cs="宋体"/>
          <w:b/>
          <w:sz w:val="24"/>
          <w:szCs w:val="24"/>
        </w:rPr>
      </w:pPr>
    </w:p>
    <w:p w14:paraId="66EBF252">
      <w:pPr>
        <w:pStyle w:val="2"/>
        <w:ind w:firstLine="241"/>
        <w:rPr>
          <w:rFonts w:ascii="宋体" w:hAnsi="宋体" w:eastAsia="宋体" w:cs="宋体"/>
          <w:b/>
          <w:sz w:val="24"/>
          <w:szCs w:val="24"/>
        </w:rPr>
      </w:pPr>
    </w:p>
    <w:p w14:paraId="05E537E0">
      <w:pPr>
        <w:pStyle w:val="2"/>
        <w:ind w:firstLine="241"/>
        <w:rPr>
          <w:rFonts w:ascii="宋体" w:hAnsi="宋体" w:eastAsia="宋体" w:cs="宋体"/>
          <w:b/>
          <w:sz w:val="24"/>
          <w:szCs w:val="24"/>
        </w:rPr>
      </w:pPr>
    </w:p>
    <w:p w14:paraId="456D0B02">
      <w:pPr>
        <w:pStyle w:val="2"/>
        <w:ind w:firstLine="241"/>
        <w:rPr>
          <w:rFonts w:ascii="宋体" w:hAnsi="宋体" w:eastAsia="宋体" w:cs="宋体"/>
          <w:b/>
          <w:sz w:val="24"/>
          <w:szCs w:val="24"/>
        </w:rPr>
      </w:pPr>
    </w:p>
    <w:p w14:paraId="1675DC27">
      <w:pPr>
        <w:pStyle w:val="2"/>
        <w:ind w:firstLine="241"/>
        <w:rPr>
          <w:rFonts w:ascii="宋体" w:hAnsi="宋体" w:eastAsia="宋体" w:cs="宋体"/>
          <w:b/>
          <w:sz w:val="24"/>
          <w:szCs w:val="24"/>
        </w:rPr>
      </w:pPr>
    </w:p>
    <w:p w14:paraId="13DAA4CF">
      <w:pPr>
        <w:pStyle w:val="2"/>
        <w:ind w:firstLine="241"/>
        <w:rPr>
          <w:rFonts w:ascii="宋体" w:hAnsi="宋体" w:eastAsia="宋体" w:cs="宋体"/>
          <w:b/>
          <w:sz w:val="24"/>
          <w:szCs w:val="24"/>
        </w:rPr>
      </w:pPr>
    </w:p>
    <w:p w14:paraId="6E51B771">
      <w:pPr>
        <w:pStyle w:val="2"/>
        <w:ind w:firstLine="241"/>
        <w:rPr>
          <w:rFonts w:ascii="宋体" w:hAnsi="宋体" w:eastAsia="宋体" w:cs="宋体"/>
          <w:b/>
          <w:sz w:val="24"/>
          <w:szCs w:val="24"/>
        </w:rPr>
      </w:pPr>
    </w:p>
    <w:p w14:paraId="1DB76217">
      <w:pPr>
        <w:pStyle w:val="2"/>
        <w:ind w:firstLine="241"/>
        <w:rPr>
          <w:rFonts w:ascii="宋体" w:hAnsi="宋体" w:eastAsia="宋体" w:cs="宋体"/>
          <w:b/>
          <w:sz w:val="24"/>
          <w:szCs w:val="24"/>
        </w:rPr>
      </w:pPr>
    </w:p>
    <w:p w14:paraId="5AC209F6">
      <w:pPr>
        <w:pStyle w:val="2"/>
        <w:ind w:firstLine="241"/>
        <w:rPr>
          <w:rFonts w:ascii="宋体" w:hAnsi="宋体" w:eastAsia="宋体" w:cs="宋体"/>
          <w:b/>
          <w:sz w:val="24"/>
          <w:szCs w:val="24"/>
        </w:rPr>
      </w:pPr>
    </w:p>
    <w:p w14:paraId="63719A19">
      <w:pPr>
        <w:pStyle w:val="2"/>
        <w:ind w:firstLine="241"/>
        <w:rPr>
          <w:rFonts w:ascii="宋体" w:hAnsi="宋体" w:eastAsia="宋体" w:cs="宋体"/>
          <w:b/>
          <w:sz w:val="24"/>
          <w:szCs w:val="24"/>
        </w:rPr>
      </w:pPr>
    </w:p>
    <w:p w14:paraId="21B68A8E">
      <w:pPr>
        <w:pStyle w:val="2"/>
        <w:ind w:firstLine="241"/>
        <w:rPr>
          <w:rFonts w:ascii="宋体" w:hAnsi="宋体" w:eastAsia="宋体" w:cs="宋体"/>
          <w:b/>
          <w:sz w:val="24"/>
          <w:szCs w:val="24"/>
        </w:rPr>
      </w:pPr>
    </w:p>
    <w:p w14:paraId="00AD0827">
      <w:pPr>
        <w:pStyle w:val="2"/>
        <w:ind w:firstLine="241"/>
        <w:rPr>
          <w:rFonts w:ascii="宋体" w:hAnsi="宋体" w:eastAsia="宋体" w:cs="宋体"/>
          <w:b/>
          <w:sz w:val="24"/>
          <w:szCs w:val="24"/>
        </w:rPr>
      </w:pPr>
    </w:p>
    <w:p w14:paraId="63A80B71">
      <w:pPr>
        <w:pStyle w:val="2"/>
        <w:ind w:firstLine="241"/>
        <w:rPr>
          <w:rFonts w:ascii="宋体" w:hAnsi="宋体" w:eastAsia="宋体" w:cs="宋体"/>
          <w:b/>
          <w:sz w:val="24"/>
          <w:szCs w:val="24"/>
        </w:rPr>
      </w:pPr>
    </w:p>
    <w:p w14:paraId="49FACF6B">
      <w:pPr>
        <w:pStyle w:val="2"/>
        <w:ind w:firstLine="241"/>
        <w:rPr>
          <w:rFonts w:ascii="宋体" w:hAnsi="宋体" w:eastAsia="宋体" w:cs="宋体"/>
          <w:b/>
          <w:sz w:val="24"/>
          <w:szCs w:val="24"/>
        </w:rPr>
      </w:pPr>
    </w:p>
    <w:p w14:paraId="3306A365">
      <w:pPr>
        <w:pStyle w:val="2"/>
        <w:ind w:firstLine="241"/>
        <w:rPr>
          <w:rFonts w:ascii="宋体" w:hAnsi="宋体" w:eastAsia="宋体" w:cs="宋体"/>
          <w:b/>
          <w:sz w:val="24"/>
          <w:szCs w:val="24"/>
        </w:rPr>
      </w:pPr>
    </w:p>
    <w:p w14:paraId="16E18841">
      <w:pPr>
        <w:pStyle w:val="2"/>
        <w:ind w:firstLine="241"/>
        <w:rPr>
          <w:rFonts w:ascii="宋体" w:hAnsi="宋体" w:eastAsia="宋体" w:cs="宋体"/>
          <w:b/>
          <w:sz w:val="24"/>
          <w:szCs w:val="24"/>
        </w:rPr>
      </w:pPr>
    </w:p>
    <w:p w14:paraId="7DB5192C">
      <w:pPr>
        <w:widowControl/>
        <w:jc w:val="left"/>
        <w:rPr>
          <w:rFonts w:ascii="宋体" w:hAnsi="宋体" w:eastAsia="宋体" w:cs="宋体"/>
          <w:b/>
          <w:sz w:val="24"/>
        </w:rPr>
      </w:pPr>
      <w:r>
        <w:rPr>
          <w:rFonts w:ascii="宋体" w:hAnsi="宋体" w:eastAsia="宋体" w:cs="宋体"/>
          <w:b/>
          <w:sz w:val="24"/>
        </w:rPr>
        <w:br w:type="page"/>
      </w:r>
    </w:p>
    <w:p w14:paraId="0CDC4B52">
      <w:pPr>
        <w:rPr>
          <w:rFonts w:ascii="宋体" w:hAnsi="宋体" w:eastAsia="宋体" w:cs="宋体"/>
          <w:b/>
          <w:sz w:val="24"/>
        </w:rPr>
      </w:pPr>
      <w:r>
        <w:rPr>
          <w:rFonts w:hint="eastAsia" w:ascii="宋体" w:hAnsi="宋体" w:eastAsia="宋体" w:cs="宋体"/>
          <w:b/>
          <w:sz w:val="24"/>
        </w:rPr>
        <w:t>附件十三：</w:t>
      </w:r>
    </w:p>
    <w:p w14:paraId="7D917B80">
      <w:pPr>
        <w:snapToGrid w:val="0"/>
        <w:spacing w:line="360" w:lineRule="auto"/>
        <w:jc w:val="center"/>
        <w:rPr>
          <w:rFonts w:ascii="宋体" w:hAnsi="宋体" w:eastAsia="宋体" w:cs="宋体"/>
          <w:sz w:val="24"/>
        </w:rPr>
      </w:pPr>
      <w:r>
        <w:rPr>
          <w:rFonts w:hint="eastAsia" w:ascii="宋体" w:hAnsi="宋体" w:eastAsia="宋体" w:cs="宋体"/>
          <w:b/>
          <w:sz w:val="32"/>
          <w:szCs w:val="32"/>
        </w:rPr>
        <w:t>磋商报价一览表</w:t>
      </w:r>
      <w:r>
        <w:rPr>
          <w:rFonts w:hint="eastAsia" w:ascii="宋体" w:hAnsi="宋体" w:eastAsia="宋体" w:cs="宋体"/>
          <w:b/>
          <w:bCs/>
          <w:sz w:val="32"/>
          <w:szCs w:val="32"/>
        </w:rPr>
        <w:t>（首次报价）</w:t>
      </w:r>
    </w:p>
    <w:p w14:paraId="1AB1AE33">
      <w:pPr>
        <w:snapToGrid w:val="0"/>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rPr>
        <w:t>项目名称：</w:t>
      </w:r>
      <w:r>
        <w:rPr>
          <w:rFonts w:hint="eastAsia" w:ascii="宋体" w:hAnsi="宋体" w:eastAsia="宋体" w:cs="宋体"/>
          <w:sz w:val="21"/>
          <w:szCs w:val="21"/>
          <w:lang w:eastAsia="zh-CN"/>
        </w:rPr>
        <w:t>台州市黄岩第二高级中学体能训练场、科技楼顶渗漏和阶梯教室等改造工程</w:t>
      </w:r>
    </w:p>
    <w:tbl>
      <w:tblPr>
        <w:tblStyle w:val="29"/>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3"/>
        <w:gridCol w:w="1085"/>
        <w:gridCol w:w="5250"/>
      </w:tblGrid>
      <w:tr w14:paraId="55321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3303" w:type="dxa"/>
            <w:vMerge w:val="restart"/>
            <w:noWrap/>
            <w:vAlign w:val="center"/>
          </w:tcPr>
          <w:p w14:paraId="5F8CCA55">
            <w:pPr>
              <w:snapToGrid w:val="0"/>
              <w:jc w:val="center"/>
              <w:rPr>
                <w:rFonts w:ascii="宋体" w:hAnsi="宋体" w:eastAsia="宋体" w:cs="宋体"/>
                <w:b/>
                <w:bCs/>
                <w:sz w:val="21"/>
                <w:szCs w:val="21"/>
              </w:rPr>
            </w:pPr>
            <w:r>
              <w:rPr>
                <w:rFonts w:hint="eastAsia" w:ascii="宋体" w:hAnsi="宋体" w:eastAsia="宋体" w:cs="宋体"/>
                <w:b/>
                <w:bCs/>
                <w:sz w:val="21"/>
                <w:szCs w:val="21"/>
              </w:rPr>
              <w:t>磋商总报价（元）</w:t>
            </w:r>
          </w:p>
        </w:tc>
        <w:tc>
          <w:tcPr>
            <w:tcW w:w="1085" w:type="dxa"/>
            <w:noWrap/>
            <w:vAlign w:val="center"/>
          </w:tcPr>
          <w:p w14:paraId="0B1FCBB1">
            <w:pPr>
              <w:snapToGrid w:val="0"/>
              <w:jc w:val="center"/>
              <w:rPr>
                <w:rFonts w:ascii="宋体" w:hAnsi="宋体" w:eastAsia="宋体" w:cs="宋体"/>
                <w:b/>
                <w:bCs/>
                <w:sz w:val="21"/>
                <w:szCs w:val="21"/>
              </w:rPr>
            </w:pPr>
            <w:r>
              <w:rPr>
                <w:rFonts w:hint="eastAsia" w:ascii="宋体" w:hAnsi="宋体" w:eastAsia="宋体" w:cs="宋体"/>
                <w:b/>
                <w:bCs/>
                <w:sz w:val="21"/>
                <w:szCs w:val="21"/>
              </w:rPr>
              <w:t>小写</w:t>
            </w:r>
          </w:p>
        </w:tc>
        <w:tc>
          <w:tcPr>
            <w:tcW w:w="5250" w:type="dxa"/>
            <w:noWrap/>
            <w:vAlign w:val="center"/>
          </w:tcPr>
          <w:p w14:paraId="561C7CD0">
            <w:pPr>
              <w:snapToGrid w:val="0"/>
              <w:ind w:firstLine="211" w:firstLineChars="100"/>
              <w:jc w:val="left"/>
              <w:rPr>
                <w:rFonts w:ascii="宋体" w:hAnsi="宋体" w:eastAsia="宋体" w:cs="宋体"/>
                <w:b/>
                <w:bCs/>
                <w:sz w:val="21"/>
                <w:szCs w:val="21"/>
              </w:rPr>
            </w:pPr>
            <w:r>
              <w:rPr>
                <w:rFonts w:hint="eastAsia" w:ascii="宋体" w:hAnsi="宋体" w:eastAsia="宋体" w:cs="宋体"/>
                <w:b/>
                <w:bCs/>
                <w:sz w:val="21"/>
                <w:szCs w:val="21"/>
              </w:rPr>
              <w:t>¥：</w:t>
            </w:r>
          </w:p>
        </w:tc>
      </w:tr>
      <w:tr w14:paraId="09633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3303" w:type="dxa"/>
            <w:vMerge w:val="continue"/>
            <w:noWrap/>
            <w:vAlign w:val="center"/>
          </w:tcPr>
          <w:p w14:paraId="114A82C0">
            <w:pPr>
              <w:snapToGrid w:val="0"/>
              <w:jc w:val="center"/>
              <w:rPr>
                <w:rFonts w:ascii="宋体" w:hAnsi="宋体" w:eastAsia="宋体" w:cs="宋体"/>
                <w:b/>
                <w:bCs/>
                <w:sz w:val="21"/>
                <w:szCs w:val="21"/>
              </w:rPr>
            </w:pPr>
          </w:p>
        </w:tc>
        <w:tc>
          <w:tcPr>
            <w:tcW w:w="1085" w:type="dxa"/>
            <w:noWrap/>
            <w:vAlign w:val="center"/>
          </w:tcPr>
          <w:p w14:paraId="713587B6">
            <w:pPr>
              <w:snapToGrid w:val="0"/>
              <w:jc w:val="center"/>
              <w:rPr>
                <w:rFonts w:ascii="宋体" w:hAnsi="宋体" w:eastAsia="宋体" w:cs="宋体"/>
                <w:b/>
                <w:bCs/>
                <w:sz w:val="21"/>
                <w:szCs w:val="21"/>
              </w:rPr>
            </w:pPr>
            <w:r>
              <w:rPr>
                <w:rFonts w:hint="eastAsia" w:ascii="宋体" w:hAnsi="宋体" w:eastAsia="宋体" w:cs="宋体"/>
                <w:b/>
                <w:bCs/>
                <w:sz w:val="21"/>
                <w:szCs w:val="21"/>
              </w:rPr>
              <w:t>大写</w:t>
            </w:r>
          </w:p>
        </w:tc>
        <w:tc>
          <w:tcPr>
            <w:tcW w:w="5250" w:type="dxa"/>
            <w:noWrap/>
            <w:vAlign w:val="center"/>
          </w:tcPr>
          <w:p w14:paraId="7A29A222">
            <w:pPr>
              <w:snapToGrid w:val="0"/>
              <w:ind w:firstLine="211" w:firstLineChars="100"/>
              <w:jc w:val="left"/>
              <w:rPr>
                <w:rFonts w:ascii="宋体" w:hAnsi="宋体" w:eastAsia="宋体" w:cs="宋体"/>
                <w:b/>
                <w:bCs/>
                <w:sz w:val="21"/>
                <w:szCs w:val="21"/>
              </w:rPr>
            </w:pPr>
            <w:r>
              <w:rPr>
                <w:rFonts w:hint="eastAsia" w:ascii="宋体" w:hAnsi="宋体" w:eastAsia="宋体" w:cs="宋体"/>
                <w:b/>
                <w:bCs/>
                <w:sz w:val="21"/>
                <w:szCs w:val="21"/>
              </w:rPr>
              <w:t>人民币：</w:t>
            </w:r>
          </w:p>
        </w:tc>
      </w:tr>
    </w:tbl>
    <w:p w14:paraId="1CBE2394">
      <w:pPr>
        <w:snapToGrid w:val="0"/>
        <w:spacing w:line="120" w:lineRule="exact"/>
        <w:jc w:val="left"/>
        <w:rPr>
          <w:rFonts w:ascii="宋体" w:hAnsi="宋体" w:eastAsia="宋体" w:cs="宋体"/>
          <w:sz w:val="21"/>
          <w:szCs w:val="21"/>
        </w:rPr>
      </w:pPr>
    </w:p>
    <w:p w14:paraId="0A5134BE">
      <w:pPr>
        <w:snapToGrid w:val="0"/>
        <w:spacing w:before="50" w:after="50" w:line="360" w:lineRule="auto"/>
        <w:jc w:val="left"/>
        <w:rPr>
          <w:rFonts w:ascii="宋体" w:hAnsi="宋体" w:eastAsia="宋体" w:cs="宋体"/>
          <w:sz w:val="21"/>
          <w:szCs w:val="21"/>
        </w:rPr>
      </w:pPr>
      <w:r>
        <w:rPr>
          <w:rFonts w:hint="eastAsia" w:ascii="宋体" w:hAnsi="宋体" w:eastAsia="宋体" w:cs="宋体"/>
          <w:b/>
          <w:sz w:val="21"/>
          <w:szCs w:val="21"/>
        </w:rPr>
        <w:t>注：</w:t>
      </w:r>
      <w:r>
        <w:rPr>
          <w:rFonts w:hint="eastAsia" w:ascii="宋体" w:hAnsi="宋体" w:eastAsia="宋体" w:cs="宋体"/>
          <w:sz w:val="21"/>
          <w:szCs w:val="21"/>
        </w:rPr>
        <w:t>投标总报价是完全履行招标内容及要求的价格体现，报价中须包含所有一切人员工资、各种加班费、节假日补贴、各种社会保险、安全保险、食宿与交通、材料费、机械费、人工费、辅助材料费、建筑垃圾清运费、保险费、管理费、规费以及所有税收、利润、采购代理服务费等，完成合同所需的一切本身和不可缺的所有工作开支、政策性文件规定及合同包含的所有风险、责任等各项全部费用并承担一切风险责任。如发生不可抗拒力及突发性事件，中标方要无条件服从采购方指挥，配合采购方一切行动，相关费用包括在投标价内，采购方不再另行支付其它费用。</w:t>
      </w:r>
    </w:p>
    <w:p w14:paraId="2791C067">
      <w:pPr>
        <w:snapToGrid w:val="0"/>
        <w:spacing w:before="50" w:after="50" w:line="360" w:lineRule="auto"/>
        <w:jc w:val="left"/>
        <w:rPr>
          <w:rFonts w:ascii="宋体" w:hAnsi="宋体" w:eastAsia="宋体" w:cs="宋体"/>
          <w:sz w:val="21"/>
          <w:szCs w:val="21"/>
        </w:rPr>
      </w:pPr>
    </w:p>
    <w:p w14:paraId="3EC5B693">
      <w:pPr>
        <w:snapToGrid w:val="0"/>
        <w:spacing w:before="50" w:after="50" w:line="360" w:lineRule="auto"/>
        <w:jc w:val="left"/>
        <w:rPr>
          <w:rFonts w:ascii="宋体" w:hAnsi="宋体" w:eastAsia="宋体" w:cs="宋体"/>
          <w:sz w:val="21"/>
          <w:szCs w:val="21"/>
        </w:rPr>
      </w:pPr>
      <w:r>
        <w:rPr>
          <w:rFonts w:hint="eastAsia" w:ascii="宋体" w:hAnsi="宋体" w:eastAsia="宋体" w:cs="宋体"/>
          <w:sz w:val="21"/>
          <w:szCs w:val="21"/>
        </w:rPr>
        <w:t>2、报价一经涂改，应在涂改处加盖单位公章，或者由法定代表人或全权代表签字或盖章，否则其磋商无效。</w:t>
      </w:r>
    </w:p>
    <w:p w14:paraId="56FC5BBA">
      <w:pPr>
        <w:snapToGrid w:val="0"/>
        <w:spacing w:line="360" w:lineRule="auto"/>
        <w:ind w:firstLine="420" w:firstLineChars="200"/>
        <w:jc w:val="left"/>
        <w:rPr>
          <w:rFonts w:ascii="宋体" w:hAnsi="宋体" w:eastAsia="宋体" w:cs="宋体"/>
          <w:sz w:val="21"/>
          <w:szCs w:val="21"/>
        </w:rPr>
      </w:pPr>
    </w:p>
    <w:p w14:paraId="32523727">
      <w:pPr>
        <w:snapToGrid w:val="0"/>
        <w:spacing w:line="360" w:lineRule="auto"/>
        <w:jc w:val="right"/>
        <w:rPr>
          <w:rFonts w:ascii="宋体" w:hAnsi="宋体" w:eastAsia="宋体" w:cs="宋体"/>
          <w:sz w:val="21"/>
          <w:szCs w:val="21"/>
        </w:rPr>
      </w:pPr>
    </w:p>
    <w:p w14:paraId="12A5D0E5">
      <w:pPr>
        <w:snapToGrid w:val="0"/>
        <w:spacing w:line="360" w:lineRule="auto"/>
        <w:jc w:val="right"/>
        <w:rPr>
          <w:rFonts w:ascii="宋体" w:hAnsi="宋体" w:eastAsia="宋体" w:cs="宋体"/>
          <w:sz w:val="21"/>
          <w:szCs w:val="21"/>
        </w:rPr>
      </w:pPr>
      <w:r>
        <w:rPr>
          <w:rFonts w:hint="eastAsia" w:ascii="宋体" w:hAnsi="宋体" w:eastAsia="宋体" w:cs="宋体"/>
          <w:sz w:val="21"/>
          <w:szCs w:val="21"/>
        </w:rPr>
        <w:t>法定代表人(或全权代表)签字或盖章：</w:t>
      </w:r>
    </w:p>
    <w:p w14:paraId="665D573E">
      <w:pPr>
        <w:pStyle w:val="2"/>
        <w:ind w:firstLine="210"/>
      </w:pPr>
    </w:p>
    <w:p w14:paraId="5532D34A">
      <w:pPr>
        <w:pStyle w:val="15"/>
        <w:wordWrap w:val="0"/>
        <w:spacing w:line="360" w:lineRule="auto"/>
        <w:jc w:val="right"/>
        <w:rPr>
          <w:rFonts w:hAnsi="宋体" w:eastAsia="宋体" w:cs="宋体"/>
          <w:szCs w:val="21"/>
        </w:rPr>
      </w:pPr>
      <w:r>
        <w:rPr>
          <w:rFonts w:hint="eastAsia" w:hAnsi="宋体" w:eastAsia="宋体" w:cs="宋体"/>
          <w:szCs w:val="21"/>
        </w:rPr>
        <w:t>磋商人名称</w:t>
      </w:r>
      <w:r>
        <w:rPr>
          <w:rFonts w:hint="eastAsia" w:hAnsi="宋体" w:eastAsia="宋体" w:cs="宋体"/>
          <w:szCs w:val="21"/>
          <w:lang w:val="zh-CN"/>
        </w:rPr>
        <w:t>（盖单位章）：</w:t>
      </w:r>
    </w:p>
    <w:p w14:paraId="76E8D069">
      <w:pPr>
        <w:snapToGrid w:val="0"/>
        <w:spacing w:line="360" w:lineRule="auto"/>
        <w:jc w:val="right"/>
        <w:rPr>
          <w:rFonts w:ascii="宋体" w:hAnsi="宋体" w:eastAsia="宋体" w:cs="宋体"/>
          <w:sz w:val="21"/>
          <w:szCs w:val="21"/>
        </w:rPr>
      </w:pPr>
    </w:p>
    <w:p w14:paraId="767D166D">
      <w:pPr>
        <w:wordWrap w:val="0"/>
        <w:snapToGrid w:val="0"/>
        <w:spacing w:line="360" w:lineRule="auto"/>
        <w:jc w:val="right"/>
        <w:rPr>
          <w:rFonts w:ascii="宋体" w:hAnsi="宋体" w:eastAsia="宋体" w:cs="宋体"/>
          <w:sz w:val="21"/>
          <w:szCs w:val="21"/>
        </w:rPr>
      </w:pPr>
      <w:r>
        <w:rPr>
          <w:rFonts w:hint="eastAsia" w:ascii="宋体" w:hAnsi="宋体" w:eastAsia="宋体" w:cs="宋体"/>
          <w:sz w:val="21"/>
          <w:szCs w:val="21"/>
        </w:rPr>
        <w:t>日期：年月日</w:t>
      </w:r>
    </w:p>
    <w:p w14:paraId="234B7C93">
      <w:pPr>
        <w:snapToGrid w:val="0"/>
        <w:spacing w:before="120" w:beforeLines="50"/>
        <w:rPr>
          <w:rFonts w:ascii="宋体" w:hAnsi="宋体" w:eastAsia="宋体" w:cs="宋体"/>
          <w:sz w:val="21"/>
          <w:szCs w:val="21"/>
        </w:rPr>
      </w:pPr>
    </w:p>
    <w:p w14:paraId="7C3F0D87">
      <w:pPr>
        <w:snapToGrid w:val="0"/>
        <w:spacing w:before="50" w:after="50"/>
        <w:rPr>
          <w:rFonts w:ascii="宋体" w:hAnsi="宋体" w:eastAsia="宋体" w:cs="宋体"/>
          <w:b/>
          <w:sz w:val="21"/>
          <w:szCs w:val="21"/>
        </w:rPr>
      </w:pPr>
    </w:p>
    <w:p w14:paraId="4DB9D4B7">
      <w:pPr>
        <w:pStyle w:val="2"/>
        <w:ind w:firstLine="210"/>
        <w:rPr>
          <w:rFonts w:eastAsiaTheme="minorEastAsia"/>
        </w:rPr>
      </w:pPr>
    </w:p>
    <w:p w14:paraId="6F076B82">
      <w:pPr>
        <w:pStyle w:val="4"/>
        <w:rPr>
          <w:rFonts w:eastAsiaTheme="minorEastAsia"/>
        </w:rPr>
      </w:pPr>
    </w:p>
    <w:p w14:paraId="500A7602">
      <w:pPr>
        <w:rPr>
          <w:rFonts w:eastAsiaTheme="minorEastAsia"/>
        </w:rPr>
      </w:pPr>
    </w:p>
    <w:p w14:paraId="55238509">
      <w:pPr>
        <w:pStyle w:val="2"/>
        <w:ind w:firstLine="210"/>
        <w:rPr>
          <w:rFonts w:eastAsiaTheme="minorEastAsia"/>
        </w:rPr>
      </w:pPr>
    </w:p>
    <w:p w14:paraId="11C3D739">
      <w:pPr>
        <w:pStyle w:val="4"/>
        <w:rPr>
          <w:rFonts w:eastAsiaTheme="minorEastAsia"/>
        </w:rPr>
      </w:pPr>
    </w:p>
    <w:p w14:paraId="0C9656FA">
      <w:pPr>
        <w:rPr>
          <w:rFonts w:eastAsiaTheme="minorEastAsia"/>
        </w:rPr>
      </w:pPr>
    </w:p>
    <w:bookmarkEnd w:id="22"/>
    <w:p w14:paraId="604958AF">
      <w:pPr>
        <w:widowControl/>
        <w:jc w:val="left"/>
        <w:rPr>
          <w:rFonts w:ascii="宋体" w:hAnsi="宋体" w:eastAsia="宋体" w:cs="宋体"/>
          <w:b/>
          <w:sz w:val="28"/>
        </w:rPr>
      </w:pPr>
      <w:r>
        <w:rPr>
          <w:rFonts w:hint="eastAsia" w:ascii="宋体" w:hAnsi="宋体" w:eastAsia="宋体" w:cs="宋体"/>
          <w:b/>
          <w:sz w:val="28"/>
        </w:rPr>
        <w:t>附件十四：</w:t>
      </w:r>
    </w:p>
    <w:p w14:paraId="513AA97E">
      <w:pPr>
        <w:spacing w:line="360" w:lineRule="auto"/>
        <w:jc w:val="center"/>
        <w:rPr>
          <w:rFonts w:ascii="宋体" w:hAnsi="宋体"/>
          <w:b/>
          <w:sz w:val="32"/>
          <w:szCs w:val="32"/>
        </w:rPr>
      </w:pPr>
      <w:r>
        <w:rPr>
          <w:rFonts w:hint="eastAsia" w:ascii="宋体" w:hAnsi="宋体" w:eastAsia="宋体" w:cs="宋体"/>
          <w:b/>
          <w:sz w:val="32"/>
          <w:szCs w:val="32"/>
        </w:rPr>
        <w:t>中小企业声明函（</w:t>
      </w:r>
      <w:r>
        <w:rPr>
          <w:rFonts w:hint="eastAsia" w:asciiTheme="minorEastAsia" w:hAnsiTheme="minorEastAsia" w:eastAsiaTheme="minorEastAsia"/>
          <w:b/>
          <w:sz w:val="32"/>
          <w:szCs w:val="32"/>
        </w:rPr>
        <w:t>工程</w:t>
      </w:r>
      <w:r>
        <w:rPr>
          <w:rFonts w:hint="eastAsia" w:ascii="宋体" w:hAnsi="宋体" w:eastAsia="宋体" w:cs="宋体"/>
          <w:b/>
          <w:sz w:val="32"/>
          <w:szCs w:val="32"/>
        </w:rPr>
        <w:t>）</w:t>
      </w:r>
    </w:p>
    <w:p w14:paraId="4028BC1F">
      <w:pPr>
        <w:spacing w:line="360" w:lineRule="auto"/>
        <w:ind w:firstLine="480" w:firstLineChars="200"/>
        <w:jc w:val="left"/>
        <w:rPr>
          <w:rFonts w:ascii="宋体" w:hAnsi="宋体"/>
          <w:bCs/>
          <w:sz w:val="24"/>
        </w:rPr>
      </w:pPr>
      <w:r>
        <w:rPr>
          <w:rFonts w:hint="eastAsia" w:ascii="宋体" w:hAnsi="宋体" w:eastAsia="宋体" w:cs="宋体"/>
          <w:bCs/>
          <w:sz w:val="24"/>
        </w:rPr>
        <w:t>本公司郑重声明，根据《政府采购促进中小企业发展管理办法》（财库﹝</w:t>
      </w:r>
      <w:r>
        <w:rPr>
          <w:rFonts w:hint="eastAsia" w:ascii="宋体" w:hAnsi="宋体"/>
          <w:bCs/>
          <w:sz w:val="24"/>
        </w:rPr>
        <w:t>2020</w:t>
      </w:r>
      <w:r>
        <w:rPr>
          <w:rFonts w:hint="eastAsia" w:ascii="宋体" w:hAnsi="宋体" w:eastAsia="宋体" w:cs="宋体"/>
          <w:bCs/>
          <w:sz w:val="24"/>
        </w:rPr>
        <w:t>﹞</w:t>
      </w:r>
      <w:r>
        <w:rPr>
          <w:rFonts w:hint="eastAsia" w:ascii="宋体" w:hAnsi="宋体"/>
          <w:bCs/>
          <w:sz w:val="24"/>
        </w:rPr>
        <w:t xml:space="preserve">46 </w:t>
      </w:r>
      <w:r>
        <w:rPr>
          <w:rFonts w:hint="eastAsia" w:ascii="宋体" w:hAnsi="宋体" w:eastAsia="宋体" w:cs="宋体"/>
          <w:bCs/>
          <w:sz w:val="24"/>
        </w:rPr>
        <w:t>号）的规定，本公司参加</w:t>
      </w:r>
      <w:r>
        <w:rPr>
          <w:rFonts w:hint="eastAsia" w:ascii="宋体" w:hAnsi="宋体" w:eastAsia="宋体" w:cs="宋体"/>
          <w:bCs/>
          <w:sz w:val="24"/>
          <w:u w:val="single"/>
        </w:rPr>
        <w:t>（单位名称）</w:t>
      </w:r>
      <w:r>
        <w:rPr>
          <w:rFonts w:hint="eastAsia" w:ascii="宋体" w:hAnsi="宋体" w:eastAsia="宋体" w:cs="宋体"/>
          <w:bCs/>
          <w:sz w:val="24"/>
        </w:rPr>
        <w:t>的</w:t>
      </w:r>
      <w:r>
        <w:rPr>
          <w:rFonts w:hint="eastAsia" w:ascii="宋体" w:hAnsi="宋体" w:eastAsia="宋体" w:cs="宋体"/>
          <w:bCs/>
          <w:sz w:val="24"/>
          <w:u w:val="single"/>
        </w:rPr>
        <w:t>（项目名称）</w:t>
      </w:r>
      <w:r>
        <w:rPr>
          <w:rFonts w:hint="eastAsia" w:ascii="宋体" w:hAnsi="宋体" w:eastAsia="宋体" w:cs="宋体"/>
          <w:bCs/>
          <w:sz w:val="24"/>
        </w:rPr>
        <w:t>采购活动，提供的货物全部由符合政策要求的中小企业制造。相关企业的具体情况如下：</w:t>
      </w:r>
    </w:p>
    <w:p w14:paraId="1A7C1067">
      <w:pPr>
        <w:spacing w:line="360" w:lineRule="auto"/>
        <w:ind w:firstLine="480" w:firstLineChars="200"/>
        <w:jc w:val="left"/>
        <w:rPr>
          <w:rFonts w:ascii="宋体" w:hAnsi="宋体"/>
          <w:bCs/>
          <w:sz w:val="24"/>
        </w:rPr>
      </w:pPr>
      <w:r>
        <w:rPr>
          <w:rFonts w:hint="eastAsia" w:ascii="宋体" w:hAnsi="宋体"/>
          <w:bCs/>
          <w:sz w:val="24"/>
        </w:rPr>
        <w:t>1.</w:t>
      </w:r>
      <w:r>
        <w:rPr>
          <w:rFonts w:hint="eastAsia" w:ascii="宋体" w:hAnsi="宋体" w:eastAsia="宋体" w:cs="宋体"/>
          <w:bCs/>
          <w:sz w:val="24"/>
          <w:u w:val="single"/>
        </w:rPr>
        <w:t>（标的名称）</w:t>
      </w:r>
      <w:r>
        <w:rPr>
          <w:rFonts w:hint="eastAsia" w:ascii="宋体" w:hAnsi="宋体" w:eastAsia="宋体" w:cs="宋体"/>
          <w:bCs/>
          <w:sz w:val="24"/>
        </w:rPr>
        <w:t>，属于</w:t>
      </w:r>
      <w:r>
        <w:rPr>
          <w:rFonts w:hint="eastAsia" w:ascii="宋体" w:hAnsi="宋体" w:eastAsia="宋体" w:cs="宋体"/>
          <w:bCs/>
          <w:sz w:val="24"/>
          <w:u w:val="single"/>
        </w:rPr>
        <w:t>（磋商文件中明确的所属行业）</w:t>
      </w:r>
      <w:r>
        <w:rPr>
          <w:rFonts w:hint="eastAsia" w:ascii="宋体" w:hAnsi="宋体" w:eastAsia="宋体" w:cs="宋体"/>
          <w:bCs/>
          <w:sz w:val="24"/>
        </w:rPr>
        <w:t>行业；制造商为</w:t>
      </w:r>
      <w:r>
        <w:rPr>
          <w:rFonts w:hint="eastAsia" w:ascii="宋体" w:hAnsi="宋体" w:eastAsia="宋体" w:cs="宋体"/>
          <w:bCs/>
          <w:sz w:val="24"/>
          <w:u w:val="single"/>
        </w:rPr>
        <w:t>（企业名称）</w:t>
      </w:r>
      <w:r>
        <w:rPr>
          <w:rFonts w:hint="eastAsia" w:ascii="宋体" w:hAnsi="宋体" w:eastAsia="宋体" w:cs="宋体"/>
          <w:bCs/>
          <w:sz w:val="24"/>
        </w:rPr>
        <w:t>，从业人员人，营业收入为万元，资产总额为万元</w:t>
      </w:r>
      <w:r>
        <w:rPr>
          <w:rStyle w:val="36"/>
          <w:rFonts w:hint="eastAsia" w:ascii="宋体" w:hAnsi="宋体"/>
          <w:bCs/>
          <w:sz w:val="24"/>
        </w:rPr>
        <w:footnoteReference w:id="0"/>
      </w:r>
      <w:r>
        <w:rPr>
          <w:rFonts w:hint="eastAsia" w:ascii="宋体" w:hAnsi="宋体" w:eastAsia="宋体" w:cs="宋体"/>
          <w:bCs/>
          <w:sz w:val="24"/>
        </w:rPr>
        <w:t>，属于</w:t>
      </w:r>
      <w:r>
        <w:rPr>
          <w:rFonts w:hint="eastAsia" w:ascii="宋体" w:hAnsi="宋体" w:eastAsia="宋体" w:cs="宋体"/>
          <w:bCs/>
          <w:sz w:val="24"/>
          <w:u w:val="single"/>
        </w:rPr>
        <w:t>（中型企业、小型企业、微型企业）</w:t>
      </w:r>
      <w:r>
        <w:rPr>
          <w:rFonts w:hint="eastAsia" w:ascii="宋体" w:hAnsi="宋体" w:eastAsia="宋体" w:cs="宋体"/>
          <w:bCs/>
          <w:sz w:val="24"/>
        </w:rPr>
        <w:t>；</w:t>
      </w:r>
    </w:p>
    <w:p w14:paraId="5E03C989">
      <w:pPr>
        <w:spacing w:line="360" w:lineRule="auto"/>
        <w:ind w:firstLine="480" w:firstLineChars="200"/>
        <w:jc w:val="left"/>
        <w:rPr>
          <w:rFonts w:ascii="宋体" w:hAnsi="宋体"/>
          <w:bCs/>
          <w:sz w:val="24"/>
        </w:rPr>
      </w:pPr>
      <w:r>
        <w:rPr>
          <w:rFonts w:hint="eastAsia" w:ascii="宋体" w:hAnsi="宋体"/>
          <w:bCs/>
          <w:sz w:val="24"/>
        </w:rPr>
        <w:t>2.</w:t>
      </w:r>
      <w:r>
        <w:rPr>
          <w:rFonts w:hint="eastAsia" w:ascii="宋体" w:hAnsi="宋体" w:eastAsia="宋体" w:cs="宋体"/>
          <w:bCs/>
          <w:sz w:val="24"/>
          <w:u w:val="single"/>
        </w:rPr>
        <w:t>（标的名称）</w:t>
      </w:r>
      <w:r>
        <w:rPr>
          <w:rFonts w:hint="eastAsia" w:ascii="宋体" w:hAnsi="宋体" w:eastAsia="宋体" w:cs="宋体"/>
          <w:bCs/>
          <w:sz w:val="24"/>
        </w:rPr>
        <w:t>，属于</w:t>
      </w:r>
      <w:r>
        <w:rPr>
          <w:rFonts w:hint="eastAsia" w:ascii="宋体" w:hAnsi="宋体" w:eastAsia="宋体" w:cs="宋体"/>
          <w:bCs/>
          <w:sz w:val="24"/>
          <w:u w:val="single"/>
        </w:rPr>
        <w:t>（磋商文件中明确的所属行业）</w:t>
      </w:r>
      <w:r>
        <w:rPr>
          <w:rFonts w:hint="eastAsia" w:ascii="宋体" w:hAnsi="宋体" w:eastAsia="宋体" w:cs="宋体"/>
          <w:bCs/>
          <w:sz w:val="24"/>
        </w:rPr>
        <w:t>行业；制造商为</w:t>
      </w:r>
      <w:r>
        <w:rPr>
          <w:rFonts w:hint="eastAsia" w:ascii="宋体" w:hAnsi="宋体" w:eastAsia="宋体" w:cs="宋体"/>
          <w:bCs/>
          <w:sz w:val="24"/>
          <w:u w:val="single"/>
        </w:rPr>
        <w:t>（企业名称）</w:t>
      </w:r>
      <w:r>
        <w:rPr>
          <w:rFonts w:hint="eastAsia" w:ascii="宋体" w:hAnsi="宋体" w:eastAsia="宋体" w:cs="宋体"/>
          <w:bCs/>
          <w:sz w:val="24"/>
        </w:rPr>
        <w:t>，从业人员人，营业收入为万元，资产总额为万元，属于</w:t>
      </w:r>
      <w:r>
        <w:rPr>
          <w:rFonts w:hint="eastAsia" w:ascii="宋体" w:hAnsi="宋体" w:eastAsia="宋体" w:cs="宋体"/>
          <w:bCs/>
          <w:sz w:val="24"/>
          <w:u w:val="single"/>
        </w:rPr>
        <w:t>（中型企业、小型企业、微型企业）</w:t>
      </w:r>
      <w:r>
        <w:rPr>
          <w:rFonts w:hint="eastAsia" w:ascii="宋体" w:hAnsi="宋体" w:eastAsia="宋体" w:cs="宋体"/>
          <w:bCs/>
          <w:sz w:val="24"/>
        </w:rPr>
        <w:t>；</w:t>
      </w:r>
    </w:p>
    <w:p w14:paraId="246802C9">
      <w:pPr>
        <w:spacing w:line="360" w:lineRule="auto"/>
        <w:ind w:firstLine="480" w:firstLineChars="200"/>
        <w:jc w:val="left"/>
        <w:rPr>
          <w:rFonts w:ascii="宋体" w:hAnsi="宋体"/>
          <w:bCs/>
          <w:sz w:val="24"/>
        </w:rPr>
      </w:pPr>
      <w:r>
        <w:rPr>
          <w:rFonts w:hint="eastAsia" w:ascii="宋体" w:hAnsi="宋体"/>
          <w:bCs/>
          <w:sz w:val="24"/>
        </w:rPr>
        <w:t>……</w:t>
      </w:r>
    </w:p>
    <w:p w14:paraId="7CA7B2C9">
      <w:pPr>
        <w:spacing w:line="360" w:lineRule="auto"/>
        <w:ind w:firstLine="480" w:firstLineChars="200"/>
        <w:jc w:val="left"/>
        <w:rPr>
          <w:rFonts w:ascii="宋体" w:hAnsi="宋体"/>
          <w:bCs/>
          <w:sz w:val="24"/>
        </w:rPr>
      </w:pPr>
      <w:r>
        <w:rPr>
          <w:rFonts w:hint="eastAsia" w:ascii="宋体" w:hAnsi="宋体" w:eastAsia="宋体" w:cs="宋体"/>
          <w:bCs/>
          <w:sz w:val="24"/>
        </w:rPr>
        <w:t>以上企业，不属于大企业的分支机构，不存在控股股东为大企业的情形，也不存在与大企业的负责人为同一人的情形。</w:t>
      </w:r>
    </w:p>
    <w:p w14:paraId="3EA890EA">
      <w:pPr>
        <w:spacing w:line="360" w:lineRule="auto"/>
        <w:ind w:firstLine="480" w:firstLineChars="200"/>
        <w:jc w:val="left"/>
        <w:rPr>
          <w:rFonts w:ascii="宋体" w:hAnsi="宋体"/>
          <w:bCs/>
          <w:sz w:val="24"/>
        </w:rPr>
      </w:pPr>
      <w:r>
        <w:rPr>
          <w:rFonts w:hint="eastAsia" w:ascii="宋体" w:hAnsi="宋体" w:eastAsia="宋体" w:cs="宋体"/>
          <w:bCs/>
          <w:sz w:val="24"/>
        </w:rPr>
        <w:t>本企业对上述声明内容的真实性负责。如有虚假，将依法承担相应责任。</w:t>
      </w:r>
    </w:p>
    <w:p w14:paraId="09B008FF">
      <w:pPr>
        <w:spacing w:line="360" w:lineRule="auto"/>
        <w:jc w:val="left"/>
        <w:rPr>
          <w:rFonts w:ascii="宋体" w:hAnsi="宋体"/>
          <w:bCs/>
          <w:sz w:val="24"/>
        </w:rPr>
      </w:pPr>
    </w:p>
    <w:p w14:paraId="722FFC35">
      <w:pPr>
        <w:spacing w:line="360" w:lineRule="auto"/>
        <w:ind w:firstLine="4800" w:firstLineChars="2000"/>
        <w:jc w:val="left"/>
        <w:rPr>
          <w:rFonts w:ascii="宋体" w:hAnsi="宋体"/>
          <w:bCs/>
          <w:sz w:val="24"/>
        </w:rPr>
      </w:pPr>
      <w:r>
        <w:rPr>
          <w:rFonts w:hint="eastAsia" w:ascii="宋体" w:hAnsi="宋体" w:eastAsia="宋体" w:cs="宋体"/>
          <w:bCs/>
          <w:sz w:val="24"/>
        </w:rPr>
        <w:t>企业名称（盖章）：</w:t>
      </w:r>
    </w:p>
    <w:p w14:paraId="423F5D3A">
      <w:pPr>
        <w:spacing w:line="360" w:lineRule="auto"/>
        <w:ind w:firstLine="4800" w:firstLineChars="2000"/>
        <w:jc w:val="left"/>
        <w:rPr>
          <w:rFonts w:ascii="宋体" w:hAnsi="宋体"/>
          <w:bCs/>
          <w:sz w:val="24"/>
        </w:rPr>
      </w:pPr>
      <w:r>
        <w:rPr>
          <w:rFonts w:hint="eastAsia" w:ascii="宋体" w:hAnsi="宋体" w:eastAsia="宋体" w:cs="宋体"/>
          <w:bCs/>
          <w:sz w:val="24"/>
        </w:rPr>
        <w:t>日期：</w:t>
      </w:r>
    </w:p>
    <w:p w14:paraId="2B47A39F">
      <w:pPr>
        <w:spacing w:line="360" w:lineRule="auto"/>
        <w:jc w:val="left"/>
        <w:rPr>
          <w:rFonts w:ascii="宋体" w:hAnsi="宋体"/>
          <w:bCs/>
          <w:sz w:val="24"/>
        </w:rPr>
      </w:pPr>
    </w:p>
    <w:p w14:paraId="3E74EF75">
      <w:pPr>
        <w:spacing w:line="360" w:lineRule="auto"/>
        <w:jc w:val="left"/>
        <w:rPr>
          <w:rFonts w:ascii="宋体" w:hAnsi="宋体"/>
          <w:bCs/>
          <w:sz w:val="24"/>
        </w:rPr>
      </w:pPr>
    </w:p>
    <w:p w14:paraId="5FCFE200">
      <w:pPr>
        <w:spacing w:line="360" w:lineRule="auto"/>
        <w:jc w:val="left"/>
        <w:rPr>
          <w:rFonts w:ascii="宋体" w:hAnsi="宋体"/>
          <w:bCs/>
          <w:sz w:val="24"/>
        </w:rPr>
      </w:pPr>
    </w:p>
    <w:p w14:paraId="2E8EF48D">
      <w:pPr>
        <w:pStyle w:val="2"/>
        <w:ind w:firstLine="240"/>
        <w:rPr>
          <w:rFonts w:ascii="宋体" w:hAnsi="宋体"/>
          <w:bCs/>
          <w:sz w:val="24"/>
        </w:rPr>
      </w:pPr>
    </w:p>
    <w:p w14:paraId="43C8DD19">
      <w:pPr>
        <w:pStyle w:val="4"/>
        <w:rPr>
          <w:rFonts w:ascii="宋体" w:hAnsi="宋体"/>
          <w:bCs/>
          <w:sz w:val="24"/>
        </w:rPr>
      </w:pPr>
    </w:p>
    <w:p w14:paraId="56FF0FE7">
      <w:pPr>
        <w:rPr>
          <w:rFonts w:ascii="宋体" w:hAnsi="宋体"/>
          <w:bCs/>
          <w:sz w:val="24"/>
        </w:rPr>
      </w:pPr>
    </w:p>
    <w:p w14:paraId="1254D59B">
      <w:pPr>
        <w:pStyle w:val="2"/>
        <w:ind w:firstLine="240"/>
        <w:rPr>
          <w:rFonts w:ascii="宋体" w:hAnsi="宋体"/>
          <w:bCs/>
          <w:sz w:val="24"/>
        </w:rPr>
      </w:pPr>
    </w:p>
    <w:p w14:paraId="54BA86CF">
      <w:pPr>
        <w:pStyle w:val="4"/>
        <w:rPr>
          <w:rFonts w:ascii="宋体" w:hAnsi="宋体"/>
          <w:bCs/>
          <w:sz w:val="24"/>
        </w:rPr>
      </w:pPr>
    </w:p>
    <w:p w14:paraId="65EF0ECD">
      <w:pPr>
        <w:spacing w:line="360" w:lineRule="auto"/>
        <w:jc w:val="left"/>
        <w:rPr>
          <w:rFonts w:ascii="宋体" w:hAnsi="宋体"/>
          <w:bCs/>
          <w:sz w:val="24"/>
        </w:rPr>
      </w:pPr>
    </w:p>
    <w:p w14:paraId="1A6926FA">
      <w:pPr>
        <w:spacing w:line="360" w:lineRule="auto"/>
        <w:jc w:val="left"/>
        <w:rPr>
          <w:rFonts w:ascii="宋体" w:hAnsi="宋体"/>
          <w:bCs/>
          <w:sz w:val="24"/>
        </w:rPr>
      </w:pPr>
    </w:p>
    <w:p w14:paraId="49EEDA40">
      <w:pPr>
        <w:jc w:val="center"/>
        <w:rPr>
          <w:rFonts w:ascii="宋体" w:hAnsi="宋体" w:eastAsia="宋体" w:cs="宋体"/>
          <w:b/>
          <w:bCs/>
          <w:sz w:val="24"/>
        </w:rPr>
      </w:pPr>
      <w:r>
        <w:rPr>
          <w:rFonts w:hint="eastAsia" w:ascii="宋体" w:hAnsi="宋体" w:eastAsia="宋体" w:cs="宋体"/>
          <w:b/>
          <w:bCs/>
          <w:sz w:val="24"/>
        </w:rPr>
        <w:t>残疾人福利性单位声明函（如有）</w:t>
      </w:r>
    </w:p>
    <w:p w14:paraId="0FDABDC6">
      <w:pPr>
        <w:jc w:val="center"/>
        <w:rPr>
          <w:rFonts w:ascii="宋体" w:hAnsi="宋体" w:eastAsia="宋体" w:cs="宋体"/>
          <w:b/>
          <w:bCs/>
          <w:sz w:val="24"/>
        </w:rPr>
      </w:pPr>
    </w:p>
    <w:p w14:paraId="4D3449B9">
      <w:pPr>
        <w:spacing w:line="588" w:lineRule="exact"/>
        <w:ind w:firstLine="480" w:firstLineChars="200"/>
        <w:rPr>
          <w:rFonts w:ascii="宋体" w:hAnsi="宋体" w:cs="宋体"/>
          <w:spacing w:val="6"/>
          <w:sz w:val="24"/>
        </w:rPr>
      </w:pPr>
      <w:r>
        <w:rPr>
          <w:rFonts w:hint="eastAsia" w:ascii="宋体" w:hAnsi="宋体" w:eastAsia="宋体" w:cs="宋体"/>
          <w:sz w:val="24"/>
        </w:rPr>
        <w:t>本</w:t>
      </w:r>
      <w:r>
        <w:rPr>
          <w:rFonts w:hint="eastAsia" w:ascii="宋体" w:hAnsi="宋体" w:eastAsia="宋体" w:cs="宋体"/>
          <w:spacing w:val="6"/>
          <w:sz w:val="24"/>
        </w:rPr>
        <w:t>单位郑重声明，根据《财政部民政部中国残疾人联合会关于促进残疾人就业政府采购政策的通知》（财库〔</w:t>
      </w:r>
      <w:r>
        <w:rPr>
          <w:rFonts w:hint="eastAsia" w:ascii="宋体" w:hAnsi="宋体" w:cs="宋体"/>
          <w:spacing w:val="6"/>
          <w:sz w:val="24"/>
        </w:rPr>
        <w:t>2017</w:t>
      </w:r>
      <w:r>
        <w:rPr>
          <w:rFonts w:hint="eastAsia" w:ascii="宋体" w:hAnsi="宋体" w:eastAsia="宋体" w:cs="宋体"/>
          <w:spacing w:val="6"/>
          <w:sz w:val="24"/>
        </w:rPr>
        <w:t>〕</w:t>
      </w:r>
      <w:r>
        <w:rPr>
          <w:rFonts w:hint="eastAsia" w:ascii="宋体" w:hAnsi="宋体" w:cs="宋体"/>
          <w:spacing w:val="6"/>
          <w:sz w:val="24"/>
        </w:rPr>
        <w:t xml:space="preserve"> 141</w:t>
      </w:r>
      <w:r>
        <w:rPr>
          <w:rFonts w:hint="eastAsia" w:ascii="宋体" w:hAnsi="宋体" w:eastAsia="宋体" w:cs="宋体"/>
          <w:spacing w:val="6"/>
          <w:sz w:val="24"/>
        </w:rPr>
        <w:t>号）的规定，本单位为符合条件的残疾人福利性单位，且本单位参加单位的项目采购活动提供本单位制造的货物（由本单位承担工程</w:t>
      </w:r>
      <w:r>
        <w:rPr>
          <w:rFonts w:hint="eastAsia" w:ascii="宋体" w:hAnsi="宋体" w:cs="宋体"/>
          <w:spacing w:val="6"/>
          <w:sz w:val="24"/>
        </w:rPr>
        <w:t>/</w:t>
      </w:r>
      <w:r>
        <w:rPr>
          <w:rFonts w:hint="eastAsia" w:ascii="宋体" w:hAnsi="宋体" w:eastAsia="宋体" w:cs="宋体"/>
          <w:spacing w:val="6"/>
          <w:sz w:val="24"/>
        </w:rPr>
        <w:t>提供服务），或者提供其他残疾人福利性单位制造的货物（不包括使用非残疾人福利性单位注册商标的货物）。</w:t>
      </w:r>
    </w:p>
    <w:p w14:paraId="6FA21597">
      <w:pPr>
        <w:spacing w:line="588" w:lineRule="exact"/>
        <w:ind w:firstLine="504" w:firstLineChars="200"/>
        <w:rPr>
          <w:rFonts w:ascii="宋体" w:hAnsi="宋体" w:cs="宋体"/>
          <w:spacing w:val="6"/>
          <w:sz w:val="24"/>
        </w:rPr>
      </w:pPr>
      <w:r>
        <w:rPr>
          <w:rFonts w:hint="eastAsia" w:ascii="宋体" w:hAnsi="宋体" w:eastAsia="宋体" w:cs="宋体"/>
          <w:spacing w:val="6"/>
          <w:sz w:val="24"/>
        </w:rPr>
        <w:t>本单位对上述声明的真实性负责。如有虚假，将依法承担相应责任。</w:t>
      </w:r>
    </w:p>
    <w:p w14:paraId="2651B3CE">
      <w:pPr>
        <w:spacing w:line="360" w:lineRule="auto"/>
        <w:ind w:firstLine="360" w:firstLineChars="150"/>
        <w:rPr>
          <w:rFonts w:ascii="宋体" w:hAnsi="宋体" w:eastAsia="宋体" w:cs="宋体"/>
          <w:sz w:val="24"/>
        </w:rPr>
      </w:pPr>
    </w:p>
    <w:p w14:paraId="788552A1">
      <w:pPr>
        <w:spacing w:line="360" w:lineRule="auto"/>
        <w:ind w:right="480" w:firstLine="4080" w:firstLineChars="1700"/>
        <w:rPr>
          <w:rFonts w:ascii="宋体" w:hAnsi="宋体" w:eastAsia="宋体" w:cs="宋体"/>
          <w:sz w:val="24"/>
        </w:rPr>
      </w:pPr>
      <w:r>
        <w:rPr>
          <w:rFonts w:hint="eastAsia" w:ascii="宋体" w:hAnsi="宋体" w:eastAsia="宋体" w:cs="宋体"/>
          <w:sz w:val="24"/>
        </w:rPr>
        <w:t>磋商供应商名称（盖章）：</w:t>
      </w:r>
    </w:p>
    <w:p w14:paraId="4392BE96">
      <w:pPr>
        <w:spacing w:line="360" w:lineRule="auto"/>
        <w:ind w:firstLine="4320" w:firstLineChars="1800"/>
        <w:jc w:val="left"/>
        <w:rPr>
          <w:rFonts w:ascii="宋体" w:hAnsi="宋体" w:eastAsia="宋体" w:cs="宋体"/>
          <w:sz w:val="24"/>
        </w:rPr>
      </w:pPr>
      <w:r>
        <w:rPr>
          <w:rFonts w:hint="eastAsia" w:ascii="宋体" w:hAnsi="宋体" w:eastAsia="宋体" w:cs="宋体"/>
          <w:sz w:val="24"/>
        </w:rPr>
        <w:t>日期∶</w:t>
      </w:r>
    </w:p>
    <w:sectPr>
      <w:footerReference r:id="rId13" w:type="default"/>
      <w:pgSz w:w="12240" w:h="15840"/>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00"/>
    <w:family w:val="modern"/>
    <w:pitch w:val="default"/>
    <w:sig w:usb0="00000000" w:usb1="00000000" w:usb2="00000010" w:usb3="00000000" w:csb0="000401F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E36B2">
    <w:pPr>
      <w:pStyle w:val="18"/>
      <w:jc w:val="center"/>
      <w:rPr>
        <w:rFonts w:eastAsia="宋体"/>
      </w:rPr>
    </w:pPr>
    <w:r>
      <w:rPr>
        <w:rFonts w:hint="eastAsia" w:eastAsia="宋体"/>
      </w:rPr>
      <w:t>台州市玖诚工程管理有限公司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9FEF1">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37DC4">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889FB">
    <w:pPr>
      <w:pStyle w:val="18"/>
      <w:jc w:val="center"/>
      <w:rPr>
        <w:rFonts w:eastAsia="宋体"/>
      </w:rPr>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a:effectLst/>
                    </wps:spPr>
                    <wps:txbx>
                      <w:txbxContent>
                        <w:p w14:paraId="3C40565E">
                          <w:pPr>
                            <w:pStyle w:val="18"/>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60</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4.6pt;mso-position-horizontal:right;mso-position-horizontal-relative:margin;mso-wrap-style:none;z-index:251662336;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9sZGvRAAAAAgEAAA8AAAAAAAAAAQAgAAAAIgAAAGRycy9kb3ducmV2LnhtbFBL&#10;AQIUABQAAAAIAIdO4kAFkiGKNgIAAGEEAAAOAAAAAAAAAAEAIAAAACABAABkcnMvZTJvRG9jLnht&#10;bFBLBQYAAAAABgAGAFkBAADIBQAAAAA=&#10;">
              <v:path/>
              <v:fill on="f" focussize="0,0"/>
              <v:stroke on="f" weight="0.5pt" joinstyle="miter"/>
              <v:imagedata o:title=""/>
              <o:lock v:ext="edit"/>
              <v:textbox inset="0mm,0mm,0mm,0mm" style="mso-fit-shape-to-text:t;">
                <w:txbxContent>
                  <w:p w14:paraId="3C40565E">
                    <w:pPr>
                      <w:pStyle w:val="18"/>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60</w:t>
                    </w:r>
                    <w:r>
                      <w:rPr>
                        <w:rFonts w:hint="eastAsia" w:eastAsia="宋体"/>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54A35">
    <w:pPr>
      <w:pStyle w:val="18"/>
    </w:pP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9F5D93A">
                          <w:pPr>
                            <w:pStyle w:val="18"/>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115</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path/>
              <v:fill on="f" focussize="0,0"/>
              <v:stroke on="f" weight="0.5pt" joinstyle="miter"/>
              <v:imagedata o:title=""/>
              <o:lock v:ext="edit"/>
              <v:textbox inset="0mm,0mm,0mm,0mm" style="mso-fit-shape-to-text:t;">
                <w:txbxContent>
                  <w:p w14:paraId="29F5D93A">
                    <w:pPr>
                      <w:pStyle w:val="18"/>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115</w:t>
                    </w:r>
                    <w:r>
                      <w:rPr>
                        <w:rFonts w:hint="eastAsia" w:eastAsia="宋体"/>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C2405">
    <w:pPr>
      <w:pStyle w:val="18"/>
      <w:jc w:val="center"/>
      <w:rPr>
        <w:rFonts w:eastAsia="宋体"/>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58420" cy="1397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a:effectLst/>
                    </wps:spPr>
                    <wps:txbx>
                      <w:txbxContent>
                        <w:p w14:paraId="7359BE92">
                          <w:pPr>
                            <w:pStyle w:val="18"/>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56</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1pt;width:4.6pt;mso-position-horizontal:right;mso-position-horizontal-relative:margin;mso-wrap-style:none;z-index:251659264;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vbGRr0QAAAAIBAAAPAAAAAAAAAAEAIAAAACIAAABkcnMvZG93bnJldi54bWxQ&#10;SwECFAAUAAAACACHTuJAzzrXljcCAABhBAAADgAAAAAAAAABACAAAAAgAQAAZHJzL2Uyb0RvYy54&#10;bWxQSwUGAAAAAAYABgBZAQAAyQUAAAAA&#10;">
              <v:fill on="f" focussize="0,0"/>
              <v:stroke on="f" weight="0.5pt"/>
              <v:imagedata o:title=""/>
              <o:lock v:ext="edit" aspectratio="f"/>
              <v:textbox inset="0mm,0mm,0mm,0mm" style="mso-fit-shape-to-text:t;">
                <w:txbxContent>
                  <w:p w14:paraId="7359BE92">
                    <w:pPr>
                      <w:pStyle w:val="18"/>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56</w:t>
                    </w:r>
                    <w:r>
                      <w:rPr>
                        <w:rFonts w:hint="eastAsia" w:eastAsia="宋体"/>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0C823">
    <w:pPr>
      <w:pStyle w:val="18"/>
      <w:jc w:val="cente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73990" cy="1397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73990" cy="139700"/>
                      </a:xfrm>
                      <a:prstGeom prst="rect">
                        <a:avLst/>
                      </a:prstGeom>
                      <a:noFill/>
                      <a:ln w="6350">
                        <a:noFill/>
                      </a:ln>
                      <a:effectLst/>
                    </wps:spPr>
                    <wps:txbx>
                      <w:txbxContent>
                        <w:p w14:paraId="4B06A908">
                          <w:pPr>
                            <w:pStyle w:val="18"/>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72</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1pt;width:13.7pt;mso-position-horizontal:right;mso-position-horizontal-relative:margin;mso-wrap-style:none;z-index:251661312;mso-width-relative:page;mso-height-relative:page;" filled="f" stroked="f" coordsize="21600,21600" o:gfxdata="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xIfJW0QAAAAMBAAAPAAAAAAAAAAEAIAAAACIAAABkcnMvZG93bnJldi54bWxQ&#10;SwECFAAUAAAACACHTuJAoMr2yTcCAABhBAAADgAAAAAAAAABACAAAAAgAQAAZHJzL2Uyb0RvYy54&#10;bWxQSwUGAAAAAAYABgBZAQAAyQUAAAAA&#10;">
              <v:fill on="f" focussize="0,0"/>
              <v:stroke on="f" weight="0.5pt"/>
              <v:imagedata o:title=""/>
              <o:lock v:ext="edit" aspectratio="f"/>
              <v:textbox inset="0mm,0mm,0mm,0mm" style="mso-fit-shape-to-text:t;">
                <w:txbxContent>
                  <w:p w14:paraId="4B06A908">
                    <w:pPr>
                      <w:pStyle w:val="18"/>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72</w:t>
                    </w:r>
                    <w:r>
                      <w:rPr>
                        <w:rFonts w:hint="eastAsia" w:eastAsia="宋体"/>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37124BB8">
      <w:pPr>
        <w:pStyle w:val="23"/>
      </w:pPr>
      <w:r>
        <w:rPr>
          <w:rStyle w:val="36"/>
        </w:rPr>
        <w:footnoteRef/>
      </w:r>
      <w:r>
        <w:rPr>
          <w:rFonts w:hint="eastAsia" w:ascii="宋体" w:hAnsi="宋体"/>
          <w:bCs/>
          <w:sz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593C1">
    <w:pPr>
      <w:pStyle w:val="20"/>
      <w:jc w:val="right"/>
      <w:rPr>
        <w:rFonts w:hint="eastAsia" w:ascii="宋体" w:hAnsi="宋体" w:eastAsia="宋体"/>
        <w:lang w:eastAsia="zh-CN"/>
      </w:rPr>
    </w:pPr>
    <w:r>
      <w:rPr>
        <w:rFonts w:hint="eastAsia" w:ascii="宋体" w:hAnsi="宋体" w:eastAsia="宋体"/>
        <w:bCs/>
        <w:color w:val="000000"/>
        <w:lang w:eastAsia="zh-CN"/>
      </w:rPr>
      <w:t>台州市黄岩第二高级中学体能训练场、科技楼顶渗漏和阶梯教室等改造工程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C8CD4">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EF3FA">
    <w:pPr>
      <w:pStyle w:val="2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3BAF7F"/>
    <w:multiLevelType w:val="singleLevel"/>
    <w:tmpl w:val="C73BAF7F"/>
    <w:lvl w:ilvl="0" w:tentative="0">
      <w:start w:val="1"/>
      <w:numFmt w:val="decimal"/>
      <w:suff w:val="nothing"/>
      <w:lvlText w:val="（%1）"/>
      <w:lvlJc w:val="left"/>
    </w:lvl>
  </w:abstractNum>
  <w:abstractNum w:abstractNumId="1">
    <w:nsid w:val="E749FA51"/>
    <w:multiLevelType w:val="singleLevel"/>
    <w:tmpl w:val="E749FA51"/>
    <w:lvl w:ilvl="0" w:tentative="0">
      <w:start w:val="7"/>
      <w:numFmt w:val="decimal"/>
      <w:lvlText w:val="%1."/>
      <w:lvlJc w:val="left"/>
      <w:pPr>
        <w:tabs>
          <w:tab w:val="left" w:pos="312"/>
        </w:tabs>
      </w:pPr>
    </w:lvl>
  </w:abstractNum>
  <w:abstractNum w:abstractNumId="2">
    <w:nsid w:val="3AEE504C"/>
    <w:multiLevelType w:val="singleLevel"/>
    <w:tmpl w:val="3AEE504C"/>
    <w:lvl w:ilvl="0" w:tentative="0">
      <w:start w:val="1"/>
      <w:numFmt w:val="decimal"/>
      <w:suff w:val="nothing"/>
      <w:lvlText w:val="%1、"/>
      <w:lvlJc w:val="left"/>
    </w:lvl>
  </w:abstractNum>
  <w:abstractNum w:abstractNumId="3">
    <w:nsid w:val="557FD3DA"/>
    <w:multiLevelType w:val="singleLevel"/>
    <w:tmpl w:val="557FD3DA"/>
    <w:lvl w:ilvl="0" w:tentative="0">
      <w:start w:val="3"/>
      <w:numFmt w:val="chineseCounting"/>
      <w:suff w:val="nothing"/>
      <w:lvlText w:val="%1、"/>
      <w:lvlJc w:val="left"/>
    </w:lvl>
  </w:abstractNum>
  <w:abstractNum w:abstractNumId="4">
    <w:nsid w:val="5C785F96"/>
    <w:multiLevelType w:val="singleLevel"/>
    <w:tmpl w:val="5C785F96"/>
    <w:lvl w:ilvl="0" w:tentative="0">
      <w:start w:val="2"/>
      <w:numFmt w:val="decimal"/>
      <w:suff w:val="nothing"/>
      <w:lvlText w:val="（%1）"/>
      <w:lvlJc w:val="left"/>
      <w:pPr>
        <w:ind w:left="78"/>
      </w:pPr>
    </w:lvl>
  </w:abstractNum>
  <w:abstractNum w:abstractNumId="5">
    <w:nsid w:val="6A922762"/>
    <w:multiLevelType w:val="multilevel"/>
    <w:tmpl w:val="6A922762"/>
    <w:lvl w:ilvl="0" w:tentative="0">
      <w:start w:val="1"/>
      <w:numFmt w:val="decimal"/>
      <w:lvlText w:val="%1、"/>
      <w:lvlJc w:val="left"/>
      <w:pPr>
        <w:tabs>
          <w:tab w:val="left" w:pos="840"/>
        </w:tabs>
        <w:ind w:left="84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5"/>
    <w:lvlOverride w:ilvl="0">
      <w:startOverride w:val="1"/>
    </w:lvlOverride>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documentProtection w:enforcement="0"/>
  <w:defaultTabStop w:val="420"/>
  <w:noPunctuationKerning w:val="1"/>
  <w:characterSpacingControl w:val="doNotCompress"/>
  <w:hdrShapeDefaults>
    <o:shapelayout v:ext="edit">
      <o:idmap v:ext="edit" data="2"/>
    </o:shapelayout>
  </w:hdrShapeDefaults>
  <w:footnotePr>
    <w:footnote w:id="2"/>
    <w:footnote w:id="3"/>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xM2JhN2JiN2E3MDFhMzRjZDU0MWQwZGY0MWQwYjYifQ=="/>
  </w:docVars>
  <w:rsids>
    <w:rsidRoot w:val="642377E2"/>
    <w:rsid w:val="000023E9"/>
    <w:rsid w:val="000246BF"/>
    <w:rsid w:val="00053087"/>
    <w:rsid w:val="0007691F"/>
    <w:rsid w:val="000A2A2A"/>
    <w:rsid w:val="000B052F"/>
    <w:rsid w:val="000C0F97"/>
    <w:rsid w:val="000D2656"/>
    <w:rsid w:val="000D439F"/>
    <w:rsid w:val="000E7551"/>
    <w:rsid w:val="000E7C88"/>
    <w:rsid w:val="00105D9E"/>
    <w:rsid w:val="00106BD3"/>
    <w:rsid w:val="001103AD"/>
    <w:rsid w:val="00114C8D"/>
    <w:rsid w:val="00143121"/>
    <w:rsid w:val="00156FA3"/>
    <w:rsid w:val="001613AA"/>
    <w:rsid w:val="001650D4"/>
    <w:rsid w:val="001753E9"/>
    <w:rsid w:val="00192220"/>
    <w:rsid w:val="0019402C"/>
    <w:rsid w:val="001E7783"/>
    <w:rsid w:val="001F061A"/>
    <w:rsid w:val="001F5CEA"/>
    <w:rsid w:val="00206C8D"/>
    <w:rsid w:val="00216C13"/>
    <w:rsid w:val="00216FE8"/>
    <w:rsid w:val="00244F66"/>
    <w:rsid w:val="00247275"/>
    <w:rsid w:val="00250B87"/>
    <w:rsid w:val="00252D15"/>
    <w:rsid w:val="0025459A"/>
    <w:rsid w:val="00261C5A"/>
    <w:rsid w:val="002642C2"/>
    <w:rsid w:val="0027434E"/>
    <w:rsid w:val="002B78AA"/>
    <w:rsid w:val="002C24B2"/>
    <w:rsid w:val="002C7822"/>
    <w:rsid w:val="002D1335"/>
    <w:rsid w:val="002E063D"/>
    <w:rsid w:val="002E41F6"/>
    <w:rsid w:val="00303E8A"/>
    <w:rsid w:val="003108C9"/>
    <w:rsid w:val="00311FB8"/>
    <w:rsid w:val="00322BC5"/>
    <w:rsid w:val="00324EF0"/>
    <w:rsid w:val="00325335"/>
    <w:rsid w:val="00333F1F"/>
    <w:rsid w:val="003417BE"/>
    <w:rsid w:val="00345FD9"/>
    <w:rsid w:val="00354581"/>
    <w:rsid w:val="0037086A"/>
    <w:rsid w:val="00375E29"/>
    <w:rsid w:val="0038488C"/>
    <w:rsid w:val="003854AF"/>
    <w:rsid w:val="003919CB"/>
    <w:rsid w:val="003925E2"/>
    <w:rsid w:val="00393DF4"/>
    <w:rsid w:val="003A2736"/>
    <w:rsid w:val="003A5464"/>
    <w:rsid w:val="003A6501"/>
    <w:rsid w:val="003C2EAB"/>
    <w:rsid w:val="003C6801"/>
    <w:rsid w:val="003E5836"/>
    <w:rsid w:val="0040305A"/>
    <w:rsid w:val="00413E2F"/>
    <w:rsid w:val="0042584A"/>
    <w:rsid w:val="004365F4"/>
    <w:rsid w:val="00441CD9"/>
    <w:rsid w:val="00445654"/>
    <w:rsid w:val="00451FFE"/>
    <w:rsid w:val="004664B7"/>
    <w:rsid w:val="00486190"/>
    <w:rsid w:val="00495AA8"/>
    <w:rsid w:val="004A244C"/>
    <w:rsid w:val="004A2820"/>
    <w:rsid w:val="004A350B"/>
    <w:rsid w:val="004B2A13"/>
    <w:rsid w:val="004B7DD0"/>
    <w:rsid w:val="004D21FF"/>
    <w:rsid w:val="004E08A2"/>
    <w:rsid w:val="004E0C3C"/>
    <w:rsid w:val="004E3091"/>
    <w:rsid w:val="004F0472"/>
    <w:rsid w:val="005016A5"/>
    <w:rsid w:val="0050687C"/>
    <w:rsid w:val="00510C95"/>
    <w:rsid w:val="005121A3"/>
    <w:rsid w:val="00515D2F"/>
    <w:rsid w:val="005259BA"/>
    <w:rsid w:val="00536BA8"/>
    <w:rsid w:val="00542895"/>
    <w:rsid w:val="00551BCF"/>
    <w:rsid w:val="005558C2"/>
    <w:rsid w:val="00555DF8"/>
    <w:rsid w:val="00560458"/>
    <w:rsid w:val="005706EB"/>
    <w:rsid w:val="00570FBE"/>
    <w:rsid w:val="00586BD7"/>
    <w:rsid w:val="00592EC1"/>
    <w:rsid w:val="005A2D54"/>
    <w:rsid w:val="005B0667"/>
    <w:rsid w:val="005B07D2"/>
    <w:rsid w:val="005B5185"/>
    <w:rsid w:val="005C6677"/>
    <w:rsid w:val="005D56C5"/>
    <w:rsid w:val="005E4399"/>
    <w:rsid w:val="005E66E0"/>
    <w:rsid w:val="005F3B39"/>
    <w:rsid w:val="00602836"/>
    <w:rsid w:val="006200BF"/>
    <w:rsid w:val="00621C18"/>
    <w:rsid w:val="006232D7"/>
    <w:rsid w:val="00637D96"/>
    <w:rsid w:val="006447C8"/>
    <w:rsid w:val="00644F14"/>
    <w:rsid w:val="00662E57"/>
    <w:rsid w:val="006650BD"/>
    <w:rsid w:val="00673B03"/>
    <w:rsid w:val="006858E0"/>
    <w:rsid w:val="006B387C"/>
    <w:rsid w:val="006D1155"/>
    <w:rsid w:val="006D3E64"/>
    <w:rsid w:val="006D445C"/>
    <w:rsid w:val="006D6E10"/>
    <w:rsid w:val="006E0D81"/>
    <w:rsid w:val="006E239D"/>
    <w:rsid w:val="006E472E"/>
    <w:rsid w:val="006F0AD2"/>
    <w:rsid w:val="006F223E"/>
    <w:rsid w:val="006F30C7"/>
    <w:rsid w:val="006F7B9C"/>
    <w:rsid w:val="0070488D"/>
    <w:rsid w:val="00711702"/>
    <w:rsid w:val="0071326E"/>
    <w:rsid w:val="00726240"/>
    <w:rsid w:val="00730445"/>
    <w:rsid w:val="007305FF"/>
    <w:rsid w:val="00731DF1"/>
    <w:rsid w:val="00745455"/>
    <w:rsid w:val="00755922"/>
    <w:rsid w:val="00756156"/>
    <w:rsid w:val="0075698B"/>
    <w:rsid w:val="00763E89"/>
    <w:rsid w:val="00775AEA"/>
    <w:rsid w:val="007816BB"/>
    <w:rsid w:val="00787383"/>
    <w:rsid w:val="00791B09"/>
    <w:rsid w:val="007A11DA"/>
    <w:rsid w:val="007A3E56"/>
    <w:rsid w:val="007B52FE"/>
    <w:rsid w:val="007B61EA"/>
    <w:rsid w:val="007C168D"/>
    <w:rsid w:val="007C2DB3"/>
    <w:rsid w:val="007C6F89"/>
    <w:rsid w:val="007D2E06"/>
    <w:rsid w:val="007D35CC"/>
    <w:rsid w:val="007F7542"/>
    <w:rsid w:val="00802D63"/>
    <w:rsid w:val="00805BE2"/>
    <w:rsid w:val="00820569"/>
    <w:rsid w:val="00823244"/>
    <w:rsid w:val="00824A92"/>
    <w:rsid w:val="00827B3A"/>
    <w:rsid w:val="00834845"/>
    <w:rsid w:val="00836FED"/>
    <w:rsid w:val="00862A3D"/>
    <w:rsid w:val="008657F1"/>
    <w:rsid w:val="00867466"/>
    <w:rsid w:val="00867FD8"/>
    <w:rsid w:val="00875DEA"/>
    <w:rsid w:val="008830E7"/>
    <w:rsid w:val="00887F10"/>
    <w:rsid w:val="008964DC"/>
    <w:rsid w:val="008C046D"/>
    <w:rsid w:val="008C584A"/>
    <w:rsid w:val="008D696C"/>
    <w:rsid w:val="008E0D8E"/>
    <w:rsid w:val="008F69B4"/>
    <w:rsid w:val="00904993"/>
    <w:rsid w:val="00914332"/>
    <w:rsid w:val="009211EB"/>
    <w:rsid w:val="00943A5E"/>
    <w:rsid w:val="00946928"/>
    <w:rsid w:val="00947FCA"/>
    <w:rsid w:val="0096083F"/>
    <w:rsid w:val="00962FFB"/>
    <w:rsid w:val="00982972"/>
    <w:rsid w:val="009A6B6C"/>
    <w:rsid w:val="009C7C93"/>
    <w:rsid w:val="009D4D95"/>
    <w:rsid w:val="009E463E"/>
    <w:rsid w:val="00A05B13"/>
    <w:rsid w:val="00A152C1"/>
    <w:rsid w:val="00A15690"/>
    <w:rsid w:val="00A17EA3"/>
    <w:rsid w:val="00A467D7"/>
    <w:rsid w:val="00A612AE"/>
    <w:rsid w:val="00A67E5E"/>
    <w:rsid w:val="00A721F4"/>
    <w:rsid w:val="00A72445"/>
    <w:rsid w:val="00A76184"/>
    <w:rsid w:val="00A95250"/>
    <w:rsid w:val="00A95399"/>
    <w:rsid w:val="00AB5720"/>
    <w:rsid w:val="00AB5721"/>
    <w:rsid w:val="00AB5894"/>
    <w:rsid w:val="00AC0FE4"/>
    <w:rsid w:val="00AC639D"/>
    <w:rsid w:val="00AD48AC"/>
    <w:rsid w:val="00AD799E"/>
    <w:rsid w:val="00AE125D"/>
    <w:rsid w:val="00AE7188"/>
    <w:rsid w:val="00AF3899"/>
    <w:rsid w:val="00B03BB2"/>
    <w:rsid w:val="00B106E5"/>
    <w:rsid w:val="00B412C6"/>
    <w:rsid w:val="00B513E9"/>
    <w:rsid w:val="00B5313B"/>
    <w:rsid w:val="00B5657D"/>
    <w:rsid w:val="00B57D26"/>
    <w:rsid w:val="00B63641"/>
    <w:rsid w:val="00B66F8E"/>
    <w:rsid w:val="00B676AE"/>
    <w:rsid w:val="00B7421C"/>
    <w:rsid w:val="00B777CB"/>
    <w:rsid w:val="00B77BE1"/>
    <w:rsid w:val="00B80E8C"/>
    <w:rsid w:val="00B82704"/>
    <w:rsid w:val="00B90CBC"/>
    <w:rsid w:val="00BA5125"/>
    <w:rsid w:val="00BB16BC"/>
    <w:rsid w:val="00BC6AA3"/>
    <w:rsid w:val="00BD1618"/>
    <w:rsid w:val="00BD4EAF"/>
    <w:rsid w:val="00BE71A7"/>
    <w:rsid w:val="00BE7BD6"/>
    <w:rsid w:val="00C03C90"/>
    <w:rsid w:val="00C04178"/>
    <w:rsid w:val="00C05C88"/>
    <w:rsid w:val="00C16993"/>
    <w:rsid w:val="00C256F6"/>
    <w:rsid w:val="00C34D74"/>
    <w:rsid w:val="00C42E95"/>
    <w:rsid w:val="00C54A32"/>
    <w:rsid w:val="00C55776"/>
    <w:rsid w:val="00C57885"/>
    <w:rsid w:val="00C6706F"/>
    <w:rsid w:val="00C675A3"/>
    <w:rsid w:val="00C67EAC"/>
    <w:rsid w:val="00C82215"/>
    <w:rsid w:val="00CB0C08"/>
    <w:rsid w:val="00CB12DC"/>
    <w:rsid w:val="00CB3DAE"/>
    <w:rsid w:val="00CB6B95"/>
    <w:rsid w:val="00CC6884"/>
    <w:rsid w:val="00CF77E2"/>
    <w:rsid w:val="00D02FB8"/>
    <w:rsid w:val="00D03F57"/>
    <w:rsid w:val="00D12406"/>
    <w:rsid w:val="00D12CDC"/>
    <w:rsid w:val="00D2193D"/>
    <w:rsid w:val="00D2246E"/>
    <w:rsid w:val="00D33008"/>
    <w:rsid w:val="00D40C19"/>
    <w:rsid w:val="00D460EA"/>
    <w:rsid w:val="00D52285"/>
    <w:rsid w:val="00D5400A"/>
    <w:rsid w:val="00D610EA"/>
    <w:rsid w:val="00D656BE"/>
    <w:rsid w:val="00D674B9"/>
    <w:rsid w:val="00D7095B"/>
    <w:rsid w:val="00D72165"/>
    <w:rsid w:val="00D84ABB"/>
    <w:rsid w:val="00DA55AD"/>
    <w:rsid w:val="00DB1FA8"/>
    <w:rsid w:val="00DB2BF6"/>
    <w:rsid w:val="00DB411D"/>
    <w:rsid w:val="00DC2043"/>
    <w:rsid w:val="00DC40EE"/>
    <w:rsid w:val="00DE2CD0"/>
    <w:rsid w:val="00DF1591"/>
    <w:rsid w:val="00DF321E"/>
    <w:rsid w:val="00DF7734"/>
    <w:rsid w:val="00E03D22"/>
    <w:rsid w:val="00E16D5E"/>
    <w:rsid w:val="00E20462"/>
    <w:rsid w:val="00E20735"/>
    <w:rsid w:val="00E214E7"/>
    <w:rsid w:val="00E429B2"/>
    <w:rsid w:val="00E42F80"/>
    <w:rsid w:val="00E439DC"/>
    <w:rsid w:val="00E46E06"/>
    <w:rsid w:val="00E50F8E"/>
    <w:rsid w:val="00E57724"/>
    <w:rsid w:val="00E60AAB"/>
    <w:rsid w:val="00E60E75"/>
    <w:rsid w:val="00E676F3"/>
    <w:rsid w:val="00E71CC4"/>
    <w:rsid w:val="00E91CE8"/>
    <w:rsid w:val="00EA7E0D"/>
    <w:rsid w:val="00EB0747"/>
    <w:rsid w:val="00EC2B77"/>
    <w:rsid w:val="00ED0BC6"/>
    <w:rsid w:val="00ED0E4D"/>
    <w:rsid w:val="00ED43D7"/>
    <w:rsid w:val="00EE66DB"/>
    <w:rsid w:val="00EF4488"/>
    <w:rsid w:val="00F0120D"/>
    <w:rsid w:val="00F064A7"/>
    <w:rsid w:val="00F206FE"/>
    <w:rsid w:val="00F36CB0"/>
    <w:rsid w:val="00F477BB"/>
    <w:rsid w:val="00F61A7E"/>
    <w:rsid w:val="00F61AE5"/>
    <w:rsid w:val="00F75A1B"/>
    <w:rsid w:val="00F75DAA"/>
    <w:rsid w:val="00F90901"/>
    <w:rsid w:val="00F97448"/>
    <w:rsid w:val="00FA4F77"/>
    <w:rsid w:val="00FC078C"/>
    <w:rsid w:val="00FC1B0B"/>
    <w:rsid w:val="00FD4893"/>
    <w:rsid w:val="00FF3C74"/>
    <w:rsid w:val="013140C8"/>
    <w:rsid w:val="01833572"/>
    <w:rsid w:val="01B13F44"/>
    <w:rsid w:val="01DC0CED"/>
    <w:rsid w:val="01FB0149"/>
    <w:rsid w:val="02071C2B"/>
    <w:rsid w:val="028670CB"/>
    <w:rsid w:val="02870BEF"/>
    <w:rsid w:val="02A24F70"/>
    <w:rsid w:val="02C37FA4"/>
    <w:rsid w:val="02E01C47"/>
    <w:rsid w:val="030B1CA0"/>
    <w:rsid w:val="031F0975"/>
    <w:rsid w:val="03442AED"/>
    <w:rsid w:val="047F5600"/>
    <w:rsid w:val="054E2E40"/>
    <w:rsid w:val="05F81055"/>
    <w:rsid w:val="06047D48"/>
    <w:rsid w:val="06063FB4"/>
    <w:rsid w:val="06123490"/>
    <w:rsid w:val="062C165A"/>
    <w:rsid w:val="06732DD2"/>
    <w:rsid w:val="06781E28"/>
    <w:rsid w:val="06835935"/>
    <w:rsid w:val="06C168E9"/>
    <w:rsid w:val="075C6603"/>
    <w:rsid w:val="07652747"/>
    <w:rsid w:val="07AD0F33"/>
    <w:rsid w:val="07AD1777"/>
    <w:rsid w:val="07B45E98"/>
    <w:rsid w:val="07DA2FB4"/>
    <w:rsid w:val="07EF2D5E"/>
    <w:rsid w:val="0801185D"/>
    <w:rsid w:val="087D1D0C"/>
    <w:rsid w:val="08AD35B1"/>
    <w:rsid w:val="08C948EB"/>
    <w:rsid w:val="08DB2EDC"/>
    <w:rsid w:val="08E21F8A"/>
    <w:rsid w:val="093B7514"/>
    <w:rsid w:val="09772C97"/>
    <w:rsid w:val="09795489"/>
    <w:rsid w:val="09E13B53"/>
    <w:rsid w:val="0A713B43"/>
    <w:rsid w:val="0ABC65F8"/>
    <w:rsid w:val="0B231062"/>
    <w:rsid w:val="0B2E20DF"/>
    <w:rsid w:val="0B304245"/>
    <w:rsid w:val="0B583635"/>
    <w:rsid w:val="0C16522A"/>
    <w:rsid w:val="0E7B4794"/>
    <w:rsid w:val="0EFD219F"/>
    <w:rsid w:val="0F88614D"/>
    <w:rsid w:val="0F962797"/>
    <w:rsid w:val="0FCE087C"/>
    <w:rsid w:val="0FF52FB0"/>
    <w:rsid w:val="0FFB5583"/>
    <w:rsid w:val="10377E0E"/>
    <w:rsid w:val="105070ED"/>
    <w:rsid w:val="10674BC7"/>
    <w:rsid w:val="116D3144"/>
    <w:rsid w:val="117C3153"/>
    <w:rsid w:val="11A03257"/>
    <w:rsid w:val="11AF4D48"/>
    <w:rsid w:val="11C72557"/>
    <w:rsid w:val="11E85CA9"/>
    <w:rsid w:val="12241417"/>
    <w:rsid w:val="126C3F42"/>
    <w:rsid w:val="12C42276"/>
    <w:rsid w:val="12D23E0C"/>
    <w:rsid w:val="134347E7"/>
    <w:rsid w:val="13A053BE"/>
    <w:rsid w:val="142E4A09"/>
    <w:rsid w:val="14334706"/>
    <w:rsid w:val="143E77CB"/>
    <w:rsid w:val="14692E3C"/>
    <w:rsid w:val="1498525D"/>
    <w:rsid w:val="14EF3277"/>
    <w:rsid w:val="15101DDC"/>
    <w:rsid w:val="155B65CD"/>
    <w:rsid w:val="15E72CC4"/>
    <w:rsid w:val="16137D3A"/>
    <w:rsid w:val="161C3E0C"/>
    <w:rsid w:val="163B4A6C"/>
    <w:rsid w:val="16652EC3"/>
    <w:rsid w:val="16C04CC9"/>
    <w:rsid w:val="16C666C0"/>
    <w:rsid w:val="16D72400"/>
    <w:rsid w:val="16EA1266"/>
    <w:rsid w:val="17955DEB"/>
    <w:rsid w:val="191775ED"/>
    <w:rsid w:val="191A4C27"/>
    <w:rsid w:val="19504369"/>
    <w:rsid w:val="19B114A1"/>
    <w:rsid w:val="1A075C15"/>
    <w:rsid w:val="1A4835B7"/>
    <w:rsid w:val="1A796C4B"/>
    <w:rsid w:val="1A897EEE"/>
    <w:rsid w:val="1ADB4120"/>
    <w:rsid w:val="1AFB0B5A"/>
    <w:rsid w:val="1B8D003A"/>
    <w:rsid w:val="1B910B6D"/>
    <w:rsid w:val="1C15737C"/>
    <w:rsid w:val="1CB07765"/>
    <w:rsid w:val="1D325A88"/>
    <w:rsid w:val="1D850ACF"/>
    <w:rsid w:val="1DB565E7"/>
    <w:rsid w:val="1DB800E6"/>
    <w:rsid w:val="1DCC4B9C"/>
    <w:rsid w:val="1E2E76AC"/>
    <w:rsid w:val="1E40440D"/>
    <w:rsid w:val="1ECC40A2"/>
    <w:rsid w:val="1F6C5F0D"/>
    <w:rsid w:val="1FF04C75"/>
    <w:rsid w:val="20637EC7"/>
    <w:rsid w:val="206F2417"/>
    <w:rsid w:val="20B330AB"/>
    <w:rsid w:val="20E147AA"/>
    <w:rsid w:val="213275C3"/>
    <w:rsid w:val="213C1917"/>
    <w:rsid w:val="213E5E78"/>
    <w:rsid w:val="214103AE"/>
    <w:rsid w:val="21A00EC3"/>
    <w:rsid w:val="21CD182F"/>
    <w:rsid w:val="21D57BF4"/>
    <w:rsid w:val="22447024"/>
    <w:rsid w:val="224716B5"/>
    <w:rsid w:val="22552AF3"/>
    <w:rsid w:val="22565FD7"/>
    <w:rsid w:val="22A0780B"/>
    <w:rsid w:val="23135BE5"/>
    <w:rsid w:val="238E3F12"/>
    <w:rsid w:val="23931BA5"/>
    <w:rsid w:val="239C0D04"/>
    <w:rsid w:val="23D86980"/>
    <w:rsid w:val="23FB1245"/>
    <w:rsid w:val="24672932"/>
    <w:rsid w:val="25506F3B"/>
    <w:rsid w:val="257126BA"/>
    <w:rsid w:val="25794357"/>
    <w:rsid w:val="25C61274"/>
    <w:rsid w:val="26614F45"/>
    <w:rsid w:val="26672A31"/>
    <w:rsid w:val="26982EC5"/>
    <w:rsid w:val="26B56283"/>
    <w:rsid w:val="27490C70"/>
    <w:rsid w:val="27635CCA"/>
    <w:rsid w:val="2771485E"/>
    <w:rsid w:val="2774085F"/>
    <w:rsid w:val="28005327"/>
    <w:rsid w:val="28206C0D"/>
    <w:rsid w:val="287412F0"/>
    <w:rsid w:val="28AB4E28"/>
    <w:rsid w:val="28CE78B4"/>
    <w:rsid w:val="28F33E66"/>
    <w:rsid w:val="293A48C5"/>
    <w:rsid w:val="29A23F11"/>
    <w:rsid w:val="2A91741B"/>
    <w:rsid w:val="2AD518DA"/>
    <w:rsid w:val="2AD969CD"/>
    <w:rsid w:val="2B2F575E"/>
    <w:rsid w:val="2B4D4512"/>
    <w:rsid w:val="2B666C19"/>
    <w:rsid w:val="2B9C3D77"/>
    <w:rsid w:val="2BDC3649"/>
    <w:rsid w:val="2BDF10CD"/>
    <w:rsid w:val="2C027583"/>
    <w:rsid w:val="2C0304D2"/>
    <w:rsid w:val="2C3462DF"/>
    <w:rsid w:val="2C9B3341"/>
    <w:rsid w:val="2CB4112A"/>
    <w:rsid w:val="2CB70A4F"/>
    <w:rsid w:val="2CBC12A6"/>
    <w:rsid w:val="2CDB46C4"/>
    <w:rsid w:val="2D3B5B48"/>
    <w:rsid w:val="2DC53653"/>
    <w:rsid w:val="2DED3EDA"/>
    <w:rsid w:val="2E0939B4"/>
    <w:rsid w:val="2E391BCB"/>
    <w:rsid w:val="2E4C207C"/>
    <w:rsid w:val="2EDF5C44"/>
    <w:rsid w:val="2F1E4245"/>
    <w:rsid w:val="2FBA0E3A"/>
    <w:rsid w:val="2FBC0CDA"/>
    <w:rsid w:val="2FE84025"/>
    <w:rsid w:val="2FF879CE"/>
    <w:rsid w:val="304B42F4"/>
    <w:rsid w:val="307C1BD3"/>
    <w:rsid w:val="30AD2B34"/>
    <w:rsid w:val="30DE26BD"/>
    <w:rsid w:val="32354601"/>
    <w:rsid w:val="328F1747"/>
    <w:rsid w:val="32A36C20"/>
    <w:rsid w:val="32B047F1"/>
    <w:rsid w:val="33332A4E"/>
    <w:rsid w:val="334B1822"/>
    <w:rsid w:val="33793511"/>
    <w:rsid w:val="337B46BC"/>
    <w:rsid w:val="338B7ECF"/>
    <w:rsid w:val="3393705C"/>
    <w:rsid w:val="34111E81"/>
    <w:rsid w:val="343F77A1"/>
    <w:rsid w:val="34445506"/>
    <w:rsid w:val="3482418F"/>
    <w:rsid w:val="34C14C6E"/>
    <w:rsid w:val="3559074A"/>
    <w:rsid w:val="357A78B5"/>
    <w:rsid w:val="357C62FA"/>
    <w:rsid w:val="35B30705"/>
    <w:rsid w:val="362D7AA7"/>
    <w:rsid w:val="369029E5"/>
    <w:rsid w:val="36B84E60"/>
    <w:rsid w:val="36D72BB5"/>
    <w:rsid w:val="37031BBD"/>
    <w:rsid w:val="37550F57"/>
    <w:rsid w:val="37AB65EB"/>
    <w:rsid w:val="37B74865"/>
    <w:rsid w:val="37E564D4"/>
    <w:rsid w:val="38063740"/>
    <w:rsid w:val="3813788B"/>
    <w:rsid w:val="3860200D"/>
    <w:rsid w:val="389678A9"/>
    <w:rsid w:val="38AB5A75"/>
    <w:rsid w:val="39033E4D"/>
    <w:rsid w:val="392423A5"/>
    <w:rsid w:val="394E06A6"/>
    <w:rsid w:val="39527AD9"/>
    <w:rsid w:val="396F3C7E"/>
    <w:rsid w:val="398805DD"/>
    <w:rsid w:val="39A9504D"/>
    <w:rsid w:val="39BC0D63"/>
    <w:rsid w:val="39ED0A25"/>
    <w:rsid w:val="3A364539"/>
    <w:rsid w:val="3A3A7964"/>
    <w:rsid w:val="3A3B2F00"/>
    <w:rsid w:val="3A5C6502"/>
    <w:rsid w:val="3AAA1D5D"/>
    <w:rsid w:val="3ADF3E50"/>
    <w:rsid w:val="3AE67BF5"/>
    <w:rsid w:val="3B545324"/>
    <w:rsid w:val="3BAB7B8E"/>
    <w:rsid w:val="3BBE7B2D"/>
    <w:rsid w:val="3BEE4862"/>
    <w:rsid w:val="3C106331"/>
    <w:rsid w:val="3C6B5786"/>
    <w:rsid w:val="3D1C130D"/>
    <w:rsid w:val="3D37681C"/>
    <w:rsid w:val="3D8539D9"/>
    <w:rsid w:val="3D8A75F2"/>
    <w:rsid w:val="3DC2102F"/>
    <w:rsid w:val="3DD11929"/>
    <w:rsid w:val="3DE2592A"/>
    <w:rsid w:val="3DE30792"/>
    <w:rsid w:val="3E79182A"/>
    <w:rsid w:val="3E831F9A"/>
    <w:rsid w:val="3F58770E"/>
    <w:rsid w:val="3F6B653E"/>
    <w:rsid w:val="3F766840"/>
    <w:rsid w:val="3F7A7956"/>
    <w:rsid w:val="40FC1638"/>
    <w:rsid w:val="41006760"/>
    <w:rsid w:val="41514AB8"/>
    <w:rsid w:val="41905434"/>
    <w:rsid w:val="41A00A5C"/>
    <w:rsid w:val="41C74D8C"/>
    <w:rsid w:val="41E359E6"/>
    <w:rsid w:val="4234016A"/>
    <w:rsid w:val="4247284E"/>
    <w:rsid w:val="4254662F"/>
    <w:rsid w:val="42C85540"/>
    <w:rsid w:val="43087288"/>
    <w:rsid w:val="436D6865"/>
    <w:rsid w:val="437C3569"/>
    <w:rsid w:val="438065C8"/>
    <w:rsid w:val="43C04913"/>
    <w:rsid w:val="43CE64FB"/>
    <w:rsid w:val="43FD5616"/>
    <w:rsid w:val="446C773E"/>
    <w:rsid w:val="446E6091"/>
    <w:rsid w:val="44C91833"/>
    <w:rsid w:val="44D53400"/>
    <w:rsid w:val="44ED3F8B"/>
    <w:rsid w:val="45753CF7"/>
    <w:rsid w:val="45DC2B00"/>
    <w:rsid w:val="45EC68FA"/>
    <w:rsid w:val="46C3483E"/>
    <w:rsid w:val="4745161F"/>
    <w:rsid w:val="476252DD"/>
    <w:rsid w:val="47744404"/>
    <w:rsid w:val="47AB5F46"/>
    <w:rsid w:val="48010421"/>
    <w:rsid w:val="481D4AC2"/>
    <w:rsid w:val="48825D5C"/>
    <w:rsid w:val="48CA6E4E"/>
    <w:rsid w:val="48EC793F"/>
    <w:rsid w:val="48F73FBC"/>
    <w:rsid w:val="495402EC"/>
    <w:rsid w:val="49682BA3"/>
    <w:rsid w:val="49F00448"/>
    <w:rsid w:val="4A4C14F5"/>
    <w:rsid w:val="4A653E2D"/>
    <w:rsid w:val="4A9D16CE"/>
    <w:rsid w:val="4A9D471C"/>
    <w:rsid w:val="4AB51EEF"/>
    <w:rsid w:val="4ABE5042"/>
    <w:rsid w:val="4ACE7AE2"/>
    <w:rsid w:val="4AF61082"/>
    <w:rsid w:val="4B403B29"/>
    <w:rsid w:val="4B760988"/>
    <w:rsid w:val="4C085537"/>
    <w:rsid w:val="4C977C8A"/>
    <w:rsid w:val="4C9E3E82"/>
    <w:rsid w:val="4CAC2C25"/>
    <w:rsid w:val="4CD21630"/>
    <w:rsid w:val="4CE07687"/>
    <w:rsid w:val="4D373AE0"/>
    <w:rsid w:val="4D3763C0"/>
    <w:rsid w:val="4D6B0E93"/>
    <w:rsid w:val="4D6E5A1F"/>
    <w:rsid w:val="4DBA50C1"/>
    <w:rsid w:val="4DCA2788"/>
    <w:rsid w:val="4DEE715F"/>
    <w:rsid w:val="4DF459EB"/>
    <w:rsid w:val="4E2D2E33"/>
    <w:rsid w:val="4F2F4364"/>
    <w:rsid w:val="4F822D0B"/>
    <w:rsid w:val="4F926AE7"/>
    <w:rsid w:val="4FD15ADF"/>
    <w:rsid w:val="4FE463EB"/>
    <w:rsid w:val="501662B2"/>
    <w:rsid w:val="50DA1229"/>
    <w:rsid w:val="50EB47C6"/>
    <w:rsid w:val="50F33A6E"/>
    <w:rsid w:val="510A2443"/>
    <w:rsid w:val="5155776B"/>
    <w:rsid w:val="515809B0"/>
    <w:rsid w:val="516E2B8D"/>
    <w:rsid w:val="52605193"/>
    <w:rsid w:val="52EF3872"/>
    <w:rsid w:val="535122A0"/>
    <w:rsid w:val="535C2FE6"/>
    <w:rsid w:val="53884282"/>
    <w:rsid w:val="539D280D"/>
    <w:rsid w:val="53FF2A29"/>
    <w:rsid w:val="54556FA0"/>
    <w:rsid w:val="54B9068D"/>
    <w:rsid w:val="54C479D3"/>
    <w:rsid w:val="55362B94"/>
    <w:rsid w:val="555203A5"/>
    <w:rsid w:val="555C3493"/>
    <w:rsid w:val="55850194"/>
    <w:rsid w:val="55D54B09"/>
    <w:rsid w:val="55DD6989"/>
    <w:rsid w:val="56062190"/>
    <w:rsid w:val="5639439B"/>
    <w:rsid w:val="56396747"/>
    <w:rsid w:val="5641109C"/>
    <w:rsid w:val="56965119"/>
    <w:rsid w:val="56D100C6"/>
    <w:rsid w:val="56F546FF"/>
    <w:rsid w:val="571D0914"/>
    <w:rsid w:val="57676FD4"/>
    <w:rsid w:val="57BF75FC"/>
    <w:rsid w:val="57DD2223"/>
    <w:rsid w:val="57DE77D6"/>
    <w:rsid w:val="588C469F"/>
    <w:rsid w:val="58D33CDC"/>
    <w:rsid w:val="58E56E89"/>
    <w:rsid w:val="593F349C"/>
    <w:rsid w:val="59D5095F"/>
    <w:rsid w:val="59EC4359"/>
    <w:rsid w:val="5A057B46"/>
    <w:rsid w:val="5A220D02"/>
    <w:rsid w:val="5AD6188F"/>
    <w:rsid w:val="5AF3365C"/>
    <w:rsid w:val="5B1C6C17"/>
    <w:rsid w:val="5B410423"/>
    <w:rsid w:val="5B7D2D1C"/>
    <w:rsid w:val="5BBC1D53"/>
    <w:rsid w:val="5C415738"/>
    <w:rsid w:val="5C632349"/>
    <w:rsid w:val="5C9F483D"/>
    <w:rsid w:val="5CC62510"/>
    <w:rsid w:val="5D060327"/>
    <w:rsid w:val="5D2E42E0"/>
    <w:rsid w:val="5DDA2782"/>
    <w:rsid w:val="5E053A39"/>
    <w:rsid w:val="5E066CD2"/>
    <w:rsid w:val="5E943C01"/>
    <w:rsid w:val="5EF81245"/>
    <w:rsid w:val="5F225601"/>
    <w:rsid w:val="5F317755"/>
    <w:rsid w:val="5FBD3A38"/>
    <w:rsid w:val="60121D44"/>
    <w:rsid w:val="60D263B9"/>
    <w:rsid w:val="60FD688E"/>
    <w:rsid w:val="621A1BD0"/>
    <w:rsid w:val="63132977"/>
    <w:rsid w:val="6317394C"/>
    <w:rsid w:val="6357783B"/>
    <w:rsid w:val="63D00B3E"/>
    <w:rsid w:val="63DE343C"/>
    <w:rsid w:val="64091BB5"/>
    <w:rsid w:val="642377E2"/>
    <w:rsid w:val="6457430E"/>
    <w:rsid w:val="647473B9"/>
    <w:rsid w:val="649522CA"/>
    <w:rsid w:val="653C2A1A"/>
    <w:rsid w:val="655A58A0"/>
    <w:rsid w:val="65797B91"/>
    <w:rsid w:val="658A4DAA"/>
    <w:rsid w:val="65AC1B8A"/>
    <w:rsid w:val="65DE3B6B"/>
    <w:rsid w:val="65E01AD1"/>
    <w:rsid w:val="65EF254D"/>
    <w:rsid w:val="65F45BA2"/>
    <w:rsid w:val="664B19B8"/>
    <w:rsid w:val="665C664F"/>
    <w:rsid w:val="66603996"/>
    <w:rsid w:val="669F6DCE"/>
    <w:rsid w:val="6731630F"/>
    <w:rsid w:val="675B374A"/>
    <w:rsid w:val="67DA14DE"/>
    <w:rsid w:val="683C1A5E"/>
    <w:rsid w:val="684D64AB"/>
    <w:rsid w:val="68657C56"/>
    <w:rsid w:val="694314E4"/>
    <w:rsid w:val="695C22B9"/>
    <w:rsid w:val="696D2152"/>
    <w:rsid w:val="697F358D"/>
    <w:rsid w:val="69887C31"/>
    <w:rsid w:val="69E974C0"/>
    <w:rsid w:val="69F43372"/>
    <w:rsid w:val="6AE7210A"/>
    <w:rsid w:val="6B040CD5"/>
    <w:rsid w:val="6B275BCB"/>
    <w:rsid w:val="6B601BD5"/>
    <w:rsid w:val="6B6E41E6"/>
    <w:rsid w:val="6BF63042"/>
    <w:rsid w:val="6C3F7732"/>
    <w:rsid w:val="6C4A40A0"/>
    <w:rsid w:val="6C9727CE"/>
    <w:rsid w:val="6C996A2C"/>
    <w:rsid w:val="6CEF7F24"/>
    <w:rsid w:val="6D0A1917"/>
    <w:rsid w:val="6DB6670B"/>
    <w:rsid w:val="6E326098"/>
    <w:rsid w:val="6E6B74F4"/>
    <w:rsid w:val="6E812E85"/>
    <w:rsid w:val="6EC10996"/>
    <w:rsid w:val="6F1E7738"/>
    <w:rsid w:val="6FDB6BF8"/>
    <w:rsid w:val="70506D0C"/>
    <w:rsid w:val="712E309E"/>
    <w:rsid w:val="714617F4"/>
    <w:rsid w:val="716E18A8"/>
    <w:rsid w:val="71DB7E8B"/>
    <w:rsid w:val="72143894"/>
    <w:rsid w:val="7286332D"/>
    <w:rsid w:val="72A36844"/>
    <w:rsid w:val="72BF1536"/>
    <w:rsid w:val="72D55508"/>
    <w:rsid w:val="72F40E8B"/>
    <w:rsid w:val="73134B97"/>
    <w:rsid w:val="731D72FE"/>
    <w:rsid w:val="732D6CD9"/>
    <w:rsid w:val="733E470F"/>
    <w:rsid w:val="7355777E"/>
    <w:rsid w:val="73557A18"/>
    <w:rsid w:val="7368497B"/>
    <w:rsid w:val="73E61E94"/>
    <w:rsid w:val="742721BB"/>
    <w:rsid w:val="743C5116"/>
    <w:rsid w:val="747F1797"/>
    <w:rsid w:val="75584D8B"/>
    <w:rsid w:val="75A538D4"/>
    <w:rsid w:val="762475EC"/>
    <w:rsid w:val="771C10D4"/>
    <w:rsid w:val="77234719"/>
    <w:rsid w:val="77254E2D"/>
    <w:rsid w:val="77540657"/>
    <w:rsid w:val="77A505F0"/>
    <w:rsid w:val="77E71D50"/>
    <w:rsid w:val="77E96525"/>
    <w:rsid w:val="794D1164"/>
    <w:rsid w:val="799C3311"/>
    <w:rsid w:val="79CE2823"/>
    <w:rsid w:val="7A0E4311"/>
    <w:rsid w:val="7A192557"/>
    <w:rsid w:val="7A4847EF"/>
    <w:rsid w:val="7B3B35FF"/>
    <w:rsid w:val="7BC52343"/>
    <w:rsid w:val="7BCD2762"/>
    <w:rsid w:val="7BDC045E"/>
    <w:rsid w:val="7BE11610"/>
    <w:rsid w:val="7CA00A65"/>
    <w:rsid w:val="7D717D97"/>
    <w:rsid w:val="7D7307B1"/>
    <w:rsid w:val="7DD6561D"/>
    <w:rsid w:val="7EB27DEF"/>
    <w:rsid w:val="7EEE4C3C"/>
    <w:rsid w:val="7EFF2B2D"/>
    <w:rsid w:val="7F1A59CF"/>
    <w:rsid w:val="7F45182A"/>
    <w:rsid w:val="7F603787"/>
    <w:rsid w:val="7F831ECB"/>
    <w:rsid w:val="7F927F55"/>
    <w:rsid w:val="7FD234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iPriority="0" w:name="toc 3"/>
    <w:lsdException w:qFormat="1" w:unhideWhenUsed="0" w:uiPriority="0" w:semiHidden="0" w:name="toc 4"/>
    <w:lsdException w:uiPriority="0" w:name="toc 5"/>
    <w:lsdException w:qFormat="1" w:unhideWhenUsed="0" w:uiPriority="0" w:semiHidden="0" w:name="toc 6"/>
    <w:lsdException w:uiPriority="0" w:name="toc 7"/>
    <w:lsdException w:qFormat="1" w:unhideWhenUsed="0" w:uiPriority="0" w:semiHidden="0" w:name="toc 8"/>
    <w:lsdException w:uiPriority="0" w:name="toc 9"/>
    <w:lsdException w:qFormat="1" w:unhideWhenUsed="0" w:uiPriority="0" w:semiHidden="0" w:name="Normal Indent"/>
    <w:lsdException w:qFormat="1" w:uiPriority="99" w:semiHidden="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qFormat="1" w:uiPriority="99" w:semiHidden="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iPriority="99"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Calibri" w:cs="Times New Roman"/>
      <w:kern w:val="2"/>
      <w:sz w:val="36"/>
      <w:szCs w:val="24"/>
      <w:lang w:val="en-US" w:eastAsia="zh-CN" w:bidi="ar-SA"/>
    </w:rPr>
  </w:style>
  <w:style w:type="paragraph" w:styleId="5">
    <w:name w:val="heading 1"/>
    <w:basedOn w:val="1"/>
    <w:next w:val="1"/>
    <w:qFormat/>
    <w:uiPriority w:val="0"/>
    <w:pPr>
      <w:keepNext/>
      <w:keepLines/>
      <w:spacing w:line="576" w:lineRule="auto"/>
      <w:outlineLvl w:val="0"/>
    </w:pPr>
    <w:rPr>
      <w:b/>
      <w:bCs/>
      <w:kern w:val="44"/>
      <w:sz w:val="44"/>
      <w:szCs w:val="44"/>
    </w:rPr>
  </w:style>
  <w:style w:type="paragraph" w:styleId="6">
    <w:name w:val="heading 2"/>
    <w:basedOn w:val="1"/>
    <w:next w:val="1"/>
    <w:qFormat/>
    <w:uiPriority w:val="0"/>
    <w:pPr>
      <w:keepNext/>
      <w:keepLines/>
      <w:spacing w:line="413" w:lineRule="auto"/>
      <w:outlineLvl w:val="1"/>
    </w:pPr>
    <w:rPr>
      <w:rFonts w:ascii="Arial" w:hAnsi="Arial" w:eastAsia="黑体"/>
      <w:b/>
      <w:bCs/>
      <w:sz w:val="32"/>
      <w:szCs w:val="32"/>
    </w:rPr>
  </w:style>
  <w:style w:type="paragraph" w:styleId="7">
    <w:name w:val="heading 3"/>
    <w:basedOn w:val="1"/>
    <w:next w:val="1"/>
    <w:qFormat/>
    <w:uiPriority w:val="0"/>
    <w:pPr>
      <w:keepNext/>
      <w:keepLines/>
      <w:spacing w:line="416" w:lineRule="auto"/>
      <w:outlineLvl w:val="2"/>
    </w:pPr>
    <w:rPr>
      <w:b/>
      <w:bCs/>
      <w:sz w:val="32"/>
      <w:szCs w:val="32"/>
    </w:rPr>
  </w:style>
  <w:style w:type="paragraph" w:styleId="8">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38"/>
    <w:qFormat/>
    <w:uiPriority w:val="99"/>
    <w:pPr>
      <w:ind w:firstLine="420" w:firstLineChars="100"/>
    </w:pPr>
  </w:style>
  <w:style w:type="paragraph" w:styleId="3">
    <w:name w:val="Body Text"/>
    <w:basedOn w:val="1"/>
    <w:next w:val="2"/>
    <w:link w:val="37"/>
    <w:qFormat/>
    <w:uiPriority w:val="99"/>
    <w:rPr>
      <w:sz w:val="21"/>
      <w:szCs w:val="22"/>
    </w:rPr>
  </w:style>
  <w:style w:type="paragraph" w:styleId="4">
    <w:name w:val="toc 6"/>
    <w:basedOn w:val="1"/>
    <w:next w:val="1"/>
    <w:qFormat/>
    <w:uiPriority w:val="0"/>
    <w:pPr>
      <w:ind w:left="840"/>
      <w:jc w:val="left"/>
    </w:pPr>
    <w:rPr>
      <w:rFonts w:ascii="Cambria" w:hAnsi="Cambria" w:cs="Cambria"/>
      <w:sz w:val="20"/>
    </w:rPr>
  </w:style>
  <w:style w:type="paragraph" w:styleId="9">
    <w:name w:val="Normal Indent"/>
    <w:basedOn w:val="1"/>
    <w:next w:val="10"/>
    <w:qFormat/>
    <w:uiPriority w:val="0"/>
    <w:pPr>
      <w:ind w:firstLine="420"/>
    </w:pPr>
    <w:rPr>
      <w:sz w:val="21"/>
      <w:szCs w:val="20"/>
    </w:rPr>
  </w:style>
  <w:style w:type="paragraph" w:styleId="10">
    <w:name w:val="Body Text Indent"/>
    <w:basedOn w:val="1"/>
    <w:next w:val="9"/>
    <w:qFormat/>
    <w:uiPriority w:val="0"/>
    <w:pPr>
      <w:adjustRightInd w:val="0"/>
      <w:spacing w:line="500" w:lineRule="atLeast"/>
      <w:ind w:firstLine="210"/>
      <w:textAlignment w:val="baseline"/>
    </w:pPr>
    <w:rPr>
      <w:rFonts w:ascii="仿宋_GB2312" w:eastAsia="仿宋_GB2312"/>
      <w:kern w:val="0"/>
      <w:sz w:val="24"/>
      <w:szCs w:val="20"/>
    </w:rPr>
  </w:style>
  <w:style w:type="paragraph" w:styleId="11">
    <w:name w:val="toa heading"/>
    <w:basedOn w:val="1"/>
    <w:next w:val="1"/>
    <w:semiHidden/>
    <w:unhideWhenUsed/>
    <w:qFormat/>
    <w:uiPriority w:val="99"/>
    <w:pPr>
      <w:spacing w:before="120"/>
    </w:pPr>
    <w:rPr>
      <w:rFonts w:eastAsia="宋体" w:asciiTheme="majorHAnsi" w:hAnsiTheme="majorHAnsi" w:cstheme="majorBidi"/>
      <w:sz w:val="24"/>
    </w:rPr>
  </w:style>
  <w:style w:type="paragraph" w:styleId="12">
    <w:name w:val="Salutation"/>
    <w:basedOn w:val="1"/>
    <w:next w:val="1"/>
    <w:qFormat/>
    <w:uiPriority w:val="0"/>
    <w:rPr>
      <w:rFonts w:asciiTheme="minorHAnsi" w:hAnsiTheme="minorHAnsi" w:eastAsiaTheme="minorEastAsia" w:cstheme="minorBidi"/>
      <w:sz w:val="24"/>
    </w:rPr>
  </w:style>
  <w:style w:type="paragraph" w:styleId="13">
    <w:name w:val="Block Text"/>
    <w:basedOn w:val="1"/>
    <w:qFormat/>
    <w:uiPriority w:val="0"/>
    <w:pPr>
      <w:autoSpaceDE w:val="0"/>
      <w:autoSpaceDN w:val="0"/>
      <w:adjustRightInd w:val="0"/>
      <w:spacing w:line="240" w:lineRule="atLeast"/>
      <w:ind w:left="1797" w:right="857" w:rightChars="857" w:firstLine="542" w:firstLineChars="226"/>
      <w:jc w:val="left"/>
    </w:pPr>
    <w:rPr>
      <w:rFonts w:hint="eastAsia" w:ascii="宋体"/>
      <w:color w:val="000000"/>
      <w:kern w:val="0"/>
      <w:sz w:val="24"/>
    </w:rPr>
  </w:style>
  <w:style w:type="paragraph" w:styleId="14">
    <w:name w:val="toc 3"/>
    <w:basedOn w:val="1"/>
    <w:next w:val="1"/>
    <w:semiHidden/>
    <w:unhideWhenUsed/>
    <w:qFormat/>
    <w:uiPriority w:val="0"/>
    <w:pPr>
      <w:ind w:left="840" w:leftChars="400"/>
    </w:pPr>
  </w:style>
  <w:style w:type="paragraph" w:styleId="15">
    <w:name w:val="Plain Text"/>
    <w:basedOn w:val="1"/>
    <w:next w:val="16"/>
    <w:link w:val="39"/>
    <w:qFormat/>
    <w:uiPriority w:val="0"/>
    <w:rPr>
      <w:rFonts w:ascii="宋体" w:hAnsi="Courier New"/>
      <w:sz w:val="21"/>
      <w:szCs w:val="20"/>
    </w:rPr>
  </w:style>
  <w:style w:type="paragraph" w:styleId="16">
    <w:name w:val="Date"/>
    <w:basedOn w:val="1"/>
    <w:next w:val="1"/>
    <w:qFormat/>
    <w:uiPriority w:val="0"/>
    <w:pPr>
      <w:ind w:left="100" w:leftChars="2500"/>
    </w:pPr>
  </w:style>
  <w:style w:type="paragraph" w:styleId="17">
    <w:name w:val="toc 8"/>
    <w:basedOn w:val="1"/>
    <w:next w:val="1"/>
    <w:qFormat/>
    <w:uiPriority w:val="0"/>
    <w:pPr>
      <w:ind w:left="2940" w:leftChars="1400"/>
    </w:pPr>
    <w:rPr>
      <w:szCs w:val="22"/>
    </w:rPr>
  </w:style>
  <w:style w:type="paragraph" w:styleId="18">
    <w:name w:val="footer"/>
    <w:basedOn w:val="1"/>
    <w:link w:val="40"/>
    <w:qFormat/>
    <w:uiPriority w:val="99"/>
    <w:pPr>
      <w:tabs>
        <w:tab w:val="center" w:pos="4153"/>
        <w:tab w:val="right" w:pos="8306"/>
      </w:tabs>
      <w:snapToGrid w:val="0"/>
      <w:jc w:val="left"/>
    </w:pPr>
    <w:rPr>
      <w:sz w:val="18"/>
      <w:szCs w:val="18"/>
    </w:rPr>
  </w:style>
  <w:style w:type="paragraph" w:styleId="19">
    <w:name w:val="envelope return"/>
    <w:basedOn w:val="1"/>
    <w:qFormat/>
    <w:uiPriority w:val="0"/>
    <w:pPr>
      <w:snapToGrid w:val="0"/>
    </w:pPr>
    <w:rPr>
      <w:rFonts w:ascii="Arial" w:hAnsi="Arial"/>
    </w:rPr>
  </w:style>
  <w:style w:type="paragraph" w:styleId="20">
    <w:name w:val="header"/>
    <w:basedOn w:val="1"/>
    <w:link w:val="41"/>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0"/>
    <w:pPr>
      <w:tabs>
        <w:tab w:val="right" w:leader="dot" w:pos="9628"/>
      </w:tabs>
      <w:jc w:val="center"/>
    </w:pPr>
    <w:rPr>
      <w:b/>
      <w:sz w:val="52"/>
      <w:szCs w:val="52"/>
    </w:rPr>
  </w:style>
  <w:style w:type="paragraph" w:styleId="22">
    <w:name w:val="toc 4"/>
    <w:basedOn w:val="1"/>
    <w:next w:val="1"/>
    <w:qFormat/>
    <w:uiPriority w:val="0"/>
    <w:pPr>
      <w:ind w:left="630"/>
      <w:jc w:val="left"/>
    </w:pPr>
    <w:rPr>
      <w:sz w:val="18"/>
      <w:szCs w:val="18"/>
    </w:rPr>
  </w:style>
  <w:style w:type="paragraph" w:styleId="23">
    <w:name w:val="footnote text"/>
    <w:basedOn w:val="1"/>
    <w:link w:val="42"/>
    <w:unhideWhenUsed/>
    <w:qFormat/>
    <w:uiPriority w:val="99"/>
    <w:pPr>
      <w:snapToGrid w:val="0"/>
      <w:jc w:val="left"/>
    </w:pPr>
    <w:rPr>
      <w:sz w:val="18"/>
    </w:rPr>
  </w:style>
  <w:style w:type="paragraph" w:styleId="24">
    <w:name w:val="Body Text Indent 3"/>
    <w:basedOn w:val="1"/>
    <w:link w:val="43"/>
    <w:qFormat/>
    <w:uiPriority w:val="0"/>
    <w:pPr>
      <w:ind w:left="420" w:leftChars="200"/>
    </w:pPr>
    <w:rPr>
      <w:sz w:val="16"/>
      <w:szCs w:val="16"/>
    </w:rPr>
  </w:style>
  <w:style w:type="paragraph" w:styleId="25">
    <w:name w:val="toc 2"/>
    <w:basedOn w:val="1"/>
    <w:next w:val="1"/>
    <w:qFormat/>
    <w:uiPriority w:val="0"/>
    <w:pPr>
      <w:spacing w:line="480" w:lineRule="auto"/>
      <w:ind w:left="200" w:leftChars="200"/>
    </w:pPr>
  </w:style>
  <w:style w:type="paragraph" w:styleId="26">
    <w:name w:val="Normal (Web)"/>
    <w:basedOn w:val="1"/>
    <w:qFormat/>
    <w:uiPriority w:val="0"/>
    <w:pPr>
      <w:widowControl/>
      <w:spacing w:beforeAutospacing="1" w:afterAutospacing="1"/>
      <w:jc w:val="left"/>
    </w:pPr>
    <w:rPr>
      <w:rFonts w:hint="eastAsia" w:ascii="宋体" w:hAnsi="宋体"/>
      <w:kern w:val="0"/>
      <w:sz w:val="24"/>
    </w:rPr>
  </w:style>
  <w:style w:type="paragraph" w:styleId="27">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8">
    <w:name w:val="Body Text First Indent 2"/>
    <w:basedOn w:val="10"/>
    <w:next w:val="13"/>
    <w:semiHidden/>
    <w:qFormat/>
    <w:uiPriority w:val="99"/>
    <w:pPr>
      <w:ind w:firstLine="420"/>
    </w:pPr>
  </w:style>
  <w:style w:type="table" w:styleId="30">
    <w:name w:val="Table Grid"/>
    <w:basedOn w:val="29"/>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qFormat/>
    <w:uiPriority w:val="0"/>
  </w:style>
  <w:style w:type="character" w:styleId="33">
    <w:name w:val="page number"/>
    <w:basedOn w:val="31"/>
    <w:qFormat/>
    <w:uiPriority w:val="0"/>
  </w:style>
  <w:style w:type="character" w:styleId="34">
    <w:name w:val="FollowedHyperlink"/>
    <w:basedOn w:val="31"/>
    <w:semiHidden/>
    <w:unhideWhenUsed/>
    <w:qFormat/>
    <w:uiPriority w:val="99"/>
    <w:rPr>
      <w:color w:val="954F72"/>
      <w:u w:val="single"/>
    </w:rPr>
  </w:style>
  <w:style w:type="character" w:styleId="35">
    <w:name w:val="Hyperlink"/>
    <w:basedOn w:val="31"/>
    <w:qFormat/>
    <w:uiPriority w:val="99"/>
    <w:rPr>
      <w:color w:val="0000FF"/>
      <w:u w:val="single"/>
    </w:rPr>
  </w:style>
  <w:style w:type="character" w:styleId="36">
    <w:name w:val="footnote reference"/>
    <w:basedOn w:val="31"/>
    <w:unhideWhenUsed/>
    <w:qFormat/>
    <w:uiPriority w:val="99"/>
    <w:rPr>
      <w:vertAlign w:val="superscript"/>
    </w:rPr>
  </w:style>
  <w:style w:type="character" w:customStyle="1" w:styleId="37">
    <w:name w:val="正文文本 Char"/>
    <w:basedOn w:val="31"/>
    <w:link w:val="3"/>
    <w:qFormat/>
    <w:uiPriority w:val="99"/>
    <w:rPr>
      <w:rFonts w:ascii="Calibri" w:hAnsi="Calibri" w:eastAsia="Calibri"/>
      <w:kern w:val="2"/>
      <w:sz w:val="21"/>
      <w:szCs w:val="22"/>
    </w:rPr>
  </w:style>
  <w:style w:type="character" w:customStyle="1" w:styleId="38">
    <w:name w:val="正文首行缩进 Char"/>
    <w:basedOn w:val="37"/>
    <w:link w:val="2"/>
    <w:qFormat/>
    <w:uiPriority w:val="99"/>
    <w:rPr>
      <w:rFonts w:ascii="Calibri" w:hAnsi="Calibri" w:eastAsia="Calibri"/>
      <w:kern w:val="2"/>
      <w:sz w:val="21"/>
      <w:szCs w:val="22"/>
    </w:rPr>
  </w:style>
  <w:style w:type="character" w:customStyle="1" w:styleId="39">
    <w:name w:val="纯文本 Char"/>
    <w:basedOn w:val="31"/>
    <w:link w:val="15"/>
    <w:qFormat/>
    <w:uiPriority w:val="0"/>
    <w:rPr>
      <w:rFonts w:ascii="宋体" w:hAnsi="Courier New" w:eastAsia="Calibri"/>
      <w:kern w:val="2"/>
      <w:sz w:val="21"/>
    </w:rPr>
  </w:style>
  <w:style w:type="character" w:customStyle="1" w:styleId="40">
    <w:name w:val="页脚 Char"/>
    <w:basedOn w:val="31"/>
    <w:link w:val="18"/>
    <w:qFormat/>
    <w:uiPriority w:val="99"/>
    <w:rPr>
      <w:rFonts w:ascii="Calibri" w:hAnsi="Calibri" w:eastAsia="Calibri"/>
      <w:kern w:val="2"/>
      <w:sz w:val="18"/>
      <w:szCs w:val="18"/>
    </w:rPr>
  </w:style>
  <w:style w:type="character" w:customStyle="1" w:styleId="41">
    <w:name w:val="页眉 Char"/>
    <w:basedOn w:val="31"/>
    <w:link w:val="20"/>
    <w:qFormat/>
    <w:uiPriority w:val="99"/>
    <w:rPr>
      <w:rFonts w:ascii="Calibri" w:hAnsi="Calibri" w:eastAsia="Calibri"/>
      <w:kern w:val="2"/>
      <w:sz w:val="18"/>
      <w:szCs w:val="18"/>
    </w:rPr>
  </w:style>
  <w:style w:type="character" w:customStyle="1" w:styleId="42">
    <w:name w:val="脚注文本 Char"/>
    <w:basedOn w:val="31"/>
    <w:link w:val="23"/>
    <w:qFormat/>
    <w:uiPriority w:val="99"/>
    <w:rPr>
      <w:rFonts w:ascii="Calibri" w:hAnsi="Calibri" w:eastAsia="Calibri"/>
      <w:kern w:val="2"/>
      <w:sz w:val="18"/>
      <w:szCs w:val="24"/>
    </w:rPr>
  </w:style>
  <w:style w:type="character" w:customStyle="1" w:styleId="43">
    <w:name w:val="正文文本缩进 3 Char"/>
    <w:basedOn w:val="31"/>
    <w:link w:val="24"/>
    <w:qFormat/>
    <w:uiPriority w:val="0"/>
    <w:rPr>
      <w:rFonts w:ascii="Calibri" w:hAnsi="Calibri" w:eastAsia="Calibri"/>
      <w:kern w:val="2"/>
      <w:sz w:val="16"/>
      <w:szCs w:val="16"/>
    </w:rPr>
  </w:style>
  <w:style w:type="paragraph" w:customStyle="1" w:styleId="44">
    <w:name w:val="首行缩进"/>
    <w:basedOn w:val="1"/>
    <w:qFormat/>
    <w:uiPriority w:val="0"/>
    <w:rPr>
      <w:lang w:val="zh-CN"/>
    </w:rPr>
  </w:style>
  <w:style w:type="paragraph" w:customStyle="1" w:styleId="45">
    <w:name w:val="正文1"/>
    <w:basedOn w:val="1"/>
    <w:qFormat/>
    <w:uiPriority w:val="0"/>
    <w:pPr>
      <w:spacing w:line="360" w:lineRule="auto"/>
      <w:ind w:firstLine="200" w:firstLineChars="200"/>
      <w:jc w:val="left"/>
    </w:pPr>
    <w:rPr>
      <w:rFonts w:ascii="宋体" w:hAnsi="宋体"/>
      <w:color w:val="000000"/>
      <w:kern w:val="0"/>
      <w:sz w:val="24"/>
      <w:szCs w:val="20"/>
    </w:rPr>
  </w:style>
  <w:style w:type="paragraph" w:customStyle="1" w:styleId="46">
    <w:name w:val="表格文字"/>
    <w:basedOn w:val="1"/>
    <w:next w:val="3"/>
    <w:qFormat/>
    <w:uiPriority w:val="0"/>
    <w:pPr>
      <w:adjustRightInd w:val="0"/>
      <w:spacing w:line="420" w:lineRule="atLeast"/>
      <w:jc w:val="left"/>
      <w:textAlignment w:val="baseline"/>
    </w:pPr>
    <w:rPr>
      <w:kern w:val="0"/>
    </w:rPr>
  </w:style>
  <w:style w:type="paragraph" w:customStyle="1" w:styleId="47">
    <w:name w:val="Char"/>
    <w:basedOn w:val="1"/>
    <w:qFormat/>
    <w:uiPriority w:val="0"/>
    <w:pPr>
      <w:widowControl/>
      <w:spacing w:line="240" w:lineRule="exact"/>
      <w:jc w:val="left"/>
    </w:pPr>
    <w:rPr>
      <w:rFonts w:ascii="Verdana" w:hAnsi="Verdana" w:eastAsia="楷体_GB2312"/>
      <w:b/>
      <w:i/>
      <w:iCs/>
      <w:color w:val="000000"/>
      <w:kern w:val="0"/>
      <w:sz w:val="20"/>
      <w:szCs w:val="20"/>
      <w:lang w:eastAsia="en-US"/>
    </w:rPr>
  </w:style>
  <w:style w:type="paragraph" w:customStyle="1" w:styleId="48">
    <w:name w:val="表格内容"/>
    <w:basedOn w:val="1"/>
    <w:qFormat/>
    <w:uiPriority w:val="2"/>
    <w:pPr>
      <w:widowControl/>
      <w:jc w:val="center"/>
    </w:pPr>
    <w:rPr>
      <w:kern w:val="0"/>
      <w:sz w:val="24"/>
      <w:szCs w:val="28"/>
    </w:rPr>
  </w:style>
  <w:style w:type="paragraph" w:customStyle="1" w:styleId="49">
    <w:name w:val="标题4"/>
    <w:basedOn w:val="1"/>
    <w:qFormat/>
    <w:uiPriority w:val="0"/>
    <w:rPr>
      <w:rFonts w:eastAsia="仿宋_GB2312"/>
      <w:sz w:val="32"/>
      <w:szCs w:val="20"/>
    </w:rPr>
  </w:style>
  <w:style w:type="paragraph" w:customStyle="1" w:styleId="50">
    <w:name w:val="_Style 3"/>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
    <w:name w:val="Plain Text1"/>
    <w:basedOn w:val="52"/>
    <w:qFormat/>
    <w:uiPriority w:val="99"/>
    <w:pPr>
      <w:widowControl/>
      <w:jc w:val="left"/>
    </w:pPr>
    <w:rPr>
      <w:rFonts w:ascii="宋体" w:hAnsi="Courier New"/>
    </w:rPr>
  </w:style>
  <w:style w:type="paragraph" w:customStyle="1" w:styleId="52">
    <w:name w:val="Norm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3">
    <w:name w:val="正文_6"/>
    <w:qFormat/>
    <w:uiPriority w:val="0"/>
    <w:pPr>
      <w:widowControl w:val="0"/>
      <w:jc w:val="both"/>
    </w:pPr>
    <w:rPr>
      <w:rFonts w:ascii="Calibri" w:hAnsi="Calibri" w:eastAsia="Calibri" w:cs="Times New Roman"/>
      <w:kern w:val="2"/>
      <w:sz w:val="21"/>
      <w:szCs w:val="24"/>
      <w:lang w:val="en-US" w:eastAsia="zh-CN" w:bidi="ar-SA"/>
    </w:rPr>
  </w:style>
  <w:style w:type="paragraph" w:customStyle="1" w:styleId="54">
    <w:name w:val="列出段落1"/>
    <w:basedOn w:val="1"/>
    <w:qFormat/>
    <w:uiPriority w:val="0"/>
    <w:pPr>
      <w:ind w:firstLine="420" w:firstLineChars="200"/>
    </w:pPr>
    <w:rPr>
      <w:sz w:val="21"/>
      <w:szCs w:val="22"/>
    </w:rPr>
  </w:style>
  <w:style w:type="paragraph" w:customStyle="1" w:styleId="55">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paragraph" w:customStyle="1" w:styleId="57">
    <w:name w:val="内文正文"/>
    <w:basedOn w:val="15"/>
    <w:qFormat/>
    <w:uiPriority w:val="99"/>
    <w:pPr>
      <w:adjustRightInd w:val="0"/>
      <w:snapToGrid w:val="0"/>
      <w:spacing w:line="400" w:lineRule="exact"/>
      <w:ind w:firstLine="200" w:firstLineChars="200"/>
    </w:pPr>
    <w:rPr>
      <w:rFonts w:ascii="Arial" w:hAnsi="Arial"/>
      <w:color w:val="000000"/>
      <w:szCs w:val="21"/>
    </w:rPr>
  </w:style>
  <w:style w:type="paragraph" w:customStyle="1" w:styleId="58">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样式 纯文本 + 首行缩进:  2 字符 Char Char Char Char Char Char Char Char Char Char Char Char Char Char Char Char Char Char Char Char Char Char Char Char"/>
    <w:basedOn w:val="15"/>
    <w:qFormat/>
    <w:uiPriority w:val="0"/>
    <w:pPr>
      <w:spacing w:line="360" w:lineRule="auto"/>
    </w:pPr>
    <w:rPr>
      <w:rFonts w:eastAsia="仿宋_GB2312" w:cs="Arial"/>
      <w:sz w:val="28"/>
    </w:rPr>
  </w:style>
  <w:style w:type="character" w:customStyle="1" w:styleId="60">
    <w:name w:val="font31"/>
    <w:basedOn w:val="31"/>
    <w:qFormat/>
    <w:uiPriority w:val="0"/>
    <w:rPr>
      <w:rFonts w:ascii="Arial" w:hAnsi="Arial" w:cs="Arial"/>
      <w:color w:val="000000"/>
      <w:sz w:val="20"/>
      <w:szCs w:val="20"/>
      <w:u w:val="none"/>
    </w:rPr>
  </w:style>
  <w:style w:type="character" w:customStyle="1" w:styleId="61">
    <w:name w:val="font51"/>
    <w:basedOn w:val="31"/>
    <w:qFormat/>
    <w:uiPriority w:val="0"/>
    <w:rPr>
      <w:rFonts w:hint="eastAsia" w:ascii="宋体" w:hAnsi="宋体" w:eastAsia="宋体" w:cs="宋体"/>
      <w:color w:val="000000"/>
      <w:sz w:val="18"/>
      <w:szCs w:val="18"/>
      <w:u w:val="none"/>
    </w:rPr>
  </w:style>
  <w:style w:type="character" w:customStyle="1" w:styleId="62">
    <w:name w:val="font01"/>
    <w:basedOn w:val="31"/>
    <w:qFormat/>
    <w:uiPriority w:val="0"/>
    <w:rPr>
      <w:rFonts w:hint="eastAsia" w:ascii="宋体" w:hAnsi="宋体" w:eastAsia="宋体" w:cs="宋体"/>
      <w:color w:val="000000"/>
      <w:sz w:val="20"/>
      <w:szCs w:val="20"/>
      <w:u w:val="none"/>
    </w:rPr>
  </w:style>
  <w:style w:type="paragraph" w:customStyle="1" w:styleId="63">
    <w:name w:val="纯文本1"/>
    <w:basedOn w:val="45"/>
    <w:qFormat/>
    <w:uiPriority w:val="0"/>
    <w:pPr>
      <w:widowControl/>
    </w:pPr>
    <w:rPr>
      <w:rFonts w:hAnsi="Courier New"/>
      <w:szCs w:val="24"/>
    </w:rPr>
  </w:style>
  <w:style w:type="paragraph" w:customStyle="1" w:styleId="64">
    <w:name w:val="样式 标题 2 + Times New Roman 四号 非加粗 段前: 5 磅 段后: 0 磅 行距: 固定值 20..."/>
    <w:basedOn w:val="6"/>
    <w:qFormat/>
    <w:uiPriority w:val="0"/>
    <w:pPr>
      <w:spacing w:before="100" w:line="400" w:lineRule="exact"/>
    </w:pPr>
    <w:rPr>
      <w:rFonts w:ascii="Times New Roman" w:hAnsi="Times New Roman" w:cs="宋体"/>
      <w:b w:val="0"/>
      <w:bCs w:val="0"/>
      <w:sz w:val="28"/>
      <w:szCs w:val="20"/>
    </w:rPr>
  </w:style>
  <w:style w:type="paragraph" w:customStyle="1" w:styleId="65">
    <w:name w:val="样式 样式1 + 首行缩进:  2 字符"/>
    <w:basedOn w:val="1"/>
    <w:qFormat/>
    <w:uiPriority w:val="0"/>
    <w:pPr>
      <w:spacing w:line="360" w:lineRule="exact"/>
      <w:ind w:firstLine="420" w:firstLineChars="200"/>
    </w:pPr>
    <w:rPr>
      <w:rFonts w:ascii="Arial" w:hAnsi="Arial" w:cs="宋体"/>
      <w:szCs w:val="20"/>
    </w:rPr>
  </w:style>
  <w:style w:type="paragraph" w:customStyle="1" w:styleId="66">
    <w:name w:val="样式 标题 3 + Arial"/>
    <w:basedOn w:val="7"/>
    <w:qFormat/>
    <w:uiPriority w:val="0"/>
    <w:pPr>
      <w:spacing w:beforeLines="100" w:line="360" w:lineRule="auto"/>
    </w:pPr>
    <w:rPr>
      <w:rFonts w:ascii="Arial" w:hAnsi="Arial"/>
      <w:sz w:val="24"/>
    </w:rPr>
  </w:style>
  <w:style w:type="paragraph" w:customStyle="1" w:styleId="67">
    <w:name w:val="此正文"/>
    <w:basedOn w:val="1"/>
    <w:qFormat/>
    <w:uiPriority w:val="99"/>
    <w:pPr>
      <w:spacing w:line="360" w:lineRule="auto"/>
      <w:ind w:firstLine="200" w:firstLineChars="200"/>
    </w:pPr>
    <w:rPr>
      <w:rFonts w:eastAsia="宋体"/>
      <w:sz w:val="24"/>
    </w:rPr>
  </w:style>
  <w:style w:type="paragraph" w:customStyle="1" w:styleId="68">
    <w:name w:val="Table Paragraph"/>
    <w:basedOn w:val="1"/>
    <w:qFormat/>
    <w:uiPriority w:val="1"/>
    <w:rPr>
      <w:rFonts w:ascii="宋体" w:hAnsi="宋体" w:eastAsia="宋体" w:cs="宋体"/>
      <w:sz w:val="21"/>
      <w:lang w:val="zh-CN" w:bidi="zh-CN"/>
    </w:rPr>
  </w:style>
  <w:style w:type="paragraph" w:customStyle="1" w:styleId="69">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70">
    <w:name w:val="签发人"/>
    <w:basedOn w:val="1"/>
    <w:qFormat/>
    <w:uiPriority w:val="0"/>
    <w:rPr>
      <w:rFonts w:eastAsia="楷体"/>
      <w:sz w:val="32"/>
    </w:rPr>
  </w:style>
  <w:style w:type="paragraph" w:customStyle="1" w:styleId="71">
    <w:name w:val="msonormal"/>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72">
    <w:name w:val="xl65"/>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73">
    <w:name w:val="xl6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74">
    <w:name w:val="xl67"/>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75">
    <w:name w:val="xl68"/>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宋体" w:hAnsi="宋体" w:eastAsia="宋体" w:cs="宋体"/>
      <w:kern w:val="0"/>
      <w:sz w:val="18"/>
      <w:szCs w:val="18"/>
    </w:rPr>
  </w:style>
  <w:style w:type="paragraph" w:customStyle="1" w:styleId="76">
    <w:name w:val="xl69"/>
    <w:basedOn w:val="1"/>
    <w:qFormat/>
    <w:uiPriority w:val="0"/>
    <w:pPr>
      <w:widowControl/>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77">
    <w:name w:val="xl70"/>
    <w:basedOn w:val="1"/>
    <w:qFormat/>
    <w:uiPriority w:val="0"/>
    <w:pPr>
      <w:widowControl/>
      <w:shd w:val="clear" w:color="000000" w:fill="FFFFFF"/>
      <w:spacing w:before="100" w:beforeAutospacing="1" w:after="100" w:afterAutospacing="1"/>
      <w:jc w:val="center"/>
    </w:pPr>
    <w:rPr>
      <w:rFonts w:ascii="黑体" w:hAnsi="黑体" w:eastAsia="黑体" w:cs="宋体"/>
      <w:b/>
      <w:bCs/>
      <w:kern w:val="0"/>
      <w:szCs w:val="36"/>
    </w:rPr>
  </w:style>
  <w:style w:type="paragraph" w:customStyle="1" w:styleId="78">
    <w:name w:val="xl71"/>
    <w:basedOn w:val="1"/>
    <w:qFormat/>
    <w:uiPriority w:val="0"/>
    <w:pPr>
      <w:widowControl/>
      <w:shd w:val="clear" w:color="000000" w:fill="FFFFFF"/>
      <w:spacing w:before="100" w:beforeAutospacing="1" w:after="100" w:afterAutospacing="1"/>
      <w:jc w:val="left"/>
      <w:textAlignment w:val="bottom"/>
    </w:pPr>
    <w:rPr>
      <w:rFonts w:ascii="宋体" w:hAnsi="宋体" w:eastAsia="宋体" w:cs="宋体"/>
      <w:kern w:val="0"/>
      <w:sz w:val="20"/>
      <w:szCs w:val="20"/>
    </w:rPr>
  </w:style>
  <w:style w:type="paragraph" w:customStyle="1" w:styleId="79">
    <w:name w:val="xl72"/>
    <w:basedOn w:val="1"/>
    <w:qFormat/>
    <w:uiPriority w:val="0"/>
    <w:pPr>
      <w:widowControl/>
      <w:shd w:val="clear" w:color="000000" w:fill="FFFFFF"/>
      <w:spacing w:before="100" w:beforeAutospacing="1" w:after="100" w:afterAutospacing="1"/>
      <w:jc w:val="right"/>
      <w:textAlignment w:val="bottom"/>
    </w:pPr>
    <w:rPr>
      <w:rFonts w:ascii="宋体" w:hAnsi="宋体" w:eastAsia="宋体" w:cs="宋体"/>
      <w:kern w:val="0"/>
      <w:sz w:val="20"/>
      <w:szCs w:val="20"/>
    </w:rPr>
  </w:style>
  <w:style w:type="paragraph" w:customStyle="1" w:styleId="80">
    <w:name w:val="xl73"/>
    <w:basedOn w:val="1"/>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81">
    <w:name w:val="xl74"/>
    <w:basedOn w:val="1"/>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82">
    <w:name w:val="xl75"/>
    <w:basedOn w:val="1"/>
    <w:qFormat/>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83">
    <w:name w:val="xl76"/>
    <w:basedOn w:val="1"/>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84">
    <w:name w:val="xl77"/>
    <w:basedOn w:val="1"/>
    <w:qFormat/>
    <w:uiPriority w:val="0"/>
    <w:pPr>
      <w:widowControl/>
      <w:pBdr>
        <w:top w:val="single" w:color="000000" w:sz="4" w:space="0"/>
        <w:bottom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85">
    <w:name w:val="xl78"/>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Arial" w:hAnsi="Arial" w:eastAsia="宋体" w:cs="Arial"/>
      <w:kern w:val="0"/>
      <w:sz w:val="18"/>
      <w:szCs w:val="18"/>
    </w:rPr>
  </w:style>
  <w:style w:type="paragraph" w:customStyle="1" w:styleId="86">
    <w:name w:val="xl7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87">
    <w:name w:val="xl80"/>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88">
    <w:name w:val="xl81"/>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89">
    <w:name w:val="xl82"/>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宋体" w:hAnsi="宋体" w:eastAsia="宋体" w:cs="宋体"/>
      <w:kern w:val="0"/>
      <w:sz w:val="18"/>
      <w:szCs w:val="18"/>
    </w:rPr>
  </w:style>
  <w:style w:type="paragraph" w:customStyle="1" w:styleId="90">
    <w:name w:val="xl83"/>
    <w:basedOn w:val="1"/>
    <w:qFormat/>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91">
    <w:name w:val="xl84"/>
    <w:basedOn w:val="1"/>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92">
    <w:name w:val="xl85"/>
    <w:basedOn w:val="1"/>
    <w:qFormat/>
    <w:uiPriority w:val="0"/>
    <w:pPr>
      <w:widowControl/>
      <w:pBdr>
        <w:top w:val="single" w:color="000000" w:sz="4" w:space="0"/>
        <w:bottom w:val="single" w:color="000000"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93">
    <w:name w:val="xl8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宋体" w:hAnsi="宋体" w:eastAsia="宋体" w:cs="宋体"/>
      <w:kern w:val="0"/>
      <w:sz w:val="18"/>
      <w:szCs w:val="18"/>
    </w:rPr>
  </w:style>
  <w:style w:type="paragraph" w:styleId="94">
    <w:name w:val="List Paragraph"/>
    <w:basedOn w:val="1"/>
    <w:qFormat/>
    <w:uiPriority w:val="34"/>
    <w:pPr>
      <w:ind w:firstLine="420" w:firstLineChars="200"/>
    </w:pPr>
    <w:rPr>
      <w:rFonts w:asciiTheme="minorHAnsi" w:hAnsiTheme="minorHAnsi" w:eastAsiaTheme="minorEastAsia" w:cstheme="minorBidi"/>
      <w:sz w:val="21"/>
      <w:szCs w:val="22"/>
    </w:rPr>
  </w:style>
  <w:style w:type="paragraph" w:customStyle="1" w:styleId="95">
    <w:name w:val="正文_17"/>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74</Pages>
  <Words>16683</Words>
  <Characters>18122</Characters>
  <Lines>360</Lines>
  <Paragraphs>101</Paragraphs>
  <TotalTime>0</TotalTime>
  <ScaleCrop>false</ScaleCrop>
  <LinksUpToDate>false</LinksUpToDate>
  <CharactersWithSpaces>18215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2022-06-14T07:01:00Z</dcterms:created>
  <dc:creator>Administrator</dc:creator>
  <cp:lastModifiedBy>六月的雨</cp:lastModifiedBy>
  <cp:lastPrinted>2021-02-18T06:32:00Z</cp:lastPrinted>
  <dcterms:modified xsi:type="dcterms:W3CDTF">2025-06-23T08:37:52Z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156545D0E0154F00BBB7EF46F2792D31_13</vt:lpwstr>
  </property>
  <property fmtid="{D5CDD505-2E9C-101B-9397-08002B2CF9AE}" pid="4" name="KSOTemplateDocerSaveRecord">
    <vt:lpwstr>eyJoZGlkIjoiZjgzNTA3NjExZGM2Yjc5ZWI3YTgxN2Y4NWQyMjNiYTUiLCJ1c2VySWQiOiI0NjE2NTUxOTMifQ==</vt:lpwstr>
  </property>
</Properties>
</file>