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0" w:leftChars="0" w:right="30" w:rightChars="0" w:firstLine="0" w:firstLineChars="0"/>
        <w:jc w:val="center"/>
        <w:rPr>
          <w:rFonts w:ascii="宋体" w:hAnsi="宋体"/>
          <w:sz w:val="44"/>
          <w:szCs w:val="44"/>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0" w:leftChars="0" w:right="30" w:rightChars="0" w:firstLine="0" w:firstLineChars="0"/>
        <w:jc w:val="center"/>
        <w:rPr>
          <w:rFonts w:hint="eastAsia" w:ascii="宋体" w:hAnsi="宋体" w:cs="宋体"/>
          <w:b/>
          <w:color w:val="auto"/>
          <w:kern w:val="0"/>
          <w:sz w:val="52"/>
          <w:szCs w:val="52"/>
          <w:highlight w:val="none"/>
        </w:rPr>
      </w:pPr>
      <w:r>
        <w:rPr>
          <w:rFonts w:ascii="宋体" w:hAnsi="宋体"/>
          <w:sz w:val="52"/>
          <w:szCs w:val="52"/>
        </w:rPr>
        <w:drawing>
          <wp:inline distT="0" distB="0" distL="114300" distR="114300">
            <wp:extent cx="3372485" cy="1139190"/>
            <wp:effectExtent l="0" t="0" r="18415" b="3810"/>
            <wp:docPr id="2" name="图片 2" descr="透明背景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透明背景图"/>
                    <pic:cNvPicPr>
                      <a:picLocks noChangeAspect="1"/>
                    </pic:cNvPicPr>
                  </pic:nvPicPr>
                  <pic:blipFill>
                    <a:blip r:embed="rId7"/>
                    <a:stretch>
                      <a:fillRect/>
                    </a:stretch>
                  </pic:blipFill>
                  <pic:spPr>
                    <a:xfrm>
                      <a:off x="0" y="0"/>
                      <a:ext cx="3372485" cy="1139190"/>
                    </a:xfrm>
                    <a:prstGeom prst="rect">
                      <a:avLst/>
                    </a:prstGeom>
                  </pic:spPr>
                </pic:pic>
              </a:graphicData>
            </a:graphic>
          </wp:inline>
        </w:drawing>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0" w:leftChars="0" w:right="30" w:rightChars="0" w:firstLine="0" w:firstLineChars="0"/>
        <w:jc w:val="center"/>
        <w:outlineLvl w:val="0"/>
        <w:rPr>
          <w:rFonts w:hint="eastAsia" w:ascii="宋体" w:hAnsi="宋体" w:cs="宋体"/>
          <w:b/>
          <w:color w:val="auto"/>
          <w:kern w:val="0"/>
          <w:sz w:val="32"/>
          <w:szCs w:val="32"/>
          <w:highlight w:val="none"/>
        </w:rPr>
      </w:pPr>
      <w:bookmarkStart w:id="0" w:name="_Toc3996"/>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0" w:leftChars="0" w:right="30" w:rightChars="0" w:firstLine="0" w:firstLineChars="0"/>
        <w:jc w:val="center"/>
        <w:outlineLvl w:val="0"/>
        <w:rPr>
          <w:rFonts w:ascii="宋体" w:hAnsi="宋体" w:cs="宋体"/>
          <w:b/>
          <w:color w:val="auto"/>
          <w:kern w:val="0"/>
          <w:sz w:val="52"/>
          <w:szCs w:val="52"/>
          <w:highlight w:val="none"/>
        </w:rPr>
      </w:pPr>
      <w:r>
        <w:rPr>
          <w:rFonts w:hint="eastAsia" w:ascii="宋体" w:hAnsi="宋体" w:cs="宋体"/>
          <w:b/>
          <w:color w:val="auto"/>
          <w:kern w:val="0"/>
          <w:sz w:val="52"/>
          <w:szCs w:val="52"/>
          <w:highlight w:val="none"/>
          <w:lang w:eastAsia="zh-CN"/>
        </w:rPr>
        <w:t>公开招标</w:t>
      </w:r>
      <w:r>
        <w:rPr>
          <w:rFonts w:hint="eastAsia" w:ascii="宋体" w:hAnsi="宋体" w:cs="宋体"/>
          <w:b/>
          <w:color w:val="auto"/>
          <w:kern w:val="0"/>
          <w:sz w:val="52"/>
          <w:szCs w:val="52"/>
          <w:highlight w:val="none"/>
        </w:rPr>
        <w:t>采购文件</w:t>
      </w:r>
      <w:bookmarkEnd w:id="0"/>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0" w:leftChars="0" w:right="30" w:rightChars="0" w:firstLine="0" w:firstLineChars="0"/>
        <w:jc w:val="center"/>
        <w:outlineLvl w:val="0"/>
        <w:rPr>
          <w:rFonts w:hint="eastAsia" w:ascii="宋体" w:hAnsi="宋体" w:eastAsia="宋体" w:cs="宋体"/>
          <w:b/>
          <w:color w:val="auto"/>
          <w:kern w:val="0"/>
          <w:sz w:val="32"/>
          <w:szCs w:val="32"/>
          <w:highlight w:val="none"/>
          <w:lang w:val="en-US" w:eastAsia="zh-CN"/>
        </w:rPr>
      </w:pPr>
      <w:r>
        <w:rPr>
          <w:rFonts w:hint="eastAsia" w:ascii="宋体" w:hAnsi="宋体" w:cs="宋体"/>
          <w:b/>
          <w:color w:val="auto"/>
          <w:kern w:val="0"/>
          <w:sz w:val="32"/>
          <w:szCs w:val="32"/>
          <w:highlight w:val="none"/>
          <w:lang w:eastAsia="zh-CN"/>
        </w:rPr>
        <w:t>YHZB-2023-0601</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color w:val="auto"/>
          <w:kern w:val="0"/>
          <w:sz w:val="24"/>
          <w:highlight w:val="none"/>
        </w:rPr>
      </w:pPr>
    </w:p>
    <w:p>
      <w:pPr>
        <w:autoSpaceDE w:val="0"/>
        <w:autoSpaceDN w:val="0"/>
        <w:adjustRightInd w:val="0"/>
        <w:spacing w:line="360" w:lineRule="auto"/>
        <w:jc w:val="center"/>
        <w:rPr>
          <w:rFonts w:ascii="宋体" w:hAnsi="宋体" w:cs="宋体"/>
          <w:b/>
          <w:color w:val="auto"/>
          <w:kern w:val="0"/>
          <w:sz w:val="24"/>
          <w:highlight w:val="none"/>
        </w:rPr>
      </w:pPr>
    </w:p>
    <w:p>
      <w:pPr>
        <w:autoSpaceDE w:val="0"/>
        <w:autoSpaceDN w:val="0"/>
        <w:adjustRightInd w:val="0"/>
        <w:spacing w:line="360" w:lineRule="auto"/>
        <w:jc w:val="both"/>
        <w:rPr>
          <w:rFonts w:ascii="宋体" w:hAnsi="宋体" w:cs="宋体"/>
          <w:color w:val="auto"/>
          <w:kern w:val="0"/>
          <w:sz w:val="24"/>
          <w:highlight w:val="none"/>
        </w:rPr>
      </w:pPr>
    </w:p>
    <w:p>
      <w:pPr>
        <w:pStyle w:val="12"/>
      </w:pPr>
    </w:p>
    <w:p>
      <w:pPr>
        <w:pStyle w:val="9"/>
      </w:pPr>
    </w:p>
    <w:p>
      <w:pPr>
        <w:pStyle w:val="9"/>
      </w:pPr>
    </w:p>
    <w:p>
      <w:pPr>
        <w:pStyle w:val="16"/>
        <w:snapToGrid w:val="0"/>
        <w:spacing w:before="120" w:after="120" w:line="360" w:lineRule="auto"/>
        <w:ind w:left="2435" w:leftChars="342" w:hanging="1717" w:hangingChars="500"/>
        <w:rPr>
          <w:rFonts w:hint="eastAsia" w:hAnsi="宋体" w:eastAsia="宋体"/>
          <w:b/>
          <w:bCs/>
          <w:w w:val="95"/>
          <w:sz w:val="36"/>
          <w:szCs w:val="36"/>
          <w:lang w:eastAsia="zh-CN"/>
        </w:rPr>
      </w:pPr>
      <w:r>
        <w:rPr>
          <w:rFonts w:hint="eastAsia" w:hAnsi="宋体"/>
          <w:b/>
          <w:bCs/>
          <w:w w:val="95"/>
          <w:sz w:val="36"/>
          <w:szCs w:val="36"/>
          <w:lang w:eastAsia="zh-CN"/>
        </w:rPr>
        <w:t>采购项目</w:t>
      </w:r>
      <w:r>
        <w:rPr>
          <w:rFonts w:hint="eastAsia" w:hAnsi="宋体"/>
          <w:b/>
          <w:bCs/>
          <w:w w:val="95"/>
          <w:sz w:val="36"/>
          <w:szCs w:val="36"/>
        </w:rPr>
        <w:t>：</w:t>
      </w:r>
      <w:r>
        <w:rPr>
          <w:rFonts w:hint="eastAsia" w:hAnsi="宋体"/>
          <w:b/>
          <w:bCs/>
          <w:w w:val="95"/>
          <w:sz w:val="36"/>
          <w:szCs w:val="36"/>
          <w:lang w:eastAsia="zh-CN"/>
        </w:rPr>
        <w:t>椒江区前所街道圆山社区党群服务中心设计施工一体化项目</w:t>
      </w:r>
    </w:p>
    <w:p>
      <w:pPr>
        <w:pStyle w:val="16"/>
        <w:snapToGrid w:val="0"/>
        <w:spacing w:before="120" w:after="120" w:line="360" w:lineRule="auto"/>
        <w:ind w:firstLine="687" w:firstLineChars="200"/>
        <w:rPr>
          <w:rFonts w:hAnsi="宋体"/>
          <w:b/>
          <w:sz w:val="36"/>
          <w:szCs w:val="36"/>
        </w:rPr>
      </w:pPr>
      <w:r>
        <w:rPr>
          <w:rFonts w:hint="eastAsia" w:hAnsi="宋体"/>
          <w:b/>
          <w:bCs/>
          <w:w w:val="95"/>
          <w:sz w:val="36"/>
          <w:szCs w:val="36"/>
        </w:rPr>
        <w:t>采 购 人：</w:t>
      </w:r>
      <w:r>
        <w:rPr>
          <w:rFonts w:hint="eastAsia" w:hAnsi="宋体"/>
          <w:b/>
          <w:bCs/>
          <w:w w:val="95"/>
          <w:sz w:val="36"/>
          <w:szCs w:val="36"/>
          <w:lang w:eastAsia="zh-CN"/>
        </w:rPr>
        <w:t>台州市椒江区人民政府前所街道办事处</w:t>
      </w:r>
    </w:p>
    <w:p>
      <w:pPr>
        <w:pStyle w:val="16"/>
        <w:snapToGrid w:val="0"/>
        <w:spacing w:before="120" w:after="120" w:line="360" w:lineRule="auto"/>
        <w:ind w:firstLine="687" w:firstLineChars="200"/>
        <w:rPr>
          <w:rFonts w:hAnsi="宋体"/>
          <w:b/>
          <w:sz w:val="36"/>
          <w:szCs w:val="36"/>
        </w:rPr>
      </w:pPr>
      <w:r>
        <w:rPr>
          <w:rFonts w:hint="eastAsia" w:hAnsi="宋体"/>
          <w:b/>
          <w:bCs/>
          <w:w w:val="95"/>
          <w:sz w:val="36"/>
          <w:szCs w:val="36"/>
        </w:rPr>
        <w:t>代理机构：</w:t>
      </w:r>
      <w:r>
        <w:rPr>
          <w:rFonts w:hint="eastAsia" w:hAnsi="宋体"/>
          <w:b/>
          <w:sz w:val="36"/>
          <w:szCs w:val="36"/>
        </w:rPr>
        <w:t>赢海招标代理（台州）有限公司</w:t>
      </w:r>
    </w:p>
    <w:p>
      <w:pPr>
        <w:snapToGrid w:val="0"/>
        <w:spacing w:beforeLines="50" w:line="360" w:lineRule="auto"/>
        <w:jc w:val="center"/>
        <w:rPr>
          <w:rFonts w:ascii="宋体" w:hAnsi="宋体"/>
          <w:b/>
          <w:bCs/>
          <w:w w:val="95"/>
          <w:sz w:val="30"/>
          <w:szCs w:val="30"/>
        </w:rPr>
      </w:pPr>
    </w:p>
    <w:p>
      <w:pPr>
        <w:snapToGrid w:val="0"/>
        <w:spacing w:beforeLines="50" w:line="360" w:lineRule="auto"/>
        <w:jc w:val="center"/>
        <w:rPr>
          <w:rFonts w:ascii="宋体" w:hAnsi="宋体"/>
          <w:b/>
          <w:bCs/>
          <w:w w:val="95"/>
          <w:sz w:val="30"/>
          <w:szCs w:val="30"/>
        </w:rPr>
      </w:pPr>
    </w:p>
    <w:p>
      <w:pPr>
        <w:pStyle w:val="26"/>
        <w:ind w:left="0" w:leftChars="0" w:firstLine="0" w:firstLineChars="0"/>
      </w:pPr>
    </w:p>
    <w:p>
      <w:pPr>
        <w:snapToGrid w:val="0"/>
        <w:spacing w:beforeLines="50" w:line="360" w:lineRule="auto"/>
        <w:jc w:val="center"/>
        <w:rPr>
          <w:rFonts w:ascii="宋体" w:hAnsi="宋体"/>
          <w:b/>
          <w:bCs/>
          <w:w w:val="95"/>
          <w:sz w:val="30"/>
          <w:szCs w:val="30"/>
        </w:rPr>
      </w:pPr>
    </w:p>
    <w:p>
      <w:pPr>
        <w:snapToGrid w:val="0"/>
        <w:spacing w:beforeLines="50" w:line="360" w:lineRule="auto"/>
        <w:jc w:val="center"/>
        <w:rPr>
          <w:rFonts w:ascii="宋体"/>
          <w:b/>
          <w:kern w:val="0"/>
          <w:sz w:val="10"/>
        </w:rPr>
      </w:pPr>
      <w:r>
        <w:rPr>
          <w:rFonts w:hint="eastAsia" w:ascii="宋体" w:hAnsi="宋体" w:cs="宋体"/>
          <w:b/>
          <w:bCs/>
          <w:color w:val="auto"/>
          <w:kern w:val="0"/>
          <w:sz w:val="28"/>
          <w:highlight w:val="none"/>
        </w:rPr>
        <w:t>二○二</w:t>
      </w:r>
      <w:r>
        <w:rPr>
          <w:rFonts w:hint="eastAsia" w:ascii="宋体" w:hAnsi="宋体" w:cs="宋体"/>
          <w:b/>
          <w:bCs/>
          <w:color w:val="auto"/>
          <w:kern w:val="0"/>
          <w:sz w:val="28"/>
          <w:highlight w:val="none"/>
          <w:lang w:val="en-US" w:eastAsia="zh-CN"/>
        </w:rPr>
        <w:t>三</w:t>
      </w:r>
      <w:r>
        <w:rPr>
          <w:rFonts w:hint="eastAsia" w:ascii="宋体" w:hAnsi="宋体" w:cs="宋体"/>
          <w:b/>
          <w:bCs/>
          <w:color w:val="auto"/>
          <w:kern w:val="0"/>
          <w:sz w:val="28"/>
          <w:highlight w:val="none"/>
        </w:rPr>
        <w:t>年</w:t>
      </w:r>
      <w:r>
        <w:rPr>
          <w:rFonts w:hint="eastAsia" w:ascii="宋体" w:hAnsi="宋体" w:cs="宋体"/>
          <w:b/>
          <w:bCs/>
          <w:color w:val="auto"/>
          <w:kern w:val="0"/>
          <w:sz w:val="28"/>
          <w:highlight w:val="none"/>
          <w:lang w:val="en-US" w:eastAsia="zh-CN"/>
        </w:rPr>
        <w:t>六</w:t>
      </w:r>
      <w:r>
        <w:rPr>
          <w:rFonts w:hint="eastAsia" w:ascii="宋体" w:hAnsi="宋体"/>
          <w:b/>
          <w:bCs/>
          <w:w w:val="95"/>
          <w:sz w:val="30"/>
          <w:szCs w:val="30"/>
        </w:rPr>
        <w:t>月</w:t>
      </w:r>
    </w:p>
    <w:p>
      <w:pPr>
        <w:pStyle w:val="13"/>
        <w:rPr>
          <w:rFonts w:hint="eastAsia"/>
          <w:lang w:eastAsia="zh-CN"/>
        </w:rPr>
      </w:pPr>
    </w:p>
    <w:p>
      <w:pPr>
        <w:spacing w:before="0" w:beforeLines="0" w:after="0" w:afterLines="0" w:line="240" w:lineRule="auto"/>
        <w:ind w:left="0" w:leftChars="0" w:right="0" w:rightChars="0" w:firstLine="0" w:firstLineChars="0"/>
        <w:jc w:val="center"/>
        <w:rPr>
          <w:rFonts w:ascii="宋体" w:hAnsi="宋体" w:eastAsia="宋体" w:cs="Times New Roman"/>
          <w:b/>
          <w:bCs/>
          <w:kern w:val="2"/>
          <w:sz w:val="28"/>
          <w:szCs w:val="36"/>
          <w:lang w:val="en-US" w:eastAsia="zh-CN" w:bidi="ar-SA"/>
        </w:rPr>
        <w:sectPr>
          <w:headerReference r:id="rId3" w:type="default"/>
          <w:pgSz w:w="11906" w:h="16838"/>
          <w:pgMar w:top="1417" w:right="1361" w:bottom="1417" w:left="1361" w:header="907" w:footer="992" w:gutter="0"/>
          <w:pgBorders>
            <w:top w:val="none" w:sz="0" w:space="0"/>
            <w:left w:val="none" w:sz="0" w:space="0"/>
            <w:bottom w:val="none" w:sz="0" w:space="0"/>
            <w:right w:val="none" w:sz="0" w:space="0"/>
          </w:pgBorders>
          <w:pgNumType w:start="1"/>
          <w:cols w:space="0" w:num="1"/>
          <w:titlePg/>
          <w:docGrid w:type="lines" w:linePitch="312" w:charSpace="0"/>
        </w:sectPr>
      </w:pPr>
    </w:p>
    <w:sdt>
      <w:sdtPr>
        <w:rPr>
          <w:rFonts w:ascii="宋体" w:hAnsi="宋体" w:eastAsia="宋体" w:cs="Times New Roman"/>
          <w:b/>
          <w:bCs/>
          <w:kern w:val="2"/>
          <w:sz w:val="28"/>
          <w:szCs w:val="36"/>
          <w:lang w:val="en-US" w:eastAsia="zh-CN" w:bidi="ar-SA"/>
        </w:rPr>
        <w:id w:val="147452171"/>
        <w15:color w:val="DBDBDB"/>
        <w:docPartObj>
          <w:docPartGallery w:val="Table of Contents"/>
          <w:docPartUnique/>
        </w:docPartObj>
      </w:sdtPr>
      <w:sdtEndPr>
        <w:rPr>
          <w:rFonts w:hint="eastAsia" w:ascii="Times New Roman" w:hAnsi="Times New Roman" w:eastAsia="宋体" w:cs="Times New Roman"/>
          <w:b/>
          <w:bCs/>
          <w:color w:val="auto"/>
          <w:kern w:val="44"/>
          <w:sz w:val="44"/>
          <w:szCs w:val="36"/>
          <w:lang w:val="en-US" w:eastAsia="zh-CN" w:bidi="ar-SA"/>
        </w:rPr>
      </w:sdtEndPr>
      <w:sdtContent>
        <w:p>
          <w:pPr>
            <w:spacing w:before="0" w:beforeLines="0" w:after="0" w:afterLines="0" w:line="240" w:lineRule="auto"/>
            <w:ind w:left="0" w:leftChars="0" w:right="0" w:rightChars="0" w:firstLine="0" w:firstLineChars="0"/>
            <w:jc w:val="center"/>
            <w:rPr>
              <w:rFonts w:ascii="宋体" w:hAnsi="宋体" w:eastAsia="宋体" w:cs="Times New Roman"/>
              <w:b/>
              <w:bCs/>
              <w:kern w:val="2"/>
              <w:sz w:val="28"/>
              <w:szCs w:val="36"/>
              <w:lang w:val="en-US" w:eastAsia="zh-CN" w:bidi="ar-SA"/>
            </w:rPr>
          </w:pPr>
        </w:p>
        <w:p>
          <w:pPr>
            <w:spacing w:before="0" w:beforeLines="0" w:after="0" w:afterLines="0" w:line="240" w:lineRule="auto"/>
            <w:ind w:left="0" w:leftChars="0" w:right="0" w:rightChars="0" w:firstLine="0" w:firstLineChars="0"/>
            <w:jc w:val="center"/>
            <w:rPr>
              <w:b/>
              <w:bCs/>
              <w:sz w:val="28"/>
              <w:szCs w:val="36"/>
            </w:rPr>
          </w:pPr>
          <w:r>
            <w:rPr>
              <w:rFonts w:ascii="宋体" w:hAnsi="宋体" w:eastAsia="宋体"/>
              <w:b/>
              <w:bCs/>
              <w:sz w:val="28"/>
              <w:szCs w:val="36"/>
            </w:rPr>
            <w:t>目</w:t>
          </w:r>
          <w:r>
            <w:rPr>
              <w:rFonts w:hint="eastAsia" w:ascii="宋体" w:hAnsi="宋体" w:eastAsia="宋体"/>
              <w:b/>
              <w:bCs/>
              <w:sz w:val="28"/>
              <w:szCs w:val="36"/>
              <w:lang w:val="en-US" w:eastAsia="zh-CN"/>
            </w:rPr>
            <w:t xml:space="preserve"> </w:t>
          </w:r>
          <w:r>
            <w:rPr>
              <w:rFonts w:ascii="宋体" w:hAnsi="宋体" w:eastAsia="宋体"/>
              <w:b/>
              <w:bCs/>
              <w:sz w:val="28"/>
              <w:szCs w:val="36"/>
            </w:rPr>
            <w:t>录</w:t>
          </w:r>
        </w:p>
        <w:p>
          <w:pPr>
            <w:pStyle w:val="57"/>
            <w:tabs>
              <w:tab w:val="right" w:leader="dot" w:pos="9184"/>
            </w:tabs>
          </w:pPr>
          <w:r>
            <w:rPr>
              <w:rFonts w:hint="eastAsia"/>
              <w:color w:val="auto"/>
              <w:sz w:val="36"/>
              <w:szCs w:val="36"/>
              <w:lang w:val="en-US" w:eastAsia="zh-CN"/>
            </w:rPr>
            <w:fldChar w:fldCharType="begin"/>
          </w:r>
          <w:r>
            <w:rPr>
              <w:rFonts w:hint="eastAsia"/>
              <w:color w:val="auto"/>
              <w:sz w:val="36"/>
              <w:szCs w:val="36"/>
              <w:lang w:val="en-US" w:eastAsia="zh-CN"/>
            </w:rPr>
            <w:instrText xml:space="preserve">TOC \o "1-1" \h \u </w:instrText>
          </w:r>
          <w:r>
            <w:rPr>
              <w:rFonts w:hint="eastAsia"/>
              <w:color w:val="auto"/>
              <w:sz w:val="36"/>
              <w:szCs w:val="36"/>
              <w:lang w:val="en-US" w:eastAsia="zh-CN"/>
            </w:rPr>
            <w:fldChar w:fldCharType="separate"/>
          </w:r>
        </w:p>
        <w:p>
          <w:pPr>
            <w:pStyle w:val="57"/>
            <w:keepNext w:val="0"/>
            <w:keepLines w:val="0"/>
            <w:pageBreakBefore w:val="0"/>
            <w:widowControl/>
            <w:tabs>
              <w:tab w:val="right" w:leader="dot" w:pos="9184"/>
            </w:tabs>
            <w:kinsoku/>
            <w:wordWrap/>
            <w:overflowPunct/>
            <w:topLinePunct w:val="0"/>
            <w:autoSpaceDE/>
            <w:autoSpaceDN/>
            <w:bidi w:val="0"/>
            <w:adjustRightInd/>
            <w:snapToGrid/>
            <w:spacing w:line="360" w:lineRule="auto"/>
            <w:textAlignment w:val="auto"/>
            <w:rPr>
              <w:rFonts w:hint="eastAsia" w:ascii="宋体" w:hAnsi="宋体" w:eastAsia="宋体" w:cs="宋体"/>
              <w:sz w:val="28"/>
              <w:szCs w:val="28"/>
            </w:rPr>
          </w:pPr>
          <w:r>
            <w:rPr>
              <w:rFonts w:hint="eastAsia" w:ascii="宋体" w:hAnsi="宋体" w:eastAsia="宋体" w:cs="宋体"/>
              <w:color w:val="auto"/>
              <w:sz w:val="28"/>
              <w:szCs w:val="52"/>
              <w:lang w:val="en-US" w:eastAsia="zh-CN"/>
            </w:rPr>
            <w:fldChar w:fldCharType="begin"/>
          </w:r>
          <w:r>
            <w:rPr>
              <w:rFonts w:hint="eastAsia" w:ascii="宋体" w:hAnsi="宋体" w:eastAsia="宋体" w:cs="宋体"/>
              <w:sz w:val="28"/>
              <w:szCs w:val="52"/>
              <w:lang w:val="en-US" w:eastAsia="zh-CN"/>
            </w:rPr>
            <w:instrText xml:space="preserve"> HYPERLINK \l _Toc23858 </w:instrText>
          </w:r>
          <w:r>
            <w:rPr>
              <w:rFonts w:hint="eastAsia" w:ascii="宋体" w:hAnsi="宋体" w:eastAsia="宋体" w:cs="宋体"/>
              <w:sz w:val="28"/>
              <w:szCs w:val="52"/>
              <w:lang w:val="en-US" w:eastAsia="zh-CN"/>
            </w:rPr>
            <w:fldChar w:fldCharType="separate"/>
          </w:r>
          <w:r>
            <w:rPr>
              <w:rFonts w:hint="eastAsia" w:ascii="宋体" w:hAnsi="宋体" w:eastAsia="宋体" w:cs="宋体"/>
              <w:sz w:val="28"/>
              <w:szCs w:val="52"/>
              <w:lang w:val="en-US" w:eastAsia="zh-CN"/>
            </w:rPr>
            <w:t>第一章  招标公告</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_Toc23858 \h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color w:val="auto"/>
              <w:sz w:val="28"/>
              <w:szCs w:val="52"/>
              <w:lang w:val="en-US" w:eastAsia="zh-CN"/>
            </w:rPr>
            <w:fldChar w:fldCharType="end"/>
          </w:r>
        </w:p>
        <w:p>
          <w:pPr>
            <w:pStyle w:val="57"/>
            <w:keepNext w:val="0"/>
            <w:keepLines w:val="0"/>
            <w:pageBreakBefore w:val="0"/>
            <w:widowControl/>
            <w:tabs>
              <w:tab w:val="right" w:leader="dot" w:pos="9184"/>
            </w:tabs>
            <w:kinsoku/>
            <w:wordWrap/>
            <w:overflowPunct/>
            <w:topLinePunct w:val="0"/>
            <w:autoSpaceDE/>
            <w:autoSpaceDN/>
            <w:bidi w:val="0"/>
            <w:adjustRightInd/>
            <w:snapToGrid/>
            <w:spacing w:line="360" w:lineRule="auto"/>
            <w:textAlignment w:val="auto"/>
            <w:rPr>
              <w:rFonts w:hint="eastAsia" w:ascii="宋体" w:hAnsi="宋体" w:eastAsia="宋体" w:cs="宋体"/>
              <w:sz w:val="28"/>
              <w:szCs w:val="28"/>
            </w:rPr>
          </w:pPr>
          <w:r>
            <w:rPr>
              <w:rFonts w:hint="eastAsia" w:ascii="宋体" w:hAnsi="宋体" w:eastAsia="宋体" w:cs="宋体"/>
              <w:color w:val="auto"/>
              <w:sz w:val="28"/>
              <w:szCs w:val="52"/>
              <w:lang w:val="en-US" w:eastAsia="zh-CN"/>
            </w:rPr>
            <w:fldChar w:fldCharType="begin"/>
          </w:r>
          <w:r>
            <w:rPr>
              <w:rFonts w:hint="eastAsia" w:ascii="宋体" w:hAnsi="宋体" w:eastAsia="宋体" w:cs="宋体"/>
              <w:sz w:val="28"/>
              <w:szCs w:val="52"/>
              <w:lang w:val="en-US" w:eastAsia="zh-CN"/>
            </w:rPr>
            <w:instrText xml:space="preserve"> HYPERLINK \l _Toc24273 </w:instrText>
          </w:r>
          <w:r>
            <w:rPr>
              <w:rFonts w:hint="eastAsia" w:ascii="宋体" w:hAnsi="宋体" w:eastAsia="宋体" w:cs="宋体"/>
              <w:sz w:val="28"/>
              <w:szCs w:val="52"/>
              <w:lang w:val="en-US" w:eastAsia="zh-CN"/>
            </w:rPr>
            <w:fldChar w:fldCharType="separate"/>
          </w:r>
          <w:r>
            <w:rPr>
              <w:rFonts w:hint="eastAsia" w:ascii="宋体" w:hAnsi="宋体" w:eastAsia="宋体" w:cs="宋体"/>
              <w:sz w:val="28"/>
              <w:szCs w:val="52"/>
              <w:lang w:val="en-US" w:eastAsia="zh-CN"/>
            </w:rPr>
            <w:t>第二章  供应商须知</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_Toc24273 \h </w:instrText>
          </w:r>
          <w:r>
            <w:rPr>
              <w:rFonts w:hint="eastAsia" w:ascii="宋体" w:hAnsi="宋体" w:eastAsia="宋体" w:cs="宋体"/>
              <w:sz w:val="28"/>
              <w:szCs w:val="28"/>
            </w:rPr>
            <w:fldChar w:fldCharType="separate"/>
          </w:r>
          <w:r>
            <w:rPr>
              <w:rFonts w:hint="eastAsia" w:ascii="宋体" w:hAnsi="宋体" w:eastAsia="宋体" w:cs="宋体"/>
              <w:sz w:val="28"/>
              <w:szCs w:val="28"/>
            </w:rPr>
            <w:t>7</w:t>
          </w:r>
          <w:r>
            <w:rPr>
              <w:rFonts w:hint="eastAsia" w:ascii="宋体" w:hAnsi="宋体" w:eastAsia="宋体" w:cs="宋体"/>
              <w:sz w:val="28"/>
              <w:szCs w:val="28"/>
            </w:rPr>
            <w:fldChar w:fldCharType="end"/>
          </w:r>
          <w:r>
            <w:rPr>
              <w:rFonts w:hint="eastAsia" w:ascii="宋体" w:hAnsi="宋体" w:eastAsia="宋体" w:cs="宋体"/>
              <w:color w:val="auto"/>
              <w:sz w:val="28"/>
              <w:szCs w:val="52"/>
              <w:lang w:val="en-US" w:eastAsia="zh-CN"/>
            </w:rPr>
            <w:fldChar w:fldCharType="end"/>
          </w:r>
        </w:p>
        <w:p>
          <w:pPr>
            <w:pStyle w:val="57"/>
            <w:keepNext w:val="0"/>
            <w:keepLines w:val="0"/>
            <w:pageBreakBefore w:val="0"/>
            <w:widowControl/>
            <w:tabs>
              <w:tab w:val="right" w:leader="dot" w:pos="9184"/>
            </w:tabs>
            <w:kinsoku/>
            <w:wordWrap/>
            <w:overflowPunct/>
            <w:topLinePunct w:val="0"/>
            <w:autoSpaceDE/>
            <w:autoSpaceDN/>
            <w:bidi w:val="0"/>
            <w:adjustRightInd/>
            <w:snapToGrid/>
            <w:spacing w:line="360" w:lineRule="auto"/>
            <w:textAlignment w:val="auto"/>
            <w:rPr>
              <w:rFonts w:hint="eastAsia" w:ascii="宋体" w:hAnsi="宋体" w:eastAsia="宋体" w:cs="宋体"/>
              <w:sz w:val="28"/>
              <w:szCs w:val="28"/>
            </w:rPr>
          </w:pPr>
          <w:r>
            <w:rPr>
              <w:rFonts w:hint="eastAsia" w:ascii="宋体" w:hAnsi="宋体" w:eastAsia="宋体" w:cs="宋体"/>
              <w:color w:val="auto"/>
              <w:sz w:val="28"/>
              <w:szCs w:val="52"/>
              <w:lang w:val="en-US" w:eastAsia="zh-CN"/>
            </w:rPr>
            <w:fldChar w:fldCharType="begin"/>
          </w:r>
          <w:r>
            <w:rPr>
              <w:rFonts w:hint="eastAsia" w:ascii="宋体" w:hAnsi="宋体" w:eastAsia="宋体" w:cs="宋体"/>
              <w:sz w:val="28"/>
              <w:szCs w:val="52"/>
              <w:lang w:val="en-US" w:eastAsia="zh-CN"/>
            </w:rPr>
            <w:instrText xml:space="preserve"> HYPERLINK \l _Toc884 </w:instrText>
          </w:r>
          <w:r>
            <w:rPr>
              <w:rFonts w:hint="eastAsia" w:ascii="宋体" w:hAnsi="宋体" w:eastAsia="宋体" w:cs="宋体"/>
              <w:sz w:val="28"/>
              <w:szCs w:val="52"/>
              <w:lang w:val="en-US" w:eastAsia="zh-CN"/>
            </w:rPr>
            <w:fldChar w:fldCharType="separate"/>
          </w:r>
          <w:r>
            <w:rPr>
              <w:rFonts w:hint="eastAsia" w:ascii="宋体" w:hAnsi="宋体" w:eastAsia="宋体" w:cs="宋体"/>
              <w:sz w:val="28"/>
              <w:szCs w:val="52"/>
              <w:lang w:val="en-US" w:eastAsia="zh-CN"/>
            </w:rPr>
            <w:t>第三章  招标需求</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_Toc884 \h </w:instrText>
          </w:r>
          <w:r>
            <w:rPr>
              <w:rFonts w:hint="eastAsia" w:ascii="宋体" w:hAnsi="宋体" w:eastAsia="宋体" w:cs="宋体"/>
              <w:sz w:val="28"/>
              <w:szCs w:val="28"/>
            </w:rPr>
            <w:fldChar w:fldCharType="separate"/>
          </w:r>
          <w:r>
            <w:rPr>
              <w:rFonts w:hint="eastAsia" w:ascii="宋体" w:hAnsi="宋体" w:eastAsia="宋体" w:cs="宋体"/>
              <w:sz w:val="28"/>
              <w:szCs w:val="28"/>
            </w:rPr>
            <w:t>19</w:t>
          </w:r>
          <w:r>
            <w:rPr>
              <w:rFonts w:hint="eastAsia" w:ascii="宋体" w:hAnsi="宋体" w:eastAsia="宋体" w:cs="宋体"/>
              <w:sz w:val="28"/>
              <w:szCs w:val="28"/>
            </w:rPr>
            <w:fldChar w:fldCharType="end"/>
          </w:r>
          <w:r>
            <w:rPr>
              <w:rFonts w:hint="eastAsia" w:ascii="宋体" w:hAnsi="宋体" w:eastAsia="宋体" w:cs="宋体"/>
              <w:color w:val="auto"/>
              <w:sz w:val="28"/>
              <w:szCs w:val="52"/>
              <w:lang w:val="en-US" w:eastAsia="zh-CN"/>
            </w:rPr>
            <w:fldChar w:fldCharType="end"/>
          </w:r>
        </w:p>
        <w:p>
          <w:pPr>
            <w:pStyle w:val="57"/>
            <w:keepNext w:val="0"/>
            <w:keepLines w:val="0"/>
            <w:pageBreakBefore w:val="0"/>
            <w:widowControl/>
            <w:tabs>
              <w:tab w:val="right" w:leader="dot" w:pos="9184"/>
            </w:tabs>
            <w:kinsoku/>
            <w:wordWrap/>
            <w:overflowPunct/>
            <w:topLinePunct w:val="0"/>
            <w:autoSpaceDE/>
            <w:autoSpaceDN/>
            <w:bidi w:val="0"/>
            <w:adjustRightInd/>
            <w:snapToGrid/>
            <w:spacing w:line="360" w:lineRule="auto"/>
            <w:textAlignment w:val="auto"/>
            <w:rPr>
              <w:rFonts w:hint="eastAsia" w:ascii="宋体" w:hAnsi="宋体" w:eastAsia="宋体" w:cs="宋体"/>
              <w:sz w:val="28"/>
              <w:szCs w:val="28"/>
            </w:rPr>
          </w:pPr>
          <w:r>
            <w:rPr>
              <w:rFonts w:hint="eastAsia" w:ascii="宋体" w:hAnsi="宋体" w:eastAsia="宋体" w:cs="宋体"/>
              <w:color w:val="auto"/>
              <w:sz w:val="28"/>
              <w:szCs w:val="52"/>
              <w:lang w:val="en-US" w:eastAsia="zh-CN"/>
            </w:rPr>
            <w:fldChar w:fldCharType="begin"/>
          </w:r>
          <w:r>
            <w:rPr>
              <w:rFonts w:hint="eastAsia" w:ascii="宋体" w:hAnsi="宋体" w:eastAsia="宋体" w:cs="宋体"/>
              <w:sz w:val="28"/>
              <w:szCs w:val="52"/>
              <w:lang w:val="en-US" w:eastAsia="zh-CN"/>
            </w:rPr>
            <w:instrText xml:space="preserve"> HYPERLINK \l _Toc452 </w:instrText>
          </w:r>
          <w:r>
            <w:rPr>
              <w:rFonts w:hint="eastAsia" w:ascii="宋体" w:hAnsi="宋体" w:eastAsia="宋体" w:cs="宋体"/>
              <w:sz w:val="28"/>
              <w:szCs w:val="52"/>
              <w:lang w:val="en-US" w:eastAsia="zh-CN"/>
            </w:rPr>
            <w:fldChar w:fldCharType="separate"/>
          </w:r>
          <w:r>
            <w:rPr>
              <w:rFonts w:hint="eastAsia" w:ascii="宋体" w:hAnsi="宋体" w:eastAsia="宋体" w:cs="宋体"/>
              <w:sz w:val="28"/>
              <w:szCs w:val="52"/>
              <w:lang w:val="en-US" w:eastAsia="zh-CN"/>
            </w:rPr>
            <w:t>第四章  评标</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_Toc452 \h </w:instrText>
          </w:r>
          <w:r>
            <w:rPr>
              <w:rFonts w:hint="eastAsia" w:ascii="宋体" w:hAnsi="宋体" w:eastAsia="宋体" w:cs="宋体"/>
              <w:sz w:val="28"/>
              <w:szCs w:val="28"/>
            </w:rPr>
            <w:fldChar w:fldCharType="separate"/>
          </w:r>
          <w:r>
            <w:rPr>
              <w:rFonts w:hint="eastAsia" w:ascii="宋体" w:hAnsi="宋体" w:eastAsia="宋体" w:cs="宋体"/>
              <w:sz w:val="28"/>
              <w:szCs w:val="28"/>
            </w:rPr>
            <w:t>27</w:t>
          </w:r>
          <w:r>
            <w:rPr>
              <w:rFonts w:hint="eastAsia" w:ascii="宋体" w:hAnsi="宋体" w:eastAsia="宋体" w:cs="宋体"/>
              <w:sz w:val="28"/>
              <w:szCs w:val="28"/>
            </w:rPr>
            <w:fldChar w:fldCharType="end"/>
          </w:r>
          <w:r>
            <w:rPr>
              <w:rFonts w:hint="eastAsia" w:ascii="宋体" w:hAnsi="宋体" w:eastAsia="宋体" w:cs="宋体"/>
              <w:color w:val="auto"/>
              <w:sz w:val="28"/>
              <w:szCs w:val="52"/>
              <w:lang w:val="en-US" w:eastAsia="zh-CN"/>
            </w:rPr>
            <w:fldChar w:fldCharType="end"/>
          </w:r>
        </w:p>
        <w:p>
          <w:pPr>
            <w:pStyle w:val="57"/>
            <w:keepNext w:val="0"/>
            <w:keepLines w:val="0"/>
            <w:pageBreakBefore w:val="0"/>
            <w:widowControl/>
            <w:tabs>
              <w:tab w:val="right" w:leader="dot" w:pos="9184"/>
            </w:tabs>
            <w:kinsoku/>
            <w:wordWrap/>
            <w:overflowPunct/>
            <w:topLinePunct w:val="0"/>
            <w:autoSpaceDE/>
            <w:autoSpaceDN/>
            <w:bidi w:val="0"/>
            <w:adjustRightInd/>
            <w:snapToGrid/>
            <w:spacing w:line="360" w:lineRule="auto"/>
            <w:textAlignment w:val="auto"/>
            <w:rPr>
              <w:rFonts w:hint="eastAsia" w:ascii="宋体" w:hAnsi="宋体" w:eastAsia="宋体" w:cs="宋体"/>
              <w:sz w:val="28"/>
              <w:szCs w:val="28"/>
            </w:rPr>
          </w:pPr>
          <w:r>
            <w:rPr>
              <w:rFonts w:hint="eastAsia" w:ascii="宋体" w:hAnsi="宋体" w:eastAsia="宋体" w:cs="宋体"/>
              <w:color w:val="auto"/>
              <w:sz w:val="28"/>
              <w:szCs w:val="52"/>
              <w:lang w:val="en-US" w:eastAsia="zh-CN"/>
            </w:rPr>
            <w:fldChar w:fldCharType="begin"/>
          </w:r>
          <w:r>
            <w:rPr>
              <w:rFonts w:hint="eastAsia" w:ascii="宋体" w:hAnsi="宋体" w:eastAsia="宋体" w:cs="宋体"/>
              <w:sz w:val="28"/>
              <w:szCs w:val="52"/>
              <w:lang w:val="en-US" w:eastAsia="zh-CN"/>
            </w:rPr>
            <w:instrText xml:space="preserve"> HYPERLINK \l _Toc17941 </w:instrText>
          </w:r>
          <w:r>
            <w:rPr>
              <w:rFonts w:hint="eastAsia" w:ascii="宋体" w:hAnsi="宋体" w:eastAsia="宋体" w:cs="宋体"/>
              <w:sz w:val="28"/>
              <w:szCs w:val="52"/>
              <w:lang w:val="en-US" w:eastAsia="zh-CN"/>
            </w:rPr>
            <w:fldChar w:fldCharType="separate"/>
          </w:r>
          <w:r>
            <w:rPr>
              <w:rFonts w:hint="eastAsia" w:ascii="宋体" w:hAnsi="宋体" w:eastAsia="宋体" w:cs="宋体"/>
              <w:sz w:val="28"/>
              <w:szCs w:val="52"/>
              <w:lang w:val="en-US" w:eastAsia="zh-CN"/>
            </w:rPr>
            <w:t>第五章  拟签订的合同文本</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_Toc17941 \h </w:instrText>
          </w:r>
          <w:r>
            <w:rPr>
              <w:rFonts w:hint="eastAsia" w:ascii="宋体" w:hAnsi="宋体" w:eastAsia="宋体" w:cs="宋体"/>
              <w:sz w:val="28"/>
              <w:szCs w:val="28"/>
            </w:rPr>
            <w:fldChar w:fldCharType="separate"/>
          </w:r>
          <w:r>
            <w:rPr>
              <w:rFonts w:hint="eastAsia" w:ascii="宋体" w:hAnsi="宋体" w:eastAsia="宋体" w:cs="宋体"/>
              <w:sz w:val="28"/>
              <w:szCs w:val="28"/>
            </w:rPr>
            <w:t>33</w:t>
          </w:r>
          <w:r>
            <w:rPr>
              <w:rFonts w:hint="eastAsia" w:ascii="宋体" w:hAnsi="宋体" w:eastAsia="宋体" w:cs="宋体"/>
              <w:sz w:val="28"/>
              <w:szCs w:val="28"/>
            </w:rPr>
            <w:fldChar w:fldCharType="end"/>
          </w:r>
          <w:r>
            <w:rPr>
              <w:rFonts w:hint="eastAsia" w:ascii="宋体" w:hAnsi="宋体" w:eastAsia="宋体" w:cs="宋体"/>
              <w:color w:val="auto"/>
              <w:sz w:val="28"/>
              <w:szCs w:val="52"/>
              <w:lang w:val="en-US" w:eastAsia="zh-CN"/>
            </w:rPr>
            <w:fldChar w:fldCharType="end"/>
          </w:r>
        </w:p>
        <w:p>
          <w:pPr>
            <w:pStyle w:val="57"/>
            <w:keepNext w:val="0"/>
            <w:keepLines w:val="0"/>
            <w:pageBreakBefore w:val="0"/>
            <w:widowControl/>
            <w:tabs>
              <w:tab w:val="right" w:leader="dot" w:pos="9184"/>
            </w:tabs>
            <w:kinsoku/>
            <w:wordWrap/>
            <w:overflowPunct/>
            <w:topLinePunct w:val="0"/>
            <w:autoSpaceDE/>
            <w:autoSpaceDN/>
            <w:bidi w:val="0"/>
            <w:adjustRightInd/>
            <w:snapToGrid/>
            <w:spacing w:line="360" w:lineRule="auto"/>
            <w:textAlignment w:val="auto"/>
          </w:pPr>
          <w:r>
            <w:rPr>
              <w:rFonts w:hint="eastAsia" w:ascii="宋体" w:hAnsi="宋体" w:eastAsia="宋体" w:cs="宋体"/>
              <w:color w:val="auto"/>
              <w:sz w:val="28"/>
              <w:szCs w:val="52"/>
              <w:lang w:val="en-US" w:eastAsia="zh-CN"/>
            </w:rPr>
            <w:fldChar w:fldCharType="begin"/>
          </w:r>
          <w:r>
            <w:rPr>
              <w:rFonts w:hint="eastAsia" w:ascii="宋体" w:hAnsi="宋体" w:eastAsia="宋体" w:cs="宋体"/>
              <w:sz w:val="28"/>
              <w:szCs w:val="52"/>
              <w:lang w:val="en-US" w:eastAsia="zh-CN"/>
            </w:rPr>
            <w:instrText xml:space="preserve"> HYPERLINK \l _Toc6969 </w:instrText>
          </w:r>
          <w:r>
            <w:rPr>
              <w:rFonts w:hint="eastAsia" w:ascii="宋体" w:hAnsi="宋体" w:eastAsia="宋体" w:cs="宋体"/>
              <w:sz w:val="28"/>
              <w:szCs w:val="52"/>
              <w:lang w:val="en-US" w:eastAsia="zh-CN"/>
            </w:rPr>
            <w:fldChar w:fldCharType="separate"/>
          </w:r>
          <w:r>
            <w:rPr>
              <w:rFonts w:hint="eastAsia" w:ascii="宋体" w:hAnsi="宋体" w:eastAsia="宋体" w:cs="宋体"/>
              <w:sz w:val="28"/>
              <w:szCs w:val="56"/>
              <w:highlight w:val="none"/>
            </w:rPr>
            <w:t>第六章  投标文件格式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_Toc6969 \h </w:instrText>
          </w:r>
          <w:r>
            <w:rPr>
              <w:rFonts w:hint="eastAsia" w:ascii="宋体" w:hAnsi="宋体" w:eastAsia="宋体" w:cs="宋体"/>
              <w:sz w:val="28"/>
              <w:szCs w:val="28"/>
            </w:rPr>
            <w:fldChar w:fldCharType="separate"/>
          </w:r>
          <w:r>
            <w:rPr>
              <w:rFonts w:hint="eastAsia" w:ascii="宋体" w:hAnsi="宋体" w:eastAsia="宋体" w:cs="宋体"/>
              <w:sz w:val="28"/>
              <w:szCs w:val="28"/>
            </w:rPr>
            <w:t>46</w:t>
          </w:r>
          <w:r>
            <w:rPr>
              <w:rFonts w:hint="eastAsia" w:ascii="宋体" w:hAnsi="宋体" w:eastAsia="宋体" w:cs="宋体"/>
              <w:sz w:val="28"/>
              <w:szCs w:val="28"/>
            </w:rPr>
            <w:fldChar w:fldCharType="end"/>
          </w:r>
          <w:r>
            <w:rPr>
              <w:rFonts w:hint="eastAsia" w:ascii="宋体" w:hAnsi="宋体" w:eastAsia="宋体" w:cs="宋体"/>
              <w:color w:val="auto"/>
              <w:sz w:val="28"/>
              <w:szCs w:val="52"/>
              <w:lang w:val="en-US" w:eastAsia="zh-CN"/>
            </w:rPr>
            <w:fldChar w:fldCharType="end"/>
          </w:r>
        </w:p>
        <w:p>
          <w:pPr>
            <w:pStyle w:val="3"/>
            <w:numPr>
              <w:ilvl w:val="0"/>
              <w:numId w:val="0"/>
            </w:numPr>
            <w:jc w:val="both"/>
            <w:rPr>
              <w:rFonts w:hint="eastAsia" w:ascii="Times New Roman" w:hAnsi="Times New Roman" w:eastAsia="宋体" w:cs="Times New Roman"/>
              <w:b/>
              <w:bCs/>
              <w:color w:val="auto"/>
              <w:kern w:val="44"/>
              <w:sz w:val="44"/>
              <w:szCs w:val="36"/>
              <w:lang w:val="en-US" w:eastAsia="zh-CN" w:bidi="ar-SA"/>
            </w:rPr>
          </w:pPr>
          <w:r>
            <w:rPr>
              <w:rFonts w:hint="eastAsia"/>
              <w:color w:val="auto"/>
              <w:szCs w:val="36"/>
              <w:lang w:val="en-US" w:eastAsia="zh-CN"/>
            </w:rPr>
            <w:fldChar w:fldCharType="end"/>
          </w:r>
        </w:p>
      </w:sdtContent>
    </w:sdt>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tabs>
          <w:tab w:val="center" w:pos="4592"/>
        </w:tabs>
        <w:bidi w:val="0"/>
        <w:jc w:val="left"/>
        <w:rPr>
          <w:rFonts w:hint="eastAsia"/>
          <w:lang w:val="en-US" w:eastAsia="zh-CN"/>
        </w:rPr>
        <w:sectPr>
          <w:footerReference r:id="rId4" w:type="default"/>
          <w:pgSz w:w="11906" w:h="16838"/>
          <w:pgMar w:top="1417" w:right="1361" w:bottom="1417" w:left="1361" w:header="907" w:footer="992" w:gutter="0"/>
          <w:pgBorders>
            <w:top w:val="none" w:sz="0" w:space="0"/>
            <w:left w:val="none" w:sz="0" w:space="0"/>
            <w:bottom w:val="none" w:sz="0" w:space="0"/>
            <w:right w:val="none" w:sz="0" w:space="0"/>
          </w:pgBorders>
          <w:pgNumType w:fmt="decimal" w:start="1"/>
          <w:cols w:space="0" w:num="1"/>
          <w:docGrid w:type="lines" w:linePitch="312" w:charSpace="0"/>
        </w:sectPr>
      </w:pPr>
      <w:r>
        <w:rPr>
          <w:rFonts w:hint="eastAsia"/>
          <w:lang w:val="en-US" w:eastAsia="zh-CN"/>
        </w:rPr>
        <w:tab/>
      </w:r>
    </w:p>
    <w:p>
      <w:pPr>
        <w:pStyle w:val="3"/>
        <w:numPr>
          <w:ilvl w:val="0"/>
          <w:numId w:val="4"/>
        </w:numPr>
        <w:ind w:left="0" w:leftChars="0" w:firstLine="402" w:firstLineChars="0"/>
        <w:rPr>
          <w:rFonts w:hint="eastAsia"/>
          <w:color w:val="auto"/>
          <w:sz w:val="36"/>
          <w:szCs w:val="36"/>
          <w:lang w:val="en-US" w:eastAsia="zh-CN"/>
        </w:rPr>
      </w:pPr>
      <w:bookmarkStart w:id="1" w:name="_Toc23858"/>
      <w:r>
        <w:rPr>
          <w:rFonts w:hint="eastAsia"/>
          <w:color w:val="auto"/>
          <w:sz w:val="36"/>
          <w:szCs w:val="36"/>
          <w:lang w:val="en-US" w:eastAsia="zh-CN"/>
        </w:rPr>
        <w:t>招标公告</w:t>
      </w:r>
      <w:bookmarkEnd w:id="1"/>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napToGrid/>
        <w:spacing w:line="420" w:lineRule="exact"/>
        <w:ind w:firstLine="482" w:firstLineChars="200"/>
        <w:textAlignment w:val="auto"/>
        <w:rPr>
          <w:rFonts w:hint="eastAsia" w:ascii="宋体" w:hAnsi="宋体" w:cs="宋体"/>
          <w:b/>
          <w:bCs/>
          <w:sz w:val="24"/>
          <w:highlight w:val="none"/>
        </w:rPr>
      </w:pPr>
      <w:bookmarkStart w:id="2" w:name="_Toc28359087"/>
      <w:bookmarkStart w:id="3" w:name="_Toc28359010"/>
      <w:r>
        <w:rPr>
          <w:rFonts w:hint="eastAsia" w:ascii="宋体" w:hAnsi="宋体" w:cs="宋体"/>
          <w:b/>
          <w:bCs/>
          <w:sz w:val="24"/>
          <w:highlight w:val="none"/>
        </w:rPr>
        <w:t>项目概况</w:t>
      </w:r>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napToGrid/>
        <w:spacing w:line="420" w:lineRule="exact"/>
        <w:ind w:firstLine="440" w:firstLineChars="200"/>
        <w:textAlignment w:val="auto"/>
        <w:rPr>
          <w:rFonts w:hint="eastAsia" w:ascii="宋体" w:hAnsi="宋体" w:cs="宋体"/>
          <w:color w:val="auto"/>
          <w:sz w:val="22"/>
          <w:szCs w:val="22"/>
          <w:highlight w:val="none"/>
        </w:rPr>
      </w:pPr>
      <w:r>
        <w:rPr>
          <w:rFonts w:hint="eastAsia" w:ascii="宋体" w:hAnsi="宋体" w:cs="宋体"/>
          <w:color w:val="auto"/>
          <w:sz w:val="22"/>
          <w:szCs w:val="22"/>
          <w:highlight w:val="none"/>
          <w:u w:val="single"/>
          <w:lang w:eastAsia="zh-CN"/>
        </w:rPr>
        <w:t>椒江区前所街道圆山社区党群服务中心设计施工一体化项目</w:t>
      </w:r>
      <w:r>
        <w:rPr>
          <w:rFonts w:hint="eastAsia" w:ascii="宋体" w:hAnsi="宋体" w:cs="宋体"/>
          <w:color w:val="auto"/>
          <w:sz w:val="22"/>
          <w:szCs w:val="22"/>
          <w:highlight w:val="none"/>
        </w:rPr>
        <w:t>的潜在供应商应在</w:t>
      </w:r>
      <w:r>
        <w:rPr>
          <w:rFonts w:hint="eastAsia" w:ascii="宋体" w:hAnsi="宋体" w:cs="宋体"/>
          <w:color w:val="auto"/>
          <w:sz w:val="22"/>
          <w:szCs w:val="22"/>
          <w:highlight w:val="none"/>
          <w:u w:val="single"/>
        </w:rPr>
        <w:t>政府采购云平台（www.zcygov.cn）</w:t>
      </w:r>
      <w:r>
        <w:rPr>
          <w:rFonts w:hint="eastAsia" w:ascii="宋体" w:hAnsi="宋体" w:cs="宋体"/>
          <w:color w:val="auto"/>
          <w:sz w:val="22"/>
          <w:szCs w:val="22"/>
          <w:highlight w:val="none"/>
        </w:rPr>
        <w:t>获取（下载）招标文件，并于</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u w:val="single"/>
          <w:lang w:eastAsia="zh-CN"/>
        </w:rPr>
        <w:t>2023年7月11日9时00分</w:t>
      </w:r>
      <w:r>
        <w:rPr>
          <w:rFonts w:hint="eastAsia" w:ascii="宋体" w:hAnsi="宋体" w:cs="宋体"/>
          <w:bCs/>
          <w:color w:val="auto"/>
          <w:sz w:val="22"/>
          <w:szCs w:val="22"/>
          <w:highlight w:val="none"/>
        </w:rPr>
        <w:t>（北京时间）前提交（上传）投标文件</w:t>
      </w:r>
      <w:r>
        <w:rPr>
          <w:rFonts w:hint="eastAsia" w:ascii="宋体" w:hAnsi="宋体" w:cs="宋体"/>
          <w:color w:val="auto"/>
          <w:sz w:val="22"/>
          <w:szCs w:val="22"/>
          <w:highlight w:val="none"/>
        </w:rPr>
        <w:t>。</w:t>
      </w:r>
    </w:p>
    <w:p>
      <w:pPr>
        <w:pStyle w:val="24"/>
        <w:keepNext w:val="0"/>
        <w:keepLines w:val="0"/>
        <w:pageBreakBefore w:val="0"/>
        <w:kinsoku/>
        <w:wordWrap/>
        <w:overflowPunct/>
        <w:topLinePunct w:val="0"/>
        <w:bidi w:val="0"/>
        <w:snapToGrid/>
        <w:spacing w:beforeAutospacing="0" w:afterAutospacing="0" w:line="420" w:lineRule="exact"/>
        <w:jc w:val="both"/>
        <w:textAlignment w:val="auto"/>
        <w:outlineLvl w:val="1"/>
        <w:rPr>
          <w:rFonts w:hint="eastAsia" w:ascii="宋体" w:hAnsi="宋体" w:cs="宋体"/>
          <w:b/>
          <w:color w:val="auto"/>
          <w:szCs w:val="24"/>
          <w:highlight w:val="none"/>
        </w:rPr>
      </w:pPr>
      <w:bookmarkStart w:id="4" w:name="_Toc17109"/>
      <w:r>
        <w:rPr>
          <w:rStyle w:val="30"/>
          <w:rFonts w:hint="eastAsia" w:ascii="宋体" w:hAnsi="宋体" w:cs="宋体"/>
          <w:color w:val="auto"/>
          <w:szCs w:val="24"/>
          <w:highlight w:val="none"/>
        </w:rPr>
        <w:t>一、项目基本情况</w:t>
      </w:r>
      <w:bookmarkEnd w:id="4"/>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rPr>
        <w:t>1.项目编号:</w:t>
      </w:r>
      <w:r>
        <w:rPr>
          <w:rFonts w:hint="eastAsia" w:ascii="宋体" w:hAnsi="宋体" w:cs="宋体"/>
          <w:bCs/>
          <w:color w:val="auto"/>
          <w:sz w:val="22"/>
          <w:szCs w:val="22"/>
          <w:highlight w:val="none"/>
          <w:u w:val="single"/>
          <w:lang w:eastAsia="zh-CN"/>
        </w:rPr>
        <w:t>YHZB-2023-0601</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u w:val="single"/>
          <w:lang w:eastAsia="zh-CN"/>
        </w:rPr>
      </w:pPr>
      <w:r>
        <w:rPr>
          <w:rFonts w:hint="eastAsia" w:ascii="宋体" w:hAnsi="宋体" w:cs="宋体"/>
          <w:bCs/>
          <w:color w:val="auto"/>
          <w:sz w:val="22"/>
          <w:szCs w:val="22"/>
          <w:highlight w:val="none"/>
        </w:rPr>
        <w:t>2.项目名称：</w:t>
      </w:r>
      <w:r>
        <w:rPr>
          <w:rFonts w:hint="eastAsia" w:ascii="宋体" w:hAnsi="宋体" w:cs="宋体"/>
          <w:bCs/>
          <w:color w:val="auto"/>
          <w:sz w:val="22"/>
          <w:szCs w:val="22"/>
          <w:highlight w:val="none"/>
          <w:u w:val="single"/>
          <w:lang w:eastAsia="zh-CN"/>
        </w:rPr>
        <w:t>椒江区前所街道圆山社区党群服务中心设计施工一体化项目</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3.预算总金额：</w:t>
      </w:r>
      <w:r>
        <w:rPr>
          <w:rFonts w:hint="eastAsia" w:ascii="宋体" w:hAnsi="宋体" w:cs="宋体"/>
          <w:bCs/>
          <w:color w:val="auto"/>
          <w:sz w:val="22"/>
          <w:szCs w:val="22"/>
          <w:highlight w:val="none"/>
          <w:u w:val="single"/>
          <w:lang w:val="en-US" w:eastAsia="zh-CN"/>
        </w:rPr>
        <w:t>1500000元</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标项一：</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u w:val="single"/>
          <w:lang w:eastAsia="zh-CN"/>
        </w:rPr>
      </w:pPr>
      <w:r>
        <w:rPr>
          <w:rFonts w:hint="eastAsia" w:ascii="宋体" w:hAnsi="宋体" w:cs="宋体"/>
          <w:bCs/>
          <w:color w:val="auto"/>
          <w:sz w:val="22"/>
          <w:szCs w:val="22"/>
          <w:highlight w:val="none"/>
        </w:rPr>
        <w:t>标项名称：</w:t>
      </w:r>
      <w:r>
        <w:rPr>
          <w:rFonts w:hint="eastAsia" w:ascii="宋体" w:hAnsi="宋体" w:cs="宋体"/>
          <w:bCs/>
          <w:color w:val="auto"/>
          <w:sz w:val="22"/>
          <w:szCs w:val="22"/>
          <w:highlight w:val="none"/>
          <w:u w:val="single"/>
          <w:lang w:eastAsia="zh-CN"/>
        </w:rPr>
        <w:t>椒江区前所街道圆山社区党群服务中心设计施工一体化项目</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u w:val="single"/>
        </w:rPr>
      </w:pPr>
      <w:r>
        <w:rPr>
          <w:rFonts w:hint="eastAsia" w:ascii="宋体" w:hAnsi="宋体" w:cs="宋体"/>
          <w:bCs/>
          <w:color w:val="auto"/>
          <w:sz w:val="22"/>
          <w:szCs w:val="22"/>
          <w:highlight w:val="none"/>
        </w:rPr>
        <w:t>数量：</w:t>
      </w:r>
      <w:r>
        <w:rPr>
          <w:rFonts w:hint="eastAsia" w:ascii="宋体" w:hAnsi="宋体" w:cs="宋体"/>
          <w:bCs/>
          <w:color w:val="auto"/>
          <w:sz w:val="22"/>
          <w:szCs w:val="22"/>
          <w:highlight w:val="none"/>
          <w:u w:val="single"/>
        </w:rPr>
        <w:t>1</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u w:val="single"/>
        </w:rPr>
      </w:pPr>
      <w:r>
        <w:rPr>
          <w:rFonts w:hint="eastAsia" w:ascii="宋体" w:hAnsi="宋体" w:cs="宋体"/>
          <w:bCs/>
          <w:color w:val="auto"/>
          <w:sz w:val="22"/>
          <w:szCs w:val="22"/>
          <w:highlight w:val="none"/>
        </w:rPr>
        <w:t>单位：</w:t>
      </w:r>
      <w:r>
        <w:rPr>
          <w:rFonts w:hint="eastAsia" w:ascii="宋体" w:hAnsi="宋体" w:cs="宋体"/>
          <w:bCs/>
          <w:color w:val="auto"/>
          <w:sz w:val="22"/>
          <w:szCs w:val="22"/>
          <w:highlight w:val="none"/>
          <w:u w:val="single"/>
        </w:rPr>
        <w:t>项</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u w:val="single"/>
        </w:rPr>
      </w:pPr>
      <w:r>
        <w:rPr>
          <w:rFonts w:hint="eastAsia" w:ascii="宋体" w:hAnsi="宋体" w:cs="宋体"/>
          <w:bCs/>
          <w:color w:val="auto"/>
          <w:sz w:val="22"/>
          <w:szCs w:val="22"/>
          <w:highlight w:val="none"/>
        </w:rPr>
        <w:t>预算金额（元）：</w:t>
      </w:r>
      <w:r>
        <w:rPr>
          <w:rFonts w:hint="eastAsia" w:ascii="宋体" w:hAnsi="宋体" w:cs="宋体"/>
          <w:bCs/>
          <w:color w:val="auto"/>
          <w:sz w:val="22"/>
          <w:szCs w:val="22"/>
          <w:highlight w:val="none"/>
          <w:u w:val="single"/>
          <w:lang w:val="en-US" w:eastAsia="zh-CN"/>
        </w:rPr>
        <w:t xml:space="preserve"> 1500000元</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u w:val="single"/>
        </w:rPr>
      </w:pPr>
      <w:r>
        <w:rPr>
          <w:rFonts w:hint="eastAsia" w:ascii="宋体" w:hAnsi="宋体" w:cs="宋体"/>
          <w:bCs/>
          <w:color w:val="auto"/>
          <w:sz w:val="22"/>
          <w:szCs w:val="22"/>
          <w:highlight w:val="none"/>
        </w:rPr>
        <w:t>最高限价（元）：</w:t>
      </w:r>
      <w:r>
        <w:rPr>
          <w:rFonts w:hint="eastAsia" w:ascii="宋体" w:hAnsi="宋体" w:cs="宋体"/>
          <w:bCs/>
          <w:color w:val="auto"/>
          <w:sz w:val="22"/>
          <w:szCs w:val="22"/>
          <w:highlight w:val="none"/>
          <w:u w:val="single"/>
          <w:lang w:val="en-US" w:eastAsia="zh-CN"/>
        </w:rPr>
        <w:t xml:space="preserve"> 1500000元</w:t>
      </w:r>
      <w:r>
        <w:rPr>
          <w:rFonts w:hint="eastAsia" w:ascii="宋体" w:hAnsi="宋体" w:cs="宋体"/>
          <w:bCs/>
          <w:color w:val="auto"/>
          <w:sz w:val="22"/>
          <w:szCs w:val="22"/>
          <w:highlight w:val="none"/>
          <w:u w:val="single"/>
        </w:rPr>
        <w:t>；其中，工程设计费最高限价为人民币50000元；建筑安装工程费最高限价为人民币</w:t>
      </w:r>
      <w:r>
        <w:rPr>
          <w:rFonts w:hint="eastAsia" w:ascii="宋体" w:hAnsi="宋体" w:cs="宋体"/>
          <w:bCs/>
          <w:color w:val="auto"/>
          <w:sz w:val="22"/>
          <w:szCs w:val="22"/>
          <w:highlight w:val="none"/>
          <w:u w:val="single"/>
          <w:lang w:val="en-US" w:eastAsia="zh-CN"/>
        </w:rPr>
        <w:t>1450000</w:t>
      </w:r>
      <w:r>
        <w:rPr>
          <w:rFonts w:hint="eastAsia" w:ascii="宋体" w:hAnsi="宋体" w:cs="宋体"/>
          <w:bCs/>
          <w:color w:val="auto"/>
          <w:sz w:val="22"/>
          <w:szCs w:val="22"/>
          <w:highlight w:val="none"/>
          <w:u w:val="single"/>
        </w:rPr>
        <w:t>元。超过各项最高限价作无效标处理。</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u w:val="single"/>
          <w:lang w:eastAsia="zh-CN"/>
        </w:rPr>
      </w:pPr>
      <w:r>
        <w:rPr>
          <w:rFonts w:hint="eastAsia" w:ascii="宋体" w:hAnsi="宋体" w:cs="宋体"/>
          <w:bCs/>
          <w:color w:val="auto"/>
          <w:sz w:val="22"/>
          <w:szCs w:val="22"/>
          <w:highlight w:val="none"/>
        </w:rPr>
        <w:t>允许联合体投标：</w:t>
      </w:r>
      <w:r>
        <w:rPr>
          <w:rFonts w:hint="eastAsia" w:ascii="宋体" w:hAnsi="宋体" w:cs="宋体"/>
          <w:bCs/>
          <w:color w:val="auto"/>
          <w:sz w:val="22"/>
          <w:szCs w:val="22"/>
          <w:highlight w:val="none"/>
          <w:u w:val="single"/>
          <w:lang w:eastAsia="zh-CN"/>
        </w:rPr>
        <w:t>是</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u w:val="single"/>
        </w:rPr>
      </w:pPr>
      <w:r>
        <w:rPr>
          <w:rFonts w:hint="eastAsia" w:ascii="宋体" w:hAnsi="宋体" w:cs="宋体"/>
          <w:bCs/>
          <w:color w:val="auto"/>
          <w:sz w:val="22"/>
          <w:szCs w:val="22"/>
          <w:highlight w:val="none"/>
        </w:rPr>
        <w:t>建设工期：</w:t>
      </w:r>
      <w:r>
        <w:rPr>
          <w:rFonts w:hint="eastAsia" w:ascii="宋体" w:hAnsi="宋体" w:cs="宋体"/>
          <w:bCs/>
          <w:color w:val="auto"/>
          <w:sz w:val="22"/>
          <w:szCs w:val="22"/>
          <w:highlight w:val="none"/>
          <w:u w:val="single"/>
          <w:lang w:eastAsia="zh-CN"/>
        </w:rPr>
        <w:t>80日历天。</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u w:val="none"/>
          <w:lang w:eastAsia="zh-CN"/>
        </w:rPr>
        <w:t>招标内容：</w:t>
      </w:r>
      <w:r>
        <w:rPr>
          <w:rFonts w:hint="eastAsia" w:ascii="宋体" w:hAnsi="宋体" w:cs="宋体"/>
          <w:bCs/>
          <w:color w:val="auto"/>
          <w:sz w:val="22"/>
          <w:szCs w:val="22"/>
          <w:highlight w:val="none"/>
          <w:u w:val="single"/>
          <w:lang w:eastAsia="zh-CN"/>
        </w:rPr>
        <w:t>椒江区前所街道圆山社区党群服务中心设计施工一体化项目，位于椒江区前所街道前章路2号（蓝湾华庭一号楼三楼社区用房），室内建筑面积610㎡。包括方案设计及后续方案优化、施工图设计、施工图预算编制、展陈和施工配合服务（含竣工图文件），三楼服务中心室内装修、水电改造、消防、办公家具、办公设备、户外电梯采购、安装，室内外文化宣传设计制作以及工程缺陷责任期内的缺陷修复、保修服务等。</w:t>
      </w:r>
      <w:r>
        <w:rPr>
          <w:rFonts w:hint="eastAsia" w:ascii="宋体" w:hAnsi="宋体" w:cs="宋体"/>
          <w:bCs/>
          <w:color w:val="auto"/>
          <w:sz w:val="22"/>
          <w:szCs w:val="22"/>
          <w:highlight w:val="none"/>
          <w:u w:val="single"/>
        </w:rPr>
        <w:t>详见</w:t>
      </w:r>
      <w:r>
        <w:rPr>
          <w:rFonts w:hint="eastAsia" w:ascii="宋体" w:hAnsi="宋体" w:cs="宋体"/>
          <w:bCs/>
          <w:color w:val="auto"/>
          <w:sz w:val="22"/>
          <w:szCs w:val="22"/>
          <w:highlight w:val="none"/>
          <w:u w:val="single"/>
          <w:lang w:eastAsia="zh-CN"/>
        </w:rPr>
        <w:t>招标</w:t>
      </w:r>
      <w:r>
        <w:rPr>
          <w:rFonts w:hint="eastAsia" w:ascii="宋体" w:hAnsi="宋体" w:eastAsia="宋体" w:cs="宋体"/>
          <w:bCs/>
          <w:color w:val="auto"/>
          <w:sz w:val="22"/>
          <w:szCs w:val="22"/>
          <w:highlight w:val="none"/>
          <w:u w:val="single"/>
        </w:rPr>
        <w:t>需求。</w:t>
      </w:r>
    </w:p>
    <w:p>
      <w:pPr>
        <w:pStyle w:val="24"/>
        <w:keepNext w:val="0"/>
        <w:keepLines w:val="0"/>
        <w:pageBreakBefore w:val="0"/>
        <w:kinsoku/>
        <w:wordWrap/>
        <w:overflowPunct/>
        <w:topLinePunct w:val="0"/>
        <w:bidi w:val="0"/>
        <w:snapToGrid/>
        <w:spacing w:beforeAutospacing="0" w:afterAutospacing="0" w:line="420" w:lineRule="exact"/>
        <w:jc w:val="both"/>
        <w:textAlignment w:val="auto"/>
        <w:outlineLvl w:val="1"/>
        <w:rPr>
          <w:rStyle w:val="30"/>
          <w:rFonts w:hint="eastAsia" w:ascii="宋体" w:hAnsi="宋体" w:cs="宋体"/>
          <w:color w:val="auto"/>
          <w:szCs w:val="24"/>
          <w:highlight w:val="none"/>
        </w:rPr>
      </w:pPr>
      <w:bookmarkStart w:id="5" w:name="_Toc35393791"/>
      <w:bookmarkStart w:id="6" w:name="_Toc35393622"/>
      <w:bookmarkStart w:id="7" w:name="_Toc28359080"/>
      <w:bookmarkStart w:id="8" w:name="_Toc10150"/>
      <w:bookmarkStart w:id="9" w:name="_Toc28359003"/>
      <w:r>
        <w:rPr>
          <w:rStyle w:val="30"/>
          <w:rFonts w:hint="eastAsia" w:ascii="宋体" w:hAnsi="宋体" w:cs="宋体"/>
          <w:color w:val="auto"/>
          <w:szCs w:val="24"/>
          <w:highlight w:val="none"/>
        </w:rPr>
        <w:t>二、申请人的资格要求</w:t>
      </w:r>
      <w:bookmarkEnd w:id="5"/>
      <w:bookmarkEnd w:id="6"/>
      <w:bookmarkEnd w:id="7"/>
      <w:bookmarkEnd w:id="8"/>
      <w:bookmarkEnd w:id="9"/>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2.落实政府采购政策需满足的资格要求：本项目为专门面向中小企业采购的项目，供应商应为中小微企业（监狱企业及残疾人福利性单位视同小型、微型企业）；</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eastAsia" w:ascii="宋体" w:hAnsi="宋体" w:eastAsia="宋体" w:cs="宋体"/>
          <w:bCs/>
          <w:color w:val="auto"/>
          <w:kern w:val="2"/>
          <w:sz w:val="22"/>
          <w:szCs w:val="22"/>
          <w:highlight w:val="none"/>
          <w:lang w:val="en-US" w:eastAsia="zh-CN" w:bidi="ar-SA"/>
        </w:rPr>
        <w:t>3.</w:t>
      </w:r>
      <w:r>
        <w:rPr>
          <w:rFonts w:hint="default" w:ascii="宋体" w:hAnsi="宋体" w:eastAsia="宋体" w:cs="宋体"/>
          <w:bCs/>
          <w:color w:val="auto"/>
          <w:kern w:val="2"/>
          <w:sz w:val="22"/>
          <w:szCs w:val="22"/>
          <w:highlight w:val="none"/>
          <w:lang w:val="en-US" w:eastAsia="zh-CN" w:bidi="ar-SA"/>
        </w:rPr>
        <w:t>投标人资质必须同时满足以下要求：</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default" w:ascii="宋体" w:hAnsi="宋体" w:eastAsia="宋体" w:cs="宋体"/>
          <w:bCs/>
          <w:color w:val="auto"/>
          <w:kern w:val="2"/>
          <w:sz w:val="22"/>
          <w:szCs w:val="22"/>
          <w:highlight w:val="none"/>
          <w:lang w:val="en-US" w:eastAsia="zh-CN" w:bidi="ar-SA"/>
        </w:rPr>
        <w:t>（1）施工资质：建筑装修装饰工程专业承包二级及以上资质。</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default" w:ascii="宋体" w:hAnsi="宋体" w:eastAsia="宋体" w:cs="宋体"/>
          <w:bCs/>
          <w:color w:val="auto"/>
          <w:kern w:val="2"/>
          <w:sz w:val="22"/>
          <w:szCs w:val="22"/>
          <w:highlight w:val="none"/>
          <w:lang w:val="en-US" w:eastAsia="zh-CN" w:bidi="ar-SA"/>
        </w:rPr>
        <w:t xml:space="preserve">（2）设计资质（具备以下设计资质条件之一）： </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default" w:ascii="宋体" w:hAnsi="宋体" w:eastAsia="宋体" w:cs="宋体"/>
          <w:bCs/>
          <w:color w:val="auto"/>
          <w:kern w:val="2"/>
          <w:sz w:val="22"/>
          <w:szCs w:val="22"/>
          <w:highlight w:val="none"/>
          <w:lang w:val="en-US" w:eastAsia="zh-CN" w:bidi="ar-SA"/>
        </w:rPr>
        <w:t>①工程设计综合甲级资质；</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default" w:ascii="宋体" w:hAnsi="宋体" w:eastAsia="宋体" w:cs="宋体"/>
          <w:bCs/>
          <w:color w:val="auto"/>
          <w:kern w:val="2"/>
          <w:sz w:val="22"/>
          <w:szCs w:val="22"/>
          <w:highlight w:val="none"/>
          <w:lang w:val="en-US" w:eastAsia="zh-CN" w:bidi="ar-SA"/>
        </w:rPr>
        <w:t>②工程设计建筑行业乙级及以上资质；</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default" w:ascii="宋体" w:hAnsi="宋体" w:eastAsia="宋体" w:cs="宋体"/>
          <w:bCs/>
          <w:color w:val="auto"/>
          <w:kern w:val="2"/>
          <w:sz w:val="22"/>
          <w:szCs w:val="22"/>
          <w:highlight w:val="none"/>
          <w:lang w:val="en-US" w:eastAsia="zh-CN" w:bidi="ar-SA"/>
        </w:rPr>
        <w:t>③工程设计建筑行业（建筑工程专业）乙级及以上资质；</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default" w:ascii="宋体" w:hAnsi="宋体" w:eastAsia="宋体" w:cs="宋体"/>
          <w:bCs/>
          <w:color w:val="auto"/>
          <w:kern w:val="2"/>
          <w:sz w:val="22"/>
          <w:szCs w:val="22"/>
          <w:highlight w:val="none"/>
          <w:lang w:val="en-US" w:eastAsia="zh-CN" w:bidi="ar-SA"/>
        </w:rPr>
        <w:t>④工程设计建筑装饰工程专项</w:t>
      </w:r>
      <w:r>
        <w:rPr>
          <w:rFonts w:hint="eastAsia" w:ascii="宋体" w:hAnsi="宋体" w:eastAsia="宋体" w:cs="宋体"/>
          <w:bCs/>
          <w:color w:val="auto"/>
          <w:kern w:val="2"/>
          <w:sz w:val="22"/>
          <w:szCs w:val="22"/>
          <w:highlight w:val="none"/>
          <w:lang w:val="en-US" w:eastAsia="zh-CN" w:bidi="ar-SA"/>
        </w:rPr>
        <w:t>乙级及以上资质</w:t>
      </w:r>
      <w:r>
        <w:rPr>
          <w:rFonts w:hint="default" w:ascii="宋体" w:hAnsi="宋体" w:eastAsia="宋体" w:cs="宋体"/>
          <w:bCs/>
          <w:color w:val="auto"/>
          <w:kern w:val="2"/>
          <w:sz w:val="22"/>
          <w:szCs w:val="22"/>
          <w:highlight w:val="none"/>
          <w:lang w:val="en-US" w:eastAsia="zh-CN" w:bidi="ar-SA"/>
        </w:rPr>
        <w:t>。</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default" w:ascii="宋体" w:hAnsi="宋体" w:eastAsia="宋体" w:cs="宋体"/>
          <w:bCs/>
          <w:color w:val="auto"/>
          <w:kern w:val="2"/>
          <w:sz w:val="22"/>
          <w:szCs w:val="22"/>
          <w:highlight w:val="none"/>
          <w:lang w:val="en-US" w:eastAsia="zh-CN" w:bidi="ar-SA"/>
        </w:rPr>
        <w:t>（3）具有有效的安全生产许可证</w:t>
      </w:r>
      <w:r>
        <w:rPr>
          <w:rFonts w:hint="eastAsia" w:hAnsi="宋体" w:cs="宋体"/>
          <w:bCs/>
          <w:color w:val="auto"/>
          <w:kern w:val="2"/>
          <w:sz w:val="22"/>
          <w:szCs w:val="22"/>
          <w:highlight w:val="none"/>
          <w:lang w:val="en-US" w:eastAsia="zh-CN" w:bidi="ar-SA"/>
        </w:rPr>
        <w:t>，《省外企业进浙承接业务备案证明》或“浙江省建筑市场监管公共服务系统”对外发布的通过审核形成的备案信息网页截图（仅指浙江省省外企业）。</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eastAsia" w:hAnsi="宋体" w:cs="宋体"/>
          <w:bCs/>
          <w:color w:val="auto"/>
          <w:sz w:val="22"/>
          <w:szCs w:val="22"/>
          <w:highlight w:val="none"/>
          <w:lang w:val="en-US" w:eastAsia="zh-CN"/>
        </w:rPr>
        <w:t>4</w:t>
      </w:r>
      <w:r>
        <w:rPr>
          <w:rFonts w:hint="eastAsia" w:ascii="宋体" w:hAnsi="宋体" w:cs="宋体"/>
          <w:bCs/>
          <w:color w:val="auto"/>
          <w:sz w:val="22"/>
          <w:szCs w:val="22"/>
          <w:highlight w:val="none"/>
        </w:rPr>
        <w:t>.</w:t>
      </w:r>
      <w:r>
        <w:rPr>
          <w:rFonts w:hint="default" w:ascii="宋体" w:hAnsi="宋体" w:eastAsia="宋体" w:cs="宋体"/>
          <w:bCs/>
          <w:color w:val="auto"/>
          <w:kern w:val="2"/>
          <w:sz w:val="22"/>
          <w:szCs w:val="22"/>
          <w:highlight w:val="none"/>
          <w:lang w:val="en-US" w:eastAsia="zh-CN" w:bidi="ar-SA"/>
        </w:rPr>
        <w:t>项目负责人资格要求</w:t>
      </w:r>
      <w:bookmarkStart w:id="130" w:name="_GoBack"/>
      <w:bookmarkEnd w:id="130"/>
      <w:r>
        <w:rPr>
          <w:rFonts w:hint="default" w:ascii="宋体" w:hAnsi="宋体" w:eastAsia="宋体" w:cs="宋体"/>
          <w:bCs/>
          <w:color w:val="auto"/>
          <w:kern w:val="2"/>
          <w:sz w:val="22"/>
          <w:szCs w:val="22"/>
          <w:highlight w:val="none"/>
          <w:lang w:val="en-US" w:eastAsia="zh-CN" w:bidi="ar-SA"/>
        </w:rPr>
        <w:t>：</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default" w:ascii="宋体" w:hAnsi="宋体" w:eastAsia="宋体" w:cs="宋体"/>
          <w:bCs/>
          <w:color w:val="auto"/>
          <w:kern w:val="2"/>
          <w:sz w:val="22"/>
          <w:szCs w:val="22"/>
          <w:highlight w:val="none"/>
          <w:lang w:val="en-US" w:eastAsia="zh-CN" w:bidi="ar-SA"/>
        </w:rPr>
        <w:t>（1）项目总负责人（兼施工项目负责人）：建筑工程专业二级及以上注册建造师（如联合体投标应注册在联合体牵头单位，并在投标截止日不得在其他任何在建合同工程中担任项目负责人</w:t>
      </w:r>
      <w:r>
        <w:rPr>
          <w:rFonts w:hint="eastAsia" w:ascii="宋体" w:hAnsi="宋体" w:eastAsia="宋体" w:cs="宋体"/>
          <w:bCs/>
          <w:color w:val="auto"/>
          <w:kern w:val="2"/>
          <w:sz w:val="22"/>
          <w:szCs w:val="22"/>
          <w:highlight w:val="none"/>
          <w:lang w:val="en-US" w:eastAsia="zh-CN" w:bidi="ar-SA"/>
        </w:rPr>
        <w:t>，</w:t>
      </w:r>
      <w:r>
        <w:rPr>
          <w:rFonts w:hint="default" w:ascii="宋体" w:hAnsi="宋体" w:eastAsia="宋体" w:cs="宋体"/>
          <w:bCs/>
          <w:color w:val="auto"/>
          <w:kern w:val="2"/>
          <w:sz w:val="22"/>
          <w:szCs w:val="22"/>
          <w:highlight w:val="none"/>
          <w:lang w:val="en-US" w:eastAsia="zh-CN" w:bidi="ar-SA"/>
        </w:rPr>
        <w:t xml:space="preserve">《临时建造师注册证书》无效）； </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default" w:ascii="宋体" w:hAnsi="宋体" w:eastAsia="宋体" w:cs="宋体"/>
          <w:bCs/>
          <w:color w:val="auto"/>
          <w:kern w:val="2"/>
          <w:sz w:val="22"/>
          <w:szCs w:val="22"/>
          <w:highlight w:val="none"/>
          <w:lang w:val="en-US" w:eastAsia="zh-CN" w:bidi="ar-SA"/>
        </w:rPr>
        <w:t>（</w:t>
      </w:r>
      <w:r>
        <w:rPr>
          <w:rFonts w:hint="eastAsia" w:hAnsi="宋体" w:cs="宋体"/>
          <w:bCs/>
          <w:color w:val="auto"/>
          <w:kern w:val="2"/>
          <w:sz w:val="22"/>
          <w:szCs w:val="22"/>
          <w:highlight w:val="none"/>
          <w:lang w:val="en-US" w:eastAsia="zh-CN" w:bidi="ar-SA"/>
        </w:rPr>
        <w:t>2</w:t>
      </w:r>
      <w:r>
        <w:rPr>
          <w:rFonts w:hint="default" w:ascii="宋体" w:hAnsi="宋体" w:eastAsia="宋体" w:cs="宋体"/>
          <w:bCs/>
          <w:color w:val="auto"/>
          <w:kern w:val="2"/>
          <w:sz w:val="22"/>
          <w:szCs w:val="22"/>
          <w:highlight w:val="none"/>
          <w:lang w:val="en-US" w:eastAsia="zh-CN" w:bidi="ar-SA"/>
        </w:rPr>
        <w:t>）设计负责人资格要求：具有工程师及以上职称（专业不限）（如联合体投标，须注册在联合体中的设计资质的投标人单位）；</w:t>
      </w:r>
    </w:p>
    <w:p>
      <w:pPr>
        <w:pStyle w:val="16"/>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宋体" w:hAnsi="宋体" w:eastAsia="宋体" w:cs="宋体"/>
          <w:bCs/>
          <w:color w:val="auto"/>
          <w:kern w:val="2"/>
          <w:sz w:val="22"/>
          <w:szCs w:val="22"/>
          <w:highlight w:val="none"/>
          <w:lang w:val="en-US" w:eastAsia="zh-CN" w:bidi="ar-SA"/>
        </w:rPr>
      </w:pPr>
      <w:r>
        <w:rPr>
          <w:rFonts w:hint="default" w:ascii="宋体" w:hAnsi="宋体" w:eastAsia="宋体" w:cs="宋体"/>
          <w:bCs/>
          <w:color w:val="auto"/>
          <w:kern w:val="2"/>
          <w:sz w:val="22"/>
          <w:szCs w:val="22"/>
          <w:highlight w:val="none"/>
          <w:lang w:val="en-US" w:eastAsia="zh-CN" w:bidi="ar-SA"/>
        </w:rPr>
        <w:t>其中：项目总负责人（兼施工项目负责人）与设计负责人不得兼任。</w:t>
      </w:r>
    </w:p>
    <w:p>
      <w:pPr>
        <w:pStyle w:val="24"/>
        <w:keepNext w:val="0"/>
        <w:keepLines w:val="0"/>
        <w:pageBreakBefore w:val="0"/>
        <w:kinsoku/>
        <w:wordWrap/>
        <w:overflowPunct/>
        <w:topLinePunct w:val="0"/>
        <w:bidi w:val="0"/>
        <w:snapToGrid/>
        <w:spacing w:beforeAutospacing="0" w:afterAutospacing="0" w:line="420" w:lineRule="exact"/>
        <w:jc w:val="both"/>
        <w:textAlignment w:val="auto"/>
        <w:outlineLvl w:val="1"/>
        <w:rPr>
          <w:rStyle w:val="30"/>
          <w:rFonts w:hint="eastAsia" w:ascii="宋体" w:hAnsi="宋体" w:cs="宋体"/>
          <w:color w:val="auto"/>
          <w:szCs w:val="24"/>
          <w:highlight w:val="none"/>
        </w:rPr>
      </w:pPr>
      <w:bookmarkStart w:id="10" w:name="_Toc29140"/>
      <w:bookmarkStart w:id="11" w:name="_Toc35393792"/>
      <w:bookmarkStart w:id="12" w:name="_Toc35393623"/>
      <w:r>
        <w:rPr>
          <w:rStyle w:val="30"/>
          <w:rFonts w:hint="eastAsia" w:ascii="宋体" w:hAnsi="宋体" w:cs="宋体"/>
          <w:color w:val="auto"/>
          <w:szCs w:val="24"/>
          <w:highlight w:val="none"/>
        </w:rPr>
        <w:t>三、获取（下载）招标文件</w:t>
      </w:r>
      <w:bookmarkEnd w:id="10"/>
      <w:bookmarkEnd w:id="11"/>
      <w:bookmarkEnd w:id="12"/>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时间：公告发布之日至投标截止时间止，每天上午00:00至12:00，下午12:00至23:59（北京时间，线上获取法定节假日均可，线下获取文件法定节假日除外）</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地点（网址）：政府采购云平台（www.zcygov.cn）</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方式：供应商通过“浙江政府采购网”在线获取（招标公告下方选取“潜在供应商”处“获取采购文件”），不提供纸制版招标文件；供应商只有在“浙江政府采购网”完成获取招标文件申请并下载了招标文件后才视作依法获取招标文件。通过本公告下方“游客，浏览采购文件”下载的招标文件仅供浏览，不视作依法获取招标文件。 </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售价（元）：0 </w:t>
      </w:r>
    </w:p>
    <w:p>
      <w:pPr>
        <w:pStyle w:val="24"/>
        <w:keepNext w:val="0"/>
        <w:keepLines w:val="0"/>
        <w:pageBreakBefore w:val="0"/>
        <w:kinsoku/>
        <w:wordWrap/>
        <w:overflowPunct/>
        <w:topLinePunct w:val="0"/>
        <w:bidi w:val="0"/>
        <w:snapToGrid/>
        <w:spacing w:beforeAutospacing="0" w:afterAutospacing="0" w:line="420" w:lineRule="exact"/>
        <w:jc w:val="both"/>
        <w:textAlignment w:val="auto"/>
        <w:outlineLvl w:val="1"/>
        <w:rPr>
          <w:rStyle w:val="30"/>
          <w:rFonts w:hint="eastAsia" w:ascii="宋体" w:hAnsi="宋体" w:cs="宋体"/>
          <w:color w:val="auto"/>
          <w:szCs w:val="24"/>
          <w:highlight w:val="none"/>
        </w:rPr>
      </w:pPr>
      <w:bookmarkStart w:id="13" w:name="_Toc28359082"/>
      <w:bookmarkStart w:id="14" w:name="_Toc28359005"/>
      <w:bookmarkStart w:id="15" w:name="_Toc35393793"/>
      <w:bookmarkStart w:id="16" w:name="_Toc35393624"/>
      <w:bookmarkStart w:id="17" w:name="_Toc27349"/>
      <w:r>
        <w:rPr>
          <w:rStyle w:val="30"/>
          <w:rFonts w:hint="eastAsia" w:ascii="宋体" w:hAnsi="宋体" w:cs="宋体"/>
          <w:color w:val="auto"/>
          <w:szCs w:val="24"/>
          <w:highlight w:val="none"/>
        </w:rPr>
        <w:t>四、提交（上传）投标文件</w:t>
      </w:r>
      <w:bookmarkEnd w:id="13"/>
      <w:bookmarkEnd w:id="14"/>
      <w:r>
        <w:rPr>
          <w:rStyle w:val="30"/>
          <w:rFonts w:hint="eastAsia" w:ascii="宋体" w:hAnsi="宋体" w:cs="宋体"/>
          <w:color w:val="auto"/>
          <w:szCs w:val="24"/>
          <w:highlight w:val="none"/>
        </w:rPr>
        <w:t>截止时间、开标时间和地点</w:t>
      </w:r>
      <w:bookmarkEnd w:id="15"/>
      <w:bookmarkEnd w:id="16"/>
      <w:r>
        <w:rPr>
          <w:rStyle w:val="30"/>
          <w:rFonts w:hint="eastAsia" w:ascii="宋体" w:hAnsi="宋体" w:cs="宋体"/>
          <w:color w:val="auto"/>
          <w:szCs w:val="24"/>
          <w:highlight w:val="none"/>
        </w:rPr>
        <w:t>（网址）</w:t>
      </w:r>
      <w:bookmarkEnd w:id="17"/>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提交投标文件截止时间：</w:t>
      </w:r>
      <w:r>
        <w:rPr>
          <w:rFonts w:hint="eastAsia" w:ascii="宋体" w:hAnsi="宋体" w:cs="宋体"/>
          <w:bCs/>
          <w:color w:val="auto"/>
          <w:sz w:val="22"/>
          <w:szCs w:val="22"/>
          <w:highlight w:val="none"/>
          <w:lang w:val="en-US" w:eastAsia="zh-CN"/>
        </w:rPr>
        <w:t>2023年7月11日9时00分</w:t>
      </w:r>
      <w:r>
        <w:rPr>
          <w:rFonts w:hint="eastAsia" w:ascii="宋体" w:hAnsi="宋体" w:cs="宋体"/>
          <w:bCs/>
          <w:color w:val="auto"/>
          <w:sz w:val="22"/>
          <w:szCs w:val="22"/>
          <w:highlight w:val="none"/>
        </w:rPr>
        <w:t>（北京时间）</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投标地点（网址）：线上（政府采购云平台（www.zcygov.cn））  </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开标时间：</w:t>
      </w:r>
      <w:r>
        <w:rPr>
          <w:rFonts w:hint="eastAsia" w:ascii="宋体" w:hAnsi="宋体" w:cs="宋体"/>
          <w:bCs/>
          <w:color w:val="auto"/>
          <w:sz w:val="22"/>
          <w:szCs w:val="22"/>
          <w:highlight w:val="none"/>
          <w:lang w:val="en-US" w:eastAsia="zh-CN"/>
        </w:rPr>
        <w:t>2023年7月11日9时00分</w:t>
      </w:r>
      <w:r>
        <w:rPr>
          <w:rFonts w:hint="eastAsia" w:ascii="宋体" w:hAnsi="宋体" w:cs="宋体"/>
          <w:bCs/>
          <w:color w:val="auto"/>
          <w:sz w:val="22"/>
          <w:szCs w:val="22"/>
          <w:highlight w:val="none"/>
        </w:rPr>
        <w:t>（北京时间）</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开标地点（网址）：线上（政府采购云平台（www.zcygov.cn））  </w:t>
      </w:r>
    </w:p>
    <w:p>
      <w:pPr>
        <w:pStyle w:val="24"/>
        <w:keepNext w:val="0"/>
        <w:keepLines w:val="0"/>
        <w:pageBreakBefore w:val="0"/>
        <w:kinsoku/>
        <w:wordWrap/>
        <w:overflowPunct/>
        <w:topLinePunct w:val="0"/>
        <w:bidi w:val="0"/>
        <w:snapToGrid/>
        <w:spacing w:beforeAutospacing="0" w:afterAutospacing="0" w:line="420" w:lineRule="exact"/>
        <w:jc w:val="both"/>
        <w:textAlignment w:val="auto"/>
        <w:outlineLvl w:val="1"/>
        <w:rPr>
          <w:rStyle w:val="30"/>
          <w:rFonts w:hint="eastAsia" w:ascii="宋体" w:hAnsi="宋体" w:cs="宋体"/>
          <w:color w:val="auto"/>
          <w:szCs w:val="24"/>
          <w:highlight w:val="none"/>
        </w:rPr>
      </w:pPr>
      <w:bookmarkStart w:id="18" w:name="_Toc29922"/>
      <w:bookmarkStart w:id="19" w:name="_Toc28359084"/>
      <w:bookmarkStart w:id="20" w:name="_Toc35393625"/>
      <w:bookmarkStart w:id="21" w:name="_Toc35393794"/>
      <w:bookmarkStart w:id="22" w:name="_Toc28359007"/>
      <w:r>
        <w:rPr>
          <w:rStyle w:val="30"/>
          <w:rFonts w:hint="eastAsia" w:ascii="宋体" w:hAnsi="宋体" w:cs="宋体"/>
          <w:color w:val="auto"/>
          <w:szCs w:val="24"/>
          <w:highlight w:val="none"/>
        </w:rPr>
        <w:t>五、公告期限</w:t>
      </w:r>
      <w:bookmarkEnd w:id="18"/>
      <w:bookmarkEnd w:id="19"/>
      <w:bookmarkEnd w:id="20"/>
      <w:bookmarkEnd w:id="21"/>
      <w:bookmarkEnd w:id="22"/>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自本公告发布之日起5个工作日。</w:t>
      </w:r>
    </w:p>
    <w:p>
      <w:pPr>
        <w:pStyle w:val="24"/>
        <w:keepNext w:val="0"/>
        <w:keepLines w:val="0"/>
        <w:pageBreakBefore w:val="0"/>
        <w:kinsoku/>
        <w:wordWrap/>
        <w:overflowPunct/>
        <w:topLinePunct w:val="0"/>
        <w:bidi w:val="0"/>
        <w:snapToGrid/>
        <w:spacing w:beforeAutospacing="0" w:afterAutospacing="0" w:line="420" w:lineRule="exact"/>
        <w:jc w:val="both"/>
        <w:textAlignment w:val="auto"/>
        <w:outlineLvl w:val="1"/>
        <w:rPr>
          <w:rStyle w:val="30"/>
          <w:rFonts w:hint="eastAsia" w:ascii="宋体" w:hAnsi="宋体" w:eastAsia="宋体" w:cs="宋体"/>
          <w:color w:val="auto"/>
          <w:szCs w:val="24"/>
          <w:highlight w:val="none"/>
          <w:lang w:eastAsia="zh-CN"/>
        </w:rPr>
      </w:pPr>
      <w:bookmarkStart w:id="23" w:name="_Toc17536"/>
      <w:bookmarkStart w:id="24" w:name="_Toc35393795"/>
      <w:bookmarkStart w:id="25" w:name="_Toc35393626"/>
      <w:r>
        <w:rPr>
          <w:rStyle w:val="30"/>
          <w:rFonts w:hint="eastAsia" w:ascii="宋体" w:hAnsi="宋体" w:eastAsia="宋体" w:cs="宋体"/>
          <w:color w:val="auto"/>
          <w:szCs w:val="24"/>
          <w:highlight w:val="none"/>
          <w:lang w:val="en-US" w:eastAsia="zh-CN"/>
        </w:rPr>
        <w:t>六、</w:t>
      </w:r>
      <w:r>
        <w:rPr>
          <w:rStyle w:val="30"/>
          <w:rFonts w:hint="eastAsia" w:ascii="宋体" w:hAnsi="宋体" w:eastAsia="宋体" w:cs="宋体"/>
          <w:color w:val="auto"/>
          <w:szCs w:val="24"/>
          <w:highlight w:val="none"/>
        </w:rPr>
        <w:t>在线投标响应（电子投标）说明</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1）本项目通过“政府采购云平台（www.zcygov.cn）”实行在线投标响应（电子投标），供应商应先安装“政采云电子交易客户端”，并按照本项目采购文件和“政府采购云平台”的要求，通过“政采云电子交易客户端”编制并加密投标文件。供应商未按规定加密的投标文件，“政府采购云平台”将予以拒收。</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“政采云电子交易客户端”请自行前往“浙江政府采购网-下载专区-电子交易客户端”进行下载；电子投标具体操作流程详见《供应商项目采购-电子招投标操作指南》；</w:t>
      </w:r>
      <w:r>
        <w:rPr>
          <w:rFonts w:hint="eastAsia" w:ascii="宋体" w:hAnsi="宋体" w:cs="宋体"/>
          <w:b/>
          <w:bCs w:val="0"/>
          <w:color w:val="auto"/>
          <w:sz w:val="22"/>
          <w:szCs w:val="22"/>
          <w:highlight w:val="none"/>
          <w:lang w:val="en-US" w:eastAsia="zh-CN"/>
        </w:rPr>
        <w:t>通过“政府采购云平台”参与在线投标时如遇平台技术问题详询95763。</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2）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w:t>
      </w:r>
      <w:r>
        <w:rPr>
          <w:rFonts w:hint="eastAsia" w:ascii="宋体" w:hAnsi="宋体" w:cs="宋体"/>
          <w:b/>
          <w:bCs w:val="0"/>
          <w:color w:val="auto"/>
          <w:sz w:val="22"/>
          <w:szCs w:val="22"/>
          <w:highlight w:val="none"/>
          <w:lang w:val="en-US" w:eastAsia="zh-CN"/>
        </w:rPr>
        <w:t>（提示：完成CA数字证书办理预计一周左右，建议各供应商自行把握时间。）</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lang w:val="en-US" w:eastAsia="zh-CN"/>
        </w:rPr>
      </w:pPr>
      <w:r>
        <w:rPr>
          <w:rFonts w:hint="eastAsia" w:ascii="宋体" w:hAnsi="宋体" w:cs="宋体"/>
          <w:bCs/>
          <w:sz w:val="22"/>
          <w:szCs w:val="22"/>
        </w:rPr>
        <w:t>▲</w:t>
      </w:r>
      <w:r>
        <w:rPr>
          <w:rFonts w:hint="eastAsia" w:ascii="宋体" w:hAnsi="宋体" w:cs="宋体"/>
          <w:bCs/>
          <w:color w:val="auto"/>
          <w:sz w:val="22"/>
          <w:szCs w:val="22"/>
          <w:highlight w:val="none"/>
          <w:lang w:val="en-US" w:eastAsia="zh-CN"/>
        </w:rPr>
        <w:t>（3）投标供应商应当在投标截止时间前，将生成的“电子加密投标文件”上传递交至“政府采购云平台”。投标截止时间以后上传递交的投标文件将被“政府采购云平台”拒收。</w:t>
      </w:r>
      <w:r>
        <w:rPr>
          <w:rFonts w:hint="eastAsia" w:ascii="宋体" w:hAnsi="宋体" w:cs="宋体"/>
          <w:b/>
          <w:bCs w:val="0"/>
          <w:color w:val="auto"/>
          <w:sz w:val="22"/>
          <w:szCs w:val="22"/>
          <w:highlight w:val="none"/>
          <w:lang w:val="en-US" w:eastAsia="zh-CN"/>
        </w:rPr>
        <w:t>（提示：供应商应提前上传，以便在上传时遇到技术问题，有充足时间请教平台的技术人员。）</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lang w:val="en-US" w:eastAsia="zh-CN"/>
        </w:rPr>
      </w:pPr>
      <w:r>
        <w:rPr>
          <w:rFonts w:hint="eastAsia" w:ascii="宋体" w:hAnsi="宋体" w:cs="宋体"/>
          <w:bCs/>
          <w:sz w:val="22"/>
          <w:szCs w:val="22"/>
        </w:rPr>
        <w:t>▲</w:t>
      </w:r>
      <w:r>
        <w:rPr>
          <w:rFonts w:hint="eastAsia" w:ascii="宋体" w:hAnsi="宋体" w:cs="宋体"/>
          <w:bCs/>
          <w:color w:val="auto"/>
          <w:sz w:val="22"/>
          <w:szCs w:val="22"/>
          <w:highlight w:val="none"/>
          <w:lang w:val="en-US" w:eastAsia="zh-CN"/>
        </w:rPr>
        <w:t>（4）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pPr>
        <w:pStyle w:val="24"/>
        <w:keepNext w:val="0"/>
        <w:keepLines w:val="0"/>
        <w:pageBreakBefore w:val="0"/>
        <w:kinsoku/>
        <w:wordWrap/>
        <w:overflowPunct/>
        <w:topLinePunct w:val="0"/>
        <w:bidi w:val="0"/>
        <w:snapToGrid/>
        <w:spacing w:beforeAutospacing="0" w:afterAutospacing="0" w:line="420" w:lineRule="exact"/>
        <w:jc w:val="both"/>
        <w:textAlignment w:val="auto"/>
        <w:outlineLvl w:val="1"/>
        <w:rPr>
          <w:rStyle w:val="30"/>
          <w:rFonts w:hint="eastAsia" w:ascii="宋体" w:hAnsi="宋体" w:cs="宋体"/>
          <w:color w:val="auto"/>
          <w:szCs w:val="24"/>
          <w:highlight w:val="none"/>
        </w:rPr>
      </w:pPr>
      <w:r>
        <w:rPr>
          <w:rStyle w:val="30"/>
          <w:rFonts w:hint="eastAsia" w:ascii="宋体" w:hAnsi="宋体" w:cs="宋体"/>
          <w:color w:val="auto"/>
          <w:szCs w:val="24"/>
          <w:highlight w:val="none"/>
          <w:lang w:eastAsia="zh-CN"/>
        </w:rPr>
        <w:t>七</w:t>
      </w:r>
      <w:r>
        <w:rPr>
          <w:rStyle w:val="30"/>
          <w:rFonts w:hint="eastAsia" w:ascii="宋体" w:hAnsi="宋体" w:cs="宋体"/>
          <w:color w:val="auto"/>
          <w:szCs w:val="24"/>
          <w:highlight w:val="none"/>
        </w:rPr>
        <w:t>、其他补充事宜</w:t>
      </w:r>
      <w:bookmarkEnd w:id="23"/>
      <w:bookmarkEnd w:id="24"/>
      <w:bookmarkEnd w:id="25"/>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val="en-US" w:eastAsia="zh-CN"/>
        </w:rPr>
      </w:pPr>
      <w:bookmarkStart w:id="26" w:name="_Toc28359085"/>
      <w:bookmarkStart w:id="27" w:name="_Toc35393796"/>
      <w:bookmarkStart w:id="28" w:name="_Toc35393627"/>
      <w:bookmarkStart w:id="29" w:name="_Toc28359008"/>
      <w:bookmarkStart w:id="30" w:name="_Toc25991"/>
      <w:r>
        <w:rPr>
          <w:rFonts w:hint="eastAsia" w:ascii="宋体" w:hAnsi="宋体" w:eastAsia="宋体" w:cs="宋体"/>
          <w:bCs/>
          <w:color w:val="auto"/>
          <w:sz w:val="22"/>
          <w:szCs w:val="22"/>
          <w:highlight w:val="none"/>
          <w:lang w:val="en-US" w:eastAsia="zh-CN"/>
        </w:rPr>
        <w:t>1.供应商认为采购文件使自己的权益受到损害的，可以自获取采购文件之日起7个工作日内，以书面形式一次性向采购人和采购代理机构提出同一环节</w:t>
      </w:r>
      <w:r>
        <w:rPr>
          <w:rFonts w:hint="eastAsia" w:ascii="宋体" w:hAnsi="宋体" w:cs="宋体"/>
          <w:bCs/>
          <w:sz w:val="22"/>
          <w:szCs w:val="22"/>
        </w:rPr>
        <w:t>（包括采购过程、采购结果等也应一次性提出）</w:t>
      </w:r>
      <w:r>
        <w:rPr>
          <w:rFonts w:hint="eastAsia" w:ascii="宋体" w:hAnsi="宋体" w:eastAsia="宋体" w:cs="宋体"/>
          <w:bCs/>
          <w:color w:val="auto"/>
          <w:sz w:val="22"/>
          <w:szCs w:val="22"/>
          <w:highlight w:val="none"/>
          <w:lang w:val="en-US" w:eastAsia="zh-CN"/>
        </w:rPr>
        <w:t>的质疑。否则，被质疑人可不予受理、答复。质疑供应商对采购人、采购代理机构的答复不满意或者采购人、采购代理机构未在规定的时间内作出答复的，可以在答复期满后十五个工作日内向采购单位监督管理部门投诉。质疑函范本、投诉书范本请到浙江政府采购网下载专区下载。</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2.《浙江省财政厅关于进一步发挥政府采购政策功能全力推动经济稳进提质的通知》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3.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4.其他事项：/</w:t>
      </w:r>
    </w:p>
    <w:p>
      <w:pPr>
        <w:pStyle w:val="24"/>
        <w:keepNext w:val="0"/>
        <w:keepLines w:val="0"/>
        <w:pageBreakBefore w:val="0"/>
        <w:kinsoku/>
        <w:wordWrap/>
        <w:overflowPunct/>
        <w:topLinePunct w:val="0"/>
        <w:bidi w:val="0"/>
        <w:snapToGrid/>
        <w:spacing w:beforeAutospacing="0" w:afterAutospacing="0" w:line="420" w:lineRule="exact"/>
        <w:jc w:val="both"/>
        <w:textAlignment w:val="auto"/>
        <w:outlineLvl w:val="1"/>
        <w:rPr>
          <w:rStyle w:val="30"/>
          <w:rFonts w:hint="eastAsia" w:ascii="宋体" w:hAnsi="宋体" w:cs="宋体"/>
          <w:color w:val="auto"/>
          <w:szCs w:val="24"/>
          <w:highlight w:val="none"/>
        </w:rPr>
      </w:pPr>
      <w:r>
        <w:rPr>
          <w:rStyle w:val="30"/>
          <w:rFonts w:hint="eastAsia" w:ascii="宋体" w:hAnsi="宋体" w:cs="宋体"/>
          <w:color w:val="auto"/>
          <w:szCs w:val="24"/>
          <w:highlight w:val="none"/>
          <w:lang w:eastAsia="zh-CN"/>
        </w:rPr>
        <w:t>八</w:t>
      </w:r>
      <w:r>
        <w:rPr>
          <w:rStyle w:val="30"/>
          <w:rFonts w:hint="eastAsia" w:ascii="宋体" w:hAnsi="宋体" w:cs="宋体"/>
          <w:color w:val="auto"/>
          <w:szCs w:val="24"/>
          <w:highlight w:val="none"/>
        </w:rPr>
        <w:t>、对本次招标提出询问、质疑、投诉，请按以下方式联系</w:t>
      </w:r>
      <w:bookmarkEnd w:id="26"/>
      <w:bookmarkEnd w:id="27"/>
      <w:bookmarkEnd w:id="28"/>
      <w:bookmarkEnd w:id="29"/>
      <w:bookmarkEnd w:id="30"/>
    </w:p>
    <w:p>
      <w:pPr>
        <w:keepNext w:val="0"/>
        <w:keepLines w:val="0"/>
        <w:pageBreakBefore w:val="0"/>
        <w:kinsoku/>
        <w:wordWrap/>
        <w:overflowPunct/>
        <w:topLinePunct w:val="0"/>
        <w:bidi w:val="0"/>
        <w:snapToGrid/>
        <w:spacing w:line="420" w:lineRule="exact"/>
        <w:ind w:firstLine="442" w:firstLineChars="200"/>
        <w:textAlignment w:val="auto"/>
        <w:rPr>
          <w:rFonts w:hint="eastAsia" w:ascii="宋体" w:hAnsi="宋体" w:cs="宋体"/>
          <w:b/>
          <w:color w:val="auto"/>
          <w:sz w:val="22"/>
          <w:szCs w:val="22"/>
          <w:highlight w:val="none"/>
        </w:rPr>
      </w:pPr>
      <w:bookmarkStart w:id="31" w:name="_Toc35393786"/>
      <w:bookmarkStart w:id="32" w:name="_Toc28358998"/>
      <w:bookmarkStart w:id="33" w:name="_Toc28359075"/>
      <w:bookmarkStart w:id="34" w:name="_Toc35393617"/>
      <w:r>
        <w:rPr>
          <w:rFonts w:hint="eastAsia" w:ascii="宋体" w:hAnsi="宋体" w:cs="宋体"/>
          <w:b/>
          <w:color w:val="auto"/>
          <w:sz w:val="22"/>
          <w:szCs w:val="22"/>
          <w:highlight w:val="none"/>
        </w:rPr>
        <w:t>1.采购人信息</w:t>
      </w:r>
      <w:bookmarkEnd w:id="31"/>
      <w:bookmarkEnd w:id="32"/>
      <w:bookmarkEnd w:id="33"/>
      <w:bookmarkEnd w:id="34"/>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rPr>
        <w:t>名    称：</w:t>
      </w:r>
      <w:r>
        <w:rPr>
          <w:rFonts w:hint="eastAsia" w:ascii="宋体" w:hAnsi="宋体" w:cs="宋体"/>
          <w:bCs/>
          <w:color w:val="auto"/>
          <w:sz w:val="22"/>
          <w:szCs w:val="22"/>
          <w:highlight w:val="none"/>
          <w:u w:val="single"/>
          <w:lang w:eastAsia="zh-CN"/>
        </w:rPr>
        <w:t>台州市椒江区人民政府前所街道办事处</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地    址：</w:t>
      </w:r>
      <w:r>
        <w:rPr>
          <w:rFonts w:hint="eastAsia" w:ascii="宋体" w:hAnsi="宋体" w:cs="宋体"/>
          <w:bCs/>
          <w:color w:val="auto"/>
          <w:sz w:val="22"/>
          <w:szCs w:val="22"/>
          <w:highlight w:val="none"/>
          <w:u w:val="single"/>
          <w:lang w:eastAsia="zh-CN"/>
        </w:rPr>
        <w:t>台州市椒江区前所街道椒北大街10号</w:t>
      </w:r>
      <w:r>
        <w:rPr>
          <w:rFonts w:hint="eastAsia" w:ascii="宋体" w:hAnsi="宋体" w:cs="宋体"/>
          <w:bCs/>
          <w:color w:val="auto"/>
          <w:sz w:val="22"/>
          <w:szCs w:val="22"/>
          <w:highlight w:val="none"/>
          <w:u w:val="single"/>
        </w:rPr>
        <w:t xml:space="preserve"> </w:t>
      </w:r>
    </w:p>
    <w:p>
      <w:pPr>
        <w:keepNext w:val="0"/>
        <w:keepLines w:val="0"/>
        <w:pageBreakBefore w:val="0"/>
        <w:kinsoku/>
        <w:wordWrap/>
        <w:overflowPunct/>
        <w:topLinePunct w:val="0"/>
        <w:bidi w:val="0"/>
        <w:snapToGrid/>
        <w:spacing w:line="420" w:lineRule="exact"/>
        <w:ind w:firstLine="440" w:firstLineChars="200"/>
        <w:textAlignment w:val="auto"/>
        <w:rPr>
          <w:rFonts w:ascii="宋体" w:hAnsi="宋体" w:cs="宋体"/>
          <w:bCs/>
          <w:color w:val="auto"/>
          <w:sz w:val="22"/>
          <w:szCs w:val="22"/>
          <w:highlight w:val="none"/>
        </w:rPr>
      </w:pPr>
      <w:r>
        <w:rPr>
          <w:rFonts w:hint="eastAsia" w:ascii="宋体" w:hAnsi="宋体" w:cs="宋体"/>
          <w:bCs/>
          <w:color w:val="auto"/>
          <w:sz w:val="22"/>
          <w:szCs w:val="22"/>
          <w:highlight w:val="none"/>
        </w:rPr>
        <w:t>项目联系人（询问）：</w:t>
      </w:r>
      <w:r>
        <w:rPr>
          <w:rFonts w:hint="eastAsia" w:ascii="宋体" w:hAnsi="宋体" w:cs="宋体"/>
          <w:bCs/>
          <w:color w:val="auto"/>
          <w:sz w:val="22"/>
          <w:szCs w:val="22"/>
          <w:highlight w:val="none"/>
          <w:u w:val="single"/>
          <w:lang w:val="en-US" w:eastAsia="zh-CN"/>
        </w:rPr>
        <w:t>黄先生</w:t>
      </w:r>
    </w:p>
    <w:p>
      <w:pPr>
        <w:keepNext w:val="0"/>
        <w:keepLines w:val="0"/>
        <w:pageBreakBefore w:val="0"/>
        <w:kinsoku/>
        <w:wordWrap/>
        <w:overflowPunct/>
        <w:topLinePunct w:val="0"/>
        <w:bidi w:val="0"/>
        <w:snapToGrid/>
        <w:spacing w:line="420" w:lineRule="exact"/>
        <w:ind w:firstLine="440" w:firstLineChars="200"/>
        <w:textAlignment w:val="auto"/>
        <w:rPr>
          <w:rFonts w:hint="default"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rPr>
        <w:t>项目联系方式（询问）：</w:t>
      </w:r>
      <w:r>
        <w:rPr>
          <w:rFonts w:hint="eastAsia" w:ascii="宋体" w:hAnsi="宋体" w:cs="宋体"/>
          <w:bCs/>
          <w:color w:val="auto"/>
          <w:sz w:val="22"/>
          <w:szCs w:val="22"/>
          <w:highlight w:val="none"/>
          <w:u w:val="single"/>
          <w:lang w:val="en-US" w:eastAsia="zh-CN"/>
        </w:rPr>
        <w:t>13666465588</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cs="宋体"/>
          <w:bCs/>
          <w:color w:val="auto"/>
          <w:sz w:val="22"/>
          <w:szCs w:val="22"/>
          <w:highlight w:val="none"/>
        </w:rPr>
      </w:pPr>
      <w:r>
        <w:rPr>
          <w:rFonts w:hint="eastAsia" w:ascii="宋体" w:hAnsi="宋体" w:cs="宋体"/>
          <w:bCs/>
          <w:color w:val="auto"/>
          <w:sz w:val="22"/>
          <w:szCs w:val="22"/>
          <w:highlight w:val="none"/>
        </w:rPr>
        <w:t>采购人质疑投诉联系人：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u w:val="single"/>
          <w:lang w:val="en-US" w:eastAsia="zh-CN"/>
        </w:rPr>
        <w:t>陈女士</w:t>
      </w:r>
      <w:r>
        <w:rPr>
          <w:rFonts w:hint="eastAsia" w:ascii="宋体" w:hAnsi="宋体" w:cs="宋体"/>
          <w:bCs/>
          <w:color w:val="auto"/>
          <w:sz w:val="22"/>
          <w:szCs w:val="22"/>
          <w:highlight w:val="none"/>
          <w:u w:val="single"/>
        </w:rPr>
        <w:t xml:space="preserve"> </w:t>
      </w:r>
    </w:p>
    <w:p>
      <w:pPr>
        <w:keepNext w:val="0"/>
        <w:keepLines w:val="0"/>
        <w:pageBreakBefore w:val="0"/>
        <w:kinsoku/>
        <w:wordWrap/>
        <w:overflowPunct/>
        <w:topLinePunct w:val="0"/>
        <w:bidi w:val="0"/>
        <w:snapToGrid/>
        <w:spacing w:line="420" w:lineRule="exact"/>
        <w:ind w:firstLine="440" w:firstLineChars="200"/>
        <w:textAlignment w:val="auto"/>
        <w:rPr>
          <w:rFonts w:hint="default"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rPr>
        <w:t>采购人质疑投诉联系电话：</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u w:val="single"/>
          <w:lang w:val="en-US" w:eastAsia="zh-CN"/>
        </w:rPr>
        <w:t xml:space="preserve">18267634660 </w:t>
      </w:r>
    </w:p>
    <w:p>
      <w:pPr>
        <w:keepNext w:val="0"/>
        <w:keepLines w:val="0"/>
        <w:pageBreakBefore w:val="0"/>
        <w:kinsoku/>
        <w:wordWrap/>
        <w:overflowPunct/>
        <w:topLinePunct w:val="0"/>
        <w:bidi w:val="0"/>
        <w:snapToGrid/>
        <w:spacing w:line="420" w:lineRule="exact"/>
        <w:ind w:firstLine="442" w:firstLineChars="200"/>
        <w:textAlignment w:val="auto"/>
        <w:rPr>
          <w:rFonts w:hint="eastAsia" w:ascii="宋体" w:hAnsi="宋体" w:cs="宋体"/>
          <w:b/>
          <w:color w:val="auto"/>
          <w:sz w:val="22"/>
          <w:szCs w:val="22"/>
          <w:highlight w:val="none"/>
        </w:rPr>
      </w:pPr>
      <w:bookmarkStart w:id="35" w:name="_Toc28359076"/>
      <w:bookmarkStart w:id="36" w:name="_Toc35393618"/>
      <w:bookmarkStart w:id="37" w:name="_Toc28358999"/>
      <w:bookmarkStart w:id="38" w:name="_Toc35393787"/>
      <w:r>
        <w:rPr>
          <w:rFonts w:hint="eastAsia" w:ascii="宋体" w:hAnsi="宋体" w:cs="宋体"/>
          <w:b/>
          <w:color w:val="auto"/>
          <w:sz w:val="22"/>
          <w:szCs w:val="22"/>
          <w:highlight w:val="none"/>
        </w:rPr>
        <w:t>2.采购代理机构信息</w:t>
      </w:r>
      <w:bookmarkEnd w:id="35"/>
      <w:bookmarkEnd w:id="36"/>
      <w:bookmarkEnd w:id="37"/>
      <w:bookmarkEnd w:id="38"/>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eastAsia="zh-CN"/>
        </w:rPr>
      </w:pPr>
      <w:bookmarkStart w:id="39" w:name="_Toc35393788"/>
      <w:bookmarkStart w:id="40" w:name="_Toc28359077"/>
      <w:bookmarkStart w:id="41" w:name="_Toc28359000"/>
      <w:bookmarkStart w:id="42" w:name="_Toc35393619"/>
      <w:r>
        <w:rPr>
          <w:rFonts w:hint="eastAsia" w:ascii="宋体" w:hAnsi="宋体" w:cs="宋体"/>
          <w:bCs/>
          <w:color w:val="auto"/>
          <w:sz w:val="22"/>
          <w:szCs w:val="22"/>
          <w:highlight w:val="none"/>
        </w:rPr>
        <w:t>名    称：</w:t>
      </w:r>
      <w:r>
        <w:rPr>
          <w:rFonts w:hint="eastAsia" w:ascii="宋体" w:hAnsi="宋体" w:cs="宋体"/>
          <w:bCs/>
          <w:color w:val="auto"/>
          <w:sz w:val="22"/>
          <w:szCs w:val="22"/>
          <w:highlight w:val="none"/>
          <w:u w:val="single"/>
          <w:lang w:eastAsia="zh-CN"/>
        </w:rPr>
        <w:t>赢海招标代理（台州）有限公司</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rPr>
        <w:t>地    址：</w:t>
      </w:r>
      <w:r>
        <w:rPr>
          <w:rFonts w:hint="eastAsia" w:ascii="宋体" w:hAnsi="宋体" w:cs="宋体"/>
          <w:bCs/>
          <w:color w:val="auto"/>
          <w:sz w:val="22"/>
          <w:szCs w:val="22"/>
          <w:highlight w:val="none"/>
          <w:u w:val="single"/>
          <w:lang w:eastAsia="zh-CN"/>
        </w:rPr>
        <w:t>台州市椒江区白云街道开元路43-45号二楼</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rPr>
        <w:t>项目联系人（询问）：</w:t>
      </w:r>
      <w:r>
        <w:rPr>
          <w:rFonts w:hint="eastAsia" w:ascii="宋体" w:hAnsi="宋体" w:cs="宋体"/>
          <w:bCs/>
          <w:color w:val="auto"/>
          <w:sz w:val="22"/>
          <w:szCs w:val="22"/>
          <w:highlight w:val="none"/>
          <w:u w:val="single"/>
          <w:lang w:eastAsia="zh-CN"/>
        </w:rPr>
        <w:t>陈先生</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rPr>
        <w:t>项目联系方式（询问）：</w:t>
      </w:r>
      <w:r>
        <w:rPr>
          <w:rFonts w:hint="eastAsia" w:ascii="宋体" w:hAnsi="宋体" w:cs="宋体"/>
          <w:bCs/>
          <w:color w:val="auto"/>
          <w:sz w:val="22"/>
          <w:szCs w:val="22"/>
          <w:highlight w:val="none"/>
          <w:u w:val="single"/>
          <w:lang w:eastAsia="zh-CN"/>
        </w:rPr>
        <w:t>18806860226</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rPr>
        <w:t>代理机构质疑投诉联系人：</w:t>
      </w:r>
      <w:r>
        <w:rPr>
          <w:rFonts w:hint="eastAsia" w:ascii="宋体" w:hAnsi="宋体" w:cs="宋体"/>
          <w:bCs/>
          <w:color w:val="auto"/>
          <w:sz w:val="22"/>
          <w:szCs w:val="22"/>
          <w:highlight w:val="none"/>
          <w:u w:val="single"/>
          <w:lang w:eastAsia="zh-CN"/>
        </w:rPr>
        <w:t>徐女士</w:t>
      </w:r>
    </w:p>
    <w:p>
      <w:pPr>
        <w:keepNext w:val="0"/>
        <w:keepLines w:val="0"/>
        <w:pageBreakBefore w:val="0"/>
        <w:kinsoku/>
        <w:wordWrap/>
        <w:overflowPunct/>
        <w:topLinePunct w:val="0"/>
        <w:bidi w:val="0"/>
        <w:snapToGrid/>
        <w:spacing w:line="420" w:lineRule="exact"/>
        <w:ind w:firstLine="440" w:firstLineChars="200"/>
        <w:textAlignment w:val="auto"/>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rPr>
        <w:t>代理机构质疑投诉联系电话</w:t>
      </w:r>
      <w:r>
        <w:rPr>
          <w:rFonts w:hint="eastAsia" w:ascii="宋体" w:hAnsi="宋体" w:cs="宋体"/>
          <w:bCs/>
          <w:color w:val="auto"/>
          <w:sz w:val="22"/>
          <w:szCs w:val="22"/>
          <w:highlight w:val="none"/>
          <w:u w:val="none"/>
        </w:rPr>
        <w:t>：</w:t>
      </w:r>
      <w:r>
        <w:rPr>
          <w:rFonts w:hint="eastAsia" w:ascii="宋体" w:hAnsi="宋体" w:cs="宋体"/>
          <w:bCs/>
          <w:color w:val="auto"/>
          <w:sz w:val="22"/>
          <w:szCs w:val="22"/>
          <w:highlight w:val="none"/>
          <w:u w:val="single"/>
          <w:lang w:eastAsia="zh-CN"/>
        </w:rPr>
        <w:t>0576-88113912</w:t>
      </w:r>
    </w:p>
    <w:p>
      <w:pPr>
        <w:keepNext w:val="0"/>
        <w:keepLines w:val="0"/>
        <w:pageBreakBefore w:val="0"/>
        <w:kinsoku/>
        <w:wordWrap/>
        <w:overflowPunct/>
        <w:topLinePunct w:val="0"/>
        <w:bidi w:val="0"/>
        <w:snapToGrid/>
        <w:spacing w:line="420" w:lineRule="exact"/>
        <w:ind w:firstLine="442" w:firstLineChars="200"/>
        <w:textAlignment w:val="auto"/>
        <w:rPr>
          <w:rFonts w:hint="eastAsia" w:ascii="宋体" w:hAnsi="宋体" w:cs="宋体"/>
          <w:b/>
          <w:color w:val="auto"/>
          <w:sz w:val="22"/>
          <w:szCs w:val="22"/>
          <w:highlight w:val="none"/>
        </w:rPr>
      </w:pPr>
      <w:r>
        <w:rPr>
          <w:rFonts w:hint="eastAsia" w:ascii="宋体" w:hAnsi="宋体" w:cs="宋体"/>
          <w:b/>
          <w:color w:val="auto"/>
          <w:sz w:val="22"/>
          <w:szCs w:val="22"/>
          <w:highlight w:val="none"/>
        </w:rPr>
        <w:t>3.</w:t>
      </w:r>
      <w:bookmarkEnd w:id="39"/>
      <w:bookmarkEnd w:id="40"/>
      <w:bookmarkEnd w:id="41"/>
      <w:bookmarkEnd w:id="42"/>
      <w:r>
        <w:rPr>
          <w:rFonts w:hint="eastAsia" w:ascii="宋体" w:hAnsi="宋体" w:cs="宋体"/>
          <w:b/>
          <w:color w:val="auto"/>
          <w:sz w:val="22"/>
          <w:szCs w:val="22"/>
          <w:highlight w:val="none"/>
        </w:rPr>
        <w:t>同级政府采购监督管理部门</w:t>
      </w:r>
    </w:p>
    <w:p>
      <w:pPr>
        <w:keepNext w:val="0"/>
        <w:keepLines w:val="0"/>
        <w:pageBreakBefore w:val="0"/>
        <w:kinsoku/>
        <w:wordWrap/>
        <w:overflowPunct/>
        <w:topLinePunct w:val="0"/>
        <w:bidi w:val="0"/>
        <w:snapToGrid/>
        <w:spacing w:line="420" w:lineRule="exact"/>
        <w:ind w:firstLine="440" w:firstLineChars="200"/>
        <w:jc w:val="left"/>
        <w:textAlignment w:val="auto"/>
        <w:rPr>
          <w:rFonts w:hint="eastAsia" w:ascii="宋体" w:hAnsi="宋体" w:eastAsia="宋体" w:cs="宋体"/>
          <w:color w:val="auto"/>
          <w:sz w:val="22"/>
          <w:szCs w:val="22"/>
          <w:highlight w:val="none"/>
          <w:u w:val="single"/>
          <w:lang w:eastAsia="zh-CN"/>
        </w:rPr>
      </w:pPr>
      <w:r>
        <w:rPr>
          <w:rFonts w:hint="eastAsia" w:ascii="宋体" w:hAnsi="宋体" w:cs="宋体"/>
          <w:color w:val="auto"/>
          <w:sz w:val="22"/>
          <w:szCs w:val="22"/>
          <w:highlight w:val="none"/>
        </w:rPr>
        <w:t>名 称：</w:t>
      </w:r>
      <w:r>
        <w:rPr>
          <w:rFonts w:hint="eastAsia" w:ascii="宋体" w:hAnsi="宋体" w:cs="宋体"/>
          <w:color w:val="auto"/>
          <w:sz w:val="22"/>
          <w:szCs w:val="22"/>
          <w:highlight w:val="none"/>
          <w:u w:val="single"/>
          <w:lang w:eastAsia="zh-CN"/>
        </w:rPr>
        <w:t>台州市椒江区财政局政府采购监管科</w:t>
      </w:r>
    </w:p>
    <w:p>
      <w:pPr>
        <w:keepNext w:val="0"/>
        <w:keepLines w:val="0"/>
        <w:pageBreakBefore w:val="0"/>
        <w:kinsoku/>
        <w:wordWrap/>
        <w:overflowPunct/>
        <w:topLinePunct w:val="0"/>
        <w:bidi w:val="0"/>
        <w:snapToGrid/>
        <w:spacing w:line="420" w:lineRule="exact"/>
        <w:ind w:firstLine="440" w:firstLineChars="200"/>
        <w:jc w:val="left"/>
        <w:textAlignment w:val="auto"/>
        <w:rPr>
          <w:rFonts w:hint="eastAsia" w:ascii="宋体" w:hAnsi="宋体" w:eastAsia="宋体" w:cs="宋体"/>
          <w:color w:val="auto"/>
          <w:sz w:val="22"/>
          <w:szCs w:val="22"/>
          <w:highlight w:val="none"/>
          <w:u w:val="single"/>
          <w:lang w:eastAsia="zh-CN"/>
        </w:rPr>
      </w:pPr>
      <w:r>
        <w:rPr>
          <w:rFonts w:hint="eastAsia" w:ascii="宋体" w:hAnsi="宋体" w:cs="宋体"/>
          <w:color w:val="auto"/>
          <w:sz w:val="22"/>
          <w:szCs w:val="22"/>
          <w:highlight w:val="none"/>
        </w:rPr>
        <w:t>地 址：</w:t>
      </w:r>
      <w:r>
        <w:rPr>
          <w:rFonts w:hint="eastAsia" w:ascii="宋体" w:hAnsi="宋体" w:cs="宋体"/>
          <w:color w:val="auto"/>
          <w:sz w:val="22"/>
          <w:szCs w:val="22"/>
          <w:highlight w:val="none"/>
          <w:u w:val="single"/>
          <w:lang w:eastAsia="zh-CN"/>
        </w:rPr>
        <w:t>台州市椒江区财政局</w:t>
      </w:r>
    </w:p>
    <w:p>
      <w:pPr>
        <w:keepNext w:val="0"/>
        <w:keepLines w:val="0"/>
        <w:pageBreakBefore w:val="0"/>
        <w:kinsoku/>
        <w:wordWrap/>
        <w:overflowPunct/>
        <w:topLinePunct w:val="0"/>
        <w:bidi w:val="0"/>
        <w:snapToGrid/>
        <w:spacing w:line="420" w:lineRule="exact"/>
        <w:ind w:firstLine="440" w:firstLineChars="200"/>
        <w:jc w:val="left"/>
        <w:textAlignment w:val="auto"/>
        <w:rPr>
          <w:rFonts w:hint="eastAsia" w:ascii="宋体" w:hAnsi="宋体" w:eastAsia="宋体" w:cs="宋体"/>
          <w:color w:val="auto"/>
          <w:sz w:val="22"/>
          <w:szCs w:val="22"/>
          <w:highlight w:val="none"/>
          <w:u w:val="single"/>
          <w:lang w:val="en-US" w:eastAsia="zh-CN"/>
        </w:rPr>
      </w:pPr>
      <w:r>
        <w:rPr>
          <w:rFonts w:hint="eastAsia" w:ascii="宋体" w:hAnsi="宋体" w:cs="宋体"/>
          <w:color w:val="auto"/>
          <w:sz w:val="22"/>
          <w:szCs w:val="22"/>
          <w:highlight w:val="none"/>
        </w:rPr>
        <w:t>联系人：</w:t>
      </w:r>
      <w:r>
        <w:rPr>
          <w:rFonts w:hint="eastAsia" w:ascii="宋体" w:hAnsi="宋体" w:cs="宋体"/>
          <w:color w:val="auto"/>
          <w:sz w:val="22"/>
          <w:szCs w:val="22"/>
          <w:highlight w:val="none"/>
          <w:u w:val="single"/>
          <w:lang w:eastAsia="zh-CN"/>
        </w:rPr>
        <w:t>李老师</w:t>
      </w:r>
    </w:p>
    <w:p>
      <w:pPr>
        <w:keepNext w:val="0"/>
        <w:keepLines w:val="0"/>
        <w:pageBreakBefore w:val="0"/>
        <w:kinsoku/>
        <w:wordWrap/>
        <w:overflowPunct/>
        <w:topLinePunct w:val="0"/>
        <w:bidi w:val="0"/>
        <w:snapToGrid/>
        <w:spacing w:line="420" w:lineRule="exact"/>
        <w:ind w:firstLine="440" w:firstLineChars="200"/>
        <w:jc w:val="left"/>
        <w:textAlignment w:val="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联系电话：</w:t>
      </w:r>
      <w:r>
        <w:rPr>
          <w:rFonts w:hint="eastAsia" w:ascii="宋体" w:hAnsi="宋体" w:cs="宋体"/>
          <w:color w:val="auto"/>
          <w:sz w:val="22"/>
          <w:szCs w:val="22"/>
          <w:highlight w:val="none"/>
          <w:u w:val="single"/>
          <w:lang w:eastAsia="zh-CN"/>
        </w:rPr>
        <w:t>0576-88553889</w:t>
      </w:r>
    </w:p>
    <w:p>
      <w:pPr>
        <w:keepNext w:val="0"/>
        <w:keepLines w:val="0"/>
        <w:pageBreakBefore w:val="0"/>
        <w:kinsoku/>
        <w:wordWrap/>
        <w:overflowPunct/>
        <w:topLinePunct w:val="0"/>
        <w:bidi w:val="0"/>
        <w:snapToGrid/>
        <w:spacing w:line="420" w:lineRule="exact"/>
        <w:ind w:firstLine="442" w:firstLineChars="200"/>
        <w:jc w:val="left"/>
        <w:textAlignment w:val="auto"/>
        <w:rPr>
          <w:rFonts w:hint="eastAsia" w:ascii="宋体" w:hAnsi="宋体" w:eastAsia="宋体" w:cs="宋体"/>
          <w:b/>
          <w:color w:val="auto"/>
          <w:sz w:val="22"/>
          <w:szCs w:val="22"/>
          <w:highlight w:val="none"/>
          <w:lang w:eastAsia="zh-CN"/>
        </w:rPr>
      </w:pPr>
      <w:r>
        <w:rPr>
          <w:rFonts w:hint="eastAsia" w:ascii="宋体" w:hAnsi="宋体" w:cs="宋体"/>
          <w:b/>
          <w:color w:val="auto"/>
          <w:sz w:val="22"/>
          <w:szCs w:val="22"/>
          <w:highlight w:val="none"/>
          <w:lang w:val="en-US" w:eastAsia="zh-CN"/>
        </w:rPr>
        <w:t>4.</w:t>
      </w:r>
      <w:r>
        <w:rPr>
          <w:rFonts w:hint="eastAsia" w:ascii="宋体" w:hAnsi="宋体" w:cs="宋体"/>
          <w:b/>
          <w:color w:val="auto"/>
          <w:sz w:val="22"/>
          <w:szCs w:val="22"/>
          <w:highlight w:val="none"/>
        </w:rPr>
        <w:t>政采云平台联系电话：</w:t>
      </w:r>
      <w:r>
        <w:rPr>
          <w:rFonts w:hint="eastAsia" w:ascii="宋体" w:hAnsi="宋体" w:cs="宋体"/>
          <w:b/>
          <w:color w:val="auto"/>
          <w:sz w:val="22"/>
          <w:szCs w:val="22"/>
          <w:highlight w:val="none"/>
          <w:lang w:eastAsia="zh-CN"/>
        </w:rPr>
        <w:t>95763</w:t>
      </w:r>
    </w:p>
    <w:p>
      <w:pPr>
        <w:pStyle w:val="24"/>
        <w:keepNext w:val="0"/>
        <w:keepLines w:val="0"/>
        <w:pageBreakBefore w:val="0"/>
        <w:kinsoku/>
        <w:wordWrap/>
        <w:overflowPunct/>
        <w:topLinePunct w:val="0"/>
        <w:bidi w:val="0"/>
        <w:snapToGrid/>
        <w:spacing w:beforeAutospacing="0" w:afterAutospacing="0" w:line="420" w:lineRule="exact"/>
        <w:jc w:val="both"/>
        <w:textAlignment w:val="auto"/>
        <w:outlineLvl w:val="1"/>
        <w:rPr>
          <w:rStyle w:val="30"/>
          <w:rFonts w:hint="eastAsia" w:ascii="宋体" w:hAnsi="宋体" w:eastAsia="宋体" w:cs="宋体"/>
          <w:color w:val="auto"/>
          <w:szCs w:val="24"/>
          <w:highlight w:val="none"/>
          <w:lang w:eastAsia="zh-CN"/>
        </w:rPr>
      </w:pPr>
      <w:r>
        <w:rPr>
          <w:rStyle w:val="30"/>
          <w:rFonts w:hint="eastAsia" w:ascii="宋体" w:hAnsi="宋体" w:eastAsia="宋体" w:cs="宋体"/>
          <w:color w:val="auto"/>
          <w:szCs w:val="24"/>
          <w:highlight w:val="none"/>
          <w:lang w:eastAsia="zh-CN"/>
        </w:rPr>
        <w:t>九、融资需求</w:t>
      </w:r>
    </w:p>
    <w:p>
      <w:pPr>
        <w:pStyle w:val="9"/>
        <w:keepNext w:val="0"/>
        <w:keepLines w:val="0"/>
        <w:pageBreakBefore w:val="0"/>
        <w:kinsoku/>
        <w:wordWrap/>
        <w:overflowPunct/>
        <w:topLinePunct w:val="0"/>
        <w:bidi w:val="0"/>
        <w:snapToGrid/>
        <w:spacing w:line="420" w:lineRule="exact"/>
        <w:ind w:firstLine="482"/>
        <w:jc w:val="center"/>
        <w:textAlignment w:val="auto"/>
        <w:rPr>
          <w:rFonts w:hint="eastAsia" w:cs="Times New Roman" w:asciiTheme="minorEastAsia" w:hAnsiTheme="minorEastAsia" w:eastAsiaTheme="minorEastAsia"/>
          <w:b/>
          <w:color w:val="auto"/>
          <w:sz w:val="22"/>
          <w:szCs w:val="18"/>
        </w:rPr>
      </w:pPr>
      <w:r>
        <w:rPr>
          <w:rFonts w:hint="eastAsia" w:cs="Times New Roman" w:asciiTheme="minorEastAsia" w:hAnsiTheme="minorEastAsia" w:eastAsiaTheme="minorEastAsia"/>
          <w:b/>
          <w:color w:val="auto"/>
          <w:sz w:val="22"/>
          <w:szCs w:val="18"/>
        </w:rPr>
        <w:t>政采贷</w:t>
      </w:r>
      <w:r>
        <w:rPr>
          <w:rFonts w:hint="eastAsia" w:cs="Times New Roman" w:asciiTheme="minorEastAsia" w:hAnsiTheme="minorEastAsia" w:eastAsiaTheme="minorEastAsia"/>
          <w:b/>
          <w:color w:val="auto"/>
          <w:sz w:val="22"/>
          <w:szCs w:val="18"/>
          <w:lang w:eastAsia="zh-CN"/>
        </w:rPr>
        <w:t>联系方式</w:t>
      </w:r>
    </w:p>
    <w:tbl>
      <w:tblPr>
        <w:tblStyle w:val="27"/>
        <w:tblW w:w="9885" w:type="dxa"/>
        <w:jc w:val="center"/>
        <w:tblCellSpacing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15" w:type="dxa"/>
          <w:left w:w="15" w:type="dxa"/>
          <w:bottom w:w="15" w:type="dxa"/>
          <w:right w:w="15" w:type="dxa"/>
        </w:tblCellMar>
      </w:tblPr>
      <w:tblGrid>
        <w:gridCol w:w="933"/>
        <w:gridCol w:w="2540"/>
        <w:gridCol w:w="1555"/>
        <w:gridCol w:w="1459"/>
        <w:gridCol w:w="339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b/>
                <w:bCs/>
                <w:color w:val="auto"/>
              </w:rPr>
            </w:pPr>
            <w:r>
              <w:rPr>
                <w:rFonts w:hint="eastAsia" w:ascii="宋体" w:hAnsi="宋体" w:eastAsia="宋体" w:cs="宋体"/>
                <w:b/>
                <w:bCs/>
                <w:color w:val="auto"/>
              </w:rPr>
              <w:t>序号</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b/>
                <w:bCs/>
                <w:color w:val="auto"/>
              </w:rPr>
            </w:pPr>
            <w:r>
              <w:rPr>
                <w:rFonts w:hint="eastAsia" w:ascii="宋体" w:hAnsi="宋体" w:eastAsia="宋体" w:cs="宋体"/>
                <w:b/>
                <w:bCs/>
                <w:color w:val="auto"/>
              </w:rPr>
              <w:t>银行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b/>
                <w:bCs/>
                <w:color w:val="auto"/>
              </w:rPr>
            </w:pPr>
            <w:r>
              <w:rPr>
                <w:rFonts w:hint="eastAsia" w:ascii="宋体" w:hAnsi="宋体" w:eastAsia="宋体" w:cs="宋体"/>
                <w:b/>
                <w:bCs/>
                <w:color w:val="auto"/>
              </w:rPr>
              <w:t>贷款年利率</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b/>
                <w:bCs/>
                <w:color w:val="auto"/>
              </w:rPr>
            </w:pPr>
            <w:r>
              <w:rPr>
                <w:rFonts w:hint="eastAsia" w:ascii="宋体" w:hAnsi="宋体" w:eastAsia="宋体" w:cs="宋体"/>
                <w:b/>
                <w:bCs/>
                <w:color w:val="auto"/>
              </w:rPr>
              <w:t>联系人</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b/>
                <w:bCs/>
                <w:color w:val="auto"/>
              </w:rPr>
            </w:pPr>
            <w:r>
              <w:rPr>
                <w:rFonts w:hint="eastAsia" w:ascii="宋体" w:hAnsi="宋体" w:eastAsia="宋体" w:cs="宋体"/>
                <w:b/>
                <w:bCs/>
                <w:color w:val="auto"/>
              </w:rPr>
              <w:t>联系电话</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中国工商银行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3.8%起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王霖</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88588246、13857654562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2</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中国农业银行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3.8%起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龚盛</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15858682216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3</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中国建设银行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3.8%起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梅晶晶</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88525339、13736585303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4</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中国银行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3.75%起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任茜</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13857695378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5</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浦发银行台州分行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4.05%起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王渊</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13616676319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6</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浦发银行椒江分行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4.05%起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孙瑞华</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13857688081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7</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交通银行台州分行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3.75%起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周翔宇</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13867697018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8</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招商银行台州分行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4.32%起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王海玲</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13566413827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9</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浙商银行台州分行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5.01%起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章涉漪</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81880185、13606681262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10</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中信银行台州分行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4.15%起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陈金园</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13586052161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11</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华夏银行台州分行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4.5%起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邱明达</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81871518、13736252233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12</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泰隆银行开发区支行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5.6%起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梁宛莉</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13306869100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13</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民泰银行椒江支行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5.8%起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陈慧珠</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13857699669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14</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绍兴银行台州分行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5.1%起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郭庭斌</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15958633119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15</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温州银行台州分行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4.55%起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王晓波</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15824005475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16</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平安银行台州分行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6.53%起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李俊丽</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15906861025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17</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宁波银行台州分行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4.35%起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戴莉丽</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13566627207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18</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金华银行台州分行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4.05%起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金雪婷</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81886670、15968661569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247"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19</w:t>
            </w:r>
          </w:p>
        </w:tc>
        <w:tc>
          <w:tcPr>
            <w:tcW w:w="25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台州银行</w:t>
            </w:r>
          </w:p>
        </w:tc>
        <w:tc>
          <w:tcPr>
            <w:tcW w:w="152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5.6%起</w:t>
            </w:r>
          </w:p>
        </w:tc>
        <w:tc>
          <w:tcPr>
            <w:tcW w:w="1429"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洪婷</w:t>
            </w:r>
          </w:p>
        </w:tc>
        <w:tc>
          <w:tcPr>
            <w:tcW w:w="3353"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rPr>
            </w:pPr>
            <w:r>
              <w:rPr>
                <w:rFonts w:hint="eastAsia" w:ascii="宋体" w:hAnsi="宋体" w:eastAsia="宋体" w:cs="宋体"/>
                <w:color w:val="auto"/>
              </w:rPr>
              <w:t>15858624999</w:t>
            </w:r>
          </w:p>
        </w:tc>
      </w:tr>
    </w:tbl>
    <w:p>
      <w:pPr>
        <w:pStyle w:val="9"/>
        <w:keepNext w:val="0"/>
        <w:keepLines w:val="0"/>
        <w:pageBreakBefore w:val="0"/>
        <w:kinsoku/>
        <w:wordWrap/>
        <w:overflowPunct/>
        <w:topLinePunct w:val="0"/>
        <w:bidi w:val="0"/>
        <w:snapToGrid/>
        <w:spacing w:line="420" w:lineRule="exact"/>
        <w:ind w:firstLine="482"/>
        <w:jc w:val="center"/>
        <w:textAlignment w:val="auto"/>
        <w:rPr>
          <w:rFonts w:hint="eastAsia" w:asciiTheme="minorEastAsia" w:hAnsiTheme="minorEastAsia" w:eastAsiaTheme="minorEastAsia"/>
          <w:b/>
          <w:color w:val="auto"/>
          <w:sz w:val="22"/>
          <w:szCs w:val="18"/>
        </w:rPr>
      </w:pPr>
    </w:p>
    <w:p>
      <w:pPr>
        <w:pStyle w:val="9"/>
        <w:keepNext w:val="0"/>
        <w:keepLines w:val="0"/>
        <w:pageBreakBefore w:val="0"/>
        <w:kinsoku/>
        <w:wordWrap/>
        <w:overflowPunct/>
        <w:topLinePunct w:val="0"/>
        <w:bidi w:val="0"/>
        <w:snapToGrid/>
        <w:spacing w:line="420" w:lineRule="exact"/>
        <w:ind w:firstLine="482"/>
        <w:jc w:val="center"/>
        <w:textAlignment w:val="auto"/>
        <w:outlineLvl w:val="0"/>
        <w:rPr>
          <w:rFonts w:asciiTheme="minorEastAsia" w:hAnsiTheme="minorEastAsia" w:eastAsiaTheme="minorEastAsia"/>
          <w:b/>
          <w:color w:val="auto"/>
          <w:sz w:val="22"/>
          <w:szCs w:val="18"/>
        </w:rPr>
      </w:pPr>
      <w:bookmarkStart w:id="43" w:name="_Toc15843"/>
      <w:r>
        <w:rPr>
          <w:rFonts w:hint="eastAsia" w:asciiTheme="minorEastAsia" w:hAnsiTheme="minorEastAsia" w:eastAsiaTheme="minorEastAsia"/>
          <w:b/>
          <w:color w:val="auto"/>
          <w:sz w:val="22"/>
          <w:szCs w:val="18"/>
        </w:rPr>
        <w:t>合同履约保函联系方式</w:t>
      </w:r>
      <w:bookmarkEnd w:id="43"/>
    </w:p>
    <w:tbl>
      <w:tblPr>
        <w:tblStyle w:val="27"/>
        <w:tblW w:w="9885" w:type="dxa"/>
        <w:jc w:val="center"/>
        <w:tblCellSpacing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15" w:type="dxa"/>
          <w:left w:w="15" w:type="dxa"/>
          <w:bottom w:w="15" w:type="dxa"/>
          <w:right w:w="15" w:type="dxa"/>
        </w:tblCellMar>
      </w:tblPr>
      <w:tblGrid>
        <w:gridCol w:w="933"/>
        <w:gridCol w:w="2968"/>
        <w:gridCol w:w="3240"/>
        <w:gridCol w:w="1125"/>
        <w:gridCol w:w="161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b/>
                <w:bCs/>
                <w:color w:val="auto"/>
              </w:rPr>
            </w:pPr>
            <w:r>
              <w:rPr>
                <w:rFonts w:hint="eastAsia"/>
                <w:b/>
                <w:bCs/>
                <w:color w:val="auto"/>
              </w:rPr>
              <w:t>序号</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b/>
                <w:bCs/>
                <w:color w:val="auto"/>
                <w:sz w:val="21"/>
                <w:szCs w:val="21"/>
              </w:rPr>
            </w:pPr>
            <w:r>
              <w:rPr>
                <w:rFonts w:hint="eastAsia" w:asciiTheme="minorEastAsia" w:hAnsiTheme="minorEastAsia" w:eastAsiaTheme="minorEastAsia"/>
                <w:b/>
                <w:bCs/>
                <w:color w:val="auto"/>
                <w:kern w:val="0"/>
                <w:sz w:val="21"/>
                <w:szCs w:val="21"/>
              </w:rPr>
              <w:t>保险公司名称</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b/>
                <w:bCs/>
                <w:color w:val="auto"/>
                <w:sz w:val="21"/>
                <w:szCs w:val="21"/>
              </w:rPr>
            </w:pPr>
            <w:r>
              <w:rPr>
                <w:rFonts w:hint="eastAsia" w:asciiTheme="minorEastAsia" w:hAnsiTheme="minorEastAsia" w:eastAsiaTheme="minorEastAsia"/>
                <w:b/>
                <w:bCs/>
                <w:color w:val="auto"/>
                <w:kern w:val="0"/>
                <w:sz w:val="21"/>
                <w:szCs w:val="21"/>
              </w:rPr>
              <w:t>保费率</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b/>
                <w:bCs/>
                <w:color w:val="auto"/>
                <w:sz w:val="21"/>
                <w:szCs w:val="21"/>
              </w:rPr>
            </w:pPr>
            <w:r>
              <w:rPr>
                <w:rFonts w:hint="eastAsia" w:asciiTheme="minorEastAsia" w:hAnsiTheme="minorEastAsia" w:eastAsiaTheme="minorEastAsia"/>
                <w:b/>
                <w:bCs/>
                <w:color w:val="auto"/>
                <w:kern w:val="0"/>
                <w:sz w:val="21"/>
                <w:szCs w:val="21"/>
              </w:rPr>
              <w:t>联系人</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b/>
                <w:bCs/>
                <w:color w:val="auto"/>
                <w:sz w:val="21"/>
                <w:szCs w:val="21"/>
              </w:rPr>
            </w:pPr>
            <w:r>
              <w:rPr>
                <w:rFonts w:hint="eastAsia" w:asciiTheme="minorEastAsia" w:hAnsiTheme="minorEastAsia" w:eastAsiaTheme="minorEastAsia"/>
                <w:b/>
                <w:bCs/>
                <w:color w:val="auto"/>
                <w:kern w:val="0"/>
                <w:sz w:val="21"/>
                <w:szCs w:val="21"/>
              </w:rPr>
              <w:t>联系电话</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rPr>
            </w:pPr>
            <w:r>
              <w:rPr>
                <w:rFonts w:hint="eastAsia"/>
                <w:color w:val="auto"/>
              </w:rPr>
              <w:t>1</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中国人寿财产保险股份有限公司台州中心支公司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年费率1%，最低保费500元</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徐凌</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13905168070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rPr>
            </w:pPr>
            <w:r>
              <w:rPr>
                <w:rFonts w:hint="eastAsia"/>
                <w:color w:val="auto"/>
              </w:rPr>
              <w:t>2</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永诚财产保险股份有限公司台州分公司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年费率1%，最低保费1000元</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尹刚强</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13750668184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rPr>
            </w:pPr>
            <w:r>
              <w:rPr>
                <w:rFonts w:hint="eastAsia"/>
                <w:color w:val="auto"/>
              </w:rPr>
              <w:t>3</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华泰财产保险有限公司台州中心支公司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年费率0.5%，最低保费1000元</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王灵芳</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88869818、13586123199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rPr>
            </w:pPr>
            <w:r>
              <w:rPr>
                <w:rFonts w:hint="eastAsia"/>
                <w:color w:val="auto"/>
              </w:rPr>
              <w:t>4</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中国大地财产保险股份有限公司台州中心支公司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年费率1.5%，最低保费1000元</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徐小明</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88552788、13968603112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rPr>
            </w:pPr>
            <w:r>
              <w:rPr>
                <w:rFonts w:hint="eastAsia"/>
                <w:color w:val="auto"/>
              </w:rPr>
              <w:t>5</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阳光保险台州中心支公司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年费率1%，最低保费500元</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林高明</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15888682693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rPr>
            </w:pPr>
            <w:r>
              <w:rPr>
                <w:rFonts w:hint="eastAsia"/>
                <w:color w:val="auto"/>
              </w:rPr>
              <w:t>6</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中华联合财产保险股份有限公司台州中心支公司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年费率2%，最低保费500元</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王仙高</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13858600221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rPr>
            </w:pPr>
            <w:r>
              <w:rPr>
                <w:rFonts w:hint="eastAsia"/>
                <w:color w:val="auto"/>
              </w:rPr>
              <w:t>7</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中国人民财产保险股份有限公司台州中心支公司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年费率0.3%，最低保费1000元</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王仙春</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13515769179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rPr>
            </w:pPr>
            <w:r>
              <w:rPr>
                <w:rFonts w:hint="eastAsia"/>
                <w:color w:val="auto"/>
              </w:rPr>
              <w:t>8</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永安财产保险股份有限公司台州中心支公司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年费率0.3%，最低保费1000</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王春宇</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color w:val="auto"/>
                <w:sz w:val="21"/>
                <w:szCs w:val="21"/>
              </w:rPr>
            </w:pPr>
            <w:r>
              <w:rPr>
                <w:rFonts w:hint="eastAsia" w:asciiTheme="minorEastAsia" w:hAnsiTheme="minorEastAsia" w:eastAsiaTheme="minorEastAsia"/>
                <w:color w:val="auto"/>
                <w:kern w:val="0"/>
                <w:sz w:val="21"/>
                <w:szCs w:val="21"/>
              </w:rPr>
              <w:t>13676675331</w:t>
            </w:r>
          </w:p>
        </w:tc>
      </w:tr>
    </w:tbl>
    <w:p>
      <w:pPr>
        <w:keepNext w:val="0"/>
        <w:keepLines w:val="0"/>
        <w:pageBreakBefore w:val="0"/>
        <w:kinsoku/>
        <w:wordWrap/>
        <w:overflowPunct/>
        <w:topLinePunct w:val="0"/>
        <w:bidi w:val="0"/>
        <w:snapToGrid/>
        <w:spacing w:line="420" w:lineRule="exact"/>
        <w:ind w:firstLine="773" w:firstLineChars="350"/>
        <w:jc w:val="center"/>
        <w:textAlignment w:val="auto"/>
        <w:rPr>
          <w:rFonts w:hint="eastAsia" w:cs="宋体" w:asciiTheme="minorEastAsia" w:hAnsiTheme="minorEastAsia" w:eastAsiaTheme="minorEastAsia"/>
          <w:b/>
          <w:color w:val="auto"/>
          <w:sz w:val="22"/>
          <w:szCs w:val="22"/>
        </w:rPr>
      </w:pPr>
    </w:p>
    <w:p>
      <w:pPr>
        <w:keepNext w:val="0"/>
        <w:keepLines w:val="0"/>
        <w:pageBreakBefore w:val="0"/>
        <w:kinsoku/>
        <w:wordWrap/>
        <w:overflowPunct/>
        <w:topLinePunct w:val="0"/>
        <w:bidi w:val="0"/>
        <w:snapToGrid/>
        <w:spacing w:line="420" w:lineRule="exact"/>
        <w:ind w:firstLine="773" w:firstLineChars="350"/>
        <w:jc w:val="center"/>
        <w:textAlignment w:val="auto"/>
        <w:rPr>
          <w:rFonts w:cs="宋体" w:asciiTheme="minorEastAsia" w:hAnsiTheme="minorEastAsia" w:eastAsiaTheme="minorEastAsia"/>
          <w:b/>
          <w:color w:val="auto"/>
          <w:sz w:val="22"/>
          <w:szCs w:val="22"/>
        </w:rPr>
      </w:pPr>
      <w:r>
        <w:rPr>
          <w:rFonts w:hint="eastAsia" w:cs="宋体" w:asciiTheme="minorEastAsia" w:hAnsiTheme="minorEastAsia" w:eastAsiaTheme="minorEastAsia"/>
          <w:b/>
          <w:color w:val="auto"/>
          <w:sz w:val="22"/>
          <w:szCs w:val="22"/>
        </w:rPr>
        <w:t>预付款保函联系方式</w:t>
      </w:r>
    </w:p>
    <w:tbl>
      <w:tblPr>
        <w:tblStyle w:val="27"/>
        <w:tblW w:w="9885" w:type="dxa"/>
        <w:jc w:val="center"/>
        <w:tblCellSpacing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15" w:type="dxa"/>
          <w:left w:w="15" w:type="dxa"/>
          <w:bottom w:w="15" w:type="dxa"/>
          <w:right w:w="15" w:type="dxa"/>
        </w:tblCellMar>
      </w:tblPr>
      <w:tblGrid>
        <w:gridCol w:w="933"/>
        <w:gridCol w:w="2968"/>
        <w:gridCol w:w="3240"/>
        <w:gridCol w:w="1125"/>
        <w:gridCol w:w="161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b/>
                <w:bCs/>
                <w:color w:val="auto"/>
              </w:rPr>
            </w:pPr>
            <w:r>
              <w:rPr>
                <w:rFonts w:hint="eastAsia"/>
                <w:b/>
                <w:bCs/>
                <w:color w:val="auto"/>
              </w:rPr>
              <w:t>序号</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b/>
                <w:bCs/>
                <w:color w:val="auto"/>
                <w:sz w:val="21"/>
                <w:szCs w:val="21"/>
              </w:rPr>
            </w:pPr>
            <w:r>
              <w:rPr>
                <w:rFonts w:hint="eastAsia" w:asciiTheme="minorEastAsia" w:hAnsiTheme="minorEastAsia" w:eastAsiaTheme="minorEastAsia"/>
                <w:b/>
                <w:bCs/>
                <w:color w:val="auto"/>
                <w:kern w:val="0"/>
                <w:sz w:val="21"/>
                <w:szCs w:val="21"/>
              </w:rPr>
              <w:t>保险公司名称</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b/>
                <w:bCs/>
                <w:color w:val="auto"/>
                <w:sz w:val="21"/>
                <w:szCs w:val="21"/>
              </w:rPr>
            </w:pPr>
            <w:r>
              <w:rPr>
                <w:rFonts w:hint="eastAsia" w:asciiTheme="minorEastAsia" w:hAnsiTheme="minorEastAsia" w:eastAsiaTheme="minorEastAsia"/>
                <w:b/>
                <w:bCs/>
                <w:color w:val="auto"/>
                <w:kern w:val="0"/>
                <w:sz w:val="21"/>
                <w:szCs w:val="21"/>
              </w:rPr>
              <w:t>保费率</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b/>
                <w:bCs/>
                <w:color w:val="auto"/>
                <w:sz w:val="21"/>
                <w:szCs w:val="21"/>
              </w:rPr>
            </w:pPr>
            <w:r>
              <w:rPr>
                <w:rFonts w:hint="eastAsia" w:asciiTheme="minorEastAsia" w:hAnsiTheme="minorEastAsia" w:eastAsiaTheme="minorEastAsia"/>
                <w:b/>
                <w:bCs/>
                <w:color w:val="auto"/>
                <w:kern w:val="0"/>
                <w:sz w:val="21"/>
                <w:szCs w:val="21"/>
              </w:rPr>
              <w:t>联系人</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b/>
                <w:bCs/>
                <w:color w:val="auto"/>
                <w:sz w:val="21"/>
                <w:szCs w:val="21"/>
              </w:rPr>
            </w:pPr>
            <w:r>
              <w:rPr>
                <w:rFonts w:hint="eastAsia" w:asciiTheme="minorEastAsia" w:hAnsiTheme="minorEastAsia" w:eastAsiaTheme="minorEastAsia"/>
                <w:b/>
                <w:bCs/>
                <w:color w:val="auto"/>
                <w:kern w:val="0"/>
                <w:sz w:val="21"/>
                <w:szCs w:val="21"/>
              </w:rPr>
              <w:t>联系电话</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中国人寿财产保险股份有限公司台州中心支公司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年费率3%，最低保费500元</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徐凌</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13905168070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阳光保险台州中心支公司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年费率1%，最低保费500元</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林高明</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15888682693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315" w:hRule="atLeast"/>
          <w:tblCellSpacing w:w="15" w:type="dxa"/>
          <w:jc w:val="center"/>
        </w:trPr>
        <w:tc>
          <w:tcPr>
            <w:tcW w:w="88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2938"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天安财产保险股份有限公司台州中心支公司</w:t>
            </w:r>
          </w:p>
        </w:tc>
        <w:tc>
          <w:tcPr>
            <w:tcW w:w="3210"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年费率1%-2%，最低保费500元</w:t>
            </w:r>
          </w:p>
        </w:tc>
        <w:tc>
          <w:tcPr>
            <w:tcW w:w="1095"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罗赛</w:t>
            </w:r>
          </w:p>
        </w:tc>
        <w:tc>
          <w:tcPr>
            <w:tcW w:w="1574" w:type="dxa"/>
            <w:tcBorders>
              <w:tl2br w:val="nil"/>
              <w:tr2bl w:val="nil"/>
            </w:tcBorders>
            <w:noWrap w:val="0"/>
            <w:tcMar>
              <w:top w:w="0" w:type="dxa"/>
              <w:left w:w="105" w:type="dxa"/>
              <w:bottom w:w="0" w:type="dxa"/>
              <w:right w:w="105" w:type="dxa"/>
            </w:tcMar>
            <w:vAlign w:val="center"/>
          </w:tcPr>
          <w:p>
            <w:pPr>
              <w:keepNext w:val="0"/>
              <w:keepLines w:val="0"/>
              <w:pageBreakBefore w:val="0"/>
              <w:suppressLineNumbers w:val="0"/>
              <w:kinsoku/>
              <w:wordWrap/>
              <w:overflowPunct/>
              <w:topLinePunct w:val="0"/>
              <w:bidi w:val="0"/>
              <w:snapToGrid/>
              <w:spacing w:before="0" w:beforeAutospacing="0" w:after="0" w:afterAutospacing="0" w:line="420" w:lineRule="exact"/>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13736605643</w:t>
            </w:r>
          </w:p>
        </w:tc>
      </w:tr>
    </w:tbl>
    <w:p>
      <w:pPr>
        <w:pStyle w:val="26"/>
        <w:keepNext w:val="0"/>
        <w:keepLines w:val="0"/>
        <w:pageBreakBefore w:val="0"/>
        <w:kinsoku/>
        <w:wordWrap/>
        <w:overflowPunct/>
        <w:topLinePunct w:val="0"/>
        <w:bidi w:val="0"/>
        <w:snapToGrid/>
        <w:spacing w:line="420" w:lineRule="exact"/>
        <w:ind w:firstLine="0"/>
        <w:textAlignment w:val="auto"/>
        <w:rPr>
          <w:color w:val="auto"/>
          <w:highlight w:val="none"/>
        </w:rPr>
      </w:pPr>
    </w:p>
    <w:p>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spacing w:line="420" w:lineRule="exact"/>
        <w:ind w:firstLine="539"/>
        <w:jc w:val="right"/>
        <w:textAlignment w:val="auto"/>
        <w:rPr>
          <w:rFonts w:ascii="宋体" w:hAnsi="宋体" w:cs="宋体"/>
          <w:color w:val="auto"/>
          <w:sz w:val="22"/>
          <w:szCs w:val="22"/>
          <w:highlight w:val="none"/>
        </w:rPr>
      </w:pPr>
      <w:r>
        <w:rPr>
          <w:rFonts w:hint="eastAsia" w:ascii="宋体" w:hAnsi="宋体" w:cs="宋体"/>
          <w:color w:val="auto"/>
          <w:sz w:val="22"/>
          <w:szCs w:val="22"/>
          <w:highlight w:val="none"/>
          <w:shd w:val="clear" w:color="auto" w:fill="FFFFFF"/>
          <w:lang w:eastAsia="zh-CN"/>
        </w:rPr>
        <w:t>赢海招标代理（台州）有限公司</w:t>
      </w:r>
      <w:r>
        <w:rPr>
          <w:rFonts w:hint="eastAsia" w:ascii="宋体" w:hAnsi="宋体" w:cs="宋体"/>
          <w:color w:val="auto"/>
          <w:kern w:val="0"/>
          <w:sz w:val="22"/>
          <w:szCs w:val="22"/>
          <w:highlight w:val="none"/>
        </w:rPr>
        <w:t xml:space="preserve"> </w:t>
      </w:r>
    </w:p>
    <w:p>
      <w:pPr>
        <w:keepNext w:val="0"/>
        <w:keepLines w:val="0"/>
        <w:pageBreakBefore w:val="0"/>
        <w:widowControl/>
        <w:kinsoku/>
        <w:wordWrap/>
        <w:overflowPunct/>
        <w:topLinePunct w:val="0"/>
        <w:bidi w:val="0"/>
        <w:snapToGrid/>
        <w:spacing w:line="420" w:lineRule="exact"/>
        <w:jc w:val="right"/>
        <w:textAlignment w:val="auto"/>
        <w:rPr>
          <w:rFonts w:hint="eastAsia" w:ascii="宋体" w:hAnsi="宋体" w:eastAsia="宋体" w:cs="宋体"/>
          <w:color w:val="auto"/>
          <w:kern w:val="0"/>
          <w:sz w:val="22"/>
          <w:szCs w:val="22"/>
          <w:highlight w:val="none"/>
          <w:lang w:eastAsia="zh-CN"/>
        </w:rPr>
      </w:pPr>
      <w:r>
        <w:rPr>
          <w:rFonts w:hint="eastAsia" w:ascii="宋体" w:hAnsi="宋体" w:cs="宋体"/>
          <w:color w:val="auto"/>
          <w:kern w:val="0"/>
          <w:sz w:val="22"/>
          <w:szCs w:val="22"/>
          <w:highlight w:val="none"/>
        </w:rPr>
        <w:t xml:space="preserve">   </w:t>
      </w:r>
      <w:r>
        <w:rPr>
          <w:rFonts w:hint="eastAsia" w:ascii="宋体" w:hAnsi="宋体" w:cs="宋体"/>
          <w:color w:val="auto"/>
          <w:kern w:val="0"/>
          <w:sz w:val="22"/>
          <w:szCs w:val="22"/>
          <w:highlight w:val="none"/>
          <w:lang w:eastAsia="zh-CN"/>
        </w:rPr>
        <w:t>2023年</w:t>
      </w:r>
      <w:r>
        <w:rPr>
          <w:rFonts w:hint="eastAsia" w:ascii="宋体" w:hAnsi="宋体" w:cs="宋体"/>
          <w:color w:val="auto"/>
          <w:kern w:val="0"/>
          <w:sz w:val="22"/>
          <w:szCs w:val="22"/>
          <w:highlight w:val="none"/>
          <w:lang w:val="en-US" w:eastAsia="zh-CN"/>
        </w:rPr>
        <w:t>6</w:t>
      </w:r>
      <w:r>
        <w:rPr>
          <w:rFonts w:hint="eastAsia" w:ascii="宋体" w:hAnsi="宋体" w:cs="宋体"/>
          <w:color w:val="auto"/>
          <w:kern w:val="0"/>
          <w:sz w:val="22"/>
          <w:szCs w:val="22"/>
          <w:highlight w:val="none"/>
          <w:lang w:eastAsia="zh-CN"/>
        </w:rPr>
        <w:t>月</w:t>
      </w:r>
    </w:p>
    <w:bookmarkEnd w:id="2"/>
    <w:bookmarkEnd w:id="3"/>
    <w:p>
      <w:pPr>
        <w:pStyle w:val="3"/>
        <w:numPr>
          <w:ilvl w:val="0"/>
          <w:numId w:val="0"/>
        </w:numPr>
        <w:jc w:val="center"/>
        <w:outlineLvl w:val="9"/>
        <w:rPr>
          <w:rFonts w:hint="eastAsia"/>
          <w:color w:val="auto"/>
          <w:sz w:val="36"/>
          <w:szCs w:val="36"/>
          <w:highlight w:val="none"/>
          <w:lang w:val="en-US" w:eastAsia="zh-CN"/>
        </w:rPr>
      </w:pPr>
      <w:r>
        <w:rPr>
          <w:rFonts w:hint="eastAsia"/>
          <w:color w:val="auto"/>
          <w:sz w:val="36"/>
          <w:szCs w:val="36"/>
          <w:highlight w:val="none"/>
          <w:lang w:val="en-US" w:eastAsia="zh-CN"/>
        </w:rPr>
        <w:br w:type="page"/>
      </w:r>
    </w:p>
    <w:p>
      <w:pPr>
        <w:pStyle w:val="3"/>
        <w:numPr>
          <w:ilvl w:val="0"/>
          <w:numId w:val="4"/>
        </w:numPr>
        <w:ind w:left="0" w:leftChars="0" w:firstLine="402" w:firstLineChars="0"/>
        <w:rPr>
          <w:rFonts w:hint="eastAsia"/>
          <w:color w:val="auto"/>
          <w:sz w:val="36"/>
          <w:szCs w:val="36"/>
          <w:lang w:val="en-US" w:eastAsia="zh-CN"/>
        </w:rPr>
      </w:pPr>
      <w:bookmarkStart w:id="44" w:name="_Toc24273"/>
      <w:r>
        <w:rPr>
          <w:rFonts w:hint="eastAsia"/>
          <w:color w:val="auto"/>
          <w:sz w:val="36"/>
          <w:szCs w:val="36"/>
          <w:lang w:val="en-US" w:eastAsia="zh-CN"/>
        </w:rPr>
        <w:t>供应商须知</w:t>
      </w:r>
      <w:bookmarkEnd w:id="44"/>
    </w:p>
    <w:p>
      <w:pPr>
        <w:spacing w:line="360" w:lineRule="auto"/>
        <w:rPr>
          <w:rFonts w:ascii="宋体" w:hAnsi="宋体" w:cs="宋体"/>
          <w:b/>
          <w:color w:val="auto"/>
          <w:sz w:val="24"/>
          <w:highlight w:val="none"/>
        </w:rPr>
      </w:pPr>
      <w:r>
        <w:rPr>
          <w:rFonts w:hint="eastAsia" w:ascii="宋体" w:hAnsi="宋体" w:cs="宋体"/>
          <w:b/>
          <w:color w:val="auto"/>
          <w:sz w:val="24"/>
          <w:highlight w:val="none"/>
        </w:rPr>
        <w:t>一、前附表</w:t>
      </w:r>
    </w:p>
    <w:tbl>
      <w:tblPr>
        <w:tblStyle w:val="27"/>
        <w:tblW w:w="921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819"/>
        <w:gridCol w:w="669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序号</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事项</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本项目的特别规定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1</w:t>
            </w:r>
          </w:p>
        </w:tc>
        <w:tc>
          <w:tcPr>
            <w:tcW w:w="1819"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20" w:lineRule="exact"/>
              <w:ind w:left="0" w:right="0"/>
              <w:jc w:val="center"/>
              <w:textAlignment w:val="auto"/>
              <w:outlineLvl w:val="9"/>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项目名称</w:t>
            </w:r>
          </w:p>
        </w:tc>
        <w:tc>
          <w:tcPr>
            <w:tcW w:w="6690" w:type="dxa"/>
            <w:tcBorders>
              <w:tl2br w:val="nil"/>
              <w:tr2bl w:val="nil"/>
            </w:tcBorders>
            <w:vAlign w:val="center"/>
          </w:tcPr>
          <w:p>
            <w:pPr>
              <w:pStyle w:val="16"/>
              <w:keepNext w:val="0"/>
              <w:keepLines w:val="0"/>
              <w:pageBreakBefore w:val="0"/>
              <w:widowControl w:val="0"/>
              <w:suppressLineNumbers w:val="0"/>
              <w:kinsoku/>
              <w:wordWrap/>
              <w:overflowPunct/>
              <w:topLinePunct w:val="0"/>
              <w:autoSpaceDE/>
              <w:autoSpaceDN/>
              <w:bidi w:val="0"/>
              <w:snapToGrid/>
              <w:spacing w:before="0" w:beforeAutospacing="0" w:after="0" w:afterAutospacing="0" w:line="420" w:lineRule="exact"/>
              <w:ind w:left="0" w:right="0"/>
              <w:textAlignment w:val="auto"/>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椒江区前所街道圆山社区党群服务中心设计施工一体化项目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2</w:t>
            </w:r>
          </w:p>
        </w:tc>
        <w:tc>
          <w:tcPr>
            <w:tcW w:w="1819"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20" w:lineRule="exact"/>
              <w:ind w:left="0" w:right="0"/>
              <w:jc w:val="center"/>
              <w:textAlignment w:val="auto"/>
              <w:outlineLvl w:val="9"/>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采购预算价</w:t>
            </w:r>
          </w:p>
        </w:tc>
        <w:tc>
          <w:tcPr>
            <w:tcW w:w="6690" w:type="dxa"/>
            <w:tcBorders>
              <w:tl2br w:val="nil"/>
              <w:tr2bl w:val="nil"/>
            </w:tcBorders>
            <w:vAlign w:val="center"/>
          </w:tcPr>
          <w:p>
            <w:pPr>
              <w:pStyle w:val="16"/>
              <w:keepNext w:val="0"/>
              <w:keepLines w:val="0"/>
              <w:pageBreakBefore w:val="0"/>
              <w:widowControl w:val="0"/>
              <w:suppressLineNumbers w:val="0"/>
              <w:kinsoku/>
              <w:wordWrap/>
              <w:overflowPunct/>
              <w:topLinePunct w:val="0"/>
              <w:autoSpaceDE/>
              <w:autoSpaceDN/>
              <w:bidi w:val="0"/>
              <w:snapToGrid/>
              <w:spacing w:before="0" w:beforeAutospacing="0" w:after="0" w:afterAutospacing="0" w:line="420" w:lineRule="exact"/>
              <w:ind w:left="0" w:right="0"/>
              <w:textAlignment w:val="auto"/>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预算：</w:t>
            </w:r>
            <w:r>
              <w:rPr>
                <w:rFonts w:hint="eastAsia" w:hAnsi="宋体" w:cs="宋体"/>
                <w:kern w:val="2"/>
                <w:sz w:val="22"/>
                <w:szCs w:val="22"/>
                <w:lang w:val="en-US" w:eastAsia="zh-CN" w:bidi="ar-SA"/>
              </w:rPr>
              <w:t>1500000元</w:t>
            </w:r>
            <w:r>
              <w:rPr>
                <w:rFonts w:hint="eastAsia" w:ascii="宋体" w:hAnsi="宋体" w:eastAsia="宋体" w:cs="宋体"/>
                <w:kern w:val="2"/>
                <w:sz w:val="22"/>
                <w:szCs w:val="22"/>
                <w:lang w:val="en-US" w:eastAsia="zh-CN" w:bidi="ar-SA"/>
              </w:rPr>
              <w:t>；最高限价：</w:t>
            </w:r>
            <w:r>
              <w:rPr>
                <w:rFonts w:hint="eastAsia" w:hAnsi="宋体" w:cs="宋体"/>
                <w:kern w:val="2"/>
                <w:sz w:val="22"/>
                <w:szCs w:val="22"/>
                <w:lang w:val="en-US" w:eastAsia="zh-CN" w:bidi="ar-SA"/>
              </w:rPr>
              <w:t>1500000元</w:t>
            </w:r>
            <w:r>
              <w:rPr>
                <w:rFonts w:hint="eastAsia" w:ascii="宋体" w:hAnsi="宋体" w:eastAsia="宋体" w:cs="宋体"/>
                <w:kern w:val="2"/>
                <w:sz w:val="22"/>
                <w:szCs w:val="22"/>
                <w:lang w:val="en-US" w:eastAsia="zh-CN" w:bidi="ar-SA"/>
              </w:rPr>
              <w:t>；其中，工程设计费最高限价为人民币50000元；建筑安装工程费最高限价为人民币</w:t>
            </w:r>
            <w:r>
              <w:rPr>
                <w:rFonts w:hint="eastAsia" w:hAnsi="宋体" w:cs="宋体"/>
                <w:kern w:val="2"/>
                <w:sz w:val="22"/>
                <w:szCs w:val="22"/>
                <w:lang w:val="en-US" w:eastAsia="zh-CN" w:bidi="ar-SA"/>
              </w:rPr>
              <w:t>1450000</w:t>
            </w:r>
            <w:r>
              <w:rPr>
                <w:rFonts w:hint="eastAsia" w:ascii="宋体" w:hAnsi="宋体" w:eastAsia="宋体" w:cs="宋体"/>
                <w:kern w:val="2"/>
                <w:sz w:val="22"/>
                <w:szCs w:val="22"/>
                <w:lang w:val="en-US" w:eastAsia="zh-CN" w:bidi="ar-SA"/>
              </w:rPr>
              <w:t>元。</w:t>
            </w:r>
            <w:r>
              <w:rPr>
                <w:rFonts w:hint="eastAsia" w:ascii="宋体" w:hAnsi="宋体" w:eastAsia="宋体" w:cs="宋体"/>
                <w:bCs/>
                <w:sz w:val="22"/>
                <w:szCs w:val="22"/>
              </w:rPr>
              <w:t>▲</w:t>
            </w:r>
            <w:r>
              <w:rPr>
                <w:rFonts w:hint="eastAsia" w:ascii="宋体" w:hAnsi="宋体" w:eastAsia="宋体" w:cs="宋体"/>
                <w:kern w:val="2"/>
                <w:sz w:val="22"/>
                <w:szCs w:val="22"/>
                <w:lang w:val="en-US" w:eastAsia="zh-CN" w:bidi="ar-SA"/>
              </w:rPr>
              <w:t>超过各项最高限价作无效标处理。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3</w:t>
            </w:r>
          </w:p>
        </w:tc>
        <w:tc>
          <w:tcPr>
            <w:tcW w:w="1819"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20" w:lineRule="exact"/>
              <w:ind w:left="0" w:right="0"/>
              <w:jc w:val="center"/>
              <w:textAlignment w:val="auto"/>
              <w:outlineLvl w:val="9"/>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建设工期</w:t>
            </w:r>
          </w:p>
        </w:tc>
        <w:tc>
          <w:tcPr>
            <w:tcW w:w="6690" w:type="dxa"/>
            <w:tcBorders>
              <w:tl2br w:val="nil"/>
              <w:tr2bl w:val="nil"/>
            </w:tcBorders>
            <w:vAlign w:val="center"/>
          </w:tcPr>
          <w:p>
            <w:pPr>
              <w:pStyle w:val="16"/>
              <w:keepNext w:val="0"/>
              <w:keepLines w:val="0"/>
              <w:pageBreakBefore w:val="0"/>
              <w:widowControl w:val="0"/>
              <w:suppressLineNumbers w:val="0"/>
              <w:kinsoku/>
              <w:wordWrap/>
              <w:overflowPunct/>
              <w:topLinePunct w:val="0"/>
              <w:autoSpaceDE/>
              <w:autoSpaceDN/>
              <w:bidi w:val="0"/>
              <w:snapToGrid/>
              <w:spacing w:before="0" w:beforeAutospacing="0" w:after="0" w:afterAutospacing="0" w:line="420" w:lineRule="exact"/>
              <w:ind w:left="0" w:right="0"/>
              <w:textAlignment w:val="auto"/>
              <w:rPr>
                <w:rFonts w:hint="eastAsia" w:ascii="宋体" w:hAnsi="宋体" w:eastAsia="宋体" w:cs="宋体"/>
                <w:kern w:val="2"/>
                <w:sz w:val="22"/>
                <w:szCs w:val="22"/>
                <w:lang w:val="en-US" w:eastAsia="zh-CN" w:bidi="ar-SA"/>
              </w:rPr>
            </w:pPr>
            <w:r>
              <w:rPr>
                <w:rFonts w:hint="eastAsia" w:hAnsi="宋体" w:cs="宋体"/>
                <w:kern w:val="2"/>
                <w:sz w:val="22"/>
                <w:szCs w:val="22"/>
                <w:lang w:val="en-US" w:eastAsia="zh-CN" w:bidi="ar-SA"/>
              </w:rPr>
              <w:t>80日历天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4</w:t>
            </w:r>
          </w:p>
        </w:tc>
        <w:tc>
          <w:tcPr>
            <w:tcW w:w="1819"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20" w:lineRule="exact"/>
              <w:ind w:left="0" w:right="0"/>
              <w:jc w:val="center"/>
              <w:textAlignment w:val="auto"/>
              <w:outlineLvl w:val="9"/>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质量标准</w:t>
            </w:r>
          </w:p>
        </w:tc>
        <w:tc>
          <w:tcPr>
            <w:tcW w:w="6690" w:type="dxa"/>
            <w:tcBorders>
              <w:tl2br w:val="nil"/>
              <w:tr2bl w:val="nil"/>
            </w:tcBorders>
            <w:vAlign w:val="center"/>
          </w:tcPr>
          <w:p>
            <w:pPr>
              <w:pStyle w:val="81"/>
              <w:keepNext w:val="0"/>
              <w:keepLines w:val="0"/>
              <w:pageBreakBefore w:val="0"/>
              <w:widowControl w:val="0"/>
              <w:suppressLineNumbers w:val="0"/>
              <w:kinsoku/>
              <w:wordWrap/>
              <w:overflowPunct/>
              <w:topLinePunct w:val="0"/>
              <w:autoSpaceDE/>
              <w:autoSpaceDN/>
              <w:bidi w:val="0"/>
              <w:snapToGrid/>
              <w:spacing w:before="0" w:beforeAutospacing="0" w:after="0" w:afterAutospacing="0" w:line="420" w:lineRule="exact"/>
              <w:ind w:left="0" w:right="0" w:firstLine="0" w:firstLineChars="0"/>
              <w:jc w:val="left"/>
              <w:textAlignment w:val="auto"/>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设计质量标准：按国家技术规范、标准及规程，分阶段达到设计任务书和规范要求的设计深度。</w:t>
            </w:r>
          </w:p>
          <w:p>
            <w:pPr>
              <w:pStyle w:val="16"/>
              <w:keepNext w:val="0"/>
              <w:keepLines w:val="0"/>
              <w:pageBreakBefore w:val="0"/>
              <w:widowControl w:val="0"/>
              <w:suppressLineNumbers w:val="0"/>
              <w:kinsoku/>
              <w:wordWrap/>
              <w:overflowPunct/>
              <w:topLinePunct w:val="0"/>
              <w:autoSpaceDE/>
              <w:autoSpaceDN/>
              <w:bidi w:val="0"/>
              <w:snapToGrid/>
              <w:spacing w:before="0" w:beforeAutospacing="0" w:after="0" w:afterAutospacing="0" w:line="420" w:lineRule="exact"/>
              <w:ind w:left="0" w:right="0"/>
              <w:textAlignment w:val="auto"/>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施工质量标准：符合现行国家有关工程施工验收规范和标准的合格要求。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5</w:t>
            </w:r>
          </w:p>
        </w:tc>
        <w:tc>
          <w:tcPr>
            <w:tcW w:w="1819"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20" w:lineRule="exact"/>
              <w:ind w:left="0" w:right="0"/>
              <w:jc w:val="center"/>
              <w:textAlignment w:val="auto"/>
              <w:outlineLvl w:val="9"/>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合同价格形式</w:t>
            </w:r>
          </w:p>
        </w:tc>
        <w:tc>
          <w:tcPr>
            <w:tcW w:w="6690" w:type="dxa"/>
            <w:tcBorders>
              <w:tl2br w:val="nil"/>
              <w:tr2bl w:val="nil"/>
            </w:tcBorders>
            <w:vAlign w:val="center"/>
          </w:tcPr>
          <w:p>
            <w:pPr>
              <w:pStyle w:val="81"/>
              <w:keepNext w:val="0"/>
              <w:keepLines w:val="0"/>
              <w:pageBreakBefore w:val="0"/>
              <w:widowControl w:val="0"/>
              <w:suppressLineNumbers w:val="0"/>
              <w:kinsoku/>
              <w:wordWrap/>
              <w:overflowPunct/>
              <w:topLinePunct w:val="0"/>
              <w:autoSpaceDE/>
              <w:autoSpaceDN/>
              <w:bidi w:val="0"/>
              <w:snapToGrid/>
              <w:spacing w:before="0" w:beforeAutospacing="0" w:after="0" w:afterAutospacing="0" w:line="420" w:lineRule="exact"/>
              <w:ind w:left="120" w:right="0" w:firstLine="0" w:firstLineChars="0"/>
              <w:jc w:val="left"/>
              <w:textAlignment w:val="auto"/>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除约定的变更和合同价格的调整，以及合同中其它相关增减金额的约定进行调整外，合同价格不作调整。</w:t>
            </w:r>
          </w:p>
          <w:p>
            <w:pPr>
              <w:pStyle w:val="81"/>
              <w:keepNext w:val="0"/>
              <w:keepLines w:val="0"/>
              <w:pageBreakBefore w:val="0"/>
              <w:widowControl w:val="0"/>
              <w:suppressLineNumbers w:val="0"/>
              <w:kinsoku/>
              <w:wordWrap/>
              <w:overflowPunct/>
              <w:topLinePunct w:val="0"/>
              <w:autoSpaceDE/>
              <w:autoSpaceDN/>
              <w:bidi w:val="0"/>
              <w:snapToGrid/>
              <w:spacing w:before="0" w:beforeAutospacing="0" w:after="0" w:afterAutospacing="0" w:line="420" w:lineRule="exact"/>
              <w:ind w:left="0" w:leftChars="0" w:right="0" w:firstLine="0" w:firstLineChars="0"/>
              <w:jc w:val="left"/>
              <w:textAlignment w:val="auto"/>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 xml:space="preserve">1）工程设计费：按中标（成交）价总价包干，不作调整。 </w:t>
            </w:r>
          </w:p>
          <w:p>
            <w:pPr>
              <w:pStyle w:val="16"/>
              <w:keepNext w:val="0"/>
              <w:keepLines w:val="0"/>
              <w:pageBreakBefore w:val="0"/>
              <w:widowControl w:val="0"/>
              <w:suppressLineNumbers w:val="0"/>
              <w:kinsoku/>
              <w:wordWrap/>
              <w:overflowPunct/>
              <w:topLinePunct w:val="0"/>
              <w:autoSpaceDE/>
              <w:autoSpaceDN/>
              <w:bidi w:val="0"/>
              <w:snapToGrid/>
              <w:spacing w:before="0" w:beforeAutospacing="0" w:after="0" w:afterAutospacing="0" w:line="420" w:lineRule="exact"/>
              <w:ind w:left="0" w:right="0"/>
              <w:textAlignment w:val="auto"/>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2）建筑安装工程费：承包人须进行限额设计，并根据合同价限额要求进行足额设计。 施工图必须达到《发包人要求》、设计要求，施工图经发包人审查同意后，承包人应根据发包人要求报送施工图预算，发包人委托第三方审价机构审核施工图预算，审核后的施工图预算金额（施工图预算基准价乘让利幅度）必须达到合同价格要求。发包人有权要求承包人对施工图进行调整，以满足《发包人要求》、设计深化和合同金额要求。如依据甲方调整后施工图，审核后施工图预算金额超过合同价则不再增加费用</w:t>
            </w:r>
            <w:r>
              <w:rPr>
                <w:rFonts w:hint="eastAsia" w:hAnsi="宋体" w:cs="宋体"/>
                <w:kern w:val="2"/>
                <w:sz w:val="22"/>
                <w:szCs w:val="22"/>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
              </w:rPr>
              <w:t>6</w:t>
            </w:r>
          </w:p>
        </w:tc>
        <w:tc>
          <w:tcPr>
            <w:tcW w:w="1819"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20" w:lineRule="exact"/>
              <w:ind w:left="0" w:right="0"/>
              <w:jc w:val="center"/>
              <w:textAlignment w:val="auto"/>
              <w:outlineLvl w:val="9"/>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审核后的施工图预算金额</w:t>
            </w:r>
          </w:p>
        </w:tc>
        <w:tc>
          <w:tcPr>
            <w:tcW w:w="6690" w:type="dxa"/>
            <w:tcBorders>
              <w:tl2br w:val="nil"/>
              <w:tr2bl w:val="nil"/>
            </w:tcBorders>
            <w:vAlign w:val="center"/>
          </w:tcPr>
          <w:p>
            <w:pPr>
              <w:pStyle w:val="16"/>
              <w:keepNext w:val="0"/>
              <w:keepLines w:val="0"/>
              <w:pageBreakBefore w:val="0"/>
              <w:widowControl w:val="0"/>
              <w:suppressLineNumbers w:val="0"/>
              <w:kinsoku/>
              <w:wordWrap/>
              <w:overflowPunct/>
              <w:topLinePunct w:val="0"/>
              <w:autoSpaceDE/>
              <w:autoSpaceDN/>
              <w:bidi w:val="0"/>
              <w:snapToGrid/>
              <w:spacing w:before="0" w:beforeAutospacing="0" w:after="0" w:afterAutospacing="0" w:line="420" w:lineRule="exact"/>
              <w:ind w:left="0" w:right="0"/>
              <w:textAlignment w:val="auto"/>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指承包人根据施工图预算基准价编制（审核）口径进行编制，并经发包人或委托的第三方审价机构审核确定的经让利的施工图预算金额。（让利幅度＝1－报价中的建筑安装工程费/最高限价中的建筑安装工程费）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7</w:t>
            </w:r>
          </w:p>
        </w:tc>
        <w:tc>
          <w:tcPr>
            <w:tcW w:w="1819"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420" w:lineRule="exact"/>
              <w:ind w:left="0" w:right="0"/>
              <w:jc w:val="center"/>
              <w:textAlignment w:val="auto"/>
              <w:outlineLvl w:val="9"/>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施工图预算基准价编制（审核）口径</w:t>
            </w:r>
          </w:p>
        </w:tc>
        <w:tc>
          <w:tcPr>
            <w:tcW w:w="6690" w:type="dxa"/>
            <w:tcBorders>
              <w:tl2br w:val="nil"/>
              <w:tr2bl w:val="nil"/>
            </w:tcBorders>
            <w:vAlign w:val="center"/>
          </w:tcPr>
          <w:p>
            <w:pPr>
              <w:pStyle w:val="16"/>
              <w:keepNext w:val="0"/>
              <w:keepLines w:val="0"/>
              <w:pageBreakBefore w:val="0"/>
              <w:widowControl w:val="0"/>
              <w:suppressLineNumbers w:val="0"/>
              <w:kinsoku/>
              <w:wordWrap/>
              <w:overflowPunct/>
              <w:topLinePunct w:val="0"/>
              <w:autoSpaceDE/>
              <w:autoSpaceDN/>
              <w:bidi w:val="0"/>
              <w:snapToGrid/>
              <w:spacing w:before="0" w:beforeAutospacing="0" w:after="0" w:afterAutospacing="0" w:line="420" w:lineRule="exact"/>
              <w:ind w:left="0" w:right="0"/>
              <w:textAlignment w:val="auto"/>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 xml:space="preserve"> 1）按照《建设工程工程量清单计价规范》（GB50500-2013）、《浙江省建设工程计价规则》（2018版）及浙江省2018版各专业预算定额、一般计税法计价及有关政策文件进行编制， 按照国有项目招标控制价（国标工程量清单计价）的编制口径进行编制，取费基数为定额人工费+定额机械费。 2）综合费用（管理费、利润）费率按中值计取，安责险按取费费率的中值计取，风险费用不计取。 3）组织措施费仅计安全文明施工基本费、冬雨季施工增加费、二次搬运费，费率按相应 施工取费费率中值计取。提前竣工增加费（赶工费）自行合同价中综合考虑，不另计取。 4）技术措施费：大型机械设备进退场及安拆费、脚手架及垂直运输费等按2018版定额相 应工程量计算规则计取和按规定应计取的技术措施费。（施工技术措施方案需经监理单位审批， 且经发包人审核同意后，确认为确实必要的、可行的技术措施方可计算技术措施费）。 5）规费按浙江省建设工程计价规则2018版标准费率的计取。 6）税金按国家相关规定计取。 7）人工、材料、机械价格按照发包人书面确认的投标截止日前28日历天所在月份的造价管理部门发布的正刊除税信息价（信息价套用正刊发布的价格顺序：《</w:t>
            </w:r>
            <w:r>
              <w:rPr>
                <w:rFonts w:hint="eastAsia" w:hAnsi="宋体" w:cs="宋体"/>
                <w:kern w:val="2"/>
                <w:sz w:val="22"/>
                <w:szCs w:val="22"/>
                <w:lang w:val="en-US" w:eastAsia="zh-CN" w:bidi="ar-SA"/>
              </w:rPr>
              <w:t>台州造价信息</w:t>
            </w:r>
            <w:r>
              <w:rPr>
                <w:rFonts w:hint="eastAsia" w:ascii="宋体" w:hAnsi="宋体" w:eastAsia="宋体" w:cs="宋体"/>
                <w:kern w:val="2"/>
                <w:sz w:val="22"/>
                <w:szCs w:val="22"/>
                <w:lang w:val="en-US" w:eastAsia="zh-CN" w:bidi="ar-SA"/>
              </w:rPr>
              <w:t>》（正刊）、《浙江造价信息》（正刊））。无信息价格的材料、设备价格按除税市场价签证执行，除税市场价 由发包人、监理人、第三方审价机构共同进行市场调查询价后确定，经发包人审核签证确认的签证价 不下浮。无定额套用的项目，由发包人、监理人、第三方审价机构共同确定或市场询价确定综合单价， 经发包人审核签证确认的签证价不下浮。 8）本次招标已作品牌推荐的材料，如信息价（正刊）中有价格，按信息价计算。由承包人在报价时综合考虑实际材料采购价格与信息价价格的差异性。 9）拆除、清运、回收利用产生的费用（收益），按照相应投标报价包干。如发包人、 监理人认为相应投标报价明显偏离市场行情的，可以要求承包人提供明细并进行核查， 并依据核查结果有权要求该部分费用（收益）采取市场询价的方式计入施工图预算。10）</w:t>
            </w:r>
            <w:r>
              <w:rPr>
                <w:rFonts w:hint="eastAsia" w:hAnsi="宋体" w:cs="宋体"/>
                <w:kern w:val="2"/>
                <w:sz w:val="22"/>
                <w:szCs w:val="22"/>
                <w:lang w:val="en-US" w:eastAsia="zh-CN" w:bidi="ar-SA"/>
              </w:rPr>
              <w:t>本工程结算价以发包人委托的第三方审价机构的结算审核报告为准</w:t>
            </w:r>
            <w:r>
              <w:rPr>
                <w:rFonts w:hint="eastAsia" w:ascii="宋体" w:hAnsi="宋体" w:eastAsia="宋体" w:cs="宋体"/>
                <w:kern w:val="2"/>
                <w:sz w:val="22"/>
                <w:szCs w:val="22"/>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8</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是否允许联合体</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outlineLvl w:val="9"/>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 xml:space="preserve"> 不接受/</w:t>
            </w:r>
            <w:r>
              <w:rPr>
                <w:rFonts w:hint="eastAsia" w:ascii="宋体" w:hAnsi="宋体" w:eastAsia="宋体" w:cs="宋体"/>
                <w:sz w:val="22"/>
                <w:szCs w:val="22"/>
              </w:rPr>
              <w:sym w:font="Wingdings 2" w:char="0052"/>
            </w:r>
            <w:r>
              <w:rPr>
                <w:rFonts w:hint="eastAsia" w:ascii="宋体" w:hAnsi="宋体" w:eastAsia="宋体" w:cs="宋体"/>
                <w:sz w:val="22"/>
                <w:szCs w:val="22"/>
              </w:rPr>
              <w:t xml:space="preserve"> 接受</w:t>
            </w:r>
          </w:p>
          <w:p>
            <w:pPr>
              <w:pStyle w:val="16"/>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联合体</w:t>
            </w:r>
            <w:r>
              <w:rPr>
                <w:rFonts w:hint="eastAsia" w:ascii="宋体" w:hAnsi="宋体" w:eastAsia="宋体" w:cs="宋体"/>
                <w:color w:val="auto"/>
                <w:kern w:val="2"/>
                <w:sz w:val="22"/>
                <w:szCs w:val="22"/>
                <w:highlight w:val="none"/>
                <w:lang w:val="en-US" w:eastAsia="zh-CN" w:bidi="ar-SA"/>
              </w:rPr>
              <w:t>内容要求：</w:t>
            </w:r>
          </w:p>
          <w:p>
            <w:pPr>
              <w:pStyle w:val="16"/>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（1）联合体投标时须提供联合体投标协议，联合体协议书的牵头人必须为承担本项目施工任务的成员，联合体成员单位应为承担本项目设计任务的成员；</w:t>
            </w:r>
          </w:p>
          <w:p>
            <w:pPr>
              <w:pStyle w:val="16"/>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（2）组成联合体的各方总数不得超过2家单位，联合体各方资质应与联合体协议书中的分工相一致且响应；</w:t>
            </w:r>
          </w:p>
          <w:p>
            <w:pPr>
              <w:pStyle w:val="16"/>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rPr>
                <w:rFonts w:hint="eastAsia" w:ascii="宋体" w:hAnsi="宋体" w:eastAsia="宋体" w:cs="宋体"/>
                <w:sz w:val="22"/>
                <w:szCs w:val="22"/>
              </w:rPr>
            </w:pPr>
            <w:r>
              <w:rPr>
                <w:rFonts w:hint="eastAsia" w:ascii="宋体" w:hAnsi="宋体" w:eastAsia="宋体" w:cs="宋体"/>
                <w:sz w:val="22"/>
                <w:szCs w:val="22"/>
              </w:rPr>
              <w:t>（3）组成联合体各方不得再与其他单位组成另外联合体参与本项目的投标。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9</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是否允许分包</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outlineLvl w:val="9"/>
              <w:rPr>
                <w:rFonts w:hint="eastAsia" w:ascii="宋体" w:hAnsi="宋体" w:eastAsia="宋体" w:cs="宋体"/>
                <w:sz w:val="22"/>
                <w:szCs w:val="22"/>
              </w:rPr>
            </w:pPr>
            <w:r>
              <w:rPr>
                <w:rFonts w:hint="eastAsia" w:ascii="宋体" w:hAnsi="宋体" w:eastAsia="宋体" w:cs="宋体"/>
                <w:sz w:val="22"/>
                <w:szCs w:val="22"/>
                <w:lang w:eastAsia="zh-CN"/>
              </w:rPr>
              <w:t>□</w:t>
            </w:r>
            <w:r>
              <w:rPr>
                <w:rFonts w:hint="eastAsia" w:ascii="宋体" w:hAnsi="宋体" w:eastAsia="宋体" w:cs="宋体"/>
                <w:sz w:val="22"/>
                <w:szCs w:val="22"/>
              </w:rPr>
              <w:t xml:space="preserve"> 不允许/</w:t>
            </w:r>
            <w:r>
              <w:rPr>
                <w:rFonts w:hint="eastAsia" w:ascii="宋体" w:hAnsi="宋体" w:eastAsia="宋体" w:cs="宋体"/>
                <w:sz w:val="22"/>
                <w:szCs w:val="22"/>
              </w:rPr>
              <w:sym w:font="Wingdings 2" w:char="0052"/>
            </w:r>
            <w:r>
              <w:rPr>
                <w:rFonts w:hint="eastAsia" w:ascii="宋体" w:hAnsi="宋体" w:eastAsia="宋体" w:cs="宋体"/>
                <w:sz w:val="22"/>
                <w:szCs w:val="22"/>
              </w:rPr>
              <w:t xml:space="preserve"> 允许</w:t>
            </w:r>
          </w:p>
          <w:p>
            <w:pPr>
              <w:pStyle w:val="1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right="0"/>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分包内容要求：</w:t>
            </w:r>
          </w:p>
          <w:p>
            <w:pPr>
              <w:pStyle w:val="1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right="0"/>
              <w:textAlignment w:val="auto"/>
              <w:rPr>
                <w:rFonts w:hint="eastAsia" w:ascii="宋体" w:hAnsi="宋体" w:eastAsia="宋体" w:cs="宋体"/>
                <w:sz w:val="22"/>
                <w:szCs w:val="22"/>
              </w:rPr>
            </w:pPr>
            <w:r>
              <w:rPr>
                <w:rFonts w:hint="eastAsia" w:ascii="宋体" w:hAnsi="宋体" w:eastAsia="宋体" w:cs="宋体"/>
                <w:color w:val="auto"/>
                <w:kern w:val="2"/>
                <w:sz w:val="22"/>
                <w:szCs w:val="22"/>
                <w:highlight w:val="none"/>
                <w:lang w:val="en-US" w:eastAsia="zh-CN" w:bidi="ar-SA"/>
              </w:rPr>
              <w:t>承包人不得将工程总承包项目工程主体部分的设计或主体施工</w:t>
            </w:r>
            <w:r>
              <w:rPr>
                <w:rFonts w:hint="eastAsia" w:hAnsi="宋体" w:cs="宋体"/>
                <w:color w:val="auto"/>
                <w:kern w:val="2"/>
                <w:sz w:val="22"/>
                <w:szCs w:val="22"/>
                <w:highlight w:val="none"/>
                <w:lang w:val="en-US" w:eastAsia="zh-CN" w:bidi="ar-SA"/>
              </w:rPr>
              <w:t>部分</w:t>
            </w:r>
            <w:r>
              <w:rPr>
                <w:rFonts w:hint="eastAsia" w:ascii="宋体" w:hAnsi="宋体" w:eastAsia="宋体" w:cs="宋体"/>
                <w:color w:val="auto"/>
                <w:kern w:val="2"/>
                <w:sz w:val="22"/>
                <w:szCs w:val="22"/>
                <w:highlight w:val="none"/>
                <w:lang w:val="en-US" w:eastAsia="zh-CN" w:bidi="ar-SA"/>
              </w:rPr>
              <w:t>、关键性工程</w:t>
            </w:r>
            <w:r>
              <w:rPr>
                <w:rFonts w:hint="eastAsia" w:hAnsi="宋体" w:cs="宋体"/>
                <w:color w:val="auto"/>
                <w:kern w:val="2"/>
                <w:sz w:val="22"/>
                <w:szCs w:val="22"/>
                <w:highlight w:val="none"/>
                <w:lang w:val="en-US" w:eastAsia="zh-CN" w:bidi="ar-SA"/>
              </w:rPr>
              <w:t>分包</w:t>
            </w:r>
            <w:r>
              <w:rPr>
                <w:rFonts w:hint="eastAsia" w:ascii="宋体" w:hAnsi="宋体" w:eastAsia="宋体" w:cs="宋体"/>
                <w:color w:val="auto"/>
                <w:kern w:val="2"/>
                <w:sz w:val="22"/>
                <w:szCs w:val="22"/>
                <w:highlight w:val="none"/>
                <w:lang w:val="en-US" w:eastAsia="zh-CN" w:bidi="ar-SA"/>
              </w:rPr>
              <w:t>给其他单位。当承包人不具备相应资质等级时，承包人可将其他非主体、非关键性工作依法分包给具有相应资质等级的企业，分包人的资格能力应与其分包工程的标准和规模相适应。分包单位的选择必须经过发包人书面认可，否则视为承包人违约，其完成的工程发包人不予以认可，承包人同时承担恢复和重建（或重新设计）的工作，恢复和重建（或重新设计）的工作不予以支付费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lang w:val="en-US" w:eastAsia="zh-CN"/>
              </w:rPr>
              <w:t>0</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center"/>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是否包含政府强制采购节能产品</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否/□ 是，具体清单见招标需求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14</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center"/>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答疑会或</w:t>
            </w:r>
          </w:p>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center"/>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现场踏勘</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eastAsia="zh-CN"/>
              </w:rPr>
              <w:t>无，</w:t>
            </w:r>
            <w:r>
              <w:rPr>
                <w:rFonts w:hint="eastAsia" w:ascii="宋体" w:hAnsi="宋体" w:eastAsia="宋体" w:cs="宋体"/>
                <w:color w:val="auto"/>
                <w:kern w:val="0"/>
                <w:sz w:val="22"/>
                <w:szCs w:val="22"/>
                <w:highlight w:val="none"/>
              </w:rPr>
              <w:t>供应商自行至相关场地进行踏勘。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15</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center"/>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投标文件的制作和投标</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请</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在投标前仔细阅读“政府采购项目电子交易操作指南”。</w:t>
            </w:r>
          </w:p>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1.投标文件的制作：</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按照本项目招标文件和政采云平台的要求</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通过“政采云电子交易客户端”编制、加密并递交投标文件（下载网址：</w:t>
            </w: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HYPERLINK "http://www.zjzfcg.gov.cn/bidClientTemplate/2019-09-24/12975.html）。" </w:instrText>
            </w:r>
            <w:r>
              <w:rPr>
                <w:rFonts w:hint="eastAsia" w:ascii="宋体" w:hAnsi="宋体" w:eastAsia="宋体" w:cs="宋体"/>
                <w:color w:val="auto"/>
                <w:sz w:val="22"/>
                <w:szCs w:val="22"/>
                <w:highlight w:val="none"/>
              </w:rPr>
              <w:fldChar w:fldCharType="separate"/>
            </w:r>
            <w:r>
              <w:rPr>
                <w:rFonts w:hint="eastAsia" w:ascii="宋体" w:hAnsi="宋体" w:eastAsia="宋体" w:cs="宋体"/>
                <w:color w:val="auto"/>
                <w:sz w:val="22"/>
                <w:szCs w:val="22"/>
                <w:highlight w:val="none"/>
              </w:rPr>
              <w:t>https://zfcg.czt.zj.gov.cn/download/index.html）。</w:t>
            </w:r>
            <w:r>
              <w:rPr>
                <w:rFonts w:hint="eastAsia" w:ascii="宋体" w:hAnsi="宋体" w:eastAsia="宋体" w:cs="宋体"/>
                <w:color w:val="auto"/>
                <w:sz w:val="22"/>
                <w:szCs w:val="22"/>
                <w:highlight w:val="none"/>
              </w:rPr>
              <w:fldChar w:fldCharType="end"/>
            </w:r>
          </w:p>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bCs/>
                <w:sz w:val="22"/>
                <w:szCs w:val="22"/>
              </w:rPr>
              <w:t>▲</w:t>
            </w:r>
            <w:r>
              <w:rPr>
                <w:rFonts w:hint="eastAsia" w:ascii="宋体" w:hAnsi="宋体" w:eastAsia="宋体" w:cs="宋体"/>
                <w:b/>
                <w:bCs/>
                <w:color w:val="auto"/>
                <w:sz w:val="22"/>
                <w:szCs w:val="22"/>
                <w:highlight w:val="none"/>
              </w:rPr>
              <w:t>2.投标：</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应当在投标截止时间前完成投标文件的传输递交，逾期上传的投标文件恕不接受。补充或者修改投标文件的，应当先行撤回原文件，补充、修改后重新传输递交。投标截止时间前未完成上传的，视为撤回投标文件。</w:t>
            </w:r>
          </w:p>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b/>
                <w:bCs/>
                <w:color w:val="auto"/>
                <w:sz w:val="22"/>
                <w:szCs w:val="22"/>
                <w:highlight w:val="none"/>
              </w:rPr>
              <w:t>3.投标文件解密：</w:t>
            </w:r>
            <w:r>
              <w:rPr>
                <w:rFonts w:hint="eastAsia" w:ascii="宋体" w:hAnsi="宋体" w:eastAsia="宋体" w:cs="宋体"/>
                <w:b/>
                <w:bCs/>
                <w:color w:val="auto"/>
                <w:sz w:val="22"/>
                <w:szCs w:val="22"/>
                <w:highlight w:val="none"/>
                <w:u w:val="single"/>
                <w:lang w:eastAsia="zh-CN"/>
              </w:rPr>
              <w:t>开标后，采购组织机构将向各投标供应商发出“电子加密投标文件”的解密通知，各投标供应商代表应当在接到解密通知后30分钟内自行完成“电子加密投标文件”的在线解密。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16</w:t>
            </w:r>
          </w:p>
        </w:tc>
        <w:tc>
          <w:tcPr>
            <w:tcW w:w="1819"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kern w:val="2"/>
                <w:sz w:val="22"/>
                <w:szCs w:val="22"/>
                <w:highlight w:val="none"/>
                <w:lang w:val="en-US" w:eastAsia="zh-CN" w:bidi="ar"/>
              </w:rPr>
              <w:t>备份投标文件的递交</w:t>
            </w:r>
          </w:p>
        </w:tc>
        <w:tc>
          <w:tcPr>
            <w:tcW w:w="6690"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right="0"/>
              <w:jc w:val="both"/>
              <w:textAlignment w:val="auto"/>
              <w:outlineLvl w:val="9"/>
              <w:rPr>
                <w:rFonts w:hint="eastAsia" w:ascii="宋体" w:hAnsi="宋体" w:eastAsia="宋体" w:cs="宋体"/>
                <w:color w:val="auto"/>
                <w:sz w:val="22"/>
                <w:szCs w:val="22"/>
                <w:highlight w:val="none"/>
                <w:lang w:val="en-US"/>
              </w:rPr>
            </w:pPr>
            <w:r>
              <w:rPr>
                <w:rFonts w:hint="eastAsia" w:ascii="宋体" w:hAnsi="宋体" w:eastAsia="宋体" w:cs="宋体"/>
                <w:color w:val="auto"/>
                <w:kern w:val="2"/>
                <w:sz w:val="22"/>
                <w:szCs w:val="22"/>
                <w:highlight w:val="none"/>
                <w:lang w:val="en-US" w:eastAsia="zh-CN" w:bidi="ar"/>
              </w:rPr>
              <w:t>备份投标文件是通过“政采云电子交易客户端”制做投标文件产生的备份文件。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right="0"/>
              <w:jc w:val="both"/>
              <w:textAlignment w:val="auto"/>
              <w:outlineLvl w:val="9"/>
              <w:rPr>
                <w:rFonts w:hint="eastAsia" w:ascii="宋体" w:hAnsi="宋体" w:eastAsia="宋体" w:cs="宋体"/>
                <w:color w:val="auto"/>
                <w:sz w:val="22"/>
                <w:szCs w:val="22"/>
                <w:highlight w:val="none"/>
                <w:lang w:val="en-US"/>
              </w:rPr>
            </w:pPr>
            <w:r>
              <w:rPr>
                <w:rFonts w:hint="eastAsia" w:ascii="宋体" w:hAnsi="宋体" w:eastAsia="宋体" w:cs="宋体"/>
                <w:b/>
                <w:bCs/>
                <w:color w:val="auto"/>
                <w:kern w:val="2"/>
                <w:sz w:val="22"/>
                <w:szCs w:val="22"/>
                <w:highlight w:val="none"/>
                <w:lang w:val="en-US" w:eastAsia="zh-CN" w:bidi="ar"/>
              </w:rPr>
              <w:t>1.使用前提：</w:t>
            </w:r>
            <w:r>
              <w:rPr>
                <w:rFonts w:hint="eastAsia" w:ascii="宋体" w:hAnsi="宋体" w:eastAsia="宋体" w:cs="宋体"/>
                <w:color w:val="auto"/>
                <w:kern w:val="2"/>
                <w:sz w:val="22"/>
                <w:szCs w:val="22"/>
                <w:highlight w:val="none"/>
                <w:lang w:val="en-US" w:eastAsia="zh-CN" w:bidi="ar"/>
              </w:rPr>
              <w:t>供应商自行在线解密操作失败无法按时寻求技术人员帮助解密，或者寻求技术人员帮助仍无法按时完成解密。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20" w:lineRule="exact"/>
              <w:ind w:left="0" w:right="0"/>
              <w:jc w:val="both"/>
              <w:textAlignment w:val="auto"/>
              <w:outlineLvl w:val="9"/>
              <w:rPr>
                <w:rFonts w:hint="eastAsia" w:ascii="宋体" w:hAnsi="宋体" w:eastAsia="宋体" w:cs="宋体"/>
                <w:color w:val="auto"/>
                <w:sz w:val="22"/>
                <w:szCs w:val="22"/>
                <w:highlight w:val="none"/>
                <w:lang w:val="en-US"/>
              </w:rPr>
            </w:pPr>
            <w:r>
              <w:rPr>
                <w:rFonts w:hint="eastAsia" w:ascii="宋体" w:hAnsi="宋体" w:eastAsia="宋体" w:cs="宋体"/>
                <w:b/>
                <w:bCs/>
                <w:color w:val="auto"/>
                <w:kern w:val="2"/>
                <w:sz w:val="22"/>
                <w:szCs w:val="22"/>
                <w:highlight w:val="none"/>
                <w:lang w:val="en-US" w:eastAsia="zh-CN" w:bidi="ar"/>
              </w:rPr>
              <w:t>2.递交截止时间：</w:t>
            </w:r>
            <w:r>
              <w:rPr>
                <w:rFonts w:hint="eastAsia" w:ascii="宋体" w:hAnsi="宋体" w:eastAsia="宋体" w:cs="宋体"/>
                <w:b/>
                <w:bCs w:val="0"/>
                <w:color w:val="auto"/>
                <w:kern w:val="2"/>
                <w:sz w:val="22"/>
                <w:szCs w:val="22"/>
                <w:highlight w:val="none"/>
                <w:u w:val="single"/>
                <w:lang w:val="en-US" w:eastAsia="zh-CN" w:bidi="ar"/>
              </w:rPr>
              <w:t>2023年</w:t>
            </w:r>
            <w:r>
              <w:rPr>
                <w:rFonts w:hint="eastAsia" w:ascii="宋体" w:hAnsi="宋体" w:cs="宋体"/>
                <w:b/>
                <w:bCs w:val="0"/>
                <w:color w:val="auto"/>
                <w:kern w:val="2"/>
                <w:sz w:val="22"/>
                <w:szCs w:val="22"/>
                <w:highlight w:val="none"/>
                <w:u w:val="single"/>
                <w:lang w:val="en-US" w:eastAsia="zh-CN" w:bidi="ar"/>
              </w:rPr>
              <w:t>7月11日9时00分</w:t>
            </w:r>
            <w:r>
              <w:rPr>
                <w:rFonts w:hint="eastAsia" w:ascii="宋体" w:hAnsi="宋体" w:eastAsia="宋体" w:cs="宋体"/>
                <w:color w:val="auto"/>
                <w:kern w:val="2"/>
                <w:sz w:val="22"/>
                <w:szCs w:val="22"/>
                <w:highlight w:val="none"/>
                <w:lang w:val="en-US" w:eastAsia="zh-CN" w:bidi="ar"/>
              </w:rPr>
              <w:t>（北京时间）。</w:t>
            </w:r>
          </w:p>
          <w:p>
            <w:pPr>
              <w:pStyle w:val="24"/>
              <w:keepNext w:val="0"/>
              <w:keepLines w:val="0"/>
              <w:pageBreakBefore w:val="0"/>
              <w:widowControl w:val="0"/>
              <w:suppressLineNumbers w:val="0"/>
              <w:kinsoku/>
              <w:wordWrap/>
              <w:overflowPunct/>
              <w:topLinePunct w:val="0"/>
              <w:autoSpaceDE/>
              <w:autoSpaceDN/>
              <w:bidi w:val="0"/>
              <w:spacing w:before="0" w:beforeAutospacing="0" w:after="0" w:afterAutospacing="0" w:line="420" w:lineRule="exact"/>
              <w:ind w:left="0" w:right="0"/>
              <w:jc w:val="both"/>
              <w:textAlignment w:val="auto"/>
              <w:rPr>
                <w:rFonts w:hint="eastAsia" w:ascii="宋体" w:hAnsi="宋体" w:eastAsia="宋体" w:cs="宋体"/>
                <w:color w:val="auto"/>
                <w:sz w:val="22"/>
                <w:szCs w:val="22"/>
                <w:highlight w:val="none"/>
                <w:lang w:val="en-US"/>
              </w:rPr>
            </w:pPr>
            <w:r>
              <w:rPr>
                <w:rFonts w:hint="eastAsia" w:ascii="宋体" w:hAnsi="宋体" w:eastAsia="宋体" w:cs="宋体"/>
                <w:b/>
                <w:bCs/>
                <w:color w:val="auto"/>
                <w:kern w:val="2"/>
                <w:sz w:val="22"/>
                <w:szCs w:val="22"/>
                <w:highlight w:val="none"/>
                <w:lang w:val="en-US" w:eastAsia="zh-CN" w:bidi="ar"/>
              </w:rPr>
              <w:t>3.投递邮箱：</w:t>
            </w:r>
            <w:r>
              <w:rPr>
                <w:rFonts w:hint="eastAsia" w:ascii="宋体" w:hAnsi="宋体" w:eastAsia="宋体" w:cs="宋体"/>
                <w:color w:val="auto"/>
                <w:kern w:val="2"/>
                <w:sz w:val="22"/>
                <w:szCs w:val="22"/>
                <w:highlight w:val="none"/>
                <w:u w:val="single"/>
                <w:lang w:val="en-US" w:eastAsia="zh-CN" w:bidi="ar"/>
              </w:rPr>
              <w:t>373571617@qq.com</w:t>
            </w:r>
            <w:r>
              <w:rPr>
                <w:rFonts w:hint="eastAsia" w:ascii="宋体" w:hAnsi="宋体" w:eastAsia="宋体" w:cs="宋体"/>
                <w:color w:val="auto"/>
                <w:kern w:val="2"/>
                <w:sz w:val="22"/>
                <w:szCs w:val="22"/>
                <w:highlight w:val="none"/>
                <w:lang w:val="en-US" w:eastAsia="zh-CN" w:bidi="ar"/>
              </w:rPr>
              <w:t>。</w:t>
            </w:r>
          </w:p>
          <w:p>
            <w:pPr>
              <w:keepNext w:val="0"/>
              <w:keepLines w:val="0"/>
              <w:pageBreakBefore w:val="0"/>
              <w:widowControl/>
              <w:suppressLineNumbers w:val="0"/>
              <w:kinsoku/>
              <w:wordWrap/>
              <w:overflowPunct/>
              <w:topLinePunct w:val="0"/>
              <w:autoSpaceDE/>
              <w:autoSpaceDN/>
              <w:bidi w:val="0"/>
              <w:spacing w:before="0" w:beforeAutospacing="0" w:after="0" w:afterAutospacing="0" w:line="420" w:lineRule="exact"/>
              <w:ind w:left="0" w:righ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kern w:val="2"/>
                <w:sz w:val="22"/>
                <w:szCs w:val="22"/>
                <w:highlight w:val="none"/>
                <w:lang w:val="en-US" w:eastAsia="zh-CN" w:bidi="ar"/>
              </w:rPr>
              <w:t>4.</w:t>
            </w:r>
            <w:r>
              <w:rPr>
                <w:rFonts w:hint="eastAsia" w:ascii="宋体" w:hAnsi="宋体" w:eastAsia="宋体" w:cs="宋体"/>
                <w:sz w:val="22"/>
                <w:szCs w:val="22"/>
              </w:rPr>
              <w:t>备份响应文件由供应商自行确定是否提交，供应商自行承担未提交备份文件的相关风险，因备份响应文件未加密而造成失密等情况，采购组织机构概不负责。</w:t>
            </w:r>
            <w:r>
              <w:rPr>
                <w:rFonts w:hint="eastAsia" w:ascii="宋体" w:hAnsi="宋体" w:eastAsia="宋体" w:cs="宋体"/>
                <w:bCs/>
                <w:sz w:val="22"/>
                <w:szCs w:val="22"/>
              </w:rPr>
              <w:t>▲</w:t>
            </w:r>
            <w:r>
              <w:rPr>
                <w:rFonts w:hint="eastAsia" w:ascii="宋体" w:hAnsi="宋体" w:eastAsia="宋体" w:cs="宋体"/>
                <w:sz w:val="22"/>
                <w:szCs w:val="22"/>
                <w:lang w:bidi="ar"/>
              </w:rPr>
              <w:t>仅提交备份投标文件的，投标无效。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17</w:t>
            </w:r>
          </w:p>
        </w:tc>
        <w:tc>
          <w:tcPr>
            <w:tcW w:w="1819" w:type="dxa"/>
            <w:tcBorders>
              <w:tl2br w:val="nil"/>
              <w:tr2bl w:val="nil"/>
            </w:tcBorders>
            <w:vAlign w:val="center"/>
          </w:tcPr>
          <w:p>
            <w:pPr>
              <w:pStyle w:val="26"/>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firstLine="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中标人存档纸质投标文件的要求</w:t>
            </w:r>
          </w:p>
        </w:tc>
        <w:tc>
          <w:tcPr>
            <w:tcW w:w="6690" w:type="dxa"/>
            <w:tcBorders>
              <w:tl2br w:val="nil"/>
              <w:tr2bl w:val="nil"/>
            </w:tcBorders>
            <w:vAlign w:val="center"/>
          </w:tcPr>
          <w:p>
            <w:pPr>
              <w:pStyle w:val="26"/>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firstLine="0" w:firstLineChars="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1.存档纸质投标文件是中标人中标后提供给采购组织机构的用于本项目纸质存档备案用途的文件。</w:t>
            </w:r>
          </w:p>
          <w:p>
            <w:pPr>
              <w:pStyle w:val="26"/>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firstLine="0" w:firstLineChars="0"/>
              <w:textAlignment w:val="auto"/>
              <w:outlineLvl w:val="9"/>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2.存档纸质投标文件的装订要求：</w:t>
            </w:r>
            <w:r>
              <w:rPr>
                <w:rFonts w:hint="eastAsia" w:ascii="宋体" w:hAnsi="宋体" w:eastAsia="宋体" w:cs="宋体"/>
                <w:color w:val="auto"/>
                <w:sz w:val="22"/>
                <w:szCs w:val="22"/>
                <w:highlight w:val="none"/>
                <w:u w:val="single"/>
              </w:rPr>
              <w:t>政采云电子投标文件</w:t>
            </w:r>
            <w:r>
              <w:rPr>
                <w:rFonts w:hint="eastAsia" w:ascii="宋体" w:hAnsi="宋体" w:cs="宋体"/>
                <w:color w:val="auto"/>
                <w:sz w:val="22"/>
                <w:szCs w:val="22"/>
                <w:highlight w:val="none"/>
                <w:u w:val="single"/>
                <w:lang w:eastAsia="zh-CN"/>
              </w:rPr>
              <w:t>扫描件</w:t>
            </w:r>
            <w:r>
              <w:rPr>
                <w:rFonts w:hint="eastAsia" w:ascii="宋体" w:hAnsi="宋体" w:eastAsia="宋体" w:cs="宋体"/>
                <w:color w:val="auto"/>
                <w:sz w:val="22"/>
                <w:szCs w:val="22"/>
                <w:highlight w:val="none"/>
                <w:u w:val="single"/>
              </w:rPr>
              <w:t>合计</w:t>
            </w:r>
            <w:r>
              <w:rPr>
                <w:rFonts w:hint="eastAsia" w:ascii="宋体" w:hAnsi="宋体" w:eastAsia="宋体" w:cs="宋体"/>
                <w:color w:val="auto"/>
                <w:sz w:val="22"/>
                <w:szCs w:val="22"/>
                <w:highlight w:val="none"/>
                <w:u w:val="single"/>
                <w:lang w:eastAsia="zh-CN"/>
              </w:rPr>
              <w:t>四</w:t>
            </w:r>
            <w:r>
              <w:rPr>
                <w:rFonts w:hint="eastAsia" w:ascii="宋体" w:hAnsi="宋体" w:eastAsia="宋体" w:cs="宋体"/>
                <w:color w:val="auto"/>
                <w:sz w:val="22"/>
                <w:szCs w:val="22"/>
                <w:highlight w:val="none"/>
                <w:u w:val="single"/>
              </w:rPr>
              <w:t>份，正</w:t>
            </w:r>
            <w:r>
              <w:rPr>
                <w:rFonts w:hint="eastAsia" w:ascii="宋体" w:hAnsi="宋体" w:eastAsia="宋体" w:cs="宋体"/>
                <w:color w:val="auto"/>
                <w:sz w:val="22"/>
                <w:szCs w:val="22"/>
                <w:highlight w:val="none"/>
                <w:u w:val="single"/>
                <w:lang w:eastAsia="zh-CN"/>
              </w:rPr>
              <w:t>本</w:t>
            </w:r>
            <w:r>
              <w:rPr>
                <w:rFonts w:hint="eastAsia" w:ascii="宋体" w:hAnsi="宋体" w:eastAsia="宋体" w:cs="宋体"/>
                <w:color w:val="auto"/>
                <w:sz w:val="22"/>
                <w:szCs w:val="22"/>
                <w:highlight w:val="none"/>
                <w:u w:val="single"/>
              </w:rPr>
              <w:t>一份</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副本</w:t>
            </w:r>
            <w:r>
              <w:rPr>
                <w:rFonts w:hint="eastAsia" w:ascii="宋体" w:hAnsi="宋体" w:eastAsia="宋体" w:cs="宋体"/>
                <w:color w:val="auto"/>
                <w:sz w:val="22"/>
                <w:szCs w:val="22"/>
                <w:highlight w:val="none"/>
                <w:u w:val="single"/>
                <w:lang w:eastAsia="zh-CN"/>
              </w:rPr>
              <w:t>三</w:t>
            </w:r>
            <w:r>
              <w:rPr>
                <w:rFonts w:hint="eastAsia" w:ascii="宋体" w:hAnsi="宋体" w:eastAsia="宋体" w:cs="宋体"/>
                <w:color w:val="auto"/>
                <w:sz w:val="22"/>
                <w:szCs w:val="22"/>
                <w:highlight w:val="none"/>
                <w:u w:val="single"/>
              </w:rPr>
              <w:t>份，正本须在封面标注“正本”字样并加盖公章及骑缝章，副本可以采用正本的</w:t>
            </w:r>
            <w:r>
              <w:rPr>
                <w:rFonts w:hint="eastAsia" w:ascii="宋体" w:hAnsi="宋体" w:cs="宋体"/>
                <w:color w:val="auto"/>
                <w:sz w:val="22"/>
                <w:szCs w:val="22"/>
                <w:highlight w:val="none"/>
                <w:u w:val="single"/>
                <w:lang w:eastAsia="zh-CN"/>
              </w:rPr>
              <w:t>扫描件</w:t>
            </w:r>
            <w:r>
              <w:rPr>
                <w:rFonts w:hint="eastAsia" w:ascii="宋体" w:hAnsi="宋体" w:eastAsia="宋体" w:cs="宋体"/>
                <w:color w:val="auto"/>
                <w:sz w:val="22"/>
                <w:szCs w:val="22"/>
                <w:highlight w:val="none"/>
                <w:u w:val="single"/>
              </w:rPr>
              <w:t>。如有不同标项，请按标项号分别装订。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18</w:t>
            </w:r>
          </w:p>
        </w:tc>
        <w:tc>
          <w:tcPr>
            <w:tcW w:w="1819" w:type="dxa"/>
            <w:tcBorders>
              <w:tl2br w:val="nil"/>
              <w:tr2bl w:val="nil"/>
            </w:tcBorders>
            <w:vAlign w:val="center"/>
          </w:tcPr>
          <w:p>
            <w:pPr>
              <w:pStyle w:val="9"/>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firstLine="0"/>
              <w:jc w:val="center"/>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不见面开标</w:t>
            </w:r>
          </w:p>
        </w:tc>
        <w:tc>
          <w:tcPr>
            <w:tcW w:w="6690" w:type="dxa"/>
            <w:tcBorders>
              <w:tl2br w:val="nil"/>
              <w:tr2bl w:val="nil"/>
            </w:tcBorders>
            <w:vAlign w:val="center"/>
          </w:tcPr>
          <w:p>
            <w:pPr>
              <w:pStyle w:val="24"/>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采购组织机构按照招标文件规定的时间通过“政采云平台”组织开标，所有</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均应当准时在线参加。如未参加，</w:t>
            </w:r>
            <w:r>
              <w:rPr>
                <w:rFonts w:hint="eastAsia" w:ascii="宋体" w:hAnsi="宋体" w:eastAsia="宋体" w:cs="宋体"/>
                <w:bCs/>
                <w:color w:val="auto"/>
                <w:sz w:val="22"/>
                <w:szCs w:val="22"/>
                <w:highlight w:val="none"/>
              </w:rPr>
              <w:t>造成无法投标、投标失败等后果由</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rPr>
              <w:t>自行承担。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19</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center"/>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在线演示要求</w:t>
            </w:r>
          </w:p>
        </w:tc>
        <w:tc>
          <w:tcPr>
            <w:tcW w:w="6690" w:type="dxa"/>
            <w:tcBorders>
              <w:tl2br w:val="nil"/>
              <w:tr2bl w:val="nil"/>
            </w:tcBorders>
            <w:vAlign w:val="center"/>
          </w:tcPr>
          <w:p>
            <w:pPr>
              <w:pStyle w:val="11"/>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both"/>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2</w:t>
            </w:r>
            <w:r>
              <w:rPr>
                <w:rFonts w:hint="eastAsia" w:ascii="宋体" w:hAnsi="宋体" w:eastAsia="宋体" w:cs="宋体"/>
                <w:color w:val="auto"/>
                <w:sz w:val="22"/>
                <w:szCs w:val="22"/>
                <w:highlight w:val="none"/>
                <w:lang w:val="en-US" w:eastAsia="zh-CN"/>
              </w:rPr>
              <w:t>0</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投标与开标注意事项</w:t>
            </w:r>
          </w:p>
        </w:tc>
        <w:tc>
          <w:tcPr>
            <w:tcW w:w="6690" w:type="dxa"/>
            <w:tcBorders>
              <w:tl2br w:val="nil"/>
              <w:tr2bl w:val="nil"/>
            </w:tcBorders>
            <w:vAlign w:val="center"/>
          </w:tcPr>
          <w:p>
            <w:pPr>
              <w:pStyle w:val="1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20" w:lineRule="exact"/>
              <w:ind w:left="0" w:right="0"/>
              <w:textAlignment w:val="auto"/>
              <w:outlineLvl w:val="9"/>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1.本项目实行电子投标，</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rPr>
              <w:t>自行承担投标一切费用。</w:t>
            </w:r>
          </w:p>
          <w:p>
            <w:pPr>
              <w:pStyle w:val="1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b/>
                <w:bCs w:val="0"/>
                <w:color w:val="auto"/>
                <w:sz w:val="22"/>
                <w:szCs w:val="22"/>
                <w:highlight w:val="none"/>
              </w:rPr>
              <w:t>2.标前准备：</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rPr>
              <w:t>在开标前确保成为浙江省政府采购网正式注册用户，并完成CA数字证书办理。（办理流程详见本招标公告附件：政采云CA签章申领操作流程）。因未注册入库、未办理CA数字证书等原因造成无法投标或投标失败等后果由</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rPr>
              <w:t>自行承担。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2</w:t>
            </w:r>
            <w:r>
              <w:rPr>
                <w:rFonts w:hint="eastAsia" w:ascii="宋体" w:hAnsi="宋体" w:eastAsia="宋体" w:cs="宋体"/>
                <w:color w:val="auto"/>
                <w:sz w:val="22"/>
                <w:szCs w:val="22"/>
                <w:highlight w:val="none"/>
                <w:lang w:val="en-US" w:eastAsia="zh-CN"/>
              </w:rPr>
              <w:t>1</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信用信息查询渠道</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snapToGrid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信用中国（网址：</w:t>
            </w: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HYPERLINK "http://www.creditchina.gov.cn" </w:instrText>
            </w:r>
            <w:r>
              <w:rPr>
                <w:rFonts w:hint="eastAsia" w:ascii="宋体" w:hAnsi="宋体" w:eastAsia="宋体" w:cs="宋体"/>
                <w:color w:val="auto"/>
                <w:sz w:val="22"/>
                <w:szCs w:val="22"/>
                <w:highlight w:val="none"/>
              </w:rPr>
              <w:fldChar w:fldCharType="separate"/>
            </w:r>
            <w:r>
              <w:rPr>
                <w:rFonts w:hint="eastAsia" w:ascii="宋体" w:hAnsi="宋体" w:eastAsia="宋体" w:cs="宋体"/>
                <w:color w:val="auto"/>
                <w:sz w:val="22"/>
                <w:szCs w:val="22"/>
                <w:highlight w:val="none"/>
              </w:rPr>
              <w:t>http://www.creditchina.gov.cn</w:t>
            </w:r>
            <w:r>
              <w:rPr>
                <w:rFonts w:hint="eastAsia" w:ascii="宋体" w:hAnsi="宋体" w:eastAsia="宋体" w:cs="宋体"/>
                <w:color w:val="auto"/>
                <w:sz w:val="22"/>
                <w:szCs w:val="22"/>
                <w:highlight w:val="none"/>
              </w:rPr>
              <w:fldChar w:fldCharType="end"/>
            </w:r>
            <w:r>
              <w:rPr>
                <w:rFonts w:hint="eastAsia" w:ascii="宋体" w:hAnsi="宋体" w:eastAsia="宋体" w:cs="宋体"/>
                <w:color w:val="auto"/>
                <w:sz w:val="22"/>
                <w:szCs w:val="22"/>
                <w:highlight w:val="none"/>
              </w:rPr>
              <w:t>）</w:t>
            </w:r>
          </w:p>
          <w:p>
            <w:pPr>
              <w:keepNext w:val="0"/>
              <w:keepLines w:val="0"/>
              <w:pageBreakBefore w:val="0"/>
              <w:suppressLineNumbers w:val="0"/>
              <w:kinsoku/>
              <w:wordWrap/>
              <w:overflowPunct/>
              <w:topLinePunct w:val="0"/>
              <w:autoSpaceDE/>
              <w:autoSpaceDN/>
              <w:bidi w:val="0"/>
              <w:snapToGrid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中国政府采购网（网址：http://www.ccgp.gov.cn）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22</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中小企业预留份额情况</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snapToGrid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shd w:val="clear" w:color="auto" w:fill="FFFFFF"/>
              </w:rPr>
            </w:pPr>
            <w:r>
              <w:rPr>
                <w:rFonts w:hint="eastAsia" w:ascii="宋体" w:hAnsi="宋体" w:eastAsia="宋体" w:cs="宋体"/>
                <w:color w:val="auto"/>
                <w:sz w:val="22"/>
                <w:szCs w:val="22"/>
                <w:highlight w:val="none"/>
              </w:rPr>
              <w:t>根据《政府采购促进中小企业发展管理办法》财库〔2020〕46号文件的规定，本项目</w:t>
            </w:r>
            <w:r>
              <w:rPr>
                <w:rFonts w:hint="eastAsia" w:ascii="宋体" w:hAnsi="宋体" w:eastAsia="宋体" w:cs="宋体"/>
                <w:b/>
                <w:color w:val="auto"/>
                <w:kern w:val="2"/>
                <w:sz w:val="22"/>
                <w:szCs w:val="22"/>
                <w:highlight w:val="none"/>
                <w:lang w:val="en-US" w:eastAsia="zh-CN" w:bidi="ar"/>
              </w:rPr>
              <w:t>□</w:t>
            </w:r>
            <w:r>
              <w:rPr>
                <w:rFonts w:hint="eastAsia" w:ascii="宋体" w:hAnsi="宋体" w:eastAsia="宋体" w:cs="宋体"/>
                <w:color w:val="auto"/>
                <w:kern w:val="2"/>
                <w:sz w:val="22"/>
                <w:szCs w:val="22"/>
                <w:highlight w:val="none"/>
                <w:lang w:val="en-US" w:eastAsia="zh-CN" w:bidi="ar"/>
              </w:rPr>
              <w:t>否/</w:t>
            </w:r>
            <w:r>
              <w:rPr>
                <w:rFonts w:hint="eastAsia" w:ascii="宋体" w:hAnsi="宋体" w:eastAsia="宋体" w:cs="宋体"/>
                <w:b/>
                <w:color w:val="auto"/>
                <w:kern w:val="2"/>
                <w:sz w:val="22"/>
                <w:szCs w:val="22"/>
                <w:highlight w:val="none"/>
                <w:lang w:val="en-US" w:eastAsia="zh-CN" w:bidi="ar"/>
              </w:rPr>
              <w:t>☑</w:t>
            </w:r>
            <w:r>
              <w:rPr>
                <w:rFonts w:hint="eastAsia" w:ascii="宋体" w:hAnsi="宋体" w:eastAsia="宋体" w:cs="宋体"/>
                <w:color w:val="auto"/>
                <w:kern w:val="2"/>
                <w:sz w:val="22"/>
                <w:szCs w:val="22"/>
                <w:highlight w:val="none"/>
                <w:lang w:val="en-US" w:eastAsia="zh-CN" w:bidi="ar"/>
              </w:rPr>
              <w:t>是</w:t>
            </w:r>
            <w:r>
              <w:rPr>
                <w:rFonts w:hint="eastAsia" w:ascii="宋体" w:hAnsi="宋体" w:eastAsia="宋体" w:cs="宋体"/>
                <w:color w:val="auto"/>
                <w:sz w:val="22"/>
                <w:szCs w:val="22"/>
                <w:highlight w:val="none"/>
              </w:rPr>
              <w:t>属于专门面向中小企业采购的项目。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23</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中小企业优惠措施</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1.项目属性</w:t>
            </w:r>
            <w:r>
              <w:rPr>
                <w:rFonts w:hint="eastAsia" w:ascii="宋体" w:hAnsi="宋体" w:eastAsia="宋体" w:cs="宋体"/>
                <w:color w:val="auto"/>
                <w:sz w:val="22"/>
                <w:szCs w:val="22"/>
                <w:highlight w:val="none"/>
                <w:lang w:eastAsia="zh-CN"/>
              </w:rPr>
              <w:t>：</w:t>
            </w:r>
            <w:r>
              <w:rPr>
                <w:rFonts w:hint="eastAsia" w:ascii="宋体" w:hAnsi="宋体" w:cs="宋体"/>
                <w:color w:val="auto"/>
                <w:sz w:val="22"/>
                <w:szCs w:val="22"/>
                <w:highlight w:val="none"/>
                <w:u w:val="single"/>
                <w:lang w:val="en-US" w:eastAsia="zh-CN"/>
              </w:rPr>
              <w:t>工程</w:t>
            </w:r>
            <w:r>
              <w:rPr>
                <w:rFonts w:hint="eastAsia" w:ascii="宋体" w:hAnsi="宋体" w:eastAsia="宋体" w:cs="宋体"/>
                <w:color w:val="auto"/>
                <w:sz w:val="22"/>
                <w:szCs w:val="22"/>
                <w:highlight w:val="none"/>
                <w:u w:val="single"/>
                <w:lang w:val="en-US" w:eastAsia="zh-CN"/>
              </w:rPr>
              <w:t>类</w:t>
            </w:r>
          </w:p>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left"/>
              <w:textAlignment w:val="auto"/>
              <w:outlineLvl w:val="9"/>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2.中小企业划分标准所属行业（具体根据《中小企业划型标准规定》执行）</w:t>
            </w:r>
            <w:r>
              <w:rPr>
                <w:rFonts w:hint="eastAsia" w:ascii="宋体" w:hAnsi="宋体" w:eastAsia="宋体" w:cs="宋体"/>
                <w:color w:val="auto"/>
                <w:sz w:val="22"/>
                <w:szCs w:val="22"/>
                <w:highlight w:val="none"/>
                <w:lang w:eastAsia="zh-CN"/>
              </w:rPr>
              <w:t>：</w:t>
            </w:r>
          </w:p>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left"/>
              <w:textAlignment w:val="auto"/>
              <w:outlineLvl w:val="9"/>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采购标的：</w:t>
            </w:r>
            <w:r>
              <w:rPr>
                <w:rFonts w:hint="eastAsia" w:ascii="宋体" w:hAnsi="宋体" w:cs="宋体"/>
                <w:bCs/>
                <w:color w:val="auto"/>
                <w:sz w:val="22"/>
                <w:szCs w:val="22"/>
                <w:highlight w:val="none"/>
                <w:u w:val="single"/>
                <w:lang w:eastAsia="zh-CN"/>
              </w:rPr>
              <w:t>椒江区前所街道圆山社区党群服务中心设计施工一体化项目</w:t>
            </w:r>
            <w:r>
              <w:rPr>
                <w:rFonts w:hint="eastAsia" w:ascii="宋体" w:hAnsi="宋体" w:eastAsia="宋体" w:cs="宋体"/>
                <w:color w:val="auto"/>
                <w:sz w:val="22"/>
                <w:szCs w:val="22"/>
                <w:highlight w:val="none"/>
              </w:rPr>
              <w:t>，</w:t>
            </w:r>
          </w:p>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left"/>
              <w:textAlignment w:val="auto"/>
              <w:outlineLvl w:val="9"/>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所属行业：</w:t>
            </w:r>
            <w:r>
              <w:rPr>
                <w:rFonts w:hint="eastAsia" w:ascii="宋体" w:hAnsi="宋体" w:eastAsia="宋体" w:cs="宋体"/>
                <w:color w:val="auto"/>
                <w:sz w:val="22"/>
                <w:szCs w:val="22"/>
                <w:highlight w:val="none"/>
                <w:u w:val="single"/>
                <w:lang w:eastAsia="zh-CN"/>
              </w:rPr>
              <w:t>（</w:t>
            </w:r>
            <w:r>
              <w:rPr>
                <w:rFonts w:hint="eastAsia" w:ascii="宋体" w:hAnsi="宋体" w:cs="宋体"/>
                <w:color w:val="auto"/>
                <w:sz w:val="22"/>
                <w:szCs w:val="22"/>
                <w:highlight w:val="none"/>
                <w:u w:val="single"/>
                <w:lang w:val="en-US" w:eastAsia="zh-CN"/>
              </w:rPr>
              <w:t>三</w:t>
            </w:r>
            <w:r>
              <w:rPr>
                <w:rFonts w:hint="eastAsia" w:ascii="宋体" w:hAnsi="宋体" w:eastAsia="宋体" w:cs="宋体"/>
                <w:color w:val="auto"/>
                <w:sz w:val="22"/>
                <w:szCs w:val="22"/>
                <w:highlight w:val="none"/>
                <w:u w:val="single"/>
                <w:lang w:eastAsia="zh-CN"/>
              </w:rPr>
              <w:t>）</w:t>
            </w:r>
            <w:r>
              <w:rPr>
                <w:rFonts w:hint="eastAsia" w:ascii="宋体" w:hAnsi="宋体" w:cs="宋体"/>
                <w:color w:val="auto"/>
                <w:sz w:val="22"/>
                <w:szCs w:val="22"/>
                <w:highlight w:val="none"/>
                <w:u w:val="single"/>
                <w:lang w:val="en-US" w:eastAsia="zh-CN"/>
              </w:rPr>
              <w:t>建筑</w:t>
            </w:r>
            <w:r>
              <w:rPr>
                <w:rFonts w:hint="eastAsia" w:ascii="宋体" w:hAnsi="宋体" w:eastAsia="宋体" w:cs="宋体"/>
                <w:color w:val="auto"/>
                <w:sz w:val="22"/>
                <w:szCs w:val="22"/>
                <w:highlight w:val="none"/>
                <w:u w:val="single"/>
              </w:rPr>
              <w:t>业</w:t>
            </w:r>
            <w:r>
              <w:rPr>
                <w:rFonts w:hint="eastAsia" w:ascii="宋体" w:hAnsi="宋体" w:eastAsia="宋体" w:cs="宋体"/>
                <w:color w:val="auto"/>
                <w:sz w:val="22"/>
                <w:szCs w:val="22"/>
                <w:highlight w:val="none"/>
              </w:rPr>
              <w:t>。</w:t>
            </w:r>
          </w:p>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left"/>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3.根据财库</w:t>
            </w:r>
            <w:r>
              <w:rPr>
                <w:rFonts w:hint="eastAsia" w:ascii="宋体" w:hAnsi="宋体" w:eastAsia="宋体" w:cs="宋体"/>
                <w:bCs/>
                <w:color w:val="auto"/>
                <w:sz w:val="22"/>
                <w:szCs w:val="22"/>
                <w:highlight w:val="none"/>
              </w:rPr>
              <w:t>〔</w:t>
            </w:r>
            <w:r>
              <w:rPr>
                <w:rFonts w:hint="eastAsia" w:ascii="宋体" w:hAnsi="宋体" w:eastAsia="宋体" w:cs="宋体"/>
                <w:color w:val="auto"/>
                <w:sz w:val="22"/>
                <w:szCs w:val="22"/>
                <w:highlight w:val="none"/>
              </w:rPr>
              <w:t>2017〕141号的相关规定，在政府采购活动中，残疾人福利性单位视同小型、微型企业，享受评审中价格扣除政策。属于享受政府采购支持政策的残疾人福利性单位，应满足财库</w:t>
            </w:r>
            <w:r>
              <w:rPr>
                <w:rFonts w:hint="eastAsia" w:ascii="宋体" w:hAnsi="宋体" w:eastAsia="宋体" w:cs="宋体"/>
                <w:bCs/>
                <w:color w:val="auto"/>
                <w:sz w:val="22"/>
                <w:szCs w:val="22"/>
                <w:highlight w:val="none"/>
              </w:rPr>
              <w:t>〔</w:t>
            </w:r>
            <w:r>
              <w:rPr>
                <w:rFonts w:hint="eastAsia" w:ascii="宋体" w:hAnsi="宋体" w:eastAsia="宋体" w:cs="宋体"/>
                <w:color w:val="auto"/>
                <w:sz w:val="22"/>
                <w:szCs w:val="22"/>
                <w:highlight w:val="none"/>
              </w:rPr>
              <w:t>2017〕141号文件第一条的规定，并在投标文件中提供残疾人福利性单位声明函（见附件）。</w:t>
            </w:r>
          </w:p>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left"/>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4.根据财库</w:t>
            </w:r>
            <w:r>
              <w:rPr>
                <w:rFonts w:hint="eastAsia" w:ascii="宋体" w:hAnsi="宋体" w:eastAsia="宋体" w:cs="宋体"/>
                <w:bCs/>
                <w:color w:val="auto"/>
                <w:sz w:val="22"/>
                <w:szCs w:val="22"/>
                <w:highlight w:val="none"/>
              </w:rPr>
              <w:t>〔</w:t>
            </w:r>
            <w:r>
              <w:rPr>
                <w:rFonts w:hint="eastAsia" w:ascii="宋体" w:hAnsi="宋体" w:eastAsia="宋体" w:cs="宋体"/>
                <w:color w:val="auto"/>
                <w:sz w:val="22"/>
                <w:szCs w:val="22"/>
                <w:highlight w:val="none"/>
              </w:rPr>
              <w:t>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24</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履约保证金</w:t>
            </w:r>
          </w:p>
        </w:tc>
        <w:tc>
          <w:tcPr>
            <w:tcW w:w="6690"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20" w:lineRule="exact"/>
              <w:ind w:left="0" w:right="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kern w:val="2"/>
                <w:sz w:val="22"/>
                <w:szCs w:val="22"/>
                <w:highlight w:val="none"/>
                <w:lang w:val="en-US" w:eastAsia="zh-CN" w:bidi="ar"/>
              </w:rPr>
              <w:t>合同总额的1%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25</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jc w:val="center"/>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采购代理机构代理费用的收取标准和方式</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snapToGrid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rPr>
              <w:t>本项目代理服务费参照计价格【2002】1980号文件，以本项目中标价为基数，按</w:t>
            </w:r>
            <w:r>
              <w:rPr>
                <w:rFonts w:hint="eastAsia" w:ascii="宋体" w:hAnsi="宋体" w:cs="宋体"/>
                <w:bCs/>
                <w:color w:val="auto"/>
                <w:sz w:val="22"/>
                <w:szCs w:val="22"/>
                <w:highlight w:val="none"/>
                <w:lang w:val="en-US" w:eastAsia="zh-CN"/>
              </w:rPr>
              <w:t>工程</w:t>
            </w:r>
            <w:r>
              <w:rPr>
                <w:rFonts w:hint="eastAsia" w:ascii="宋体" w:hAnsi="宋体" w:eastAsia="宋体" w:cs="宋体"/>
                <w:bCs/>
                <w:color w:val="auto"/>
                <w:sz w:val="22"/>
                <w:szCs w:val="22"/>
                <w:highlight w:val="none"/>
              </w:rPr>
              <w:t>招标类型</w:t>
            </w:r>
            <w:r>
              <w:rPr>
                <w:rFonts w:hint="eastAsia" w:ascii="宋体" w:hAnsi="宋体" w:eastAsia="宋体" w:cs="宋体"/>
                <w:bCs/>
                <w:color w:val="auto"/>
                <w:sz w:val="22"/>
                <w:szCs w:val="22"/>
                <w:highlight w:val="none"/>
                <w:lang w:eastAsia="zh-CN"/>
              </w:rPr>
              <w:t>计取（</w:t>
            </w:r>
            <w:r>
              <w:rPr>
                <w:rFonts w:hint="eastAsia" w:ascii="宋体" w:hAnsi="宋体" w:eastAsia="宋体" w:cs="宋体"/>
                <w:bCs/>
                <w:color w:val="auto"/>
                <w:sz w:val="22"/>
                <w:szCs w:val="22"/>
                <w:highlight w:val="none"/>
              </w:rPr>
              <w:t>代理服务费不足</w:t>
            </w:r>
            <w:r>
              <w:rPr>
                <w:rFonts w:hint="eastAsia" w:ascii="宋体" w:hAnsi="宋体" w:eastAsia="宋体" w:cs="宋体"/>
                <w:bCs/>
                <w:color w:val="auto"/>
                <w:sz w:val="22"/>
                <w:szCs w:val="22"/>
                <w:highlight w:val="none"/>
                <w:lang w:val="en-US" w:eastAsia="zh-CN"/>
              </w:rPr>
              <w:t>8</w:t>
            </w:r>
            <w:r>
              <w:rPr>
                <w:rFonts w:hint="eastAsia" w:ascii="宋体" w:hAnsi="宋体" w:eastAsia="宋体" w:cs="宋体"/>
                <w:bCs/>
                <w:color w:val="auto"/>
                <w:sz w:val="22"/>
                <w:szCs w:val="22"/>
                <w:highlight w:val="none"/>
              </w:rPr>
              <w:t>000元的，按</w:t>
            </w:r>
            <w:r>
              <w:rPr>
                <w:rFonts w:hint="eastAsia" w:ascii="宋体" w:hAnsi="宋体" w:eastAsia="宋体" w:cs="宋体"/>
                <w:bCs/>
                <w:color w:val="auto"/>
                <w:sz w:val="22"/>
                <w:szCs w:val="22"/>
                <w:highlight w:val="none"/>
                <w:lang w:val="en-US" w:eastAsia="zh-CN"/>
              </w:rPr>
              <w:t>8</w:t>
            </w:r>
            <w:r>
              <w:rPr>
                <w:rFonts w:hint="eastAsia" w:ascii="宋体" w:hAnsi="宋体" w:eastAsia="宋体" w:cs="宋体"/>
                <w:bCs/>
                <w:color w:val="auto"/>
                <w:sz w:val="22"/>
                <w:szCs w:val="22"/>
                <w:highlight w:val="none"/>
              </w:rPr>
              <w:t>000元收取</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在发中标通知书时由成交供应商支付，供应商在报价时综合考虑。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26</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实质性条款</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zh-CN"/>
              </w:rPr>
              <w:t>带“</w:t>
            </w:r>
            <w:r>
              <w:rPr>
                <w:rFonts w:hint="eastAsia" w:ascii="宋体" w:hAnsi="宋体" w:eastAsia="宋体" w:cs="宋体"/>
                <w:bCs/>
                <w:color w:val="auto"/>
                <w:sz w:val="22"/>
                <w:szCs w:val="22"/>
                <w:highlight w:val="none"/>
              </w:rPr>
              <w:t>▲”的条款是实质性条款，投标文件</w:t>
            </w:r>
            <w:r>
              <w:rPr>
                <w:rFonts w:hint="eastAsia" w:ascii="宋体" w:hAnsi="宋体" w:eastAsia="宋体" w:cs="宋体"/>
                <w:bCs/>
                <w:color w:val="auto"/>
                <w:sz w:val="22"/>
                <w:szCs w:val="22"/>
                <w:highlight w:val="none"/>
                <w:lang w:eastAsia="zh-CN"/>
              </w:rPr>
              <w:t>必</w:t>
            </w:r>
            <w:r>
              <w:rPr>
                <w:rFonts w:hint="eastAsia" w:ascii="宋体" w:hAnsi="宋体" w:eastAsia="宋体" w:cs="宋体"/>
                <w:bCs/>
                <w:color w:val="auto"/>
                <w:sz w:val="22"/>
                <w:szCs w:val="22"/>
                <w:highlight w:val="none"/>
              </w:rPr>
              <w:t>须作出实质性响应，否则作无效投标处理。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leftChars="0" w:right="0" w:rightChars="0"/>
              <w:jc w:val="center"/>
              <w:textAlignment w:val="auto"/>
              <w:outlineLvl w:val="9"/>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27</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书面形式</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包括电子邮件、信函、传真。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9" w:type="dxa"/>
            <w:tcBorders>
              <w:tl2br w:val="nil"/>
              <w:tr2bl w:val="nil"/>
            </w:tcBorders>
            <w:vAlign w:val="center"/>
          </w:tcPr>
          <w:p>
            <w:pPr>
              <w:keepNext w:val="0"/>
              <w:keepLines w:val="0"/>
              <w:pageBreakBefore w:val="0"/>
              <w:suppressLineNumbers w:val="0"/>
              <w:kinsoku/>
              <w:wordWrap/>
              <w:overflowPunct/>
              <w:topLinePunct w:val="0"/>
              <w:autoSpaceDE/>
              <w:autoSpaceDN/>
              <w:bidi w:val="0"/>
              <w:spacing w:before="0" w:beforeAutospacing="0" w:after="0" w:afterAutospacing="0" w:line="420" w:lineRule="exact"/>
              <w:ind w:left="0" w:right="0"/>
              <w:jc w:val="center"/>
              <w:textAlignment w:val="auto"/>
              <w:outlineLvl w:val="9"/>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28</w:t>
            </w:r>
          </w:p>
        </w:tc>
        <w:tc>
          <w:tcPr>
            <w:tcW w:w="1819"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jc w:val="center"/>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解释权</w:t>
            </w:r>
          </w:p>
        </w:tc>
        <w:tc>
          <w:tcPr>
            <w:tcW w:w="6690" w:type="dxa"/>
            <w:tcBorders>
              <w:tl2br w:val="nil"/>
              <w:tr2bl w:val="nil"/>
            </w:tcBorders>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420" w:lineRule="exact"/>
              <w:ind w:left="0" w:right="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本招标文件解释权属于采购人和采购组织机构</w:t>
            </w:r>
          </w:p>
        </w:tc>
      </w:tr>
    </w:tbl>
    <w:p>
      <w:pPr>
        <w:pStyle w:val="16"/>
        <w:keepNext w:val="0"/>
        <w:keepLines w:val="0"/>
        <w:pageBreakBefore w:val="0"/>
        <w:kinsoku/>
        <w:wordWrap/>
        <w:overflowPunct/>
        <w:topLinePunct w:val="0"/>
        <w:bidi w:val="0"/>
        <w:snapToGrid w:val="0"/>
        <w:spacing w:line="42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二、说 明</w:t>
      </w:r>
    </w:p>
    <w:p>
      <w:pPr>
        <w:pStyle w:val="16"/>
        <w:keepNext w:val="0"/>
        <w:keepLines w:val="0"/>
        <w:pageBreakBefore w:val="0"/>
        <w:kinsoku/>
        <w:wordWrap/>
        <w:overflowPunct/>
        <w:topLinePunct w:val="0"/>
        <w:bidi w:val="0"/>
        <w:snapToGrid w:val="0"/>
        <w:spacing w:line="42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（一）总则</w:t>
      </w:r>
    </w:p>
    <w:p>
      <w:pPr>
        <w:keepNext w:val="0"/>
        <w:keepLines w:val="0"/>
        <w:pageBreakBefore w:val="0"/>
        <w:kinsoku/>
        <w:wordWrap/>
        <w:overflowPunct/>
        <w:topLinePunct w:val="0"/>
        <w:bidi w:val="0"/>
        <w:snapToGrid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招标文件依据《中华人民共和国政府采购法》、《中华人民共和国政府采购法实施条例》（国务院令第658号）和《政府采购货物和服务招标投标管理办法》（财政部令第87号）及国家和浙江省有关法律、法规、规章编制。</w:t>
      </w:r>
    </w:p>
    <w:p>
      <w:pPr>
        <w:keepNext w:val="0"/>
        <w:keepLines w:val="0"/>
        <w:pageBreakBefore w:val="0"/>
        <w:tabs>
          <w:tab w:val="left" w:pos="7980"/>
        </w:tabs>
        <w:kinsoku/>
        <w:wordWrap/>
        <w:overflowPunct/>
        <w:topLinePunct w:val="0"/>
        <w:bidi w:val="0"/>
        <w:snapToGrid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应仔细阅读本项目招标公告及招标文件的所有内容（包括补充、澄清以及修改等，且均为招标文件的组成部分），按照招标文件要求以及格式编制投标文件，并保证其真实性，否则由此引起的一切后果应由</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承担。</w:t>
      </w:r>
    </w:p>
    <w:p>
      <w:pPr>
        <w:keepNext w:val="0"/>
        <w:keepLines w:val="0"/>
        <w:pageBreakBefore w:val="0"/>
        <w:kinsoku/>
        <w:wordWrap/>
        <w:overflowPunct/>
        <w:topLinePunct w:val="0"/>
        <w:bidi w:val="0"/>
        <w:snapToGrid w:val="0"/>
        <w:spacing w:line="420" w:lineRule="exact"/>
        <w:ind w:firstLine="442" w:firstLineChars="200"/>
        <w:textAlignment w:val="auto"/>
        <w:outlineLvl w:val="1"/>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（二）适用范围</w:t>
      </w:r>
    </w:p>
    <w:p>
      <w:pPr>
        <w:keepNext w:val="0"/>
        <w:keepLines w:val="0"/>
        <w:pageBreakBefore w:val="0"/>
        <w:kinsoku/>
        <w:wordWrap/>
        <w:overflowPunct/>
        <w:topLinePunct w:val="0"/>
        <w:bidi w:val="0"/>
        <w:snapToGrid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本招标文件适用于</w:t>
      </w:r>
      <w:r>
        <w:rPr>
          <w:rFonts w:hint="eastAsia" w:ascii="宋体" w:hAnsi="宋体" w:eastAsia="宋体" w:cs="宋体"/>
          <w:bCs/>
          <w:color w:val="auto"/>
          <w:sz w:val="22"/>
          <w:szCs w:val="22"/>
          <w:highlight w:val="none"/>
        </w:rPr>
        <w:t>本次</w:t>
      </w:r>
      <w:r>
        <w:rPr>
          <w:rFonts w:hint="eastAsia" w:ascii="宋体" w:hAnsi="宋体" w:eastAsia="宋体" w:cs="宋体"/>
          <w:color w:val="auto"/>
          <w:sz w:val="22"/>
          <w:szCs w:val="22"/>
          <w:highlight w:val="none"/>
        </w:rPr>
        <w:t>项目的招标、投标、评标、定标、验收、合同履约、付款等行为（法律、法规另有规定的，从其规定）。</w:t>
      </w:r>
    </w:p>
    <w:p>
      <w:pPr>
        <w:pStyle w:val="12"/>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本招标文件仅适用于本次招标公告中所涉及的项目和内容。</w:t>
      </w:r>
    </w:p>
    <w:p>
      <w:pPr>
        <w:keepNext w:val="0"/>
        <w:keepLines w:val="0"/>
        <w:pageBreakBefore w:val="0"/>
        <w:kinsoku/>
        <w:wordWrap/>
        <w:overflowPunct/>
        <w:topLinePunct w:val="0"/>
        <w:bidi w:val="0"/>
        <w:snapToGrid w:val="0"/>
        <w:spacing w:line="420" w:lineRule="exact"/>
        <w:ind w:firstLine="442" w:firstLineChars="200"/>
        <w:textAlignment w:val="auto"/>
        <w:outlineLvl w:val="1"/>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（三）当事人</w:t>
      </w:r>
    </w:p>
    <w:p>
      <w:pPr>
        <w:pStyle w:val="5"/>
        <w:keepNext w:val="0"/>
        <w:keepLines w:val="0"/>
        <w:pageBreakBefore w:val="0"/>
        <w:tabs>
          <w:tab w:val="left" w:pos="0"/>
          <w:tab w:val="left" w:pos="851"/>
        </w:tabs>
        <w:kinsoku/>
        <w:wordWrap/>
        <w:overflowPunct/>
        <w:topLinePunct w:val="0"/>
        <w:bidi w:val="0"/>
        <w:snapToGrid w:val="0"/>
        <w:spacing w:before="0" w:after="0" w:line="420" w:lineRule="exact"/>
        <w:ind w:firstLine="440" w:firstLineChars="200"/>
        <w:textAlignment w:val="auto"/>
        <w:rPr>
          <w:rFonts w:hint="eastAsia" w:ascii="宋体" w:hAnsi="宋体" w:eastAsia="宋体" w:cs="宋体"/>
          <w:bCs w:val="0"/>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eastAsia="宋体" w:cs="宋体"/>
          <w:bCs w:val="0"/>
          <w:color w:val="auto"/>
          <w:sz w:val="22"/>
          <w:szCs w:val="22"/>
          <w:highlight w:val="none"/>
          <w:lang w:val="zh-CN"/>
        </w:rPr>
        <w:t>采购组织机构：</w:t>
      </w:r>
      <w:r>
        <w:rPr>
          <w:rFonts w:hint="eastAsia" w:ascii="宋体" w:hAnsi="宋体" w:eastAsia="宋体" w:cs="宋体"/>
          <w:bCs w:val="0"/>
          <w:color w:val="auto"/>
          <w:sz w:val="22"/>
          <w:szCs w:val="22"/>
          <w:highlight w:val="none"/>
        </w:rPr>
        <w:t>是</w:t>
      </w:r>
      <w:r>
        <w:rPr>
          <w:rFonts w:hint="eastAsia" w:ascii="宋体" w:hAnsi="宋体" w:eastAsia="宋体" w:cs="宋体"/>
          <w:bCs w:val="0"/>
          <w:color w:val="auto"/>
          <w:sz w:val="22"/>
          <w:szCs w:val="22"/>
          <w:highlight w:val="none"/>
          <w:lang w:val="zh-CN"/>
        </w:rPr>
        <w:t>指采购人委托组织招标的集中采购机构</w:t>
      </w:r>
      <w:r>
        <w:rPr>
          <w:rFonts w:hint="eastAsia" w:ascii="宋体" w:hAnsi="宋体" w:eastAsia="宋体" w:cs="宋体"/>
          <w:bCs w:val="0"/>
          <w:color w:val="auto"/>
          <w:sz w:val="22"/>
          <w:szCs w:val="22"/>
          <w:highlight w:val="none"/>
        </w:rPr>
        <w:t>或</w:t>
      </w:r>
      <w:r>
        <w:rPr>
          <w:rFonts w:hint="eastAsia" w:ascii="宋体" w:hAnsi="宋体" w:eastAsia="宋体" w:cs="宋体"/>
          <w:bCs w:val="0"/>
          <w:color w:val="auto"/>
          <w:sz w:val="22"/>
          <w:szCs w:val="22"/>
          <w:highlight w:val="none"/>
          <w:lang w:val="zh-CN"/>
        </w:rPr>
        <w:t>采购代理机构。</w:t>
      </w:r>
    </w:p>
    <w:p>
      <w:pPr>
        <w:keepNext w:val="0"/>
        <w:keepLines w:val="0"/>
        <w:pageBreakBefore w:val="0"/>
        <w:kinsoku/>
        <w:wordWrap/>
        <w:overflowPunct/>
        <w:topLinePunct w:val="0"/>
        <w:bidi w:val="0"/>
        <w:snapToGrid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2.采购人：是指依法进行政府采购的国家机关、事业单位和团体组织。</w:t>
      </w:r>
    </w:p>
    <w:p>
      <w:pPr>
        <w:keepNext w:val="0"/>
        <w:keepLines w:val="0"/>
        <w:pageBreakBefore w:val="0"/>
        <w:kinsoku/>
        <w:wordWrap/>
        <w:overflowPunct/>
        <w:topLinePunct w:val="0"/>
        <w:bidi w:val="0"/>
        <w:snapToGrid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：是指响应招标、参加投标竞争的法人、其他组织或者自然人。</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rPr>
        <w:t>4.</w:t>
      </w:r>
      <w:r>
        <w:rPr>
          <w:rFonts w:hint="eastAsia" w:ascii="宋体" w:hAnsi="宋体" w:eastAsia="宋体" w:cs="宋体"/>
          <w:color w:val="auto"/>
          <w:sz w:val="22"/>
          <w:szCs w:val="22"/>
          <w:highlight w:val="none"/>
          <w:lang w:val="zh-CN"/>
        </w:rPr>
        <w:t>中标</w:t>
      </w:r>
      <w:r>
        <w:rPr>
          <w:rFonts w:hint="eastAsia" w:ascii="宋体" w:hAnsi="宋体" w:eastAsia="宋体" w:cs="宋体"/>
          <w:color w:val="auto"/>
          <w:sz w:val="22"/>
          <w:szCs w:val="22"/>
          <w:highlight w:val="none"/>
        </w:rPr>
        <w:t>人</w:t>
      </w:r>
      <w:r>
        <w:rPr>
          <w:rFonts w:hint="eastAsia" w:ascii="宋体" w:hAnsi="宋体" w:eastAsia="宋体" w:cs="宋体"/>
          <w:color w:val="auto"/>
          <w:sz w:val="22"/>
          <w:szCs w:val="22"/>
          <w:highlight w:val="none"/>
          <w:lang w:val="zh-CN"/>
        </w:rPr>
        <w:t>：是指经评</w:t>
      </w:r>
      <w:r>
        <w:rPr>
          <w:rFonts w:hint="eastAsia" w:ascii="宋体" w:hAnsi="宋体" w:eastAsia="宋体" w:cs="宋体"/>
          <w:color w:val="auto"/>
          <w:sz w:val="22"/>
          <w:szCs w:val="22"/>
          <w:highlight w:val="none"/>
        </w:rPr>
        <w:t>标</w:t>
      </w:r>
      <w:r>
        <w:rPr>
          <w:rFonts w:hint="eastAsia" w:ascii="宋体" w:hAnsi="宋体" w:eastAsia="宋体" w:cs="宋体"/>
          <w:color w:val="auto"/>
          <w:sz w:val="22"/>
          <w:szCs w:val="22"/>
          <w:highlight w:val="none"/>
          <w:lang w:val="zh-CN"/>
        </w:rPr>
        <w:t>委员会评审确定的对招标文件</w:t>
      </w:r>
      <w:r>
        <w:rPr>
          <w:rFonts w:hint="eastAsia" w:ascii="宋体" w:hAnsi="宋体" w:eastAsia="宋体" w:cs="宋体"/>
          <w:color w:val="auto"/>
          <w:sz w:val="22"/>
          <w:szCs w:val="22"/>
          <w:highlight w:val="none"/>
        </w:rPr>
        <w:t>作</w:t>
      </w:r>
      <w:r>
        <w:rPr>
          <w:rFonts w:hint="eastAsia" w:ascii="宋体" w:hAnsi="宋体" w:eastAsia="宋体" w:cs="宋体"/>
          <w:color w:val="auto"/>
          <w:sz w:val="22"/>
          <w:szCs w:val="22"/>
          <w:highlight w:val="none"/>
          <w:lang w:val="zh-CN"/>
        </w:rPr>
        <w:t>出实质性响应，经采购人按照规定在评</w:t>
      </w:r>
      <w:r>
        <w:rPr>
          <w:rFonts w:hint="eastAsia" w:ascii="宋体" w:hAnsi="宋体" w:eastAsia="宋体" w:cs="宋体"/>
          <w:color w:val="auto"/>
          <w:sz w:val="22"/>
          <w:szCs w:val="22"/>
          <w:highlight w:val="none"/>
        </w:rPr>
        <w:t>标</w:t>
      </w:r>
      <w:r>
        <w:rPr>
          <w:rFonts w:hint="eastAsia" w:ascii="宋体" w:hAnsi="宋体" w:eastAsia="宋体" w:cs="宋体"/>
          <w:color w:val="auto"/>
          <w:sz w:val="22"/>
          <w:szCs w:val="22"/>
          <w:highlight w:val="none"/>
          <w:lang w:val="zh-CN"/>
        </w:rPr>
        <w:t>委员会推荐的中标候选人中确定的或受采购人委托直接确认的，与采购人签订合同资格的供应商。</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5.联合体：两个或两个以上法人或者其他组织可以组成一个联合体，以一个</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的身份共同投标。</w:t>
      </w:r>
    </w:p>
    <w:p>
      <w:pPr>
        <w:keepNext w:val="0"/>
        <w:keepLines w:val="0"/>
        <w:pageBreakBefore w:val="0"/>
        <w:kinsoku/>
        <w:wordWrap/>
        <w:overflowPunct/>
        <w:topLinePunct w:val="0"/>
        <w:bidi w:val="0"/>
        <w:snapToGrid w:val="0"/>
        <w:spacing w:line="420" w:lineRule="exact"/>
        <w:ind w:firstLine="442" w:firstLineChars="200"/>
        <w:textAlignment w:val="auto"/>
        <w:outlineLvl w:val="1"/>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（四）</w:t>
      </w:r>
      <w:r>
        <w:rPr>
          <w:rFonts w:hint="eastAsia" w:ascii="宋体" w:hAnsi="宋体" w:eastAsia="宋体" w:cs="宋体"/>
          <w:b/>
          <w:color w:val="auto"/>
          <w:sz w:val="22"/>
          <w:szCs w:val="22"/>
          <w:highlight w:val="none"/>
          <w:lang w:eastAsia="zh-CN"/>
        </w:rPr>
        <w:t>本项目允许联合体投标，供应商</w:t>
      </w:r>
      <w:r>
        <w:rPr>
          <w:rFonts w:hint="eastAsia" w:ascii="宋体" w:hAnsi="宋体" w:eastAsia="宋体" w:cs="宋体"/>
          <w:b/>
          <w:color w:val="auto"/>
          <w:sz w:val="22"/>
          <w:szCs w:val="22"/>
          <w:highlight w:val="none"/>
        </w:rPr>
        <w:t>以联合体形式投标的，应符合以下规定</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1.联合体各方应签订联合体协议书，明确联合体牵头人和各方权利义务，并作为投标文件组成部分；</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2.联合体各方均应当具备《中华人民共和国政府采购法》第二十二条规定的条件，并在投标文件中提供联合体各方的相关证明材料；</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3.联合体成员存在不良信用记录的，视同联合体存在不良信用记录；</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4.联合体各方中至少应当有一方符合采购人规定的资格要求。由同一资质条件的</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组成的联合体，应当按照资质等级较低的</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确定联合体资质等级；</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5.联合体各方不得再以自己名义单独在同一合同项中投标，也不得组成新的联合体参加同一项目投标；</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6.联合体各方应当共同与采购人签订采购合同，就合同约定的事项对采购人承担连带责任；</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7.投标时，应以联合体协议中确定的主体方名义投标，对联合体各方均具有约束力。</w:t>
      </w:r>
    </w:p>
    <w:p>
      <w:pPr>
        <w:keepNext w:val="0"/>
        <w:keepLines w:val="0"/>
        <w:pageBreakBefore w:val="0"/>
        <w:kinsoku/>
        <w:wordWrap/>
        <w:overflowPunct/>
        <w:topLinePunct w:val="0"/>
        <w:bidi w:val="0"/>
        <w:snapToGrid w:val="0"/>
        <w:spacing w:line="420" w:lineRule="exact"/>
        <w:ind w:firstLine="442" w:firstLineChars="200"/>
        <w:textAlignment w:val="auto"/>
        <w:outlineLvl w:val="1"/>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（五）语言文字以及度量衡单位</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2"/>
          <w:szCs w:val="22"/>
          <w:highlight w:val="none"/>
        </w:rPr>
        <w:t>1.投标文件以及</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与采购组织机构就有关投标事宜的所有来往函电，均应以中文汉语书写，除签字、盖章、专用名称等特殊情形外。投标资料提供外文证书或者外国语视听资料的，应当附有中文译本，由翻译机构盖章或者翻译人员签名。</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2.所有计量均采用中国法定的计量单位。</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3.所有报价一律使用人民币，货币单位：元。</w:t>
      </w:r>
    </w:p>
    <w:p>
      <w:pPr>
        <w:keepNext w:val="0"/>
        <w:keepLines w:val="0"/>
        <w:pageBreakBefore w:val="0"/>
        <w:kinsoku/>
        <w:wordWrap/>
        <w:overflowPunct/>
        <w:topLinePunct w:val="0"/>
        <w:bidi w:val="0"/>
        <w:snapToGrid w:val="0"/>
        <w:spacing w:line="420" w:lineRule="exact"/>
        <w:ind w:firstLine="442" w:firstLineChars="200"/>
        <w:textAlignment w:val="auto"/>
        <w:outlineLvl w:val="1"/>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（六）现场踏勘</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1.招标文件规定组织踏勘现场的，采购人按招标文件规定的时间、地点组织</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踏勘项目现场。</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自行承担踏勘现场发生的责任、风险和自身费用。</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3.采购人在踏勘现场中介绍的资料和数据等，不构成对招标文件的修改或不作为</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编制投标文件的依据。</w:t>
      </w:r>
    </w:p>
    <w:p>
      <w:pPr>
        <w:keepNext w:val="0"/>
        <w:keepLines w:val="0"/>
        <w:pageBreakBefore w:val="0"/>
        <w:kinsoku/>
        <w:wordWrap/>
        <w:overflowPunct/>
        <w:topLinePunct w:val="0"/>
        <w:bidi w:val="0"/>
        <w:snapToGrid w:val="0"/>
        <w:spacing w:line="420" w:lineRule="exact"/>
        <w:ind w:firstLine="442" w:firstLineChars="200"/>
        <w:textAlignment w:val="auto"/>
        <w:outlineLvl w:val="1"/>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（七）特别说明</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投标所使用的资格、信誉、荣誉、业绩与企业认证必须为本法人所拥有且所提供的资料都是真实有效的。</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投标所使用的采购项目实施人员必须为本法人员工。</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所投产品除招标文件中明确规定要求“提供官网截图或相应检测报告的证明材料”以外，所有技术参数描述均以投标文件为准。</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对所投产品技术参数的真实性承担法律责任。项目招标结束后且在质疑期限内，如有</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认为中标人所投产品、投标文件技术参数与招标需求存在重大偏离、错误，甚至造假的情况，而招标文件中未明确规定要求“提供官网截图或相应检测报告的证明材料”的，应提供其他具体有效的证明材料。</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3.本招标文件中关于电子招投标的内容、流程，如与政采云系统中最新的内容、操作不一致的，以政采云系统中的要求为准。</w:t>
      </w:r>
    </w:p>
    <w:p>
      <w:pPr>
        <w:pStyle w:val="37"/>
        <w:snapToGrid w:val="0"/>
        <w:spacing w:line="420" w:lineRule="exact"/>
        <w:ind w:firstLine="440"/>
        <w:rPr>
          <w:rFonts w:hint="eastAsia" w:ascii="宋体" w:hAnsi="宋体" w:eastAsia="宋体" w:cs="宋体"/>
          <w:sz w:val="22"/>
          <w:szCs w:val="22"/>
        </w:rPr>
      </w:pPr>
      <w:r>
        <w:rPr>
          <w:rFonts w:hint="eastAsia" w:ascii="宋体" w:hAnsi="宋体" w:eastAsia="宋体" w:cs="宋体"/>
          <w:sz w:val="22"/>
          <w:szCs w:val="22"/>
          <w:lang w:val="en-US" w:eastAsia="zh-CN"/>
        </w:rPr>
        <w:t>4.</w:t>
      </w:r>
      <w:r>
        <w:rPr>
          <w:rFonts w:hint="eastAsia" w:ascii="宋体" w:hAnsi="宋体" w:eastAsia="宋体" w:cs="宋体"/>
          <w:sz w:val="22"/>
          <w:szCs w:val="22"/>
        </w:rPr>
        <w:t>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37"/>
        <w:snapToGrid w:val="0"/>
        <w:spacing w:line="420" w:lineRule="exact"/>
        <w:ind w:firstLine="440"/>
        <w:rPr>
          <w:rFonts w:hint="eastAsia" w:ascii="宋体" w:hAnsi="宋体" w:eastAsia="宋体" w:cs="宋体"/>
          <w:sz w:val="22"/>
        </w:rPr>
      </w:pPr>
      <w:r>
        <w:rPr>
          <w:rFonts w:hint="eastAsia" w:ascii="宋体" w:hAnsi="宋体" w:eastAsia="宋体" w:cs="宋体"/>
          <w:bCs w:val="0"/>
          <w:sz w:val="22"/>
          <w:szCs w:val="22"/>
        </w:rPr>
        <w:t>▲</w:t>
      </w:r>
      <w:r>
        <w:rPr>
          <w:rFonts w:hint="eastAsia" w:ascii="宋体" w:hAnsi="宋体" w:eastAsia="宋体" w:cs="宋体"/>
          <w:sz w:val="22"/>
          <w:lang w:val="en-US" w:eastAsia="zh-CN"/>
        </w:rPr>
        <w:t>5.</w:t>
      </w:r>
      <w:r>
        <w:rPr>
          <w:rFonts w:hint="eastAsia" w:ascii="宋体" w:hAnsi="宋体" w:eastAsia="宋体" w:cs="宋体"/>
          <w:sz w:val="22"/>
        </w:rPr>
        <w:t>投标人不得相互串通投标报价，不得妨碍其他投标人的公平竞争，不得损害采购人或其他投标人的合法权益，投标人不得以向采购人、评标委员会成员行贿或者采取其他不正当手段谋取中标。</w:t>
      </w:r>
    </w:p>
    <w:p>
      <w:pPr>
        <w:pStyle w:val="37"/>
        <w:snapToGrid w:val="0"/>
        <w:spacing w:line="420" w:lineRule="exact"/>
        <w:ind w:firstLine="440"/>
        <w:rPr>
          <w:rFonts w:hint="eastAsia" w:ascii="宋体" w:hAnsi="宋体" w:eastAsia="宋体" w:cs="宋体"/>
          <w:sz w:val="22"/>
        </w:rPr>
      </w:pPr>
      <w:r>
        <w:rPr>
          <w:rFonts w:hint="eastAsia" w:ascii="宋体" w:hAnsi="宋体" w:eastAsia="宋体" w:cs="宋体"/>
          <w:bCs w:val="0"/>
          <w:sz w:val="22"/>
          <w:szCs w:val="22"/>
        </w:rPr>
        <w:t>▲</w:t>
      </w:r>
      <w:r>
        <w:rPr>
          <w:rFonts w:hint="eastAsia" w:ascii="宋体" w:hAnsi="宋体" w:eastAsia="宋体" w:cs="宋体"/>
          <w:sz w:val="22"/>
          <w:lang w:val="en-US" w:eastAsia="zh-CN"/>
        </w:rPr>
        <w:t>6.</w:t>
      </w:r>
      <w:r>
        <w:rPr>
          <w:rFonts w:hint="eastAsia" w:ascii="宋体" w:hAnsi="宋体" w:eastAsia="宋体" w:cs="宋体"/>
          <w:sz w:val="22"/>
        </w:rPr>
        <w:t>为采购项目提供整体设计、规范编制或者项目管理、监理、检测等服务的供应商，不得再参加该采购项目的其他采购活动。</w:t>
      </w:r>
    </w:p>
    <w:p>
      <w:pPr>
        <w:pStyle w:val="37"/>
        <w:snapToGrid w:val="0"/>
        <w:spacing w:line="420" w:lineRule="exact"/>
        <w:ind w:firstLine="440"/>
        <w:rPr>
          <w:rFonts w:hint="eastAsia" w:ascii="宋体" w:hAnsi="宋体" w:eastAsia="宋体" w:cs="宋体"/>
          <w:sz w:val="22"/>
        </w:rPr>
      </w:pPr>
      <w:r>
        <w:rPr>
          <w:rFonts w:hint="eastAsia" w:ascii="宋体" w:hAnsi="宋体" w:eastAsia="宋体" w:cs="宋体"/>
          <w:sz w:val="22"/>
          <w:lang w:val="en-US" w:eastAsia="zh-CN"/>
        </w:rPr>
        <w:t>7.</w:t>
      </w:r>
      <w:r>
        <w:rPr>
          <w:rFonts w:hint="eastAsia" w:ascii="宋体" w:hAnsi="宋体" w:eastAsia="宋体" w:cs="宋体"/>
          <w:sz w:val="22"/>
        </w:rPr>
        <w:t>投标文件格式中的表格式样可以根据项目差别做适当调整,但应当保持表格样式基本形态不变。</w:t>
      </w:r>
    </w:p>
    <w:p>
      <w:pPr>
        <w:pStyle w:val="37"/>
        <w:snapToGrid w:val="0"/>
        <w:spacing w:line="420" w:lineRule="exact"/>
        <w:ind w:firstLine="440"/>
        <w:rPr>
          <w:rFonts w:hint="eastAsia" w:ascii="宋体" w:hAnsi="宋体" w:eastAsia="宋体" w:cs="宋体"/>
          <w:sz w:val="22"/>
        </w:rPr>
      </w:pPr>
      <w:r>
        <w:rPr>
          <w:rFonts w:hint="eastAsia" w:ascii="宋体" w:hAnsi="宋体" w:eastAsia="宋体" w:cs="宋体"/>
          <w:bCs w:val="0"/>
          <w:sz w:val="22"/>
          <w:szCs w:val="22"/>
        </w:rPr>
        <w:t>▲</w:t>
      </w:r>
      <w:r>
        <w:rPr>
          <w:rFonts w:hint="eastAsia" w:ascii="宋体" w:hAnsi="宋体" w:eastAsia="宋体" w:cs="宋体"/>
          <w:sz w:val="22"/>
          <w:lang w:val="en-US" w:eastAsia="zh-CN"/>
        </w:rPr>
        <w:t>8.</w:t>
      </w:r>
      <w:r>
        <w:rPr>
          <w:rFonts w:hint="eastAsia" w:ascii="宋体" w:hAnsi="宋体" w:eastAsia="宋体" w:cs="宋体"/>
          <w:sz w:val="22"/>
        </w:rPr>
        <w:t>单位负责人为同一人或者存在直接控股、管理关系的不同供应商，不得参加同一合同项下的政府采购活动。电子交易平台运营机构，以及与该机构有直接控股或者管理关系可能影响采购公正性的任何单位和个人，不得在该平台进行的政府采购项目电子交易中投标、响应和代理政府采购项目。</w:t>
      </w:r>
    </w:p>
    <w:p>
      <w:pPr>
        <w:pStyle w:val="37"/>
        <w:spacing w:line="420" w:lineRule="exact"/>
        <w:ind w:firstLine="440"/>
        <w:rPr>
          <w:rFonts w:hint="eastAsia" w:ascii="宋体" w:hAnsi="宋体" w:eastAsia="宋体" w:cs="宋体"/>
          <w:b w:val="0"/>
          <w:bCs w:val="0"/>
          <w:sz w:val="22"/>
          <w:szCs w:val="22"/>
        </w:rPr>
      </w:pPr>
      <w:r>
        <w:rPr>
          <w:rFonts w:hint="eastAsia" w:ascii="宋体" w:hAnsi="宋体" w:eastAsia="宋体" w:cs="宋体"/>
          <w:b w:val="0"/>
          <w:bCs w:val="0"/>
          <w:sz w:val="22"/>
          <w:szCs w:val="22"/>
          <w:lang w:val="en-US" w:eastAsia="zh-CN"/>
        </w:rPr>
        <w:t>9.</w:t>
      </w:r>
      <w:r>
        <w:rPr>
          <w:rFonts w:hint="eastAsia" w:ascii="宋体" w:hAnsi="宋体" w:eastAsia="宋体" w:cs="宋体"/>
          <w:b w:val="0"/>
          <w:bCs w:val="0"/>
          <w:sz w:val="22"/>
          <w:szCs w:val="22"/>
        </w:rPr>
        <w:t>供应商在参与政府采购活动中所签署的一切文件，包括但不限于签到表、《政府采购活动现场确认声明书》等文件，特别是有关利害关系应如实填写、如实披露，供应商授权参与政府采购的人员视为应当知道与采购人、代理机构、其他供应商之间的利害关系。如未如实披露，则视为提供虚假材料，由供应商承担不利后果。</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bCs w:val="0"/>
          <w:sz w:val="22"/>
          <w:szCs w:val="22"/>
        </w:rPr>
        <w:t>▲</w:t>
      </w:r>
      <w:r>
        <w:rPr>
          <w:rFonts w:hint="eastAsia" w:ascii="宋体" w:hAnsi="宋体" w:eastAsia="宋体" w:cs="宋体"/>
          <w:sz w:val="22"/>
          <w:lang w:val="en-US" w:eastAsia="zh-CN"/>
        </w:rPr>
        <w:t>10.</w:t>
      </w:r>
      <w:r>
        <w:rPr>
          <w:rFonts w:hint="eastAsia" w:ascii="宋体" w:hAnsi="宋体" w:eastAsia="宋体" w:cs="宋体"/>
          <w:sz w:val="22"/>
        </w:rPr>
        <w:t>本项目允许分包</w:t>
      </w:r>
      <w:r>
        <w:rPr>
          <w:rFonts w:hint="eastAsia" w:ascii="宋体" w:hAnsi="宋体" w:cs="宋体"/>
          <w:sz w:val="22"/>
          <w:lang w:eastAsia="zh-CN"/>
        </w:rPr>
        <w:t>（</w:t>
      </w:r>
      <w:r>
        <w:rPr>
          <w:rFonts w:hint="eastAsia" w:ascii="宋体" w:hAnsi="宋体" w:eastAsia="宋体" w:cs="宋体"/>
          <w:color w:val="auto"/>
          <w:kern w:val="2"/>
          <w:sz w:val="22"/>
          <w:szCs w:val="22"/>
          <w:highlight w:val="none"/>
          <w:lang w:val="en-US" w:eastAsia="zh-CN" w:bidi="ar-SA"/>
        </w:rPr>
        <w:t>当承包人不具备相应资质等级时，承包人可将其他非主体、非关键性工作依法分包给具有相应资质等级的企业，分包人的资格能力应与其分包工程的标准和规模相适应。分包单位的选择必须经过发包人书面认可</w:t>
      </w:r>
      <w:r>
        <w:rPr>
          <w:rFonts w:hint="eastAsia" w:ascii="宋体" w:hAnsi="宋体" w:cs="宋体"/>
          <w:sz w:val="22"/>
          <w:lang w:eastAsia="zh-CN"/>
        </w:rPr>
        <w:t>）；</w:t>
      </w:r>
      <w:r>
        <w:rPr>
          <w:rFonts w:hint="eastAsia" w:ascii="宋体" w:hAnsi="宋体" w:cs="宋体"/>
          <w:sz w:val="22"/>
          <w:lang w:val="en-US" w:eastAsia="zh-CN"/>
        </w:rPr>
        <w:t>除括号内情形外不允许分包</w:t>
      </w:r>
      <w:r>
        <w:rPr>
          <w:rFonts w:hint="eastAsia" w:ascii="宋体" w:hAnsi="宋体" w:eastAsia="宋体" w:cs="宋体"/>
          <w:color w:val="auto"/>
          <w:kern w:val="2"/>
          <w:sz w:val="22"/>
          <w:szCs w:val="22"/>
          <w:highlight w:val="none"/>
          <w:lang w:val="en-US" w:eastAsia="zh-CN" w:bidi="ar-SA"/>
        </w:rPr>
        <w:t>，否则视为承包人违约，其完成的工程发包人不予以认可，承包人同时承担恢复和重建（或重新设计）的工作，恢复和重建（或重新设计）的工作不予以支付费用</w:t>
      </w:r>
      <w:r>
        <w:rPr>
          <w:rFonts w:hint="eastAsia" w:ascii="宋体" w:hAnsi="宋体" w:eastAsia="宋体" w:cs="宋体"/>
          <w:sz w:val="22"/>
        </w:rPr>
        <w:t>。</w:t>
      </w:r>
    </w:p>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pacing w:line="420" w:lineRule="exact"/>
        <w:ind w:firstLine="442" w:firstLineChars="200"/>
        <w:textAlignment w:val="auto"/>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三、招标文件</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（一）招标文件由招标文件总目录所列内容组成。</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在规定的时间内未对招标文件提出疑问、质疑或要求澄清的，将视其为无异议。</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（三）对招标文件中描述有歧义或前后不一致的地方，评标委员会有权进行评判，但对同一条款的评判应适用于每个</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评标委员会发现招标文件存在歧义、重大缺陷导致评标工作无法进行，或者招标文件内容违反国家强制性规定的，应当停止评标工作，与采购人或者采购代理机构沟通并做书面记录。采购人或者采购代理机构确认后，应当修改招标文件，重新组织采购活动。</w:t>
      </w:r>
    </w:p>
    <w:p>
      <w:pPr>
        <w:pStyle w:val="37"/>
        <w:keepNext w:val="0"/>
        <w:keepLines w:val="0"/>
        <w:pageBreakBefore w:val="0"/>
        <w:kinsoku/>
        <w:wordWrap/>
        <w:overflowPunct/>
        <w:topLinePunct w:val="0"/>
        <w:bidi w:val="0"/>
        <w:snapToGrid w:val="0"/>
        <w:spacing w:line="420" w:lineRule="exact"/>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（四）采购组织机构对招标文件进行必要的澄清更正的，澄清或者修改的内容可能影响投标文件编制的，于投标截止时间的15日前在浙江省政府采购网上以更正公告的形式通知各潜在的</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；不足15日的，采购组织机构应当顺延提交投标文件的截止时间。</w:t>
      </w:r>
    </w:p>
    <w:p>
      <w:pPr>
        <w:keepNext w:val="0"/>
        <w:keepLines w:val="0"/>
        <w:pageBreakBefore w:val="0"/>
        <w:tabs>
          <w:tab w:val="left" w:pos="1418"/>
        </w:tabs>
        <w:kinsoku/>
        <w:wordWrap/>
        <w:overflowPunct/>
        <w:topLinePunct w:val="0"/>
        <w:autoSpaceDE w:val="0"/>
        <w:autoSpaceDN w:val="0"/>
        <w:bidi w:val="0"/>
        <w:adjustRightInd w:val="0"/>
        <w:spacing w:line="420" w:lineRule="exact"/>
        <w:ind w:firstLine="442" w:firstLineChars="200"/>
        <w:textAlignment w:val="auto"/>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四、投标文件</w:t>
      </w:r>
    </w:p>
    <w:p>
      <w:pPr>
        <w:pStyle w:val="9"/>
        <w:keepNext w:val="0"/>
        <w:keepLines w:val="0"/>
        <w:pageBreakBefore w:val="0"/>
        <w:kinsoku/>
        <w:wordWrap/>
        <w:overflowPunct/>
        <w:topLinePunct w:val="0"/>
        <w:bidi w:val="0"/>
        <w:spacing w:line="420" w:lineRule="exact"/>
        <w:ind w:firstLine="442" w:firstLineChars="200"/>
        <w:textAlignment w:val="auto"/>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（一）投标文件的编制</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bCs/>
          <w:color w:val="auto"/>
          <w:kern w:val="0"/>
          <w:sz w:val="22"/>
          <w:szCs w:val="22"/>
          <w:highlight w:val="none"/>
        </w:rPr>
      </w:pPr>
      <w:r>
        <w:rPr>
          <w:rFonts w:hint="eastAsia" w:ascii="宋体" w:hAnsi="宋体" w:eastAsia="宋体" w:cs="宋体"/>
          <w:color w:val="auto"/>
          <w:kern w:val="0"/>
          <w:sz w:val="22"/>
          <w:szCs w:val="22"/>
          <w:highlight w:val="none"/>
        </w:rPr>
        <w:t xml:space="preserve"> </w:t>
      </w:r>
      <w:r>
        <w:rPr>
          <w:rFonts w:hint="eastAsia" w:ascii="宋体" w:hAnsi="宋体" w:cs="宋体"/>
          <w:color w:val="auto"/>
          <w:kern w:val="0"/>
          <w:sz w:val="22"/>
          <w:szCs w:val="22"/>
          <w:highlight w:val="none"/>
          <w:lang w:eastAsia="zh-CN"/>
        </w:rPr>
        <w:t>供应商</w:t>
      </w:r>
      <w:r>
        <w:rPr>
          <w:rFonts w:hint="eastAsia" w:ascii="宋体" w:hAnsi="宋体" w:eastAsia="宋体" w:cs="宋体"/>
          <w:color w:val="auto"/>
          <w:kern w:val="0"/>
          <w:sz w:val="22"/>
          <w:szCs w:val="22"/>
          <w:highlight w:val="none"/>
        </w:rPr>
        <w:t>接到招标文件后，按照采购组织机构的要求提供：资格证明文件、商务与技术文件和报价</w:t>
      </w:r>
      <w:r>
        <w:rPr>
          <w:rFonts w:hint="eastAsia" w:ascii="宋体" w:hAnsi="宋体" w:eastAsia="宋体" w:cs="宋体"/>
          <w:color w:val="auto"/>
          <w:kern w:val="0"/>
          <w:sz w:val="22"/>
          <w:szCs w:val="22"/>
          <w:highlight w:val="none"/>
          <w:lang w:val="zh-CN"/>
        </w:rPr>
        <w:t>文件。【特别提示：如在投标时有要求提供资料原件的，将原件扫描放入投标文件。】本招标文件中若有多标项的，若参与多标项投标的，则按每个标项分别独立编制投标文件。</w:t>
      </w:r>
    </w:p>
    <w:p>
      <w:pPr>
        <w:keepNext w:val="0"/>
        <w:keepLines w:val="0"/>
        <w:pageBreakBefore w:val="0"/>
        <w:kinsoku/>
        <w:wordWrap/>
        <w:overflowPunct/>
        <w:topLinePunct w:val="0"/>
        <w:bidi w:val="0"/>
        <w:snapToGrid w:val="0"/>
        <w:spacing w:line="420" w:lineRule="exact"/>
        <w:ind w:firstLine="442" w:firstLineChars="200"/>
        <w:textAlignment w:val="auto"/>
        <w:rPr>
          <w:rFonts w:hint="eastAsia" w:ascii="宋体" w:hAnsi="宋体" w:eastAsia="宋体" w:cs="宋体"/>
          <w:color w:val="auto"/>
          <w:kern w:val="0"/>
          <w:sz w:val="22"/>
          <w:szCs w:val="22"/>
          <w:highlight w:val="none"/>
        </w:rPr>
      </w:pPr>
      <w:r>
        <w:rPr>
          <w:rFonts w:hint="eastAsia" w:ascii="宋体" w:hAnsi="宋体" w:eastAsia="宋体" w:cs="宋体"/>
          <w:b/>
          <w:color w:val="auto"/>
          <w:sz w:val="22"/>
          <w:szCs w:val="22"/>
          <w:highlight w:val="none"/>
        </w:rPr>
        <w:t>▲1、资格证明文件的组成：</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1</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《资格文件》封面（附件一）；</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non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2</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资格审查声明函（附件二）</w:t>
      </w:r>
      <w:r>
        <w:rPr>
          <w:rFonts w:hint="eastAsia" w:ascii="宋体" w:hAnsi="宋体" w:eastAsia="宋体" w:cs="宋体"/>
          <w:color w:val="auto"/>
          <w:kern w:val="0"/>
          <w:sz w:val="22"/>
          <w:szCs w:val="22"/>
          <w:highlight w:val="none"/>
          <w:u w:val="none"/>
        </w:rPr>
        <w:t>；</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none"/>
        </w:rPr>
      </w:pPr>
      <w:r>
        <w:rPr>
          <w:rFonts w:hint="eastAsia" w:ascii="宋体" w:hAnsi="宋体" w:cs="宋体"/>
          <w:color w:val="auto"/>
          <w:kern w:val="0"/>
          <w:sz w:val="22"/>
          <w:szCs w:val="22"/>
          <w:highlight w:val="none"/>
          <w:u w:val="none"/>
          <w:lang w:eastAsia="zh-CN"/>
        </w:rPr>
        <w:t>（</w:t>
      </w:r>
      <w:r>
        <w:rPr>
          <w:rFonts w:hint="eastAsia" w:ascii="宋体" w:hAnsi="宋体" w:cs="宋体"/>
          <w:color w:val="auto"/>
          <w:kern w:val="0"/>
          <w:sz w:val="22"/>
          <w:szCs w:val="22"/>
          <w:highlight w:val="none"/>
          <w:u w:val="none"/>
          <w:lang w:val="en-US" w:eastAsia="zh-CN"/>
        </w:rPr>
        <w:t>3</w:t>
      </w:r>
      <w:r>
        <w:rPr>
          <w:rFonts w:hint="eastAsia" w:ascii="宋体" w:hAnsi="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具有独立承担民事责任的能力</w:t>
      </w:r>
      <w:r>
        <w:rPr>
          <w:rFonts w:hint="eastAsia" w:ascii="宋体" w:hAnsi="宋体" w:eastAsia="宋体" w:cs="宋体"/>
          <w:b w:val="0"/>
          <w:bCs w:val="0"/>
          <w:color w:val="auto"/>
          <w:kern w:val="0"/>
          <w:sz w:val="22"/>
          <w:szCs w:val="22"/>
          <w:highlight w:val="none"/>
          <w:u w:val="none"/>
        </w:rPr>
        <w:t>（联合体响应的，联合体各方均需提供）</w:t>
      </w:r>
      <w:r>
        <w:rPr>
          <w:rFonts w:hint="eastAsia" w:ascii="宋体" w:hAnsi="宋体" w:eastAsia="宋体" w:cs="宋体"/>
          <w:color w:val="auto"/>
          <w:kern w:val="0"/>
          <w:sz w:val="22"/>
          <w:szCs w:val="22"/>
          <w:highlight w:val="none"/>
          <w:u w:val="none"/>
        </w:rPr>
        <w:t>：</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single"/>
        </w:rPr>
        <w:t>供应商须在资格文件中出具符合以下情况的证明材料扫描件（五选一）</w:t>
      </w:r>
      <w:r>
        <w:rPr>
          <w:rFonts w:hint="eastAsia" w:ascii="宋体" w:hAnsi="宋体" w:eastAsia="宋体" w:cs="宋体"/>
          <w:color w:val="auto"/>
          <w:kern w:val="0"/>
          <w:sz w:val="22"/>
          <w:szCs w:val="22"/>
          <w:highlight w:val="none"/>
          <w:u w:val="none"/>
        </w:rPr>
        <w:t>：</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①如供应商是企业（包括合伙企业），提供在工商部门注册的有效“企业法人营业执照”或“营业执照”；</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②如供应商是事业单位，提供有效的“事业单位法人证书”；</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③如供应商是非企业专业服务机构的，提供执业许可证等证明文件；</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④如供应商是个体工商户，提供有效的“个体工商户营业执照”；</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⑤如供应商是自然人，提供有效的自然人身份证明（居民身份证正反面或公安机关出具的临时居民身份证正反面或港澳台胞证或护照）。</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备注：金融、保险、通讯等特定行业的全国性企业所设立的区域性分支机构，除上述提供自身企业营业执照外，还须提供总公司（总机构）授权书或房产权证或其他有效财产证明材料。</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4</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具有良好的商业信誉和健全的财务会计制度的证明材料：</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single"/>
        </w:rPr>
        <w:t>供应商须在资格文件中出具“具有良好的商业信誉和健全的财务会计制度”的《承诺函》（附件三）。</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5</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具有履行合同所必需的设备和专业技术能力：</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eastAsia="宋体" w:cs="宋体"/>
          <w:color w:val="auto"/>
          <w:kern w:val="0"/>
          <w:sz w:val="22"/>
          <w:szCs w:val="22"/>
          <w:highlight w:val="none"/>
          <w:u w:val="single"/>
        </w:rPr>
        <w:t>供应商须在资格文件中出具“具有履行合同所必需的设备和专业技术能力”的《承诺函》（附件四）。</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6</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有依法缴纳税收和社会保障资金的良好记录：</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eastAsia="宋体" w:cs="宋体"/>
          <w:color w:val="auto"/>
          <w:kern w:val="0"/>
          <w:sz w:val="22"/>
          <w:szCs w:val="22"/>
          <w:highlight w:val="none"/>
          <w:u w:val="single"/>
        </w:rPr>
        <w:t>供应商须在资格文件中出具“有依法缴纳税收和社会保障资金的良好记录”的《承诺函》（附件五）。</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7</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参加政府采购活动前三年内，在经营活动中没有重大违法记录：</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eastAsia="宋体" w:cs="宋体"/>
          <w:color w:val="auto"/>
          <w:kern w:val="0"/>
          <w:sz w:val="22"/>
          <w:szCs w:val="22"/>
          <w:highlight w:val="none"/>
          <w:u w:val="single"/>
        </w:rPr>
        <w:t>供应商须在资格文件中出具“参加政府采购活动前三年内，在经营活动中没有重大违法记录”的《承诺函》（附件六）。</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8</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未被“信用中国”（http://www.creditchina.gov.cn）、中国政府采购网（http://www.ccgp.gov.cn）列入失信被执行人名单、重大税收违法案件当事人名单、政府采购严重违法失信行为记录名单的证明材料：</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eastAsia="宋体" w:cs="宋体"/>
          <w:color w:val="auto"/>
          <w:kern w:val="0"/>
          <w:sz w:val="22"/>
          <w:szCs w:val="22"/>
          <w:highlight w:val="none"/>
          <w:u w:val="single"/>
        </w:rPr>
        <w:t>资格审查时由采购人或采购代理机构统一查询后打印存档，供应商提供《没有失信记录承诺函》（附件七）。</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9</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联合体协议书（如有）（附件八）。</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10</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落实政府采购政策需满足的资格要求：供应商为中小企业/小微企业或监狱企业或残疾人福利性单位；</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eastAsia="宋体" w:cs="宋体"/>
          <w:color w:val="auto"/>
          <w:kern w:val="0"/>
          <w:sz w:val="22"/>
          <w:szCs w:val="22"/>
          <w:highlight w:val="none"/>
          <w:u w:val="single"/>
        </w:rPr>
        <w:t>供应商为中小企业/小微企业须提供《中小企业声明函》或供应商为监狱企业的证明文件或残疾人福利性单位须提供《残疾人福利性单位声明函》（附件九）。</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11</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供应商提供本项目特定资格要求规定的资质证书</w:t>
      </w:r>
      <w:r>
        <w:rPr>
          <w:rFonts w:hint="eastAsia" w:ascii="宋体" w:hAnsi="宋体" w:eastAsia="宋体" w:cs="宋体"/>
          <w:color w:val="auto"/>
          <w:kern w:val="0"/>
          <w:sz w:val="22"/>
          <w:szCs w:val="22"/>
          <w:highlight w:val="none"/>
          <w:u w:val="none"/>
        </w:rPr>
        <w:t>。</w:t>
      </w:r>
    </w:p>
    <w:p>
      <w:pPr>
        <w:keepNext w:val="0"/>
        <w:keepLines w:val="0"/>
        <w:pageBreakBefore w:val="0"/>
        <w:widowControl/>
        <w:kinsoku/>
        <w:wordWrap/>
        <w:overflowPunct/>
        <w:topLinePunct w:val="0"/>
        <w:bidi w:val="0"/>
        <w:spacing w:line="420" w:lineRule="exact"/>
        <w:ind w:right="60" w:firstLine="442" w:firstLineChars="200"/>
        <w:jc w:val="left"/>
        <w:textAlignment w:val="auto"/>
        <w:outlineLvl w:val="0"/>
        <w:rPr>
          <w:rFonts w:hint="eastAsia" w:ascii="宋体" w:hAnsi="宋体" w:eastAsia="宋体" w:cs="宋体"/>
          <w:b/>
          <w:bCs/>
          <w:color w:val="auto"/>
          <w:sz w:val="22"/>
          <w:szCs w:val="22"/>
          <w:highlight w:val="none"/>
        </w:rPr>
      </w:pPr>
      <w:bookmarkStart w:id="45" w:name="_Toc13749"/>
      <w:r>
        <w:rPr>
          <w:rFonts w:hint="eastAsia" w:ascii="宋体" w:hAnsi="宋体" w:eastAsia="宋体" w:cs="宋体"/>
          <w:b/>
          <w:bCs/>
          <w:color w:val="auto"/>
          <w:sz w:val="22"/>
          <w:szCs w:val="22"/>
          <w:highlight w:val="none"/>
        </w:rPr>
        <w:t>2、商务与技术文件的组成：</w:t>
      </w:r>
      <w:bookmarkEnd w:id="45"/>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cs="宋体"/>
          <w:color w:val="auto"/>
          <w:sz w:val="22"/>
          <w:szCs w:val="22"/>
          <w:highlight w:val="none"/>
          <w:u w:val="single"/>
          <w:lang w:eastAsia="zh-CN"/>
        </w:rPr>
      </w:pPr>
      <w:r>
        <w:rPr>
          <w:rFonts w:hint="eastAsia" w:ascii="宋体" w:hAnsi="宋体" w:eastAsia="宋体" w:cs="宋体"/>
          <w:color w:val="auto"/>
          <w:kern w:val="0"/>
          <w:sz w:val="22"/>
          <w:szCs w:val="22"/>
          <w:highlight w:val="none"/>
          <w:u w:val="single"/>
        </w:rPr>
        <w:t>（</w:t>
      </w:r>
      <w:r>
        <w:rPr>
          <w:rFonts w:hint="eastAsia" w:ascii="宋体" w:hAnsi="宋体" w:eastAsia="宋体" w:cs="宋体"/>
          <w:color w:val="auto"/>
          <w:kern w:val="0"/>
          <w:sz w:val="22"/>
          <w:szCs w:val="22"/>
          <w:highlight w:val="none"/>
          <w:u w:val="single"/>
          <w:lang w:val="en-US" w:eastAsia="zh-CN"/>
        </w:rPr>
        <w:t>1</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《商务技术响应文件》封面（附件十）；</w:t>
      </w:r>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cs="宋体"/>
          <w:color w:val="auto"/>
          <w:sz w:val="22"/>
          <w:szCs w:val="22"/>
          <w:highlight w:val="none"/>
          <w:u w:val="single"/>
          <w:lang w:eastAsia="zh-CN"/>
        </w:rPr>
      </w:pPr>
      <w:r>
        <w:rPr>
          <w:rFonts w:hint="eastAsia" w:ascii="宋体" w:hAnsi="宋体" w:eastAsia="宋体" w:cs="宋体"/>
          <w:color w:val="auto"/>
          <w:kern w:val="0"/>
          <w:sz w:val="22"/>
          <w:szCs w:val="22"/>
          <w:highlight w:val="none"/>
          <w:u w:val="single"/>
        </w:rPr>
        <w:t>（</w:t>
      </w:r>
      <w:r>
        <w:rPr>
          <w:rFonts w:hint="eastAsia" w:ascii="宋体" w:hAnsi="宋体" w:cs="宋体"/>
          <w:color w:val="auto"/>
          <w:kern w:val="0"/>
          <w:sz w:val="22"/>
          <w:szCs w:val="22"/>
          <w:highlight w:val="none"/>
          <w:u w:val="single"/>
          <w:lang w:val="en-US" w:eastAsia="zh-CN"/>
        </w:rPr>
        <w:t>2</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投标声明函（附件十一）；</w:t>
      </w:r>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cs="宋体"/>
          <w:color w:val="auto"/>
          <w:sz w:val="22"/>
          <w:szCs w:val="22"/>
          <w:highlight w:val="none"/>
          <w:u w:val="single"/>
          <w:lang w:eastAsia="zh-CN"/>
        </w:rPr>
      </w:pPr>
      <w:r>
        <w:rPr>
          <w:rFonts w:hint="eastAsia" w:ascii="宋体" w:hAnsi="宋体" w:eastAsia="宋体" w:cs="宋体"/>
          <w:color w:val="auto"/>
          <w:kern w:val="0"/>
          <w:sz w:val="22"/>
          <w:szCs w:val="22"/>
          <w:highlight w:val="none"/>
          <w:u w:val="single"/>
        </w:rPr>
        <w:t>（</w:t>
      </w:r>
      <w:r>
        <w:rPr>
          <w:rFonts w:hint="eastAsia" w:ascii="宋体" w:hAnsi="宋体" w:cs="宋体"/>
          <w:color w:val="auto"/>
          <w:kern w:val="0"/>
          <w:sz w:val="22"/>
          <w:szCs w:val="22"/>
          <w:highlight w:val="none"/>
          <w:u w:val="single"/>
          <w:lang w:val="en-US" w:eastAsia="zh-CN"/>
        </w:rPr>
        <w:t>3</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法定代表人（负责人）资格证明书（附件十二）；</w:t>
      </w:r>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cs="宋体"/>
          <w:color w:val="auto"/>
          <w:sz w:val="22"/>
          <w:szCs w:val="22"/>
          <w:highlight w:val="none"/>
          <w:u w:val="single"/>
          <w:lang w:eastAsia="zh-CN"/>
        </w:rPr>
      </w:pPr>
      <w:r>
        <w:rPr>
          <w:rFonts w:hint="eastAsia" w:ascii="宋体" w:hAnsi="宋体" w:eastAsia="宋体" w:cs="宋体"/>
          <w:color w:val="auto"/>
          <w:kern w:val="0"/>
          <w:sz w:val="22"/>
          <w:szCs w:val="22"/>
          <w:highlight w:val="none"/>
          <w:u w:val="single"/>
        </w:rPr>
        <w:t>（</w:t>
      </w:r>
      <w:r>
        <w:rPr>
          <w:rFonts w:hint="eastAsia" w:ascii="宋体" w:hAnsi="宋体" w:cs="宋体"/>
          <w:color w:val="auto"/>
          <w:kern w:val="0"/>
          <w:sz w:val="22"/>
          <w:szCs w:val="22"/>
          <w:highlight w:val="none"/>
          <w:u w:val="single"/>
          <w:lang w:val="en-US" w:eastAsia="zh-CN"/>
        </w:rPr>
        <w:t>4</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授权委托书（附件十三，法定代表人（负责人）亲自办理开标事宜的，则无需提供)；</w:t>
      </w:r>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cs="宋体"/>
          <w:color w:val="auto"/>
          <w:sz w:val="22"/>
          <w:szCs w:val="22"/>
          <w:highlight w:val="none"/>
          <w:u w:val="single"/>
          <w:lang w:eastAsia="zh-CN"/>
        </w:rPr>
      </w:pPr>
      <w:r>
        <w:rPr>
          <w:rFonts w:hint="eastAsia" w:ascii="宋体" w:hAnsi="宋体" w:eastAsia="宋体" w:cs="宋体"/>
          <w:color w:val="auto"/>
          <w:kern w:val="0"/>
          <w:sz w:val="22"/>
          <w:szCs w:val="22"/>
          <w:highlight w:val="none"/>
          <w:u w:val="single"/>
        </w:rPr>
        <w:t>（</w:t>
      </w:r>
      <w:r>
        <w:rPr>
          <w:rFonts w:hint="eastAsia" w:ascii="宋体" w:hAnsi="宋体" w:cs="宋体"/>
          <w:color w:val="auto"/>
          <w:kern w:val="0"/>
          <w:sz w:val="22"/>
          <w:szCs w:val="22"/>
          <w:highlight w:val="none"/>
          <w:u w:val="single"/>
          <w:lang w:val="en-US" w:eastAsia="zh-CN"/>
        </w:rPr>
        <w:t>5</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企业基本情况一览表（联合体响应的，联合体各方均需提供）（附件十四）；</w:t>
      </w:r>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cs="宋体"/>
          <w:color w:val="auto"/>
          <w:sz w:val="22"/>
          <w:szCs w:val="22"/>
          <w:highlight w:val="none"/>
          <w:u w:val="single"/>
          <w:lang w:eastAsia="zh-CN"/>
        </w:rPr>
      </w:pPr>
      <w:r>
        <w:rPr>
          <w:rFonts w:hint="eastAsia" w:ascii="宋体" w:hAnsi="宋体" w:eastAsia="宋体" w:cs="宋体"/>
          <w:color w:val="auto"/>
          <w:kern w:val="0"/>
          <w:sz w:val="22"/>
          <w:szCs w:val="22"/>
          <w:highlight w:val="none"/>
          <w:u w:val="single"/>
        </w:rPr>
        <w:t>（</w:t>
      </w:r>
      <w:r>
        <w:rPr>
          <w:rFonts w:hint="eastAsia" w:ascii="宋体" w:hAnsi="宋体" w:cs="宋体"/>
          <w:color w:val="auto"/>
          <w:kern w:val="0"/>
          <w:sz w:val="22"/>
          <w:szCs w:val="22"/>
          <w:highlight w:val="none"/>
          <w:u w:val="single"/>
          <w:lang w:val="en-US" w:eastAsia="zh-CN"/>
        </w:rPr>
        <w:t>6</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项目负责人简历表、设计负责人简历表（附件十五）；</w:t>
      </w:r>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cs="宋体"/>
          <w:color w:val="auto"/>
          <w:sz w:val="22"/>
          <w:szCs w:val="22"/>
          <w:highlight w:val="none"/>
          <w:u w:val="single"/>
          <w:lang w:eastAsia="zh-CN"/>
        </w:rPr>
      </w:pPr>
      <w:r>
        <w:rPr>
          <w:rFonts w:hint="eastAsia" w:ascii="宋体" w:hAnsi="宋体" w:eastAsia="宋体" w:cs="宋体"/>
          <w:color w:val="auto"/>
          <w:kern w:val="0"/>
          <w:sz w:val="22"/>
          <w:szCs w:val="22"/>
          <w:highlight w:val="none"/>
          <w:u w:val="single"/>
        </w:rPr>
        <w:t>（</w:t>
      </w:r>
      <w:r>
        <w:rPr>
          <w:rFonts w:hint="eastAsia" w:ascii="宋体" w:hAnsi="宋体" w:cs="宋体"/>
          <w:color w:val="auto"/>
          <w:kern w:val="0"/>
          <w:sz w:val="22"/>
          <w:szCs w:val="22"/>
          <w:highlight w:val="none"/>
          <w:u w:val="single"/>
          <w:lang w:val="en-US" w:eastAsia="zh-CN"/>
        </w:rPr>
        <w:t>7</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项目人员配置表一览表（格式见附件十六）；</w:t>
      </w:r>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cs="宋体"/>
          <w:color w:val="auto"/>
          <w:sz w:val="22"/>
          <w:szCs w:val="22"/>
          <w:highlight w:val="none"/>
          <w:u w:val="single"/>
          <w:lang w:eastAsia="zh-CN"/>
        </w:rPr>
      </w:pPr>
      <w:r>
        <w:rPr>
          <w:rFonts w:hint="eastAsia" w:ascii="宋体" w:hAnsi="宋体" w:eastAsia="宋体" w:cs="宋体"/>
          <w:color w:val="auto"/>
          <w:kern w:val="0"/>
          <w:sz w:val="22"/>
          <w:szCs w:val="22"/>
          <w:highlight w:val="none"/>
          <w:u w:val="single"/>
        </w:rPr>
        <w:t>（</w:t>
      </w:r>
      <w:r>
        <w:rPr>
          <w:rFonts w:hint="eastAsia" w:ascii="宋体" w:hAnsi="宋体" w:cs="宋体"/>
          <w:color w:val="auto"/>
          <w:kern w:val="0"/>
          <w:sz w:val="22"/>
          <w:szCs w:val="22"/>
          <w:highlight w:val="none"/>
          <w:u w:val="single"/>
          <w:lang w:val="en-US" w:eastAsia="zh-CN"/>
        </w:rPr>
        <w:t>8</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供应商20</w:t>
      </w:r>
      <w:r>
        <w:rPr>
          <w:rFonts w:hint="eastAsia" w:ascii="宋体" w:hAnsi="宋体" w:cs="宋体"/>
          <w:color w:val="auto"/>
          <w:sz w:val="22"/>
          <w:szCs w:val="22"/>
          <w:highlight w:val="none"/>
          <w:u w:val="single"/>
          <w:lang w:val="en-US" w:eastAsia="zh-CN"/>
        </w:rPr>
        <w:t>20</w:t>
      </w:r>
      <w:r>
        <w:rPr>
          <w:rFonts w:hint="eastAsia" w:ascii="宋体" w:hAnsi="宋体" w:cs="宋体"/>
          <w:color w:val="auto"/>
          <w:sz w:val="22"/>
          <w:szCs w:val="22"/>
          <w:highlight w:val="none"/>
          <w:u w:val="single"/>
          <w:lang w:eastAsia="zh-CN"/>
        </w:rPr>
        <w:t>年1月1日至今（以签订合同时间为准），承接过同类项目业绩一览表（如有，附件十七）；</w:t>
      </w:r>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cs="宋体"/>
          <w:color w:val="auto"/>
          <w:sz w:val="22"/>
          <w:szCs w:val="22"/>
          <w:highlight w:val="none"/>
          <w:u w:val="single"/>
          <w:lang w:eastAsia="zh-CN"/>
        </w:rPr>
      </w:pPr>
      <w:r>
        <w:rPr>
          <w:rFonts w:hint="eastAsia" w:ascii="宋体" w:hAnsi="宋体" w:eastAsia="宋体" w:cs="宋体"/>
          <w:color w:val="auto"/>
          <w:kern w:val="0"/>
          <w:sz w:val="22"/>
          <w:szCs w:val="22"/>
          <w:highlight w:val="none"/>
          <w:u w:val="single"/>
        </w:rPr>
        <w:t>（</w:t>
      </w:r>
      <w:r>
        <w:rPr>
          <w:rFonts w:hint="eastAsia" w:ascii="宋体" w:hAnsi="宋体" w:cs="宋体"/>
          <w:color w:val="auto"/>
          <w:kern w:val="0"/>
          <w:sz w:val="22"/>
          <w:szCs w:val="22"/>
          <w:highlight w:val="none"/>
          <w:u w:val="single"/>
          <w:lang w:val="en-US" w:eastAsia="zh-CN"/>
        </w:rPr>
        <w:t>9</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商务技术偏离表（格式见附件十八）；</w:t>
      </w:r>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cs="宋体"/>
          <w:color w:val="auto"/>
          <w:sz w:val="22"/>
          <w:szCs w:val="22"/>
          <w:highlight w:val="none"/>
          <w:u w:val="single"/>
          <w:lang w:eastAsia="zh-CN"/>
        </w:rPr>
      </w:pPr>
      <w:r>
        <w:rPr>
          <w:rFonts w:hint="eastAsia" w:ascii="宋体" w:hAnsi="宋体" w:eastAsia="宋体" w:cs="宋体"/>
          <w:color w:val="auto"/>
          <w:kern w:val="0"/>
          <w:sz w:val="22"/>
          <w:szCs w:val="22"/>
          <w:highlight w:val="none"/>
          <w:u w:val="single"/>
        </w:rPr>
        <w:t>（</w:t>
      </w:r>
      <w:r>
        <w:rPr>
          <w:rFonts w:hint="eastAsia" w:ascii="宋体" w:hAnsi="宋体" w:cs="宋体"/>
          <w:color w:val="auto"/>
          <w:kern w:val="0"/>
          <w:sz w:val="22"/>
          <w:szCs w:val="22"/>
          <w:highlight w:val="none"/>
          <w:u w:val="single"/>
          <w:lang w:val="en-US" w:eastAsia="zh-CN"/>
        </w:rPr>
        <w:t>10</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供应商根据评分办法编制的各项内容；</w:t>
      </w:r>
    </w:p>
    <w:p>
      <w:pPr>
        <w:pStyle w:val="9"/>
        <w:keepNext w:val="0"/>
        <w:keepLines w:val="0"/>
        <w:pageBreakBefore w:val="0"/>
        <w:widowControl/>
        <w:numPr>
          <w:ilvl w:val="0"/>
          <w:numId w:val="0"/>
        </w:numPr>
        <w:kinsoku/>
        <w:wordWrap/>
        <w:overflowPunct/>
        <w:topLinePunct w:val="0"/>
        <w:bidi w:val="0"/>
        <w:adjustRightInd w:val="0"/>
        <w:snapToGrid w:val="0"/>
        <w:spacing w:line="420" w:lineRule="exact"/>
        <w:ind w:left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u w:val="single"/>
        </w:rPr>
        <w:t>（</w:t>
      </w:r>
      <w:r>
        <w:rPr>
          <w:rFonts w:hint="eastAsia" w:ascii="宋体" w:hAnsi="宋体" w:eastAsia="宋体" w:cs="宋体"/>
          <w:color w:val="auto"/>
          <w:kern w:val="0"/>
          <w:sz w:val="22"/>
          <w:szCs w:val="22"/>
          <w:highlight w:val="none"/>
          <w:u w:val="single"/>
          <w:lang w:val="en-US" w:eastAsia="zh-CN"/>
        </w:rPr>
        <w:t>1</w:t>
      </w:r>
      <w:r>
        <w:rPr>
          <w:rFonts w:hint="eastAsia" w:ascii="宋体" w:hAnsi="宋体" w:cs="宋体"/>
          <w:color w:val="auto"/>
          <w:kern w:val="0"/>
          <w:sz w:val="22"/>
          <w:szCs w:val="22"/>
          <w:highlight w:val="none"/>
          <w:u w:val="single"/>
          <w:lang w:val="en-US" w:eastAsia="zh-CN"/>
        </w:rPr>
        <w:t>1</w:t>
      </w:r>
      <w:r>
        <w:rPr>
          <w:rFonts w:hint="eastAsia" w:ascii="宋体" w:hAnsi="宋体" w:eastAsia="宋体" w:cs="宋体"/>
          <w:color w:val="auto"/>
          <w:kern w:val="0"/>
          <w:sz w:val="22"/>
          <w:szCs w:val="22"/>
          <w:highlight w:val="none"/>
          <w:u w:val="single"/>
        </w:rPr>
        <w:t>）</w:t>
      </w:r>
      <w:r>
        <w:rPr>
          <w:rFonts w:hint="eastAsia" w:ascii="宋体" w:hAnsi="宋体" w:cs="宋体"/>
          <w:color w:val="auto"/>
          <w:sz w:val="22"/>
          <w:szCs w:val="22"/>
          <w:highlight w:val="none"/>
          <w:u w:val="single"/>
          <w:lang w:eastAsia="zh-CN"/>
        </w:rPr>
        <w:t>供应商根据评分标准提供的其他相关证明材料扫描件（如有）</w:t>
      </w:r>
      <w:r>
        <w:rPr>
          <w:rFonts w:hint="eastAsia" w:ascii="宋体" w:hAnsi="宋体" w:eastAsia="宋体" w:cs="宋体"/>
          <w:color w:val="auto"/>
          <w:sz w:val="22"/>
          <w:szCs w:val="22"/>
          <w:highlight w:val="none"/>
        </w:rPr>
        <w:t>。</w:t>
      </w:r>
    </w:p>
    <w:p>
      <w:pPr>
        <w:keepNext w:val="0"/>
        <w:keepLines w:val="0"/>
        <w:pageBreakBefore w:val="0"/>
        <w:kinsoku/>
        <w:wordWrap/>
        <w:overflowPunct/>
        <w:topLinePunct w:val="0"/>
        <w:autoSpaceDE w:val="0"/>
        <w:autoSpaceDN w:val="0"/>
        <w:bidi w:val="0"/>
        <w:adjustRightInd w:val="0"/>
        <w:spacing w:line="420" w:lineRule="exact"/>
        <w:ind w:left="426" w:firstLine="60" w:firstLineChars="27"/>
        <w:textAlignment w:val="auto"/>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3、报价文件的组成</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1</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《报价文件》封面（格式见附件十九）；</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2</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投标函（格式见附件二十）；</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u w:val="single"/>
          <w:lang w:eastAsia="zh-CN"/>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3</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 xml:space="preserve"> 报价一览表（格式见附件二十一）</w:t>
      </w:r>
      <w:r>
        <w:rPr>
          <w:rFonts w:hint="eastAsia" w:ascii="宋体" w:hAnsi="宋体" w:cs="宋体"/>
          <w:color w:val="auto"/>
          <w:kern w:val="0"/>
          <w:sz w:val="22"/>
          <w:szCs w:val="22"/>
          <w:highlight w:val="none"/>
          <w:u w:val="single"/>
          <w:lang w:eastAsia="zh-CN"/>
        </w:rPr>
        <w:t>；</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kern w:val="0"/>
          <w:sz w:val="22"/>
          <w:szCs w:val="22"/>
          <w:highlight w:val="none"/>
        </w:rPr>
      </w:pPr>
      <w:r>
        <w:rPr>
          <w:rFonts w:hint="eastAsia" w:ascii="宋体" w:hAnsi="宋体" w:cs="宋体"/>
          <w:color w:val="auto"/>
          <w:kern w:val="0"/>
          <w:sz w:val="22"/>
          <w:szCs w:val="22"/>
          <w:highlight w:val="none"/>
          <w:u w:val="single"/>
          <w:lang w:eastAsia="zh-CN"/>
        </w:rPr>
        <w:t>（</w:t>
      </w:r>
      <w:r>
        <w:rPr>
          <w:rFonts w:hint="eastAsia" w:ascii="宋体" w:hAnsi="宋体" w:cs="宋体"/>
          <w:color w:val="auto"/>
          <w:kern w:val="0"/>
          <w:sz w:val="22"/>
          <w:szCs w:val="22"/>
          <w:highlight w:val="none"/>
          <w:u w:val="single"/>
          <w:lang w:val="en-US" w:eastAsia="zh-CN"/>
        </w:rPr>
        <w:t>3</w:t>
      </w:r>
      <w:r>
        <w:rPr>
          <w:rFonts w:hint="eastAsia" w:ascii="宋体" w:hAnsi="宋体" w:cs="宋体"/>
          <w:color w:val="auto"/>
          <w:kern w:val="0"/>
          <w:sz w:val="22"/>
          <w:szCs w:val="22"/>
          <w:highlight w:val="none"/>
          <w:u w:val="single"/>
          <w:lang w:eastAsia="zh-CN"/>
        </w:rPr>
        <w:t>）</w:t>
      </w:r>
      <w:r>
        <w:rPr>
          <w:rFonts w:hint="eastAsia" w:ascii="宋体" w:hAnsi="宋体" w:eastAsia="宋体" w:cs="宋体"/>
          <w:color w:val="auto"/>
          <w:kern w:val="0"/>
          <w:sz w:val="22"/>
          <w:szCs w:val="22"/>
          <w:highlight w:val="none"/>
          <w:u w:val="single"/>
        </w:rPr>
        <w:t xml:space="preserve"> 报价明细表（格式见附件二十</w:t>
      </w:r>
      <w:r>
        <w:rPr>
          <w:rFonts w:hint="eastAsia" w:ascii="宋体" w:hAnsi="宋体" w:cs="宋体"/>
          <w:color w:val="auto"/>
          <w:kern w:val="0"/>
          <w:sz w:val="22"/>
          <w:szCs w:val="22"/>
          <w:highlight w:val="none"/>
          <w:u w:val="single"/>
          <w:lang w:eastAsia="zh-CN"/>
        </w:rPr>
        <w:t>二</w:t>
      </w:r>
      <w:r>
        <w:rPr>
          <w:rFonts w:hint="eastAsia" w:ascii="宋体" w:hAnsi="宋体" w:eastAsia="宋体" w:cs="宋体"/>
          <w:color w:val="auto"/>
          <w:kern w:val="0"/>
          <w:sz w:val="22"/>
          <w:szCs w:val="22"/>
          <w:highlight w:val="none"/>
          <w:u w:val="single"/>
        </w:rPr>
        <w:t>）</w:t>
      </w:r>
      <w:r>
        <w:rPr>
          <w:rFonts w:hint="eastAsia" w:ascii="宋体" w:hAnsi="宋体" w:eastAsia="宋体" w:cs="宋体"/>
          <w:color w:val="auto"/>
          <w:kern w:val="0"/>
          <w:sz w:val="22"/>
          <w:szCs w:val="22"/>
          <w:highlight w:val="none"/>
        </w:rPr>
        <w:t>。</w:t>
      </w:r>
    </w:p>
    <w:p>
      <w:pPr>
        <w:pStyle w:val="9"/>
        <w:keepNext w:val="0"/>
        <w:keepLines w:val="0"/>
        <w:pageBreakBefore w:val="0"/>
        <w:kinsoku/>
        <w:wordWrap/>
        <w:overflowPunct/>
        <w:topLinePunct w:val="0"/>
        <w:bidi w:val="0"/>
        <w:spacing w:line="420" w:lineRule="exact"/>
        <w:ind w:firstLine="442" w:firstLineChars="200"/>
        <w:textAlignment w:val="auto"/>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（二）投标报价</w:t>
      </w:r>
    </w:p>
    <w:p>
      <w:pPr>
        <w:pStyle w:val="24"/>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firstLine="442" w:firstLineChars="200"/>
        <w:jc w:val="both"/>
        <w:textAlignment w:val="auto"/>
        <w:rPr>
          <w:rFonts w:hint="eastAsia" w:ascii="宋体" w:hAnsi="宋体" w:eastAsia="宋体" w:cs="宋体"/>
          <w:bCs/>
          <w:color w:val="auto"/>
          <w:kern w:val="0"/>
          <w:sz w:val="22"/>
          <w:szCs w:val="22"/>
          <w:lang w:val="en-US" w:eastAsia="zh-CN" w:bidi="ar"/>
        </w:rPr>
      </w:pPr>
      <w:r>
        <w:rPr>
          <w:rFonts w:hint="eastAsia" w:ascii="宋体" w:hAnsi="宋体" w:eastAsia="宋体" w:cs="宋体"/>
          <w:b/>
          <w:color w:val="auto"/>
          <w:sz w:val="22"/>
          <w:szCs w:val="22"/>
          <w:highlight w:val="none"/>
        </w:rPr>
        <w:t>▲</w:t>
      </w:r>
      <w:r>
        <w:rPr>
          <w:rFonts w:hint="eastAsia" w:ascii="宋体" w:hAnsi="宋体" w:eastAsia="宋体" w:cs="宋体"/>
          <w:bCs/>
          <w:color w:val="auto"/>
          <w:kern w:val="0"/>
          <w:sz w:val="22"/>
          <w:szCs w:val="22"/>
          <w:highlight w:val="none"/>
        </w:rPr>
        <w:t>1.</w:t>
      </w:r>
      <w:r>
        <w:rPr>
          <w:rFonts w:hint="eastAsia" w:ascii="宋体" w:hAnsi="宋体" w:cs="宋体"/>
          <w:bCs/>
          <w:color w:val="auto"/>
          <w:kern w:val="0"/>
          <w:sz w:val="22"/>
          <w:szCs w:val="22"/>
          <w:highlight w:val="none"/>
          <w:lang w:eastAsia="zh-CN"/>
        </w:rPr>
        <w:t>供应商</w:t>
      </w:r>
      <w:r>
        <w:rPr>
          <w:rFonts w:hint="eastAsia" w:ascii="宋体" w:hAnsi="宋体" w:eastAsia="宋体" w:cs="宋体"/>
          <w:bCs/>
          <w:color w:val="auto"/>
          <w:kern w:val="0"/>
          <w:sz w:val="22"/>
          <w:szCs w:val="22"/>
          <w:highlight w:val="none"/>
        </w:rPr>
        <w:t>应按照招标需求内容、责任范围以及合同条款进行报价。并按“开标一览表”和“报价明细表”规定的格式报出总价和分项价格。投标总价中不得包含招标文件要求以外的内容，否则，在评标时不予核减。</w:t>
      </w:r>
    </w:p>
    <w:p>
      <w:pPr>
        <w:pStyle w:val="24"/>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firstLine="440" w:firstLineChars="200"/>
        <w:jc w:val="both"/>
        <w:textAlignment w:val="auto"/>
        <w:rPr>
          <w:rFonts w:hint="eastAsia" w:ascii="宋体" w:hAnsi="宋体" w:eastAsia="宋体" w:cs="宋体"/>
          <w:bCs/>
          <w:color w:val="auto"/>
          <w:kern w:val="0"/>
          <w:sz w:val="22"/>
          <w:szCs w:val="22"/>
          <w:lang w:val="en-US" w:eastAsia="zh-CN" w:bidi="ar"/>
        </w:rPr>
      </w:pPr>
      <w:r>
        <w:rPr>
          <w:rFonts w:hint="eastAsia" w:ascii="宋体" w:hAnsi="宋体" w:eastAsia="宋体" w:cs="宋体"/>
          <w:bCs/>
          <w:color w:val="auto"/>
          <w:kern w:val="0"/>
          <w:sz w:val="22"/>
          <w:szCs w:val="22"/>
          <w:lang w:val="en-US" w:eastAsia="zh-CN" w:bidi="ar"/>
        </w:rPr>
        <w:t>2.投标报价是履行合同的最终价格，包括设计费、项目施工费、验收费、人工费、机械费、措施费、规费、保险费、质保期内的保修费、税费、购买及制作标书费、采购代理费、清单编制费、参加投标费用等一切费用，是履行合同的最终价格，其市场风险由投标人承担</w:t>
      </w:r>
      <w:r>
        <w:rPr>
          <w:rFonts w:hint="eastAsia" w:cs="宋体"/>
          <w:bCs/>
          <w:color w:val="auto"/>
          <w:kern w:val="0"/>
          <w:sz w:val="22"/>
          <w:szCs w:val="22"/>
          <w:lang w:val="en-US" w:eastAsia="zh-CN" w:bidi="ar"/>
        </w:rPr>
        <w:t>。</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bCs/>
          <w:color w:val="auto"/>
          <w:kern w:val="0"/>
          <w:sz w:val="22"/>
          <w:szCs w:val="22"/>
          <w:highlight w:val="none"/>
        </w:rPr>
      </w:pPr>
      <w:r>
        <w:rPr>
          <w:rFonts w:hint="eastAsia" w:ascii="宋体" w:hAnsi="宋体" w:eastAsia="宋体" w:cs="宋体"/>
          <w:bCs/>
          <w:sz w:val="22"/>
          <w:szCs w:val="22"/>
        </w:rPr>
        <w:t>▲</w:t>
      </w:r>
      <w:r>
        <w:rPr>
          <w:rFonts w:hint="eastAsia" w:ascii="宋体" w:hAnsi="宋体" w:eastAsia="宋体" w:cs="宋体"/>
          <w:bCs/>
          <w:color w:val="auto"/>
          <w:kern w:val="0"/>
          <w:sz w:val="22"/>
          <w:szCs w:val="22"/>
          <w:highlight w:val="none"/>
        </w:rPr>
        <w:t>3.投标报价不得为选择性报价和附有条件的报价。</w:t>
      </w:r>
    </w:p>
    <w:p>
      <w:pPr>
        <w:pStyle w:val="9"/>
        <w:keepNext w:val="0"/>
        <w:keepLines w:val="0"/>
        <w:pageBreakBefore w:val="0"/>
        <w:kinsoku/>
        <w:wordWrap/>
        <w:overflowPunct/>
        <w:topLinePunct w:val="0"/>
        <w:bidi w:val="0"/>
        <w:spacing w:line="420" w:lineRule="exact"/>
        <w:ind w:firstLine="442" w:firstLineChars="200"/>
        <w:textAlignment w:val="auto"/>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（三）投标文件的有效期</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sz w:val="22"/>
          <w:szCs w:val="22"/>
          <w:highlight w:val="none"/>
          <w:lang w:val="en-GB"/>
        </w:rPr>
      </w:pPr>
      <w:r>
        <w:rPr>
          <w:rFonts w:hint="eastAsia" w:ascii="宋体" w:hAnsi="宋体" w:eastAsia="宋体" w:cs="宋体"/>
          <w:bCs/>
          <w:sz w:val="22"/>
          <w:szCs w:val="22"/>
        </w:rPr>
        <w:t>▲</w:t>
      </w:r>
      <w:r>
        <w:rPr>
          <w:rFonts w:hint="eastAsia" w:ascii="宋体" w:hAnsi="宋体" w:eastAsia="宋体" w:cs="宋体"/>
          <w:color w:val="auto"/>
          <w:sz w:val="22"/>
          <w:szCs w:val="22"/>
          <w:highlight w:val="none"/>
        </w:rPr>
        <w:t>1.投标文件有效期为</w:t>
      </w:r>
      <w:r>
        <w:rPr>
          <w:rFonts w:hint="eastAsia" w:ascii="宋体" w:hAnsi="宋体" w:eastAsia="宋体" w:cs="宋体"/>
          <w:color w:val="auto"/>
          <w:sz w:val="22"/>
          <w:szCs w:val="22"/>
          <w:highlight w:val="none"/>
          <w:lang w:val="en-GB"/>
        </w:rPr>
        <w:t>投标截止日起90天。</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sz w:val="22"/>
          <w:szCs w:val="22"/>
          <w:highlight w:val="none"/>
          <w:lang w:val="en-GB"/>
        </w:rPr>
      </w:pPr>
      <w:r>
        <w:rPr>
          <w:rFonts w:hint="eastAsia" w:ascii="宋体" w:hAnsi="宋体" w:eastAsia="宋体" w:cs="宋体"/>
          <w:color w:val="auto"/>
          <w:sz w:val="22"/>
          <w:szCs w:val="22"/>
          <w:highlight w:val="none"/>
        </w:rPr>
        <w:t>2.</w:t>
      </w:r>
      <w:r>
        <w:rPr>
          <w:rFonts w:hint="eastAsia" w:ascii="宋体" w:hAnsi="宋体" w:eastAsia="宋体" w:cs="宋体"/>
          <w:color w:val="auto"/>
          <w:sz w:val="22"/>
          <w:szCs w:val="22"/>
          <w:highlight w:val="none"/>
          <w:lang w:val="en-GB"/>
        </w:rPr>
        <w:t>在特殊情况下，采购人可与</w:t>
      </w:r>
      <w:r>
        <w:rPr>
          <w:rFonts w:hint="eastAsia" w:ascii="宋体" w:hAnsi="宋体" w:cs="宋体"/>
          <w:color w:val="auto"/>
          <w:sz w:val="22"/>
          <w:szCs w:val="22"/>
          <w:highlight w:val="none"/>
          <w:lang w:val="en-GB" w:eastAsia="zh-CN"/>
        </w:rPr>
        <w:t>供应商</w:t>
      </w:r>
      <w:r>
        <w:rPr>
          <w:rFonts w:hint="eastAsia" w:ascii="宋体" w:hAnsi="宋体" w:eastAsia="宋体" w:cs="宋体"/>
          <w:color w:val="auto"/>
          <w:sz w:val="22"/>
          <w:szCs w:val="22"/>
          <w:highlight w:val="none"/>
          <w:lang w:val="en-GB"/>
        </w:rPr>
        <w:t>协商延长投标文件的有效期，这种要求和答复均以书面形式进行。</w:t>
      </w:r>
    </w:p>
    <w:p>
      <w:pPr>
        <w:keepNext w:val="0"/>
        <w:keepLines w:val="0"/>
        <w:pageBreakBefore w:val="0"/>
        <w:kinsoku/>
        <w:wordWrap/>
        <w:overflowPunct/>
        <w:topLinePunct w:val="0"/>
        <w:bidi w:val="0"/>
        <w:snapToGrid w:val="0"/>
        <w:spacing w:line="420" w:lineRule="exact"/>
        <w:ind w:firstLine="440" w:firstLineChars="200"/>
        <w:textAlignment w:val="auto"/>
        <w:outlineLvl w:val="0"/>
        <w:rPr>
          <w:rFonts w:hint="eastAsia" w:ascii="宋体" w:hAnsi="宋体" w:eastAsia="宋体" w:cs="宋体"/>
          <w:color w:val="auto"/>
          <w:sz w:val="22"/>
          <w:szCs w:val="22"/>
          <w:highlight w:val="none"/>
        </w:rPr>
      </w:pPr>
      <w:bookmarkStart w:id="46" w:name="_Toc15345"/>
      <w:r>
        <w:rPr>
          <w:rFonts w:hint="eastAsia" w:ascii="宋体" w:hAnsi="宋体" w:eastAsia="宋体" w:cs="宋体"/>
          <w:bCs/>
          <w:sz w:val="22"/>
          <w:szCs w:val="22"/>
        </w:rPr>
        <w:t>▲</w:t>
      </w:r>
      <w:r>
        <w:rPr>
          <w:rFonts w:hint="eastAsia" w:ascii="宋体" w:hAnsi="宋体" w:eastAsia="宋体" w:cs="宋体"/>
          <w:color w:val="auto"/>
          <w:sz w:val="22"/>
          <w:szCs w:val="22"/>
          <w:highlight w:val="none"/>
        </w:rPr>
        <w:t>3.中标人的投标文件自开标之日起至合同履行完毕均应保持有效。</w:t>
      </w:r>
      <w:bookmarkEnd w:id="46"/>
    </w:p>
    <w:p>
      <w:pPr>
        <w:keepNext w:val="0"/>
        <w:keepLines w:val="0"/>
        <w:pageBreakBefore w:val="0"/>
        <w:kinsoku/>
        <w:wordWrap/>
        <w:overflowPunct/>
        <w:topLinePunct w:val="0"/>
        <w:bidi w:val="0"/>
        <w:snapToGrid w:val="0"/>
        <w:spacing w:line="420" w:lineRule="exact"/>
        <w:ind w:firstLine="442" w:firstLineChars="200"/>
        <w:textAlignment w:val="auto"/>
        <w:outlineLvl w:val="0"/>
        <w:rPr>
          <w:rFonts w:hint="eastAsia" w:ascii="宋体" w:hAnsi="宋体" w:eastAsia="宋体" w:cs="宋体"/>
          <w:b/>
          <w:color w:val="auto"/>
          <w:kern w:val="0"/>
          <w:sz w:val="22"/>
          <w:szCs w:val="22"/>
          <w:highlight w:val="none"/>
        </w:rPr>
      </w:pPr>
      <w:bookmarkStart w:id="47" w:name="_Toc8372"/>
      <w:r>
        <w:rPr>
          <w:rFonts w:hint="eastAsia" w:ascii="宋体" w:hAnsi="宋体" w:eastAsia="宋体" w:cs="宋体"/>
          <w:b/>
          <w:color w:val="auto"/>
          <w:kern w:val="0"/>
          <w:sz w:val="22"/>
          <w:szCs w:val="22"/>
          <w:highlight w:val="none"/>
        </w:rPr>
        <w:t>（四）投标文件的签署</w:t>
      </w:r>
      <w:bookmarkEnd w:id="47"/>
    </w:p>
    <w:p>
      <w:pPr>
        <w:pStyle w:val="9"/>
        <w:keepNext w:val="0"/>
        <w:keepLines w:val="0"/>
        <w:pageBreakBefore w:val="0"/>
        <w:kinsoku/>
        <w:wordWrap/>
        <w:overflowPunct/>
        <w:topLinePunct w:val="0"/>
        <w:bidi w:val="0"/>
        <w:spacing w:line="420" w:lineRule="exact"/>
        <w:ind w:left="218" w:leftChars="104" w:firstLine="220" w:firstLineChars="100"/>
        <w:textAlignment w:val="auto"/>
        <w:rPr>
          <w:rFonts w:hint="eastAsia" w:ascii="宋体" w:hAnsi="宋体" w:eastAsia="宋体" w:cs="宋体"/>
          <w:bCs/>
          <w:color w:val="auto"/>
          <w:kern w:val="0"/>
          <w:sz w:val="22"/>
          <w:szCs w:val="22"/>
          <w:highlight w:val="none"/>
        </w:rPr>
      </w:pPr>
      <w:r>
        <w:rPr>
          <w:rFonts w:hint="eastAsia" w:ascii="宋体" w:hAnsi="宋体" w:eastAsia="宋体" w:cs="宋体"/>
          <w:bCs/>
          <w:sz w:val="22"/>
          <w:szCs w:val="22"/>
        </w:rPr>
        <w:t>▲</w:t>
      </w:r>
      <w:r>
        <w:rPr>
          <w:rFonts w:hint="eastAsia" w:ascii="宋体" w:hAnsi="宋体" w:eastAsia="宋体" w:cs="宋体"/>
          <w:bCs/>
          <w:color w:val="auto"/>
          <w:kern w:val="0"/>
          <w:sz w:val="22"/>
          <w:szCs w:val="22"/>
          <w:highlight w:val="none"/>
        </w:rPr>
        <w:t>1.投标文件需由法定代表人或授权委托代理人签字或盖章。</w:t>
      </w:r>
      <w:r>
        <w:rPr>
          <w:rFonts w:hint="eastAsia" w:ascii="宋体" w:hAnsi="宋体" w:eastAsia="宋体" w:cs="宋体"/>
          <w:b/>
          <w:bCs w:val="0"/>
          <w:color w:val="auto"/>
          <w:kern w:val="0"/>
          <w:sz w:val="22"/>
          <w:szCs w:val="22"/>
          <w:highlight w:val="none"/>
          <w:u w:val="single"/>
        </w:rPr>
        <w:t>授权委托代理人须出具书面授权证明，其《法定代表人授权书》应附在投标文件中。</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rPr>
        <w:t>2.投标文件中所有的插字、涂改和增删，必须由法定代表人或经其正式授权的委托代理人在旁边签字或盖章才有效。</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rPr>
        <w:t>3.投标文件中要求加盖公章处，可使用有效安全的电子签章替代。</w:t>
      </w:r>
    </w:p>
    <w:p>
      <w:pPr>
        <w:keepNext w:val="0"/>
        <w:keepLines w:val="0"/>
        <w:pageBreakBefore w:val="0"/>
        <w:kinsoku/>
        <w:wordWrap/>
        <w:overflowPunct/>
        <w:topLinePunct w:val="0"/>
        <w:autoSpaceDE w:val="0"/>
        <w:autoSpaceDN w:val="0"/>
        <w:bidi w:val="0"/>
        <w:adjustRightInd w:val="0"/>
        <w:spacing w:line="420" w:lineRule="exact"/>
        <w:ind w:firstLine="442" w:firstLineChars="200"/>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（五）投标文件的递交要求</w:t>
      </w:r>
    </w:p>
    <w:p>
      <w:pPr>
        <w:keepNext w:val="0"/>
        <w:keepLines w:val="0"/>
        <w:pageBreakBefore w:val="0"/>
        <w:tabs>
          <w:tab w:val="left" w:pos="1418"/>
        </w:tabs>
        <w:kinsoku/>
        <w:wordWrap/>
        <w:overflowPunct/>
        <w:topLinePunct w:val="0"/>
        <w:autoSpaceDE w:val="0"/>
        <w:autoSpaceDN w:val="0"/>
        <w:bidi w:val="0"/>
        <w:adjustRightInd w:val="0"/>
        <w:spacing w:line="420" w:lineRule="exact"/>
        <w:ind w:firstLine="440" w:firstLineChars="200"/>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按照前附表要求提交，</w:t>
      </w:r>
      <w:r>
        <w:rPr>
          <w:rFonts w:hint="eastAsia" w:ascii="宋体" w:hAnsi="宋体" w:eastAsia="宋体" w:cs="宋体"/>
          <w:color w:val="auto"/>
          <w:kern w:val="0"/>
          <w:sz w:val="22"/>
          <w:szCs w:val="22"/>
          <w:highlight w:val="none"/>
        </w:rPr>
        <w:t>如采购组织机构延长截止时间和开标时间，采购组织机构和</w:t>
      </w:r>
      <w:r>
        <w:rPr>
          <w:rFonts w:hint="eastAsia" w:ascii="宋体" w:hAnsi="宋体" w:cs="宋体"/>
          <w:color w:val="auto"/>
          <w:kern w:val="0"/>
          <w:sz w:val="22"/>
          <w:szCs w:val="22"/>
          <w:highlight w:val="none"/>
          <w:lang w:eastAsia="zh-CN"/>
        </w:rPr>
        <w:t>供应商</w:t>
      </w:r>
      <w:r>
        <w:rPr>
          <w:rFonts w:hint="eastAsia" w:ascii="宋体" w:hAnsi="宋体" w:eastAsia="宋体" w:cs="宋体"/>
          <w:color w:val="auto"/>
          <w:kern w:val="0"/>
          <w:sz w:val="22"/>
          <w:szCs w:val="22"/>
          <w:highlight w:val="none"/>
        </w:rPr>
        <w:t>的权利和义务将受到新的截止时间和开标时间的约束。</w:t>
      </w:r>
    </w:p>
    <w:p>
      <w:pPr>
        <w:keepNext w:val="0"/>
        <w:keepLines w:val="0"/>
        <w:pageBreakBefore w:val="0"/>
        <w:kinsoku/>
        <w:wordWrap/>
        <w:overflowPunct/>
        <w:topLinePunct w:val="0"/>
        <w:autoSpaceDE w:val="0"/>
        <w:autoSpaceDN w:val="0"/>
        <w:bidi w:val="0"/>
        <w:adjustRightInd w:val="0"/>
        <w:spacing w:line="420" w:lineRule="exact"/>
        <w:ind w:firstLine="442" w:firstLineChars="200"/>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（六）中标人存档纸质投标文件的要求</w:t>
      </w:r>
    </w:p>
    <w:p>
      <w:pPr>
        <w:keepNext w:val="0"/>
        <w:keepLines w:val="0"/>
        <w:pageBreakBefore w:val="0"/>
        <w:tabs>
          <w:tab w:val="left" w:pos="1418"/>
        </w:tabs>
        <w:kinsoku/>
        <w:wordWrap/>
        <w:overflowPunct/>
        <w:topLinePunct w:val="0"/>
        <w:autoSpaceDE w:val="0"/>
        <w:autoSpaceDN w:val="0"/>
        <w:bidi w:val="0"/>
        <w:adjustRightInd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1.存档纸质投标文件是中标人中标后提供给采购组织机构的用于本项目纸质存档备案用途的文件。</w:t>
      </w:r>
    </w:p>
    <w:p>
      <w:pPr>
        <w:keepNext w:val="0"/>
        <w:keepLines w:val="0"/>
        <w:pageBreakBefore w:val="0"/>
        <w:tabs>
          <w:tab w:val="left" w:pos="1418"/>
        </w:tabs>
        <w:kinsoku/>
        <w:wordWrap/>
        <w:overflowPunct/>
        <w:topLinePunct w:val="0"/>
        <w:autoSpaceDE w:val="0"/>
        <w:autoSpaceDN w:val="0"/>
        <w:bidi w:val="0"/>
        <w:adjustRightInd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2.存档纸质投标文件的装订要求：政采云电子投标文件</w:t>
      </w:r>
      <w:r>
        <w:rPr>
          <w:rFonts w:hint="eastAsia" w:ascii="宋体" w:hAnsi="宋体" w:cs="宋体"/>
          <w:color w:val="auto"/>
          <w:sz w:val="22"/>
          <w:szCs w:val="22"/>
          <w:highlight w:val="none"/>
          <w:lang w:eastAsia="zh-CN"/>
        </w:rPr>
        <w:t>扫描件</w:t>
      </w:r>
      <w:r>
        <w:rPr>
          <w:rFonts w:hint="eastAsia" w:ascii="宋体" w:hAnsi="宋体" w:eastAsia="宋体" w:cs="宋体"/>
          <w:color w:val="auto"/>
          <w:sz w:val="22"/>
          <w:szCs w:val="22"/>
          <w:highlight w:val="none"/>
        </w:rPr>
        <w:t>合计</w:t>
      </w:r>
      <w:r>
        <w:rPr>
          <w:rFonts w:hint="eastAsia" w:ascii="宋体" w:hAnsi="宋体" w:cs="宋体"/>
          <w:color w:val="auto"/>
          <w:sz w:val="22"/>
          <w:szCs w:val="22"/>
          <w:highlight w:val="none"/>
          <w:lang w:eastAsia="zh-CN"/>
        </w:rPr>
        <w:t>四</w:t>
      </w:r>
      <w:r>
        <w:rPr>
          <w:rFonts w:hint="eastAsia" w:ascii="宋体" w:hAnsi="宋体" w:eastAsia="宋体" w:cs="宋体"/>
          <w:color w:val="auto"/>
          <w:sz w:val="22"/>
          <w:szCs w:val="22"/>
          <w:highlight w:val="none"/>
        </w:rPr>
        <w:t>份，正</w:t>
      </w:r>
      <w:r>
        <w:rPr>
          <w:rFonts w:hint="eastAsia" w:ascii="宋体" w:hAnsi="宋体" w:cs="宋体"/>
          <w:color w:val="auto"/>
          <w:sz w:val="22"/>
          <w:szCs w:val="22"/>
          <w:highlight w:val="none"/>
          <w:lang w:eastAsia="zh-CN"/>
        </w:rPr>
        <w:t>本</w:t>
      </w:r>
      <w:r>
        <w:rPr>
          <w:rFonts w:hint="eastAsia" w:ascii="宋体" w:hAnsi="宋体" w:eastAsia="宋体" w:cs="宋体"/>
          <w:color w:val="auto"/>
          <w:sz w:val="22"/>
          <w:szCs w:val="22"/>
          <w:highlight w:val="none"/>
        </w:rPr>
        <w:t>一份</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副本</w:t>
      </w:r>
      <w:r>
        <w:rPr>
          <w:rFonts w:hint="eastAsia" w:ascii="宋体" w:hAnsi="宋体" w:cs="宋体"/>
          <w:color w:val="auto"/>
          <w:sz w:val="22"/>
          <w:szCs w:val="22"/>
          <w:highlight w:val="none"/>
          <w:lang w:eastAsia="zh-CN"/>
        </w:rPr>
        <w:t>三</w:t>
      </w:r>
      <w:r>
        <w:rPr>
          <w:rFonts w:hint="eastAsia" w:ascii="宋体" w:hAnsi="宋体" w:eastAsia="宋体" w:cs="宋体"/>
          <w:color w:val="auto"/>
          <w:sz w:val="22"/>
          <w:szCs w:val="22"/>
          <w:highlight w:val="none"/>
        </w:rPr>
        <w:t>份，正本须在封面标注“正本”字样并加盖公章及骑缝章，副本可以采用正本的</w:t>
      </w:r>
      <w:r>
        <w:rPr>
          <w:rFonts w:hint="eastAsia" w:ascii="宋体" w:hAnsi="宋体" w:cs="宋体"/>
          <w:color w:val="auto"/>
          <w:sz w:val="22"/>
          <w:szCs w:val="22"/>
          <w:highlight w:val="none"/>
          <w:lang w:eastAsia="zh-CN"/>
        </w:rPr>
        <w:t>扫描件</w:t>
      </w:r>
      <w:r>
        <w:rPr>
          <w:rFonts w:hint="eastAsia" w:ascii="宋体" w:hAnsi="宋体" w:eastAsia="宋体" w:cs="宋体"/>
          <w:color w:val="auto"/>
          <w:sz w:val="22"/>
          <w:szCs w:val="22"/>
          <w:highlight w:val="none"/>
        </w:rPr>
        <w:t>。如有不同标项，请按标项号分别装订。</w:t>
      </w:r>
    </w:p>
    <w:p>
      <w:pPr>
        <w:keepNext w:val="0"/>
        <w:keepLines w:val="0"/>
        <w:pageBreakBefore w:val="0"/>
        <w:kinsoku/>
        <w:wordWrap/>
        <w:overflowPunct/>
        <w:topLinePunct w:val="0"/>
        <w:bidi w:val="0"/>
        <w:snapToGrid w:val="0"/>
        <w:spacing w:line="420" w:lineRule="exact"/>
        <w:ind w:firstLine="442" w:firstLineChars="200"/>
        <w:textAlignment w:val="auto"/>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五、开标</w:t>
      </w:r>
    </w:p>
    <w:p>
      <w:pPr>
        <w:keepNext w:val="0"/>
        <w:keepLines w:val="0"/>
        <w:pageBreakBefore w:val="0"/>
        <w:kinsoku/>
        <w:wordWrap/>
        <w:overflowPunct/>
        <w:topLinePunct w:val="0"/>
        <w:autoSpaceDE w:val="0"/>
        <w:autoSpaceDN w:val="0"/>
        <w:bidi w:val="0"/>
        <w:adjustRightInd w:val="0"/>
        <w:spacing w:line="420" w:lineRule="exact"/>
        <w:ind w:firstLine="442" w:firstLineChars="200"/>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（一）开标程序</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1.开标时间到后，主持人准时组织开标；</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2.宣布开标纪律；</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3.宣布采购组织机构工作人员；</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登录政采云平台，用“项目采购-开标评标”功能对电子投标文件进行在线解密。在线解密时间为开标时间起半个小时内；</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5.采购组织机构工作人员当众宣布</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名称、投标价格和招标文件规定的需要宣布的其他内容；（以开标一览表要求为准）</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6.公布开标结果。</w:t>
      </w:r>
    </w:p>
    <w:p>
      <w:pPr>
        <w:pStyle w:val="9"/>
        <w:keepNext w:val="0"/>
        <w:keepLines w:val="0"/>
        <w:pageBreakBefore w:val="0"/>
        <w:kinsoku/>
        <w:wordWrap/>
        <w:overflowPunct/>
        <w:topLinePunct w:val="0"/>
        <w:bidi w:val="0"/>
        <w:spacing w:line="420" w:lineRule="exact"/>
        <w:ind w:firstLine="442" w:firstLineChars="200"/>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（二）开标异议</w:t>
      </w:r>
    </w:p>
    <w:p>
      <w:pPr>
        <w:pStyle w:val="9"/>
        <w:keepNext w:val="0"/>
        <w:keepLines w:val="0"/>
        <w:pageBreakBefore w:val="0"/>
        <w:kinsoku/>
        <w:wordWrap/>
        <w:overflowPunct/>
        <w:topLinePunct w:val="0"/>
        <w:bidi w:val="0"/>
        <w:spacing w:line="42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代表对开标过程和开标记录有疑义，以及认为采购人、采购组织机构相关工作人员有需要回避的情形的，应当场提出询问或者回避申请，开标会议结束后不再接受相关询问或者回避申请。</w:t>
      </w:r>
    </w:p>
    <w:p>
      <w:pPr>
        <w:pStyle w:val="9"/>
        <w:keepNext w:val="0"/>
        <w:keepLines w:val="0"/>
        <w:pageBreakBefore w:val="0"/>
        <w:kinsoku/>
        <w:wordWrap/>
        <w:overflowPunct/>
        <w:topLinePunct w:val="0"/>
        <w:bidi w:val="0"/>
        <w:spacing w:line="420" w:lineRule="exact"/>
        <w:ind w:firstLine="442" w:firstLineChars="200"/>
        <w:textAlignment w:val="auto"/>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（三）</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不足三家，不得开标。</w:t>
      </w:r>
    </w:p>
    <w:p>
      <w:pPr>
        <w:pStyle w:val="16"/>
        <w:keepNext w:val="0"/>
        <w:keepLines w:val="0"/>
        <w:pageBreakBefore w:val="0"/>
        <w:kinsoku/>
        <w:wordWrap/>
        <w:overflowPunct/>
        <w:topLinePunct w:val="0"/>
        <w:bidi w:val="0"/>
        <w:snapToGrid w:val="0"/>
        <w:spacing w:line="420" w:lineRule="exact"/>
        <w:ind w:firstLine="442" w:firstLineChars="200"/>
        <w:textAlignment w:val="auto"/>
        <w:outlineLvl w:val="1"/>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六、评标（详见第四章）</w:t>
      </w:r>
    </w:p>
    <w:p>
      <w:pPr>
        <w:pStyle w:val="24"/>
        <w:keepNext w:val="0"/>
        <w:keepLines w:val="0"/>
        <w:pageBreakBefore w:val="0"/>
        <w:kinsoku/>
        <w:wordWrap/>
        <w:overflowPunct/>
        <w:topLinePunct w:val="0"/>
        <w:bidi w:val="0"/>
        <w:spacing w:before="0" w:beforeAutospacing="0" w:after="0" w:afterAutospacing="0" w:line="420" w:lineRule="exact"/>
        <w:ind w:firstLine="442" w:firstLineChars="200"/>
        <w:jc w:val="both"/>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七、定标</w:t>
      </w:r>
    </w:p>
    <w:p>
      <w:pPr>
        <w:pStyle w:val="24"/>
        <w:keepNext w:val="0"/>
        <w:keepLines w:val="0"/>
        <w:pageBreakBefore w:val="0"/>
        <w:kinsoku/>
        <w:wordWrap/>
        <w:overflowPunct/>
        <w:topLinePunct w:val="0"/>
        <w:bidi w:val="0"/>
        <w:spacing w:before="0" w:beforeAutospacing="0" w:after="0" w:afterAutospacing="0" w:line="420" w:lineRule="exact"/>
        <w:ind w:firstLine="442" w:firstLineChars="200"/>
        <w:jc w:val="both"/>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（一）确定中标人</w:t>
      </w:r>
    </w:p>
    <w:p>
      <w:pPr>
        <w:pStyle w:val="24"/>
        <w:keepNext w:val="0"/>
        <w:keepLines w:val="0"/>
        <w:pageBreakBefore w:val="0"/>
        <w:kinsoku/>
        <w:wordWrap/>
        <w:overflowPunct/>
        <w:topLinePunct w:val="0"/>
        <w:bidi w:val="0"/>
        <w:spacing w:before="0" w:beforeAutospacing="0" w:after="0" w:afterAutospacing="0"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标委员会根据采购单位的《授权意见确认书》，推荐中标候选人或确定中标人。其中推荐中标候选人的，采购组织机构在评标结束后2个工作日内将评标报告送采购人，采购人自收到评标报告之日起5个工作日内在评标报告推荐的中标候选人中确定中标人。</w:t>
      </w:r>
    </w:p>
    <w:p>
      <w:pPr>
        <w:keepNext w:val="0"/>
        <w:keepLines w:val="0"/>
        <w:pageBreakBefore w:val="0"/>
        <w:numPr>
          <w:ilvl w:val="0"/>
          <w:numId w:val="5"/>
        </w:numPr>
        <w:kinsoku/>
        <w:wordWrap/>
        <w:overflowPunct/>
        <w:topLinePunct w:val="0"/>
        <w:bidi w:val="0"/>
        <w:spacing w:line="420" w:lineRule="exact"/>
        <w:ind w:firstLine="442" w:firstLineChars="200"/>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发布</w:t>
      </w:r>
      <w:r>
        <w:rPr>
          <w:rFonts w:hint="eastAsia" w:ascii="宋体" w:hAnsi="宋体" w:eastAsia="宋体" w:cs="宋体"/>
          <w:b/>
          <w:bCs/>
          <w:color w:val="auto"/>
          <w:sz w:val="22"/>
          <w:szCs w:val="22"/>
          <w:highlight w:val="none"/>
        </w:rPr>
        <w:t>中标</w:t>
      </w:r>
      <w:r>
        <w:rPr>
          <w:rFonts w:hint="eastAsia" w:ascii="宋体" w:hAnsi="宋体" w:eastAsia="宋体" w:cs="宋体"/>
          <w:b/>
          <w:bCs/>
          <w:color w:val="auto"/>
          <w:kern w:val="0"/>
          <w:sz w:val="22"/>
          <w:szCs w:val="22"/>
          <w:highlight w:val="none"/>
        </w:rPr>
        <w:t>结果公告</w:t>
      </w:r>
    </w:p>
    <w:p>
      <w:pPr>
        <w:pStyle w:val="24"/>
        <w:keepNext w:val="0"/>
        <w:keepLines w:val="0"/>
        <w:pageBreakBefore w:val="0"/>
        <w:kinsoku/>
        <w:wordWrap/>
        <w:overflowPunct/>
        <w:topLinePunct w:val="0"/>
        <w:bidi w:val="0"/>
        <w:spacing w:before="0" w:beforeAutospacing="0" w:after="0" w:afterAutospacing="0"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采购组织机构自中标人确定之日起2个工作日内，在浙江省政府采购网网上公告中标结果，中标结果公告期为 1 个工作日。</w:t>
      </w:r>
    </w:p>
    <w:p>
      <w:pPr>
        <w:pStyle w:val="11"/>
        <w:keepNext w:val="0"/>
        <w:keepLines w:val="0"/>
        <w:pageBreakBefore w:val="0"/>
        <w:numPr>
          <w:ilvl w:val="0"/>
          <w:numId w:val="5"/>
        </w:numPr>
        <w:kinsoku/>
        <w:wordWrap/>
        <w:overflowPunct/>
        <w:topLinePunct w:val="0"/>
        <w:bidi w:val="0"/>
        <w:spacing w:line="420" w:lineRule="exact"/>
        <w:ind w:left="0" w:leftChars="0" w:firstLine="442" w:firstLineChars="200"/>
        <w:jc w:val="both"/>
        <w:textAlignment w:val="auto"/>
        <w:rPr>
          <w:rFonts w:hint="eastAsia" w:ascii="宋体" w:hAnsi="宋体" w:cs="宋体"/>
          <w:b/>
          <w:bCs/>
          <w:color w:val="auto"/>
          <w:kern w:val="0"/>
          <w:sz w:val="22"/>
          <w:szCs w:val="22"/>
          <w:highlight w:val="none"/>
          <w:lang w:eastAsia="zh-CN"/>
        </w:rPr>
      </w:pPr>
      <w:r>
        <w:rPr>
          <w:rFonts w:hint="eastAsia" w:ascii="宋体" w:hAnsi="宋体" w:eastAsia="宋体" w:cs="宋体"/>
          <w:b/>
          <w:bCs/>
          <w:color w:val="auto"/>
          <w:kern w:val="0"/>
          <w:sz w:val="22"/>
          <w:szCs w:val="22"/>
          <w:highlight w:val="none"/>
        </w:rPr>
        <w:t>发放中标通知书</w:t>
      </w:r>
    </w:p>
    <w:p>
      <w:pPr>
        <w:pStyle w:val="24"/>
        <w:keepNext w:val="0"/>
        <w:keepLines w:val="0"/>
        <w:pageBreakBefore w:val="0"/>
        <w:kinsoku/>
        <w:wordWrap/>
        <w:overflowPunct/>
        <w:topLinePunct w:val="0"/>
        <w:bidi w:val="0"/>
        <w:spacing w:before="0" w:beforeAutospacing="0" w:after="0" w:afterAutospacing="0"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采购组织机构在发布中标结果公告的同时，通过政采云平台向中标人发放中标通知书。</w:t>
      </w:r>
    </w:p>
    <w:p>
      <w:pPr>
        <w:keepNext w:val="0"/>
        <w:keepLines w:val="0"/>
        <w:pageBreakBefore w:val="0"/>
        <w:kinsoku/>
        <w:wordWrap/>
        <w:overflowPunct/>
        <w:topLinePunct w:val="0"/>
        <w:bidi w:val="0"/>
        <w:spacing w:line="420" w:lineRule="exact"/>
        <w:ind w:firstLine="442" w:firstLineChars="200"/>
        <w:textAlignment w:val="auto"/>
        <w:rPr>
          <w:rFonts w:hint="eastAsia" w:ascii="宋体" w:hAnsi="宋体" w:eastAsia="宋体" w:cs="宋体"/>
          <w:color w:val="auto"/>
          <w:kern w:val="0"/>
          <w:sz w:val="22"/>
          <w:szCs w:val="22"/>
          <w:highlight w:val="none"/>
        </w:rPr>
      </w:pPr>
      <w:r>
        <w:rPr>
          <w:rFonts w:hint="eastAsia" w:ascii="宋体" w:hAnsi="宋体" w:eastAsia="宋体" w:cs="宋体"/>
          <w:b/>
          <w:color w:val="auto"/>
          <w:sz w:val="22"/>
          <w:szCs w:val="22"/>
          <w:highlight w:val="none"/>
        </w:rPr>
        <w:t>八、</w:t>
      </w:r>
      <w:r>
        <w:rPr>
          <w:rFonts w:hint="eastAsia" w:ascii="宋体" w:hAnsi="宋体" w:eastAsia="宋体" w:cs="宋体"/>
          <w:b/>
          <w:color w:val="auto"/>
          <w:kern w:val="0"/>
          <w:sz w:val="22"/>
          <w:szCs w:val="22"/>
          <w:highlight w:val="none"/>
        </w:rPr>
        <w:t>合同签订及公告</w:t>
      </w:r>
    </w:p>
    <w:p>
      <w:pPr>
        <w:keepNext w:val="0"/>
        <w:keepLines w:val="0"/>
        <w:pageBreakBefore w:val="0"/>
        <w:kinsoku/>
        <w:wordWrap/>
        <w:overflowPunct/>
        <w:topLinePunct w:val="0"/>
        <w:bidi w:val="0"/>
        <w:spacing w:line="420" w:lineRule="exact"/>
        <w:ind w:firstLine="442" w:firstLineChars="200"/>
        <w:textAlignment w:val="auto"/>
        <w:rPr>
          <w:rFonts w:hint="eastAsia" w:ascii="宋体" w:hAnsi="宋体" w:eastAsia="宋体" w:cs="宋体"/>
          <w:b/>
          <w:color w:val="auto"/>
          <w:kern w:val="0"/>
          <w:sz w:val="22"/>
          <w:szCs w:val="22"/>
          <w:highlight w:val="none"/>
        </w:rPr>
      </w:pPr>
      <w:r>
        <w:rPr>
          <w:rFonts w:hint="eastAsia" w:ascii="宋体" w:hAnsi="宋体" w:eastAsia="宋体" w:cs="宋体"/>
          <w:b/>
          <w:color w:val="auto"/>
          <w:sz w:val="22"/>
          <w:szCs w:val="22"/>
          <w:highlight w:val="none"/>
        </w:rPr>
        <w:t>（一）签订合同</w:t>
      </w:r>
    </w:p>
    <w:p>
      <w:pPr>
        <w:pStyle w:val="24"/>
        <w:keepNext w:val="0"/>
        <w:keepLines w:val="0"/>
        <w:pageBreakBefore w:val="0"/>
        <w:kinsoku/>
        <w:wordWrap/>
        <w:overflowPunct/>
        <w:topLinePunct w:val="0"/>
        <w:bidi w:val="0"/>
        <w:spacing w:before="0" w:beforeAutospacing="0" w:after="0" w:afterAutospacing="0"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1.采购人应当自中标通知书发出之日起30日内，按照招标文件和中标人投标文件内容要求，与中标人签订书面合同或者电子合同。所签订的合同不得对招标文件确定的事项和中标人投标文件作实质性修改。</w:t>
      </w:r>
    </w:p>
    <w:p>
      <w:pPr>
        <w:pStyle w:val="24"/>
        <w:keepNext w:val="0"/>
        <w:keepLines w:val="0"/>
        <w:pageBreakBefore w:val="0"/>
        <w:kinsoku/>
        <w:wordWrap/>
        <w:overflowPunct/>
        <w:topLinePunct w:val="0"/>
        <w:bidi w:val="0"/>
        <w:spacing w:before="0" w:beforeAutospacing="0" w:after="0" w:afterAutospacing="0"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2.采购人不得向中标人提出任何不合理的要求作为签订合同的条件。</w:t>
      </w:r>
    </w:p>
    <w:p>
      <w:pPr>
        <w:pStyle w:val="24"/>
        <w:keepNext w:val="0"/>
        <w:keepLines w:val="0"/>
        <w:pageBreakBefore w:val="0"/>
        <w:kinsoku/>
        <w:wordWrap/>
        <w:overflowPunct/>
        <w:topLinePunct w:val="0"/>
        <w:bidi w:val="0"/>
        <w:spacing w:before="0" w:beforeAutospacing="0" w:after="0" w:afterAutospacing="0"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3.中标人无故拖延、拒签合同的</w:t>
      </w:r>
      <w:r>
        <w:rPr>
          <w:rFonts w:hint="eastAsia" w:cs="宋体"/>
          <w:color w:val="auto"/>
          <w:sz w:val="22"/>
          <w:szCs w:val="22"/>
          <w:highlight w:val="none"/>
          <w:lang w:eastAsia="zh-CN"/>
        </w:rPr>
        <w:t>，</w:t>
      </w:r>
      <w:r>
        <w:rPr>
          <w:rFonts w:hint="eastAsia" w:ascii="宋体" w:hAnsi="宋体" w:eastAsia="宋体" w:cs="宋体"/>
          <w:color w:val="auto"/>
          <w:sz w:val="22"/>
          <w:szCs w:val="22"/>
          <w:highlight w:val="none"/>
        </w:rPr>
        <w:t>将取消中标资格。</w:t>
      </w:r>
    </w:p>
    <w:p>
      <w:pPr>
        <w:pStyle w:val="24"/>
        <w:keepNext w:val="0"/>
        <w:keepLines w:val="0"/>
        <w:pageBreakBefore w:val="0"/>
        <w:kinsoku/>
        <w:wordWrap/>
        <w:overflowPunct/>
        <w:topLinePunct w:val="0"/>
        <w:bidi w:val="0"/>
        <w:spacing w:before="0" w:beforeAutospacing="0" w:after="0" w:afterAutospacing="0"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中标人拒绝与采购人签订合同的，采购人可以按照评标报告推荐的中标候选人名单排序，确定下一候选人为中标人，也可以重新开展政府采购活动。同时，拒绝与采购人签订合同的中标人，由同级财政部门依法作出处理。</w:t>
      </w:r>
    </w:p>
    <w:p>
      <w:pPr>
        <w:pStyle w:val="24"/>
        <w:keepNext w:val="0"/>
        <w:keepLines w:val="0"/>
        <w:pageBreakBefore w:val="0"/>
        <w:kinsoku/>
        <w:wordWrap/>
        <w:overflowPunct/>
        <w:topLinePunct w:val="0"/>
        <w:bidi w:val="0"/>
        <w:spacing w:before="0" w:beforeAutospacing="0" w:after="0" w:afterAutospacing="0"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5.询问或者质疑事项可能影响中标结果的，采购人应当暂停签订合同，已经签订合同的，应当中止履行合同。</w:t>
      </w:r>
    </w:p>
    <w:p>
      <w:pPr>
        <w:pStyle w:val="24"/>
        <w:keepNext w:val="0"/>
        <w:keepLines w:val="0"/>
        <w:pageBreakBefore w:val="0"/>
        <w:kinsoku/>
        <w:wordWrap/>
        <w:overflowPunct/>
        <w:topLinePunct w:val="0"/>
        <w:bidi w:val="0"/>
        <w:spacing w:before="0" w:beforeAutospacing="0" w:after="0" w:afterAutospacing="0" w:line="420" w:lineRule="exact"/>
        <w:ind w:firstLine="442" w:firstLineChars="200"/>
        <w:jc w:val="both"/>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（二）合同公告及备案</w:t>
      </w:r>
    </w:p>
    <w:p>
      <w:pPr>
        <w:pStyle w:val="15"/>
        <w:keepNext w:val="0"/>
        <w:keepLines w:val="0"/>
        <w:pageBreakBefore w:val="0"/>
        <w:kinsoku/>
        <w:wordWrap/>
        <w:overflowPunct/>
        <w:topLinePunct w:val="0"/>
        <w:bidi w:val="0"/>
        <w:spacing w:after="0" w:line="420" w:lineRule="exact"/>
        <w:ind w:left="0" w:leftChars="0"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1.采购人应当自合同签订之日起2个工作日内，</w:t>
      </w:r>
      <w:r>
        <w:rPr>
          <w:rFonts w:hint="eastAsia" w:ascii="宋体" w:hAnsi="宋体" w:eastAsia="宋体" w:cs="宋体"/>
          <w:color w:val="auto"/>
          <w:kern w:val="0"/>
          <w:sz w:val="22"/>
          <w:szCs w:val="22"/>
          <w:highlight w:val="none"/>
        </w:rPr>
        <w:t>在省级以上财政部门指定的政府采购信息发布媒体及相关网站上公告</w:t>
      </w:r>
      <w:r>
        <w:rPr>
          <w:rFonts w:hint="eastAsia" w:ascii="宋体" w:hAnsi="宋体" w:eastAsia="宋体" w:cs="宋体"/>
          <w:color w:val="auto"/>
          <w:sz w:val="22"/>
          <w:szCs w:val="22"/>
          <w:highlight w:val="none"/>
        </w:rPr>
        <w:t>。</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2.采购人应当自合同签订之日起7个工作日内，将合同通过政采云平台提交至同级人民政府财政部门备案存档。</w:t>
      </w:r>
    </w:p>
    <w:p>
      <w:pPr>
        <w:pStyle w:val="11"/>
        <w:keepNext w:val="0"/>
        <w:keepLines w:val="0"/>
        <w:pageBreakBefore w:val="0"/>
        <w:kinsoku/>
        <w:wordWrap/>
        <w:overflowPunct/>
        <w:topLinePunct w:val="0"/>
        <w:bidi w:val="0"/>
        <w:spacing w:line="420" w:lineRule="exact"/>
        <w:ind w:firstLine="442" w:firstLineChars="200"/>
        <w:jc w:val="both"/>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九、询问、质疑与投诉</w:t>
      </w:r>
    </w:p>
    <w:p>
      <w:pPr>
        <w:pStyle w:val="11"/>
        <w:keepNext w:val="0"/>
        <w:keepLines w:val="0"/>
        <w:pageBreakBefore w:val="0"/>
        <w:kinsoku/>
        <w:wordWrap/>
        <w:overflowPunct/>
        <w:topLinePunct w:val="0"/>
        <w:bidi w:val="0"/>
        <w:spacing w:line="420" w:lineRule="exact"/>
        <w:ind w:firstLine="442" w:firstLineChars="200"/>
        <w:jc w:val="both"/>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（一）询问</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对政府采购活动事项（招标文件、采购过程和中标结果）有疑问的，可以向采购人或采购组织机构提出询问，采购人或采购组织机构将及时作出答复，但答复的内容不涉及商业秘密。询问可以口头方式提出，也可以书面方式提出。联系方式见第一章“</w:t>
      </w:r>
      <w:r>
        <w:rPr>
          <w:rFonts w:hint="eastAsia" w:ascii="宋体" w:hAnsi="宋体" w:eastAsia="宋体" w:cs="宋体"/>
          <w:color w:val="auto"/>
          <w:sz w:val="22"/>
          <w:szCs w:val="22"/>
          <w:highlight w:val="none"/>
          <w:lang w:eastAsia="zh-CN"/>
        </w:rPr>
        <w:t>招标公告</w:t>
      </w:r>
      <w:r>
        <w:rPr>
          <w:rFonts w:hint="eastAsia" w:ascii="宋体" w:hAnsi="宋体" w:eastAsia="宋体" w:cs="宋体"/>
          <w:color w:val="auto"/>
          <w:sz w:val="22"/>
          <w:szCs w:val="22"/>
          <w:highlight w:val="none"/>
        </w:rPr>
        <w:t>”中“采购人、采购组织机构的名称、地址和联系方式”。</w:t>
      </w:r>
    </w:p>
    <w:p>
      <w:pPr>
        <w:pStyle w:val="11"/>
        <w:keepNext w:val="0"/>
        <w:keepLines w:val="0"/>
        <w:pageBreakBefore w:val="0"/>
        <w:kinsoku/>
        <w:wordWrap/>
        <w:overflowPunct/>
        <w:topLinePunct w:val="0"/>
        <w:bidi w:val="0"/>
        <w:spacing w:line="420" w:lineRule="exact"/>
        <w:ind w:firstLine="442" w:firstLineChars="200"/>
        <w:jc w:val="both"/>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（二）质疑</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1.报名本项目的</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认为招标文件、采购过程和中标结果使自己的权益受到损害的，以书面形式或政采云平台的质疑系统一次性向采购人或采购组织机构提出</w:t>
      </w:r>
      <w:r>
        <w:rPr>
          <w:rFonts w:hint="eastAsia" w:ascii="宋体" w:hAnsi="宋体" w:cs="宋体"/>
          <w:color w:val="auto"/>
          <w:sz w:val="22"/>
          <w:szCs w:val="22"/>
          <w:highlight w:val="none"/>
          <w:lang w:eastAsia="zh-CN"/>
        </w:rPr>
        <w:t>同一环节的</w:t>
      </w:r>
      <w:r>
        <w:rPr>
          <w:rFonts w:hint="eastAsia" w:ascii="宋体" w:hAnsi="宋体" w:eastAsia="宋体" w:cs="宋体"/>
          <w:color w:val="auto"/>
          <w:sz w:val="22"/>
          <w:szCs w:val="22"/>
          <w:highlight w:val="none"/>
        </w:rPr>
        <w:t>质疑：</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认为招标文件的内容损害其权益的，对采购文件提出质疑的，应当自获取采购文件之日起7个工作日内提出；</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对采购过程提出质疑的，应当在各采购程序环节结束之日起7个工作日内提出质疑；</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对中标结果提出质疑的，应当在中标结果公告期限届满之日起7个工作日内提出质疑；</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2.</w:t>
      </w:r>
      <w:r>
        <w:rPr>
          <w:rFonts w:hint="eastAsia" w:ascii="宋体" w:hAnsi="宋体" w:eastAsia="宋体" w:cs="宋体"/>
          <w:color w:val="auto"/>
          <w:sz w:val="22"/>
          <w:szCs w:val="22"/>
          <w:highlight w:val="none"/>
        </w:rPr>
        <w:t>质疑函格式见《政府采购质疑和投诉办法》（财政部令第94号）附件范本，下载网址：浙江政府采购网(www.zjzfcg.gov.cn)。供应商提出质疑应当提交质疑函和必要的证明材料。质疑函应当包括下列内容：</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a.供应商的姓名或者名称、地址、邮编、联系人及联系电话；</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b.质疑项目的名称、编号；</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c.具体、明确的质疑事项和与质疑事项相关的请求；</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d.事实依据；</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e.必要的法律依据；</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f.提出质疑的日期。</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3</w:t>
      </w:r>
      <w:r>
        <w:rPr>
          <w:rFonts w:hint="eastAsia" w:ascii="宋体" w:hAnsi="宋体" w:eastAsia="宋体" w:cs="宋体"/>
          <w:color w:val="auto"/>
          <w:sz w:val="22"/>
          <w:szCs w:val="22"/>
          <w:highlight w:val="none"/>
        </w:rPr>
        <w:t>.采购人或采购组织机构在收到</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的书面质疑后7个工作日内作出答复，并以书面形式或政采云平台回复质疑</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和其他有关</w:t>
      </w: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，但答复内容不涉及商业秘密。</w:t>
      </w:r>
    </w:p>
    <w:p>
      <w:pPr>
        <w:pStyle w:val="11"/>
        <w:keepNext w:val="0"/>
        <w:keepLines w:val="0"/>
        <w:pageBreakBefore w:val="0"/>
        <w:kinsoku/>
        <w:wordWrap/>
        <w:overflowPunct/>
        <w:topLinePunct w:val="0"/>
        <w:bidi w:val="0"/>
        <w:spacing w:line="420" w:lineRule="exact"/>
        <w:ind w:firstLine="442" w:firstLineChars="200"/>
        <w:jc w:val="both"/>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（三）投诉</w:t>
      </w:r>
    </w:p>
    <w:p>
      <w:pPr>
        <w:pStyle w:val="11"/>
        <w:keepNext w:val="0"/>
        <w:keepLines w:val="0"/>
        <w:pageBreakBefore w:val="0"/>
        <w:kinsoku/>
        <w:wordWrap/>
        <w:overflowPunct/>
        <w:topLinePunct w:val="0"/>
        <w:bidi w:val="0"/>
        <w:spacing w:line="420" w:lineRule="exact"/>
        <w:ind w:firstLine="440" w:firstLineChars="200"/>
        <w:jc w:val="both"/>
        <w:textAlignment w:val="auto"/>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供应商</w:t>
      </w:r>
      <w:r>
        <w:rPr>
          <w:rFonts w:hint="eastAsia" w:ascii="宋体" w:hAnsi="宋体" w:eastAsia="宋体" w:cs="宋体"/>
          <w:color w:val="auto"/>
          <w:sz w:val="22"/>
          <w:szCs w:val="22"/>
          <w:highlight w:val="none"/>
        </w:rPr>
        <w:t>对采购人或采购组织机构的质疑答复不满意或在规定时间内未得到答复的，可以在答复期满后15个工作日内，向同级政府采购监督管理机构投诉。</w:t>
      </w:r>
    </w:p>
    <w:p>
      <w:pPr>
        <w:pStyle w:val="11"/>
        <w:keepNext w:val="0"/>
        <w:keepLines w:val="0"/>
        <w:pageBreakBefore w:val="0"/>
        <w:kinsoku/>
        <w:wordWrap/>
        <w:overflowPunct/>
        <w:topLinePunct w:val="0"/>
        <w:bidi w:val="0"/>
        <w:spacing w:line="312" w:lineRule="auto"/>
        <w:ind w:firstLine="480" w:firstLineChars="200"/>
        <w:jc w:val="both"/>
        <w:textAlignment w:val="auto"/>
        <w:rPr>
          <w:rFonts w:hint="eastAsia" w:asciiTheme="minorEastAsia" w:hAnsiTheme="minorEastAsia" w:eastAsiaTheme="minorEastAsia" w:cstheme="minorEastAsia"/>
          <w:color w:val="auto"/>
          <w:sz w:val="24"/>
          <w:szCs w:val="24"/>
          <w:highlight w:val="none"/>
        </w:rPr>
      </w:pPr>
    </w:p>
    <w:p>
      <w:pPr>
        <w:pStyle w:val="11"/>
        <w:keepNext w:val="0"/>
        <w:keepLines w:val="0"/>
        <w:pageBreakBefore w:val="0"/>
        <w:kinsoku/>
        <w:wordWrap/>
        <w:overflowPunct/>
        <w:topLinePunct w:val="0"/>
        <w:bidi w:val="0"/>
        <w:spacing w:line="312" w:lineRule="auto"/>
        <w:ind w:firstLine="480" w:firstLineChars="200"/>
        <w:jc w:val="both"/>
        <w:textAlignment w:val="auto"/>
        <w:rPr>
          <w:rFonts w:ascii="宋体" w:hAnsi="宋体" w:cs="宋体"/>
          <w:color w:val="auto"/>
          <w:sz w:val="24"/>
          <w:highlight w:val="none"/>
        </w:rPr>
      </w:pPr>
      <w:r>
        <w:rPr>
          <w:rFonts w:ascii="宋体" w:hAnsi="宋体" w:cs="宋体"/>
          <w:color w:val="auto"/>
          <w:sz w:val="24"/>
          <w:highlight w:val="none"/>
        </w:rPr>
        <w:br w:type="page"/>
      </w:r>
    </w:p>
    <w:p>
      <w:pPr>
        <w:pStyle w:val="3"/>
        <w:numPr>
          <w:ilvl w:val="0"/>
          <w:numId w:val="4"/>
        </w:numPr>
        <w:ind w:left="0" w:leftChars="0" w:firstLine="402" w:firstLineChars="0"/>
        <w:rPr>
          <w:rFonts w:hint="eastAsia"/>
          <w:color w:val="auto"/>
          <w:sz w:val="36"/>
          <w:szCs w:val="36"/>
          <w:lang w:val="en-US" w:eastAsia="zh-CN"/>
        </w:rPr>
      </w:pPr>
      <w:bookmarkStart w:id="48" w:name="_Toc884"/>
      <w:r>
        <w:rPr>
          <w:rFonts w:hint="eastAsia"/>
          <w:color w:val="auto"/>
          <w:sz w:val="36"/>
          <w:szCs w:val="36"/>
          <w:lang w:val="en-US" w:eastAsia="zh-CN"/>
        </w:rPr>
        <w:t>招标需求</w:t>
      </w:r>
      <w:bookmarkEnd w:id="48"/>
    </w:p>
    <w:p>
      <w:pPr>
        <w:pStyle w:val="4"/>
        <w:ind w:firstLine="422"/>
        <w:rPr>
          <w:rFonts w:hint="eastAsia" w:ascii="宋体" w:hAnsi="宋体" w:eastAsia="宋体"/>
          <w:sz w:val="21"/>
          <w:szCs w:val="24"/>
        </w:rPr>
      </w:pPr>
      <w:bookmarkStart w:id="49" w:name="_Toc112655997"/>
      <w:bookmarkStart w:id="50" w:name="_Toc57713377"/>
      <w:bookmarkStart w:id="51" w:name="_Toc420505109"/>
      <w:bookmarkStart w:id="52" w:name="_Toc442102512"/>
      <w:r>
        <w:rPr>
          <w:rFonts w:hint="eastAsia" w:ascii="宋体" w:hAnsi="宋体" w:eastAsia="宋体"/>
          <w:sz w:val="21"/>
          <w:szCs w:val="24"/>
        </w:rPr>
        <w:t>一、项目概况</w:t>
      </w:r>
      <w:bookmarkEnd w:id="49"/>
      <w:bookmarkEnd w:id="50"/>
      <w:r>
        <w:rPr>
          <w:rFonts w:hint="eastAsia" w:ascii="宋体" w:hAnsi="宋体" w:eastAsia="宋体"/>
          <w:sz w:val="21"/>
          <w:szCs w:val="24"/>
        </w:rPr>
        <w:t xml:space="preserve"> </w:t>
      </w:r>
    </w:p>
    <w:p>
      <w:pPr>
        <w:spacing w:line="360" w:lineRule="auto"/>
        <w:ind w:firstLine="420"/>
        <w:rPr>
          <w:rFonts w:hint="eastAsia" w:ascii="宋体" w:hAnsi="宋体"/>
          <w:highlight w:val="none"/>
        </w:rPr>
      </w:pPr>
      <w:r>
        <w:rPr>
          <w:rFonts w:hint="eastAsia" w:ascii="宋体" w:hAnsi="宋体"/>
        </w:rPr>
        <w:t>1、项目地</w:t>
      </w:r>
      <w:r>
        <w:rPr>
          <w:rFonts w:hint="eastAsia" w:ascii="宋体" w:hAnsi="宋体"/>
          <w:highlight w:val="none"/>
        </w:rPr>
        <w:t>点：</w:t>
      </w:r>
      <w:r>
        <w:rPr>
          <w:rFonts w:hint="eastAsia" w:ascii="宋体" w:hAnsi="宋体"/>
          <w:highlight w:val="none"/>
          <w:lang w:eastAsia="zh-CN"/>
        </w:rPr>
        <w:t>椒江区前所街道蓝湾华庭社区用房三楼（前章路2号）</w:t>
      </w:r>
      <w:r>
        <w:rPr>
          <w:rFonts w:hint="eastAsia" w:ascii="宋体" w:hAnsi="宋体"/>
          <w:highlight w:val="none"/>
        </w:rPr>
        <w:t>。</w:t>
      </w:r>
    </w:p>
    <w:p>
      <w:pPr>
        <w:spacing w:line="360" w:lineRule="auto"/>
        <w:ind w:firstLine="420"/>
        <w:rPr>
          <w:rFonts w:hint="eastAsia" w:ascii="宋体" w:hAnsi="宋体" w:eastAsia="宋体" w:cs="宋体"/>
          <w:szCs w:val="21"/>
        </w:rPr>
      </w:pPr>
      <w:r>
        <w:rPr>
          <w:rFonts w:hint="eastAsia" w:ascii="宋体" w:hAnsi="宋体"/>
          <w:highlight w:val="none"/>
        </w:rPr>
        <w:t>2、改造内容和规模：</w:t>
      </w:r>
      <w:r>
        <w:rPr>
          <w:rFonts w:hint="eastAsia" w:ascii="宋体" w:hAnsi="宋体" w:cs="宋体"/>
          <w:szCs w:val="21"/>
          <w:highlight w:val="none"/>
        </w:rPr>
        <w:t>椒江区前所街道圆山社区党群服务中心设计施工一体化项目，</w:t>
      </w:r>
      <w:r>
        <w:rPr>
          <w:rFonts w:hint="eastAsia" w:ascii="宋体" w:hAnsi="宋体" w:cs="宋体"/>
          <w:szCs w:val="21"/>
          <w:highlight w:val="none"/>
          <w:lang w:eastAsia="zh-CN"/>
        </w:rPr>
        <w:t>位于椒江区前所街道前章路2号（蓝湾华庭一号楼三楼社区用房）</w:t>
      </w:r>
      <w:r>
        <w:rPr>
          <w:rFonts w:hint="eastAsia" w:ascii="宋体" w:hAnsi="宋体" w:cs="宋体"/>
          <w:szCs w:val="21"/>
          <w:highlight w:val="none"/>
        </w:rPr>
        <w:t>，室内建筑面积610㎡。包括方案设计及后续方案优化、施工图设计、</w:t>
      </w:r>
      <w:r>
        <w:rPr>
          <w:rFonts w:hint="eastAsia" w:ascii="宋体" w:hAnsi="宋体" w:cs="宋体"/>
          <w:kern w:val="0"/>
          <w:szCs w:val="21"/>
          <w:highlight w:val="none"/>
        </w:rPr>
        <w:t>施工图预算编制、展陈和施工配合服务</w:t>
      </w:r>
      <w:r>
        <w:rPr>
          <w:rFonts w:hint="eastAsia" w:ascii="宋体" w:hAnsi="宋体" w:cs="宋体"/>
          <w:szCs w:val="21"/>
          <w:highlight w:val="none"/>
        </w:rPr>
        <w:t>（含竣工图文件）</w:t>
      </w:r>
      <w:r>
        <w:rPr>
          <w:rFonts w:hint="eastAsia" w:ascii="宋体" w:hAnsi="宋体" w:cs="宋体"/>
          <w:kern w:val="0"/>
          <w:szCs w:val="21"/>
          <w:highlight w:val="none"/>
          <w:lang w:eastAsia="zh-CN"/>
        </w:rPr>
        <w:t>，</w:t>
      </w:r>
      <w:r>
        <w:rPr>
          <w:rFonts w:hint="eastAsia" w:ascii="宋体" w:hAnsi="宋体" w:cs="宋体"/>
          <w:szCs w:val="21"/>
          <w:highlight w:val="none"/>
          <w:lang w:eastAsia="zh-CN"/>
        </w:rPr>
        <w:t>三楼服务中心室内装修</w:t>
      </w:r>
      <w:r>
        <w:rPr>
          <w:rFonts w:hint="eastAsia" w:ascii="宋体" w:hAnsi="宋体" w:cs="宋体"/>
          <w:szCs w:val="21"/>
          <w:highlight w:val="none"/>
        </w:rPr>
        <w:t>、水电改造</w:t>
      </w:r>
      <w:r>
        <w:rPr>
          <w:rFonts w:hint="eastAsia" w:ascii="宋体" w:hAnsi="宋体" w:cs="宋体"/>
          <w:szCs w:val="21"/>
          <w:highlight w:val="none"/>
          <w:lang w:eastAsia="zh-CN"/>
        </w:rPr>
        <w:t>、消防、办公家具、办公设备、户外电梯采购、</w:t>
      </w:r>
      <w:r>
        <w:rPr>
          <w:rFonts w:hint="eastAsia" w:ascii="宋体" w:hAnsi="宋体" w:cs="宋体"/>
          <w:szCs w:val="21"/>
          <w:highlight w:val="none"/>
        </w:rPr>
        <w:t>安装</w:t>
      </w:r>
      <w:r>
        <w:rPr>
          <w:rFonts w:hint="eastAsia" w:ascii="宋体" w:hAnsi="宋体" w:cs="宋体"/>
          <w:szCs w:val="21"/>
          <w:highlight w:val="none"/>
          <w:lang w:eastAsia="zh-CN"/>
        </w:rPr>
        <w:t>，室内外文化</w:t>
      </w:r>
      <w:r>
        <w:rPr>
          <w:rFonts w:hint="eastAsia" w:ascii="宋体" w:hAnsi="宋体" w:cs="宋体"/>
          <w:szCs w:val="21"/>
          <w:lang w:eastAsia="zh-CN"/>
        </w:rPr>
        <w:t>宣传设计制作以及</w:t>
      </w:r>
      <w:r>
        <w:rPr>
          <w:rFonts w:hint="eastAsia" w:ascii="宋体" w:hAnsi="宋体" w:cs="宋体"/>
          <w:kern w:val="0"/>
          <w:szCs w:val="21"/>
        </w:rPr>
        <w:t>工程缺陷责任期内的缺陷</w:t>
      </w:r>
      <w:r>
        <w:rPr>
          <w:rFonts w:hint="eastAsia" w:ascii="宋体" w:hAnsi="宋体" w:eastAsia="宋体" w:cs="宋体"/>
          <w:kern w:val="0"/>
          <w:szCs w:val="21"/>
        </w:rPr>
        <w:t>修复、保修服务等</w:t>
      </w:r>
      <w:r>
        <w:rPr>
          <w:rFonts w:hint="eastAsia" w:ascii="宋体" w:hAnsi="宋体" w:eastAsia="宋体" w:cs="宋体"/>
          <w:szCs w:val="21"/>
        </w:rPr>
        <w:t>。</w:t>
      </w:r>
    </w:p>
    <w:p>
      <w:pPr>
        <w:spacing w:line="360" w:lineRule="auto"/>
        <w:ind w:firstLine="420" w:firstLineChars="200"/>
        <w:rPr>
          <w:rFonts w:hint="eastAsia" w:ascii="宋体" w:hAnsi="宋体" w:eastAsia="宋体" w:cs="宋体"/>
          <w:szCs w:val="21"/>
        </w:rPr>
      </w:pPr>
      <w:r>
        <w:rPr>
          <w:rFonts w:hint="eastAsia" w:ascii="宋体" w:hAnsi="宋体" w:eastAsia="宋体" w:cs="宋体"/>
          <w:kern w:val="44"/>
          <w:szCs w:val="22"/>
        </w:rPr>
        <w:t>（</w:t>
      </w:r>
      <w:r>
        <w:rPr>
          <w:rFonts w:hint="eastAsia" w:ascii="宋体" w:hAnsi="宋体" w:eastAsia="宋体" w:cs="宋体"/>
          <w:kern w:val="44"/>
          <w:szCs w:val="22"/>
          <w:lang w:val="en-US" w:eastAsia="zh-CN"/>
        </w:rPr>
        <w:t>1</w:t>
      </w:r>
      <w:r>
        <w:rPr>
          <w:rFonts w:hint="eastAsia" w:ascii="宋体" w:hAnsi="宋体" w:eastAsia="宋体" w:cs="宋体"/>
          <w:kern w:val="44"/>
          <w:szCs w:val="22"/>
        </w:rPr>
        <w:t>）</w:t>
      </w:r>
      <w:r>
        <w:rPr>
          <w:rFonts w:hint="eastAsia" w:ascii="宋体" w:hAnsi="宋体" w:eastAsia="宋体" w:cs="宋体"/>
          <w:szCs w:val="21"/>
        </w:rPr>
        <w:t>党群服务中心</w:t>
      </w:r>
    </w:p>
    <w:p>
      <w:pPr>
        <w:spacing w:line="360" w:lineRule="auto"/>
        <w:ind w:firstLine="420"/>
        <w:rPr>
          <w:rFonts w:hint="eastAsia" w:ascii="宋体" w:hAnsi="宋体" w:eastAsia="宋体" w:cs="宋体"/>
          <w:szCs w:val="21"/>
          <w:highlight w:val="none"/>
        </w:rPr>
      </w:pPr>
      <w:r>
        <w:rPr>
          <w:rFonts w:hint="eastAsia" w:ascii="宋体" w:hAnsi="宋体" w:eastAsia="宋体" w:cs="宋体"/>
          <w:szCs w:val="21"/>
          <w:highlight w:val="none"/>
          <w:lang w:eastAsia="zh-CN"/>
        </w:rPr>
        <w:t>室内</w:t>
      </w:r>
      <w:r>
        <w:rPr>
          <w:rFonts w:hint="eastAsia" w:ascii="宋体" w:hAnsi="宋体" w:eastAsia="宋体" w:cs="宋体"/>
          <w:szCs w:val="21"/>
          <w:highlight w:val="none"/>
        </w:rPr>
        <w:t>面积约</w:t>
      </w:r>
      <w:r>
        <w:rPr>
          <w:rFonts w:hint="eastAsia" w:ascii="宋体" w:hAnsi="宋体" w:cs="宋体"/>
          <w:szCs w:val="21"/>
          <w:highlight w:val="none"/>
          <w:lang w:val="en-US" w:eastAsia="zh-CN"/>
        </w:rPr>
        <w:t>610㎡</w:t>
      </w:r>
      <w:r>
        <w:rPr>
          <w:rFonts w:hint="eastAsia" w:ascii="宋体" w:hAnsi="宋体" w:cs="宋体"/>
          <w:szCs w:val="21"/>
          <w:highlight w:val="none"/>
        </w:rPr>
        <w:t>，主要</w:t>
      </w:r>
      <w:r>
        <w:rPr>
          <w:rFonts w:hint="eastAsia" w:ascii="宋体" w:hAnsi="宋体" w:cs="宋体"/>
          <w:szCs w:val="21"/>
          <w:highlight w:val="none"/>
          <w:lang w:eastAsia="zh-CN"/>
        </w:rPr>
        <w:t>集成“邻距里”社区服务综合体公共服务设施</w:t>
      </w:r>
      <w:r>
        <w:rPr>
          <w:rFonts w:hint="eastAsia" w:ascii="宋体" w:hAnsi="宋体" w:cs="宋体"/>
          <w:szCs w:val="21"/>
          <w:highlight w:val="none"/>
        </w:rPr>
        <w:t>，</w:t>
      </w:r>
      <w:r>
        <w:rPr>
          <w:rFonts w:hint="eastAsia" w:ascii="宋体" w:hAnsi="宋体" w:cs="宋体"/>
          <w:szCs w:val="21"/>
          <w:highlight w:val="none"/>
          <w:lang w:eastAsia="zh-CN"/>
        </w:rPr>
        <w:t>内容</w:t>
      </w:r>
      <w:r>
        <w:rPr>
          <w:rFonts w:hint="eastAsia" w:ascii="宋体" w:hAnsi="宋体" w:cs="宋体"/>
          <w:szCs w:val="21"/>
          <w:highlight w:val="none"/>
        </w:rPr>
        <w:t>涵盖</w:t>
      </w:r>
      <w:r>
        <w:rPr>
          <w:rFonts w:hint="eastAsia" w:ascii="宋体" w:hAnsi="宋体" w:cs="宋体"/>
          <w:szCs w:val="21"/>
          <w:highlight w:val="none"/>
          <w:lang w:eastAsia="zh-CN"/>
        </w:rPr>
        <w:t>多功能教室（党员之家）、社区客厅（邻里议事会或调解室）、百通岗服务厅、邻里图书馆、办公室、居家养老生活馆、健身娱乐区、卫生间（含无障碍卫生间）等，包含办公家具、空调、窗帘、显示屏、电视机、投影设备、电子门牌系统及设备、健身器材、消防设备、会议语音系统、</w:t>
      </w:r>
      <w:r>
        <w:rPr>
          <w:rFonts w:hint="eastAsia" w:ascii="宋体" w:hAnsi="宋体" w:cs="宋体"/>
          <w:szCs w:val="21"/>
          <w:highlight w:val="none"/>
          <w:lang w:val="en-US" w:eastAsia="zh-CN"/>
        </w:rPr>
        <w:t>门禁、监控系统</w:t>
      </w:r>
      <w:r>
        <w:rPr>
          <w:rFonts w:hint="eastAsia" w:ascii="宋体" w:hAnsi="宋体" w:cs="宋体"/>
          <w:szCs w:val="21"/>
          <w:highlight w:val="none"/>
          <w:lang w:eastAsia="zh-CN"/>
        </w:rPr>
        <w:t>等采购安装，</w:t>
      </w:r>
      <w:r>
        <w:rPr>
          <w:rFonts w:hint="eastAsia" w:ascii="宋体" w:hAnsi="宋体" w:cs="宋体"/>
          <w:szCs w:val="21"/>
          <w:highlight w:val="none"/>
        </w:rPr>
        <w:t>可根据实地勘测空间创新规划</w:t>
      </w:r>
      <w:r>
        <w:rPr>
          <w:rFonts w:hint="eastAsia" w:ascii="宋体" w:hAnsi="宋体" w:eastAsia="宋体" w:cs="宋体"/>
          <w:szCs w:val="21"/>
          <w:highlight w:val="none"/>
        </w:rPr>
        <w:t>各个区域空间面积。</w:t>
      </w:r>
    </w:p>
    <w:p>
      <w:pPr>
        <w:spacing w:line="360" w:lineRule="auto"/>
        <w:ind w:firstLine="420"/>
        <w:rPr>
          <w:rFonts w:hint="default" w:ascii="宋体" w:hAnsi="宋体" w:eastAsia="宋体" w:cs="宋体"/>
          <w:szCs w:val="21"/>
          <w:highlight w:val="none"/>
          <w:lang w:val="en-US" w:eastAsia="zh-CN"/>
        </w:rPr>
      </w:pPr>
      <w:r>
        <w:rPr>
          <w:rFonts w:hint="eastAsia" w:ascii="宋体" w:hAnsi="宋体" w:eastAsia="宋体" w:cs="宋体"/>
          <w:szCs w:val="21"/>
          <w:highlight w:val="none"/>
          <w:lang w:val="en-US" w:eastAsia="zh-CN"/>
        </w:rPr>
        <w:t>各区域规划设计需满足以下功能：</w:t>
      </w:r>
      <w:r>
        <w:rPr>
          <w:rFonts w:hint="eastAsia" w:ascii="宋体" w:hAnsi="宋体" w:cs="宋体"/>
          <w:szCs w:val="21"/>
          <w:highlight w:val="none"/>
          <w:lang w:eastAsia="zh-CN"/>
        </w:rPr>
        <w:t>多功能教室（党员之家）</w:t>
      </w:r>
      <w:r>
        <w:rPr>
          <w:rFonts w:hint="eastAsia" w:ascii="宋体" w:hAnsi="宋体" w:cs="宋体"/>
          <w:szCs w:val="21"/>
          <w:highlight w:val="none"/>
          <w:lang w:val="en-US" w:eastAsia="zh-CN"/>
        </w:rPr>
        <w:t>1间（配置不低于40人位）；卫生间2间，公共卫生间需包含</w:t>
      </w:r>
      <w:r>
        <w:rPr>
          <w:rFonts w:hint="eastAsia" w:ascii="宋体" w:hAnsi="宋体" w:cs="宋体"/>
          <w:szCs w:val="21"/>
          <w:highlight w:val="none"/>
          <w:lang w:eastAsia="zh-CN"/>
        </w:rPr>
        <w:t>无障碍卫生间；健身娱乐区需包含儿童活动室、母婴室、排练室；</w:t>
      </w:r>
      <w:r>
        <w:rPr>
          <w:rFonts w:hint="eastAsia" w:ascii="宋体" w:hAnsi="宋体" w:eastAsia="宋体" w:cs="宋体"/>
          <w:szCs w:val="21"/>
          <w:highlight w:val="none"/>
          <w:lang w:val="en-US" w:eastAsia="zh-CN"/>
        </w:rPr>
        <w:t>办公室4间，包含工作人员日常办公室（办公位配置不低于12人位）、业委会办公室</w:t>
      </w:r>
      <w:r>
        <w:rPr>
          <w:rFonts w:hint="eastAsia" w:ascii="宋体" w:hAnsi="宋体" w:cs="宋体"/>
          <w:szCs w:val="21"/>
          <w:highlight w:val="none"/>
          <w:lang w:val="en-US" w:eastAsia="zh-CN"/>
        </w:rPr>
        <w:t>、共享办公室等</w:t>
      </w:r>
      <w:r>
        <w:rPr>
          <w:rFonts w:hint="eastAsia" w:ascii="宋体" w:hAnsi="宋体" w:eastAsia="宋体" w:cs="宋体"/>
          <w:szCs w:val="21"/>
          <w:highlight w:val="none"/>
          <w:lang w:val="en-US" w:eastAsia="zh-CN"/>
        </w:rPr>
        <w:t>；会议室</w:t>
      </w:r>
      <w:r>
        <w:rPr>
          <w:rFonts w:hint="eastAsia" w:ascii="宋体" w:hAnsi="宋体" w:cs="宋体"/>
          <w:szCs w:val="21"/>
          <w:highlight w:val="none"/>
          <w:lang w:val="en-US" w:eastAsia="zh-CN"/>
        </w:rPr>
        <w:t>（调解室）</w:t>
      </w:r>
      <w:r>
        <w:rPr>
          <w:rFonts w:hint="eastAsia" w:ascii="宋体" w:hAnsi="宋体" w:eastAsia="宋体" w:cs="宋体"/>
          <w:szCs w:val="21"/>
          <w:highlight w:val="none"/>
          <w:lang w:val="en-US" w:eastAsia="zh-CN"/>
        </w:rPr>
        <w:t>1间；储藏室</w:t>
      </w:r>
      <w:r>
        <w:rPr>
          <w:rFonts w:hint="eastAsia" w:ascii="宋体" w:hAnsi="宋体" w:cs="宋体"/>
          <w:szCs w:val="21"/>
          <w:highlight w:val="none"/>
          <w:lang w:val="en-US" w:eastAsia="zh-CN"/>
        </w:rPr>
        <w:t>（档案室）</w:t>
      </w:r>
      <w:r>
        <w:rPr>
          <w:rFonts w:hint="eastAsia" w:ascii="宋体" w:hAnsi="宋体" w:eastAsia="宋体" w:cs="宋体"/>
          <w:szCs w:val="21"/>
          <w:highlight w:val="none"/>
          <w:lang w:val="en-US" w:eastAsia="zh-CN"/>
        </w:rPr>
        <w:t>1间。</w:t>
      </w:r>
    </w:p>
    <w:p>
      <w:pPr>
        <w:spacing w:line="360" w:lineRule="auto"/>
        <w:ind w:firstLine="420"/>
        <w:rPr>
          <w:rFonts w:hint="eastAsia" w:ascii="宋体" w:hAnsi="宋体" w:eastAsia="宋体" w:cs="宋体"/>
          <w:szCs w:val="21"/>
          <w:lang w:eastAsia="zh-CN"/>
        </w:rPr>
      </w:pPr>
      <w:r>
        <w:rPr>
          <w:rFonts w:hint="eastAsia" w:ascii="宋体" w:hAnsi="宋体" w:eastAsia="宋体" w:cs="宋体"/>
          <w:szCs w:val="21"/>
          <w:lang w:eastAsia="zh-CN"/>
        </w:rPr>
        <w:t>（2）文化宣传</w:t>
      </w:r>
    </w:p>
    <w:p>
      <w:pPr>
        <w:spacing w:line="360" w:lineRule="auto"/>
        <w:ind w:firstLine="420"/>
        <w:rPr>
          <w:rFonts w:hint="eastAsia" w:ascii="宋体" w:hAnsi="宋体" w:eastAsia="宋体" w:cs="宋体"/>
          <w:szCs w:val="21"/>
          <w:lang w:val="en-US" w:eastAsia="zh-CN"/>
        </w:rPr>
      </w:pPr>
      <w:r>
        <w:rPr>
          <w:rFonts w:hint="eastAsia" w:ascii="宋体" w:hAnsi="宋体" w:eastAsia="宋体" w:cs="宋体"/>
          <w:szCs w:val="21"/>
          <w:lang w:val="en-US" w:eastAsia="zh-CN"/>
        </w:rPr>
        <w:t>文化上墙布展内容包括（但不仅限于）以下元素：社区主题口号、党建引领主题文化、党的光辉历程、社区风采集锦、老年关怀</w:t>
      </w:r>
      <w:r>
        <w:rPr>
          <w:rFonts w:hint="eastAsia" w:ascii="宋体" w:hAnsi="宋体" w:cs="宋体"/>
          <w:szCs w:val="21"/>
          <w:lang w:val="en-US" w:eastAsia="zh-CN"/>
        </w:rPr>
        <w:t>、</w:t>
      </w:r>
      <w:r>
        <w:rPr>
          <w:rFonts w:hint="eastAsia" w:ascii="宋体" w:hAnsi="宋体" w:eastAsia="宋体" w:cs="宋体"/>
          <w:szCs w:val="21"/>
          <w:lang w:val="en-US" w:eastAsia="zh-CN"/>
        </w:rPr>
        <w:t>儿童关怀、清廉文化等。</w:t>
      </w:r>
    </w:p>
    <w:p>
      <w:pPr>
        <w:spacing w:line="360" w:lineRule="auto"/>
        <w:ind w:firstLine="420"/>
        <w:rPr>
          <w:rFonts w:hint="default" w:ascii="宋体" w:hAnsi="宋体" w:eastAsia="宋体" w:cs="宋体"/>
          <w:szCs w:val="21"/>
          <w:lang w:val="en-US" w:eastAsia="zh-CN"/>
        </w:rPr>
      </w:pPr>
      <w:r>
        <w:rPr>
          <w:rFonts w:hint="eastAsia" w:ascii="宋体" w:hAnsi="宋体" w:eastAsia="宋体" w:cs="宋体"/>
          <w:szCs w:val="21"/>
          <w:lang w:val="en-US" w:eastAsia="zh-CN"/>
        </w:rPr>
        <w:t>规划设计需满足以下功能：</w:t>
      </w:r>
      <w:r>
        <w:rPr>
          <w:rFonts w:hint="eastAsia" w:ascii="宋体" w:hAnsi="宋体" w:cs="宋体"/>
          <w:szCs w:val="21"/>
          <w:lang w:val="en-US" w:eastAsia="zh-CN"/>
        </w:rPr>
        <w:t>服务中心室内文化宣传；</w:t>
      </w:r>
      <w:r>
        <w:rPr>
          <w:rFonts w:hint="eastAsia" w:ascii="宋体" w:hAnsi="宋体" w:eastAsia="宋体" w:cs="宋体"/>
          <w:szCs w:val="21"/>
          <w:lang w:val="en-US" w:eastAsia="zh-CN"/>
        </w:rPr>
        <w:t>室外门头；</w:t>
      </w:r>
      <w:r>
        <w:rPr>
          <w:rFonts w:hint="eastAsia" w:ascii="宋体" w:hAnsi="宋体" w:cs="宋体"/>
          <w:szCs w:val="21"/>
          <w:lang w:val="en-US" w:eastAsia="zh-CN"/>
        </w:rPr>
        <w:t>室外</w:t>
      </w:r>
      <w:r>
        <w:rPr>
          <w:rFonts w:hint="eastAsia" w:ascii="宋体" w:hAnsi="宋体" w:eastAsia="宋体" w:cs="宋体"/>
          <w:szCs w:val="21"/>
          <w:lang w:val="en-US" w:eastAsia="zh-CN"/>
        </w:rPr>
        <w:t>社区宣传栏；入口导视；小品造型等。</w:t>
      </w:r>
    </w:p>
    <w:p>
      <w:pPr>
        <w:spacing w:line="360" w:lineRule="auto"/>
        <w:ind w:firstLine="420"/>
        <w:rPr>
          <w:rFonts w:hint="eastAsia" w:ascii="宋体" w:hAnsi="宋体" w:eastAsia="宋体" w:cs="宋体"/>
          <w:szCs w:val="21"/>
          <w:lang w:eastAsia="zh-CN"/>
        </w:rPr>
      </w:pPr>
      <w:r>
        <w:rPr>
          <w:rFonts w:hint="eastAsia" w:ascii="宋体" w:hAnsi="宋体" w:eastAsia="宋体" w:cs="宋体"/>
          <w:szCs w:val="21"/>
          <w:lang w:eastAsia="zh-CN"/>
        </w:rPr>
        <w:t>（</w:t>
      </w:r>
      <w:r>
        <w:rPr>
          <w:rFonts w:hint="eastAsia" w:ascii="宋体" w:hAnsi="宋体" w:eastAsia="宋体" w:cs="宋体"/>
          <w:szCs w:val="21"/>
          <w:lang w:val="en-US" w:eastAsia="zh-CN"/>
        </w:rPr>
        <w:t>3</w:t>
      </w:r>
      <w:r>
        <w:rPr>
          <w:rFonts w:hint="eastAsia" w:ascii="宋体" w:hAnsi="宋体" w:eastAsia="宋体" w:cs="宋体"/>
          <w:szCs w:val="21"/>
          <w:lang w:eastAsia="zh-CN"/>
        </w:rPr>
        <w:t>）室外电梯</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8"/>
        <w:gridCol w:w="720"/>
        <w:gridCol w:w="682"/>
        <w:gridCol w:w="5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color w:val="auto"/>
                <w:kern w:val="0"/>
                <w:sz w:val="21"/>
                <w:szCs w:val="21"/>
                <w:lang w:eastAsia="en-US" w:bidi="en-US"/>
              </w:rPr>
              <w:t>设备数量</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color w:val="auto"/>
                <w:kern w:val="0"/>
                <w:sz w:val="21"/>
                <w:szCs w:val="21"/>
                <w:lang w:eastAsia="en-US" w:bidi="en-US"/>
              </w:rPr>
              <w:t>电梯功能</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lang w:eastAsia="en-US"/>
              </w:rPr>
            </w:pPr>
            <w:r>
              <w:rPr>
                <w:rFonts w:hint="eastAsia" w:ascii="宋体" w:hAnsi="宋体" w:eastAsia="宋体" w:cs="宋体"/>
                <w:color w:val="auto"/>
                <w:sz w:val="21"/>
                <w:szCs w:val="21"/>
                <w:lang w:eastAsia="en-US"/>
              </w:rPr>
              <w:t>乘客电梯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color w:val="auto"/>
                <w:kern w:val="0"/>
                <w:sz w:val="21"/>
                <w:szCs w:val="21"/>
                <w:lang w:eastAsia="en-US" w:bidi="en-US"/>
              </w:rPr>
              <w:t>控制方式</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lang w:eastAsia="en-US"/>
              </w:rPr>
            </w:pPr>
            <w:r>
              <w:rPr>
                <w:rFonts w:hint="eastAsia" w:ascii="宋体" w:hAnsi="宋体" w:eastAsia="宋体" w:cs="宋体"/>
                <w:color w:val="auto"/>
                <w:sz w:val="21"/>
                <w:szCs w:val="21"/>
                <w:lang w:eastAsia="en-US"/>
              </w:rPr>
              <w:t>并联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bidi="en-US"/>
              </w:rPr>
            </w:pPr>
            <w:r>
              <w:rPr>
                <w:rFonts w:hint="eastAsia" w:ascii="宋体" w:hAnsi="宋体" w:eastAsia="宋体" w:cs="宋体"/>
                <w:b/>
                <w:color w:val="auto"/>
                <w:sz w:val="21"/>
                <w:szCs w:val="21"/>
                <w:lang w:bidi="en-US"/>
              </w:rPr>
              <w:t>▲</w:t>
            </w:r>
            <w:r>
              <w:rPr>
                <w:rFonts w:hint="eastAsia" w:ascii="宋体" w:hAnsi="宋体" w:eastAsia="宋体" w:cs="宋体"/>
                <w:color w:val="auto"/>
                <w:sz w:val="21"/>
                <w:szCs w:val="21"/>
                <w:lang w:bidi="en-US"/>
              </w:rPr>
              <w:t>额定载重量</w:t>
            </w:r>
            <w:r>
              <w:rPr>
                <w:rFonts w:hint="eastAsia" w:ascii="宋体" w:hAnsi="宋体" w:eastAsia="宋体" w:cs="宋体"/>
                <w:color w:val="auto"/>
                <w:kern w:val="0"/>
                <w:sz w:val="21"/>
                <w:szCs w:val="21"/>
                <w:lang w:bidi="en-US"/>
              </w:rPr>
              <w:t>（kg）</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lang w:eastAsia="en-US"/>
              </w:rPr>
            </w:pPr>
            <w:r>
              <w:rPr>
                <w:rFonts w:hint="eastAsia" w:ascii="宋体" w:hAnsi="宋体" w:eastAsia="宋体" w:cs="宋体"/>
                <w:color w:val="auto"/>
                <w:sz w:val="21"/>
                <w:szCs w:val="21"/>
                <w:lang w:eastAsia="en-US"/>
              </w:rPr>
              <w:t>≥</w:t>
            </w:r>
            <w:r>
              <w:rPr>
                <w:rFonts w:hint="eastAsia" w:ascii="宋体" w:hAnsi="宋体" w:eastAsia="宋体" w:cs="宋体"/>
                <w:color w:val="auto"/>
                <w:sz w:val="21"/>
                <w:szCs w:val="21"/>
                <w:lang w:val="en-US" w:eastAsia="zh-CN"/>
              </w:rPr>
              <w:t>1000</w:t>
            </w:r>
            <w:r>
              <w:rPr>
                <w:rFonts w:hint="eastAsia" w:ascii="宋体" w:hAnsi="宋体" w:eastAsia="宋体" w:cs="宋体"/>
                <w:color w:val="auto"/>
                <w:sz w:val="21"/>
                <w:szCs w:val="21"/>
              </w:rPr>
              <w:t>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b/>
                <w:color w:val="auto"/>
                <w:sz w:val="21"/>
                <w:szCs w:val="21"/>
                <w:lang w:eastAsia="en-US" w:bidi="en-US"/>
              </w:rPr>
              <w:t>▲</w:t>
            </w:r>
            <w:r>
              <w:rPr>
                <w:rFonts w:hint="eastAsia" w:ascii="宋体" w:hAnsi="宋体" w:eastAsia="宋体" w:cs="宋体"/>
                <w:color w:val="auto"/>
                <w:sz w:val="21"/>
                <w:szCs w:val="21"/>
                <w:lang w:eastAsia="en-US" w:bidi="en-US"/>
              </w:rPr>
              <w:t>额定速度</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lang w:eastAsia="en-US"/>
              </w:rPr>
              <w:t>≥1.</w:t>
            </w:r>
            <w:r>
              <w:rPr>
                <w:rFonts w:hint="eastAsia" w:ascii="宋体" w:hAnsi="宋体" w:eastAsia="宋体" w:cs="宋体"/>
                <w:color w:val="auto"/>
                <w:sz w:val="21"/>
                <w:szCs w:val="21"/>
              </w:rPr>
              <w:t>6</w:t>
            </w:r>
            <w:r>
              <w:rPr>
                <w:rFonts w:hint="eastAsia" w:ascii="宋体" w:hAnsi="宋体" w:eastAsia="宋体" w:cs="宋体"/>
                <w:color w:val="auto"/>
                <w:sz w:val="21"/>
                <w:szCs w:val="21"/>
                <w:lang w:eastAsia="en-US"/>
              </w:rPr>
              <w:t>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bidi="en-US"/>
              </w:rPr>
            </w:pPr>
            <w:r>
              <w:rPr>
                <w:rFonts w:hint="eastAsia" w:ascii="宋体" w:hAnsi="宋体" w:eastAsia="宋体" w:cs="宋体"/>
                <w:color w:val="auto"/>
                <w:sz w:val="21"/>
                <w:szCs w:val="21"/>
                <w:lang w:bidi="en-US"/>
              </w:rPr>
              <w:t>开门净尺寸（宽*高）</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lang w:bidi="en-US"/>
              </w:rPr>
            </w:pPr>
            <w:r>
              <w:rPr>
                <w:rFonts w:hint="eastAsia" w:ascii="宋体" w:hAnsi="宋体" w:eastAsia="宋体" w:cs="宋体"/>
                <w:color w:val="auto"/>
                <w:kern w:val="0"/>
                <w:sz w:val="21"/>
                <w:szCs w:val="21"/>
                <w:lang w:bidi="en-US"/>
              </w:rPr>
              <w:t>由投标人现场勘察为准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tabs>
                <w:tab w:val="left" w:pos="8280"/>
              </w:tabs>
              <w:autoSpaceDE w:val="0"/>
              <w:autoSpaceDN w:val="0"/>
              <w:adjustRightInd w:val="0"/>
              <w:spacing w:before="0" w:beforeAutospacing="0" w:after="0" w:afterAutospacing="0" w:line="240" w:lineRule="auto"/>
              <w:ind w:left="0" w:right="25"/>
              <w:jc w:val="center"/>
              <w:rPr>
                <w:rFonts w:hint="eastAsia" w:ascii="宋体" w:hAnsi="宋体" w:eastAsia="宋体" w:cs="宋体"/>
                <w:color w:val="auto"/>
                <w:sz w:val="21"/>
                <w:szCs w:val="21"/>
                <w:lang w:eastAsia="en-US" w:bidi="en-US"/>
              </w:rPr>
            </w:pPr>
            <w:r>
              <w:rPr>
                <w:rFonts w:hint="eastAsia" w:ascii="宋体" w:hAnsi="宋体" w:eastAsia="宋体" w:cs="宋体"/>
                <w:color w:val="auto"/>
                <w:sz w:val="21"/>
                <w:szCs w:val="21"/>
                <w:lang w:eastAsia="en-US" w:bidi="en-US"/>
              </w:rPr>
              <w:t>开门方式</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tabs>
                <w:tab w:val="left" w:pos="8280"/>
              </w:tabs>
              <w:autoSpaceDE w:val="0"/>
              <w:autoSpaceDN w:val="0"/>
              <w:adjustRightInd w:val="0"/>
              <w:spacing w:before="0" w:beforeAutospacing="0" w:after="0" w:afterAutospacing="0" w:line="240" w:lineRule="auto"/>
              <w:ind w:left="0" w:right="25"/>
              <w:jc w:val="center"/>
              <w:rPr>
                <w:rFonts w:hint="eastAsia" w:ascii="宋体" w:hAnsi="宋体" w:eastAsia="宋体" w:cs="宋体"/>
                <w:color w:val="auto"/>
                <w:sz w:val="21"/>
                <w:szCs w:val="21"/>
                <w:lang w:eastAsia="en-US" w:bidi="en-US"/>
              </w:rPr>
            </w:pPr>
            <w:r>
              <w:rPr>
                <w:rFonts w:hint="eastAsia" w:ascii="宋体" w:hAnsi="宋体" w:eastAsia="宋体" w:cs="宋体"/>
                <w:color w:val="auto"/>
                <w:sz w:val="21"/>
                <w:szCs w:val="21"/>
                <w:lang w:eastAsia="en-US" w:bidi="en-US"/>
              </w:rPr>
              <w:t>中分门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b/>
                <w:color w:val="auto"/>
                <w:sz w:val="21"/>
                <w:szCs w:val="21"/>
                <w:lang w:eastAsia="en-US" w:bidi="en-US"/>
              </w:rPr>
              <w:t>▲</w:t>
            </w:r>
            <w:r>
              <w:rPr>
                <w:rFonts w:hint="eastAsia" w:ascii="宋体" w:hAnsi="宋体" w:eastAsia="宋体" w:cs="宋体"/>
                <w:color w:val="auto"/>
                <w:kern w:val="0"/>
                <w:sz w:val="21"/>
                <w:szCs w:val="21"/>
                <w:lang w:eastAsia="en-US" w:bidi="en-US"/>
              </w:rPr>
              <w:t>驱动方式</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lang w:bidi="en-US"/>
              </w:rPr>
            </w:pPr>
            <w:r>
              <w:rPr>
                <w:rFonts w:hint="eastAsia" w:ascii="宋体" w:hAnsi="宋体" w:eastAsia="宋体" w:cs="宋体"/>
                <w:color w:val="auto"/>
                <w:kern w:val="0"/>
                <w:sz w:val="21"/>
                <w:szCs w:val="21"/>
                <w:lang w:bidi="en-US"/>
              </w:rPr>
              <w:t>交流变频变压调速（VVVF）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b/>
                <w:color w:val="auto"/>
                <w:sz w:val="21"/>
                <w:szCs w:val="21"/>
                <w:lang w:eastAsia="en-US" w:bidi="en-US"/>
              </w:rPr>
              <w:t>▲</w:t>
            </w:r>
            <w:r>
              <w:rPr>
                <w:rFonts w:hint="eastAsia" w:ascii="宋体" w:hAnsi="宋体" w:eastAsia="宋体" w:cs="宋体"/>
                <w:color w:val="auto"/>
                <w:kern w:val="0"/>
                <w:sz w:val="21"/>
                <w:szCs w:val="21"/>
                <w:lang w:eastAsia="en-US" w:bidi="en-US"/>
              </w:rPr>
              <w:t>曳引机的驱动方式</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bidi="en-US"/>
              </w:rPr>
            </w:pPr>
            <w:r>
              <w:rPr>
                <w:rFonts w:hint="eastAsia" w:ascii="宋体" w:hAnsi="宋体" w:eastAsia="宋体" w:cs="宋体"/>
                <w:color w:val="auto"/>
                <w:kern w:val="0"/>
                <w:sz w:val="21"/>
                <w:szCs w:val="21"/>
                <w:lang w:bidi="en-US"/>
              </w:rPr>
              <w:t>无齿轮(交流永磁同步电机)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b/>
                <w:color w:val="auto"/>
                <w:sz w:val="21"/>
                <w:szCs w:val="21"/>
                <w:lang w:eastAsia="en-US" w:bidi="en-US"/>
              </w:rPr>
              <w:t>▲</w:t>
            </w:r>
            <w:r>
              <w:rPr>
                <w:rFonts w:hint="eastAsia" w:ascii="宋体" w:hAnsi="宋体" w:eastAsia="宋体" w:cs="宋体"/>
                <w:color w:val="auto"/>
                <w:kern w:val="0"/>
                <w:sz w:val="21"/>
                <w:szCs w:val="21"/>
                <w:lang w:eastAsia="en-US" w:bidi="en-US"/>
              </w:rPr>
              <w:t>门机系统</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bidi="en-US"/>
              </w:rPr>
            </w:pPr>
            <w:r>
              <w:rPr>
                <w:rFonts w:hint="eastAsia" w:ascii="宋体" w:hAnsi="宋体" w:eastAsia="宋体" w:cs="宋体"/>
                <w:color w:val="auto"/>
                <w:kern w:val="0"/>
                <w:sz w:val="21"/>
                <w:szCs w:val="21"/>
                <w:lang w:bidi="en-US"/>
              </w:rPr>
              <w:t>交流变频变压调速（VVVF）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b/>
                <w:color w:val="auto"/>
                <w:sz w:val="21"/>
                <w:szCs w:val="21"/>
                <w:lang w:eastAsia="en-US" w:bidi="en-US"/>
              </w:rPr>
              <w:t>▲</w:t>
            </w:r>
            <w:r>
              <w:rPr>
                <w:rFonts w:hint="eastAsia" w:ascii="宋体" w:hAnsi="宋体" w:eastAsia="宋体" w:cs="宋体"/>
                <w:color w:val="auto"/>
                <w:kern w:val="0"/>
                <w:sz w:val="21"/>
                <w:szCs w:val="21"/>
                <w:lang w:eastAsia="en-US" w:bidi="en-US"/>
              </w:rPr>
              <w:t>门保护装置</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b/>
                <w:bCs/>
                <w:color w:val="auto"/>
                <w:sz w:val="21"/>
                <w:szCs w:val="21"/>
                <w:lang w:bidi="en-US"/>
              </w:rPr>
            </w:pPr>
            <w:r>
              <w:rPr>
                <w:rFonts w:hint="eastAsia" w:ascii="宋体" w:hAnsi="宋体" w:eastAsia="宋体" w:cs="宋体"/>
                <w:color w:val="auto"/>
                <w:sz w:val="21"/>
                <w:szCs w:val="21"/>
              </w:rPr>
              <w:t>152束以上1.8米光幕保护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color w:val="auto"/>
                <w:kern w:val="0"/>
                <w:sz w:val="21"/>
                <w:szCs w:val="21"/>
                <w:lang w:eastAsia="en-US" w:bidi="en-US"/>
              </w:rPr>
              <w:t>变频器的开关频率</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color w:val="auto"/>
                <w:kern w:val="0"/>
                <w:sz w:val="21"/>
                <w:szCs w:val="21"/>
                <w:lang w:eastAsia="en-US" w:bidi="en-US"/>
              </w:rPr>
              <w:t>开关频率大于10KHZ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bidi="en-US"/>
              </w:rPr>
            </w:pPr>
            <w:r>
              <w:rPr>
                <w:rFonts w:hint="eastAsia" w:ascii="宋体" w:hAnsi="宋体" w:eastAsia="宋体" w:cs="宋体"/>
                <w:color w:val="auto"/>
                <w:kern w:val="0"/>
                <w:sz w:val="21"/>
                <w:szCs w:val="21"/>
                <w:lang w:bidi="en-US"/>
              </w:rPr>
              <w:t>称重装置的类型、精度</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bidi="en-US"/>
              </w:rPr>
            </w:pPr>
            <w:r>
              <w:rPr>
                <w:rFonts w:hint="eastAsia" w:ascii="宋体" w:hAnsi="宋体" w:eastAsia="宋体" w:cs="宋体"/>
                <w:color w:val="auto"/>
                <w:kern w:val="0"/>
                <w:sz w:val="21"/>
                <w:szCs w:val="21"/>
                <w:lang w:bidi="en-US"/>
              </w:rPr>
              <w:t>电子连续称重装置，精度1％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color w:val="auto"/>
                <w:kern w:val="0"/>
                <w:sz w:val="21"/>
                <w:szCs w:val="21"/>
                <w:lang w:eastAsia="en-US" w:bidi="en-US"/>
              </w:rPr>
              <w:t>电梯6万次故障次数</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466" w:rightChars="-222"/>
              <w:jc w:val="center"/>
              <w:rPr>
                <w:rFonts w:hint="eastAsia" w:ascii="宋体" w:hAnsi="宋体" w:eastAsia="宋体" w:cs="宋体"/>
                <w:color w:val="auto"/>
                <w:kern w:val="0"/>
                <w:sz w:val="21"/>
                <w:szCs w:val="21"/>
                <w:lang w:eastAsia="en-US" w:bidi="en-US"/>
              </w:rPr>
            </w:pPr>
            <w:r>
              <w:rPr>
                <w:rFonts w:hint="eastAsia" w:ascii="宋体" w:hAnsi="宋体" w:eastAsia="宋体" w:cs="宋体"/>
                <w:color w:val="auto"/>
                <w:kern w:val="0"/>
                <w:sz w:val="21"/>
                <w:szCs w:val="21"/>
                <w:lang w:eastAsia="en-US" w:bidi="en-US"/>
              </w:rPr>
              <w:t>≤3次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电梯装修（装修不锈钢型号均为SUS304.厚度≥1.5mm）</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轿 厢</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简约大方、坚固耐用、绿色环保，主要材质为发纹不锈钢</w:t>
            </w:r>
            <w:r>
              <w:rPr>
                <w:rFonts w:hint="eastAsia" w:ascii="宋体" w:hAnsi="宋体" w:eastAsia="宋体" w:cs="宋体"/>
                <w:b/>
                <w:color w:val="auto"/>
                <w:kern w:val="0"/>
                <w:sz w:val="21"/>
                <w:szCs w:val="21"/>
              </w:rPr>
              <w:t>，提供不少于2种款型由甲方确定</w:t>
            </w:r>
            <w:r>
              <w:rPr>
                <w:rFonts w:hint="eastAsia" w:ascii="宋体" w:hAnsi="宋体" w:eastAsia="宋体" w:cs="宋体"/>
                <w:color w:val="auto"/>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轿 底</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简约大方、坚固耐用、绿色环保，</w:t>
            </w:r>
            <w:r>
              <w:rPr>
                <w:rFonts w:hint="eastAsia" w:ascii="宋体" w:hAnsi="宋体" w:eastAsia="宋体" w:cs="宋体"/>
                <w:b/>
                <w:color w:val="auto"/>
                <w:kern w:val="0"/>
                <w:sz w:val="21"/>
                <w:szCs w:val="21"/>
              </w:rPr>
              <w:t>采用大理石材质，由甲方根据装修风格选定样式后，由乙方负责安装.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轿 厢 顶</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顶部装饰照明为LED灯光、配有通风扇；轿厢内顶部需留有摄像机接口。应提供不少于2种款型由业主确定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轿    门</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简约大方、坚固耐用、绿色环保， 发纹不锈钢。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厅    门</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简约大方、坚固耐用、绿色环保，发纹不锈钢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eastAsia="en-US" w:bidi="en-US"/>
              </w:rPr>
              <w:t>四壁</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bidi="en-US"/>
              </w:rPr>
              <w:t>梯门正对面要求为镜面不锈钢，侧面为发纹不锈钢，</w:t>
            </w:r>
            <w:r>
              <w:rPr>
                <w:rFonts w:hint="eastAsia" w:ascii="宋体" w:hAnsi="宋体" w:eastAsia="宋体" w:cs="宋体"/>
                <w:color w:val="auto"/>
                <w:sz w:val="21"/>
                <w:szCs w:val="21"/>
              </w:rPr>
              <w:t>无障碍电梯扶手提供3种以上供业主选定样式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eastAsia="en-US" w:bidi="en-US"/>
              </w:rPr>
            </w:pPr>
            <w:r>
              <w:rPr>
                <w:rFonts w:hint="eastAsia" w:ascii="宋体" w:hAnsi="宋体" w:eastAsia="宋体" w:cs="宋体"/>
                <w:color w:val="auto"/>
                <w:kern w:val="0"/>
                <w:sz w:val="21"/>
                <w:szCs w:val="21"/>
                <w:lang w:eastAsia="en-US" w:bidi="en-US"/>
              </w:rPr>
              <w:t>层门门框四周封堵</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lang w:bidi="en-US"/>
              </w:rPr>
            </w:pPr>
            <w:r>
              <w:rPr>
                <w:rFonts w:hint="eastAsia" w:ascii="宋体" w:hAnsi="宋体" w:eastAsia="宋体" w:cs="宋体"/>
                <w:color w:val="auto"/>
                <w:kern w:val="0"/>
                <w:sz w:val="21"/>
                <w:szCs w:val="21"/>
                <w:lang w:bidi="en-US"/>
              </w:rPr>
              <w:t>采取可靠措施封堵，需经业主认可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门    套</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简约大方、坚固耐用、绿色环保，发纹不锈钢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操 纵 盘</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电梯按钮为金属材质自带发光功能，具有误操作指令取消功能。</w:t>
            </w:r>
          </w:p>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人机交互界面要求中文、彩色，且必须有楼层显示和运行方向显示功能。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门厅按钮及显示</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电梯按钮为金属材质自带发光功能，具有误操作指令取消功能。楼层显示器要求有“驻停、超载、保养”等类似状态演示，有到站指示灯。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restart"/>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电梯基本功能</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语音提示</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要求具有中文语音报站、提醒等内容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sz w:val="21"/>
                <w:szCs w:val="21"/>
              </w:rPr>
            </w:pPr>
            <w:r>
              <w:rPr>
                <w:rFonts w:hint="eastAsia" w:ascii="宋体" w:hAnsi="宋体" w:eastAsia="宋体" w:cs="宋体"/>
                <w:color w:val="auto"/>
                <w:sz w:val="21"/>
                <w:szCs w:val="21"/>
              </w:rPr>
              <w:t>超重警告</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sz w:val="21"/>
                <w:szCs w:val="21"/>
              </w:rPr>
            </w:pPr>
            <w:r>
              <w:rPr>
                <w:rFonts w:hint="eastAsia" w:ascii="宋体" w:hAnsi="宋体" w:eastAsia="宋体" w:cs="宋体"/>
                <w:color w:val="auto"/>
                <w:sz w:val="21"/>
                <w:szCs w:val="21"/>
              </w:rPr>
              <w:t>(在轿厢内的操纵盘上装有声音警报装置)：当电梯超重时，不允许关门起动，门必须打开,并同时发出声光警报，当超重现象消除时，警报自动解除，电梯恢复正常运行。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轿厢开关门保护</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当电梯开门时间超过预定值时，电梯会强行关门而应答其他信号。当电梯强行关门几次未能关紧，电梯将打开轿门，停止运转，内外呼梯信号均被自动取消。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轿厢紧急照明灯</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当照明断电，紧急照明灯会自动打开，当照明电源恢复正常时，紧急照明灯自动熄灭。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自动停止轿厢照明、通风装置</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如果电梯停用超过设定的时间，自动关停轿厢内的照明灯及通风装置，以节能，如遇召唤再自动开启。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满载不停</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具备功能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基站关机</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具备功能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错误指令取消功能</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具备功能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停电自动平层</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sz w:val="21"/>
                <w:szCs w:val="21"/>
              </w:rPr>
            </w:pPr>
            <w:r>
              <w:rPr>
                <w:rFonts w:hint="eastAsia" w:ascii="宋体" w:hAnsi="宋体" w:eastAsia="宋体" w:cs="宋体"/>
                <w:color w:val="auto"/>
                <w:sz w:val="21"/>
                <w:szCs w:val="21"/>
              </w:rPr>
              <w:t>具备功能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监控</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轿厢内预留摄像机孔，轿厢顶部预留电源插座，满足无线网桥和摄像机取电需求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控制柜计数器</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控制柜内须设有运行次数计数器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44" w:leftChars="-21"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随行电缆</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要求含有电气、控制、视频、音频等随行电缆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kern w:val="0"/>
                <w:sz w:val="21"/>
                <w:szCs w:val="21"/>
              </w:rPr>
            </w:pP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44" w:leftChars="-21"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自动停止轿厢照明、通风装置</w:t>
            </w:r>
          </w:p>
        </w:tc>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240" w:lineRule="auto"/>
              <w:ind w:left="0" w:right="0" w:firstLine="210"/>
              <w:jc w:val="center"/>
              <w:rPr>
                <w:rFonts w:hint="eastAsia" w:ascii="宋体" w:hAnsi="宋体" w:eastAsia="宋体" w:cs="宋体"/>
                <w:color w:val="auto"/>
                <w:kern w:val="0"/>
                <w:sz w:val="21"/>
                <w:szCs w:val="21"/>
              </w:rPr>
            </w:pPr>
            <w:r>
              <w:rPr>
                <w:rFonts w:hint="eastAsia" w:ascii="宋体" w:hAnsi="宋体" w:eastAsia="宋体" w:cs="宋体"/>
                <w:color w:val="auto"/>
                <w:sz w:val="21"/>
                <w:szCs w:val="21"/>
              </w:rPr>
              <w:t>如果电梯停用超过设定的时间，自动关停轿厢内的照明灯及通风装置，以节能，如遇召唤再自动开启。</w:t>
            </w:r>
          </w:p>
        </w:tc>
      </w:tr>
    </w:tbl>
    <w:p>
      <w:pPr>
        <w:pStyle w:val="15"/>
        <w:ind w:left="0" w:leftChars="0" w:firstLine="0" w:firstLineChars="0"/>
        <w:jc w:val="both"/>
        <w:rPr>
          <w:rFonts w:hint="default"/>
          <w:lang w:val="en-US" w:eastAsia="zh-CN"/>
        </w:rPr>
      </w:pPr>
      <w:r>
        <w:rPr>
          <w:rFonts w:hint="eastAsia"/>
          <w:lang w:val="en-US" w:eastAsia="zh-CN"/>
        </w:rPr>
        <w:t>注：电梯销售、安装、维护需符合GB7588标准和相应的国际标准。</w:t>
      </w:r>
    </w:p>
    <w:p>
      <w:pPr>
        <w:pStyle w:val="15"/>
        <w:ind w:left="0" w:leftChars="0" w:firstLine="0" w:firstLineChars="0"/>
        <w:jc w:val="center"/>
        <w:rPr>
          <w:rFonts w:hint="eastAsia"/>
          <w:lang w:eastAsia="zh-CN"/>
        </w:rPr>
      </w:pPr>
      <w:r>
        <w:rPr>
          <w:rFonts w:hint="eastAsia"/>
          <w:lang w:eastAsia="zh-CN"/>
        </w:rPr>
        <w:t>位置图</w:t>
      </w:r>
    </w:p>
    <w:p>
      <w:pPr>
        <w:rPr>
          <w:rFonts w:hint="eastAsia"/>
          <w:lang w:eastAsia="zh-CN"/>
        </w:rPr>
      </w:pPr>
      <w:r>
        <w:rPr>
          <w:rFonts w:hint="eastAsia"/>
          <w:lang w:eastAsia="zh-CN"/>
        </w:rPr>
        <w:drawing>
          <wp:inline distT="0" distB="0" distL="114300" distR="114300">
            <wp:extent cx="5820410" cy="3944620"/>
            <wp:effectExtent l="0" t="0" r="8890" b="17780"/>
            <wp:docPr id="3" name="图片 3" descr="电梯位置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电梯位置图"/>
                    <pic:cNvPicPr>
                      <a:picLocks noChangeAspect="1"/>
                    </pic:cNvPicPr>
                  </pic:nvPicPr>
                  <pic:blipFill>
                    <a:blip r:embed="rId8"/>
                    <a:stretch>
                      <a:fillRect/>
                    </a:stretch>
                  </pic:blipFill>
                  <pic:spPr>
                    <a:xfrm>
                      <a:off x="0" y="0"/>
                      <a:ext cx="5820410" cy="3944620"/>
                    </a:xfrm>
                    <a:prstGeom prst="rect">
                      <a:avLst/>
                    </a:prstGeom>
                  </pic:spPr>
                </pic:pic>
              </a:graphicData>
            </a:graphic>
          </wp:inline>
        </w:drawing>
      </w:r>
    </w:p>
    <w:p>
      <w:pPr>
        <w:pStyle w:val="4"/>
        <w:ind w:firstLine="422"/>
        <w:rPr>
          <w:rFonts w:hint="eastAsia" w:ascii="宋体" w:hAnsi="宋体" w:eastAsia="宋体"/>
          <w:sz w:val="21"/>
          <w:szCs w:val="24"/>
        </w:rPr>
      </w:pPr>
      <w:bookmarkStart w:id="53" w:name="_Toc112655998"/>
      <w:r>
        <w:rPr>
          <w:rFonts w:hint="eastAsia" w:ascii="宋体" w:hAnsi="宋体" w:eastAsia="宋体"/>
          <w:sz w:val="21"/>
          <w:szCs w:val="24"/>
        </w:rPr>
        <w:t>二、设计要求</w:t>
      </w:r>
      <w:bookmarkEnd w:id="53"/>
    </w:p>
    <w:bookmarkEnd w:id="51"/>
    <w:bookmarkEnd w:id="52"/>
    <w:p>
      <w:pPr>
        <w:spacing w:line="360" w:lineRule="auto"/>
        <w:ind w:firstLine="420"/>
        <w:rPr>
          <w:rFonts w:hint="eastAsia" w:ascii="宋体" w:hAnsi="宋体"/>
        </w:rPr>
      </w:pPr>
      <w:bookmarkStart w:id="54" w:name="_Toc57713381"/>
      <w:r>
        <w:rPr>
          <w:rFonts w:hint="eastAsia" w:ascii="宋体" w:hAnsi="宋体"/>
        </w:rPr>
        <w:t>根据需求所划定的区域范围的空间改造设计，合理规划区域功能和面积，使得整个党群服务中心的效果最大化。投标时需要提供服务中心整体效果图，后续深化配合采购人完成整个立面、版面深化及内容深化等。设计效果图应思路清晰、具有创新性、实用性。</w:t>
      </w:r>
    </w:p>
    <w:p>
      <w:pPr>
        <w:spacing w:line="360" w:lineRule="auto"/>
        <w:ind w:firstLine="420"/>
        <w:rPr>
          <w:rFonts w:hint="eastAsia" w:ascii="宋体" w:hAnsi="宋体"/>
        </w:rPr>
      </w:pPr>
      <w:r>
        <w:rPr>
          <w:rFonts w:hint="eastAsia" w:ascii="宋体" w:hAnsi="宋体"/>
        </w:rPr>
        <w:t>承包人应对设计理念和构思有充分的理解，并且其设计要充分体现服务中心的实际情况，且能满足施工和使用需要；</w:t>
      </w:r>
    </w:p>
    <w:p>
      <w:pPr>
        <w:spacing w:line="360" w:lineRule="auto"/>
        <w:ind w:firstLine="420"/>
        <w:rPr>
          <w:rFonts w:hint="eastAsia" w:ascii="宋体" w:hAnsi="宋体"/>
        </w:rPr>
      </w:pPr>
      <w:r>
        <w:rPr>
          <w:rFonts w:hint="eastAsia" w:ascii="宋体" w:hAnsi="宋体"/>
        </w:rPr>
        <w:t>承包人在设计过程中，要严格按照采购文件及合同的约定，围绕相关现场勘测资料，具体勘测结果承包人自行负责；</w:t>
      </w:r>
    </w:p>
    <w:p>
      <w:pPr>
        <w:spacing w:line="360" w:lineRule="auto"/>
        <w:ind w:firstLine="420"/>
        <w:rPr>
          <w:rFonts w:hint="eastAsia" w:ascii="宋体" w:hAnsi="宋体"/>
        </w:rPr>
      </w:pPr>
      <w:r>
        <w:rPr>
          <w:rFonts w:hint="eastAsia" w:ascii="宋体" w:hAnsi="宋体"/>
        </w:rPr>
        <w:t>设计方案应符合采购文件要求及国家有关规范规定；</w:t>
      </w:r>
    </w:p>
    <w:p>
      <w:pPr>
        <w:spacing w:line="360" w:lineRule="auto"/>
        <w:ind w:firstLine="420"/>
        <w:rPr>
          <w:rFonts w:hint="eastAsia" w:ascii="宋体" w:hAnsi="宋体"/>
        </w:rPr>
      </w:pPr>
      <w:r>
        <w:rPr>
          <w:rFonts w:hint="eastAsia" w:ascii="宋体" w:hAnsi="宋体"/>
        </w:rPr>
        <w:t>设计要准确、深入理解高校党群服务中心阵地内容需求，做到主题突出，形式多样，内容与形式完美统一。</w:t>
      </w:r>
    </w:p>
    <w:p>
      <w:pPr>
        <w:spacing w:line="360" w:lineRule="auto"/>
        <w:ind w:firstLine="420"/>
        <w:rPr>
          <w:rFonts w:hint="eastAsia" w:ascii="宋体" w:hAnsi="宋体"/>
        </w:rPr>
      </w:pPr>
      <w:r>
        <w:rPr>
          <w:rFonts w:hint="eastAsia" w:ascii="宋体" w:hAnsi="宋体"/>
        </w:rPr>
        <w:t>形式设计要做到“版面展示立体化，实物场景一体化，展示手段科技化”，将展示内容的丰富性与呈现方式的多样化、现代化和技术化有机地结合起来，形象深刻地构建展示主题和内涵，增强生动性，观赏性、趣味性，以提</w:t>
      </w:r>
      <w:r>
        <w:rPr>
          <w:rFonts w:hint="eastAsia" w:ascii="宋体" w:hAnsi="宋体"/>
          <w:lang w:val="en-US" w:eastAsia="zh-CN"/>
        </w:rPr>
        <w:t>高市民</w:t>
      </w:r>
      <w:r>
        <w:rPr>
          <w:rFonts w:hint="eastAsia" w:ascii="宋体" w:hAnsi="宋体"/>
        </w:rPr>
        <w:t>的参与性。</w:t>
      </w:r>
    </w:p>
    <w:p>
      <w:pPr>
        <w:spacing w:line="360" w:lineRule="auto"/>
        <w:ind w:firstLine="420"/>
        <w:rPr>
          <w:rFonts w:hint="eastAsia" w:ascii="宋体" w:hAnsi="宋体"/>
        </w:rPr>
      </w:pPr>
      <w:r>
        <w:rPr>
          <w:rFonts w:hint="eastAsia" w:ascii="宋体" w:hAnsi="宋体"/>
        </w:rPr>
        <w:t>艺术表现方式和科技展现手段要力求开拓创新和差别化设计，场景艺术设计要构思立意准确，构图布局合理，实时特征明显，制作工艺先进，艺术感染力强。高科技展项要互动性强，性能优，操作简便，容易维护，价格合理。</w:t>
      </w:r>
    </w:p>
    <w:p>
      <w:pPr>
        <w:spacing w:line="360" w:lineRule="auto"/>
        <w:ind w:firstLine="420"/>
        <w:rPr>
          <w:rFonts w:hint="eastAsia" w:ascii="宋体" w:hAnsi="宋体"/>
        </w:rPr>
      </w:pPr>
      <w:r>
        <w:rPr>
          <w:rFonts w:hint="eastAsia" w:ascii="宋体" w:hAnsi="宋体"/>
        </w:rPr>
        <w:t>科学合理的划分各单元内容的平面布局和面积匹配，做到布局得当，分割有致。</w:t>
      </w:r>
    </w:p>
    <w:p>
      <w:pPr>
        <w:spacing w:line="360" w:lineRule="auto"/>
        <w:ind w:firstLine="420"/>
        <w:rPr>
          <w:rFonts w:hint="eastAsia" w:ascii="宋体" w:hAnsi="宋体" w:eastAsia="宋体"/>
          <w:lang w:eastAsia="zh-CN"/>
        </w:rPr>
      </w:pPr>
      <w:r>
        <w:rPr>
          <w:rFonts w:hint="eastAsia" w:ascii="宋体" w:hAnsi="宋体"/>
        </w:rPr>
        <w:t>设计风格要大气，可观赏性，要突出重点，体现主题性</w:t>
      </w:r>
      <w:r>
        <w:rPr>
          <w:rFonts w:hint="eastAsia" w:ascii="宋体" w:hAnsi="宋体"/>
          <w:lang w:eastAsia="zh-CN"/>
        </w:rPr>
        <w:t>。</w:t>
      </w:r>
    </w:p>
    <w:p>
      <w:pPr>
        <w:spacing w:line="360" w:lineRule="auto"/>
        <w:ind w:firstLine="420"/>
        <w:rPr>
          <w:rFonts w:hint="eastAsia" w:ascii="宋体" w:hAnsi="宋体" w:eastAsia="宋体"/>
          <w:lang w:eastAsia="zh-CN"/>
        </w:rPr>
      </w:pPr>
      <w:r>
        <w:rPr>
          <w:rFonts w:hint="eastAsia" w:ascii="宋体" w:hAnsi="宋体"/>
        </w:rPr>
        <w:t>材料选择得当，色彩选配考究，线条处理协调，并且符合国家规范要求，特别是环保要求，主要部件及配件应选用同类产品中的优质品牌或行业内知名品牌</w:t>
      </w:r>
      <w:r>
        <w:rPr>
          <w:rFonts w:hint="eastAsia" w:ascii="宋体" w:hAnsi="宋体"/>
          <w:lang w:eastAsia="zh-CN"/>
        </w:rPr>
        <w:t>。</w:t>
      </w:r>
    </w:p>
    <w:p>
      <w:pPr>
        <w:spacing w:line="360" w:lineRule="auto"/>
        <w:ind w:firstLine="420"/>
        <w:rPr>
          <w:rFonts w:hint="eastAsia" w:ascii="宋体" w:hAnsi="宋体" w:eastAsia="宋体"/>
          <w:lang w:eastAsia="zh-CN"/>
        </w:rPr>
      </w:pPr>
      <w:r>
        <w:rPr>
          <w:rFonts w:hint="eastAsia" w:ascii="宋体" w:hAnsi="宋体"/>
        </w:rPr>
        <w:t>运用新材料、新工艺，运用节能、环保材料和环保技术，充分考虑材料的安全性、环保性、通用性、牢固性、美观性、标准化</w:t>
      </w:r>
      <w:r>
        <w:rPr>
          <w:rFonts w:hint="eastAsia" w:ascii="宋体" w:hAnsi="宋体"/>
          <w:lang w:eastAsia="zh-CN"/>
        </w:rPr>
        <w:t>。</w:t>
      </w:r>
    </w:p>
    <w:p>
      <w:pPr>
        <w:spacing w:line="360" w:lineRule="auto"/>
        <w:ind w:firstLine="420"/>
        <w:rPr>
          <w:rFonts w:hint="eastAsia" w:ascii="宋体" w:hAnsi="宋体"/>
        </w:rPr>
      </w:pPr>
      <w:r>
        <w:rPr>
          <w:rFonts w:hint="eastAsia" w:ascii="宋体" w:hAnsi="宋体"/>
        </w:rPr>
        <w:t>合理运用现代化和高科技手段，采用声、光、电、多媒体等，满足互动性强，性能优，操作简便，容易维护，价格合理。</w:t>
      </w:r>
    </w:p>
    <w:p>
      <w:pPr>
        <w:spacing w:line="360" w:lineRule="auto"/>
        <w:ind w:firstLine="420"/>
        <w:rPr>
          <w:rFonts w:hint="eastAsia" w:ascii="宋体" w:hAnsi="宋体"/>
        </w:rPr>
      </w:pPr>
      <w:r>
        <w:rPr>
          <w:rFonts w:hint="eastAsia" w:ascii="宋体" w:hAnsi="宋体"/>
        </w:rPr>
        <w:t>充分考虑弱电设备内容及形式设计，预留位置空间。</w:t>
      </w:r>
    </w:p>
    <w:p>
      <w:pPr>
        <w:spacing w:line="360" w:lineRule="auto"/>
        <w:ind w:firstLine="420"/>
        <w:rPr>
          <w:rFonts w:hint="eastAsia" w:ascii="宋体" w:hAnsi="宋体" w:eastAsia="宋体"/>
          <w:lang w:eastAsia="zh-CN"/>
        </w:rPr>
      </w:pPr>
      <w:r>
        <w:rPr>
          <w:rFonts w:hint="eastAsia" w:ascii="宋体" w:hAnsi="宋体"/>
          <w:lang w:val="en-US" w:eastAsia="zh-CN"/>
        </w:rPr>
        <w:t>服务中心</w:t>
      </w:r>
      <w:r>
        <w:rPr>
          <w:rFonts w:hint="eastAsia" w:ascii="宋体" w:hAnsi="宋体"/>
        </w:rPr>
        <w:t>体现展示服务属性，充分满足人的需求，充分考虑</w:t>
      </w:r>
      <w:r>
        <w:rPr>
          <w:rFonts w:hint="eastAsia" w:ascii="宋体" w:hAnsi="宋体"/>
          <w:lang w:val="en-US" w:eastAsia="zh-CN"/>
        </w:rPr>
        <w:t>市民</w:t>
      </w:r>
      <w:r>
        <w:rPr>
          <w:rFonts w:hint="eastAsia" w:ascii="宋体" w:hAnsi="宋体"/>
        </w:rPr>
        <w:t>的服务需求</w:t>
      </w:r>
      <w:r>
        <w:rPr>
          <w:rFonts w:hint="eastAsia" w:ascii="宋体" w:hAnsi="宋体"/>
          <w:lang w:eastAsia="zh-CN"/>
        </w:rPr>
        <w:t>。</w:t>
      </w:r>
    </w:p>
    <w:p>
      <w:pPr>
        <w:spacing w:line="360" w:lineRule="auto"/>
        <w:ind w:firstLine="420"/>
        <w:rPr>
          <w:rFonts w:hint="eastAsia" w:ascii="宋体" w:hAnsi="宋体" w:eastAsia="宋体"/>
          <w:lang w:eastAsia="zh-CN"/>
        </w:rPr>
      </w:pPr>
      <w:r>
        <w:rPr>
          <w:rFonts w:hint="eastAsia" w:ascii="宋体" w:hAnsi="宋体"/>
        </w:rPr>
        <w:t>软件配套须功能实用，便于操作，操作界面简洁明了，配色方案与环境相协调</w:t>
      </w:r>
      <w:r>
        <w:rPr>
          <w:rFonts w:hint="eastAsia" w:ascii="宋体" w:hAnsi="宋体"/>
          <w:lang w:eastAsia="zh-CN"/>
        </w:rPr>
        <w:t>。</w:t>
      </w:r>
    </w:p>
    <w:p>
      <w:pPr>
        <w:spacing w:line="360" w:lineRule="auto"/>
        <w:ind w:firstLine="420"/>
        <w:rPr>
          <w:rFonts w:hint="eastAsia" w:ascii="宋体" w:hAnsi="宋体"/>
          <w:color w:val="000000"/>
        </w:rPr>
      </w:pPr>
      <w:r>
        <w:rPr>
          <w:rFonts w:hint="eastAsia" w:ascii="宋体" w:hAnsi="宋体"/>
          <w:color w:val="000000"/>
        </w:rPr>
        <w:t>各个</w:t>
      </w:r>
      <w:r>
        <w:rPr>
          <w:rFonts w:hint="eastAsia" w:ascii="宋体" w:hAnsi="宋体"/>
          <w:color w:val="000000"/>
          <w:lang w:val="en-US" w:eastAsia="zh-CN"/>
        </w:rPr>
        <w:t>区域</w:t>
      </w:r>
      <w:r>
        <w:rPr>
          <w:rFonts w:hint="eastAsia" w:ascii="宋体" w:hAnsi="宋体"/>
          <w:color w:val="000000"/>
        </w:rPr>
        <w:t>具有独立的控制单元。</w:t>
      </w:r>
    </w:p>
    <w:p>
      <w:pPr>
        <w:spacing w:line="360" w:lineRule="auto"/>
        <w:ind w:firstLine="420"/>
        <w:rPr>
          <w:rFonts w:hint="eastAsia" w:ascii="宋体" w:hAnsi="宋体" w:eastAsia="宋体"/>
          <w:lang w:eastAsia="zh-CN"/>
        </w:rPr>
      </w:pPr>
      <w:r>
        <w:rPr>
          <w:rFonts w:hint="eastAsia" w:ascii="宋体" w:hAnsi="宋体"/>
          <w:lang w:val="en-US" w:eastAsia="zh-CN"/>
        </w:rPr>
        <w:t>服务中心</w:t>
      </w:r>
      <w:r>
        <w:rPr>
          <w:rFonts w:hint="eastAsia" w:ascii="宋体" w:hAnsi="宋体"/>
        </w:rPr>
        <w:t>的稳定性和易维护性</w:t>
      </w:r>
      <w:r>
        <w:rPr>
          <w:rFonts w:hint="eastAsia" w:ascii="宋体" w:hAnsi="宋体"/>
          <w:lang w:eastAsia="zh-CN"/>
        </w:rPr>
        <w:t>。</w:t>
      </w:r>
    </w:p>
    <w:p>
      <w:pPr>
        <w:spacing w:line="360" w:lineRule="auto"/>
        <w:ind w:firstLine="420"/>
        <w:rPr>
          <w:rFonts w:hint="eastAsia" w:ascii="宋体" w:hAnsi="宋体" w:eastAsia="宋体"/>
          <w:lang w:eastAsia="zh-CN"/>
        </w:rPr>
      </w:pPr>
      <w:r>
        <w:rPr>
          <w:rFonts w:hint="eastAsia" w:ascii="宋体" w:hAnsi="宋体"/>
        </w:rPr>
        <w:t>充分考虑安全性，符合公共场所安全、消防规范</w:t>
      </w:r>
      <w:r>
        <w:rPr>
          <w:rFonts w:hint="eastAsia" w:ascii="宋体" w:hAnsi="宋体"/>
          <w:lang w:eastAsia="zh-CN"/>
        </w:rPr>
        <w:t>。</w:t>
      </w:r>
    </w:p>
    <w:p>
      <w:pPr>
        <w:spacing w:line="360" w:lineRule="auto"/>
        <w:ind w:firstLine="420"/>
        <w:rPr>
          <w:rFonts w:hint="eastAsia" w:ascii="宋体" w:hAnsi="宋体"/>
        </w:rPr>
      </w:pPr>
      <w:r>
        <w:rPr>
          <w:rFonts w:hint="eastAsia" w:ascii="宋体" w:hAnsi="宋体"/>
        </w:rPr>
        <w:t>照明系统要求：</w:t>
      </w:r>
    </w:p>
    <w:p>
      <w:pPr>
        <w:spacing w:line="360" w:lineRule="auto"/>
        <w:ind w:firstLine="420"/>
        <w:rPr>
          <w:rFonts w:hint="eastAsia" w:ascii="宋体" w:hAnsi="宋体"/>
        </w:rPr>
      </w:pPr>
      <w:r>
        <w:rPr>
          <w:rFonts w:hint="eastAsia" w:ascii="宋体" w:hAnsi="宋体"/>
        </w:rPr>
        <w:t>（1）照明艺术性</w:t>
      </w:r>
    </w:p>
    <w:p>
      <w:pPr>
        <w:spacing w:line="360" w:lineRule="auto"/>
        <w:ind w:firstLine="420"/>
        <w:rPr>
          <w:rFonts w:hint="eastAsia" w:ascii="宋体" w:hAnsi="宋体"/>
        </w:rPr>
      </w:pPr>
      <w:r>
        <w:rPr>
          <w:rFonts w:hint="eastAsia" w:ascii="宋体" w:hAnsi="宋体"/>
        </w:rPr>
        <w:t>根据总体形式设计，强调灯光设计艺术性；</w:t>
      </w:r>
    </w:p>
    <w:p>
      <w:pPr>
        <w:spacing w:line="360" w:lineRule="auto"/>
        <w:ind w:firstLine="420"/>
        <w:rPr>
          <w:rFonts w:hint="eastAsia" w:ascii="宋体" w:hAnsi="宋体"/>
        </w:rPr>
      </w:pPr>
      <w:r>
        <w:rPr>
          <w:rFonts w:hint="eastAsia" w:ascii="宋体" w:hAnsi="宋体"/>
        </w:rPr>
        <w:t>（2）视觉适应</w:t>
      </w:r>
    </w:p>
    <w:p>
      <w:pPr>
        <w:spacing w:line="360" w:lineRule="auto"/>
        <w:ind w:firstLine="420"/>
        <w:rPr>
          <w:rFonts w:hint="eastAsia" w:ascii="宋体" w:hAnsi="宋体"/>
        </w:rPr>
      </w:pPr>
      <w:r>
        <w:rPr>
          <w:rFonts w:hint="eastAsia" w:ascii="宋体" w:hAnsi="宋体"/>
          <w:lang w:val="en-US" w:eastAsia="zh-CN"/>
        </w:rPr>
        <w:t>服务中心</w:t>
      </w:r>
      <w:r>
        <w:rPr>
          <w:rFonts w:hint="eastAsia" w:ascii="宋体" w:hAnsi="宋体"/>
        </w:rPr>
        <w:t>的照明色温便于室内的人容易视觉</w:t>
      </w:r>
      <w:r>
        <w:rPr>
          <w:rFonts w:hint="eastAsia" w:ascii="宋体" w:hAnsi="宋体"/>
          <w:highlight w:val="none"/>
        </w:rPr>
        <w:t>适应。</w:t>
      </w:r>
    </w:p>
    <w:p>
      <w:pPr>
        <w:spacing w:line="360" w:lineRule="auto"/>
        <w:ind w:firstLine="420"/>
        <w:rPr>
          <w:rFonts w:hint="eastAsia" w:ascii="宋体" w:hAnsi="宋体"/>
        </w:rPr>
      </w:pPr>
      <w:r>
        <w:rPr>
          <w:rFonts w:hint="eastAsia" w:ascii="宋体" w:hAnsi="宋体"/>
        </w:rPr>
        <w:t>标准及规范必须达到以下现行版的中华人民共和国有关法规的要求，如下列标准及规范要求与标书要求有出入则以较严格者为准。</w:t>
      </w:r>
    </w:p>
    <w:p>
      <w:pPr>
        <w:spacing w:line="360" w:lineRule="auto"/>
        <w:ind w:firstLine="420"/>
        <w:rPr>
          <w:rFonts w:hint="eastAsia" w:ascii="宋体" w:hAnsi="宋体"/>
        </w:rPr>
      </w:pPr>
      <w:r>
        <w:rPr>
          <w:rFonts w:hint="eastAsia" w:ascii="宋体" w:hAnsi="宋体"/>
        </w:rPr>
        <w:t>《中华人民共和国工程建设标准强制性条文（房屋建筑部分）》</w:t>
      </w:r>
    </w:p>
    <w:p>
      <w:pPr>
        <w:spacing w:line="360" w:lineRule="auto"/>
        <w:ind w:firstLine="420"/>
        <w:rPr>
          <w:rFonts w:hint="eastAsia" w:ascii="宋体" w:hAnsi="宋体"/>
        </w:rPr>
      </w:pPr>
      <w:r>
        <w:rPr>
          <w:rFonts w:hint="eastAsia" w:ascii="宋体" w:hAnsi="宋体"/>
        </w:rPr>
        <w:t>《展馆照明设计规范》</w:t>
      </w:r>
    </w:p>
    <w:p>
      <w:pPr>
        <w:spacing w:line="360" w:lineRule="auto"/>
        <w:ind w:firstLine="420"/>
        <w:rPr>
          <w:rFonts w:hint="eastAsia" w:ascii="宋体" w:hAnsi="宋体"/>
        </w:rPr>
      </w:pPr>
      <w:r>
        <w:rPr>
          <w:rFonts w:hint="eastAsia" w:ascii="宋体" w:hAnsi="宋体"/>
        </w:rPr>
        <w:t>《建筑工程设计文件编制深度规定》</w:t>
      </w:r>
    </w:p>
    <w:p>
      <w:pPr>
        <w:spacing w:line="360" w:lineRule="auto"/>
        <w:ind w:firstLine="420"/>
        <w:rPr>
          <w:rFonts w:hint="eastAsia" w:ascii="宋体" w:hAnsi="宋体"/>
        </w:rPr>
      </w:pPr>
      <w:r>
        <w:rPr>
          <w:rFonts w:hint="eastAsia" w:ascii="宋体" w:hAnsi="宋体"/>
        </w:rPr>
        <w:t>《建筑装修工程质量验收规范》（GB50210）</w:t>
      </w:r>
    </w:p>
    <w:p>
      <w:pPr>
        <w:spacing w:line="360" w:lineRule="auto"/>
        <w:ind w:firstLine="420"/>
        <w:rPr>
          <w:rFonts w:hint="eastAsia" w:ascii="宋体" w:hAnsi="宋体"/>
        </w:rPr>
      </w:pPr>
      <w:r>
        <w:rPr>
          <w:rFonts w:hint="eastAsia" w:ascii="宋体" w:hAnsi="宋体"/>
        </w:rPr>
        <w:t>《建筑内部装修设计防火规范》（GB50222）</w:t>
      </w:r>
    </w:p>
    <w:p>
      <w:pPr>
        <w:spacing w:line="360" w:lineRule="auto"/>
        <w:ind w:firstLine="420"/>
        <w:rPr>
          <w:rFonts w:hint="eastAsia" w:ascii="宋体" w:hAnsi="宋体"/>
        </w:rPr>
      </w:pPr>
      <w:r>
        <w:rPr>
          <w:rFonts w:hint="eastAsia" w:ascii="宋体" w:hAnsi="宋体"/>
        </w:rPr>
        <w:t>《电梯制造和安装安全规范》（GB7588）</w:t>
      </w:r>
    </w:p>
    <w:p>
      <w:pPr>
        <w:spacing w:line="360" w:lineRule="auto"/>
        <w:ind w:firstLine="420"/>
        <w:rPr>
          <w:rFonts w:hint="eastAsia" w:ascii="宋体" w:hAnsi="宋体"/>
        </w:rPr>
      </w:pPr>
      <w:r>
        <w:rPr>
          <w:rFonts w:hint="eastAsia" w:ascii="宋体" w:hAnsi="宋体"/>
        </w:rPr>
        <w:t>《城市无障碍设计规范》（GB50763）</w:t>
      </w:r>
    </w:p>
    <w:p>
      <w:pPr>
        <w:spacing w:line="360" w:lineRule="auto"/>
        <w:ind w:firstLine="420"/>
        <w:rPr>
          <w:rFonts w:hint="eastAsia" w:ascii="宋体" w:hAnsi="宋体"/>
        </w:rPr>
      </w:pPr>
      <w:r>
        <w:rPr>
          <w:rFonts w:hint="eastAsia" w:ascii="宋体" w:hAnsi="宋体"/>
        </w:rPr>
        <w:t>《电梯工程施工质量验收规范》（GB50310）</w:t>
      </w:r>
    </w:p>
    <w:p>
      <w:pPr>
        <w:spacing w:line="360" w:lineRule="auto"/>
        <w:ind w:firstLine="420"/>
        <w:rPr>
          <w:rFonts w:hint="eastAsia" w:ascii="宋体" w:hAnsi="宋体"/>
        </w:rPr>
      </w:pPr>
      <w:r>
        <w:rPr>
          <w:rFonts w:hint="eastAsia" w:ascii="宋体" w:hAnsi="宋体"/>
        </w:rPr>
        <w:t xml:space="preserve">国家、地方、行业及其它有关规定。 </w:t>
      </w:r>
    </w:p>
    <w:p>
      <w:pPr>
        <w:pStyle w:val="4"/>
        <w:ind w:firstLine="422"/>
        <w:rPr>
          <w:rFonts w:hint="eastAsia" w:ascii="宋体" w:hAnsi="宋体" w:eastAsia="宋体"/>
          <w:sz w:val="21"/>
          <w:szCs w:val="24"/>
        </w:rPr>
      </w:pPr>
      <w:bookmarkStart w:id="55" w:name="_Toc112655999"/>
      <w:r>
        <w:rPr>
          <w:rFonts w:hint="eastAsia" w:ascii="宋体" w:hAnsi="宋体" w:eastAsia="宋体"/>
          <w:sz w:val="21"/>
          <w:szCs w:val="24"/>
        </w:rPr>
        <w:t>三、设计深度要求</w:t>
      </w:r>
      <w:bookmarkEnd w:id="55"/>
    </w:p>
    <w:p>
      <w:pPr>
        <w:spacing w:line="360" w:lineRule="auto"/>
        <w:ind w:firstLine="420"/>
        <w:rPr>
          <w:rFonts w:hint="eastAsia" w:ascii="宋体" w:hAnsi="宋体"/>
        </w:rPr>
      </w:pPr>
      <w:r>
        <w:rPr>
          <w:rFonts w:hint="eastAsia" w:ascii="宋体" w:hAnsi="宋体"/>
        </w:rPr>
        <w:t>设计的深度应满足策划本次</w:t>
      </w:r>
      <w:r>
        <w:rPr>
          <w:rFonts w:hint="eastAsia" w:ascii="宋体" w:hAnsi="宋体"/>
          <w:lang w:val="en-US" w:eastAsia="zh-CN"/>
        </w:rPr>
        <w:t>服务中心</w:t>
      </w:r>
      <w:r>
        <w:rPr>
          <w:rFonts w:hint="eastAsia" w:ascii="宋体" w:hAnsi="宋体"/>
        </w:rPr>
        <w:t>主题内容的要求并能按图进行施工（制作），包括（但不限于以下内容）：</w:t>
      </w:r>
    </w:p>
    <w:p>
      <w:pPr>
        <w:spacing w:line="360" w:lineRule="auto"/>
        <w:ind w:firstLine="420"/>
        <w:rPr>
          <w:rFonts w:hint="eastAsia" w:ascii="宋体" w:hAnsi="宋体"/>
        </w:rPr>
      </w:pPr>
      <w:r>
        <w:rPr>
          <w:rFonts w:hint="eastAsia" w:ascii="宋体" w:hAnsi="宋体"/>
        </w:rPr>
        <w:t>按照</w:t>
      </w:r>
      <w:r>
        <w:rPr>
          <w:rFonts w:hint="eastAsia" w:ascii="宋体" w:hAnsi="宋体"/>
          <w:lang w:val="en-US" w:eastAsia="zh-CN"/>
        </w:rPr>
        <w:t>服务中心</w:t>
      </w:r>
      <w:r>
        <w:rPr>
          <w:rFonts w:hint="eastAsia" w:ascii="宋体" w:hAnsi="宋体"/>
        </w:rPr>
        <w:t>的主题、主线和脉络，梳理和文字提炼等完善工作，实现最终上墙目标。</w:t>
      </w:r>
    </w:p>
    <w:p>
      <w:pPr>
        <w:spacing w:line="360" w:lineRule="auto"/>
        <w:ind w:firstLine="420"/>
        <w:rPr>
          <w:rFonts w:hint="eastAsia" w:ascii="宋体" w:hAnsi="宋体"/>
        </w:rPr>
      </w:pPr>
      <w:r>
        <w:rPr>
          <w:rFonts w:hint="eastAsia" w:ascii="宋体" w:hAnsi="宋体"/>
        </w:rPr>
        <w:t>设计应包含展示所涉及的所有专业的施工（制作）设计图，施工（制作）设计图，其中包括设计说明、砌墙图、敲墙图、电路图、灯具图、插座图、索引图、立面图、节点图、监控布置图、音响布置图、</w:t>
      </w:r>
      <w:r>
        <w:rPr>
          <w:rFonts w:hint="eastAsia" w:ascii="宋体" w:hAnsi="宋体"/>
          <w:lang w:val="en-US" w:eastAsia="zh-CN"/>
        </w:rPr>
        <w:t>电梯、</w:t>
      </w:r>
      <w:r>
        <w:rPr>
          <w:rFonts w:hint="eastAsia" w:ascii="宋体" w:hAnsi="宋体"/>
        </w:rPr>
        <w:t>必须的设备、材料表等；</w:t>
      </w:r>
    </w:p>
    <w:p>
      <w:pPr>
        <w:spacing w:line="360" w:lineRule="auto"/>
        <w:ind w:firstLine="420"/>
        <w:rPr>
          <w:rFonts w:hint="eastAsia" w:ascii="宋体" w:hAnsi="宋体"/>
        </w:rPr>
      </w:pPr>
      <w:r>
        <w:rPr>
          <w:rFonts w:hint="eastAsia" w:ascii="宋体" w:hAnsi="宋体"/>
        </w:rPr>
        <w:t>设计文件应提供</w:t>
      </w:r>
      <w:r>
        <w:rPr>
          <w:rFonts w:hint="eastAsia" w:ascii="宋体" w:hAnsi="宋体"/>
          <w:lang w:val="en-US" w:eastAsia="zh-CN"/>
        </w:rPr>
        <w:t>服务中心</w:t>
      </w:r>
      <w:r>
        <w:rPr>
          <w:rFonts w:hint="eastAsia" w:ascii="宋体" w:hAnsi="宋体"/>
        </w:rPr>
        <w:t>的平面、立面、剖面、大样、主要节点图纸、分解图、透视效果图、用料及规格、性能、技术标准、制作程序、详细的材料以及其它要求的各项技术参数；</w:t>
      </w:r>
    </w:p>
    <w:p>
      <w:pPr>
        <w:spacing w:line="360" w:lineRule="auto"/>
        <w:ind w:firstLine="420"/>
        <w:rPr>
          <w:rFonts w:hint="eastAsia" w:ascii="宋体" w:hAnsi="宋体"/>
        </w:rPr>
      </w:pPr>
      <w:r>
        <w:rPr>
          <w:rFonts w:hint="eastAsia" w:ascii="宋体" w:hAnsi="宋体"/>
        </w:rPr>
        <w:t>设计应包含展示项目的尺寸、形状、结构、材质、模型、技术、字体、排版、颜色、布局、印刷方式、工艺、功能等；</w:t>
      </w:r>
    </w:p>
    <w:p>
      <w:pPr>
        <w:spacing w:line="360" w:lineRule="auto"/>
        <w:ind w:firstLine="420"/>
        <w:rPr>
          <w:rFonts w:hint="eastAsia" w:ascii="宋体" w:hAnsi="宋体"/>
        </w:rPr>
      </w:pPr>
      <w:r>
        <w:rPr>
          <w:rFonts w:hint="eastAsia" w:ascii="宋体" w:hAnsi="宋体"/>
        </w:rPr>
        <w:t>互动展项（包括音视频）应提供配套软件；</w:t>
      </w:r>
    </w:p>
    <w:p>
      <w:pPr>
        <w:spacing w:line="360" w:lineRule="auto"/>
        <w:ind w:firstLine="420"/>
        <w:rPr>
          <w:rFonts w:hint="eastAsia" w:ascii="宋体" w:hAnsi="宋体"/>
        </w:rPr>
      </w:pPr>
      <w:r>
        <w:rPr>
          <w:rFonts w:hint="eastAsia" w:ascii="宋体" w:hAnsi="宋体"/>
        </w:rPr>
        <w:t>本次设计必须满足安防监控要求、防火规范、消防设施设计规范及有关规定。</w:t>
      </w:r>
    </w:p>
    <w:p>
      <w:pPr>
        <w:pStyle w:val="4"/>
        <w:ind w:firstLine="422"/>
        <w:rPr>
          <w:rFonts w:hint="eastAsia" w:ascii="宋体" w:hAnsi="宋体" w:eastAsia="宋体"/>
          <w:sz w:val="21"/>
          <w:szCs w:val="24"/>
        </w:rPr>
      </w:pPr>
      <w:bookmarkStart w:id="56" w:name="_Toc112656000"/>
      <w:r>
        <w:rPr>
          <w:rFonts w:hint="eastAsia" w:ascii="宋体" w:hAnsi="宋体" w:eastAsia="宋体"/>
          <w:sz w:val="21"/>
          <w:szCs w:val="24"/>
        </w:rPr>
        <w:t>四、布展要求</w:t>
      </w:r>
      <w:bookmarkEnd w:id="56"/>
    </w:p>
    <w:p>
      <w:pPr>
        <w:pStyle w:val="78"/>
        <w:spacing w:line="360" w:lineRule="auto"/>
        <w:ind w:firstLine="420" w:firstLineChars="200"/>
        <w:rPr>
          <w:rFonts w:hint="eastAsia" w:ascii="宋体" w:hAnsi="宋体"/>
        </w:rPr>
      </w:pPr>
      <w:r>
        <w:rPr>
          <w:rFonts w:hint="eastAsia" w:ascii="宋体" w:hAnsi="宋体"/>
        </w:rPr>
        <w:t>本项目装饰装修设计与施工的主要构成内容</w:t>
      </w:r>
    </w:p>
    <w:p>
      <w:pPr>
        <w:pStyle w:val="78"/>
        <w:spacing w:line="360" w:lineRule="auto"/>
        <w:ind w:firstLine="420" w:firstLineChars="200"/>
        <w:rPr>
          <w:rFonts w:hint="eastAsia" w:ascii="宋体" w:hAnsi="宋体"/>
        </w:rPr>
      </w:pPr>
      <w:r>
        <w:rPr>
          <w:rFonts w:hint="eastAsia" w:ascii="宋体" w:hAnsi="宋体"/>
        </w:rPr>
        <w:t>1、实施范围：范围的设计施工总承包。</w:t>
      </w:r>
    </w:p>
    <w:p>
      <w:pPr>
        <w:pStyle w:val="78"/>
        <w:spacing w:line="360" w:lineRule="auto"/>
        <w:ind w:firstLine="420" w:firstLineChars="200"/>
        <w:rPr>
          <w:rFonts w:hint="eastAsia" w:ascii="宋体" w:hAnsi="宋体"/>
        </w:rPr>
      </w:pPr>
      <w:r>
        <w:rPr>
          <w:rFonts w:hint="eastAsia" w:ascii="宋体" w:hAnsi="宋体"/>
        </w:rPr>
        <w:t>2、实施内容：包括方案设计及后续方案优化、施工图设计、施工图预算编制、展陈和施工配合服务（含竣工图文件），三楼服务中心室内装修、水电改造、消防、办公家具、办公设备、户外电梯采购、安装，文化宣传设计制作以及工程缺陷责任期内的缺陷修复、保修服务等。</w:t>
      </w:r>
    </w:p>
    <w:p>
      <w:pPr>
        <w:pStyle w:val="78"/>
        <w:spacing w:line="360" w:lineRule="auto"/>
        <w:ind w:firstLine="420" w:firstLineChars="200"/>
        <w:rPr>
          <w:rFonts w:hint="eastAsia" w:ascii="宋体" w:hAnsi="宋体" w:eastAsia="宋体"/>
          <w:lang w:eastAsia="zh-CN"/>
        </w:rPr>
      </w:pPr>
      <w:r>
        <w:rPr>
          <w:rFonts w:hint="eastAsia" w:ascii="宋体" w:hAnsi="宋体"/>
        </w:rPr>
        <w:t>3、设计：深化初步设计、施工图及专项设计（主要包括但不限于：装饰装修及其配套工程【含布展工程</w:t>
      </w:r>
      <w:r>
        <w:rPr>
          <w:rFonts w:hint="eastAsia" w:ascii="宋体" w:hAnsi="宋体"/>
          <w:lang w:eastAsia="zh-CN"/>
        </w:rPr>
        <w:t>、</w:t>
      </w:r>
      <w:r>
        <w:rPr>
          <w:rFonts w:hint="eastAsia" w:ascii="宋体" w:hAnsi="宋体"/>
          <w:lang w:val="en-US" w:eastAsia="zh-CN"/>
        </w:rPr>
        <w:t>电梯工程</w:t>
      </w:r>
      <w:r>
        <w:rPr>
          <w:rFonts w:hint="eastAsia" w:ascii="宋体" w:hAnsi="宋体"/>
        </w:rPr>
        <w:t>】等与本工程相关的所有设计）、报批后修改部分设计和施工过程中发包人提出的功能性、标准及规模的改变而发生的设计变更等涉及本项目所有的专项设计、 以及相关的深化设计及咨询服务</w:t>
      </w:r>
      <w:r>
        <w:rPr>
          <w:rFonts w:hint="eastAsia" w:ascii="宋体" w:hAnsi="宋体"/>
          <w:lang w:eastAsia="zh-CN"/>
        </w:rPr>
        <w:t>。</w:t>
      </w:r>
    </w:p>
    <w:p>
      <w:pPr>
        <w:pStyle w:val="78"/>
        <w:spacing w:line="360" w:lineRule="auto"/>
        <w:ind w:firstLine="420" w:firstLineChars="200"/>
        <w:rPr>
          <w:rFonts w:hint="eastAsia" w:ascii="宋体" w:hAnsi="宋体"/>
        </w:rPr>
      </w:pPr>
      <w:r>
        <w:rPr>
          <w:rFonts w:hint="eastAsia" w:ascii="宋体" w:hAnsi="宋体"/>
        </w:rPr>
        <w:t>4、采购：包括本工程所有材料和设备的采购、保管、安装及调试、移交以及质保期内的保修服务等。</w:t>
      </w:r>
    </w:p>
    <w:p>
      <w:pPr>
        <w:pStyle w:val="78"/>
        <w:spacing w:line="360" w:lineRule="auto"/>
        <w:ind w:firstLine="420" w:firstLineChars="200"/>
        <w:rPr>
          <w:rFonts w:hint="eastAsia" w:ascii="宋体" w:hAnsi="宋体"/>
        </w:rPr>
      </w:pPr>
      <w:r>
        <w:rPr>
          <w:rFonts w:hint="eastAsia" w:ascii="宋体" w:hAnsi="宋体"/>
        </w:rPr>
        <w:t>5、施工：包括装饰装修及其配套工程【含布展工程</w:t>
      </w:r>
      <w:r>
        <w:rPr>
          <w:rFonts w:hint="eastAsia" w:ascii="宋体" w:hAnsi="宋体"/>
          <w:lang w:eastAsia="zh-CN"/>
        </w:rPr>
        <w:t>、</w:t>
      </w:r>
      <w:r>
        <w:rPr>
          <w:rFonts w:hint="eastAsia" w:ascii="宋体" w:hAnsi="宋体"/>
          <w:lang w:val="en-US" w:eastAsia="zh-CN"/>
        </w:rPr>
        <w:t>电梯工程</w:t>
      </w:r>
      <w:r>
        <w:rPr>
          <w:rFonts w:hint="eastAsia" w:ascii="宋体" w:hAnsi="宋体"/>
        </w:rPr>
        <w:t>】，以及质保服务等所有内容。</w:t>
      </w:r>
    </w:p>
    <w:p>
      <w:pPr>
        <w:pStyle w:val="78"/>
        <w:spacing w:line="360" w:lineRule="auto"/>
        <w:ind w:firstLine="420" w:firstLineChars="200"/>
        <w:rPr>
          <w:rFonts w:hint="eastAsia" w:ascii="宋体" w:hAnsi="宋体"/>
        </w:rPr>
      </w:pPr>
      <w:r>
        <w:rPr>
          <w:rFonts w:hint="eastAsia" w:ascii="宋体" w:hAnsi="宋体"/>
        </w:rPr>
        <w:t>6、项目管理服务：包括工程项目全过程管理，负责管理协调各供应商的配合工作以及项目前期工作、工程竣工验收、竣工备案、项目移交、工程缺陷责任期内的缺陷修复、保修服务等内容，以及对工程的质量、安全、工期和造价等全面负责。</w:t>
      </w:r>
    </w:p>
    <w:p>
      <w:pPr>
        <w:pStyle w:val="78"/>
        <w:spacing w:line="360" w:lineRule="auto"/>
        <w:ind w:firstLine="420" w:firstLineChars="200"/>
        <w:rPr>
          <w:rFonts w:ascii="宋体" w:hAnsi="宋体"/>
        </w:rPr>
      </w:pPr>
      <w:r>
        <w:rPr>
          <w:rFonts w:hint="eastAsia" w:ascii="宋体" w:hAnsi="宋体"/>
        </w:rPr>
        <w:t>以上内容作为</w:t>
      </w:r>
      <w:r>
        <w:rPr>
          <w:rFonts w:ascii="宋体" w:hAnsi="宋体"/>
        </w:rPr>
        <w:t>承包人</w:t>
      </w:r>
      <w:r>
        <w:rPr>
          <w:rFonts w:hint="eastAsia" w:ascii="宋体" w:hAnsi="宋体"/>
        </w:rPr>
        <w:t>的设计参考，具体实施方案由承包人</w:t>
      </w:r>
      <w:r>
        <w:rPr>
          <w:rFonts w:ascii="宋体" w:hAnsi="宋体"/>
        </w:rPr>
        <w:t>在投标文件中提供平面布置图、效果图等说明设计方案，并在中标后进行深化设计。</w:t>
      </w:r>
      <w:r>
        <w:rPr>
          <w:rFonts w:hint="eastAsia" w:ascii="宋体" w:hAnsi="宋体"/>
        </w:rPr>
        <w:t>承包人需充分考虑以上要求所产生的一切费用，并包含在本次投标报价中。</w:t>
      </w:r>
    </w:p>
    <w:p>
      <w:pPr>
        <w:pStyle w:val="4"/>
        <w:ind w:firstLine="422"/>
        <w:rPr>
          <w:rFonts w:hint="eastAsia" w:ascii="宋体" w:hAnsi="宋体" w:eastAsia="宋体"/>
          <w:sz w:val="21"/>
          <w:szCs w:val="24"/>
        </w:rPr>
      </w:pPr>
      <w:bookmarkStart w:id="57" w:name="_Toc112656001"/>
      <w:bookmarkStart w:id="58" w:name="_Toc78554520"/>
      <w:bookmarkStart w:id="59" w:name="_Toc92985935"/>
      <w:r>
        <w:rPr>
          <w:rFonts w:hint="eastAsia" w:ascii="宋体" w:hAnsi="宋体" w:eastAsia="宋体"/>
          <w:sz w:val="21"/>
          <w:szCs w:val="24"/>
        </w:rPr>
        <w:t>五、项目管理要求</w:t>
      </w:r>
      <w:bookmarkEnd w:id="57"/>
    </w:p>
    <w:p>
      <w:pPr>
        <w:pStyle w:val="78"/>
        <w:spacing w:line="360" w:lineRule="auto"/>
        <w:ind w:firstLine="420" w:firstLineChars="200"/>
        <w:rPr>
          <w:rFonts w:hint="eastAsia" w:ascii="宋体" w:hAnsi="宋体"/>
        </w:rPr>
      </w:pPr>
      <w:r>
        <w:rPr>
          <w:rFonts w:hint="eastAsia" w:ascii="宋体" w:hAnsi="宋体"/>
        </w:rPr>
        <w:t>1、成交供应商应严格按设计图纸和已确认的施工技术方案组织施工，并无条件地接受采购人及采购人委托的监理工程师对施工质量的监督和管理；</w:t>
      </w:r>
    </w:p>
    <w:p>
      <w:pPr>
        <w:pStyle w:val="78"/>
        <w:spacing w:line="360" w:lineRule="auto"/>
        <w:ind w:firstLine="420" w:firstLineChars="200"/>
        <w:rPr>
          <w:rFonts w:hint="eastAsia" w:ascii="宋体" w:hAnsi="宋体"/>
        </w:rPr>
      </w:pPr>
      <w:r>
        <w:rPr>
          <w:rFonts w:hint="eastAsia" w:ascii="宋体" w:hAnsi="宋体"/>
        </w:rPr>
        <w:t>2、成交供应商须按采购人管理人员的要求按时递交各类报表；</w:t>
      </w:r>
    </w:p>
    <w:p>
      <w:pPr>
        <w:pStyle w:val="78"/>
        <w:spacing w:line="360" w:lineRule="auto"/>
        <w:ind w:firstLine="420" w:firstLineChars="200"/>
        <w:rPr>
          <w:rFonts w:hint="eastAsia" w:ascii="宋体" w:hAnsi="宋体"/>
        </w:rPr>
      </w:pPr>
      <w:r>
        <w:rPr>
          <w:rFonts w:hint="eastAsia" w:ascii="宋体" w:hAnsi="宋体"/>
        </w:rPr>
        <w:t>3、成交供应商在开工之前和施工期间做好安全文明标准化管理，要求在投标文件中阐述有关施工方案和管理措施，并做出相应承诺，确保场内外道路清洁畅通，确保人员、施工安全。因成交供应商任意堆放、排放废水废油或弃置施工废弃物造成妨碍公共交通、影响城镇居民生活、危及居民安全、破坏周边环境等后果，中标人承担一切责任和费用，并向采购人支付合同价款千分之五的违约金；</w:t>
      </w:r>
    </w:p>
    <w:p>
      <w:pPr>
        <w:pStyle w:val="78"/>
        <w:spacing w:line="360" w:lineRule="auto"/>
        <w:ind w:firstLine="420" w:firstLineChars="200"/>
        <w:rPr>
          <w:rFonts w:hint="eastAsia" w:ascii="宋体" w:hAnsi="宋体"/>
        </w:rPr>
      </w:pPr>
      <w:r>
        <w:rPr>
          <w:rFonts w:hint="eastAsia" w:ascii="宋体" w:hAnsi="宋体"/>
        </w:rPr>
        <w:t>4、成交供应商应对工地所有作业和施工方法适当性、可靠性及安全性负责。</w:t>
      </w:r>
    </w:p>
    <w:p>
      <w:pPr>
        <w:pStyle w:val="78"/>
        <w:spacing w:line="360" w:lineRule="auto"/>
        <w:ind w:firstLine="420" w:firstLineChars="200"/>
        <w:rPr>
          <w:rFonts w:hint="eastAsia" w:ascii="宋体" w:hAnsi="宋体"/>
        </w:rPr>
      </w:pPr>
      <w:r>
        <w:rPr>
          <w:rFonts w:hint="eastAsia" w:ascii="宋体" w:hAnsi="宋体"/>
        </w:rPr>
        <w:t>5、施工期间成交供应商须对本工程的及其不能影响到的其他专业工程和现场采取必要的措施进行加固、维护、安全防护和损毁修复；</w:t>
      </w:r>
    </w:p>
    <w:p>
      <w:pPr>
        <w:pStyle w:val="78"/>
        <w:spacing w:line="360" w:lineRule="auto"/>
        <w:ind w:firstLine="420" w:firstLineChars="200"/>
        <w:rPr>
          <w:rFonts w:hint="eastAsia" w:ascii="宋体" w:hAnsi="宋体"/>
        </w:rPr>
      </w:pPr>
      <w:r>
        <w:rPr>
          <w:rFonts w:hint="eastAsia" w:ascii="宋体" w:hAnsi="宋体"/>
        </w:rPr>
        <w:t>6、如成交供应商所雇用的工人在施工过程中发生事故，对于这类事故的赔偿费用，采购人均不予承担，且采购人不负担涉及这类事故有关的诉讼、损害赔偿、诉讼费、赔偿费及其它费用；</w:t>
      </w:r>
    </w:p>
    <w:p>
      <w:pPr>
        <w:pStyle w:val="78"/>
        <w:spacing w:line="360" w:lineRule="auto"/>
        <w:ind w:firstLine="420" w:firstLineChars="200"/>
        <w:rPr>
          <w:rFonts w:hint="eastAsia" w:ascii="宋体" w:hAnsi="宋体"/>
        </w:rPr>
      </w:pPr>
      <w:r>
        <w:rPr>
          <w:rFonts w:hint="eastAsia" w:ascii="宋体" w:hAnsi="宋体"/>
        </w:rPr>
        <w:t>7、工程竣工移交前，成交供应商负责对已完工程成品采取必要的措施进行维护，使其免于损毁或破坏。如出现损毁或破坏，成交供应商须及时进行修复并承担由此发生的一切费用；</w:t>
      </w:r>
    </w:p>
    <w:p>
      <w:pPr>
        <w:pStyle w:val="78"/>
        <w:spacing w:line="360" w:lineRule="auto"/>
        <w:ind w:firstLine="420" w:firstLineChars="200"/>
        <w:rPr>
          <w:rFonts w:hint="eastAsia" w:ascii="宋体" w:hAnsi="宋体"/>
        </w:rPr>
      </w:pPr>
      <w:r>
        <w:rPr>
          <w:rFonts w:hint="eastAsia" w:ascii="宋体" w:hAnsi="宋体"/>
        </w:rPr>
        <w:t>8、在施工过程中，各施工阶段所投入的各类机械设备数量、规格及型号应与投标文件中所列的各类机械设备数量、规格及型号一致，如在实际施工过程中，投标文件中所列机械设备不能满足施工需要的，中标人应无条件予以更换或增加；如需减少机械设备的，须报采购人和现场监理核实批准后，方可减少。否则，由此造成的工期延误和费用的增加均由成交供应商承担。</w:t>
      </w:r>
    </w:p>
    <w:p>
      <w:pPr>
        <w:pStyle w:val="4"/>
        <w:ind w:firstLine="422"/>
        <w:rPr>
          <w:rFonts w:hint="eastAsia" w:ascii="宋体" w:hAnsi="宋体" w:eastAsia="宋体"/>
          <w:sz w:val="21"/>
          <w:szCs w:val="24"/>
        </w:rPr>
      </w:pPr>
      <w:bookmarkStart w:id="60" w:name="_Toc112656002"/>
      <w:r>
        <w:rPr>
          <w:rFonts w:hint="eastAsia" w:ascii="宋体" w:hAnsi="宋体" w:eastAsia="宋体"/>
          <w:sz w:val="21"/>
          <w:szCs w:val="24"/>
        </w:rPr>
        <w:t>六、主要材料（设备）品牌推荐表</w:t>
      </w:r>
      <w:bookmarkEnd w:id="58"/>
      <w:bookmarkEnd w:id="59"/>
      <w:bookmarkEnd w:id="60"/>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3"/>
        <w:gridCol w:w="3054"/>
        <w:gridCol w:w="4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序号</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材料名称</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生产厂或品牌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一</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b/>
                <w:bCs/>
                <w:szCs w:val="21"/>
              </w:rPr>
              <w:t>建筑装饰工程</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木饰面门</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TATA木门、美心Mexin、梦天木门或相当于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2</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涂料</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立邦、华润、多乐士或相当于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3</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墙地砖</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诺贝尔、冠军、斯米克或相当于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4</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木工板、木饰面板、阻燃板</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兔宝宝、雪宝、绿野或相当于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5</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石膏板、硅酸钙板</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可耐福、泰山、龙牌或相当于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6</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轻钢龙骨</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可耐福、泰山、龙牌或相当于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7</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卷帘窗帘</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美尔耐、奥兰福、春之南</w:t>
            </w:r>
            <w:r>
              <w:rPr>
                <w:rFonts w:hint="eastAsia" w:ascii="宋体" w:hAnsi="宋体" w:cs="宋体"/>
                <w:kern w:val="0"/>
                <w:szCs w:val="21"/>
              </w:rPr>
              <w:t>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8</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防水卷材、防水涂料</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东方雨虹、禹王、卓宝或相当于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9</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地胶板</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Rikett丽杰、LG、保丽或相当于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10</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铝板</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浙江墙煌、亚铝、上海吉祥或相当于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11</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铝扣板</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kern w:val="0"/>
                <w:szCs w:val="21"/>
              </w:rPr>
              <w:t>欧普、友邦、奥普或相当于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12</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kern w:val="0"/>
                <w:szCs w:val="21"/>
              </w:rPr>
              <w:t>铝型材</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kern w:val="0"/>
                <w:szCs w:val="21"/>
              </w:rPr>
            </w:pPr>
            <w:r>
              <w:rPr>
                <w:rFonts w:hint="eastAsia" w:ascii="宋体" w:hAnsi="宋体" w:cs="宋体"/>
                <w:kern w:val="0"/>
                <w:szCs w:val="21"/>
              </w:rPr>
              <w:t>坚美、兴发、凤铝或相当于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13</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kern w:val="0"/>
                <w:szCs w:val="21"/>
              </w:rPr>
            </w:pPr>
            <w:r>
              <w:rPr>
                <w:rFonts w:hint="eastAsia" w:ascii="宋体" w:hAnsi="宋体" w:cs="宋体"/>
                <w:kern w:val="0"/>
                <w:szCs w:val="21"/>
              </w:rPr>
              <w:t>木地板</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kern w:val="0"/>
                <w:szCs w:val="21"/>
              </w:rPr>
            </w:pPr>
            <w:r>
              <w:rPr>
                <w:rFonts w:hint="eastAsia" w:ascii="宋体" w:hAnsi="宋体" w:cs="宋体"/>
                <w:kern w:val="0"/>
                <w:szCs w:val="21"/>
              </w:rPr>
              <w:t>圣象、大自然、李洋</w:t>
            </w:r>
            <w:r>
              <w:rPr>
                <w:rFonts w:hint="eastAsia" w:ascii="宋体" w:hAnsi="宋体" w:cs="宋体"/>
                <w:szCs w:val="21"/>
              </w:rPr>
              <w:t>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二</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b/>
                <w:bCs/>
                <w:szCs w:val="21"/>
              </w:rPr>
              <w:t>安装工程</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配电箱内元器件</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施耐德、西门子、ABB或相当于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2</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桥架</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圣宇、浩翔、远大或相当于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3</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电线电缆</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中策、万马、远东或相当于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4</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网线</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一舟、普天天纪、TCL罗格朗或相当于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5</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计算机网络系统（包括交换机、光模块、无线AP、面板AP等）</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H3C、华为、思科或相当于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6</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灯具</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飞利浦、三雄极光、欧普或相当于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7</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开关、插座</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松下、西门子、施耐德或相当于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8</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钢管</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湖州金洲、天津利达、华岐或相当于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9</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塑料管</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中财、伟星、联塑或相当于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10</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消防设备及报警</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利达、海湾、上海松江或相当于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11</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室内消火栓</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杭州信达、上海金盾、三顺或相当于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12</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镀锌钢板</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武钢、宝钢、鞍钢或相当于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13</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门禁系统</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中控、立方、正元或相当于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14</w:t>
            </w:r>
          </w:p>
        </w:tc>
        <w:tc>
          <w:tcPr>
            <w:tcW w:w="30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视频监控系统</w:t>
            </w:r>
          </w:p>
        </w:tc>
        <w:tc>
          <w:tcPr>
            <w:tcW w:w="4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大华、海康威视、英飞拓或相当于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15</w:t>
            </w:r>
          </w:p>
        </w:tc>
        <w:tc>
          <w:tcPr>
            <w:tcW w:w="3054" w:type="dxa"/>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变频多联室内外机</w:t>
            </w:r>
          </w:p>
        </w:tc>
        <w:tc>
          <w:tcPr>
            <w:tcW w:w="4749" w:type="dxa"/>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三菱电机、大金、麦克维尔或相当于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16</w:t>
            </w:r>
          </w:p>
        </w:tc>
        <w:tc>
          <w:tcPr>
            <w:tcW w:w="3054" w:type="dxa"/>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电梯</w:t>
            </w:r>
          </w:p>
        </w:tc>
        <w:tc>
          <w:tcPr>
            <w:tcW w:w="4749" w:type="dxa"/>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奥的斯机电、东芝、日立或相当于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noWrap w:val="0"/>
            <w:vAlign w:val="top"/>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17</w:t>
            </w:r>
          </w:p>
        </w:tc>
        <w:tc>
          <w:tcPr>
            <w:tcW w:w="3054" w:type="dxa"/>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专业照明灯具</w:t>
            </w:r>
          </w:p>
        </w:tc>
        <w:tc>
          <w:tcPr>
            <w:tcW w:w="4749" w:type="dxa"/>
            <w:noWrap w:val="0"/>
            <w:vAlign w:val="center"/>
          </w:tcPr>
          <w:p>
            <w:pPr>
              <w:keepNext w:val="0"/>
              <w:keepLines w:val="0"/>
              <w:suppressLineNumbers w:val="0"/>
              <w:spacing w:before="0" w:beforeAutospacing="0" w:after="0" w:afterAutospacing="0" w:line="276" w:lineRule="auto"/>
              <w:ind w:left="0" w:right="0"/>
              <w:jc w:val="center"/>
              <w:rPr>
                <w:rFonts w:hint="eastAsia" w:ascii="宋体" w:hAnsi="宋体" w:cs="宋体"/>
                <w:szCs w:val="21"/>
              </w:rPr>
            </w:pPr>
            <w:r>
              <w:rPr>
                <w:rFonts w:hint="eastAsia" w:ascii="宋体" w:hAnsi="宋体" w:cs="宋体"/>
                <w:szCs w:val="21"/>
              </w:rPr>
              <w:t>晶谷、华格、依古姿妮或相当于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3" w:type="dxa"/>
            <w:noWrap w:val="0"/>
            <w:vAlign w:val="top"/>
          </w:tcPr>
          <w:p>
            <w:pPr>
              <w:keepNext w:val="0"/>
              <w:keepLines w:val="0"/>
              <w:suppressLineNumbers w:val="0"/>
              <w:spacing w:before="0" w:beforeAutospacing="0" w:after="0" w:afterAutospacing="0" w:line="276" w:lineRule="auto"/>
              <w:ind w:left="0" w:leftChars="0" w:right="0" w:rightChars="0"/>
              <w:jc w:val="center"/>
              <w:rPr>
                <w:rFonts w:hint="eastAsia" w:ascii="宋体" w:hAnsi="宋体" w:cs="宋体"/>
                <w:szCs w:val="21"/>
              </w:rPr>
            </w:pPr>
            <w:bookmarkStart w:id="61" w:name="_Toc112656003"/>
            <w:r>
              <w:rPr>
                <w:rFonts w:hint="eastAsia" w:ascii="宋体" w:hAnsi="宋体" w:cs="宋体"/>
                <w:szCs w:val="21"/>
                <w:lang w:val="en-US" w:eastAsia="zh-CN"/>
              </w:rPr>
              <w:t>18</w:t>
            </w:r>
          </w:p>
        </w:tc>
        <w:tc>
          <w:tcPr>
            <w:tcW w:w="3054" w:type="dxa"/>
            <w:noWrap w:val="0"/>
            <w:vAlign w:val="center"/>
          </w:tcPr>
          <w:p>
            <w:pPr>
              <w:keepNext w:val="0"/>
              <w:keepLines w:val="0"/>
              <w:suppressLineNumbers w:val="0"/>
              <w:spacing w:before="0" w:beforeAutospacing="0" w:after="0" w:afterAutospacing="0" w:line="276" w:lineRule="auto"/>
              <w:ind w:left="0" w:leftChars="0" w:right="0" w:rightChars="0"/>
              <w:jc w:val="center"/>
              <w:rPr>
                <w:rFonts w:hint="eastAsia" w:ascii="宋体" w:hAnsi="宋体" w:cs="宋体"/>
                <w:szCs w:val="21"/>
              </w:rPr>
            </w:pPr>
            <w:r>
              <w:rPr>
                <w:rFonts w:hint="eastAsia" w:ascii="宋体" w:hAnsi="宋体" w:cs="宋体"/>
                <w:szCs w:val="21"/>
                <w:highlight w:val="none"/>
                <w:lang w:eastAsia="zh-CN"/>
              </w:rPr>
              <w:t>电子门牌系统及设备</w:t>
            </w:r>
          </w:p>
        </w:tc>
        <w:tc>
          <w:tcPr>
            <w:tcW w:w="4749" w:type="dxa"/>
            <w:noWrap w:val="0"/>
            <w:vAlign w:val="center"/>
          </w:tcPr>
          <w:p>
            <w:pPr>
              <w:keepNext w:val="0"/>
              <w:keepLines w:val="0"/>
              <w:suppressLineNumbers w:val="0"/>
              <w:spacing w:before="0" w:beforeAutospacing="0" w:after="0" w:afterAutospacing="0" w:line="276" w:lineRule="auto"/>
              <w:ind w:left="0" w:leftChars="0" w:right="0" w:rightChars="0"/>
              <w:jc w:val="center"/>
              <w:rPr>
                <w:rFonts w:hint="eastAsia" w:ascii="宋体" w:hAnsi="宋体" w:cs="宋体"/>
                <w:szCs w:val="21"/>
              </w:rPr>
            </w:pPr>
            <w:r>
              <w:rPr>
                <w:rFonts w:hint="eastAsia" w:ascii="宋体" w:hAnsi="宋体" w:cs="宋体"/>
                <w:szCs w:val="21"/>
                <w:lang w:eastAsia="zh-CN"/>
              </w:rPr>
              <w:t>京东方、铭视、GOODEEY</w:t>
            </w:r>
            <w:r>
              <w:rPr>
                <w:rFonts w:hint="eastAsia" w:ascii="宋体" w:hAnsi="宋体" w:cs="宋体"/>
                <w:szCs w:val="21"/>
              </w:rPr>
              <w:t>或相当于</w:t>
            </w:r>
          </w:p>
        </w:tc>
      </w:tr>
    </w:tbl>
    <w:p>
      <w:pPr>
        <w:pStyle w:val="4"/>
        <w:rPr>
          <w:rFonts w:hint="eastAsia" w:ascii="宋体" w:hAnsi="宋体" w:eastAsia="宋体"/>
          <w:sz w:val="21"/>
          <w:szCs w:val="24"/>
        </w:rPr>
      </w:pPr>
    </w:p>
    <w:p>
      <w:pPr>
        <w:pStyle w:val="4"/>
        <w:spacing w:line="360" w:lineRule="auto"/>
        <w:ind w:firstLine="422"/>
        <w:rPr>
          <w:rFonts w:hint="eastAsia" w:ascii="宋体" w:hAnsi="宋体" w:eastAsia="宋体"/>
          <w:sz w:val="21"/>
          <w:szCs w:val="24"/>
        </w:rPr>
      </w:pPr>
      <w:r>
        <w:rPr>
          <w:rFonts w:hint="eastAsia" w:ascii="宋体" w:hAnsi="宋体" w:eastAsia="宋体"/>
          <w:sz w:val="21"/>
          <w:szCs w:val="24"/>
        </w:rPr>
        <w:t>七、项目实施要求</w:t>
      </w:r>
      <w:bookmarkEnd w:id="61"/>
    </w:p>
    <w:p>
      <w:pPr>
        <w:pStyle w:val="16"/>
        <w:spacing w:line="360" w:lineRule="auto"/>
        <w:ind w:firstLine="420" w:firstLineChars="200"/>
        <w:rPr>
          <w:rFonts w:hint="eastAsia" w:hAnsi="宋体" w:cs="仿宋"/>
          <w:kern w:val="44"/>
          <w:szCs w:val="22"/>
        </w:rPr>
      </w:pPr>
      <w:r>
        <w:rPr>
          <w:rFonts w:hint="eastAsia" w:hAnsi="宋体" w:cs="仿宋"/>
          <w:kern w:val="44"/>
          <w:szCs w:val="22"/>
        </w:rPr>
        <w:t>1、时间控制：</w:t>
      </w:r>
      <w:r>
        <w:rPr>
          <w:rFonts w:hint="eastAsia" w:hAnsi="宋体" w:cs="仿宋"/>
          <w:kern w:val="44"/>
          <w:szCs w:val="22"/>
          <w:lang w:eastAsia="zh-CN"/>
        </w:rPr>
        <w:t>80日历天</w:t>
      </w:r>
      <w:r>
        <w:rPr>
          <w:rFonts w:hint="eastAsia" w:hAnsi="宋体" w:cs="仿宋"/>
          <w:kern w:val="44"/>
          <w:szCs w:val="22"/>
        </w:rPr>
        <w:t>（包含设计服务期和施工周期）。</w:t>
      </w:r>
    </w:p>
    <w:p>
      <w:pPr>
        <w:pStyle w:val="16"/>
        <w:spacing w:line="360" w:lineRule="auto"/>
        <w:ind w:firstLine="420" w:firstLineChars="200"/>
        <w:rPr>
          <w:rFonts w:hint="eastAsia" w:hAnsi="宋体" w:cs="仿宋"/>
          <w:kern w:val="44"/>
          <w:szCs w:val="22"/>
        </w:rPr>
      </w:pPr>
      <w:r>
        <w:rPr>
          <w:rFonts w:hint="eastAsia" w:hAnsi="宋体" w:cs="仿宋"/>
          <w:kern w:val="44"/>
          <w:szCs w:val="22"/>
        </w:rPr>
        <w:t>2、项目实施方案应满足采购文件各项要求，安排科学合理，工作重点突出，结合工程特点提出切实可行的组织管理措施，确保有效地实现本工程设计与施工的质量、进度、安全和造价控制目标。主要包括以下要求：</w:t>
      </w:r>
    </w:p>
    <w:p>
      <w:pPr>
        <w:pStyle w:val="16"/>
        <w:spacing w:line="360" w:lineRule="auto"/>
        <w:ind w:firstLine="420" w:firstLineChars="200"/>
        <w:rPr>
          <w:rFonts w:hint="eastAsia" w:hAnsi="宋体" w:cs="仿宋"/>
          <w:kern w:val="44"/>
          <w:szCs w:val="22"/>
        </w:rPr>
      </w:pPr>
      <w:r>
        <w:rPr>
          <w:rFonts w:hint="eastAsia" w:hAnsi="宋体" w:cs="仿宋"/>
          <w:kern w:val="44"/>
          <w:szCs w:val="22"/>
        </w:rPr>
        <w:t>（1）项目实际情况、实施方案概述及部署；</w:t>
      </w:r>
    </w:p>
    <w:p>
      <w:pPr>
        <w:pStyle w:val="16"/>
        <w:spacing w:line="360" w:lineRule="auto"/>
        <w:ind w:firstLine="420" w:firstLineChars="200"/>
        <w:rPr>
          <w:rFonts w:hint="eastAsia" w:hAnsi="宋体" w:cs="仿宋"/>
          <w:kern w:val="44"/>
          <w:szCs w:val="22"/>
        </w:rPr>
      </w:pPr>
      <w:r>
        <w:rPr>
          <w:rFonts w:hint="eastAsia" w:hAnsi="宋体" w:cs="仿宋"/>
          <w:kern w:val="44"/>
          <w:szCs w:val="22"/>
        </w:rPr>
        <w:t>（2）项目实施的重点、难点及主要技术保证措施；</w:t>
      </w:r>
    </w:p>
    <w:p>
      <w:pPr>
        <w:pStyle w:val="16"/>
        <w:spacing w:line="360" w:lineRule="auto"/>
        <w:ind w:firstLine="420" w:firstLineChars="200"/>
        <w:rPr>
          <w:rFonts w:hint="eastAsia" w:hAnsi="宋体" w:cs="仿宋"/>
          <w:kern w:val="44"/>
          <w:szCs w:val="22"/>
        </w:rPr>
      </w:pPr>
      <w:r>
        <w:rPr>
          <w:rFonts w:hint="eastAsia" w:hAnsi="宋体" w:cs="仿宋"/>
          <w:kern w:val="44"/>
          <w:szCs w:val="22"/>
        </w:rPr>
        <w:t>（3）项目质量保证措施、方法及质量管理体系；</w:t>
      </w:r>
    </w:p>
    <w:p>
      <w:pPr>
        <w:pStyle w:val="16"/>
        <w:spacing w:line="360" w:lineRule="auto"/>
        <w:ind w:firstLine="420" w:firstLineChars="200"/>
        <w:rPr>
          <w:rFonts w:hint="eastAsia" w:hAnsi="宋体" w:cs="仿宋"/>
          <w:kern w:val="44"/>
          <w:szCs w:val="22"/>
        </w:rPr>
      </w:pPr>
      <w:r>
        <w:rPr>
          <w:rFonts w:hint="eastAsia" w:hAnsi="宋体" w:cs="仿宋"/>
          <w:kern w:val="44"/>
          <w:szCs w:val="22"/>
        </w:rPr>
        <w:t>（4）项目工期保证措施、方法及详细可行的进度计划及违约责任；</w:t>
      </w:r>
    </w:p>
    <w:p>
      <w:pPr>
        <w:pStyle w:val="16"/>
        <w:spacing w:line="360" w:lineRule="auto"/>
        <w:ind w:firstLine="420" w:firstLineChars="200"/>
        <w:rPr>
          <w:rFonts w:hint="eastAsia" w:hAnsi="宋体" w:cs="仿宋"/>
          <w:kern w:val="44"/>
          <w:szCs w:val="22"/>
        </w:rPr>
      </w:pPr>
      <w:r>
        <w:rPr>
          <w:rFonts w:hint="eastAsia" w:hAnsi="宋体" w:cs="仿宋"/>
          <w:kern w:val="44"/>
          <w:szCs w:val="22"/>
        </w:rPr>
        <w:t>（5）安全文明施工保证措施及方法、违约责任；</w:t>
      </w:r>
    </w:p>
    <w:p>
      <w:pPr>
        <w:pStyle w:val="16"/>
        <w:spacing w:line="360" w:lineRule="auto"/>
        <w:ind w:firstLine="420" w:firstLineChars="200"/>
        <w:rPr>
          <w:rFonts w:hint="eastAsia" w:hAnsi="宋体" w:cs="仿宋"/>
          <w:kern w:val="44"/>
          <w:szCs w:val="22"/>
        </w:rPr>
      </w:pPr>
      <w:r>
        <w:rPr>
          <w:rFonts w:hint="eastAsia" w:hAnsi="宋体" w:cs="仿宋"/>
          <w:kern w:val="44"/>
          <w:szCs w:val="22"/>
        </w:rPr>
        <w:t>（6）项目的组织协调、沟通管理；</w:t>
      </w:r>
    </w:p>
    <w:p>
      <w:pPr>
        <w:pStyle w:val="16"/>
        <w:spacing w:line="360" w:lineRule="auto"/>
        <w:ind w:firstLine="420" w:firstLineChars="200"/>
        <w:rPr>
          <w:rFonts w:hint="eastAsia" w:hAnsi="宋体" w:cs="仿宋"/>
          <w:kern w:val="44"/>
          <w:szCs w:val="22"/>
        </w:rPr>
      </w:pPr>
      <w:r>
        <w:rPr>
          <w:rFonts w:hint="eastAsia" w:hAnsi="宋体" w:cs="仿宋"/>
          <w:kern w:val="44"/>
          <w:szCs w:val="22"/>
        </w:rPr>
        <w:t>（7）投入本项目的主要施工设备情况、拟配备本项目的试验和检测仪器设备情况、劳动力计划。</w:t>
      </w:r>
    </w:p>
    <w:p>
      <w:pPr>
        <w:pStyle w:val="16"/>
        <w:spacing w:line="360" w:lineRule="auto"/>
        <w:ind w:firstLine="420" w:firstLineChars="200"/>
        <w:rPr>
          <w:rFonts w:hint="eastAsia" w:hAnsi="宋体" w:cs="仿宋"/>
          <w:kern w:val="44"/>
          <w:szCs w:val="22"/>
        </w:rPr>
      </w:pPr>
      <w:r>
        <w:rPr>
          <w:rFonts w:hint="eastAsia" w:hAnsi="宋体" w:cs="仿宋"/>
          <w:kern w:val="44"/>
          <w:szCs w:val="22"/>
        </w:rPr>
        <w:t>3、施工过程中不得损坏原有设施设备，由承包人负责已完工程的保护工作，保护期间发生损坏由承包人免费修复。</w:t>
      </w:r>
    </w:p>
    <w:p>
      <w:pPr>
        <w:pStyle w:val="4"/>
        <w:spacing w:line="360" w:lineRule="auto"/>
        <w:ind w:firstLine="422"/>
        <w:rPr>
          <w:rFonts w:hint="eastAsia" w:ascii="宋体" w:hAnsi="宋体" w:eastAsia="宋体"/>
          <w:sz w:val="21"/>
          <w:szCs w:val="24"/>
        </w:rPr>
      </w:pPr>
      <w:bookmarkStart w:id="62" w:name="_Toc112656004"/>
      <w:r>
        <w:rPr>
          <w:rFonts w:hint="eastAsia" w:ascii="宋体" w:hAnsi="宋体" w:eastAsia="宋体"/>
          <w:sz w:val="21"/>
          <w:szCs w:val="24"/>
        </w:rPr>
        <w:t>八、质保要求</w:t>
      </w:r>
      <w:bookmarkEnd w:id="54"/>
      <w:bookmarkEnd w:id="62"/>
    </w:p>
    <w:p>
      <w:pPr>
        <w:pStyle w:val="79"/>
        <w:spacing w:line="360" w:lineRule="auto"/>
        <w:ind w:firstLine="480"/>
        <w:rPr>
          <w:rFonts w:hint="eastAsia" w:ascii="宋体" w:hAnsi="宋体" w:cs="仿宋"/>
          <w:szCs w:val="21"/>
        </w:rPr>
      </w:pPr>
      <w:r>
        <w:rPr>
          <w:rFonts w:hint="eastAsia" w:ascii="宋体" w:hAnsi="宋体" w:cs="仿宋"/>
          <w:szCs w:val="21"/>
        </w:rPr>
        <w:t>供应商在质量保修期内对质量缺陷进行保修，并承担保修费用，质量保修期从工程竣工验收合格之日起计算不少于2年。</w:t>
      </w:r>
    </w:p>
    <w:p>
      <w:pPr>
        <w:pStyle w:val="4"/>
        <w:spacing w:line="360" w:lineRule="auto"/>
        <w:ind w:firstLine="422"/>
        <w:rPr>
          <w:rFonts w:hint="eastAsia" w:ascii="宋体" w:hAnsi="宋体" w:eastAsia="宋体"/>
          <w:sz w:val="21"/>
          <w:szCs w:val="24"/>
        </w:rPr>
      </w:pPr>
      <w:bookmarkStart w:id="63" w:name="_Toc78549727"/>
      <w:bookmarkStart w:id="64" w:name="_Toc112656006"/>
      <w:r>
        <w:rPr>
          <w:rFonts w:hint="eastAsia"/>
          <w:sz w:val="21"/>
          <w:szCs w:val="24"/>
          <w:lang w:val="en-US" w:eastAsia="zh-CN"/>
        </w:rPr>
        <w:t>九</w:t>
      </w:r>
      <w:r>
        <w:rPr>
          <w:rFonts w:hint="eastAsia" w:ascii="宋体" w:hAnsi="宋体" w:eastAsia="宋体"/>
          <w:sz w:val="21"/>
          <w:szCs w:val="24"/>
        </w:rPr>
        <w:t>、</w:t>
      </w:r>
      <w:bookmarkEnd w:id="63"/>
      <w:r>
        <w:rPr>
          <w:rFonts w:hint="eastAsia" w:ascii="宋体" w:hAnsi="宋体" w:eastAsia="宋体"/>
          <w:sz w:val="21"/>
          <w:szCs w:val="24"/>
        </w:rPr>
        <w:t>报价要求</w:t>
      </w:r>
      <w:bookmarkEnd w:id="64"/>
    </w:p>
    <w:p>
      <w:pPr>
        <w:autoSpaceDE w:val="0"/>
        <w:autoSpaceDN w:val="0"/>
        <w:adjustRightInd w:val="0"/>
        <w:snapToGrid w:val="0"/>
        <w:spacing w:line="360" w:lineRule="auto"/>
        <w:ind w:firstLine="482"/>
        <w:jc w:val="left"/>
        <w:rPr>
          <w:rFonts w:hint="eastAsia" w:ascii="宋体" w:hAnsi="宋体" w:cs="仿宋"/>
          <w:szCs w:val="21"/>
        </w:rPr>
      </w:pPr>
      <w:r>
        <w:rPr>
          <w:rFonts w:hint="eastAsia" w:ascii="宋体" w:hAnsi="宋体" w:cs="仿宋"/>
          <w:szCs w:val="21"/>
          <w:lang w:val="en-US" w:eastAsia="zh-CN"/>
        </w:rPr>
        <w:t>1、</w:t>
      </w:r>
      <w:r>
        <w:rPr>
          <w:rFonts w:hint="eastAsia" w:ascii="宋体" w:hAnsi="宋体" w:cs="仿宋"/>
          <w:szCs w:val="21"/>
          <w:highlight w:val="none"/>
        </w:rPr>
        <w:t>本项目</w:t>
      </w:r>
      <w:r>
        <w:rPr>
          <w:rFonts w:hint="eastAsia" w:ascii="宋体" w:hAnsi="宋体" w:cs="仿宋"/>
          <w:szCs w:val="21"/>
          <w:highlight w:val="none"/>
          <w:lang w:val="en-US" w:eastAsia="zh-CN"/>
        </w:rPr>
        <w:t>预算金额： 1500000元。最高限价： 1500000元；其中，工程设计费最高限价为人民币50000元；建筑安装工程费最高限价为人民币1450000元。超过</w:t>
      </w:r>
      <w:r>
        <w:rPr>
          <w:rFonts w:hint="eastAsia" w:ascii="宋体" w:hAnsi="宋体" w:cs="仿宋"/>
          <w:szCs w:val="21"/>
          <w:lang w:val="en-US" w:eastAsia="zh-CN"/>
        </w:rPr>
        <w:t>各项最高限价作无效标处理。</w:t>
      </w:r>
    </w:p>
    <w:p>
      <w:pPr>
        <w:autoSpaceDE w:val="0"/>
        <w:autoSpaceDN w:val="0"/>
        <w:adjustRightInd w:val="0"/>
        <w:snapToGrid w:val="0"/>
        <w:spacing w:line="360" w:lineRule="auto"/>
        <w:ind w:firstLine="482"/>
        <w:jc w:val="left"/>
        <w:rPr>
          <w:rFonts w:hint="eastAsia"/>
          <w:color w:val="auto"/>
          <w:highlight w:val="none"/>
          <w:lang w:val="en-US"/>
        </w:rPr>
      </w:pPr>
      <w:r>
        <w:rPr>
          <w:rFonts w:hint="eastAsia" w:ascii="宋体" w:hAnsi="宋体" w:cs="仿宋"/>
          <w:szCs w:val="21"/>
          <w:lang w:val="en-US" w:eastAsia="zh-CN"/>
        </w:rPr>
        <w:t>2、</w:t>
      </w:r>
      <w:r>
        <w:rPr>
          <w:rFonts w:hint="eastAsia" w:ascii="宋体" w:hAnsi="宋体" w:cs="仿宋"/>
          <w:szCs w:val="21"/>
        </w:rPr>
        <w:t>投标报价是履行合同的最终价格，包括设计费、项目施工费、验收费、人工费、机械费、措施费、规费、保险费、质保期内的保修费、税费、购买及制作标书费、采购代理费、参加投标费用等一切费用，是履行合同的最终价格，其市场风险由投标人承担。</w:t>
      </w:r>
      <w:r>
        <w:rPr>
          <w:rFonts w:hint="eastAsia" w:ascii="宋体" w:hAnsi="宋体" w:cs="仿宋"/>
          <w:szCs w:val="21"/>
          <w:lang w:val="en-US"/>
        </w:rPr>
        <w:t xml:space="preserve">   </w:t>
      </w:r>
      <w:r>
        <w:rPr>
          <w:rFonts w:hint="eastAsia"/>
          <w:color w:val="auto"/>
          <w:highlight w:val="none"/>
          <w:lang w:val="en-US"/>
        </w:rPr>
        <w:br w:type="page"/>
      </w:r>
    </w:p>
    <w:p>
      <w:pPr>
        <w:pStyle w:val="3"/>
        <w:numPr>
          <w:ilvl w:val="0"/>
          <w:numId w:val="4"/>
        </w:numPr>
        <w:ind w:left="0" w:leftChars="0" w:firstLine="402" w:firstLineChars="0"/>
        <w:rPr>
          <w:rFonts w:hint="eastAsia"/>
          <w:color w:val="auto"/>
          <w:sz w:val="36"/>
          <w:szCs w:val="36"/>
          <w:lang w:val="en-US" w:eastAsia="zh-CN"/>
        </w:rPr>
      </w:pPr>
      <w:bookmarkStart w:id="65" w:name="_Toc452"/>
      <w:r>
        <w:rPr>
          <w:rFonts w:hint="eastAsia"/>
          <w:color w:val="auto"/>
          <w:sz w:val="36"/>
          <w:szCs w:val="36"/>
          <w:lang w:val="en-US" w:eastAsia="zh-CN"/>
        </w:rPr>
        <w:t>评标</w:t>
      </w:r>
      <w:bookmarkEnd w:id="65"/>
    </w:p>
    <w:p>
      <w:pPr>
        <w:keepNext w:val="0"/>
        <w:keepLines w:val="0"/>
        <w:pageBreakBefore w:val="0"/>
        <w:kinsoku/>
        <w:wordWrap/>
        <w:overflowPunct/>
        <w:topLinePunct w:val="0"/>
        <w:bidi w:val="0"/>
        <w:spacing w:line="40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一、评标方法</w:t>
      </w:r>
    </w:p>
    <w:p>
      <w:pPr>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综合评审</w:t>
      </w:r>
      <w:r>
        <w:rPr>
          <w:rFonts w:hint="eastAsia" w:ascii="宋体" w:hAnsi="宋体" w:eastAsia="宋体" w:cs="宋体"/>
          <w:color w:val="auto"/>
          <w:sz w:val="22"/>
          <w:szCs w:val="22"/>
          <w:highlight w:val="none"/>
        </w:rPr>
        <w:t>法</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rPr>
        <w:t>是指投标文件满足招标文件全部实质性要求，且按照评审因素的量化指标评审得分最高的</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为中标候选人的评标方法。</w:t>
      </w:r>
    </w:p>
    <w:p>
      <w:pPr>
        <w:keepNext w:val="0"/>
        <w:keepLines w:val="0"/>
        <w:pageBreakBefore w:val="0"/>
        <w:kinsoku/>
        <w:wordWrap/>
        <w:overflowPunct/>
        <w:topLinePunct w:val="0"/>
        <w:bidi w:val="0"/>
        <w:spacing w:line="40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二、评标原则</w:t>
      </w:r>
    </w:p>
    <w:p>
      <w:pPr>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（一）评标活动遵循公平、公正、科学和择优的原则，以招标文件和投标文件为评标的基本依据，并按照招标文件规定的评标方法和评标标准进行评标。</w:t>
      </w:r>
    </w:p>
    <w:p>
      <w:pPr>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（二）任何单位和个人不得干扰、影响评标的正常进行；评标委员会及有关工作人员应不带任何倾向性和启发性，不得向外界透露任何与评标有关的内容，不得私下与</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接触。</w:t>
      </w:r>
    </w:p>
    <w:p>
      <w:pPr>
        <w:keepNext w:val="0"/>
        <w:keepLines w:val="0"/>
        <w:pageBreakBefore w:val="0"/>
        <w:kinsoku/>
        <w:wordWrap/>
        <w:overflowPunct/>
        <w:topLinePunct w:val="0"/>
        <w:bidi w:val="0"/>
        <w:spacing w:line="40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三、评标委员会</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（一）本项目评标委员会由采购人代表和评审专家组成，成员人数为5人，其中评审专家不得少于成员总数的三分之二。</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（二）评标委员会成员与参与投标的供应商有下列情形之一的，应当回避：</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1.参加采购活动前3年内与供应商存在劳动关系；</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2.参加采购活动前3年内担任供应商的董事、监事；</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3.参加采购活动前3年内是供应商的控股股东或者实际控制人；</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4.与供应商的法定代表人或者负责人有夫妻、直系血亲、三代以内旁系血亲或者近姻亲关系；</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5.与供应商有其他可能影响政府采购活动公平、公正进行的关系。</w:t>
      </w:r>
    </w:p>
    <w:p>
      <w:pPr>
        <w:pStyle w:val="9"/>
        <w:keepNext w:val="0"/>
        <w:keepLines w:val="0"/>
        <w:pageBreakBefore w:val="0"/>
        <w:kinsoku/>
        <w:wordWrap/>
        <w:overflowPunct/>
        <w:topLinePunct w:val="0"/>
        <w:bidi w:val="0"/>
        <w:spacing w:line="400" w:lineRule="exact"/>
        <w:ind w:firstLine="442" w:firstLineChars="200"/>
        <w:textAlignment w:val="auto"/>
        <w:outlineLvl w:val="9"/>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（三）评标委员会负责具体评标事务，并独立履行下列职责：</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1.审查、评价投标文件是否符合招标文件的商务、技术等实质性要求；</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2.要求</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对投标文件有关事项作出澄清或者说明；</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3.对投标文件进行比较和评价；</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4.确定中标候选人名单，以及根据采购人委托直接确定中标人；</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5.向采购人、采购组织机构或者有关部门报告评标中发现的违法行为；</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6.法律法规规定的其他职责。</w:t>
      </w:r>
    </w:p>
    <w:p>
      <w:pPr>
        <w:keepNext w:val="0"/>
        <w:keepLines w:val="0"/>
        <w:pageBreakBefore w:val="0"/>
        <w:kinsoku/>
        <w:wordWrap/>
        <w:overflowPunct/>
        <w:topLinePunct w:val="0"/>
        <w:bidi w:val="0"/>
        <w:spacing w:line="40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四、无效标情形</w:t>
      </w:r>
    </w:p>
    <w:p>
      <w:pPr>
        <w:keepNext w:val="0"/>
        <w:keepLines w:val="0"/>
        <w:pageBreakBefore w:val="0"/>
        <w:kinsoku/>
        <w:wordWrap/>
        <w:overflowPunct/>
        <w:topLinePunct w:val="0"/>
        <w:bidi w:val="0"/>
        <w:adjustRightInd w:val="0"/>
        <w:snapToGrid w:val="0"/>
        <w:spacing w:line="400" w:lineRule="exact"/>
        <w:ind w:firstLine="440" w:firstLineChars="200"/>
        <w:textAlignment w:val="auto"/>
        <w:outlineLvl w:val="9"/>
        <w:rPr>
          <w:rFonts w:hint="eastAsia" w:ascii="宋体" w:hAnsi="宋体" w:eastAsia="宋体" w:cs="宋体"/>
          <w:b/>
          <w:bCs/>
          <w:color w:val="auto"/>
          <w:sz w:val="22"/>
          <w:szCs w:val="22"/>
          <w:highlight w:val="none"/>
        </w:rPr>
      </w:pPr>
      <w:r>
        <w:rPr>
          <w:rFonts w:hint="eastAsia" w:ascii="宋体" w:hAnsi="宋体" w:eastAsia="宋体" w:cs="宋体"/>
          <w:color w:val="auto"/>
          <w:kern w:val="0"/>
          <w:sz w:val="22"/>
          <w:szCs w:val="22"/>
          <w:highlight w:val="none"/>
        </w:rPr>
        <w:t>（一）在资格证明文件或商务与技术文件中出现投标报价的，或者报价文件中报价的货物跟商务与技术文件中的投标货物出现重大偏差的；</w:t>
      </w:r>
    </w:p>
    <w:p>
      <w:pPr>
        <w:pStyle w:val="24"/>
        <w:keepNext w:val="0"/>
        <w:keepLines w:val="0"/>
        <w:pageBreakBefore w:val="0"/>
        <w:tabs>
          <w:tab w:val="left" w:pos="7380"/>
        </w:tabs>
        <w:kinsoku/>
        <w:wordWrap/>
        <w:overflowPunct/>
        <w:topLinePunct w:val="0"/>
        <w:bidi w:val="0"/>
        <w:adjustRightInd w:val="0"/>
        <w:snapToGrid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（二）不具备招标文件中规定的资格要求的；</w:t>
      </w:r>
      <w:r>
        <w:rPr>
          <w:rFonts w:hint="eastAsia" w:ascii="宋体" w:hAnsi="宋体" w:eastAsia="宋体" w:cs="宋体"/>
          <w:color w:val="auto"/>
          <w:sz w:val="22"/>
          <w:szCs w:val="22"/>
          <w:highlight w:val="none"/>
        </w:rPr>
        <w:tab/>
      </w:r>
    </w:p>
    <w:p>
      <w:pPr>
        <w:pStyle w:val="24"/>
        <w:keepNext w:val="0"/>
        <w:keepLines w:val="0"/>
        <w:pageBreakBefore w:val="0"/>
        <w:kinsoku/>
        <w:wordWrap/>
        <w:overflowPunct/>
        <w:topLinePunct w:val="0"/>
        <w:bidi w:val="0"/>
        <w:adjustRightInd w:val="0"/>
        <w:snapToGrid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（三）投标文件含有采购人不能接受的附加条件的；</w:t>
      </w:r>
    </w:p>
    <w:p>
      <w:pPr>
        <w:pStyle w:val="11"/>
        <w:keepNext w:val="0"/>
        <w:keepLines w:val="0"/>
        <w:pageBreakBefore w:val="0"/>
        <w:kinsoku/>
        <w:wordWrap/>
        <w:overflowPunct/>
        <w:topLinePunct w:val="0"/>
        <w:bidi w:val="0"/>
        <w:spacing w:line="400" w:lineRule="exact"/>
        <w:ind w:firstLine="440" w:firstLineChars="200"/>
        <w:jc w:val="both"/>
        <w:textAlignment w:val="auto"/>
        <w:outlineLvl w:val="9"/>
        <w:rPr>
          <w:rFonts w:hint="eastAsia" w:ascii="宋体" w:hAnsi="宋体" w:eastAsia="宋体" w:cs="宋体"/>
          <w:bCs/>
          <w:color w:val="auto"/>
          <w:kern w:val="0"/>
          <w:sz w:val="22"/>
          <w:szCs w:val="22"/>
          <w:highlight w:val="none"/>
        </w:rPr>
      </w:pPr>
      <w:r>
        <w:rPr>
          <w:rFonts w:hint="eastAsia" w:ascii="宋体" w:hAnsi="宋体" w:eastAsia="宋体" w:cs="宋体"/>
          <w:color w:val="auto"/>
          <w:kern w:val="0"/>
          <w:sz w:val="22"/>
          <w:szCs w:val="22"/>
          <w:highlight w:val="none"/>
        </w:rPr>
        <w:t>（四）</w:t>
      </w:r>
      <w:r>
        <w:rPr>
          <w:rFonts w:hint="eastAsia" w:ascii="宋体" w:hAnsi="宋体" w:eastAsia="宋体" w:cs="宋体"/>
          <w:color w:val="auto"/>
          <w:sz w:val="22"/>
          <w:szCs w:val="22"/>
          <w:highlight w:val="none"/>
          <w:shd w:val="clear" w:color="auto" w:fill="FFFFFF"/>
        </w:rPr>
        <w:t>评标委员会认为</w:t>
      </w:r>
      <w:r>
        <w:rPr>
          <w:rFonts w:hint="eastAsia" w:ascii="宋体" w:hAnsi="宋体" w:eastAsia="宋体" w:cs="宋体"/>
          <w:color w:val="auto"/>
          <w:sz w:val="22"/>
          <w:szCs w:val="22"/>
          <w:highlight w:val="none"/>
          <w:shd w:val="clear" w:color="auto" w:fill="FFFFFF"/>
          <w:lang w:eastAsia="zh-CN"/>
        </w:rPr>
        <w:t>供应商</w:t>
      </w:r>
      <w:r>
        <w:rPr>
          <w:rFonts w:hint="eastAsia" w:ascii="宋体" w:hAnsi="宋体" w:eastAsia="宋体" w:cs="宋体"/>
          <w:color w:val="auto"/>
          <w:sz w:val="22"/>
          <w:szCs w:val="22"/>
          <w:highlight w:val="none"/>
          <w:shd w:val="clear" w:color="auto" w:fill="FFFFFF"/>
        </w:rPr>
        <w:t>的报价明显低于其他通过符合性审查</w:t>
      </w:r>
      <w:r>
        <w:rPr>
          <w:rFonts w:hint="eastAsia" w:ascii="宋体" w:hAnsi="宋体" w:eastAsia="宋体" w:cs="宋体"/>
          <w:color w:val="auto"/>
          <w:sz w:val="22"/>
          <w:szCs w:val="22"/>
          <w:highlight w:val="none"/>
          <w:shd w:val="clear" w:color="auto" w:fill="FFFFFF"/>
          <w:lang w:eastAsia="zh-CN"/>
        </w:rPr>
        <w:t>供应商</w:t>
      </w:r>
      <w:r>
        <w:rPr>
          <w:rFonts w:hint="eastAsia" w:ascii="宋体" w:hAnsi="宋体" w:eastAsia="宋体" w:cs="宋体"/>
          <w:color w:val="auto"/>
          <w:sz w:val="22"/>
          <w:szCs w:val="22"/>
          <w:highlight w:val="none"/>
          <w:shd w:val="clear" w:color="auto" w:fill="FFFFFF"/>
        </w:rPr>
        <w:t>的报价，有可能影响产品质量或者不能诚信履约的，</w:t>
      </w:r>
      <w:r>
        <w:rPr>
          <w:rFonts w:hint="eastAsia" w:ascii="宋体" w:hAnsi="宋体" w:eastAsia="宋体" w:cs="宋体"/>
          <w:color w:val="auto"/>
          <w:sz w:val="22"/>
          <w:szCs w:val="22"/>
          <w:highlight w:val="none"/>
          <w:shd w:val="clear" w:color="auto" w:fill="FFFFFF"/>
          <w:lang w:eastAsia="zh-CN"/>
        </w:rPr>
        <w:t>供应商</w:t>
      </w:r>
      <w:r>
        <w:rPr>
          <w:rFonts w:hint="eastAsia" w:ascii="宋体" w:hAnsi="宋体" w:eastAsia="宋体" w:cs="宋体"/>
          <w:color w:val="auto"/>
          <w:sz w:val="22"/>
          <w:szCs w:val="22"/>
          <w:highlight w:val="none"/>
          <w:shd w:val="clear" w:color="auto" w:fill="FFFFFF"/>
        </w:rPr>
        <w:t>在限定的时间内不能证明其报价合理性的，评标委员会应当将其作为无效投标处理；</w:t>
      </w:r>
    </w:p>
    <w:p>
      <w:pPr>
        <w:keepNext w:val="0"/>
        <w:keepLines w:val="0"/>
        <w:pageBreakBefore w:val="0"/>
        <w:kinsoku/>
        <w:wordWrap/>
        <w:overflowPunct/>
        <w:topLinePunct w:val="0"/>
        <w:bidi w:val="0"/>
        <w:adjustRightInd w:val="0"/>
        <w:snapToGrid w:val="0"/>
        <w:spacing w:line="400" w:lineRule="exact"/>
        <w:ind w:firstLine="440" w:firstLineChars="200"/>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（五）报价超过招标文件中规定的预算金额/最高限价或未填写投标报价的； </w:t>
      </w:r>
    </w:p>
    <w:p>
      <w:pPr>
        <w:keepNext w:val="0"/>
        <w:keepLines w:val="0"/>
        <w:pageBreakBefore w:val="0"/>
        <w:tabs>
          <w:tab w:val="left" w:pos="1898"/>
        </w:tabs>
        <w:kinsoku/>
        <w:wordWrap/>
        <w:overflowPunct/>
        <w:topLinePunct w:val="0"/>
        <w:autoSpaceDE w:val="0"/>
        <w:autoSpaceDN w:val="0"/>
        <w:bidi w:val="0"/>
        <w:adjustRightInd w:val="0"/>
        <w:snapToGrid w:val="0"/>
        <w:spacing w:line="400" w:lineRule="exact"/>
        <w:ind w:firstLine="440" w:firstLineChars="200"/>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（六）投标文件存在虚假材料的； </w:t>
      </w:r>
    </w:p>
    <w:p>
      <w:pPr>
        <w:keepNext w:val="0"/>
        <w:keepLines w:val="0"/>
        <w:pageBreakBefore w:val="0"/>
        <w:tabs>
          <w:tab w:val="left" w:pos="1898"/>
        </w:tabs>
        <w:kinsoku/>
        <w:wordWrap/>
        <w:overflowPunct/>
        <w:topLinePunct w:val="0"/>
        <w:autoSpaceDE w:val="0"/>
        <w:autoSpaceDN w:val="0"/>
        <w:bidi w:val="0"/>
        <w:adjustRightInd w:val="0"/>
        <w:snapToGrid w:val="0"/>
        <w:spacing w:line="400" w:lineRule="exact"/>
        <w:ind w:firstLine="440" w:firstLineChars="200"/>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（七）有中华人民共和国财政部令第87号《政府采购货物和服务招标投标管理办法》第三十七条情形之一的，视为</w:t>
      </w:r>
      <w:r>
        <w:rPr>
          <w:rFonts w:hint="eastAsia" w:ascii="宋体" w:hAnsi="宋体" w:eastAsia="宋体" w:cs="宋体"/>
          <w:color w:val="auto"/>
          <w:kern w:val="0"/>
          <w:sz w:val="22"/>
          <w:szCs w:val="22"/>
          <w:highlight w:val="none"/>
          <w:lang w:eastAsia="zh-CN"/>
        </w:rPr>
        <w:t>供应商</w:t>
      </w:r>
      <w:r>
        <w:rPr>
          <w:rFonts w:hint="eastAsia" w:ascii="宋体" w:hAnsi="宋体" w:eastAsia="宋体" w:cs="宋体"/>
          <w:color w:val="auto"/>
          <w:kern w:val="0"/>
          <w:sz w:val="22"/>
          <w:szCs w:val="22"/>
          <w:highlight w:val="none"/>
        </w:rPr>
        <w:t>串通投标，其投标无效，并移送采购监管部门：</w:t>
      </w:r>
    </w:p>
    <w:p>
      <w:pPr>
        <w:keepNext w:val="0"/>
        <w:keepLines w:val="0"/>
        <w:pageBreakBefore w:val="0"/>
        <w:tabs>
          <w:tab w:val="left" w:pos="1898"/>
        </w:tabs>
        <w:kinsoku/>
        <w:wordWrap/>
        <w:overflowPunct/>
        <w:topLinePunct w:val="0"/>
        <w:autoSpaceDE w:val="0"/>
        <w:autoSpaceDN w:val="0"/>
        <w:bidi w:val="0"/>
        <w:adjustRightInd w:val="0"/>
        <w:snapToGrid w:val="0"/>
        <w:spacing w:line="400" w:lineRule="exact"/>
        <w:ind w:firstLine="440" w:firstLineChars="200"/>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cs="宋体"/>
          <w:color w:val="auto"/>
          <w:sz w:val="22"/>
          <w:szCs w:val="22"/>
          <w:highlight w:val="none"/>
          <w:lang w:val="en-US" w:eastAsia="zh-CN"/>
        </w:rPr>
        <w:t>.</w:t>
      </w:r>
      <w:r>
        <w:rPr>
          <w:rFonts w:hint="eastAsia" w:ascii="宋体" w:hAnsi="宋体" w:eastAsia="宋体" w:cs="宋体"/>
          <w:color w:val="auto"/>
          <w:sz w:val="22"/>
          <w:szCs w:val="22"/>
          <w:highlight w:val="none"/>
        </w:rPr>
        <w:t>不同</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的投标文件由同一单位或者个人编制；</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r>
        <w:rPr>
          <w:rFonts w:hint="eastAsia" w:cs="宋体"/>
          <w:color w:val="auto"/>
          <w:sz w:val="22"/>
          <w:szCs w:val="22"/>
          <w:highlight w:val="none"/>
          <w:lang w:val="en-US" w:eastAsia="zh-CN"/>
        </w:rPr>
        <w:t>.</w:t>
      </w:r>
      <w:r>
        <w:rPr>
          <w:rFonts w:hint="eastAsia" w:ascii="宋体" w:hAnsi="宋体" w:eastAsia="宋体" w:cs="宋体"/>
          <w:color w:val="auto"/>
          <w:sz w:val="22"/>
          <w:szCs w:val="22"/>
          <w:highlight w:val="none"/>
        </w:rPr>
        <w:t>不同</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委托同一单位或者个人办理投标事宜；</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cs="宋体"/>
          <w:color w:val="auto"/>
          <w:sz w:val="22"/>
          <w:szCs w:val="22"/>
          <w:highlight w:val="none"/>
          <w:lang w:val="en-US" w:eastAsia="zh-CN"/>
        </w:rPr>
        <w:t>.</w:t>
      </w:r>
      <w:r>
        <w:rPr>
          <w:rFonts w:hint="eastAsia" w:ascii="宋体" w:hAnsi="宋体" w:eastAsia="宋体" w:cs="宋体"/>
          <w:color w:val="auto"/>
          <w:sz w:val="22"/>
          <w:szCs w:val="22"/>
          <w:highlight w:val="none"/>
        </w:rPr>
        <w:t>不同</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的投标文件载明的项目管理成员或者联系人员为同一人；</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r>
        <w:rPr>
          <w:rFonts w:hint="eastAsia" w:cs="宋体"/>
          <w:color w:val="auto"/>
          <w:sz w:val="22"/>
          <w:szCs w:val="22"/>
          <w:highlight w:val="none"/>
          <w:lang w:val="en-US" w:eastAsia="zh-CN"/>
        </w:rPr>
        <w:t>.</w:t>
      </w:r>
      <w:r>
        <w:rPr>
          <w:rFonts w:hint="eastAsia" w:ascii="宋体" w:hAnsi="宋体" w:eastAsia="宋体" w:cs="宋体"/>
          <w:color w:val="auto"/>
          <w:sz w:val="22"/>
          <w:szCs w:val="22"/>
          <w:highlight w:val="none"/>
        </w:rPr>
        <w:t>不同</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的投标文件异常一致或者投标报价呈规律性差异；</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shd w:val="clear" w:color="auto" w:fill="FFFFFF"/>
        </w:rPr>
        <w:t>5</w:t>
      </w:r>
      <w:r>
        <w:rPr>
          <w:rFonts w:hint="eastAsia" w:cs="宋体"/>
          <w:color w:val="auto"/>
          <w:sz w:val="22"/>
          <w:szCs w:val="22"/>
          <w:highlight w:val="none"/>
          <w:shd w:val="clear" w:color="auto" w:fill="FFFFFF"/>
          <w:lang w:val="en-US" w:eastAsia="zh-CN"/>
        </w:rPr>
        <w:t>.</w:t>
      </w:r>
      <w:r>
        <w:rPr>
          <w:rFonts w:hint="eastAsia" w:ascii="宋体" w:hAnsi="宋体" w:eastAsia="宋体" w:cs="宋体"/>
          <w:color w:val="auto"/>
          <w:sz w:val="22"/>
          <w:szCs w:val="22"/>
          <w:highlight w:val="none"/>
          <w:shd w:val="clear" w:color="auto" w:fill="FFFFFF"/>
        </w:rPr>
        <w:t>不同</w:t>
      </w:r>
      <w:r>
        <w:rPr>
          <w:rFonts w:hint="eastAsia" w:ascii="宋体" w:hAnsi="宋体" w:eastAsia="宋体" w:cs="宋体"/>
          <w:color w:val="auto"/>
          <w:sz w:val="22"/>
          <w:szCs w:val="22"/>
          <w:highlight w:val="none"/>
          <w:shd w:val="clear" w:color="auto" w:fill="FFFFFF"/>
          <w:lang w:eastAsia="zh-CN"/>
        </w:rPr>
        <w:t>供应商</w:t>
      </w:r>
      <w:r>
        <w:rPr>
          <w:rFonts w:hint="eastAsia" w:ascii="宋体" w:hAnsi="宋体" w:eastAsia="宋体" w:cs="宋体"/>
          <w:color w:val="auto"/>
          <w:sz w:val="22"/>
          <w:szCs w:val="22"/>
          <w:highlight w:val="none"/>
          <w:shd w:val="clear" w:color="auto" w:fill="FFFFFF"/>
        </w:rPr>
        <w:t>的投标文件相互混装；</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（八）实质性要求（招标文件中打“▲”内容）不响应的；</w:t>
      </w:r>
    </w:p>
    <w:p>
      <w:pPr>
        <w:pStyle w:val="9"/>
        <w:keepNext w:val="0"/>
        <w:keepLines w:val="0"/>
        <w:pageBreakBefore w:val="0"/>
        <w:kinsoku/>
        <w:wordWrap/>
        <w:overflowPunct/>
        <w:topLinePunct w:val="0"/>
        <w:bidi w:val="0"/>
        <w:spacing w:line="400" w:lineRule="exact"/>
        <w:ind w:firstLine="440" w:firstLineChars="200"/>
        <w:textAlignment w:val="auto"/>
        <w:outlineLvl w:val="9"/>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（九）商务条款不响应的；</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（十）投标文件有效期不足的；</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（十一）逾期或未按要求提交投标文件的；</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（十二）未按要求提供资格证明文件的；</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（十</w:t>
      </w:r>
      <w:r>
        <w:rPr>
          <w:rFonts w:hint="eastAsia" w:ascii="宋体" w:hAnsi="宋体" w:eastAsia="宋体" w:cs="宋体"/>
          <w:color w:val="auto"/>
          <w:sz w:val="22"/>
          <w:szCs w:val="22"/>
          <w:highlight w:val="none"/>
          <w:lang w:eastAsia="zh-CN"/>
        </w:rPr>
        <w:t>三</w:t>
      </w:r>
      <w:r>
        <w:rPr>
          <w:rFonts w:hint="eastAsia" w:ascii="宋体" w:hAnsi="宋体" w:eastAsia="宋体" w:cs="宋体"/>
          <w:color w:val="auto"/>
          <w:sz w:val="22"/>
          <w:szCs w:val="22"/>
          <w:highlight w:val="none"/>
        </w:rPr>
        <w:t>）其他不符合法律法规相关规定的。</w:t>
      </w:r>
    </w:p>
    <w:p>
      <w:pPr>
        <w:keepNext w:val="0"/>
        <w:keepLines w:val="0"/>
        <w:pageBreakBefore w:val="0"/>
        <w:kinsoku/>
        <w:wordWrap/>
        <w:overflowPunct/>
        <w:topLinePunct w:val="0"/>
        <w:bidi w:val="0"/>
        <w:spacing w:line="40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五、废标情形</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（一）出现影响采购公正的违法、违规行为的；</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（二）评标委员会发现招标文件存在歧义、重大缺陷导致评标工作无法进行，或者招标文件内容违反国家有关强制性规定的；</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（三）因重大变故，采购任务取消的；</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（四）法律、法规和招标文件规定的其他导致评标结果无效的。</w:t>
      </w:r>
    </w:p>
    <w:p>
      <w:pPr>
        <w:keepNext w:val="0"/>
        <w:keepLines w:val="0"/>
        <w:pageBreakBefore w:val="0"/>
        <w:kinsoku/>
        <w:wordWrap/>
        <w:overflowPunct/>
        <w:topLinePunct w:val="0"/>
        <w:bidi w:val="0"/>
        <w:spacing w:line="40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六、评标过程的监控</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本项目评标过程实行全程录音、录像监控，政府采购监管部门视情进行现场监督，</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在评标过程中所进行的试图影响评标结果的不公正活动，可能导致其投标被拒绝。</w:t>
      </w:r>
    </w:p>
    <w:p>
      <w:pPr>
        <w:keepNext w:val="0"/>
        <w:keepLines w:val="0"/>
        <w:pageBreakBefore w:val="0"/>
        <w:kinsoku/>
        <w:wordWrap/>
        <w:overflowPunct/>
        <w:topLinePunct w:val="0"/>
        <w:bidi w:val="0"/>
        <w:spacing w:line="40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七、政府采购政策落实</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本项目专门面向中小企业，不再享受相应的小微企业优惠政策进行价格扣除</w:t>
      </w:r>
      <w:r>
        <w:rPr>
          <w:rFonts w:hint="eastAsia" w:ascii="宋体" w:hAnsi="宋体" w:eastAsia="宋体" w:cs="宋体"/>
          <w:color w:val="auto"/>
          <w:sz w:val="22"/>
          <w:szCs w:val="22"/>
          <w:highlight w:val="none"/>
          <w:lang w:eastAsia="zh-CN"/>
        </w:rPr>
        <w:t>。</w:t>
      </w:r>
    </w:p>
    <w:p>
      <w:pPr>
        <w:keepNext w:val="0"/>
        <w:keepLines w:val="0"/>
        <w:pageBreakBefore w:val="0"/>
        <w:kinsoku/>
        <w:wordWrap/>
        <w:overflowPunct/>
        <w:topLinePunct w:val="0"/>
        <w:bidi w:val="0"/>
        <w:spacing w:line="400" w:lineRule="exact"/>
        <w:ind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八、评标程序</w:t>
      </w:r>
    </w:p>
    <w:p>
      <w:pPr>
        <w:keepNext w:val="0"/>
        <w:keepLines w:val="0"/>
        <w:pageBreakBefore w:val="0"/>
        <w:kinsoku/>
        <w:wordWrap/>
        <w:overflowPunct/>
        <w:topLinePunct w:val="0"/>
        <w:bidi w:val="0"/>
        <w:snapToGrid w:val="0"/>
        <w:spacing w:line="400" w:lineRule="exact"/>
        <w:ind w:firstLine="442" w:firstLineChars="200"/>
        <w:textAlignment w:val="auto"/>
        <w:outlineLvl w:val="9"/>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（一）资格性审查</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投标文件解密后，采购人或采购组织机构依法对</w:t>
      </w:r>
      <w:r>
        <w:rPr>
          <w:rFonts w:hint="eastAsia" w:ascii="宋体" w:hAnsi="宋体" w:eastAsia="宋体" w:cs="宋体"/>
          <w:color w:val="auto"/>
          <w:sz w:val="22"/>
          <w:szCs w:val="22"/>
          <w:highlight w:val="none"/>
          <w:lang w:val="zh-CN" w:eastAsia="zh-CN"/>
        </w:rPr>
        <w:t>供应商</w:t>
      </w:r>
      <w:r>
        <w:rPr>
          <w:rFonts w:hint="eastAsia" w:ascii="宋体" w:hAnsi="宋体" w:eastAsia="宋体" w:cs="宋体"/>
          <w:color w:val="auto"/>
          <w:sz w:val="22"/>
          <w:szCs w:val="22"/>
          <w:highlight w:val="none"/>
          <w:lang w:val="zh-CN"/>
        </w:rPr>
        <w:t>的资格进行审查，对审查发现无效的进行必要的询标，在政采云平台公布无效投标的</w:t>
      </w:r>
      <w:r>
        <w:rPr>
          <w:rFonts w:hint="eastAsia" w:ascii="宋体" w:hAnsi="宋体" w:eastAsia="宋体" w:cs="宋体"/>
          <w:color w:val="auto"/>
          <w:sz w:val="22"/>
          <w:szCs w:val="22"/>
          <w:highlight w:val="none"/>
          <w:lang w:val="zh-CN" w:eastAsia="zh-CN"/>
        </w:rPr>
        <w:t>供应商</w:t>
      </w:r>
      <w:r>
        <w:rPr>
          <w:rFonts w:hint="eastAsia" w:ascii="宋体" w:hAnsi="宋体" w:eastAsia="宋体" w:cs="宋体"/>
          <w:color w:val="auto"/>
          <w:sz w:val="22"/>
          <w:szCs w:val="22"/>
          <w:highlight w:val="none"/>
          <w:lang w:val="zh-CN"/>
        </w:rPr>
        <w:t>名单、投标无效的原因。</w:t>
      </w:r>
    </w:p>
    <w:tbl>
      <w:tblPr>
        <w:tblStyle w:val="27"/>
        <w:tblW w:w="91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174"/>
        <w:gridCol w:w="70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74" w:type="dxa"/>
            <w:tcBorders>
              <w:top w:val="single" w:color="auto" w:sz="12" w:space="0"/>
              <w:lef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rPr>
            </w:pPr>
            <w:r>
              <w:rPr>
                <w:rFonts w:hint="eastAsia"/>
              </w:rPr>
              <w:t>具有独立承担民事责任的能力</w:t>
            </w:r>
          </w:p>
        </w:tc>
        <w:tc>
          <w:tcPr>
            <w:tcW w:w="7015" w:type="dxa"/>
            <w:tcBorders>
              <w:top w:val="single" w:color="auto" w:sz="12" w:space="0"/>
              <w:righ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在中华人民共和国境内注册的法人或其他组织或自然人，投标时提交有效的营业执照（或事业法人登记证或身份证等相关证明）副本扫描件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2174" w:type="dxa"/>
            <w:tcBorders>
              <w:lef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rPr>
            </w:pPr>
            <w:r>
              <w:rPr>
                <w:rFonts w:hint="eastAsia"/>
              </w:rPr>
              <w:t>具有良好的商业信誉和健全的财务会计制度</w:t>
            </w:r>
          </w:p>
        </w:tc>
        <w:tc>
          <w:tcPr>
            <w:tcW w:w="7015" w:type="dxa"/>
            <w:tcBorders>
              <w:righ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出具“具有良好的商业信誉和健全的财务会计制度”的《承诺函》</w:t>
            </w:r>
            <w:r>
              <w:rPr>
                <w:rFonts w:hint="eastAsia"/>
                <w:lang w:eastAsia="zh-CN"/>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74" w:type="dxa"/>
            <w:tcBorders>
              <w:lef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rPr>
            </w:pPr>
            <w:r>
              <w:rPr>
                <w:rFonts w:hint="eastAsia"/>
              </w:rPr>
              <w:t>履行合同所必需的设备和专业技术能力</w:t>
            </w:r>
          </w:p>
        </w:tc>
        <w:tc>
          <w:tcPr>
            <w:tcW w:w="7015" w:type="dxa"/>
            <w:tcBorders>
              <w:righ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出具“具有履行合同所必需的设备和专业技术能力”的《承诺函》</w:t>
            </w:r>
            <w:r>
              <w:rPr>
                <w:rFonts w:hint="eastAsia"/>
                <w:lang w:eastAsia="zh-CN"/>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74" w:type="dxa"/>
            <w:tcBorders>
              <w:lef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rPr>
            </w:pPr>
            <w:r>
              <w:rPr>
                <w:rFonts w:hint="eastAsia"/>
              </w:rPr>
              <w:t>有依法缴纳税收和社会保障资金的良好记录</w:t>
            </w:r>
          </w:p>
        </w:tc>
        <w:tc>
          <w:tcPr>
            <w:tcW w:w="7015" w:type="dxa"/>
            <w:tcBorders>
              <w:righ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出具“具有有依法缴纳税收和社会保障资金的良好记录”的《承诺函》</w:t>
            </w:r>
            <w:r>
              <w:rPr>
                <w:rFonts w:hint="eastAsia"/>
                <w:lang w:eastAsia="zh-CN"/>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74" w:type="dxa"/>
            <w:tcBorders>
              <w:lef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rPr>
            </w:pPr>
            <w:r>
              <w:rPr>
                <w:rFonts w:hint="eastAsia"/>
              </w:rPr>
              <w:t>参加采购活动前3年内，在经营活动中没有重大违法记录</w:t>
            </w:r>
          </w:p>
        </w:tc>
        <w:tc>
          <w:tcPr>
            <w:tcW w:w="7015" w:type="dxa"/>
            <w:tcBorders>
              <w:righ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出具“参加政府采购活动前三年内，在经营活动中没有重大违法记录”的《承诺函》</w:t>
            </w:r>
            <w:r>
              <w:rPr>
                <w:rFonts w:hint="eastAsia"/>
                <w:lang w:eastAsia="zh-CN"/>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74" w:type="dxa"/>
            <w:tcBorders>
              <w:lef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rPr>
            </w:pPr>
            <w:r>
              <w:rPr>
                <w:rFonts w:hint="eastAsia"/>
              </w:rPr>
              <w:t>信用记录</w:t>
            </w:r>
          </w:p>
        </w:tc>
        <w:tc>
          <w:tcPr>
            <w:tcW w:w="7015" w:type="dxa"/>
            <w:tcBorders>
              <w:righ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1.截止时点：开标后评标前。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2.信用信息查询记录和证据留存的具体方式：由采购组织机构在规定查询时间内打印信用信息查询记录并归入项目档案。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3.使用规则：</w:t>
            </w:r>
            <w:r>
              <w:rPr>
                <w:rFonts w:hint="eastAsia"/>
                <w:lang w:eastAsia="zh-CN"/>
              </w:rPr>
              <w:t>供应商</w:t>
            </w:r>
            <w:r>
              <w:rPr>
                <w:rFonts w:hint="eastAsia"/>
              </w:rPr>
              <w:t>未被列入“信用中国”失信被执行人或重大税收违法案件当事人名单；未处于“中国政府采购网”政府采购严重违法失信行为信息记录中的禁止参加政府采购活动期间。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74" w:type="dxa"/>
            <w:tcBorders>
              <w:lef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rPr>
            </w:pPr>
            <w:r>
              <w:rPr>
                <w:rFonts w:hint="eastAsia"/>
              </w:rPr>
              <w:t>必须符合法律、行政法规规定的其他条件</w:t>
            </w:r>
          </w:p>
        </w:tc>
        <w:tc>
          <w:tcPr>
            <w:tcW w:w="7015" w:type="dxa"/>
            <w:tcBorders>
              <w:righ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pPr>
            <w:r>
              <w:rPr>
                <w:rFonts w:hint="eastAsia"/>
              </w:rPr>
              <w:t>1.单位负责人为同一人或者存在直接控股、管理关系的不同供应商，不得同时参加本项目投标。</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2.为本项目提供整体设计、规范编制或者项目管理、监理、检测等服务的供应商，不得再参与本项目投标。</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3.电子交易平台运营机构，以及与该机构有直接控股或者管理关系可能影响采购公正性的任何单位和个人，不得在该平台进行的政府采购项目电子交易中投标、响应和代理政府采购项目。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lang w:val="en-US" w:eastAsia="zh-CN"/>
              </w:rPr>
              <w:t>4</w:t>
            </w:r>
            <w:r>
              <w:rPr>
                <w:rFonts w:hint="eastAsia"/>
              </w:rPr>
              <w:t>.投标（报价）文件相关承诺要求内容。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74" w:type="dxa"/>
            <w:tcBorders>
              <w:lef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rPr>
            </w:pPr>
            <w:r>
              <w:rPr>
                <w:rFonts w:hint="eastAsia"/>
              </w:rPr>
              <w:t>联合体投标</w:t>
            </w:r>
          </w:p>
        </w:tc>
        <w:tc>
          <w:tcPr>
            <w:tcW w:w="7015" w:type="dxa"/>
            <w:tcBorders>
              <w:righ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rPr>
              <w:t>本项目接受联合体投标。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74" w:type="dxa"/>
            <w:tcBorders>
              <w:lef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rPr>
            </w:pPr>
            <w:r>
              <w:rPr>
                <w:rFonts w:hint="eastAsia"/>
              </w:rPr>
              <w:t>本项目的特定资格要求</w:t>
            </w:r>
          </w:p>
        </w:tc>
        <w:tc>
          <w:tcPr>
            <w:tcW w:w="7015" w:type="dxa"/>
            <w:tcBorders>
              <w:righ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lang w:val="en-US" w:eastAsia="zh-CN"/>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74" w:type="dxa"/>
            <w:tcBorders>
              <w:left w:val="single" w:color="auto" w:sz="12" w:space="0"/>
              <w:bottom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rPr>
            </w:pPr>
            <w:r>
              <w:rPr>
                <w:rFonts w:hint="eastAsia"/>
                <w:lang w:val="en-US" w:eastAsia="zh-CN"/>
              </w:rPr>
              <w:t>落实政府采购政策需满足的资格要求</w:t>
            </w:r>
          </w:p>
        </w:tc>
        <w:tc>
          <w:tcPr>
            <w:tcW w:w="7015" w:type="dxa"/>
            <w:tcBorders>
              <w:bottom w:val="single" w:color="auto" w:sz="12" w:space="0"/>
              <w:right w:val="single" w:color="auto" w:sz="12"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rPr>
            </w:pPr>
            <w:r>
              <w:rPr>
                <w:rFonts w:hint="eastAsia"/>
                <w:lang w:val="en-US" w:eastAsia="zh-CN"/>
              </w:rPr>
              <w:t>本项目专门针对中小企业采购项目</w:t>
            </w:r>
          </w:p>
        </w:tc>
      </w:tr>
    </w:tbl>
    <w:p>
      <w:pPr>
        <w:keepNext w:val="0"/>
        <w:keepLines w:val="0"/>
        <w:pageBreakBefore w:val="0"/>
        <w:kinsoku/>
        <w:wordWrap/>
        <w:overflowPunct/>
        <w:topLinePunct w:val="0"/>
        <w:bidi w:val="0"/>
        <w:snapToGrid w:val="0"/>
        <w:spacing w:line="400" w:lineRule="exact"/>
        <w:ind w:firstLine="442" w:firstLineChars="200"/>
        <w:textAlignment w:val="auto"/>
        <w:outlineLvl w:val="9"/>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（二）符合性审查</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评标委员会应当对符合资格的</w:t>
      </w:r>
      <w:r>
        <w:rPr>
          <w:rFonts w:hint="eastAsia" w:ascii="宋体" w:hAnsi="宋体" w:eastAsia="宋体" w:cs="宋体"/>
          <w:color w:val="auto"/>
          <w:sz w:val="22"/>
          <w:szCs w:val="22"/>
          <w:highlight w:val="none"/>
          <w:lang w:val="zh-CN" w:eastAsia="zh-CN"/>
        </w:rPr>
        <w:t>供应商</w:t>
      </w:r>
      <w:r>
        <w:rPr>
          <w:rFonts w:hint="eastAsia" w:ascii="宋体" w:hAnsi="宋体" w:eastAsia="宋体" w:cs="宋体"/>
          <w:color w:val="auto"/>
          <w:sz w:val="22"/>
          <w:szCs w:val="22"/>
          <w:highlight w:val="none"/>
          <w:lang w:val="zh-CN"/>
        </w:rPr>
        <w:t>的投标文件进行符合性审查，以确定其是否满足招标文件的实质性要求，对审查发现无效的进行必要的询标，在政采云平台公布无效投标的</w:t>
      </w:r>
      <w:r>
        <w:rPr>
          <w:rFonts w:hint="eastAsia" w:ascii="宋体" w:hAnsi="宋体" w:eastAsia="宋体" w:cs="宋体"/>
          <w:color w:val="auto"/>
          <w:sz w:val="22"/>
          <w:szCs w:val="22"/>
          <w:highlight w:val="none"/>
          <w:lang w:val="zh-CN" w:eastAsia="zh-CN"/>
        </w:rPr>
        <w:t>供应商</w:t>
      </w:r>
      <w:r>
        <w:rPr>
          <w:rFonts w:hint="eastAsia" w:ascii="宋体" w:hAnsi="宋体" w:eastAsia="宋体" w:cs="宋体"/>
          <w:color w:val="auto"/>
          <w:sz w:val="22"/>
          <w:szCs w:val="22"/>
          <w:highlight w:val="none"/>
          <w:lang w:val="zh-CN"/>
        </w:rPr>
        <w:t>名单、投标无效的原因。</w:t>
      </w:r>
    </w:p>
    <w:tbl>
      <w:tblPr>
        <w:tblStyle w:val="27"/>
        <w:tblW w:w="91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2183"/>
        <w:gridCol w:w="699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83"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Times New Roman" w:hAnsi="Times New Roman" w:eastAsia="宋体" w:cs="Times New Roman"/>
              </w:rPr>
            </w:pPr>
            <w:r>
              <w:rPr>
                <w:rFonts w:hint="eastAsia" w:ascii="Times New Roman" w:hAnsi="Times New Roman" w:eastAsia="宋体" w:cs="Times New Roman"/>
              </w:rPr>
              <w:t>投标文件</w:t>
            </w:r>
          </w:p>
        </w:tc>
        <w:tc>
          <w:tcPr>
            <w:tcW w:w="6995"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ascii="Times New Roman" w:hAnsi="Times New Roman" w:eastAsia="宋体" w:cs="Times New Roman"/>
              </w:rPr>
            </w:pPr>
            <w:r>
              <w:rPr>
                <w:rFonts w:hint="eastAsia" w:ascii="Times New Roman" w:hAnsi="Times New Roman" w:eastAsia="宋体" w:cs="Times New Roman"/>
              </w:rPr>
              <w:t>投标文件完整且编排有序，投标内容基本完整，无重大错漏，并按要求签署、盖章。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655" w:hRule="atLeast"/>
          <w:jc w:val="center"/>
        </w:trPr>
        <w:tc>
          <w:tcPr>
            <w:tcW w:w="2183"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Times New Roman" w:hAnsi="Times New Roman" w:eastAsia="宋体" w:cs="Times New Roman"/>
              </w:rPr>
            </w:pPr>
            <w:r>
              <w:rPr>
                <w:rFonts w:hint="eastAsia" w:ascii="Times New Roman" w:hAnsi="Times New Roman" w:eastAsia="宋体" w:cs="Times New Roman"/>
              </w:rPr>
              <w:t>法定代表人/负责人资格证明书及授权委托书</w:t>
            </w:r>
          </w:p>
        </w:tc>
        <w:tc>
          <w:tcPr>
            <w:tcW w:w="6995"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ascii="Times New Roman" w:hAnsi="Times New Roman" w:eastAsia="宋体" w:cs="Times New Roman"/>
              </w:rPr>
            </w:pPr>
            <w:r>
              <w:rPr>
                <w:rFonts w:hint="eastAsia" w:ascii="Times New Roman" w:hAnsi="Times New Roman" w:eastAsia="宋体" w:cs="Times New Roman"/>
              </w:rPr>
              <w:t>法定代表人/负责人资格证明书及授权委托书，按对应格式文件签署、盖章。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30" w:hRule="atLeast"/>
          <w:jc w:val="center"/>
        </w:trPr>
        <w:tc>
          <w:tcPr>
            <w:tcW w:w="2183"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Times New Roman" w:hAnsi="Times New Roman" w:eastAsia="宋体" w:cs="Times New Roman"/>
              </w:rPr>
            </w:pPr>
            <w:r>
              <w:rPr>
                <w:rFonts w:hint="eastAsia" w:ascii="Times New Roman" w:hAnsi="Times New Roman" w:eastAsia="宋体" w:cs="Times New Roman"/>
              </w:rPr>
              <w:t>“▲”实质性条款</w:t>
            </w:r>
          </w:p>
        </w:tc>
        <w:tc>
          <w:tcPr>
            <w:tcW w:w="6995"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ascii="Times New Roman" w:hAnsi="Times New Roman" w:eastAsia="宋体" w:cs="Times New Roman"/>
              </w:rPr>
            </w:pPr>
            <w:r>
              <w:rPr>
                <w:rFonts w:hint="eastAsia" w:ascii="Times New Roman" w:hAnsi="Times New Roman" w:eastAsia="宋体" w:cs="Times New Roman"/>
              </w:rPr>
              <w:t>“▲”实质性条款必须满足招标文件要求。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183"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Times New Roman" w:hAnsi="Times New Roman" w:eastAsia="宋体" w:cs="Times New Roman"/>
              </w:rPr>
            </w:pPr>
            <w:r>
              <w:rPr>
                <w:rFonts w:hint="eastAsia" w:ascii="Times New Roman" w:hAnsi="Times New Roman" w:eastAsia="宋体" w:cs="Times New Roman"/>
              </w:rPr>
              <w:t>串通投标</w:t>
            </w:r>
          </w:p>
        </w:tc>
        <w:tc>
          <w:tcPr>
            <w:tcW w:w="6995"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ascii="Times New Roman" w:hAnsi="Times New Roman" w:eastAsia="宋体" w:cs="Times New Roman"/>
              </w:rPr>
            </w:pPr>
            <w:r>
              <w:rPr>
                <w:rFonts w:hint="eastAsia" w:ascii="Times New Roman" w:hAnsi="Times New Roman" w:eastAsia="宋体" w:cs="Times New Roman"/>
              </w:rPr>
              <w:t>未出现财政部87号令《政府采购货物和服务招标投标管理办法》第三十七条规定的串通投标情形。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2183"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Times New Roman" w:hAnsi="Times New Roman" w:eastAsia="宋体" w:cs="Times New Roman"/>
              </w:rPr>
            </w:pPr>
            <w:r>
              <w:rPr>
                <w:rFonts w:hint="eastAsia" w:ascii="Times New Roman" w:hAnsi="Times New Roman" w:eastAsia="宋体" w:cs="Times New Roman"/>
              </w:rPr>
              <w:t>附加条件</w:t>
            </w:r>
          </w:p>
        </w:tc>
        <w:tc>
          <w:tcPr>
            <w:tcW w:w="6995"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210" w:firstLineChars="100"/>
              <w:textAlignment w:val="auto"/>
              <w:rPr>
                <w:rFonts w:hint="eastAsia" w:ascii="Times New Roman" w:hAnsi="Times New Roman" w:eastAsia="宋体" w:cs="Times New Roman"/>
              </w:rPr>
            </w:pPr>
            <w:r>
              <w:rPr>
                <w:rFonts w:hint="eastAsia" w:ascii="Times New Roman" w:hAnsi="Times New Roman" w:eastAsia="宋体" w:cs="Times New Roman"/>
              </w:rPr>
              <w:t>投标文件未含有采购人不可接受的附加条件。</w:t>
            </w:r>
          </w:p>
        </w:tc>
      </w:tr>
    </w:tbl>
    <w:p>
      <w:pPr>
        <w:keepNext w:val="0"/>
        <w:keepLines w:val="0"/>
        <w:pageBreakBefore w:val="0"/>
        <w:kinsoku/>
        <w:wordWrap/>
        <w:overflowPunct/>
        <w:topLinePunct w:val="0"/>
        <w:bidi w:val="0"/>
        <w:snapToGrid w:val="0"/>
        <w:spacing w:line="400" w:lineRule="exact"/>
        <w:ind w:firstLine="442" w:firstLineChars="200"/>
        <w:textAlignment w:val="auto"/>
        <w:outlineLvl w:val="9"/>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（三）商务技术及价格评审</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本项目评标方法为</w:t>
      </w:r>
      <w:r>
        <w:rPr>
          <w:rFonts w:hint="eastAsia" w:cs="宋体"/>
          <w:color w:val="auto"/>
          <w:sz w:val="22"/>
          <w:szCs w:val="22"/>
          <w:highlight w:val="none"/>
          <w:lang w:val="zh-CN"/>
        </w:rPr>
        <w:t>综合评审</w:t>
      </w:r>
      <w:r>
        <w:rPr>
          <w:rFonts w:hint="eastAsia" w:ascii="宋体" w:hAnsi="宋体" w:eastAsia="宋体" w:cs="宋体"/>
          <w:color w:val="auto"/>
          <w:sz w:val="22"/>
          <w:szCs w:val="22"/>
          <w:highlight w:val="none"/>
          <w:lang w:val="zh-CN"/>
        </w:rPr>
        <w:t>法，总计100分，</w:t>
      </w:r>
      <w:r>
        <w:rPr>
          <w:rFonts w:hint="eastAsia" w:cs="宋体"/>
          <w:color w:val="auto"/>
          <w:sz w:val="22"/>
          <w:szCs w:val="22"/>
          <w:highlight w:val="none"/>
          <w:lang w:val="zh-CN"/>
        </w:rPr>
        <w:t>其中商务技术文件</w:t>
      </w:r>
      <w:r>
        <w:rPr>
          <w:rFonts w:hint="eastAsia" w:cs="宋体"/>
          <w:color w:val="auto"/>
          <w:sz w:val="22"/>
          <w:szCs w:val="22"/>
          <w:highlight w:val="none"/>
          <w:lang w:val="en-US" w:eastAsia="zh-CN"/>
        </w:rPr>
        <w:t>80分，价格分20分。</w:t>
      </w:r>
      <w:r>
        <w:rPr>
          <w:rFonts w:hint="eastAsia" w:ascii="宋体" w:hAnsi="宋体" w:eastAsia="宋体" w:cs="宋体"/>
          <w:color w:val="auto"/>
          <w:sz w:val="22"/>
          <w:szCs w:val="22"/>
          <w:highlight w:val="none"/>
          <w:lang w:val="zh-CN"/>
        </w:rPr>
        <w:t>评标按以下标准及要求进行：</w:t>
      </w:r>
    </w:p>
    <w:tbl>
      <w:tblPr>
        <w:tblStyle w:val="27"/>
        <w:tblpPr w:leftFromText="180" w:rightFromText="180" w:vertAnchor="text" w:horzAnchor="page" w:tblpX="1353" w:tblpY="380"/>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19"/>
        <w:gridCol w:w="1070"/>
        <w:gridCol w:w="7039"/>
        <w:gridCol w:w="77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4" w:hRule="atLeast"/>
        </w:trPr>
        <w:tc>
          <w:tcPr>
            <w:tcW w:w="519"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right="0"/>
              <w:jc w:val="center"/>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序号</w:t>
            </w:r>
          </w:p>
        </w:tc>
        <w:tc>
          <w:tcPr>
            <w:tcW w:w="1070"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right="0"/>
              <w:jc w:val="center"/>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评审项目</w:t>
            </w:r>
          </w:p>
        </w:tc>
        <w:tc>
          <w:tcPr>
            <w:tcW w:w="7039"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right="0"/>
              <w:jc w:val="center"/>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评审标准</w:t>
            </w:r>
          </w:p>
        </w:tc>
        <w:tc>
          <w:tcPr>
            <w:tcW w:w="772"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right="0"/>
              <w:jc w:val="center"/>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trPr>
        <w:tc>
          <w:tcPr>
            <w:tcW w:w="519"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right="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w:t>
            </w:r>
          </w:p>
        </w:tc>
        <w:tc>
          <w:tcPr>
            <w:tcW w:w="107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企业</w:t>
            </w:r>
            <w:r>
              <w:rPr>
                <w:rFonts w:hint="eastAsia" w:ascii="宋体" w:hAnsi="宋体" w:eastAsia="宋体" w:cs="宋体"/>
                <w:sz w:val="21"/>
                <w:szCs w:val="21"/>
                <w:highlight w:val="none"/>
              </w:rPr>
              <w:t>业绩</w:t>
            </w:r>
          </w:p>
        </w:tc>
        <w:tc>
          <w:tcPr>
            <w:tcW w:w="7039" w:type="dxa"/>
            <w:noWrap w:val="0"/>
            <w:vAlign w:val="center"/>
          </w:tcPr>
          <w:p>
            <w:pPr>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20</w:t>
            </w:r>
            <w:r>
              <w:rPr>
                <w:rFonts w:hint="eastAsia" w:ascii="宋体" w:hAnsi="宋体" w:eastAsia="宋体" w:cs="宋体"/>
                <w:sz w:val="21"/>
                <w:szCs w:val="21"/>
                <w:highlight w:val="none"/>
                <w:lang w:val="en-US" w:eastAsia="zh-CN"/>
              </w:rPr>
              <w:t>20</w:t>
            </w:r>
            <w:r>
              <w:rPr>
                <w:rFonts w:hint="eastAsia" w:ascii="宋体" w:hAnsi="宋体" w:eastAsia="宋体" w:cs="宋体"/>
                <w:sz w:val="21"/>
                <w:szCs w:val="21"/>
                <w:highlight w:val="none"/>
              </w:rPr>
              <w:t>年1月1日至今（以合同签订日期为准）</w:t>
            </w:r>
            <w:r>
              <w:rPr>
                <w:rFonts w:hint="eastAsia" w:ascii="宋体" w:hAnsi="宋体" w:eastAsia="宋体" w:cs="宋体"/>
                <w:sz w:val="21"/>
                <w:szCs w:val="21"/>
                <w:highlight w:val="none"/>
                <w:lang w:val="en-US" w:eastAsia="zh-CN"/>
              </w:rPr>
              <w:t>投标人</w:t>
            </w:r>
            <w:r>
              <w:rPr>
                <w:rFonts w:hint="eastAsia" w:ascii="宋体" w:hAnsi="宋体" w:eastAsia="宋体" w:cs="宋体"/>
                <w:sz w:val="21"/>
                <w:szCs w:val="21"/>
                <w:highlight w:val="none"/>
              </w:rPr>
              <w:t>成功实施的同类项目</w:t>
            </w:r>
            <w:r>
              <w:rPr>
                <w:rFonts w:hint="eastAsia" w:ascii="宋体" w:hAnsi="宋体" w:cs="宋体"/>
                <w:sz w:val="21"/>
                <w:szCs w:val="21"/>
                <w:highlight w:val="none"/>
                <w:lang w:eastAsia="zh-CN"/>
              </w:rPr>
              <w:t>施工</w:t>
            </w:r>
            <w:r>
              <w:rPr>
                <w:rFonts w:hint="eastAsia" w:ascii="宋体" w:hAnsi="宋体" w:eastAsia="宋体" w:cs="宋体"/>
                <w:sz w:val="21"/>
                <w:szCs w:val="21"/>
                <w:highlight w:val="none"/>
              </w:rPr>
              <w:t>业绩，每个得</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分，最高</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分。</w:t>
            </w:r>
          </w:p>
          <w:p>
            <w:pPr>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leftChars="0" w:right="0" w:rightChars="0"/>
              <w:rPr>
                <w:rFonts w:hint="eastAsia" w:ascii="宋体" w:hAnsi="宋体" w:eastAsia="宋体" w:cs="宋体"/>
                <w:b/>
                <w:kern w:val="2"/>
                <w:sz w:val="21"/>
                <w:szCs w:val="21"/>
                <w:highlight w:val="none"/>
                <w:u w:val="single"/>
                <w:lang w:val="en-US" w:eastAsia="zh-CN" w:bidi="ar-SA"/>
              </w:rPr>
            </w:pPr>
            <w:r>
              <w:rPr>
                <w:rFonts w:hint="eastAsia" w:ascii="宋体" w:hAnsi="宋体" w:eastAsia="宋体" w:cs="宋体"/>
                <w:b/>
                <w:sz w:val="21"/>
                <w:szCs w:val="21"/>
                <w:highlight w:val="none"/>
                <w:lang w:val="en-US" w:eastAsia="zh-CN"/>
              </w:rPr>
              <w:t>如联合体投标的，指牵头方。</w:t>
            </w:r>
            <w:r>
              <w:rPr>
                <w:rFonts w:hint="eastAsia" w:ascii="宋体" w:hAnsi="宋体" w:eastAsia="宋体" w:cs="宋体"/>
                <w:b/>
                <w:sz w:val="21"/>
                <w:szCs w:val="21"/>
                <w:highlight w:val="none"/>
                <w:lang w:eastAsia="zh-CN"/>
              </w:rPr>
              <w:t>提</w:t>
            </w:r>
            <w:r>
              <w:rPr>
                <w:rFonts w:hint="eastAsia" w:ascii="宋体" w:hAnsi="宋体" w:eastAsia="宋体" w:cs="宋体"/>
                <w:b/>
                <w:sz w:val="21"/>
                <w:szCs w:val="21"/>
                <w:highlight w:val="none"/>
              </w:rPr>
              <w:t>供合同</w:t>
            </w:r>
            <w:r>
              <w:rPr>
                <w:rFonts w:hint="eastAsia" w:ascii="宋体" w:hAnsi="宋体" w:eastAsia="宋体" w:cs="宋体"/>
                <w:b/>
                <w:sz w:val="21"/>
                <w:szCs w:val="21"/>
                <w:highlight w:val="none"/>
                <w:lang w:eastAsia="zh-CN"/>
              </w:rPr>
              <w:t>扫描件</w:t>
            </w:r>
            <w:r>
              <w:rPr>
                <w:rFonts w:hint="eastAsia" w:ascii="宋体" w:hAnsi="宋体" w:eastAsia="宋体" w:cs="宋体"/>
                <w:b/>
                <w:sz w:val="21"/>
                <w:szCs w:val="21"/>
                <w:highlight w:val="none"/>
              </w:rPr>
              <w:t>加盖公章</w:t>
            </w:r>
          </w:p>
        </w:tc>
        <w:tc>
          <w:tcPr>
            <w:tcW w:w="772" w:type="dxa"/>
            <w:noWrap w:val="0"/>
            <w:vAlign w:val="center"/>
          </w:tcPr>
          <w:p>
            <w:pPr>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leftChars="0" w:right="0" w:rightChars="0"/>
              <w:jc w:val="center"/>
              <w:rPr>
                <w:rFonts w:hint="eastAsia" w:ascii="宋体" w:hAnsi="宋体" w:eastAsia="宋体" w:cs="宋体"/>
                <w:b/>
                <w:kern w:val="2"/>
                <w:sz w:val="21"/>
                <w:szCs w:val="21"/>
                <w:highlight w:val="none"/>
                <w:lang w:val="en-US" w:eastAsia="zh-CN" w:bidi="ar-SA"/>
              </w:rPr>
            </w:pP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lang w:val="en-US" w:eastAsia="zh-CN"/>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trPr>
        <w:tc>
          <w:tcPr>
            <w:tcW w:w="519"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right="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w:t>
            </w:r>
          </w:p>
        </w:tc>
        <w:tc>
          <w:tcPr>
            <w:tcW w:w="107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kern w:val="0"/>
                <w:sz w:val="21"/>
                <w:szCs w:val="21"/>
                <w:highlight w:val="none"/>
                <w:lang w:val="en-US" w:eastAsia="zh-CN" w:bidi="ar-SA"/>
              </w:rPr>
            </w:pPr>
            <w:r>
              <w:rPr>
                <w:rFonts w:hint="eastAsia" w:ascii="宋体" w:hAnsi="宋体" w:eastAsia="宋体" w:cs="宋体"/>
                <w:kern w:val="0"/>
                <w:sz w:val="21"/>
                <w:szCs w:val="21"/>
                <w:highlight w:val="none"/>
                <w:lang w:val="en-US" w:eastAsia="zh-CN" w:bidi="ar-SA"/>
              </w:rPr>
              <w:t>技术力量投入</w:t>
            </w:r>
          </w:p>
        </w:tc>
        <w:tc>
          <w:tcPr>
            <w:tcW w:w="7039" w:type="dxa"/>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1、具有质量员（质检员）的得</w:t>
            </w:r>
            <w:r>
              <w:rPr>
                <w:rFonts w:hint="eastAsia"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2、具有安全员三类人员C类证书的得</w:t>
            </w:r>
            <w:r>
              <w:rPr>
                <w:rFonts w:hint="eastAsia"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3、具有施工员的得</w:t>
            </w:r>
            <w:r>
              <w:rPr>
                <w:rFonts w:hint="eastAsia"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leftChars="0" w:right="0" w:rightChars="0"/>
              <w:rPr>
                <w:rFonts w:hint="eastAsia" w:ascii="宋体" w:hAnsi="宋体" w:eastAsia="宋体" w:cs="宋体"/>
                <w:kern w:val="0"/>
                <w:sz w:val="21"/>
                <w:szCs w:val="21"/>
                <w:highlight w:val="none"/>
                <w:lang w:val="en-US" w:eastAsia="zh-CN" w:bidi="ar-SA"/>
              </w:rPr>
            </w:pPr>
            <w:r>
              <w:rPr>
                <w:rFonts w:hint="eastAsia" w:ascii="宋体" w:hAnsi="宋体" w:eastAsia="宋体" w:cs="宋体"/>
                <w:b/>
                <w:kern w:val="2"/>
                <w:sz w:val="21"/>
                <w:szCs w:val="21"/>
                <w:highlight w:val="none"/>
                <w:lang w:val="en-US" w:eastAsia="zh-CN" w:bidi="ar-SA"/>
              </w:rPr>
              <w:t>以上人员不可重复得分，1人只能计算1次。如联合体投标的，指牵头方。投标单位需提供相关人员证书扫描件及投标人自2023年2月以来连续3个月为其缴纳的社保证明</w:t>
            </w:r>
          </w:p>
        </w:tc>
        <w:tc>
          <w:tcPr>
            <w:tcW w:w="772" w:type="dxa"/>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leftChars="0" w:right="0" w:rightChars="0"/>
              <w:jc w:val="center"/>
              <w:rPr>
                <w:rFonts w:hint="eastAsia" w:ascii="宋体" w:hAnsi="宋体" w:eastAsia="宋体" w:cs="宋体"/>
                <w:b/>
                <w:bCs/>
                <w:kern w:val="0"/>
                <w:sz w:val="21"/>
                <w:szCs w:val="21"/>
                <w:highlight w:val="none"/>
                <w:lang w:val="en-US" w:eastAsia="zh-CN" w:bidi="ar-SA"/>
              </w:rPr>
            </w:pPr>
            <w:r>
              <w:rPr>
                <w:rFonts w:hint="eastAsia" w:hAnsi="宋体" w:eastAsia="宋体" w:cs="宋体"/>
                <w:sz w:val="21"/>
                <w:szCs w:val="21"/>
                <w:highlight w:val="none"/>
                <w:lang w:val="en-US" w:eastAsia="zh-CN"/>
              </w:rPr>
              <w:t>5</w:t>
            </w:r>
            <w:r>
              <w:rPr>
                <w:rFonts w:hint="eastAsia" w:ascii="宋体" w:hAnsi="宋体" w:eastAsia="宋体" w:cs="宋体"/>
                <w:sz w:val="21"/>
                <w:szCs w:val="21"/>
                <w:highlight w:val="none"/>
                <w:lang w:val="en-US" w:eastAsia="zh-CN"/>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trPr>
        <w:tc>
          <w:tcPr>
            <w:tcW w:w="519" w:type="dxa"/>
            <w:vMerge w:val="restart"/>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right="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w:t>
            </w:r>
          </w:p>
        </w:tc>
        <w:tc>
          <w:tcPr>
            <w:tcW w:w="1070" w:type="dxa"/>
            <w:vMerge w:val="restart"/>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设计方案</w:t>
            </w:r>
          </w:p>
        </w:tc>
        <w:tc>
          <w:tcPr>
            <w:tcW w:w="7039" w:type="dxa"/>
            <w:noWrap w:val="0"/>
            <w:vAlign w:val="center"/>
          </w:tcPr>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整体布局</w:t>
            </w:r>
            <w:r>
              <w:rPr>
                <w:rFonts w:hint="eastAsia" w:ascii="宋体" w:hAnsi="宋体" w:eastAsia="宋体" w:cs="宋体"/>
                <w:sz w:val="21"/>
                <w:szCs w:val="21"/>
                <w:highlight w:val="none"/>
                <w:lang w:val="en-US" w:eastAsia="zh-CN"/>
              </w:rPr>
              <w:t>15</w:t>
            </w:r>
            <w:r>
              <w:rPr>
                <w:rFonts w:hint="eastAsia" w:ascii="宋体" w:hAnsi="宋体" w:eastAsia="宋体" w:cs="宋体"/>
                <w:sz w:val="21"/>
                <w:szCs w:val="21"/>
                <w:highlight w:val="none"/>
              </w:rPr>
              <w:t>分</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根据设计方案整体布局及总体理念的合理性、完整性、科学性、针对性等，比较评分。</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设计方案整体布局及总体理念的合理性、完整性</w:t>
            </w:r>
            <w:r>
              <w:rPr>
                <w:rFonts w:hint="eastAsia" w:ascii="宋体" w:hAnsi="宋体" w:eastAsia="宋体" w:cs="宋体"/>
                <w:sz w:val="21"/>
                <w:szCs w:val="21"/>
                <w:highlight w:val="none"/>
                <w:lang w:val="en-US" w:eastAsia="zh-CN"/>
              </w:rPr>
              <w:t>高的</w:t>
            </w:r>
            <w:r>
              <w:rPr>
                <w:rFonts w:hint="eastAsia" w:ascii="宋体" w:hAnsi="宋体" w:cs="宋体"/>
                <w:sz w:val="21"/>
                <w:szCs w:val="21"/>
                <w:highlight w:val="none"/>
                <w:lang w:val="en-US" w:eastAsia="zh-CN"/>
              </w:rPr>
              <w:t>上</w:t>
            </w:r>
            <w:r>
              <w:rPr>
                <w:rFonts w:hint="eastAsia" w:ascii="宋体" w:hAnsi="宋体" w:eastAsia="宋体" w:cs="宋体"/>
                <w:sz w:val="21"/>
                <w:szCs w:val="21"/>
                <w:highlight w:val="none"/>
                <w:lang w:val="en-US" w:eastAsia="zh-CN"/>
              </w:rPr>
              <w:t>得</w:t>
            </w:r>
            <w:r>
              <w:rPr>
                <w:rFonts w:hint="eastAsia" w:ascii="宋体" w:hAnsi="宋体" w:cs="宋体"/>
                <w:sz w:val="21"/>
                <w:szCs w:val="21"/>
                <w:highlight w:val="none"/>
                <w:lang w:val="en-US" w:eastAsia="zh-CN"/>
              </w:rPr>
              <w:t>15</w:t>
            </w:r>
            <w:r>
              <w:rPr>
                <w:rFonts w:hint="eastAsia" w:ascii="宋体" w:hAnsi="宋体" w:eastAsia="宋体" w:cs="宋体"/>
                <w:sz w:val="21"/>
                <w:szCs w:val="21"/>
                <w:highlight w:val="none"/>
              </w:rPr>
              <w:t>分</w:t>
            </w:r>
            <w:r>
              <w:rPr>
                <w:rFonts w:hint="eastAsia" w:ascii="宋体" w:hAnsi="宋体" w:cs="宋体"/>
                <w:sz w:val="21"/>
                <w:szCs w:val="21"/>
                <w:highlight w:val="none"/>
                <w:lang w:eastAsia="zh-CN"/>
              </w:rPr>
              <w:t>，中得</w:t>
            </w:r>
            <w:r>
              <w:rPr>
                <w:rFonts w:hint="eastAsia" w:ascii="宋体" w:hAnsi="宋体" w:cs="宋体"/>
                <w:sz w:val="21"/>
                <w:szCs w:val="21"/>
                <w:highlight w:val="none"/>
                <w:lang w:val="en-US" w:eastAsia="zh-CN"/>
              </w:rPr>
              <w:t>14分，下的13分</w:t>
            </w:r>
            <w:r>
              <w:rPr>
                <w:rFonts w:hint="eastAsia" w:ascii="宋体" w:hAnsi="宋体" w:eastAsia="宋体" w:cs="宋体"/>
                <w:sz w:val="21"/>
                <w:szCs w:val="21"/>
                <w:highlight w:val="none"/>
                <w:lang w:eastAsia="zh-CN"/>
              </w:rPr>
              <w:t>；</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设计方案整体布局及总体理念的合理性、完整性</w:t>
            </w:r>
            <w:r>
              <w:rPr>
                <w:rFonts w:hint="eastAsia" w:ascii="宋体" w:hAnsi="宋体" w:eastAsia="宋体" w:cs="宋体"/>
                <w:sz w:val="21"/>
                <w:szCs w:val="21"/>
                <w:highlight w:val="none"/>
                <w:lang w:val="en-US" w:eastAsia="zh-CN"/>
              </w:rPr>
              <w:t>较高的</w:t>
            </w:r>
            <w:r>
              <w:rPr>
                <w:rFonts w:hint="eastAsia" w:ascii="宋体" w:hAnsi="宋体" w:cs="宋体"/>
                <w:sz w:val="21"/>
                <w:szCs w:val="21"/>
                <w:highlight w:val="none"/>
                <w:lang w:val="en-US" w:eastAsia="zh-CN"/>
              </w:rPr>
              <w:t>上</w:t>
            </w:r>
            <w:r>
              <w:rPr>
                <w:rFonts w:hint="eastAsia" w:ascii="宋体" w:hAnsi="宋体" w:eastAsia="宋体" w:cs="宋体"/>
                <w:sz w:val="21"/>
                <w:szCs w:val="21"/>
                <w:highlight w:val="none"/>
                <w:lang w:val="en-US" w:eastAsia="zh-CN"/>
              </w:rPr>
              <w:t>得</w:t>
            </w:r>
            <w:r>
              <w:rPr>
                <w:rFonts w:hint="eastAsia" w:ascii="宋体" w:hAnsi="宋体" w:cs="宋体"/>
                <w:sz w:val="21"/>
                <w:szCs w:val="21"/>
                <w:highlight w:val="none"/>
                <w:lang w:val="en-US" w:eastAsia="zh-CN"/>
              </w:rPr>
              <w:t>11</w:t>
            </w:r>
            <w:r>
              <w:rPr>
                <w:rFonts w:hint="eastAsia" w:ascii="宋体" w:hAnsi="宋体" w:eastAsia="宋体" w:cs="宋体"/>
                <w:sz w:val="21"/>
                <w:szCs w:val="21"/>
                <w:highlight w:val="none"/>
              </w:rPr>
              <w:t>分</w:t>
            </w:r>
            <w:r>
              <w:rPr>
                <w:rFonts w:hint="eastAsia" w:ascii="宋体" w:hAnsi="宋体" w:cs="宋体"/>
                <w:sz w:val="21"/>
                <w:szCs w:val="21"/>
                <w:highlight w:val="none"/>
                <w:lang w:eastAsia="zh-CN"/>
              </w:rPr>
              <w:t>，中得</w:t>
            </w:r>
            <w:r>
              <w:rPr>
                <w:rFonts w:hint="eastAsia" w:ascii="宋体" w:hAnsi="宋体" w:cs="宋体"/>
                <w:sz w:val="21"/>
                <w:szCs w:val="21"/>
                <w:highlight w:val="none"/>
                <w:lang w:val="en-US" w:eastAsia="zh-CN"/>
              </w:rPr>
              <w:t>10分，下的9分</w:t>
            </w:r>
            <w:r>
              <w:rPr>
                <w:rFonts w:hint="eastAsia" w:ascii="宋体" w:hAnsi="宋体" w:eastAsia="宋体" w:cs="宋体"/>
                <w:sz w:val="21"/>
                <w:szCs w:val="21"/>
                <w:highlight w:val="none"/>
                <w:lang w:eastAsia="zh-CN"/>
              </w:rPr>
              <w:t>；</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设计方案整体布局及总体理念的合理性、完整性</w:t>
            </w:r>
            <w:r>
              <w:rPr>
                <w:rFonts w:hint="eastAsia" w:ascii="宋体" w:hAnsi="宋体" w:eastAsia="宋体" w:cs="宋体"/>
                <w:sz w:val="21"/>
                <w:szCs w:val="21"/>
                <w:highlight w:val="none"/>
                <w:lang w:val="en-US" w:eastAsia="zh-CN"/>
              </w:rPr>
              <w:t>较低的</w:t>
            </w:r>
            <w:r>
              <w:rPr>
                <w:rFonts w:hint="eastAsia" w:ascii="宋体" w:hAnsi="宋体" w:cs="宋体"/>
                <w:sz w:val="21"/>
                <w:szCs w:val="21"/>
                <w:highlight w:val="none"/>
                <w:lang w:val="en-US" w:eastAsia="zh-CN"/>
              </w:rPr>
              <w:t>上</w:t>
            </w:r>
            <w:r>
              <w:rPr>
                <w:rFonts w:hint="eastAsia" w:ascii="宋体" w:hAnsi="宋体" w:eastAsia="宋体" w:cs="宋体"/>
                <w:sz w:val="21"/>
                <w:szCs w:val="21"/>
                <w:highlight w:val="none"/>
                <w:lang w:val="en-US" w:eastAsia="zh-CN"/>
              </w:rPr>
              <w:t>得</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分</w:t>
            </w:r>
            <w:r>
              <w:rPr>
                <w:rFonts w:hint="eastAsia" w:ascii="宋体" w:hAnsi="宋体" w:cs="宋体"/>
                <w:sz w:val="21"/>
                <w:szCs w:val="21"/>
                <w:highlight w:val="none"/>
                <w:lang w:eastAsia="zh-CN"/>
              </w:rPr>
              <w:t>，中得</w:t>
            </w:r>
            <w:r>
              <w:rPr>
                <w:rFonts w:hint="eastAsia" w:ascii="宋体" w:hAnsi="宋体" w:cs="宋体"/>
                <w:sz w:val="21"/>
                <w:szCs w:val="21"/>
                <w:highlight w:val="none"/>
                <w:lang w:val="en-US" w:eastAsia="zh-CN"/>
              </w:rPr>
              <w:t>6分，下的5分</w:t>
            </w:r>
            <w:r>
              <w:rPr>
                <w:rFonts w:hint="eastAsia" w:ascii="宋体" w:hAnsi="宋体" w:eastAsia="宋体" w:cs="宋体"/>
                <w:sz w:val="21"/>
                <w:szCs w:val="21"/>
                <w:highlight w:val="none"/>
              </w:rPr>
              <w:t>。</w:t>
            </w:r>
          </w:p>
        </w:tc>
        <w:tc>
          <w:tcPr>
            <w:tcW w:w="772" w:type="dxa"/>
            <w:noWrap w:val="0"/>
            <w:vAlign w:val="center"/>
          </w:tcPr>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6" w:hRule="atLeast"/>
        </w:trPr>
        <w:tc>
          <w:tcPr>
            <w:tcW w:w="519" w:type="dxa"/>
            <w:vMerge w:val="continue"/>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right="0"/>
              <w:jc w:val="center"/>
              <w:rPr>
                <w:rFonts w:hint="eastAsia" w:ascii="宋体" w:hAnsi="宋体" w:eastAsia="宋体" w:cs="宋体"/>
                <w:sz w:val="21"/>
                <w:szCs w:val="21"/>
                <w:highlight w:val="none"/>
                <w:lang w:val="en-US" w:eastAsia="zh-CN"/>
              </w:rPr>
            </w:pPr>
          </w:p>
        </w:tc>
        <w:tc>
          <w:tcPr>
            <w:tcW w:w="1070" w:type="dxa"/>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z w:val="21"/>
                <w:szCs w:val="21"/>
                <w:highlight w:val="none"/>
              </w:rPr>
            </w:pPr>
          </w:p>
        </w:tc>
        <w:tc>
          <w:tcPr>
            <w:tcW w:w="7039" w:type="dxa"/>
            <w:noWrap w:val="0"/>
            <w:vAlign w:val="center"/>
          </w:tcPr>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总体评价</w:t>
            </w:r>
            <w:r>
              <w:rPr>
                <w:rFonts w:hint="eastAsia" w:ascii="宋体" w:hAnsi="宋体" w:eastAsia="宋体" w:cs="宋体"/>
                <w:sz w:val="21"/>
                <w:szCs w:val="21"/>
                <w:highlight w:val="none"/>
                <w:lang w:val="en-US" w:eastAsia="zh-CN"/>
              </w:rPr>
              <w:t>18</w:t>
            </w:r>
            <w:r>
              <w:rPr>
                <w:rFonts w:hint="eastAsia" w:ascii="宋体" w:hAnsi="宋体" w:eastAsia="宋体" w:cs="宋体"/>
                <w:sz w:val="21"/>
                <w:szCs w:val="21"/>
                <w:highlight w:val="none"/>
              </w:rPr>
              <w:t>分</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设计方案包含效果图、平面布局图，是否满足采购需求及</w:t>
            </w: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园山社区党群服务中心</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特色，区域布置及交通流线组织，方案是否具有创新性，科技性，实用性以及设计深度等，共1</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rPr>
              <w:t>分。</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区域布局流畅、</w:t>
            </w:r>
            <w:r>
              <w:rPr>
                <w:rFonts w:hint="eastAsia" w:ascii="宋体" w:hAnsi="宋体" w:eastAsia="宋体" w:cs="宋体"/>
                <w:sz w:val="21"/>
                <w:szCs w:val="21"/>
                <w:highlight w:val="none"/>
              </w:rPr>
              <w:t>方案</w:t>
            </w:r>
            <w:r>
              <w:rPr>
                <w:rFonts w:hint="eastAsia" w:ascii="宋体" w:hAnsi="宋体" w:eastAsia="宋体" w:cs="宋体"/>
                <w:sz w:val="21"/>
                <w:szCs w:val="21"/>
                <w:highlight w:val="none"/>
                <w:lang w:val="en-US" w:eastAsia="zh-CN"/>
              </w:rPr>
              <w:t>具有创新性的</w:t>
            </w:r>
            <w:r>
              <w:rPr>
                <w:rFonts w:hint="eastAsia" w:ascii="宋体" w:hAnsi="宋体" w:cs="宋体"/>
                <w:sz w:val="21"/>
                <w:szCs w:val="21"/>
                <w:highlight w:val="none"/>
                <w:lang w:val="en-US" w:eastAsia="zh-CN"/>
              </w:rPr>
              <w:t>上</w:t>
            </w:r>
            <w:r>
              <w:rPr>
                <w:rFonts w:hint="eastAsia" w:ascii="宋体" w:hAnsi="宋体" w:eastAsia="宋体" w:cs="宋体"/>
                <w:sz w:val="21"/>
                <w:szCs w:val="21"/>
                <w:highlight w:val="none"/>
                <w:lang w:val="en-US" w:eastAsia="zh-CN"/>
              </w:rPr>
              <w:t>得</w:t>
            </w:r>
            <w:r>
              <w:rPr>
                <w:rFonts w:hint="eastAsia" w:ascii="宋体" w:hAnsi="宋体" w:cs="宋体"/>
                <w:sz w:val="21"/>
                <w:szCs w:val="21"/>
                <w:highlight w:val="none"/>
                <w:lang w:val="en-US" w:eastAsia="zh-CN"/>
              </w:rPr>
              <w:t>18</w:t>
            </w:r>
            <w:r>
              <w:rPr>
                <w:rFonts w:hint="eastAsia" w:ascii="宋体" w:hAnsi="宋体" w:eastAsia="宋体" w:cs="宋体"/>
                <w:sz w:val="21"/>
                <w:szCs w:val="21"/>
                <w:highlight w:val="none"/>
              </w:rPr>
              <w:t>分</w:t>
            </w:r>
            <w:r>
              <w:rPr>
                <w:rFonts w:hint="eastAsia" w:ascii="宋体" w:hAnsi="宋体" w:cs="宋体"/>
                <w:sz w:val="21"/>
                <w:szCs w:val="21"/>
                <w:highlight w:val="none"/>
                <w:lang w:eastAsia="zh-CN"/>
              </w:rPr>
              <w:t>，中得</w:t>
            </w:r>
            <w:r>
              <w:rPr>
                <w:rFonts w:hint="eastAsia" w:ascii="宋体" w:hAnsi="宋体" w:cs="宋体"/>
                <w:sz w:val="21"/>
                <w:szCs w:val="21"/>
                <w:highlight w:val="none"/>
                <w:lang w:val="en-US" w:eastAsia="zh-CN"/>
              </w:rPr>
              <w:t>17分，下的16分</w:t>
            </w:r>
            <w:r>
              <w:rPr>
                <w:rFonts w:hint="eastAsia" w:ascii="宋体" w:hAnsi="宋体" w:eastAsia="宋体" w:cs="宋体"/>
                <w:sz w:val="21"/>
                <w:szCs w:val="21"/>
                <w:highlight w:val="none"/>
                <w:lang w:eastAsia="zh-CN"/>
              </w:rPr>
              <w:t>；</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区域布局较流畅、</w:t>
            </w:r>
            <w:r>
              <w:rPr>
                <w:rFonts w:hint="eastAsia" w:ascii="宋体" w:hAnsi="宋体" w:eastAsia="宋体" w:cs="宋体"/>
                <w:sz w:val="21"/>
                <w:szCs w:val="21"/>
                <w:highlight w:val="none"/>
              </w:rPr>
              <w:t>方案</w:t>
            </w:r>
            <w:r>
              <w:rPr>
                <w:rFonts w:hint="eastAsia" w:ascii="宋体" w:hAnsi="宋体" w:eastAsia="宋体" w:cs="宋体"/>
                <w:sz w:val="21"/>
                <w:szCs w:val="21"/>
                <w:highlight w:val="none"/>
                <w:lang w:val="en-US" w:eastAsia="zh-CN"/>
              </w:rPr>
              <w:t>较具有创新性的</w:t>
            </w:r>
            <w:r>
              <w:rPr>
                <w:rFonts w:hint="eastAsia" w:ascii="宋体" w:hAnsi="宋体" w:cs="宋体"/>
                <w:sz w:val="21"/>
                <w:szCs w:val="21"/>
                <w:highlight w:val="none"/>
                <w:lang w:val="en-US" w:eastAsia="zh-CN"/>
              </w:rPr>
              <w:t>上</w:t>
            </w:r>
            <w:r>
              <w:rPr>
                <w:rFonts w:hint="eastAsia" w:ascii="宋体" w:hAnsi="宋体" w:eastAsia="宋体" w:cs="宋体"/>
                <w:sz w:val="21"/>
                <w:szCs w:val="21"/>
                <w:highlight w:val="none"/>
                <w:lang w:val="en-US" w:eastAsia="zh-CN"/>
              </w:rPr>
              <w:t>得</w:t>
            </w:r>
            <w:r>
              <w:rPr>
                <w:rFonts w:hint="eastAsia" w:ascii="宋体" w:hAnsi="宋体" w:cs="宋体"/>
                <w:sz w:val="21"/>
                <w:szCs w:val="21"/>
                <w:highlight w:val="none"/>
                <w:lang w:val="en-US" w:eastAsia="zh-CN"/>
              </w:rPr>
              <w:t>14</w:t>
            </w:r>
            <w:r>
              <w:rPr>
                <w:rFonts w:hint="eastAsia" w:ascii="宋体" w:hAnsi="宋体" w:eastAsia="宋体" w:cs="宋体"/>
                <w:sz w:val="21"/>
                <w:szCs w:val="21"/>
                <w:highlight w:val="none"/>
              </w:rPr>
              <w:t>分</w:t>
            </w:r>
            <w:r>
              <w:rPr>
                <w:rFonts w:hint="eastAsia" w:ascii="宋体" w:hAnsi="宋体" w:cs="宋体"/>
                <w:sz w:val="21"/>
                <w:szCs w:val="21"/>
                <w:highlight w:val="none"/>
                <w:lang w:eastAsia="zh-CN"/>
              </w:rPr>
              <w:t>，中得</w:t>
            </w:r>
            <w:r>
              <w:rPr>
                <w:rFonts w:hint="eastAsia" w:ascii="宋体" w:hAnsi="宋体" w:cs="宋体"/>
                <w:sz w:val="21"/>
                <w:szCs w:val="21"/>
                <w:highlight w:val="none"/>
                <w:lang w:val="en-US" w:eastAsia="zh-CN"/>
              </w:rPr>
              <w:t>13分，下的12分</w:t>
            </w:r>
            <w:r>
              <w:rPr>
                <w:rFonts w:hint="eastAsia" w:ascii="宋体" w:hAnsi="宋体" w:eastAsia="宋体" w:cs="宋体"/>
                <w:sz w:val="21"/>
                <w:szCs w:val="21"/>
                <w:highlight w:val="none"/>
                <w:lang w:eastAsia="zh-CN"/>
              </w:rPr>
              <w:t>；</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区域布局不流畅、</w:t>
            </w:r>
            <w:r>
              <w:rPr>
                <w:rFonts w:hint="eastAsia" w:ascii="宋体" w:hAnsi="宋体" w:eastAsia="宋体" w:cs="宋体"/>
                <w:sz w:val="21"/>
                <w:szCs w:val="21"/>
                <w:highlight w:val="none"/>
              </w:rPr>
              <w:t>方案</w:t>
            </w:r>
            <w:r>
              <w:rPr>
                <w:rFonts w:hint="eastAsia" w:ascii="宋体" w:hAnsi="宋体" w:eastAsia="宋体" w:cs="宋体"/>
                <w:sz w:val="21"/>
                <w:szCs w:val="21"/>
                <w:highlight w:val="none"/>
                <w:lang w:val="en-US" w:eastAsia="zh-CN"/>
              </w:rPr>
              <w:t>不具有创新性的</w:t>
            </w:r>
            <w:r>
              <w:rPr>
                <w:rFonts w:hint="eastAsia" w:ascii="宋体" w:hAnsi="宋体" w:cs="宋体"/>
                <w:sz w:val="21"/>
                <w:szCs w:val="21"/>
                <w:highlight w:val="none"/>
                <w:lang w:val="en-US" w:eastAsia="zh-CN"/>
              </w:rPr>
              <w:t>上</w:t>
            </w:r>
            <w:r>
              <w:rPr>
                <w:rFonts w:hint="eastAsia" w:ascii="宋体" w:hAnsi="宋体" w:eastAsia="宋体" w:cs="宋体"/>
                <w:sz w:val="21"/>
                <w:szCs w:val="21"/>
                <w:highlight w:val="none"/>
                <w:lang w:val="en-US" w:eastAsia="zh-CN"/>
              </w:rPr>
              <w:t>得</w:t>
            </w:r>
            <w:r>
              <w:rPr>
                <w:rFonts w:hint="eastAsia" w:ascii="宋体" w:hAnsi="宋体" w:cs="宋体"/>
                <w:sz w:val="21"/>
                <w:szCs w:val="21"/>
                <w:highlight w:val="none"/>
                <w:lang w:val="en-US" w:eastAsia="zh-CN"/>
              </w:rPr>
              <w:t>10</w:t>
            </w:r>
            <w:r>
              <w:rPr>
                <w:rFonts w:hint="eastAsia" w:ascii="宋体" w:hAnsi="宋体" w:eastAsia="宋体" w:cs="宋体"/>
                <w:sz w:val="21"/>
                <w:szCs w:val="21"/>
                <w:highlight w:val="none"/>
              </w:rPr>
              <w:t>分</w:t>
            </w:r>
            <w:r>
              <w:rPr>
                <w:rFonts w:hint="eastAsia" w:ascii="宋体" w:hAnsi="宋体" w:cs="宋体"/>
                <w:sz w:val="21"/>
                <w:szCs w:val="21"/>
                <w:highlight w:val="none"/>
                <w:lang w:eastAsia="zh-CN"/>
              </w:rPr>
              <w:t>，中得</w:t>
            </w:r>
            <w:r>
              <w:rPr>
                <w:rFonts w:hint="eastAsia" w:ascii="宋体" w:hAnsi="宋体" w:cs="宋体"/>
                <w:sz w:val="21"/>
                <w:szCs w:val="21"/>
                <w:highlight w:val="none"/>
                <w:lang w:val="en-US" w:eastAsia="zh-CN"/>
              </w:rPr>
              <w:t>9分，下的8分</w:t>
            </w:r>
            <w:r>
              <w:rPr>
                <w:rFonts w:hint="eastAsia" w:ascii="宋体" w:hAnsi="宋体" w:eastAsia="宋体" w:cs="宋体"/>
                <w:sz w:val="21"/>
                <w:szCs w:val="21"/>
                <w:highlight w:val="none"/>
              </w:rPr>
              <w:t>。</w:t>
            </w:r>
          </w:p>
        </w:tc>
        <w:tc>
          <w:tcPr>
            <w:tcW w:w="772" w:type="dxa"/>
            <w:noWrap w:val="0"/>
            <w:vAlign w:val="center"/>
          </w:tcPr>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0" w:hRule="atLeast"/>
        </w:trPr>
        <w:tc>
          <w:tcPr>
            <w:tcW w:w="519" w:type="dxa"/>
            <w:vMerge w:val="continue"/>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right="0"/>
              <w:jc w:val="center"/>
              <w:rPr>
                <w:rFonts w:hint="eastAsia" w:ascii="宋体" w:hAnsi="宋体" w:eastAsia="宋体" w:cs="宋体"/>
                <w:sz w:val="21"/>
                <w:szCs w:val="21"/>
                <w:highlight w:val="none"/>
                <w:lang w:val="en-US" w:eastAsia="zh-CN"/>
              </w:rPr>
            </w:pPr>
          </w:p>
        </w:tc>
        <w:tc>
          <w:tcPr>
            <w:tcW w:w="1070" w:type="dxa"/>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z w:val="21"/>
                <w:szCs w:val="21"/>
                <w:highlight w:val="none"/>
              </w:rPr>
            </w:pPr>
          </w:p>
        </w:tc>
        <w:tc>
          <w:tcPr>
            <w:tcW w:w="7039" w:type="dxa"/>
            <w:noWrap w:val="0"/>
            <w:vAlign w:val="center"/>
          </w:tcPr>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设计重点及亮点</w:t>
            </w:r>
            <w:r>
              <w:rPr>
                <w:rFonts w:hint="eastAsia" w:ascii="宋体" w:hAnsi="宋体" w:cs="宋体"/>
                <w:sz w:val="21"/>
                <w:szCs w:val="21"/>
                <w:highlight w:val="none"/>
                <w:lang w:val="en-US" w:eastAsia="zh-CN"/>
              </w:rPr>
              <w:t>9</w:t>
            </w:r>
            <w:r>
              <w:rPr>
                <w:rFonts w:hint="eastAsia" w:ascii="宋体" w:hAnsi="宋体" w:eastAsia="宋体" w:cs="宋体"/>
                <w:sz w:val="21"/>
                <w:szCs w:val="21"/>
                <w:highlight w:val="none"/>
              </w:rPr>
              <w:t>分</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设计过程中的亮点、重点的总体效果及表现手段的合理性，比较评分。</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总体效果及表现手段的合理性</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可行性高的上得9</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，中得</w:t>
            </w:r>
            <w:r>
              <w:rPr>
                <w:rFonts w:hint="eastAsia" w:ascii="宋体" w:hAnsi="宋体" w:eastAsia="宋体" w:cs="宋体"/>
                <w:sz w:val="21"/>
                <w:szCs w:val="21"/>
                <w:highlight w:val="none"/>
                <w:lang w:val="en-US" w:eastAsia="zh-CN"/>
              </w:rPr>
              <w:t>8分，下的7分</w:t>
            </w:r>
            <w:r>
              <w:rPr>
                <w:rFonts w:hint="eastAsia" w:ascii="宋体" w:hAnsi="宋体" w:eastAsia="宋体" w:cs="宋体"/>
                <w:sz w:val="21"/>
                <w:szCs w:val="21"/>
                <w:highlight w:val="none"/>
                <w:lang w:eastAsia="zh-CN"/>
              </w:rPr>
              <w:t>；</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总体效果及表现手段的合理性</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可行性较高的上得6</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，中得</w:t>
            </w:r>
            <w:r>
              <w:rPr>
                <w:rFonts w:hint="eastAsia" w:ascii="宋体" w:hAnsi="宋体" w:eastAsia="宋体" w:cs="宋体"/>
                <w:sz w:val="21"/>
                <w:szCs w:val="21"/>
                <w:highlight w:val="none"/>
                <w:lang w:val="en-US" w:eastAsia="zh-CN"/>
              </w:rPr>
              <w:t>5分，下的4分</w:t>
            </w:r>
            <w:r>
              <w:rPr>
                <w:rFonts w:hint="eastAsia" w:ascii="宋体" w:hAnsi="宋体" w:eastAsia="宋体" w:cs="宋体"/>
                <w:sz w:val="21"/>
                <w:szCs w:val="21"/>
                <w:highlight w:val="none"/>
                <w:lang w:eastAsia="zh-CN"/>
              </w:rPr>
              <w:t>；</w:t>
            </w:r>
          </w:p>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总体效果及表现手段的合理性</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可行性较低的上得3</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，中得</w:t>
            </w:r>
            <w:r>
              <w:rPr>
                <w:rFonts w:hint="eastAsia" w:ascii="宋体" w:hAnsi="宋体" w:eastAsia="宋体" w:cs="宋体"/>
                <w:sz w:val="21"/>
                <w:szCs w:val="21"/>
                <w:highlight w:val="none"/>
                <w:lang w:val="en-US" w:eastAsia="zh-CN"/>
              </w:rPr>
              <w:t>2分，下的1分</w:t>
            </w:r>
            <w:r>
              <w:rPr>
                <w:rFonts w:hint="eastAsia" w:ascii="宋体" w:hAnsi="宋体" w:eastAsia="宋体" w:cs="宋体"/>
                <w:sz w:val="21"/>
                <w:szCs w:val="21"/>
                <w:highlight w:val="none"/>
              </w:rPr>
              <w:t>。</w:t>
            </w:r>
          </w:p>
        </w:tc>
        <w:tc>
          <w:tcPr>
            <w:tcW w:w="772" w:type="dxa"/>
            <w:noWrap w:val="0"/>
            <w:vAlign w:val="center"/>
          </w:tcPr>
          <w:p>
            <w:pPr>
              <w:keepNext w:val="0"/>
              <w:keepLines w:val="0"/>
              <w:pageBreakBefore w:val="0"/>
              <w:suppressLineNumbers w:val="0"/>
              <w:tabs>
                <w:tab w:val="left" w:pos="1293"/>
              </w:tabs>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9</w:t>
            </w:r>
            <w:r>
              <w:rPr>
                <w:rFonts w:hint="eastAsia" w:ascii="宋体" w:hAnsi="宋体" w:eastAsia="宋体" w:cs="宋体"/>
                <w:sz w:val="21"/>
                <w:szCs w:val="21"/>
                <w:highlight w:val="none"/>
                <w:lang w:val="en-US" w:eastAsia="zh-CN"/>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7" w:hRule="atLeast"/>
        </w:trPr>
        <w:tc>
          <w:tcPr>
            <w:tcW w:w="519" w:type="dxa"/>
            <w:vMerge w:val="restart"/>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default" w:ascii="宋体" w:hAnsi="宋体" w:eastAsia="宋体" w:cs="宋体"/>
                <w:kern w:val="0"/>
                <w:sz w:val="21"/>
                <w:szCs w:val="21"/>
                <w:highlight w:val="none"/>
                <w:lang w:val="en-US" w:eastAsia="zh-CN" w:bidi="zh-CN"/>
              </w:rPr>
            </w:pPr>
            <w:r>
              <w:rPr>
                <w:rFonts w:hint="eastAsia" w:hAnsi="宋体" w:eastAsia="宋体" w:cs="宋体"/>
                <w:kern w:val="0"/>
                <w:sz w:val="21"/>
                <w:szCs w:val="21"/>
                <w:highlight w:val="none"/>
                <w:lang w:val="en-US" w:eastAsia="zh-CN" w:bidi="zh-CN"/>
              </w:rPr>
              <w:t>4</w:t>
            </w:r>
          </w:p>
        </w:tc>
        <w:tc>
          <w:tcPr>
            <w:tcW w:w="1070" w:type="dxa"/>
            <w:vMerge w:val="restart"/>
            <w:noWrap w:val="0"/>
            <w:vAlign w:val="center"/>
          </w:tcPr>
          <w:p>
            <w:pPr>
              <w:pStyle w:val="14"/>
              <w:keepNext w:val="0"/>
              <w:keepLines w:val="0"/>
              <w:pageBreakBefore w:val="0"/>
              <w:widowControl w:val="0"/>
              <w:suppressLineNumbers w:val="0"/>
              <w:kinsoku/>
              <w:wordWrap/>
              <w:overflowPunct/>
              <w:topLinePunct w:val="0"/>
              <w:autoSpaceDE/>
              <w:autoSpaceDN/>
              <w:bidi w:val="0"/>
              <w:snapToGrid/>
              <w:spacing w:before="0" w:beforeAutospacing="0" w:after="0" w:afterAutospacing="0" w:line="240" w:lineRule="auto"/>
              <w:ind w:left="0" w:right="0"/>
              <w:jc w:val="center"/>
              <w:textAlignment w:val="auto"/>
              <w:rPr>
                <w:rFonts w:hint="eastAsia" w:ascii="宋体" w:hAnsi="宋体" w:eastAsia="宋体" w:cs="宋体"/>
                <w:sz w:val="21"/>
                <w:szCs w:val="21"/>
                <w:highlight w:val="none"/>
              </w:rPr>
            </w:pPr>
            <w:r>
              <w:rPr>
                <w:rFonts w:hint="eastAsia" w:ascii="宋体" w:hAnsi="宋体" w:eastAsia="宋体" w:cs="宋体"/>
                <w:color w:val="auto"/>
                <w:kern w:val="0"/>
                <w:sz w:val="21"/>
                <w:szCs w:val="21"/>
                <w:highlight w:val="none"/>
                <w:lang w:val="en-US" w:eastAsia="zh-CN" w:bidi="ar"/>
              </w:rPr>
              <w:t>施工实施方案</w:t>
            </w:r>
          </w:p>
        </w:tc>
        <w:tc>
          <w:tcPr>
            <w:tcW w:w="7039"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right="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本项目实施重点和技术难点是否详细阐明，措施是否切实、可行；对建设阶段的重点、难点分析与设计阶段的处理。</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right="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实施重点和技术难点分析透彻、措施可行性高的上得8分，中得7分，下的6分；</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right="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实施重点和技术难点分析较透彻、措施可行性较高的上得5分，中得4分，下的3分；</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right="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实施重点和技术难点分析不透彻、措施可行性较低的上得2分，中得1分，下的0分。</w:t>
            </w:r>
          </w:p>
        </w:tc>
        <w:tc>
          <w:tcPr>
            <w:tcW w:w="772" w:type="dxa"/>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7" w:hRule="atLeast"/>
        </w:trPr>
        <w:tc>
          <w:tcPr>
            <w:tcW w:w="519" w:type="dxa"/>
            <w:vMerge w:val="continue"/>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kern w:val="0"/>
                <w:sz w:val="21"/>
                <w:szCs w:val="21"/>
                <w:highlight w:val="none"/>
                <w:lang w:val="en-US" w:eastAsia="zh-CN" w:bidi="zh-CN"/>
              </w:rPr>
            </w:pPr>
          </w:p>
        </w:tc>
        <w:tc>
          <w:tcPr>
            <w:tcW w:w="1070" w:type="dxa"/>
            <w:vMerge w:val="continue"/>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sz w:val="21"/>
                <w:szCs w:val="21"/>
                <w:highlight w:val="none"/>
              </w:rPr>
            </w:pPr>
          </w:p>
        </w:tc>
        <w:tc>
          <w:tcPr>
            <w:tcW w:w="7039" w:type="dxa"/>
            <w:noWrap w:val="0"/>
            <w:vAlign w:val="center"/>
          </w:tcPr>
          <w:p>
            <w:pPr>
              <w:pStyle w:val="14"/>
              <w:keepNext w:val="0"/>
              <w:keepLines w:val="0"/>
              <w:pageBreakBefore w:val="0"/>
              <w:widowControl w:val="0"/>
              <w:suppressLineNumbers w:val="0"/>
              <w:kinsoku/>
              <w:wordWrap/>
              <w:overflowPunct/>
              <w:topLinePunct w:val="0"/>
              <w:autoSpaceDE/>
              <w:autoSpaceDN/>
              <w:bidi w:val="0"/>
              <w:snapToGrid/>
              <w:spacing w:before="0" w:beforeAutospacing="0" w:after="0" w:afterAutospacing="0" w:line="240" w:lineRule="auto"/>
              <w:ind w:left="0" w:right="0"/>
              <w:textAlignment w:val="auto"/>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施工技术方案及关键部位技术措施，体现工艺先进，方案 科学、合理、可行；</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工艺先进，方案科学、合理的</w:t>
            </w:r>
            <w:r>
              <w:rPr>
                <w:rFonts w:hint="eastAsia" w:ascii="宋体" w:hAnsi="宋体" w:eastAsia="宋体" w:cs="宋体"/>
                <w:sz w:val="21"/>
                <w:szCs w:val="21"/>
                <w:highlight w:val="none"/>
                <w:lang w:val="en-US" w:eastAsia="zh-CN"/>
              </w:rPr>
              <w:t>上得</w:t>
            </w:r>
            <w:r>
              <w:rPr>
                <w:rFonts w:hint="eastAsia" w:hAnsi="宋体" w:eastAsia="宋体" w:cs="宋体"/>
                <w:sz w:val="21"/>
                <w:szCs w:val="21"/>
                <w:highlight w:val="none"/>
                <w:lang w:val="en-US" w:eastAsia="zh-CN"/>
              </w:rPr>
              <w:t>5</w:t>
            </w:r>
            <w:r>
              <w:rPr>
                <w:rFonts w:hint="eastAsia" w:ascii="宋体" w:hAnsi="宋体" w:eastAsia="宋体" w:cs="宋体"/>
                <w:sz w:val="21"/>
                <w:szCs w:val="21"/>
                <w:highlight w:val="none"/>
                <w:lang w:val="en-US" w:eastAsia="zh-CN"/>
              </w:rPr>
              <w:t>分，中得</w:t>
            </w:r>
            <w:r>
              <w:rPr>
                <w:rFonts w:hint="eastAsia" w:hAnsi="宋体" w:eastAsia="宋体" w:cs="宋体"/>
                <w:sz w:val="21"/>
                <w:szCs w:val="21"/>
                <w:highlight w:val="none"/>
                <w:lang w:val="en-US" w:eastAsia="zh-CN"/>
              </w:rPr>
              <w:t>4.5</w:t>
            </w:r>
            <w:r>
              <w:rPr>
                <w:rFonts w:hint="eastAsia" w:ascii="宋体" w:hAnsi="宋体" w:eastAsia="宋体" w:cs="宋体"/>
                <w:sz w:val="21"/>
                <w:szCs w:val="21"/>
                <w:highlight w:val="none"/>
                <w:lang w:val="en-US" w:eastAsia="zh-CN"/>
              </w:rPr>
              <w:t>分，下的</w:t>
            </w:r>
            <w:r>
              <w:rPr>
                <w:rFonts w:hint="eastAsia" w:hAnsi="宋体" w:eastAsia="宋体" w:cs="宋体"/>
                <w:sz w:val="21"/>
                <w:szCs w:val="21"/>
                <w:highlight w:val="none"/>
                <w:lang w:val="en-US" w:eastAsia="zh-CN"/>
              </w:rPr>
              <w:t>4</w:t>
            </w:r>
            <w:r>
              <w:rPr>
                <w:rFonts w:hint="eastAsia" w:ascii="宋体" w:hAnsi="宋体" w:eastAsia="宋体" w:cs="宋体"/>
                <w:sz w:val="21"/>
                <w:szCs w:val="21"/>
                <w:highlight w:val="none"/>
                <w:lang w:val="en-US" w:eastAsia="zh-CN"/>
              </w:rPr>
              <w:t>分</w:t>
            </w:r>
            <w:r>
              <w:rPr>
                <w:rFonts w:hint="eastAsia" w:ascii="宋体" w:hAnsi="宋体" w:eastAsia="宋体" w:cs="宋体"/>
                <w:color w:val="auto"/>
                <w:spacing w:val="0"/>
                <w:kern w:val="0"/>
                <w:sz w:val="21"/>
                <w:szCs w:val="21"/>
                <w:highlight w:val="none"/>
                <w:lang w:val="en-US" w:eastAsia="zh-CN" w:bidi="ar"/>
              </w:rPr>
              <w:t>；</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工艺较先进，方案较科学、较合理的</w:t>
            </w:r>
            <w:r>
              <w:rPr>
                <w:rFonts w:hint="eastAsia" w:ascii="宋体" w:hAnsi="宋体" w:eastAsia="宋体" w:cs="宋体"/>
                <w:sz w:val="21"/>
                <w:szCs w:val="21"/>
                <w:highlight w:val="none"/>
                <w:lang w:val="en-US" w:eastAsia="zh-CN"/>
              </w:rPr>
              <w:t>上得</w:t>
            </w:r>
            <w:r>
              <w:rPr>
                <w:rFonts w:hint="eastAsia" w:hAnsi="宋体" w:eastAsia="宋体" w:cs="宋体"/>
                <w:sz w:val="21"/>
                <w:szCs w:val="21"/>
                <w:highlight w:val="none"/>
                <w:lang w:val="en-US" w:eastAsia="zh-CN"/>
              </w:rPr>
              <w:t>3</w:t>
            </w:r>
            <w:r>
              <w:rPr>
                <w:rFonts w:hint="eastAsia" w:ascii="宋体" w:hAnsi="宋体" w:eastAsia="宋体" w:cs="宋体"/>
                <w:sz w:val="21"/>
                <w:szCs w:val="21"/>
                <w:highlight w:val="none"/>
                <w:lang w:val="en-US" w:eastAsia="zh-CN"/>
              </w:rPr>
              <w:t>分，中得</w:t>
            </w:r>
            <w:r>
              <w:rPr>
                <w:rFonts w:hint="eastAsia" w:hAnsi="宋体" w:eastAsia="宋体" w:cs="宋体"/>
                <w:sz w:val="21"/>
                <w:szCs w:val="21"/>
                <w:highlight w:val="none"/>
                <w:lang w:val="en-US" w:eastAsia="zh-CN"/>
              </w:rPr>
              <w:t>2.5</w:t>
            </w:r>
            <w:r>
              <w:rPr>
                <w:rFonts w:hint="eastAsia" w:ascii="宋体" w:hAnsi="宋体" w:eastAsia="宋体" w:cs="宋体"/>
                <w:sz w:val="21"/>
                <w:szCs w:val="21"/>
                <w:highlight w:val="none"/>
                <w:lang w:val="en-US" w:eastAsia="zh-CN"/>
              </w:rPr>
              <w:t>分，下的</w:t>
            </w:r>
            <w:r>
              <w:rPr>
                <w:rFonts w:hint="eastAsia" w:hAnsi="宋体" w:eastAsia="宋体" w:cs="宋体"/>
                <w:sz w:val="21"/>
                <w:szCs w:val="21"/>
                <w:highlight w:val="none"/>
                <w:lang w:val="en-US" w:eastAsia="zh-CN"/>
              </w:rPr>
              <w:t>2</w:t>
            </w:r>
            <w:r>
              <w:rPr>
                <w:rFonts w:hint="eastAsia" w:ascii="宋体" w:hAnsi="宋体" w:eastAsia="宋体" w:cs="宋体"/>
                <w:sz w:val="21"/>
                <w:szCs w:val="21"/>
                <w:highlight w:val="none"/>
                <w:lang w:val="en-US" w:eastAsia="zh-CN"/>
              </w:rPr>
              <w:t>分</w:t>
            </w:r>
            <w:r>
              <w:rPr>
                <w:rFonts w:hint="eastAsia" w:ascii="宋体" w:hAnsi="宋体" w:eastAsia="宋体" w:cs="宋体"/>
                <w:color w:val="auto"/>
                <w:spacing w:val="0"/>
                <w:kern w:val="0"/>
                <w:sz w:val="21"/>
                <w:szCs w:val="21"/>
                <w:highlight w:val="none"/>
                <w:lang w:val="en-US" w:eastAsia="zh-CN" w:bidi="ar"/>
              </w:rPr>
              <w:t>；</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lang w:eastAsia="zh-CN"/>
              </w:rPr>
            </w:pPr>
            <w:r>
              <w:rPr>
                <w:rFonts w:hint="eastAsia" w:ascii="宋体" w:hAnsi="宋体" w:eastAsia="宋体" w:cs="宋体"/>
                <w:color w:val="auto"/>
                <w:spacing w:val="0"/>
                <w:kern w:val="0"/>
                <w:sz w:val="21"/>
                <w:szCs w:val="21"/>
                <w:highlight w:val="none"/>
                <w:lang w:val="en-US" w:eastAsia="zh-CN" w:bidi="ar"/>
              </w:rPr>
              <w:t>工艺不先进，方案不科学、不合理的得1分。</w:t>
            </w:r>
          </w:p>
        </w:tc>
        <w:tc>
          <w:tcPr>
            <w:tcW w:w="772" w:type="dxa"/>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sz w:val="21"/>
                <w:szCs w:val="21"/>
                <w:highlight w:val="none"/>
                <w:lang w:val="en-US" w:eastAsia="zh-CN"/>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7" w:hRule="atLeast"/>
        </w:trPr>
        <w:tc>
          <w:tcPr>
            <w:tcW w:w="519" w:type="dxa"/>
            <w:vMerge w:val="continue"/>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kern w:val="0"/>
                <w:sz w:val="21"/>
                <w:szCs w:val="21"/>
                <w:highlight w:val="none"/>
                <w:lang w:val="en-US" w:eastAsia="zh-CN" w:bidi="zh-CN"/>
              </w:rPr>
            </w:pPr>
          </w:p>
        </w:tc>
        <w:tc>
          <w:tcPr>
            <w:tcW w:w="1070" w:type="dxa"/>
            <w:vMerge w:val="continue"/>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sz w:val="21"/>
                <w:szCs w:val="21"/>
                <w:highlight w:val="none"/>
                <w:lang w:eastAsia="zh-CN"/>
              </w:rPr>
            </w:pPr>
          </w:p>
        </w:tc>
        <w:tc>
          <w:tcPr>
            <w:tcW w:w="7039"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right="0"/>
              <w:textAlignment w:val="auto"/>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根据工程整体实施计划的先进性、合理性、可行性；质量、工期、安全文明施工保证措施的先进性、合理性、可行性由评委横向比较分档计分。</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实施计划合理、保证措施先进的</w:t>
            </w:r>
            <w:r>
              <w:rPr>
                <w:rFonts w:hint="eastAsia" w:ascii="宋体" w:hAnsi="宋体" w:eastAsia="宋体" w:cs="宋体"/>
                <w:sz w:val="21"/>
                <w:szCs w:val="21"/>
                <w:highlight w:val="none"/>
                <w:lang w:val="en-US" w:eastAsia="zh-CN"/>
              </w:rPr>
              <w:t>上得</w:t>
            </w:r>
            <w:r>
              <w:rPr>
                <w:rFonts w:hint="eastAsia" w:hAnsi="宋体" w:eastAsia="宋体" w:cs="宋体"/>
                <w:sz w:val="21"/>
                <w:szCs w:val="21"/>
                <w:highlight w:val="none"/>
                <w:lang w:val="en-US" w:eastAsia="zh-CN"/>
              </w:rPr>
              <w:t>5</w:t>
            </w:r>
            <w:r>
              <w:rPr>
                <w:rFonts w:hint="eastAsia" w:ascii="宋体" w:hAnsi="宋体" w:eastAsia="宋体" w:cs="宋体"/>
                <w:sz w:val="21"/>
                <w:szCs w:val="21"/>
                <w:highlight w:val="none"/>
                <w:lang w:val="en-US" w:eastAsia="zh-CN"/>
              </w:rPr>
              <w:t>分，中得</w:t>
            </w:r>
            <w:r>
              <w:rPr>
                <w:rFonts w:hint="eastAsia" w:hAnsi="宋体" w:eastAsia="宋体" w:cs="宋体"/>
                <w:sz w:val="21"/>
                <w:szCs w:val="21"/>
                <w:highlight w:val="none"/>
                <w:lang w:val="en-US" w:eastAsia="zh-CN"/>
              </w:rPr>
              <w:t>4.5</w:t>
            </w:r>
            <w:r>
              <w:rPr>
                <w:rFonts w:hint="eastAsia" w:ascii="宋体" w:hAnsi="宋体" w:eastAsia="宋体" w:cs="宋体"/>
                <w:sz w:val="21"/>
                <w:szCs w:val="21"/>
                <w:highlight w:val="none"/>
                <w:lang w:val="en-US" w:eastAsia="zh-CN"/>
              </w:rPr>
              <w:t>分，下的</w:t>
            </w:r>
            <w:r>
              <w:rPr>
                <w:rFonts w:hint="eastAsia" w:hAnsi="宋体" w:eastAsia="宋体" w:cs="宋体"/>
                <w:sz w:val="21"/>
                <w:szCs w:val="21"/>
                <w:highlight w:val="none"/>
                <w:lang w:val="en-US" w:eastAsia="zh-CN"/>
              </w:rPr>
              <w:t>4</w:t>
            </w:r>
            <w:r>
              <w:rPr>
                <w:rFonts w:hint="eastAsia" w:ascii="宋体" w:hAnsi="宋体" w:eastAsia="宋体" w:cs="宋体"/>
                <w:sz w:val="21"/>
                <w:szCs w:val="21"/>
                <w:highlight w:val="none"/>
                <w:lang w:val="en-US" w:eastAsia="zh-CN"/>
              </w:rPr>
              <w:t>分</w:t>
            </w:r>
            <w:r>
              <w:rPr>
                <w:rFonts w:hint="eastAsia" w:ascii="宋体" w:hAnsi="宋体" w:eastAsia="宋体" w:cs="宋体"/>
                <w:color w:val="auto"/>
                <w:spacing w:val="0"/>
                <w:kern w:val="0"/>
                <w:sz w:val="21"/>
                <w:szCs w:val="21"/>
                <w:highlight w:val="none"/>
                <w:lang w:val="en-US" w:eastAsia="zh-CN" w:bidi="ar"/>
              </w:rPr>
              <w:t>；</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实施计划较合理、保证措施较先进的</w:t>
            </w:r>
            <w:r>
              <w:rPr>
                <w:rFonts w:hint="eastAsia" w:ascii="宋体" w:hAnsi="宋体" w:eastAsia="宋体" w:cs="宋体"/>
                <w:sz w:val="21"/>
                <w:szCs w:val="21"/>
                <w:highlight w:val="none"/>
                <w:lang w:val="en-US" w:eastAsia="zh-CN"/>
              </w:rPr>
              <w:t>上得</w:t>
            </w:r>
            <w:r>
              <w:rPr>
                <w:rFonts w:hint="eastAsia" w:hAnsi="宋体" w:eastAsia="宋体" w:cs="宋体"/>
                <w:sz w:val="21"/>
                <w:szCs w:val="21"/>
                <w:highlight w:val="none"/>
                <w:lang w:val="en-US" w:eastAsia="zh-CN"/>
              </w:rPr>
              <w:t>3</w:t>
            </w:r>
            <w:r>
              <w:rPr>
                <w:rFonts w:hint="eastAsia" w:ascii="宋体" w:hAnsi="宋体" w:eastAsia="宋体" w:cs="宋体"/>
                <w:sz w:val="21"/>
                <w:szCs w:val="21"/>
                <w:highlight w:val="none"/>
                <w:lang w:val="en-US" w:eastAsia="zh-CN"/>
              </w:rPr>
              <w:t>分，中得</w:t>
            </w:r>
            <w:r>
              <w:rPr>
                <w:rFonts w:hint="eastAsia" w:hAnsi="宋体" w:eastAsia="宋体" w:cs="宋体"/>
                <w:sz w:val="21"/>
                <w:szCs w:val="21"/>
                <w:highlight w:val="none"/>
                <w:lang w:val="en-US" w:eastAsia="zh-CN"/>
              </w:rPr>
              <w:t>2.5</w:t>
            </w:r>
            <w:r>
              <w:rPr>
                <w:rFonts w:hint="eastAsia" w:ascii="宋体" w:hAnsi="宋体" w:eastAsia="宋体" w:cs="宋体"/>
                <w:sz w:val="21"/>
                <w:szCs w:val="21"/>
                <w:highlight w:val="none"/>
                <w:lang w:val="en-US" w:eastAsia="zh-CN"/>
              </w:rPr>
              <w:t>分，下的</w:t>
            </w:r>
            <w:r>
              <w:rPr>
                <w:rFonts w:hint="eastAsia" w:hAnsi="宋体" w:eastAsia="宋体" w:cs="宋体"/>
                <w:sz w:val="21"/>
                <w:szCs w:val="21"/>
                <w:highlight w:val="none"/>
                <w:lang w:val="en-US" w:eastAsia="zh-CN"/>
              </w:rPr>
              <w:t>2</w:t>
            </w:r>
            <w:r>
              <w:rPr>
                <w:rFonts w:hint="eastAsia" w:ascii="宋体" w:hAnsi="宋体" w:eastAsia="宋体" w:cs="宋体"/>
                <w:sz w:val="21"/>
                <w:szCs w:val="21"/>
                <w:highlight w:val="none"/>
                <w:lang w:val="en-US" w:eastAsia="zh-CN"/>
              </w:rPr>
              <w:t>分</w:t>
            </w:r>
            <w:r>
              <w:rPr>
                <w:rFonts w:hint="eastAsia" w:ascii="宋体" w:hAnsi="宋体" w:eastAsia="宋体" w:cs="宋体"/>
                <w:color w:val="auto"/>
                <w:spacing w:val="0"/>
                <w:kern w:val="0"/>
                <w:sz w:val="21"/>
                <w:szCs w:val="21"/>
                <w:highlight w:val="none"/>
                <w:lang w:val="en-US" w:eastAsia="zh-CN" w:bidi="ar"/>
              </w:rPr>
              <w:t>；</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sz w:val="21"/>
                <w:szCs w:val="21"/>
                <w:highlight w:val="none"/>
                <w:lang w:eastAsia="zh-CN"/>
              </w:rPr>
            </w:pPr>
            <w:r>
              <w:rPr>
                <w:rFonts w:hint="eastAsia" w:ascii="宋体" w:hAnsi="宋体" w:eastAsia="宋体" w:cs="宋体"/>
                <w:color w:val="auto"/>
                <w:spacing w:val="0"/>
                <w:kern w:val="0"/>
                <w:sz w:val="21"/>
                <w:szCs w:val="21"/>
                <w:highlight w:val="none"/>
                <w:lang w:val="en-US" w:eastAsia="zh-CN" w:bidi="ar"/>
              </w:rPr>
              <w:t>实施计划</w:t>
            </w:r>
            <w:r>
              <w:rPr>
                <w:rFonts w:hint="eastAsia" w:hAnsi="宋体" w:eastAsia="宋体" w:cs="宋体"/>
                <w:color w:val="auto"/>
                <w:spacing w:val="0"/>
                <w:kern w:val="0"/>
                <w:sz w:val="21"/>
                <w:szCs w:val="21"/>
                <w:highlight w:val="none"/>
                <w:lang w:val="en-US" w:eastAsia="zh-CN" w:bidi="ar"/>
              </w:rPr>
              <w:t>不</w:t>
            </w:r>
            <w:r>
              <w:rPr>
                <w:rFonts w:hint="eastAsia" w:ascii="宋体" w:hAnsi="宋体" w:eastAsia="宋体" w:cs="宋体"/>
                <w:color w:val="auto"/>
                <w:spacing w:val="0"/>
                <w:kern w:val="0"/>
                <w:sz w:val="21"/>
                <w:szCs w:val="21"/>
                <w:highlight w:val="none"/>
                <w:lang w:val="en-US" w:eastAsia="zh-CN" w:bidi="ar"/>
              </w:rPr>
              <w:t>合理、保证措施</w:t>
            </w:r>
            <w:r>
              <w:rPr>
                <w:rFonts w:hint="eastAsia" w:hAnsi="宋体" w:eastAsia="宋体" w:cs="宋体"/>
                <w:color w:val="auto"/>
                <w:spacing w:val="0"/>
                <w:kern w:val="0"/>
                <w:sz w:val="21"/>
                <w:szCs w:val="21"/>
                <w:highlight w:val="none"/>
                <w:lang w:val="en-US" w:eastAsia="zh-CN" w:bidi="ar"/>
              </w:rPr>
              <w:t>不</w:t>
            </w:r>
            <w:r>
              <w:rPr>
                <w:rFonts w:hint="eastAsia" w:ascii="宋体" w:hAnsi="宋体" w:eastAsia="宋体" w:cs="宋体"/>
                <w:color w:val="auto"/>
                <w:spacing w:val="0"/>
                <w:kern w:val="0"/>
                <w:sz w:val="21"/>
                <w:szCs w:val="21"/>
                <w:highlight w:val="none"/>
                <w:lang w:val="en-US" w:eastAsia="zh-CN" w:bidi="ar"/>
              </w:rPr>
              <w:t>先进的得1分。</w:t>
            </w:r>
          </w:p>
        </w:tc>
        <w:tc>
          <w:tcPr>
            <w:tcW w:w="772" w:type="dxa"/>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sz w:val="21"/>
                <w:szCs w:val="21"/>
                <w:highlight w:val="none"/>
                <w:lang w:val="en-US" w:eastAsia="zh-CN"/>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6" w:hRule="atLeast"/>
        </w:trPr>
        <w:tc>
          <w:tcPr>
            <w:tcW w:w="519"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jc w:val="center"/>
              <w:rPr>
                <w:rFonts w:hint="default"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5</w:t>
            </w:r>
          </w:p>
        </w:tc>
        <w:tc>
          <w:tcPr>
            <w:tcW w:w="107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项目施工质量保证</w:t>
            </w:r>
          </w:p>
        </w:tc>
        <w:tc>
          <w:tcPr>
            <w:tcW w:w="7039" w:type="dxa"/>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根据施工质量的控制和检验手段是否科学、可靠，原材料、半成品的质量保证措施是否可靠进行打分。</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1、施工质量的控制和检验手段科学、可靠，原材料、半成品的质量保证措施可靠性好的</w:t>
            </w:r>
            <w:r>
              <w:rPr>
                <w:rFonts w:hint="eastAsia" w:ascii="宋体" w:hAnsi="宋体" w:eastAsia="宋体" w:cs="宋体"/>
                <w:sz w:val="21"/>
                <w:szCs w:val="21"/>
                <w:highlight w:val="none"/>
                <w:lang w:val="en-US" w:eastAsia="zh-CN"/>
              </w:rPr>
              <w:t>上得8分，中得7分，下的6分</w:t>
            </w:r>
            <w:r>
              <w:rPr>
                <w:rFonts w:hint="eastAsia" w:ascii="宋体" w:hAnsi="宋体" w:eastAsia="宋体" w:cs="宋体"/>
                <w:color w:val="auto"/>
                <w:spacing w:val="0"/>
                <w:kern w:val="0"/>
                <w:sz w:val="21"/>
                <w:szCs w:val="21"/>
                <w:highlight w:val="none"/>
                <w:lang w:val="en-US" w:eastAsia="zh-CN" w:bidi="ar"/>
              </w:rPr>
              <w:t>；</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2、施工质量的控制和检验手段较为科学、可靠，原材料、半成品的质量保证措施可靠性一般的</w:t>
            </w:r>
            <w:r>
              <w:rPr>
                <w:rFonts w:hint="eastAsia" w:ascii="宋体" w:hAnsi="宋体" w:eastAsia="宋体" w:cs="宋体"/>
                <w:sz w:val="21"/>
                <w:szCs w:val="21"/>
                <w:highlight w:val="none"/>
                <w:lang w:val="en-US" w:eastAsia="zh-CN"/>
              </w:rPr>
              <w:t>上得5分，中得4分，下的3分</w:t>
            </w:r>
            <w:r>
              <w:rPr>
                <w:rFonts w:hint="eastAsia" w:ascii="宋体" w:hAnsi="宋体" w:eastAsia="宋体" w:cs="宋体"/>
                <w:color w:val="auto"/>
                <w:spacing w:val="0"/>
                <w:kern w:val="0"/>
                <w:sz w:val="21"/>
                <w:szCs w:val="21"/>
                <w:highlight w:val="none"/>
                <w:lang w:val="en-US" w:eastAsia="zh-CN" w:bidi="ar"/>
              </w:rPr>
              <w:t>；</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3、施工质量的控制和检验手段缺乏科学、可靠，原材料、半成品的质量保证措施可靠性差的</w:t>
            </w:r>
            <w:r>
              <w:rPr>
                <w:rFonts w:hint="eastAsia" w:ascii="宋体" w:hAnsi="宋体" w:eastAsia="宋体" w:cs="宋体"/>
                <w:sz w:val="21"/>
                <w:szCs w:val="21"/>
                <w:highlight w:val="none"/>
                <w:lang w:val="en-US" w:eastAsia="zh-CN"/>
              </w:rPr>
              <w:t>上得2分，中得1分，下的0分</w:t>
            </w:r>
            <w:r>
              <w:rPr>
                <w:rFonts w:hint="eastAsia" w:ascii="宋体" w:hAnsi="宋体" w:eastAsia="宋体" w:cs="宋体"/>
                <w:color w:val="auto"/>
                <w:spacing w:val="0"/>
                <w:kern w:val="0"/>
                <w:sz w:val="21"/>
                <w:szCs w:val="21"/>
                <w:highlight w:val="none"/>
                <w:lang w:val="en-US" w:eastAsia="zh-CN" w:bidi="ar"/>
              </w:rPr>
              <w:t>；</w:t>
            </w:r>
          </w:p>
        </w:tc>
        <w:tc>
          <w:tcPr>
            <w:tcW w:w="772" w:type="dxa"/>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6" w:hRule="atLeast"/>
        </w:trPr>
        <w:tc>
          <w:tcPr>
            <w:tcW w:w="519" w:type="dxa"/>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jc w:val="center"/>
              <w:rPr>
                <w:rFonts w:hint="default"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6</w:t>
            </w:r>
          </w:p>
        </w:tc>
        <w:tc>
          <w:tcPr>
            <w:tcW w:w="107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应急预案</w:t>
            </w:r>
          </w:p>
        </w:tc>
        <w:tc>
          <w:tcPr>
            <w:tcW w:w="7039" w:type="dxa"/>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根据针对本项目的应急预案进行打分。</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1、应急预案可操作性强、全面的得3分；</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2、应急预案可操作性一般、有待提高的得2分；</w:t>
            </w:r>
          </w:p>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3、应急预案可操作性差，不全面的得1分；</w:t>
            </w:r>
          </w:p>
        </w:tc>
        <w:tc>
          <w:tcPr>
            <w:tcW w:w="772" w:type="dxa"/>
            <w:noWrap w:val="0"/>
            <w:vAlign w:val="center"/>
          </w:tcPr>
          <w:p>
            <w:pPr>
              <w:pStyle w:val="77"/>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color w:val="auto"/>
                <w:spacing w:val="0"/>
                <w:kern w:val="0"/>
                <w:sz w:val="21"/>
                <w:szCs w:val="21"/>
                <w:highlight w:val="none"/>
                <w:lang w:val="en-US" w:eastAsia="zh-CN" w:bidi="ar"/>
              </w:rPr>
            </w:pPr>
            <w:r>
              <w:rPr>
                <w:rFonts w:hint="eastAsia" w:ascii="宋体" w:hAnsi="宋体" w:eastAsia="宋体" w:cs="宋体"/>
                <w:color w:val="auto"/>
                <w:spacing w:val="0"/>
                <w:kern w:val="0"/>
                <w:sz w:val="21"/>
                <w:szCs w:val="21"/>
                <w:highlight w:val="none"/>
                <w:lang w:val="en-US" w:eastAsia="zh-CN" w:bidi="ar"/>
              </w:rPr>
              <w:t>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19" w:type="dxa"/>
            <w:tcBorders>
              <w:bottom w:val="single" w:color="auto" w:sz="4" w:space="0"/>
            </w:tcBorders>
            <w:noWrap w:val="0"/>
            <w:vAlign w:val="center"/>
          </w:tcPr>
          <w:p>
            <w:pPr>
              <w:keepNext w:val="0"/>
              <w:keepLines w:val="0"/>
              <w:pageBreakBefore w:val="0"/>
              <w:suppressLineNumbers w:val="0"/>
              <w:kinsoku/>
              <w:wordWrap/>
              <w:overflowPunct/>
              <w:topLinePunct w:val="0"/>
              <w:bidi w:val="0"/>
              <w:snapToGrid/>
              <w:spacing w:before="0" w:beforeAutospacing="0" w:after="0" w:afterAutospacing="0" w:line="240" w:lineRule="auto"/>
              <w:ind w:left="0" w:right="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7</w:t>
            </w:r>
          </w:p>
        </w:tc>
        <w:tc>
          <w:tcPr>
            <w:tcW w:w="1070" w:type="dxa"/>
            <w:tcBorders>
              <w:bottom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质保期</w:t>
            </w:r>
          </w:p>
        </w:tc>
        <w:tc>
          <w:tcPr>
            <w:tcW w:w="7039" w:type="dxa"/>
            <w:tcBorders>
              <w:bottom w:val="single" w:color="auto" w:sz="4" w:space="0"/>
            </w:tcBorders>
            <w:noWrap w:val="0"/>
            <w:vAlign w:val="center"/>
          </w:tcPr>
          <w:p>
            <w:pPr>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rPr>
                <w:rFonts w:hint="eastAsia" w:ascii="宋体" w:hAnsi="宋体" w:eastAsia="宋体" w:cs="宋体"/>
                <w:b/>
                <w:sz w:val="21"/>
                <w:szCs w:val="21"/>
                <w:highlight w:val="none"/>
                <w:lang w:eastAsia="zh-CN"/>
              </w:rPr>
            </w:pPr>
            <w:r>
              <w:rPr>
                <w:rFonts w:hint="eastAsia" w:ascii="宋体" w:hAnsi="宋体" w:eastAsia="宋体" w:cs="宋体"/>
                <w:sz w:val="21"/>
                <w:szCs w:val="21"/>
                <w:highlight w:val="none"/>
              </w:rPr>
              <w:t>质保期超过</w:t>
            </w:r>
            <w:r>
              <w:rPr>
                <w:rFonts w:hint="eastAsia" w:ascii="宋体" w:hAnsi="宋体" w:eastAsia="宋体" w:cs="宋体"/>
                <w:sz w:val="21"/>
                <w:szCs w:val="21"/>
                <w:highlight w:val="none"/>
                <w:lang w:eastAsia="zh-CN"/>
              </w:rPr>
              <w:t>招标</w:t>
            </w:r>
            <w:r>
              <w:rPr>
                <w:rFonts w:hint="eastAsia" w:ascii="宋体" w:hAnsi="宋体" w:eastAsia="宋体" w:cs="宋体"/>
                <w:sz w:val="21"/>
                <w:szCs w:val="21"/>
                <w:highlight w:val="none"/>
              </w:rPr>
              <w:t>文件规定的，每增加</w:t>
            </w:r>
            <w:r>
              <w:rPr>
                <w:rFonts w:hint="eastAsia" w:ascii="宋体" w:hAnsi="宋体" w:eastAsia="宋体" w:cs="宋体"/>
                <w:sz w:val="21"/>
                <w:szCs w:val="21"/>
                <w:highlight w:val="none"/>
                <w:lang w:val="en-US" w:eastAsia="zh-CN"/>
              </w:rPr>
              <w:t>0.5</w:t>
            </w:r>
            <w:r>
              <w:rPr>
                <w:rFonts w:hint="eastAsia" w:ascii="宋体" w:hAnsi="宋体" w:eastAsia="宋体" w:cs="宋体"/>
                <w:sz w:val="21"/>
                <w:szCs w:val="21"/>
                <w:highlight w:val="none"/>
              </w:rPr>
              <w:t>年得1分,最多得2分，不增加的不得分</w:t>
            </w:r>
            <w:r>
              <w:rPr>
                <w:rFonts w:hint="eastAsia" w:ascii="宋体" w:hAnsi="宋体" w:eastAsia="宋体" w:cs="宋体"/>
                <w:sz w:val="21"/>
                <w:szCs w:val="21"/>
                <w:highlight w:val="none"/>
                <w:lang w:eastAsia="zh-CN"/>
              </w:rPr>
              <w:t>。</w:t>
            </w:r>
          </w:p>
        </w:tc>
        <w:tc>
          <w:tcPr>
            <w:tcW w:w="772" w:type="dxa"/>
            <w:tcBorders>
              <w:bottom w:val="single" w:color="auto" w:sz="4" w:space="0"/>
            </w:tcBorders>
            <w:noWrap w:val="0"/>
            <w:vAlign w:val="center"/>
          </w:tcPr>
          <w:p>
            <w:pPr>
              <w:keepNext w:val="0"/>
              <w:keepLines w:val="0"/>
              <w:pageBreakBefore w:val="0"/>
              <w:suppressLineNumbers w:val="0"/>
              <w:kinsoku/>
              <w:wordWrap/>
              <w:overflowPunct/>
              <w:topLinePunct w:val="0"/>
              <w:autoSpaceDE/>
              <w:autoSpaceDN/>
              <w:bidi w:val="0"/>
              <w:snapToGrid/>
              <w:spacing w:before="0" w:beforeAutospacing="0" w:after="0" w:afterAutospacing="0" w:line="240" w:lineRule="auto"/>
              <w:ind w:left="0" w:right="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19" w:type="dxa"/>
            <w:tcBorders>
              <w:bottom w:val="single" w:color="auto" w:sz="4" w:space="0"/>
            </w:tcBorders>
            <w:noWrap w:val="0"/>
            <w:vAlign w:val="center"/>
          </w:tcPr>
          <w:p>
            <w:pPr>
              <w:keepNext w:val="0"/>
              <w:keepLines w:val="0"/>
              <w:suppressLineNumbers w:val="0"/>
              <w:spacing w:before="0" w:beforeAutospacing="0" w:after="0" w:afterAutospacing="0" w:line="240" w:lineRule="auto"/>
              <w:ind w:left="0" w:leftChars="0" w:right="0" w:rightChars="0"/>
              <w:jc w:val="center"/>
              <w:rPr>
                <w:rFonts w:hint="default"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8</w:t>
            </w:r>
          </w:p>
        </w:tc>
        <w:tc>
          <w:tcPr>
            <w:tcW w:w="1070" w:type="dxa"/>
            <w:tcBorders>
              <w:bottom w:val="single" w:color="auto" w:sz="4" w:space="0"/>
            </w:tcBorders>
            <w:noWrap w:val="0"/>
            <w:vAlign w:val="center"/>
          </w:tcPr>
          <w:p>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价格</w:t>
            </w:r>
            <w:r>
              <w:rPr>
                <w:rFonts w:hint="eastAsia" w:ascii="宋体" w:hAnsi="宋体" w:eastAsia="宋体" w:cs="宋体"/>
                <w:sz w:val="21"/>
                <w:szCs w:val="21"/>
                <w:lang w:eastAsia="zh-CN"/>
              </w:rPr>
              <w:t>分</w:t>
            </w:r>
          </w:p>
        </w:tc>
        <w:tc>
          <w:tcPr>
            <w:tcW w:w="7039" w:type="dxa"/>
            <w:tcBorders>
              <w:bottom w:val="single" w:color="auto" w:sz="4" w:space="0"/>
            </w:tcBorders>
            <w:noWrap w:val="0"/>
            <w:vAlign w:val="center"/>
          </w:tcPr>
          <w:p>
            <w:pPr>
              <w:keepNext w:val="0"/>
              <w:keepLines w:val="0"/>
              <w:suppressLineNumbers w:val="0"/>
              <w:spacing w:before="0" w:beforeAutospacing="0" w:after="0" w:afterAutospacing="0" w:line="240" w:lineRule="auto"/>
              <w:ind w:left="0" w:leftChars="0" w:right="0" w:right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取投标合格供应商的投标最终报价最低价为基准价。基准价为</w:t>
            </w:r>
            <w:r>
              <w:rPr>
                <w:rFonts w:hint="eastAsia" w:ascii="宋体" w:hAnsi="宋体" w:cs="宋体"/>
                <w:kern w:val="2"/>
                <w:sz w:val="21"/>
                <w:szCs w:val="21"/>
                <w:lang w:val="en-US" w:eastAsia="zh-CN" w:bidi="ar-SA"/>
              </w:rPr>
              <w:t>20</w:t>
            </w:r>
            <w:r>
              <w:rPr>
                <w:rFonts w:hint="eastAsia" w:ascii="宋体" w:hAnsi="宋体" w:eastAsia="宋体" w:cs="宋体"/>
                <w:kern w:val="2"/>
                <w:sz w:val="21"/>
                <w:szCs w:val="21"/>
                <w:lang w:val="en-US" w:eastAsia="zh-CN" w:bidi="ar-SA"/>
              </w:rPr>
              <w:t>分。投标报价得分＝（评标基准价/最终投标报价）×</w:t>
            </w:r>
            <w:r>
              <w:rPr>
                <w:rFonts w:hint="eastAsia" w:ascii="宋体" w:hAnsi="宋体" w:cs="宋体"/>
                <w:kern w:val="2"/>
                <w:sz w:val="21"/>
                <w:szCs w:val="21"/>
                <w:lang w:val="en-US" w:eastAsia="zh-CN" w:bidi="ar-SA"/>
              </w:rPr>
              <w:t>20</w:t>
            </w:r>
            <w:r>
              <w:rPr>
                <w:rFonts w:hint="eastAsia" w:ascii="宋体" w:hAnsi="宋体" w:eastAsia="宋体" w:cs="宋体"/>
                <w:kern w:val="2"/>
                <w:sz w:val="21"/>
                <w:szCs w:val="21"/>
                <w:lang w:val="en-US" w:eastAsia="zh-CN" w:bidi="ar-SA"/>
              </w:rPr>
              <w:t>%×100（小数点后保留2位小数）。</w:t>
            </w:r>
          </w:p>
        </w:tc>
        <w:tc>
          <w:tcPr>
            <w:tcW w:w="772" w:type="dxa"/>
            <w:tcBorders>
              <w:bottom w:val="single" w:color="auto" w:sz="4" w:space="0"/>
            </w:tcBorders>
            <w:noWrap w:val="0"/>
            <w:vAlign w:val="center"/>
          </w:tcPr>
          <w:p>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20</w:t>
            </w:r>
            <w:r>
              <w:rPr>
                <w:rFonts w:hint="eastAsia" w:ascii="宋体" w:hAnsi="宋体" w:eastAsia="宋体" w:cs="宋体"/>
                <w:kern w:val="2"/>
                <w:sz w:val="21"/>
                <w:szCs w:val="21"/>
                <w:lang w:val="en-US" w:eastAsia="zh-CN" w:bidi="ar-SA"/>
              </w:rPr>
              <w:t>分</w:t>
            </w:r>
          </w:p>
        </w:tc>
      </w:tr>
    </w:tbl>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1.评分标准</w:t>
      </w:r>
    </w:p>
    <w:p>
      <w:pPr>
        <w:pStyle w:val="24"/>
        <w:keepNext w:val="0"/>
        <w:keepLines w:val="0"/>
        <w:pageBreakBefore w:val="0"/>
        <w:kinsoku/>
        <w:wordWrap/>
        <w:overflowPunct/>
        <w:topLinePunct w:val="0"/>
        <w:bidi w:val="0"/>
        <w:spacing w:before="0" w:beforeAutospacing="0" w:after="0" w:afterAutospacing="0" w:line="400" w:lineRule="exact"/>
        <w:ind w:firstLine="442" w:firstLineChars="200"/>
        <w:jc w:val="both"/>
        <w:textAlignment w:val="auto"/>
        <w:outlineLvl w:val="9"/>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注：请扫描上传合同、证书、报告及其他相关证明材料的原件至投标文件，并加盖电子印章。</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2.评审要求</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（1）评标委员会应当按照招标文件中规定的评标方法和标准，对符合性审查合格的投标文件的商务部分和技术部分进行综合比较与评价，其中客观评分项的分值应当一致。</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（2）对于投标文件报价出现前后不一致的，除招标文件另有规定外，按照下列规定修正：</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①‘政府采购云平台’上开启的投标报价与电子投标文件中开标一览表（报价表）内容不一致的，以电子投标文件中开标一览表（报价表）为准。</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②投标文件中开标一览表（报价表）内容与投标文件中相应内容不一致的，以开标一览表（报价表）为准；</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③大写金额和小写金额不一致的，以大写金额为准；</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④单价金额小数点或者百分比有明显错位的，以开标一览表的总价为准，并修改单价；</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fldChar w:fldCharType="begin"/>
      </w:r>
      <w:r>
        <w:rPr>
          <w:rFonts w:hint="eastAsia" w:ascii="宋体" w:hAnsi="宋体" w:eastAsia="宋体" w:cs="宋体"/>
          <w:color w:val="auto"/>
          <w:sz w:val="22"/>
          <w:szCs w:val="22"/>
          <w:highlight w:val="none"/>
          <w:lang w:val="zh-CN"/>
        </w:rPr>
        <w:instrText xml:space="preserve"> = 5 \* GB3 \* MERGEFORMAT </w:instrText>
      </w:r>
      <w:r>
        <w:rPr>
          <w:rFonts w:hint="eastAsia" w:ascii="宋体" w:hAnsi="宋体" w:eastAsia="宋体" w:cs="宋体"/>
          <w:color w:val="auto"/>
          <w:sz w:val="22"/>
          <w:szCs w:val="22"/>
          <w:highlight w:val="none"/>
          <w:lang w:val="zh-CN"/>
        </w:rPr>
        <w:fldChar w:fldCharType="separate"/>
      </w:r>
      <w:r>
        <w:rPr>
          <w:rFonts w:hint="eastAsia" w:ascii="宋体" w:hAnsi="宋体" w:eastAsia="宋体" w:cs="宋体"/>
          <w:color w:val="auto"/>
          <w:sz w:val="22"/>
          <w:szCs w:val="22"/>
          <w:highlight w:val="none"/>
          <w:lang w:val="zh-CN"/>
        </w:rPr>
        <w:t>⑤</w:t>
      </w:r>
      <w:r>
        <w:rPr>
          <w:rFonts w:hint="eastAsia" w:ascii="宋体" w:hAnsi="宋体" w:eastAsia="宋体" w:cs="宋体"/>
          <w:color w:val="auto"/>
          <w:sz w:val="22"/>
          <w:szCs w:val="22"/>
          <w:highlight w:val="none"/>
          <w:lang w:val="zh-CN"/>
        </w:rPr>
        <w:fldChar w:fldCharType="end"/>
      </w:r>
      <w:r>
        <w:rPr>
          <w:rFonts w:hint="eastAsia" w:ascii="宋体" w:hAnsi="宋体" w:eastAsia="宋体" w:cs="宋体"/>
          <w:color w:val="auto"/>
          <w:sz w:val="22"/>
          <w:szCs w:val="22"/>
          <w:highlight w:val="none"/>
          <w:lang w:val="zh-CN"/>
        </w:rPr>
        <w:t>总价金额与按单价汇总金额不一致的，以单价金额计算结果为准。</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同时出现两种以上不一致的，按照前款规定的顺序修正。修正应当采用电子询标的形式，并加盖公章（电子印章）。</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（3）对于投标文件中含义不明确、同类问题表述不一致或者有明显文字和计算错误的内容，评标委员会应当要求</w:t>
      </w:r>
      <w:r>
        <w:rPr>
          <w:rFonts w:hint="eastAsia" w:ascii="宋体" w:hAnsi="宋体" w:eastAsia="宋体" w:cs="宋体"/>
          <w:color w:val="auto"/>
          <w:sz w:val="22"/>
          <w:szCs w:val="22"/>
          <w:highlight w:val="none"/>
          <w:lang w:val="zh-CN" w:eastAsia="zh-CN"/>
        </w:rPr>
        <w:t>供应商</w:t>
      </w:r>
      <w:r>
        <w:rPr>
          <w:rFonts w:hint="eastAsia" w:ascii="宋体" w:hAnsi="宋体" w:eastAsia="宋体" w:cs="宋体"/>
          <w:color w:val="auto"/>
          <w:sz w:val="22"/>
          <w:szCs w:val="22"/>
          <w:highlight w:val="none"/>
          <w:lang w:val="zh-CN"/>
        </w:rPr>
        <w:t>作出必要的澄清、说明或者补正。</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w:t>
      </w:r>
      <w:r>
        <w:rPr>
          <w:rFonts w:hint="eastAsia" w:ascii="宋体" w:hAnsi="宋体" w:eastAsia="宋体" w:cs="宋体"/>
          <w:color w:val="auto"/>
          <w:sz w:val="22"/>
          <w:szCs w:val="22"/>
          <w:highlight w:val="none"/>
          <w:lang w:val="zh-CN" w:eastAsia="zh-CN"/>
        </w:rPr>
        <w:t>供应商</w:t>
      </w:r>
      <w:r>
        <w:rPr>
          <w:rFonts w:hint="eastAsia" w:ascii="宋体" w:hAnsi="宋体" w:eastAsia="宋体" w:cs="宋体"/>
          <w:color w:val="auto"/>
          <w:sz w:val="22"/>
          <w:szCs w:val="22"/>
          <w:highlight w:val="none"/>
          <w:lang w:val="zh-CN"/>
        </w:rPr>
        <w:t>的澄清、说明或者补正采用书面形式，并加盖公章（电子印章）或者由法定代表人或授权委托代理人签字，且不得超出投标文件的范围或者改变投标文件的实质性内容。</w:t>
      </w:r>
    </w:p>
    <w:p>
      <w:pPr>
        <w:keepNext w:val="0"/>
        <w:keepLines w:val="0"/>
        <w:pageBreakBefore w:val="0"/>
        <w:kinsoku/>
        <w:wordWrap/>
        <w:overflowPunct/>
        <w:topLinePunct w:val="0"/>
        <w:bidi w:val="0"/>
        <w:snapToGrid w:val="0"/>
        <w:spacing w:line="400" w:lineRule="exact"/>
        <w:ind w:firstLine="442" w:firstLineChars="200"/>
        <w:textAlignment w:val="auto"/>
        <w:outlineLvl w:val="9"/>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（四）结果汇总及排序</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评标委员会各成员应当独立对每个</w:t>
      </w:r>
      <w:r>
        <w:rPr>
          <w:rFonts w:hint="eastAsia" w:ascii="宋体" w:hAnsi="宋体" w:eastAsia="宋体" w:cs="宋体"/>
          <w:color w:val="auto"/>
          <w:sz w:val="22"/>
          <w:szCs w:val="22"/>
          <w:highlight w:val="none"/>
          <w:lang w:val="zh-CN" w:eastAsia="zh-CN"/>
        </w:rPr>
        <w:t>供应商</w:t>
      </w:r>
      <w:r>
        <w:rPr>
          <w:rFonts w:hint="eastAsia" w:ascii="宋体" w:hAnsi="宋体" w:eastAsia="宋体" w:cs="宋体"/>
          <w:color w:val="auto"/>
          <w:sz w:val="22"/>
          <w:szCs w:val="22"/>
          <w:highlight w:val="none"/>
          <w:lang w:val="zh-CN"/>
        </w:rPr>
        <w:t>的投标文件进行评价，并汇总每个</w:t>
      </w:r>
      <w:r>
        <w:rPr>
          <w:rFonts w:hint="eastAsia" w:ascii="宋体" w:hAnsi="宋体" w:eastAsia="宋体" w:cs="宋体"/>
          <w:color w:val="auto"/>
          <w:sz w:val="22"/>
          <w:szCs w:val="22"/>
          <w:highlight w:val="none"/>
          <w:lang w:val="zh-CN" w:eastAsia="zh-CN"/>
        </w:rPr>
        <w:t>供应商</w:t>
      </w:r>
      <w:r>
        <w:rPr>
          <w:rFonts w:hint="eastAsia" w:ascii="宋体" w:hAnsi="宋体" w:eastAsia="宋体" w:cs="宋体"/>
          <w:color w:val="auto"/>
          <w:sz w:val="22"/>
          <w:szCs w:val="22"/>
          <w:highlight w:val="none"/>
          <w:lang w:val="zh-CN"/>
        </w:rPr>
        <w:t>的得分。</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1.评标结果按评审后综合得分由高到低顺序排列。得分相同的，按投标报价由低到高顺序排列。得分且投标报价相同的</w:t>
      </w:r>
      <w:r>
        <w:rPr>
          <w:rFonts w:hint="eastAsia" w:cs="宋体"/>
          <w:color w:val="auto"/>
          <w:sz w:val="22"/>
          <w:szCs w:val="22"/>
          <w:highlight w:val="none"/>
          <w:lang w:val="zh-CN"/>
        </w:rPr>
        <w:t>，</w:t>
      </w:r>
      <w:r>
        <w:rPr>
          <w:rFonts w:hint="eastAsia" w:ascii="宋体" w:hAnsi="宋体" w:eastAsia="宋体" w:cs="宋体"/>
          <w:color w:val="auto"/>
          <w:sz w:val="22"/>
          <w:szCs w:val="22"/>
          <w:highlight w:val="none"/>
          <w:lang w:val="zh-CN"/>
        </w:rPr>
        <w:t>由采购人抽签确定。</w:t>
      </w:r>
    </w:p>
    <w:p>
      <w:pPr>
        <w:keepNext w:val="0"/>
        <w:keepLines w:val="0"/>
        <w:pageBreakBefore w:val="0"/>
        <w:kinsoku/>
        <w:wordWrap/>
        <w:overflowPunct/>
        <w:topLinePunct w:val="0"/>
        <w:bidi w:val="0"/>
        <w:snapToGrid w:val="0"/>
        <w:spacing w:line="400" w:lineRule="exact"/>
        <w:ind w:firstLine="442" w:firstLineChars="200"/>
        <w:textAlignment w:val="auto"/>
        <w:outlineLvl w:val="9"/>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（五）评标报告撰写</w:t>
      </w:r>
    </w:p>
    <w:p>
      <w:pPr>
        <w:pStyle w:val="24"/>
        <w:keepNext w:val="0"/>
        <w:keepLines w:val="0"/>
        <w:pageBreakBefore w:val="0"/>
        <w:kinsoku/>
        <w:wordWrap/>
        <w:overflowPunct/>
        <w:topLinePunct w:val="0"/>
        <w:bidi w:val="0"/>
        <w:spacing w:before="0" w:beforeAutospacing="0" w:after="0" w:afterAutospacing="0" w:line="400" w:lineRule="exact"/>
        <w:ind w:firstLine="440" w:firstLineChars="200"/>
        <w:jc w:val="both"/>
        <w:textAlignment w:val="auto"/>
        <w:outlineLvl w:val="9"/>
        <w:rPr>
          <w:rFonts w:ascii="宋体" w:hAnsi="宋体" w:cs="宋体"/>
          <w:b/>
          <w:color w:val="auto"/>
          <w:sz w:val="24"/>
          <w:highlight w:val="none"/>
        </w:rPr>
      </w:pPr>
      <w:r>
        <w:rPr>
          <w:rFonts w:hint="eastAsia" w:ascii="宋体" w:hAnsi="宋体" w:eastAsia="宋体" w:cs="宋体"/>
          <w:color w:val="auto"/>
          <w:sz w:val="22"/>
          <w:szCs w:val="22"/>
          <w:highlight w:val="none"/>
          <w:lang w:val="zh-CN"/>
        </w:rPr>
        <w:t>评标委员会根据全体评标成员签字的原始评标记录和评标结果编写评标报告。</w:t>
      </w:r>
    </w:p>
    <w:p>
      <w:pPr>
        <w:rPr>
          <w:rFonts w:hint="eastAsia"/>
          <w:color w:val="auto"/>
          <w:sz w:val="36"/>
          <w:szCs w:val="36"/>
          <w:lang w:val="en-US" w:eastAsia="zh-CN"/>
        </w:rPr>
      </w:pPr>
      <w:r>
        <w:rPr>
          <w:rFonts w:hint="eastAsia"/>
          <w:color w:val="auto"/>
          <w:sz w:val="36"/>
          <w:szCs w:val="36"/>
          <w:lang w:val="en-US" w:eastAsia="zh-CN"/>
        </w:rPr>
        <w:br w:type="page"/>
      </w:r>
    </w:p>
    <w:p>
      <w:pPr>
        <w:pStyle w:val="3"/>
        <w:numPr>
          <w:ilvl w:val="0"/>
          <w:numId w:val="4"/>
        </w:numPr>
        <w:ind w:left="0" w:leftChars="0" w:firstLine="402" w:firstLineChars="0"/>
        <w:rPr>
          <w:rFonts w:hint="eastAsia"/>
          <w:color w:val="auto"/>
          <w:sz w:val="36"/>
          <w:szCs w:val="36"/>
          <w:lang w:val="en-US" w:eastAsia="zh-CN"/>
        </w:rPr>
      </w:pPr>
      <w:bookmarkStart w:id="66" w:name="_Toc17941"/>
      <w:r>
        <w:rPr>
          <w:rFonts w:hint="eastAsia"/>
          <w:color w:val="auto"/>
          <w:sz w:val="36"/>
          <w:szCs w:val="36"/>
          <w:lang w:val="en-US" w:eastAsia="zh-CN"/>
        </w:rPr>
        <w:t>拟签订的合同文本</w:t>
      </w:r>
      <w:bookmarkEnd w:id="66"/>
    </w:p>
    <w:p>
      <w:pPr>
        <w:pStyle w:val="55"/>
        <w:keepNext w:val="0"/>
        <w:keepLines w:val="0"/>
        <w:pageBreakBefore w:val="0"/>
        <w:widowControl w:val="0"/>
        <w:kinsoku/>
        <w:wordWrap/>
        <w:overflowPunct/>
        <w:topLinePunct w:val="0"/>
        <w:autoSpaceDE/>
        <w:autoSpaceDN/>
        <w:bidi w:val="0"/>
        <w:adjustRightInd/>
        <w:spacing w:line="400" w:lineRule="exact"/>
        <w:jc w:val="center"/>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（此稿为合同样本，最终定稿待双方协商后定，但不得对背离实质性内容）</w:t>
      </w:r>
    </w:p>
    <w:p>
      <w:pPr>
        <w:pStyle w:val="16"/>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合同将由</w:t>
      </w:r>
      <w:r>
        <w:rPr>
          <w:rFonts w:hint="eastAsia" w:ascii="宋体" w:hAnsi="宋体" w:eastAsia="宋体" w:cs="宋体"/>
          <w:sz w:val="24"/>
          <w:szCs w:val="24"/>
          <w:lang w:eastAsia="zh-CN"/>
        </w:rPr>
        <w:t>台州市椒江区人民政府前所街道办事处</w:t>
      </w:r>
      <w:r>
        <w:rPr>
          <w:rFonts w:hint="eastAsia" w:ascii="宋体" w:hAnsi="宋体" w:eastAsia="宋体" w:cs="宋体"/>
          <w:sz w:val="24"/>
          <w:szCs w:val="24"/>
        </w:rPr>
        <w:t>（以下简称甲方）与经评审最终确定的中标人（以下简称乙方）结合本项目具体情况协商后签订。具体如下：</w:t>
      </w:r>
    </w:p>
    <w:p>
      <w:pPr>
        <w:pStyle w:val="16"/>
        <w:keepNext w:val="0"/>
        <w:keepLines w:val="0"/>
        <w:pageBreakBefore w:val="0"/>
        <w:kinsoku/>
        <w:wordWrap/>
        <w:overflowPunct/>
        <w:topLinePunct w:val="0"/>
        <w:autoSpaceDE/>
        <w:autoSpaceDN/>
        <w:bidi w:val="0"/>
        <w:adjustRightInd/>
        <w:snapToGrid w:val="0"/>
        <w:spacing w:before="120" w:after="120"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项目名称：                                    项目编号：</w:t>
      </w:r>
    </w:p>
    <w:p>
      <w:pPr>
        <w:pStyle w:val="16"/>
        <w:keepNext w:val="0"/>
        <w:keepLines w:val="0"/>
        <w:pageBreakBefore w:val="0"/>
        <w:kinsoku/>
        <w:wordWrap/>
        <w:overflowPunct/>
        <w:topLinePunct w:val="0"/>
        <w:autoSpaceDE/>
        <w:autoSpaceDN/>
        <w:bidi w:val="0"/>
        <w:adjustRightInd/>
        <w:snapToGrid w:val="0"/>
        <w:spacing w:before="120" w:after="120"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甲方：（采购单位）                            所在地：                              </w:t>
      </w:r>
    </w:p>
    <w:p>
      <w:pPr>
        <w:pStyle w:val="16"/>
        <w:keepNext w:val="0"/>
        <w:keepLines w:val="0"/>
        <w:pageBreakBefore w:val="0"/>
        <w:kinsoku/>
        <w:wordWrap/>
        <w:overflowPunct/>
        <w:topLinePunct w:val="0"/>
        <w:autoSpaceDE/>
        <w:autoSpaceDN/>
        <w:bidi w:val="0"/>
        <w:adjustRightInd/>
        <w:snapToGrid w:val="0"/>
        <w:spacing w:before="120" w:after="120"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乙方：（中标供应商）                          所在地：</w:t>
      </w:r>
    </w:p>
    <w:p>
      <w:pPr>
        <w:keepNext w:val="0"/>
        <w:keepLines w:val="0"/>
        <w:pageBreakBefore w:val="0"/>
        <w:widowControl/>
        <w:shd w:val="clear" w:color="auto" w:fill="FFFFFF"/>
        <w:kinsoku/>
        <w:wordWrap/>
        <w:overflowPunct/>
        <w:topLinePunct w:val="0"/>
        <w:autoSpaceDE/>
        <w:autoSpaceDN/>
        <w:bidi w:val="0"/>
        <w:adjustRightInd/>
        <w:spacing w:after="150" w:line="400" w:lineRule="exact"/>
        <w:jc w:val="left"/>
        <w:textAlignment w:val="auto"/>
        <w:rPr>
          <w:rFonts w:hint="eastAsia" w:ascii="宋体" w:hAnsi="宋体" w:eastAsia="宋体" w:cs="宋体"/>
          <w:b/>
          <w:sz w:val="24"/>
          <w:szCs w:val="24"/>
          <w:highlight w:val="none"/>
        </w:rPr>
      </w:pPr>
      <w:r>
        <w:rPr>
          <w:rFonts w:hint="eastAsia" w:ascii="宋体" w:hAnsi="宋体" w:eastAsia="宋体" w:cs="宋体"/>
          <w:sz w:val="24"/>
          <w:szCs w:val="24"/>
          <w:highlight w:val="none"/>
        </w:rPr>
        <w:t xml:space="preserve">    甲、乙双方根据赢海招标代理（台州）有限公司</w:t>
      </w:r>
      <w:r>
        <w:rPr>
          <w:rFonts w:hint="eastAsia" w:ascii="宋体" w:hAnsi="宋体" w:eastAsia="宋体" w:cs="宋体"/>
          <w:sz w:val="24"/>
          <w:szCs w:val="24"/>
          <w:highlight w:val="none"/>
          <w:lang w:eastAsia="zh-CN"/>
        </w:rPr>
        <w:t>关于</w:t>
      </w:r>
      <w:r>
        <w:rPr>
          <w:rFonts w:hint="eastAsia" w:ascii="宋体" w:hAnsi="宋体" w:eastAsia="宋体" w:cs="宋体"/>
          <w:sz w:val="24"/>
          <w:szCs w:val="24"/>
          <w:highlight w:val="none"/>
          <w:u w:val="none"/>
          <w:lang w:eastAsia="zh-CN"/>
        </w:rPr>
        <w:t>椒江区前所街道圆山社区党群服务中心设计施工一体化项目</w:t>
      </w:r>
      <w:r>
        <w:rPr>
          <w:rFonts w:hint="eastAsia" w:ascii="宋体" w:hAnsi="宋体" w:eastAsia="宋体" w:cs="宋体"/>
          <w:sz w:val="24"/>
          <w:szCs w:val="24"/>
          <w:highlight w:val="none"/>
          <w:lang w:eastAsia="zh-CN"/>
        </w:rPr>
        <w:t>公开招标</w:t>
      </w:r>
      <w:r>
        <w:rPr>
          <w:rFonts w:hint="eastAsia" w:ascii="宋体" w:hAnsi="宋体" w:eastAsia="宋体" w:cs="宋体"/>
          <w:sz w:val="24"/>
          <w:szCs w:val="24"/>
          <w:highlight w:val="none"/>
        </w:rPr>
        <w:t>的结果，签署本合同。</w:t>
      </w:r>
    </w:p>
    <w:p>
      <w:pPr>
        <w:keepNext w:val="0"/>
        <w:keepLines w:val="0"/>
        <w:pageBreakBefore w:val="0"/>
        <w:kinsoku/>
        <w:wordWrap/>
        <w:overflowPunct/>
        <w:topLinePunct w:val="0"/>
        <w:autoSpaceDE/>
        <w:autoSpaceDN/>
        <w:bidi w:val="0"/>
        <w:spacing w:line="400" w:lineRule="exact"/>
        <w:ind w:firstLine="480"/>
        <w:jc w:val="left"/>
        <w:textAlignment w:val="auto"/>
        <w:rPr>
          <w:rFonts w:hint="eastAsia" w:ascii="宋体" w:hAnsi="宋体" w:eastAsia="宋体" w:cs="宋体"/>
          <w:sz w:val="24"/>
          <w:szCs w:val="24"/>
        </w:rPr>
      </w:pPr>
      <w:r>
        <w:rPr>
          <w:rFonts w:hint="eastAsia" w:ascii="宋体" w:hAnsi="宋体" w:eastAsia="宋体" w:cs="宋体"/>
          <w:sz w:val="24"/>
          <w:szCs w:val="24"/>
        </w:rPr>
        <w:t>第一条  工程概况</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u w:val="single"/>
        </w:rPr>
      </w:pPr>
      <w:r>
        <w:rPr>
          <w:rFonts w:hint="eastAsia" w:ascii="宋体" w:hAnsi="宋体" w:eastAsia="宋体" w:cs="宋体"/>
          <w:sz w:val="24"/>
          <w:szCs w:val="24"/>
        </w:rPr>
        <w:t>工程名称：</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u w:val="single"/>
        </w:rPr>
      </w:pPr>
      <w:r>
        <w:rPr>
          <w:rFonts w:hint="eastAsia" w:ascii="宋体" w:hAnsi="宋体" w:eastAsia="宋体" w:cs="宋体"/>
          <w:sz w:val="24"/>
          <w:szCs w:val="24"/>
        </w:rPr>
        <w:t>工程地点：</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p>
    <w:p>
      <w:pPr>
        <w:keepNext w:val="0"/>
        <w:keepLines w:val="0"/>
        <w:pageBreakBefore w:val="0"/>
        <w:tabs>
          <w:tab w:val="left" w:pos="16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第二条  工程承包范围</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承包范围：</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p>
    <w:p>
      <w:pPr>
        <w:keepNext w:val="0"/>
        <w:keepLines w:val="0"/>
        <w:pageBreakBefore w:val="0"/>
        <w:tabs>
          <w:tab w:val="left" w:pos="1685"/>
        </w:tabs>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第三条  合同工期</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u w:val="single"/>
        </w:rPr>
      </w:pPr>
      <w:r>
        <w:rPr>
          <w:rFonts w:hint="eastAsia" w:ascii="宋体" w:hAnsi="宋体" w:eastAsia="宋体" w:cs="宋体"/>
          <w:sz w:val="24"/>
          <w:szCs w:val="24"/>
        </w:rPr>
        <w:t>开工日期：</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u w:val="single"/>
        </w:rPr>
      </w:pPr>
      <w:r>
        <w:rPr>
          <w:rFonts w:hint="eastAsia" w:ascii="宋体" w:hAnsi="宋体" w:eastAsia="宋体" w:cs="宋体"/>
          <w:sz w:val="24"/>
          <w:szCs w:val="24"/>
        </w:rPr>
        <w:t>竣工日期：</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u w:val="single"/>
        </w:rPr>
      </w:pPr>
      <w:r>
        <w:rPr>
          <w:rFonts w:hint="eastAsia" w:ascii="宋体" w:hAnsi="宋体" w:eastAsia="宋体" w:cs="宋体"/>
          <w:sz w:val="24"/>
          <w:szCs w:val="24"/>
        </w:rPr>
        <w:t>合同工期总日历天数</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r>
        <w:rPr>
          <w:rFonts w:hint="eastAsia" w:ascii="宋体" w:hAnsi="宋体" w:eastAsia="宋体" w:cs="宋体"/>
          <w:sz w:val="24"/>
          <w:szCs w:val="24"/>
        </w:rPr>
        <w:t>天</w:t>
      </w:r>
    </w:p>
    <w:p>
      <w:pPr>
        <w:keepNext w:val="0"/>
        <w:keepLines w:val="0"/>
        <w:pageBreakBefore w:val="0"/>
        <w:tabs>
          <w:tab w:val="left" w:pos="1685"/>
        </w:tabs>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第四条  质量标准</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u w:val="single"/>
        </w:rPr>
      </w:pPr>
      <w:r>
        <w:rPr>
          <w:rFonts w:hint="eastAsia" w:ascii="宋体" w:hAnsi="宋体" w:eastAsia="宋体" w:cs="宋体"/>
          <w:sz w:val="24"/>
          <w:szCs w:val="24"/>
        </w:rPr>
        <w:t>工程质量标准：</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p>
    <w:p>
      <w:pPr>
        <w:keepNext w:val="0"/>
        <w:keepLines w:val="0"/>
        <w:pageBreakBefore w:val="0"/>
        <w:tabs>
          <w:tab w:val="left" w:pos="1685"/>
        </w:tabs>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第五条  合同价款</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人民币：</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(小写)：¥</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r>
        <w:rPr>
          <w:rFonts w:hint="eastAsia" w:ascii="宋体" w:hAnsi="宋体" w:eastAsia="宋体" w:cs="宋体"/>
          <w:sz w:val="24"/>
          <w:szCs w:val="24"/>
        </w:rPr>
        <w:t>元。</w:t>
      </w:r>
    </w:p>
    <w:p>
      <w:pPr>
        <w:keepNext w:val="0"/>
        <w:keepLines w:val="0"/>
        <w:pageBreakBefore w:val="0"/>
        <w:tabs>
          <w:tab w:val="left" w:pos="1685"/>
        </w:tabs>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第六条  甲方工作</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 开工前</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r>
        <w:rPr>
          <w:rFonts w:hint="eastAsia" w:ascii="宋体" w:hAnsi="宋体" w:eastAsia="宋体" w:cs="宋体"/>
          <w:sz w:val="24"/>
          <w:szCs w:val="24"/>
        </w:rPr>
        <w:t>天，向乙方提供经确认的施工内容或做法说明</w:t>
      </w:r>
      <w:r>
        <w:rPr>
          <w:rFonts w:hint="eastAsia" w:ascii="宋体" w:hAnsi="宋体" w:eastAsia="宋体" w:cs="宋体"/>
          <w:sz w:val="24"/>
          <w:szCs w:val="24"/>
          <w:u w:val="single"/>
        </w:rPr>
        <w:t>，</w:t>
      </w:r>
      <w:r>
        <w:rPr>
          <w:rFonts w:hint="eastAsia" w:ascii="宋体" w:hAnsi="宋体" w:eastAsia="宋体" w:cs="宋体"/>
          <w:sz w:val="24"/>
          <w:szCs w:val="24"/>
        </w:rPr>
        <w:t>并向乙方进行现场交底。全部腾空或部分腾空房屋，清除影响施工的障碍物。向乙方提供施工所需的水、电等，并说明使用注意事项。协助办理施工所涉及的各种申请、报批手续。</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 指派</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r>
        <w:rPr>
          <w:rFonts w:hint="eastAsia" w:ascii="宋体" w:hAnsi="宋体" w:eastAsia="宋体" w:cs="宋体"/>
          <w:sz w:val="24"/>
          <w:szCs w:val="24"/>
        </w:rPr>
        <w:t>为甲方驻工地代表，负责合同履行。对工程质量、进度进行监督检查，办理签证、验收、变更、登记手续和其它事宜。</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 协调有关部门督促检查乙方做好现场保卫、消防等工作。</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p>
    <w:p>
      <w:pPr>
        <w:keepNext w:val="0"/>
        <w:keepLines w:val="0"/>
        <w:pageBreakBefore w:val="0"/>
        <w:tabs>
          <w:tab w:val="left" w:pos="1685"/>
        </w:tabs>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第七条  乙方工作</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 乙方参加甲方组织的施工图纸或做法说明的现场及技术交底，并据此优化调整施工组织方案和进度计划，编制施工图预算，交甲方审核。</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 指派</w:t>
      </w:r>
      <w:r>
        <w:rPr>
          <w:rFonts w:hint="eastAsia" w:ascii="宋体" w:hAnsi="宋体" w:eastAsia="宋体" w:cs="宋体"/>
          <w:sz w:val="24"/>
          <w:szCs w:val="24"/>
          <w:u w:val="single"/>
        </w:rPr>
        <w:t xml:space="preserve">   </w:t>
      </w:r>
      <w:r>
        <w:rPr>
          <w:rFonts w:hint="eastAsia" w:ascii="宋体" w:hAnsi="宋体" w:eastAsia="宋体" w:cs="宋体"/>
          <w:sz w:val="24"/>
          <w:szCs w:val="24"/>
          <w:u w:val="single"/>
        </w:rPr>
        <w:fldChar w:fldCharType="begin"/>
      </w:r>
      <w:r>
        <w:rPr>
          <w:rFonts w:hint="eastAsia" w:ascii="宋体" w:hAnsi="宋体" w:eastAsia="宋体" w:cs="宋体"/>
          <w:sz w:val="24"/>
          <w:szCs w:val="24"/>
          <w:u w:val="single"/>
        </w:rPr>
        <w:instrText xml:space="preserve"> MACROBUTTON  AcceptAllChangesInDoc 〔单击键入内容〕 </w:instrText>
      </w:r>
      <w:r>
        <w:rPr>
          <w:rFonts w:hint="eastAsia" w:ascii="宋体" w:hAnsi="宋体" w:eastAsia="宋体" w:cs="宋体"/>
          <w:sz w:val="24"/>
          <w:szCs w:val="24"/>
          <w:u w:val="single"/>
        </w:rPr>
        <w:fldChar w:fldCharType="end"/>
      </w:r>
      <w:r>
        <w:rPr>
          <w:rFonts w:hint="eastAsia" w:ascii="宋体" w:hAnsi="宋体" w:eastAsia="宋体" w:cs="宋体"/>
          <w:sz w:val="24"/>
          <w:szCs w:val="24"/>
          <w:u w:val="single"/>
        </w:rPr>
        <w:t xml:space="preserve">   </w:t>
      </w:r>
      <w:r>
        <w:rPr>
          <w:rFonts w:hint="eastAsia" w:ascii="宋体" w:hAnsi="宋体" w:eastAsia="宋体" w:cs="宋体"/>
          <w:sz w:val="24"/>
          <w:szCs w:val="24"/>
        </w:rPr>
        <w:t>为乙方驻工地代表（</w:t>
      </w:r>
      <w:r>
        <w:rPr>
          <w:rFonts w:hint="eastAsia" w:ascii="宋体" w:hAnsi="宋体" w:cs="宋体"/>
          <w:sz w:val="24"/>
          <w:szCs w:val="24"/>
          <w:lang w:eastAsia="zh-CN"/>
        </w:rPr>
        <w:t>项目</w:t>
      </w:r>
      <w:r>
        <w:rPr>
          <w:rFonts w:hint="eastAsia" w:ascii="宋体" w:hAnsi="宋体" w:eastAsia="宋体" w:cs="宋体"/>
          <w:sz w:val="24"/>
          <w:szCs w:val="24"/>
        </w:rPr>
        <w:t>负责人），负责合同履行。按要求组织施工，保质、保量、按期完成施工任务，解决乙方负责的各项事宜。</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 严格执行施工规范、安全操作规程、防火安全规定、环境保护规定。严格按照图纸或做法说明进行施工，做好各项质量检查记录。参加竣工验收，编制工程决算，配合工程审计。</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 遵守国家或地方政府及有关部门对施工现场管理的规定，妥善保护好施工现场周围建筑物、构筑物、设备管线、绿化不受损坏。做好施工现场保卫和垃圾清理等工作，处理好由于施工带来的扰民问题及与周围单位（住户）的关系。因乙方原因引发投诉或索赔，由乙方负责处理，并承担由此引起的相关责任。</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 施工中未经甲方同意或有关部门批准，不得随意变更施工内容。</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6. 工程竣工未移交甲方之前，负责对现场的一切设施和成品进行保护并承担保护费用。</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7、工程竣工一个月内负责编制力求准确的竣工决算，连同相关资料报甲方审查。</w:t>
      </w:r>
    </w:p>
    <w:p>
      <w:pPr>
        <w:keepNext w:val="0"/>
        <w:keepLines w:val="0"/>
        <w:pageBreakBefore w:val="0"/>
        <w:tabs>
          <w:tab w:val="left" w:pos="1685"/>
        </w:tabs>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第八条  工期约定</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 因乙方责任，不能按期开工或中途无故停工，影响工期，工期不顺延，每拖延</w:t>
      </w:r>
      <w:r>
        <w:rPr>
          <w:rFonts w:hint="eastAsia" w:ascii="宋体" w:hAnsi="宋体" w:eastAsia="宋体" w:cs="宋体"/>
          <w:sz w:val="24"/>
          <w:szCs w:val="24"/>
          <w:u w:val="single"/>
        </w:rPr>
        <w:t xml:space="preserve"> 1 </w:t>
      </w:r>
      <w:r>
        <w:rPr>
          <w:rFonts w:hint="eastAsia" w:ascii="宋体" w:hAnsi="宋体" w:eastAsia="宋体" w:cs="宋体"/>
          <w:sz w:val="24"/>
          <w:szCs w:val="24"/>
        </w:rPr>
        <w:t>天处以合同价3‰的经济处罚（上限为合同价的20%），费用从工程款中直接扣除。</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 因非乙方原因造成的停电、停水及不可抗力因素影响，在正常工作时间内导致停工8小时以上（一次），工期相应顺延。</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 乙方通过优化施工组织设计、加强现场管理等手段，在确保工程质量前提下，提前完工且提前时间为合同约定工期10%以上时，甲方将一次性给予不大于合同价3‰经济奖励。</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4、因设计变更引起工期顺延，乙方有义务积极配合甲方优化施工组织设计，尽可能挽回工期损失。确需顺延的，经甲方签证顺延。</w:t>
      </w:r>
    </w:p>
    <w:p>
      <w:pPr>
        <w:keepNext w:val="0"/>
        <w:keepLines w:val="0"/>
        <w:pageBreakBefore w:val="0"/>
        <w:tabs>
          <w:tab w:val="left" w:pos="1685"/>
        </w:tabs>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第九条  工程质量及验收的约定</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 本工程以施工图纸、做法说明、设计以及国家制订的施工及验收规范为质量评定验收标准。</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 甲、乙双方应及时办理隐蔽工程和中间工程的检查手续。乙方须提前48小时书面通知甲方，甲方接到通知后不按时参加隐蔽工程和中间工程验收，乙方可自行验收并书面上报甲方，甲方应予承认。若甲方要求复验时，乙方应按要求办理复验。若复验合格，甲方应承担复验费用，由此造成停工，工期顺延；若复验不合格，其复验及返工费用由乙方承担，并承担相应责任，工期不予顺延。</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 由于甲方提供的材料、设备质量不合格而影响工程质量，其返工费用由甲方承担，工期顺延；由于乙方提供的材料、设备质量不合格而影响工程质量其返工费用由乙方承担，并承担相应责任，工期不予顺延。甲方材料运到施工现场后，乙方应对材料质量进行检查、验收，对设备（包括器具）则应对其外观进行检查、验收。发现质量不合格或不满足设计要求或外观有缺陷的应即通知甲方。</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 由于乙方原因造成质量事故，其返工费用由乙方承担，并承担相应责任，工期不予顺延。</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 工程竣工后，乙方应在自验后书面通知甲方，甲方自接到验收通知5个工作日内组织验收，验收合格后办理验收、移交手续。如甲方在规定时间内未能组织验收，需及时通知乙方，另定验收日期。</w:t>
      </w:r>
    </w:p>
    <w:p>
      <w:pPr>
        <w:keepNext w:val="0"/>
        <w:keepLines w:val="0"/>
        <w:pageBreakBefore w:val="0"/>
        <w:tabs>
          <w:tab w:val="left" w:pos="1685"/>
        </w:tabs>
        <w:kinsoku/>
        <w:wordWrap/>
        <w:overflowPunct/>
        <w:topLinePunct w:val="0"/>
        <w:autoSpaceDE/>
        <w:autoSpaceDN/>
        <w:bidi w:val="0"/>
        <w:adjustRightInd w:val="0"/>
        <w:snapToGrid w:val="0"/>
        <w:spacing w:line="400" w:lineRule="exact"/>
        <w:ind w:firstLine="360" w:firstLineChars="150"/>
        <w:textAlignment w:val="auto"/>
        <w:rPr>
          <w:rFonts w:hint="eastAsia" w:ascii="宋体" w:hAnsi="宋体" w:eastAsia="宋体" w:cs="宋体"/>
          <w:b/>
          <w:bCs/>
          <w:sz w:val="24"/>
          <w:szCs w:val="24"/>
        </w:rPr>
      </w:pPr>
      <w:r>
        <w:rPr>
          <w:rFonts w:hint="eastAsia" w:ascii="宋体" w:hAnsi="宋体" w:eastAsia="宋体" w:cs="宋体"/>
          <w:sz w:val="24"/>
          <w:szCs w:val="24"/>
        </w:rPr>
        <w:t>第十条  保修约定</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 保修内容范围：乙方负责施工的所有工程项目。</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 保修期限：</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①地基基础工程和主体结构工程为设计文件规定的该工程合理使用年限；</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②屋面防水工程、有防水要求的卫生间、房间和外墙面的防渗漏为5年；</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③装修工程为2年；</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④电气管线、给排水管道、设备安装工程为2年 ；</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⑤住宅小区内的给排水设施、道路等配套工程为2年；</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⑥其他项目的保修期为2年。</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 质量保修期的计算：①质量保修期限在工程取得竣工验收备案证明、乙方将竣工档案、竣工工程全部移交给甲方的次日起算（以双方的交接记录为依据）；②若工程移交给甲方时还存在质量问题且乙方选择自行进行整改时，则该工程的质量保修期自全部质量问题整改合格的次日起算（以包括甲方在内的有关方签署的验收合格书面文件为依据）；若乙方书面委托甲方整改、维修并同意所需费用按市场行情进行结算、从乙方预留于甲方的质量保修金中支付时，则以甲方同意接受乙方委托并代为整改、维修后，经甲方及监理单位共同签署验收合格书面文件次日起算。</w:t>
      </w:r>
    </w:p>
    <w:p>
      <w:pPr>
        <w:keepNext w:val="0"/>
        <w:keepLines w:val="0"/>
        <w:pageBreakBefore w:val="0"/>
        <w:tabs>
          <w:tab w:val="left" w:pos="1685"/>
        </w:tabs>
        <w:kinsoku/>
        <w:wordWrap/>
        <w:overflowPunct/>
        <w:topLinePunct w:val="0"/>
        <w:autoSpaceDE/>
        <w:autoSpaceDN/>
        <w:bidi w:val="0"/>
        <w:adjustRightInd w:val="0"/>
        <w:snapToGrid w:val="0"/>
        <w:spacing w:line="400" w:lineRule="exact"/>
        <w:textAlignment w:val="auto"/>
        <w:rPr>
          <w:rFonts w:hint="eastAsia" w:ascii="宋体" w:hAnsi="宋体" w:eastAsia="宋体" w:cs="宋体"/>
          <w:b/>
          <w:bCs/>
          <w:sz w:val="24"/>
          <w:szCs w:val="24"/>
        </w:rPr>
      </w:pPr>
      <w:r>
        <w:rPr>
          <w:rFonts w:hint="eastAsia" w:ascii="宋体" w:hAnsi="宋体" w:eastAsia="宋体" w:cs="宋体"/>
          <w:sz w:val="24"/>
          <w:szCs w:val="24"/>
        </w:rPr>
        <w:t xml:space="preserve">    第十一条  工程价款及结算的约定</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 本合同价款采用</w:t>
      </w:r>
      <w:r>
        <w:rPr>
          <w:rFonts w:hint="eastAsia" w:ascii="宋体" w:hAnsi="宋体" w:eastAsia="宋体" w:cs="宋体"/>
          <w:sz w:val="24"/>
          <w:szCs w:val="24"/>
          <w:u w:val="single"/>
        </w:rPr>
        <w:t xml:space="preserve"> 固定总价 </w:t>
      </w:r>
      <w:r>
        <w:rPr>
          <w:rFonts w:hint="eastAsia" w:ascii="宋体" w:hAnsi="宋体" w:eastAsia="宋体" w:cs="宋体"/>
          <w:sz w:val="24"/>
          <w:szCs w:val="24"/>
        </w:rPr>
        <w:t>方式确定。</w:t>
      </w:r>
    </w:p>
    <w:p>
      <w:pPr>
        <w:keepNext w:val="0"/>
        <w:keepLines w:val="0"/>
        <w:pageBreakBefore w:val="0"/>
        <w:tabs>
          <w:tab w:val="left" w:pos="1620"/>
        </w:tabs>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 xml:space="preserve">⑴ 风险范围包括：合同履行期间，审核后的施工图预算（指乙方根据施工图预算基准价编制（审核）口径进行编制，并经发包人或委托的第三方审价单位审核确定的经让利的施工图预算金额（让利幅度＝1－报价中的建筑安装工程费/最高限价中的建筑安装工程费）。合同价款须承担下述风险：a.施工组织措施费、技术措施费按投标报价一次性包干； b.法律、行政法规和国家有关政策变化； c.人工、材料（允许调价的材料除外）、机械价格的上涨；d.工程量清单未描述到，但又是完成分项工程必须有的工作内容或施工规范要求的工作内容,均应包括在报价内；e.因施工场地窄小、场内施工不便等需增加的各种费用；f.在工程施工中有经验的承包人应能预计的其它费用。 </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风险费用计算方法：</w:t>
      </w:r>
      <w:r>
        <w:rPr>
          <w:rFonts w:hint="eastAsia" w:ascii="宋体" w:hAnsi="宋体" w:eastAsia="宋体" w:cs="宋体"/>
          <w:sz w:val="24"/>
          <w:szCs w:val="24"/>
          <w:u w:val="single"/>
        </w:rPr>
        <w:t xml:space="preserve">    /     </w:t>
      </w:r>
      <w:r>
        <w:rPr>
          <w:rFonts w:hint="eastAsia" w:ascii="宋体" w:hAnsi="宋体" w:eastAsia="宋体" w:cs="宋体"/>
          <w:sz w:val="24"/>
          <w:szCs w:val="24"/>
        </w:rPr>
        <w:t xml:space="preserve">    </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风险范围以外合同价款调整方法：</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一、审核后的施工图预算的工程量清单项目漏项或设计变更引起新的工程项目。其相应单价的确定方法为：</w:t>
      </w:r>
    </w:p>
    <w:p>
      <w:pPr>
        <w:pStyle w:val="11"/>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（1）审核后的施工图预算有相似的项目，参照审核后的施工图预算综合单价进行调整；（2）审核后的施工图预算中没有的项目，执行《浙江省建筑工程预算定额》（18版），</w:t>
      </w:r>
      <w:r>
        <w:rPr>
          <w:rFonts w:hint="eastAsia" w:ascii="宋体" w:hAnsi="宋体" w:eastAsia="宋体" w:cs="宋体"/>
          <w:sz w:val="24"/>
          <w:szCs w:val="24"/>
          <w:lang w:val="en-US"/>
        </w:rPr>
        <w:t>材料设备价格、人工价格、机械价格、综合费率均按审核后的施工图预算相同口径计取</w:t>
      </w:r>
      <w:r>
        <w:rPr>
          <w:rFonts w:hint="eastAsia" w:ascii="宋体" w:hAnsi="宋体" w:eastAsia="宋体" w:cs="宋体"/>
          <w:sz w:val="24"/>
          <w:szCs w:val="24"/>
        </w:rPr>
        <w:t>，并按甲方认可的施工期间材料市场价找差。调整部分造价未超过合同价40%以上时（含40%），不再另行调整施工组织措施费。</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二、审核后的施工图预算工程量清单数量有误及设计变更引起工程量清单项目工程数量的减少，执行原有价格；若数量增加，单项清单工程量超招标清单工程量15%以内，执行原投标价，超过15%以外部份，可由甲方根据实际市场行情10天，结合现行计价标准重新调整综合单价。</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2.工程竣工之后，经验收合格，乙方根据本合同以及结算书、竣工材料清单，并交甲方。甲方经审计后，按支付工程款的有关规定结算工程款。水电费按审计价的</w:t>
      </w:r>
      <w:r>
        <w:rPr>
          <w:rFonts w:hint="eastAsia" w:ascii="宋体" w:hAnsi="宋体" w:eastAsia="宋体" w:cs="宋体"/>
          <w:sz w:val="24"/>
          <w:szCs w:val="24"/>
          <w:u w:val="single"/>
        </w:rPr>
        <w:t>千分之二</w:t>
      </w:r>
      <w:r>
        <w:rPr>
          <w:rFonts w:hint="eastAsia" w:ascii="宋体" w:hAnsi="宋体" w:eastAsia="宋体" w:cs="宋体"/>
          <w:sz w:val="24"/>
          <w:szCs w:val="24"/>
        </w:rPr>
        <w:t>从结算造价中扣除。</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 合同生效后，甲方按下表约定支付工程款</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（1）合同签订时，乙方交合同价1%作为履约保证金，或以银行、保险公司出具保函形式提交履约保证金。</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合同生效以及具备实施条件后7个工作日内甲方向乙方支付合同总价中的设计费的40%预付款（支付条件：乙方向甲方提交银行、保险公司等金融机构出具的预付款保函）；施工图预算经发包人或委托的第三方审价单位审核后7个工作日内甲方向乙方支付合同总价中的建筑安装工程费的40%预付款（支付条件：乙方向甲方提交银行、保险公司等金融机构出具的预付款保函）；</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cs="宋体"/>
          <w:sz w:val="24"/>
          <w:szCs w:val="24"/>
          <w:lang w:eastAsia="zh-CN"/>
        </w:rPr>
        <w:t>工程完工后</w:t>
      </w:r>
      <w:r>
        <w:rPr>
          <w:rFonts w:hint="eastAsia" w:ascii="宋体" w:hAnsi="宋体" w:eastAsia="宋体" w:cs="宋体"/>
          <w:sz w:val="24"/>
          <w:szCs w:val="24"/>
        </w:rPr>
        <w:t>支付至合同总价的8</w:t>
      </w:r>
      <w:r>
        <w:rPr>
          <w:rFonts w:hint="eastAsia" w:ascii="宋体" w:hAnsi="宋体" w:cs="宋体"/>
          <w:sz w:val="24"/>
          <w:szCs w:val="24"/>
          <w:lang w:val="en-US" w:eastAsia="zh-CN"/>
        </w:rPr>
        <w:t>5</w:t>
      </w:r>
      <w:r>
        <w:rPr>
          <w:rFonts w:hint="eastAsia" w:ascii="宋体" w:hAnsi="宋体" w:eastAsia="宋体" w:cs="宋体"/>
          <w:sz w:val="24"/>
          <w:szCs w:val="24"/>
        </w:rPr>
        <w:t>％（含预付款），竣工结算经第三方审价机构审核结束并完成所有设计及服务工作后，甲方支付至审定价的100%。</w:t>
      </w:r>
      <w:r>
        <w:rPr>
          <w:rFonts w:hint="eastAsia" w:ascii="宋体" w:hAnsi="宋体" w:cs="宋体"/>
          <w:sz w:val="24"/>
          <w:szCs w:val="24"/>
          <w:lang w:eastAsia="zh-CN"/>
        </w:rPr>
        <w:t>甲方</w:t>
      </w:r>
      <w:r>
        <w:rPr>
          <w:rFonts w:hint="eastAsia" w:ascii="宋体" w:hAnsi="宋体" w:eastAsia="宋体" w:cs="宋体"/>
          <w:sz w:val="24"/>
          <w:szCs w:val="24"/>
        </w:rPr>
        <w:t>支付完成最后工程结算付款前，</w:t>
      </w:r>
      <w:r>
        <w:rPr>
          <w:rFonts w:hint="eastAsia" w:ascii="宋体" w:hAnsi="宋体" w:cs="宋体"/>
          <w:sz w:val="24"/>
          <w:szCs w:val="24"/>
          <w:lang w:eastAsia="zh-CN"/>
        </w:rPr>
        <w:t>乙方</w:t>
      </w:r>
      <w:r>
        <w:rPr>
          <w:rFonts w:hint="eastAsia" w:ascii="宋体" w:hAnsi="宋体" w:eastAsia="宋体" w:cs="宋体"/>
          <w:sz w:val="24"/>
          <w:szCs w:val="24"/>
        </w:rPr>
        <w:t>提供工程审定价1.5%质量保证金保函。</w:t>
      </w:r>
      <w:r>
        <w:rPr>
          <w:rFonts w:hint="eastAsia" w:ascii="宋体" w:hAnsi="宋体" w:cs="宋体"/>
          <w:sz w:val="24"/>
          <w:szCs w:val="24"/>
          <w:lang w:eastAsia="zh-CN"/>
        </w:rPr>
        <w:t>甲方</w:t>
      </w:r>
      <w:r>
        <w:rPr>
          <w:rFonts w:hint="eastAsia" w:ascii="宋体" w:hAnsi="宋体" w:eastAsia="宋体" w:cs="宋体"/>
          <w:sz w:val="24"/>
          <w:szCs w:val="24"/>
        </w:rPr>
        <w:t>提供材料的，其材料款在相应工程款中扣除。</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 工程结算造价，乙方送审资料须由甲方初审，双方同意后以初审价作为送审价，以审计后的工程造价为准。乙方结算应根据双方合同约定的原则及现行有关文件精神编制，并力求准确。</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b/>
          <w:sz w:val="24"/>
          <w:szCs w:val="24"/>
        </w:rPr>
      </w:pPr>
      <w:r>
        <w:rPr>
          <w:rFonts w:hint="eastAsia" w:ascii="宋体" w:hAnsi="宋体" w:eastAsia="宋体" w:cs="宋体"/>
          <w:sz w:val="24"/>
          <w:szCs w:val="24"/>
        </w:rPr>
        <w:t>5、施工单位必须在竣工验收后二个月内递交完整的结算资料，延误扣款按合同价每天1‰计，从工程款中直接扣除。</w:t>
      </w:r>
    </w:p>
    <w:p>
      <w:pPr>
        <w:pStyle w:val="80"/>
        <w:keepNext w:val="0"/>
        <w:keepLines w:val="0"/>
        <w:pageBreakBefore w:val="0"/>
        <w:kinsoku/>
        <w:wordWrap/>
        <w:overflowPunct/>
        <w:topLinePunct w:val="0"/>
        <w:autoSpaceDE/>
        <w:autoSpaceDN/>
        <w:bidi w:val="0"/>
        <w:spacing w:line="400" w:lineRule="exact"/>
        <w:ind w:firstLine="420"/>
        <w:textAlignment w:val="auto"/>
        <w:rPr>
          <w:rFonts w:hint="eastAsia" w:ascii="宋体" w:hAnsi="宋体" w:eastAsia="宋体" w:cs="宋体"/>
          <w:sz w:val="24"/>
          <w:szCs w:val="24"/>
        </w:rPr>
      </w:pPr>
      <w:r>
        <w:rPr>
          <w:rFonts w:hint="eastAsia" w:ascii="宋体" w:hAnsi="宋体" w:eastAsia="宋体" w:cs="宋体"/>
          <w:sz w:val="24"/>
          <w:szCs w:val="24"/>
        </w:rPr>
        <w:t>6、施工单位收到审计单位出具的造价结算初步审核结果，7个工作日不主动书面回复即是同认可。</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第十二条  材料供应的约定</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 本工程甲方负责采购供应材料、设备，应为符合设计要求的合格产品，并按时供应到现场。凡约定由乙方提货的，甲方应将提货手续移交给乙方，由乙方承担运输费用。由甲方供应的材料、设备发生了质量问题或规格差异，对工程造成损失，责任由甲方承担。甲方供应的材料，经乙方验收后，由乙方负责保管，乙方可收取不大于甲供材料合同价3‰的综合管理费费用在结算时收取。由于乙方保管不当造成损失，由乙方负责赔偿。材料款甲方直接支付材料商，并从应付工程进度款中扣除。</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 凡由乙方采购的材料、设备，应为符合设计要求的合格产品，并按时供应到现场。如不符合质量要求或规格有差异，应禁止使用。若已使用，对工程造成的损失由乙方负责。</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第十三条  安全生产和民工工资支付约定</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乙方在施工期间应严格遵守《建筑安装工程安全技术规程》、《建筑安装工人安全操作规程》、《中华人民共和国消防条例》和其它现行相关的法规、规范。乙方须承担因未严格遵守，而造成生产和人身安全事故的一切责任。</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乙方在施工过程中，应严格遵守国家有关劳动法规，按约足额支付民工工资，若因乙方未依法支付民工工资造成民工上访，则甲方可在核实后从乙方交付的履约保证金中扣付民工工资，相应款额从当月或下月应付进度款中扣回，以补足履约保证金。</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第十四条  争议或纠纷处理</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本合同履行期间，双方发生争议时，在不影响工程进度的前提下，双方可采取协商解决或请有关部门进行调解。</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第十五条  奖励和违约责任</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 由于甲方原因导致延期开工或中途停工，甲方应补偿乙方因停工、窝工所造成的损失。</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 由于乙方原因，逾期竣工，按本协议第八条约定赔偿所造成的损失。</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 乙方应妥善保护甲方提供的设备及现场堆放的家具、陈设和工程成品，如造成损失，应照价赔偿。</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 未经甲方书面确认，乙方擅自拆改原有建筑物结构或设备管线，由此发生的损失或事故（包括罚款），由乙方负责并承担损失。</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 未办理验收手续，甲方擅自动用，造成损失由甲方负责。</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6. 因一方原因，合同无法继续履行时，应通知对方，办理合同终止协议，并由责任方赔偿对方由此造成的经济损失。</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b/>
          <w:bCs/>
          <w:sz w:val="24"/>
          <w:szCs w:val="24"/>
        </w:rPr>
        <w:t>7.乙方在合同履行过程中造成的人员财产损失由乙方自行承担，甲方不承担责任。</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第十六条  合同文件及解释顺序</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合同文件应能相互解释，互为说明。除专用条款另有约定外，组成本合同的文件及优先解释顺序如下：</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1、本合同协议书</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2、中标通知书</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3、谈判承诺及最新报价和询标纪要</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4、本合同专用条款及通用条款</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5、招标文件及补充文件</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6、标准、规范及有关技术文件</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7、招标施工图</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8、投标书及其附件</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合同履行中，发包人承包人有关工程的洽商、变更等书面协议或文件和付款预算视为本合同的组成部分</w:t>
      </w:r>
      <w:r>
        <w:rPr>
          <w:rFonts w:hint="eastAsia" w:ascii="宋体" w:hAnsi="宋体" w:eastAsia="宋体" w:cs="宋体"/>
          <w:b/>
          <w:bCs/>
          <w:sz w:val="24"/>
          <w:szCs w:val="24"/>
        </w:rPr>
        <w:t>。</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第十七条  其它约定 </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1、移交使用时提供竣工图。</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b/>
          <w:bCs/>
          <w:sz w:val="24"/>
          <w:szCs w:val="24"/>
        </w:rPr>
      </w:pPr>
      <w:r>
        <w:rPr>
          <w:rFonts w:hint="eastAsia" w:ascii="宋体" w:hAnsi="宋体" w:eastAsia="宋体" w:cs="宋体"/>
          <w:b/>
          <w:bCs/>
          <w:sz w:val="24"/>
          <w:szCs w:val="24"/>
        </w:rPr>
        <w:t>2、合同价格形式：</w:t>
      </w:r>
    </w:p>
    <w:p>
      <w:pPr>
        <w:pStyle w:val="81"/>
        <w:keepNext w:val="0"/>
        <w:keepLines w:val="0"/>
        <w:pageBreakBefore w:val="0"/>
        <w:kinsoku/>
        <w:wordWrap/>
        <w:overflowPunct/>
        <w:topLinePunct w:val="0"/>
        <w:autoSpaceDE/>
        <w:autoSpaceDN/>
        <w:bidi w:val="0"/>
        <w:spacing w:line="400" w:lineRule="exact"/>
        <w:ind w:left="120" w:firstLine="420"/>
        <w:jc w:val="left"/>
        <w:textAlignment w:val="auto"/>
        <w:rPr>
          <w:rFonts w:hint="eastAsia" w:ascii="宋体" w:hAnsi="宋体" w:eastAsia="宋体" w:cs="宋体"/>
          <w:sz w:val="24"/>
          <w:szCs w:val="24"/>
        </w:rPr>
      </w:pPr>
      <w:r>
        <w:rPr>
          <w:rFonts w:hint="eastAsia" w:ascii="宋体" w:hAnsi="宋体" w:eastAsia="宋体" w:cs="宋体"/>
          <w:sz w:val="24"/>
          <w:szCs w:val="24"/>
        </w:rPr>
        <w:t>本合同为固定总价合同，除</w:t>
      </w:r>
      <w:r>
        <w:rPr>
          <w:rFonts w:hint="eastAsia" w:ascii="宋体" w:hAnsi="宋体" w:eastAsia="宋体" w:cs="宋体"/>
          <w:sz w:val="24"/>
          <w:szCs w:val="24"/>
          <w:lang w:val="en-US"/>
        </w:rPr>
        <w:t>约定的</w:t>
      </w:r>
      <w:r>
        <w:rPr>
          <w:rFonts w:hint="eastAsia" w:ascii="宋体" w:hAnsi="宋体" w:eastAsia="宋体" w:cs="宋体"/>
          <w:sz w:val="24"/>
          <w:szCs w:val="24"/>
        </w:rPr>
        <w:t>变更和合同价格的调整，以及合同中其它相关增减金额的约定进行调整外，合同价格不作调整。</w:t>
      </w:r>
    </w:p>
    <w:p>
      <w:pPr>
        <w:pStyle w:val="81"/>
        <w:keepNext w:val="0"/>
        <w:keepLines w:val="0"/>
        <w:pageBreakBefore w:val="0"/>
        <w:kinsoku/>
        <w:wordWrap/>
        <w:overflowPunct/>
        <w:topLinePunct w:val="0"/>
        <w:autoSpaceDE/>
        <w:autoSpaceDN/>
        <w:bidi w:val="0"/>
        <w:spacing w:line="400" w:lineRule="exact"/>
        <w:ind w:left="120" w:firstLine="420"/>
        <w:jc w:val="left"/>
        <w:textAlignment w:val="auto"/>
        <w:rPr>
          <w:rFonts w:hint="eastAsia" w:ascii="宋体" w:hAnsi="宋体" w:eastAsia="宋体" w:cs="宋体"/>
          <w:sz w:val="24"/>
          <w:szCs w:val="24"/>
          <w:lang w:val="en-US"/>
        </w:rPr>
      </w:pPr>
      <w:r>
        <w:rPr>
          <w:rFonts w:hint="eastAsia" w:ascii="宋体" w:hAnsi="宋体" w:eastAsia="宋体" w:cs="宋体"/>
          <w:sz w:val="24"/>
          <w:szCs w:val="24"/>
          <w:lang w:val="en-US"/>
        </w:rPr>
        <w:t xml:space="preserve">1）工程设计费：按中标（成交）价总价包干，不作调整。 </w:t>
      </w:r>
    </w:p>
    <w:p>
      <w:pPr>
        <w:pStyle w:val="81"/>
        <w:keepNext w:val="0"/>
        <w:keepLines w:val="0"/>
        <w:pageBreakBefore w:val="0"/>
        <w:kinsoku/>
        <w:wordWrap/>
        <w:overflowPunct/>
        <w:topLinePunct w:val="0"/>
        <w:autoSpaceDE/>
        <w:autoSpaceDN/>
        <w:bidi w:val="0"/>
        <w:spacing w:line="400" w:lineRule="exact"/>
        <w:ind w:left="120" w:firstLine="420"/>
        <w:textAlignment w:val="auto"/>
        <w:rPr>
          <w:rFonts w:hint="eastAsia" w:ascii="宋体" w:hAnsi="宋体" w:eastAsia="宋体" w:cs="宋体"/>
          <w:sz w:val="24"/>
          <w:szCs w:val="24"/>
          <w:lang w:val="en-US"/>
        </w:rPr>
      </w:pPr>
      <w:r>
        <w:rPr>
          <w:rFonts w:hint="eastAsia" w:ascii="宋体" w:hAnsi="宋体" w:eastAsia="宋体" w:cs="宋体"/>
          <w:sz w:val="24"/>
          <w:szCs w:val="24"/>
          <w:lang w:val="en-US"/>
        </w:rPr>
        <w:t>2）建筑安装工程费：承包人须进行限额设计，并根据合同价限额要求进行足额设计。 施工图必须达到《发包人要求》、设计要求，施工图经发包人审查同意后，承包人应根据发包人要求报送施工图预算，发包人委托第三方审价机构审核施工图预算，审核后的施工图预算金额（施工图预算基准价乘让利幅度）必须达到合同价格要求。发包人有权要求承包人对施工图进行调整，以满足《发包人要求》、设计深化和合同金额要求。如依据甲方调整后施工图，审核后施工图预算金额超过合同价则不再增加费用。</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b/>
          <w:bCs/>
          <w:sz w:val="24"/>
          <w:szCs w:val="24"/>
        </w:rPr>
      </w:pPr>
      <w:r>
        <w:rPr>
          <w:rFonts w:hint="eastAsia" w:ascii="宋体" w:hAnsi="宋体" w:eastAsia="宋体" w:cs="宋体"/>
          <w:b/>
          <w:bCs/>
          <w:sz w:val="24"/>
          <w:szCs w:val="24"/>
        </w:rPr>
        <w:t>3、审核后的施工图预算金额：</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指承包人根据施工图预算基准价编制（审核）口径进行编制，并经发包人或委托的第三方审价机构审核确定的经让利的施工图预算金额。（让利幅度＝1－报价中的建筑安装工程费/最高限价中的建筑安装工程费）</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b/>
          <w:bCs/>
          <w:sz w:val="24"/>
          <w:szCs w:val="24"/>
        </w:rPr>
      </w:pPr>
      <w:r>
        <w:rPr>
          <w:rFonts w:hint="eastAsia" w:ascii="宋体" w:hAnsi="宋体" w:eastAsia="宋体" w:cs="宋体"/>
          <w:b/>
          <w:bCs/>
          <w:sz w:val="24"/>
          <w:szCs w:val="24"/>
        </w:rPr>
        <w:t>4、施工图预算基准价编制（审核）口径：</w:t>
      </w:r>
    </w:p>
    <w:p>
      <w:pPr>
        <w:keepNext w:val="0"/>
        <w:keepLines w:val="0"/>
        <w:pageBreakBefore w:val="0"/>
        <w:kinsoku/>
        <w:wordWrap/>
        <w:overflowPunct/>
        <w:topLinePunct w:val="0"/>
        <w:autoSpaceDE/>
        <w:autoSpaceDN/>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1）按照《建设工程工程量清单计价规范》（GB50500-2013）、《浙江省建设工程计价规则》（2018版）及浙江省2018版各专业预算定额、一般计税法计价及有关政策文件进行编制， 按照国有项目招标控制价（国标工程量清单计价）的编制口径进行编制，取费基数为定额人工费+定额机械费。 2）综合费用（管理费、利润）费率按中值计取，安责险按取费费率的中值计取，风险费用不计取。 3）组织措施费仅计安全文明施工基本费、冬雨季施工增加费、二次搬运费，费率按相应 施工取费费率中值计取。提前竣工增加费（赶工费）自行合同价中综合考虑，不另计取。 4）技术措施费：大型机械设备进退场及安拆费、脚手架及垂直运输费等按2018版定额相 应工程量计算规则计取和按规定应计取的技术措施费。（施工技术措施方案需经监理单位审批， 且经发包人审核同意后，确认为确实必要的、可行的技术措施方可计算技术措施费）。 5）规费按浙江省建设工程计价规则2018版标准费率的计取。 6）税金按国家相关规定计取。 7）人工、材料、机械价格按照发包人书面确认的投标截止日前28日历天所在月份的造价管理部门发布的正刊除税信息价（信息价套用正刊发布的价格顺序：《</w:t>
      </w:r>
      <w:r>
        <w:rPr>
          <w:rFonts w:hint="eastAsia" w:ascii="宋体" w:hAnsi="宋体" w:cs="宋体"/>
          <w:sz w:val="24"/>
          <w:szCs w:val="24"/>
          <w:lang w:eastAsia="zh-CN"/>
        </w:rPr>
        <w:t>台州造价信息</w:t>
      </w:r>
      <w:r>
        <w:rPr>
          <w:rFonts w:hint="eastAsia" w:ascii="宋体" w:hAnsi="宋体" w:eastAsia="宋体" w:cs="宋体"/>
          <w:sz w:val="24"/>
          <w:szCs w:val="24"/>
        </w:rPr>
        <w:t>》（正刊）、《浙江造价信息》（正刊））。无信息价格的材料、设备价格按除税市场价签证执行，除税市场价 由发包人、监理人、第三方审价机构共同进行市场调查询价后确定，经发包人审核签证确认的签证价 不下浮。无定额套用的项目，由发包人、监理人、第三方审价机构共同确定或市场询价确定综合单价， 经发包人审核签证确认的签证价不下浮。 8）本次招标已作品牌推荐的材料，如信息价（正刊）中有价格，按信息价计算。由承包人在报价时综合考虑实际材料采购价格与信息价价格的差异性。 9）拆除、清运、回收利用产生的费用（收益），按照相应投标报价包干。如发包人、 监理人认为相应投标报价明显偏离市场行情的，可以要求承包人提供明细并进行核查， 并依据核查结果有权要求该部分费用（收益）采取市场询价的方式计入施工图预算。10）</w:t>
      </w:r>
      <w:r>
        <w:rPr>
          <w:rFonts w:hint="eastAsia" w:ascii="宋体" w:hAnsi="宋体" w:cs="宋体"/>
          <w:sz w:val="24"/>
          <w:szCs w:val="24"/>
          <w:lang w:eastAsia="zh-CN"/>
        </w:rPr>
        <w:t>本工程结算价以发包人委托的第三方审价机构的结算审核报告为准</w:t>
      </w:r>
      <w:r>
        <w:rPr>
          <w:rFonts w:hint="eastAsia" w:ascii="宋体" w:hAnsi="宋体" w:eastAsia="宋体" w:cs="宋体"/>
          <w:sz w:val="24"/>
          <w:szCs w:val="24"/>
        </w:rPr>
        <w:t>。</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第十八条  合同份数</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壹式陆份，甲方叁份，乙方贰份，鉴证方壹份。</w:t>
      </w:r>
    </w:p>
    <w:p>
      <w:pPr>
        <w:keepNext w:val="0"/>
        <w:keepLines w:val="0"/>
        <w:pageBreakBefore w:val="0"/>
        <w:kinsoku/>
        <w:wordWrap/>
        <w:overflowPunct/>
        <w:topLinePunct w:val="0"/>
        <w:autoSpaceDE/>
        <w:autoSpaceDN/>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第十九条  合同生效</w:t>
      </w:r>
    </w:p>
    <w:p>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rPr>
        <w:t>本合同双方签字</w:t>
      </w:r>
      <w:r>
        <w:rPr>
          <w:rFonts w:hint="eastAsia" w:ascii="宋体" w:hAnsi="宋体" w:cs="宋体"/>
          <w:sz w:val="24"/>
          <w:szCs w:val="24"/>
          <w:lang w:eastAsia="zh-CN"/>
        </w:rPr>
        <w:t>盖章</w:t>
      </w:r>
      <w:r>
        <w:rPr>
          <w:rFonts w:hint="eastAsia" w:ascii="宋体" w:hAnsi="宋体" w:eastAsia="宋体" w:cs="宋体"/>
          <w:sz w:val="24"/>
          <w:szCs w:val="24"/>
        </w:rPr>
        <w:t>后即生效。</w:t>
      </w:r>
    </w:p>
    <w:p>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rPr>
          <w:rFonts w:hint="eastAsia" w:ascii="宋体" w:hAnsi="宋体" w:eastAsia="宋体" w:cs="宋体"/>
          <w:sz w:val="24"/>
          <w:szCs w:val="24"/>
          <w:highlight w:val="none"/>
          <w:lang w:val="en-US" w:eastAsia="zh-CN"/>
        </w:rPr>
      </w:pPr>
    </w:p>
    <w:p>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甲方（公章）                            乙方（公章）</w:t>
      </w:r>
    </w:p>
    <w:p>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法定代表人：                            法定代表人：</w:t>
      </w:r>
    </w:p>
    <w:p>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委托代理人：                            委托代理人：</w:t>
      </w:r>
    </w:p>
    <w:p>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联系电话：                              联系电话：</w:t>
      </w:r>
    </w:p>
    <w:p>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开户银行：                              开户银行：</w:t>
      </w:r>
    </w:p>
    <w:p>
      <w:pPr>
        <w:keepNext w:val="0"/>
        <w:keepLines w:val="0"/>
        <w:pageBreakBefore w:val="0"/>
        <w:widowControl/>
        <w:kinsoku/>
        <w:wordWrap/>
        <w:overflowPunct/>
        <w:topLinePunct w:val="0"/>
        <w:autoSpaceDE/>
        <w:autoSpaceDN/>
        <w:bidi w:val="0"/>
        <w:adjustRightInd/>
        <w:spacing w:line="40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帐号：                                  帐号：</w:t>
      </w:r>
    </w:p>
    <w:p>
      <w:pPr>
        <w:keepNext w:val="0"/>
        <w:keepLines w:val="0"/>
        <w:pageBreakBefore w:val="0"/>
        <w:widowControl/>
        <w:kinsoku/>
        <w:wordWrap/>
        <w:overflowPunct/>
        <w:topLinePunct w:val="0"/>
        <w:autoSpaceDE/>
        <w:autoSpaceDN/>
        <w:bidi w:val="0"/>
        <w:adjustRightInd/>
        <w:spacing w:line="40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地址及邮编：                            地址及邮编：</w:t>
      </w:r>
    </w:p>
    <w:p>
      <w:pPr>
        <w:pStyle w:val="16"/>
        <w:keepNext w:val="0"/>
        <w:keepLines w:val="0"/>
        <w:pageBreakBefore w:val="0"/>
        <w:kinsoku/>
        <w:wordWrap/>
        <w:overflowPunct/>
        <w:topLinePunct w:val="0"/>
        <w:autoSpaceDE/>
        <w:autoSpaceDN/>
        <w:bidi w:val="0"/>
        <w:snapToGrid w:val="0"/>
        <w:spacing w:before="120" w:after="120" w:line="400" w:lineRule="exact"/>
        <w:ind w:firstLine="480" w:firstLineChars="200"/>
        <w:textAlignment w:val="auto"/>
        <w:rPr>
          <w:rFonts w:hint="eastAsia" w:ascii="宋体" w:hAnsi="宋体" w:eastAsia="宋体" w:cs="宋体"/>
          <w:kern w:val="2"/>
          <w:sz w:val="24"/>
          <w:szCs w:val="24"/>
          <w:highlight w:val="none"/>
          <w:lang w:val="en-US" w:eastAsia="zh-CN" w:bidi="ar-SA"/>
        </w:rPr>
      </w:pPr>
    </w:p>
    <w:p>
      <w:pPr>
        <w:pStyle w:val="16"/>
        <w:keepNext w:val="0"/>
        <w:keepLines w:val="0"/>
        <w:pageBreakBefore w:val="0"/>
        <w:kinsoku/>
        <w:wordWrap/>
        <w:overflowPunct/>
        <w:topLinePunct w:val="0"/>
        <w:autoSpaceDE/>
        <w:autoSpaceDN/>
        <w:bidi w:val="0"/>
        <w:snapToGrid w:val="0"/>
        <w:spacing w:before="120" w:after="120" w:line="400" w:lineRule="exact"/>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合同鉴证方：</w:t>
      </w:r>
    </w:p>
    <w:p>
      <w:pPr>
        <w:keepNext w:val="0"/>
        <w:keepLines w:val="0"/>
        <w:pageBreakBefore w:val="0"/>
        <w:kinsoku/>
        <w:wordWrap/>
        <w:overflowPunct/>
        <w:topLinePunct w:val="0"/>
        <w:autoSpaceDE/>
        <w:autoSpaceDN/>
        <w:bidi w:val="0"/>
        <w:adjustRightInd/>
        <w:spacing w:line="400" w:lineRule="exact"/>
        <w:jc w:val="right"/>
        <w:textAlignment w:val="auto"/>
        <w:rPr>
          <w:rFonts w:hint="eastAsia" w:asciiTheme="minorEastAsia" w:hAnsiTheme="minorEastAsia" w:eastAsiaTheme="minorEastAsia" w:cstheme="minorEastAsia"/>
          <w:color w:val="auto"/>
          <w:sz w:val="22"/>
          <w:szCs w:val="22"/>
          <w:highlight w:val="none"/>
        </w:rPr>
      </w:pPr>
      <w:r>
        <w:rPr>
          <w:rFonts w:hint="eastAsia" w:ascii="宋体" w:hAnsi="宋体" w:eastAsia="宋体" w:cs="宋体"/>
          <w:kern w:val="2"/>
          <w:sz w:val="24"/>
          <w:szCs w:val="24"/>
          <w:highlight w:val="none"/>
          <w:lang w:val="en-US" w:eastAsia="zh-CN" w:bidi="ar-SA"/>
        </w:rPr>
        <w:t xml:space="preserve">签订时间：    年   月    日 </w:t>
      </w:r>
    </w:p>
    <w:p>
      <w:pPr>
        <w:pStyle w:val="9"/>
        <w:rPr>
          <w:rFonts w:ascii="宋体" w:hAnsi="宋体" w:cs="宋体"/>
          <w:color w:val="auto"/>
          <w:sz w:val="24"/>
          <w:highlight w:val="none"/>
        </w:rPr>
      </w:pP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附件1：</w:t>
      </w:r>
    </w:p>
    <w:p>
      <w:pPr>
        <w:keepNext w:val="0"/>
        <w:keepLines w:val="0"/>
        <w:pageBreakBefore w:val="0"/>
        <w:kinsoku/>
        <w:wordWrap/>
        <w:overflowPunct/>
        <w:topLinePunct w:val="0"/>
        <w:bidi w:val="0"/>
        <w:snapToGrid w:val="0"/>
        <w:spacing w:line="400" w:lineRule="exact"/>
        <w:jc w:val="center"/>
        <w:textAlignment w:val="auto"/>
        <w:rPr>
          <w:rFonts w:hint="eastAsia" w:ascii="宋体" w:hAnsi="宋体" w:eastAsia="宋体" w:cs="宋体"/>
          <w:b/>
          <w:bCs/>
          <w:sz w:val="24"/>
          <w:szCs w:val="24"/>
        </w:rPr>
      </w:pPr>
      <w:r>
        <w:rPr>
          <w:rFonts w:hint="eastAsia" w:ascii="宋体" w:hAnsi="宋体" w:eastAsia="宋体" w:cs="宋体"/>
          <w:b/>
          <w:sz w:val="30"/>
          <w:szCs w:val="30"/>
        </w:rPr>
        <w:t>工程质量保修书</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rPr>
        <w:t>发包人（全称）：</w:t>
      </w:r>
      <w:r>
        <w:rPr>
          <w:rFonts w:hint="eastAsia" w:ascii="宋体" w:hAnsi="宋体" w:eastAsia="宋体" w:cs="宋体"/>
          <w:sz w:val="24"/>
          <w:szCs w:val="24"/>
          <w:u w:val="single"/>
          <w:lang w:eastAsia="zh-CN"/>
        </w:rPr>
        <w:t>台州市椒江区人民政府前所街道办事处</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承包人（全称）：</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　　发包人和承包人根据《中华人民共和国建筑法》和《建设工程质量管理条例》，经协商一致就</w:t>
      </w:r>
      <w:r>
        <w:rPr>
          <w:rFonts w:hint="eastAsia" w:ascii="宋体" w:hAnsi="宋体" w:eastAsia="宋体" w:cs="宋体"/>
          <w:bCs/>
          <w:sz w:val="24"/>
          <w:szCs w:val="24"/>
          <w:u w:val="single"/>
          <w:lang w:eastAsia="zh-CN"/>
        </w:rPr>
        <w:t>椒江区前所街道圆山社区党群服务中心设计施工一体化项目</w:t>
      </w:r>
      <w:r>
        <w:rPr>
          <w:rFonts w:hint="eastAsia" w:ascii="宋体" w:hAnsi="宋体" w:eastAsia="宋体" w:cs="宋体"/>
          <w:sz w:val="24"/>
          <w:szCs w:val="24"/>
        </w:rPr>
        <w:t>（工程全称）签订工程质量保修书。</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　　一、工程质量保修范围和内容</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　　承包人在质量保修期内，按照有关法律规定和合同约定，承担工程质量保修责任。</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eastAsia="宋体" w:cs="宋体"/>
          <w:sz w:val="24"/>
          <w:szCs w:val="24"/>
          <w:u w:val="single"/>
        </w:rPr>
        <w:t xml:space="preserve">  合同范围内所有工作内容   </w:t>
      </w:r>
      <w:r>
        <w:rPr>
          <w:rFonts w:hint="eastAsia" w:ascii="宋体" w:hAnsi="宋体" w:eastAsia="宋体" w:cs="宋体"/>
          <w:sz w:val="24"/>
          <w:szCs w:val="24"/>
        </w:rPr>
        <w:t>。</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b/>
          <w:sz w:val="24"/>
          <w:szCs w:val="24"/>
        </w:rPr>
        <w:t>　　</w:t>
      </w:r>
      <w:r>
        <w:rPr>
          <w:rFonts w:hint="eastAsia" w:ascii="宋体" w:hAnsi="宋体" w:eastAsia="宋体" w:cs="宋体"/>
          <w:sz w:val="24"/>
          <w:szCs w:val="24"/>
        </w:rPr>
        <w:t>二、质量保修期</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根据《建设工程质量管理条例》及有关规定，工程的质量保修期如下：</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1．地基基础工程和主体结构工程为设计文件规定的工程合理使用年限；</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2．屋面防水工程、有防水要求的卫生间、房间和外墙面的防渗漏为</w:t>
      </w:r>
      <w:r>
        <w:rPr>
          <w:rFonts w:hint="eastAsia" w:ascii="宋体" w:hAnsi="宋体" w:eastAsia="宋体" w:cs="宋体"/>
          <w:sz w:val="24"/>
          <w:szCs w:val="24"/>
          <w:u w:val="single"/>
        </w:rPr>
        <w:t xml:space="preserve"> </w:t>
      </w:r>
      <w:r>
        <w:rPr>
          <w:rFonts w:hint="eastAsia" w:ascii="宋体" w:hAnsi="宋体" w:cs="宋体"/>
          <w:sz w:val="24"/>
          <w:szCs w:val="24"/>
          <w:u w:val="single"/>
          <w:lang w:val="en-US" w:eastAsia="zh-CN"/>
        </w:rPr>
        <w:t>2</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3．装修工程为</w:t>
      </w:r>
      <w:r>
        <w:rPr>
          <w:rFonts w:hint="eastAsia" w:ascii="宋体" w:hAnsi="宋体" w:eastAsia="宋体" w:cs="宋体"/>
          <w:sz w:val="24"/>
          <w:szCs w:val="24"/>
          <w:u w:val="single"/>
        </w:rPr>
        <w:t xml:space="preserve"> 2  </w:t>
      </w:r>
      <w:r>
        <w:rPr>
          <w:rFonts w:hint="eastAsia" w:ascii="宋体" w:hAnsi="宋体" w:eastAsia="宋体" w:cs="宋体"/>
          <w:sz w:val="24"/>
          <w:szCs w:val="24"/>
        </w:rPr>
        <w:t>年；</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4．电气管线、给排水管道、设备安装工程为</w:t>
      </w:r>
      <w:r>
        <w:rPr>
          <w:rFonts w:hint="eastAsia" w:ascii="宋体" w:hAnsi="宋体" w:eastAsia="宋体" w:cs="宋体"/>
          <w:sz w:val="24"/>
          <w:szCs w:val="24"/>
          <w:u w:val="single"/>
        </w:rPr>
        <w:t xml:space="preserve">  2  </w:t>
      </w:r>
      <w:r>
        <w:rPr>
          <w:rFonts w:hint="eastAsia" w:ascii="宋体" w:hAnsi="宋体" w:eastAsia="宋体" w:cs="宋体"/>
          <w:sz w:val="24"/>
          <w:szCs w:val="24"/>
        </w:rPr>
        <w:t>年；</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5．供热与供冷系统为个</w:t>
      </w:r>
      <w:r>
        <w:rPr>
          <w:rFonts w:hint="eastAsia" w:ascii="宋体" w:hAnsi="宋体" w:eastAsia="宋体" w:cs="宋体"/>
          <w:sz w:val="24"/>
          <w:szCs w:val="24"/>
          <w:u w:val="single"/>
        </w:rPr>
        <w:t xml:space="preserve">  /  </w:t>
      </w:r>
      <w:r>
        <w:rPr>
          <w:rFonts w:hint="eastAsia" w:ascii="宋体" w:hAnsi="宋体" w:eastAsia="宋体" w:cs="宋体"/>
          <w:sz w:val="24"/>
          <w:szCs w:val="24"/>
        </w:rPr>
        <w:t>采暖期、供冷期；</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6．住宅小区内的给排水设施、道路等配套工程为</w:t>
      </w:r>
      <w:r>
        <w:rPr>
          <w:rFonts w:hint="eastAsia" w:ascii="宋体" w:hAnsi="宋体" w:eastAsia="宋体" w:cs="宋体"/>
          <w:sz w:val="24"/>
          <w:szCs w:val="24"/>
          <w:u w:val="single"/>
        </w:rPr>
        <w:t xml:space="preserve">  /  </w:t>
      </w:r>
      <w:r>
        <w:rPr>
          <w:rFonts w:hint="eastAsia" w:ascii="宋体" w:hAnsi="宋体" w:eastAsia="宋体" w:cs="宋体"/>
          <w:sz w:val="24"/>
          <w:szCs w:val="24"/>
        </w:rPr>
        <w:t>年；</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u w:val="single"/>
        </w:rPr>
      </w:pPr>
      <w:r>
        <w:rPr>
          <w:rFonts w:hint="eastAsia" w:ascii="宋体" w:hAnsi="宋体" w:eastAsia="宋体" w:cs="宋体"/>
          <w:sz w:val="24"/>
          <w:szCs w:val="24"/>
        </w:rPr>
        <w:t>7．其他项目保修期限约定如下：</w:t>
      </w:r>
      <w:r>
        <w:rPr>
          <w:rFonts w:hint="eastAsia" w:ascii="宋体" w:hAnsi="宋体" w:eastAsia="宋体" w:cs="宋体"/>
          <w:sz w:val="24"/>
          <w:szCs w:val="24"/>
          <w:u w:val="single"/>
        </w:rPr>
        <w:t>(1)工程竣工验收后，所有非隐蔽工程，免费质保不少于 2 年。易耗品（如光源等）、电子设备自采购之日进行计算，按产品自带质保期限计算。</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u w:val="single"/>
        </w:rPr>
      </w:pPr>
      <w:r>
        <w:rPr>
          <w:rFonts w:hint="eastAsia" w:ascii="宋体" w:hAnsi="宋体" w:eastAsia="宋体" w:cs="宋体"/>
          <w:sz w:val="24"/>
          <w:szCs w:val="24"/>
          <w:u w:val="single"/>
        </w:rPr>
        <w:t>(2)从工程竣工验收合格之日起，二年内因工程质量问题所发生的材料费、保修人工费等均由承包人负责免费维修和更换。本工程自竣工验收合格之日起，免费质保期不少于2年，并提供终身有偿维护。质保期内多媒体系统或设备出现问题由承包人免费维修及更换。</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u w:val="single"/>
        </w:rPr>
      </w:pPr>
      <w:r>
        <w:rPr>
          <w:rFonts w:hint="eastAsia" w:ascii="宋体" w:hAnsi="宋体" w:eastAsia="宋体" w:cs="宋体"/>
          <w:sz w:val="24"/>
          <w:szCs w:val="24"/>
          <w:u w:val="single"/>
        </w:rPr>
        <w:t>（3）在承包人对质量保证期内出现的质量问题进行设备完整更换时，根据产品实际情况承包人应相应延长更换设备的质量保证期。</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u w:val="single"/>
        </w:rPr>
        <w:t>（4）质量保证期内因发包人原因或自然灾害而造成的损坏，承包人不承担保修责任，但承包人有义务对此进行维修，维修发生的材料和人工费用由发包人承担。</w:t>
      </w:r>
      <w:r>
        <w:rPr>
          <w:rFonts w:hint="eastAsia" w:ascii="宋体" w:hAnsi="宋体" w:eastAsia="宋体" w:cs="宋体"/>
          <w:sz w:val="24"/>
          <w:szCs w:val="24"/>
          <w:u w:val="single"/>
        </w:rPr>
        <w:cr/>
      </w:r>
      <w:r>
        <w:rPr>
          <w:rFonts w:hint="eastAsia" w:ascii="宋体" w:hAnsi="宋体" w:eastAsia="宋体" w:cs="宋体"/>
          <w:sz w:val="24"/>
          <w:szCs w:val="24"/>
        </w:rPr>
        <w:t>　　质量保修期自工程竣工验收合格之日起计算。</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三、缺陷责任期</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工程缺陷责任期为</w:t>
      </w:r>
      <w:r>
        <w:rPr>
          <w:rFonts w:hint="eastAsia" w:ascii="宋体" w:hAnsi="宋体" w:eastAsia="宋体" w:cs="宋体"/>
          <w:sz w:val="24"/>
          <w:szCs w:val="24"/>
          <w:u w:val="single"/>
        </w:rPr>
        <w:t xml:space="preserve">  </w:t>
      </w:r>
      <w:r>
        <w:rPr>
          <w:rFonts w:hint="eastAsia" w:ascii="宋体" w:hAnsi="宋体" w:cs="宋体"/>
          <w:sz w:val="24"/>
          <w:szCs w:val="24"/>
          <w:u w:val="single"/>
          <w:lang w:val="en-US" w:eastAsia="zh-CN"/>
        </w:rPr>
        <w:t>24</w:t>
      </w:r>
      <w:r>
        <w:rPr>
          <w:rFonts w:hint="eastAsia" w:ascii="宋体" w:hAnsi="宋体" w:eastAsia="宋体" w:cs="宋体"/>
          <w:sz w:val="24"/>
          <w:szCs w:val="24"/>
          <w:u w:val="single"/>
        </w:rPr>
        <w:t xml:space="preserve"> </w:t>
      </w:r>
      <w:r>
        <w:rPr>
          <w:rFonts w:hint="eastAsia" w:ascii="宋体" w:hAnsi="宋体" w:eastAsia="宋体" w:cs="宋体"/>
          <w:sz w:val="24"/>
          <w:szCs w:val="24"/>
        </w:rPr>
        <w:t>个月，缺陷责任期自工程通过竣工验收之日起计算。单位工程先于全部工程进行验收，单位工程缺陷责任期自单位工程验收合格之日起算。</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缺陷责任期终止后，发包人退还剩余的质量保证金。</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四、质量保修责任</w:t>
      </w:r>
    </w:p>
    <w:p>
      <w:pPr>
        <w:keepNext w:val="0"/>
        <w:keepLines w:val="0"/>
        <w:pageBreakBefore w:val="0"/>
        <w:kinsoku/>
        <w:wordWrap/>
        <w:overflowPunct/>
        <w:topLinePunct w:val="0"/>
        <w:bidi w:val="0"/>
        <w:spacing w:line="400" w:lineRule="exact"/>
        <w:ind w:left="105" w:leftChars="50" w:firstLine="489" w:firstLineChars="204"/>
        <w:textAlignment w:val="auto"/>
        <w:rPr>
          <w:rFonts w:hint="eastAsia" w:ascii="宋体" w:hAnsi="宋体" w:eastAsia="宋体" w:cs="宋体"/>
          <w:sz w:val="24"/>
          <w:szCs w:val="24"/>
        </w:rPr>
      </w:pPr>
      <w:r>
        <w:rPr>
          <w:rFonts w:hint="eastAsia" w:ascii="宋体" w:hAnsi="宋体" w:eastAsia="宋体" w:cs="宋体"/>
          <w:sz w:val="24"/>
          <w:szCs w:val="24"/>
        </w:rPr>
        <w:t>1．质保期内属于保修范围、内容的项目，承包人应当在接到保修通知之日起24小时内派人维修，紧急情况下2小时内派人维修。承包人不在约定期限内派人保修的，发包人可以委托他人修理。</w:t>
      </w:r>
    </w:p>
    <w:p>
      <w:pPr>
        <w:keepNext w:val="0"/>
        <w:keepLines w:val="0"/>
        <w:pageBreakBefore w:val="0"/>
        <w:kinsoku/>
        <w:wordWrap/>
        <w:overflowPunct/>
        <w:topLinePunct w:val="0"/>
        <w:bidi w:val="0"/>
        <w:spacing w:line="400" w:lineRule="exact"/>
        <w:ind w:left="105" w:leftChars="50" w:firstLine="489" w:firstLineChars="204"/>
        <w:textAlignment w:val="auto"/>
        <w:rPr>
          <w:rFonts w:hint="eastAsia" w:ascii="宋体" w:hAnsi="宋体" w:eastAsia="宋体" w:cs="宋体"/>
          <w:sz w:val="24"/>
          <w:szCs w:val="24"/>
        </w:rPr>
      </w:pPr>
      <w:r>
        <w:rPr>
          <w:rFonts w:hint="eastAsia" w:ascii="宋体" w:hAnsi="宋体" w:eastAsia="宋体" w:cs="宋体"/>
          <w:sz w:val="24"/>
          <w:szCs w:val="24"/>
        </w:rPr>
        <w:t>2．发生紧急事故需抢修的，承包人在接到事故通知后，应当立即到达事故现场抢修。</w:t>
      </w:r>
    </w:p>
    <w:p>
      <w:pPr>
        <w:keepNext w:val="0"/>
        <w:keepLines w:val="0"/>
        <w:pageBreakBefore w:val="0"/>
        <w:kinsoku/>
        <w:wordWrap/>
        <w:overflowPunct/>
        <w:topLinePunct w:val="0"/>
        <w:bidi w:val="0"/>
        <w:spacing w:line="400" w:lineRule="exact"/>
        <w:ind w:left="105" w:leftChars="50" w:firstLine="489" w:firstLineChars="204"/>
        <w:textAlignment w:val="auto"/>
        <w:rPr>
          <w:rFonts w:hint="eastAsia" w:ascii="宋体" w:hAnsi="宋体" w:eastAsia="宋体" w:cs="宋体"/>
          <w:sz w:val="24"/>
          <w:szCs w:val="24"/>
        </w:rPr>
      </w:pPr>
      <w:r>
        <w:rPr>
          <w:rFonts w:hint="eastAsia" w:ascii="宋体" w:hAnsi="宋体" w:eastAsia="宋体" w:cs="宋体"/>
          <w:sz w:val="24"/>
          <w:szCs w:val="24"/>
        </w:rPr>
        <w:t>3．对于涉及结构安全的质量问题，应当按照《建设工程质量管理条例》的规定，立即向当地建设行政主管部门和有关部门报告，采取安全防范措施，并由原设计人或者具有相应资质等级的设计人（如有）提出保修方案，承包人实施保修。</w:t>
      </w:r>
    </w:p>
    <w:p>
      <w:pPr>
        <w:keepNext w:val="0"/>
        <w:keepLines w:val="0"/>
        <w:pageBreakBefore w:val="0"/>
        <w:kinsoku/>
        <w:wordWrap/>
        <w:overflowPunct/>
        <w:topLinePunct w:val="0"/>
        <w:bidi w:val="0"/>
        <w:spacing w:line="400" w:lineRule="exact"/>
        <w:ind w:left="420" w:leftChars="200" w:firstLine="120" w:firstLineChars="50"/>
        <w:textAlignment w:val="auto"/>
        <w:rPr>
          <w:rFonts w:hint="eastAsia" w:ascii="宋体" w:hAnsi="宋体" w:eastAsia="宋体" w:cs="宋体"/>
          <w:sz w:val="24"/>
          <w:szCs w:val="24"/>
        </w:rPr>
      </w:pPr>
      <w:r>
        <w:rPr>
          <w:rFonts w:hint="eastAsia" w:ascii="宋体" w:hAnsi="宋体" w:eastAsia="宋体" w:cs="宋体"/>
          <w:sz w:val="24"/>
          <w:szCs w:val="24"/>
        </w:rPr>
        <w:t>4．质量保修完成后，由发包人组织验收。</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　　 五、保修费用</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　　 保修费用由造成质量缺陷的责任方承担。</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u w:val="single"/>
        </w:rPr>
      </w:pPr>
      <w:r>
        <w:rPr>
          <w:rFonts w:hint="eastAsia" w:ascii="宋体" w:hAnsi="宋体" w:eastAsia="宋体" w:cs="宋体"/>
          <w:sz w:val="24"/>
          <w:szCs w:val="24"/>
        </w:rPr>
        <w:t xml:space="preserve">  六、双方约定的其他工程质量保修事项：</w:t>
      </w:r>
    </w:p>
    <w:p>
      <w:pPr>
        <w:keepNext w:val="0"/>
        <w:keepLines w:val="0"/>
        <w:pageBreakBefore w:val="0"/>
        <w:kinsoku/>
        <w:wordWrap/>
        <w:overflowPunct/>
        <w:topLinePunct w:val="0"/>
        <w:bidi w:val="0"/>
        <w:spacing w:line="400" w:lineRule="exact"/>
        <w:ind w:firstLine="576" w:firstLineChars="240"/>
        <w:textAlignment w:val="auto"/>
        <w:rPr>
          <w:rFonts w:hint="eastAsia" w:ascii="宋体" w:hAnsi="宋体" w:eastAsia="宋体" w:cs="宋体"/>
          <w:sz w:val="24"/>
          <w:szCs w:val="24"/>
        </w:rPr>
      </w:pPr>
      <w:r>
        <w:rPr>
          <w:rFonts w:hint="eastAsia" w:ascii="宋体" w:hAnsi="宋体" w:eastAsia="宋体" w:cs="宋体"/>
          <w:sz w:val="24"/>
          <w:szCs w:val="24"/>
        </w:rPr>
        <w:t>工程质量保修书由发包人、承包人在工程竣工验收前共同签署，作为施工合同附件，其有效期限至保修期满。</w:t>
      </w:r>
    </w:p>
    <w:p>
      <w:pPr>
        <w:keepNext w:val="0"/>
        <w:keepLines w:val="0"/>
        <w:pageBreakBefore w:val="0"/>
        <w:kinsoku/>
        <w:wordWrap/>
        <w:overflowPunct/>
        <w:topLinePunct w:val="0"/>
        <w:bidi w:val="0"/>
        <w:spacing w:line="400" w:lineRule="exact"/>
        <w:ind w:firstLine="420"/>
        <w:textAlignment w:val="auto"/>
        <w:rPr>
          <w:rFonts w:hint="eastAsia" w:ascii="宋体" w:hAnsi="宋体" w:eastAsia="宋体" w:cs="宋体"/>
          <w:sz w:val="24"/>
          <w:szCs w:val="24"/>
        </w:rPr>
      </w:pP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发包人（公章）：</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承包人（公章）：</w:t>
      </w:r>
      <w:r>
        <w:rPr>
          <w:rFonts w:hint="eastAsia" w:ascii="宋体" w:hAnsi="宋体" w:eastAsia="宋体" w:cs="宋体"/>
          <w:sz w:val="24"/>
          <w:szCs w:val="24"/>
          <w:highlight w:val="none"/>
          <w:u w:val="single"/>
        </w:rPr>
        <w:t xml:space="preserve">              </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地  址：</w:t>
      </w:r>
      <w:r>
        <w:rPr>
          <w:rFonts w:hint="eastAsia" w:ascii="宋体" w:hAnsi="宋体" w:eastAsia="宋体" w:cs="宋体"/>
          <w:sz w:val="24"/>
          <w:szCs w:val="24"/>
          <w:highlight w:val="none"/>
          <w:u w:val="single"/>
        </w:rPr>
        <w:t xml:space="preserve">                     </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法定代表人（签字）：</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法定代表人（签字）：</w:t>
      </w:r>
      <w:r>
        <w:rPr>
          <w:rFonts w:hint="eastAsia" w:ascii="宋体" w:hAnsi="宋体" w:eastAsia="宋体" w:cs="宋体"/>
          <w:sz w:val="24"/>
          <w:szCs w:val="24"/>
          <w:highlight w:val="none"/>
          <w:u w:val="single"/>
        </w:rPr>
        <w:t xml:space="preserve">          </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委托代理人（签字）：</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委托代理人（签字）：</w:t>
      </w:r>
      <w:r>
        <w:rPr>
          <w:rFonts w:hint="eastAsia" w:ascii="宋体" w:hAnsi="宋体" w:eastAsia="宋体" w:cs="宋体"/>
          <w:sz w:val="24"/>
          <w:szCs w:val="24"/>
          <w:highlight w:val="none"/>
          <w:u w:val="single"/>
        </w:rPr>
        <w:t xml:space="preserve">          </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电  话：</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电  话：</w:t>
      </w:r>
      <w:r>
        <w:rPr>
          <w:rFonts w:hint="eastAsia" w:ascii="宋体" w:hAnsi="宋体" w:eastAsia="宋体" w:cs="宋体"/>
          <w:sz w:val="24"/>
          <w:szCs w:val="24"/>
          <w:highlight w:val="none"/>
          <w:u w:val="single"/>
        </w:rPr>
        <w:t xml:space="preserve">                     </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传  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传  真：</w:t>
      </w:r>
      <w:r>
        <w:rPr>
          <w:rFonts w:hint="eastAsia" w:ascii="宋体" w:hAnsi="宋体" w:eastAsia="宋体" w:cs="宋体"/>
          <w:sz w:val="24"/>
          <w:szCs w:val="24"/>
          <w:highlight w:val="none"/>
          <w:u w:val="single"/>
        </w:rPr>
        <w:t xml:space="preserve">                     </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开户银行：</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开户银行：</w:t>
      </w:r>
      <w:r>
        <w:rPr>
          <w:rFonts w:hint="eastAsia" w:ascii="宋体" w:hAnsi="宋体" w:eastAsia="宋体" w:cs="宋体"/>
          <w:sz w:val="24"/>
          <w:szCs w:val="24"/>
          <w:highlight w:val="none"/>
          <w:u w:val="single"/>
        </w:rPr>
        <w:t xml:space="preserve">                   </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账  号：</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账  号：</w:t>
      </w:r>
      <w:r>
        <w:rPr>
          <w:rFonts w:hint="eastAsia" w:ascii="宋体" w:hAnsi="宋体" w:eastAsia="宋体" w:cs="宋体"/>
          <w:sz w:val="24"/>
          <w:szCs w:val="24"/>
          <w:highlight w:val="none"/>
          <w:u w:val="single"/>
        </w:rPr>
        <w:t xml:space="preserve">                     </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highlight w:val="none"/>
        </w:rPr>
        <w:t>邮政编码：</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邮政编码</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u w:val="single"/>
        </w:rPr>
        <w:t xml:space="preserve"> </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br w:type="page"/>
      </w:r>
      <w:r>
        <w:rPr>
          <w:rFonts w:hint="eastAsia" w:ascii="宋体" w:hAnsi="宋体" w:eastAsia="宋体" w:cs="宋体"/>
          <w:sz w:val="24"/>
          <w:szCs w:val="24"/>
        </w:rPr>
        <w:t>附件2：</w:t>
      </w:r>
    </w:p>
    <w:p>
      <w:pPr>
        <w:keepNext w:val="0"/>
        <w:keepLines w:val="0"/>
        <w:pageBreakBefore w:val="0"/>
        <w:kinsoku/>
        <w:wordWrap/>
        <w:overflowPunct/>
        <w:topLinePunct w:val="0"/>
        <w:bidi w:val="0"/>
        <w:spacing w:line="400" w:lineRule="exact"/>
        <w:jc w:val="center"/>
        <w:textAlignment w:val="auto"/>
        <w:rPr>
          <w:rFonts w:hint="eastAsia" w:ascii="宋体" w:hAnsi="宋体" w:eastAsia="宋体" w:cs="宋体"/>
          <w:b/>
          <w:bCs/>
          <w:sz w:val="30"/>
          <w:szCs w:val="30"/>
        </w:rPr>
      </w:pPr>
      <w:r>
        <w:rPr>
          <w:rFonts w:hint="eastAsia" w:ascii="宋体" w:hAnsi="宋体" w:eastAsia="宋体" w:cs="宋体"/>
          <w:b/>
          <w:bCs/>
          <w:sz w:val="30"/>
          <w:szCs w:val="30"/>
        </w:rPr>
        <w:t>廉政建设合同</w:t>
      </w:r>
    </w:p>
    <w:p>
      <w:pPr>
        <w:keepNext w:val="0"/>
        <w:keepLines w:val="0"/>
        <w:pageBreakBefore w:val="0"/>
        <w:kinsoku/>
        <w:wordWrap/>
        <w:overflowPunct/>
        <w:topLinePunct w:val="0"/>
        <w:bidi w:val="0"/>
        <w:spacing w:line="400" w:lineRule="exact"/>
        <w:jc w:val="center"/>
        <w:textAlignment w:val="auto"/>
        <w:rPr>
          <w:rFonts w:hint="eastAsia" w:ascii="宋体" w:hAnsi="宋体" w:eastAsia="宋体" w:cs="宋体"/>
          <w:sz w:val="24"/>
          <w:szCs w:val="24"/>
        </w:rPr>
      </w:pP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根据有关工程建设、廉政建设的规定，为做好工程建设中的党风廉政建设，保证工程建设高效优质，保证建设资金的安全和有效使用以及投资效益，</w:t>
      </w:r>
      <w:r>
        <w:rPr>
          <w:rFonts w:hint="eastAsia" w:ascii="宋体" w:hAnsi="宋体" w:eastAsia="宋体" w:cs="宋体"/>
          <w:sz w:val="24"/>
          <w:szCs w:val="24"/>
          <w:u w:val="single"/>
          <w:lang w:eastAsia="zh-CN"/>
        </w:rPr>
        <w:t>椒江区前所街道圆山社区党群服务中心设计施工一体化项目</w:t>
      </w:r>
      <w:r>
        <w:rPr>
          <w:rFonts w:hint="eastAsia" w:ascii="宋体" w:hAnsi="宋体" w:eastAsia="宋体" w:cs="宋体"/>
          <w:sz w:val="24"/>
          <w:szCs w:val="24"/>
        </w:rPr>
        <w:t>的项目法人</w:t>
      </w:r>
      <w:r>
        <w:rPr>
          <w:rFonts w:hint="eastAsia" w:ascii="宋体" w:hAnsi="宋体" w:eastAsia="宋体" w:cs="宋体"/>
          <w:kern w:val="0"/>
          <w:sz w:val="24"/>
          <w:szCs w:val="24"/>
          <w:u w:val="single"/>
        </w:rPr>
        <w:t xml:space="preserve">  </w:t>
      </w:r>
      <w:r>
        <w:rPr>
          <w:rFonts w:hint="eastAsia" w:ascii="宋体" w:hAnsi="宋体" w:eastAsia="宋体" w:cs="宋体"/>
          <w:sz w:val="24"/>
          <w:szCs w:val="24"/>
          <w:u w:val="single"/>
          <w:lang w:eastAsia="zh-CN"/>
        </w:rPr>
        <w:t>台州市椒江区人民政府前所街道办事处</w:t>
      </w:r>
      <w:r>
        <w:rPr>
          <w:rFonts w:hint="eastAsia" w:ascii="宋体" w:hAnsi="宋体" w:eastAsia="宋体" w:cs="宋体"/>
          <w:sz w:val="24"/>
          <w:szCs w:val="24"/>
          <w:u w:val="single"/>
        </w:rPr>
        <w:t xml:space="preserve">  </w:t>
      </w:r>
      <w:r>
        <w:rPr>
          <w:rFonts w:hint="eastAsia" w:ascii="宋体" w:hAnsi="宋体" w:eastAsia="宋体" w:cs="宋体"/>
          <w:kern w:val="0"/>
          <w:sz w:val="24"/>
          <w:szCs w:val="24"/>
          <w:u w:val="single"/>
        </w:rPr>
        <w:t xml:space="preserve"> </w:t>
      </w:r>
      <w:r>
        <w:rPr>
          <w:rFonts w:hint="eastAsia" w:ascii="宋体" w:hAnsi="宋体" w:eastAsia="宋体" w:cs="宋体"/>
          <w:sz w:val="24"/>
          <w:szCs w:val="24"/>
        </w:rPr>
        <w:t>（以下简称发包人）与施工单位</w:t>
      </w:r>
      <w:r>
        <w:rPr>
          <w:rFonts w:hint="eastAsia" w:ascii="宋体" w:hAnsi="宋体" w:eastAsia="宋体" w:cs="宋体"/>
          <w:sz w:val="24"/>
          <w:szCs w:val="24"/>
          <w:u w:val="single"/>
        </w:rPr>
        <w:t xml:space="preserve">            </w:t>
      </w:r>
      <w:r>
        <w:rPr>
          <w:rFonts w:hint="eastAsia" w:ascii="宋体" w:hAnsi="宋体" w:eastAsia="宋体" w:cs="宋体"/>
          <w:sz w:val="24"/>
          <w:szCs w:val="24"/>
        </w:rPr>
        <w:t>（以下简称承包人），特订立如下合同。</w:t>
      </w:r>
    </w:p>
    <w:p>
      <w:pPr>
        <w:keepNext w:val="0"/>
        <w:keepLines w:val="0"/>
        <w:pageBreakBefore w:val="0"/>
        <w:tabs>
          <w:tab w:val="left" w:pos="360"/>
        </w:tabs>
        <w:kinsoku/>
        <w:wordWrap/>
        <w:overflowPunct/>
        <w:topLinePunct w:val="0"/>
        <w:bidi w:val="0"/>
        <w:spacing w:line="400" w:lineRule="exact"/>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第一条 双方的权利和义务</w:t>
      </w:r>
    </w:p>
    <w:p>
      <w:pPr>
        <w:keepNext w:val="0"/>
        <w:keepLines w:val="0"/>
        <w:pageBreakBefore w:val="0"/>
        <w:widowControl/>
        <w:numPr>
          <w:ilvl w:val="0"/>
          <w:numId w:val="6"/>
        </w:numPr>
        <w:tabs>
          <w:tab w:val="left" w:pos="360"/>
        </w:tabs>
        <w:kinsoku/>
        <w:wordWrap/>
        <w:overflowPunct/>
        <w:topLinePunct w:val="0"/>
        <w:bidi w:val="0"/>
        <w:spacing w:line="4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严格遵守党和国家有关法律法规的有关规定。 </w:t>
      </w:r>
    </w:p>
    <w:p>
      <w:pPr>
        <w:keepNext w:val="0"/>
        <w:keepLines w:val="0"/>
        <w:pageBreakBefore w:val="0"/>
        <w:tabs>
          <w:tab w:val="left" w:pos="360"/>
        </w:tabs>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（二）严格执行</w:t>
      </w:r>
      <w:r>
        <w:rPr>
          <w:rFonts w:hint="eastAsia" w:ascii="宋体" w:hAnsi="宋体" w:eastAsia="宋体" w:cs="宋体"/>
          <w:sz w:val="24"/>
          <w:szCs w:val="24"/>
          <w:u w:val="single"/>
          <w:lang w:eastAsia="zh-CN"/>
        </w:rPr>
        <w:t>椒江区前所街道圆山社区党群服务中心设计施工一体化项目</w:t>
      </w:r>
      <w:r>
        <w:rPr>
          <w:rFonts w:hint="eastAsia" w:ascii="宋体" w:hAnsi="宋体" w:eastAsia="宋体" w:cs="宋体"/>
          <w:sz w:val="24"/>
          <w:szCs w:val="24"/>
        </w:rPr>
        <w:t>的合同文件，自觉按合同办事。</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（三）双方的业务活动坚持公开、公正、诚信、透明的原则（除法律认定的商业机密和合同文件另有规定之外），不得损害国家和集体利益，违反工程建设管理规章制度。</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（四）建立健全廉政制度，开展廉政教育，设立廉政告示牌，公布举报电话，监督并认真查处违法违纪行为。</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（五）发现对方在业务活动中有违反廉政规定的行为，有及时提醒对方纠正的权利和义务。</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（六）发现对方严重违反本合同义务条款的行为，有向其上级有关部门举报、建议给予处分并要求告知处理结果的权利。</w:t>
      </w:r>
    </w:p>
    <w:p>
      <w:pPr>
        <w:keepNext w:val="0"/>
        <w:keepLines w:val="0"/>
        <w:pageBreakBefore w:val="0"/>
        <w:kinsoku/>
        <w:wordWrap/>
        <w:overflowPunct/>
        <w:topLinePunct w:val="0"/>
        <w:bidi w:val="0"/>
        <w:spacing w:line="400" w:lineRule="exact"/>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第二条 发包人的义务</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（一）发包人及其工作人员不得索要和接受承包人的礼金、有价证券和贵重物品，不得在承包人报销任何由发包人或个人支付的费用等。</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（二）发包人工作人员不得参加承包人安排的超标准宴请和娱乐活动；不得接受承包人提供的通讯工具、交通工具和高档办公用品等。</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（三）发包人及其工作人员不得要求或者接受承包人为其住房装修、婚丧嫁娶活动、配偶子女的工作安排以及出国出境、旅游等提供方便等。</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（四）发包人工作人员的配偶、子女不得从事与发包人工程有关的材料设备供应、工程分包、劳务等经济活动。</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（五）发包人及其工作人员不得以任何理由向承包人推荐分包单位，不得要求承包人购买合同规定外的材料和设备。</w:t>
      </w:r>
    </w:p>
    <w:p>
      <w:pPr>
        <w:keepNext w:val="0"/>
        <w:keepLines w:val="0"/>
        <w:pageBreakBefore w:val="0"/>
        <w:tabs>
          <w:tab w:val="left" w:pos="720"/>
          <w:tab w:val="left" w:pos="900"/>
          <w:tab w:val="left" w:pos="2880"/>
        </w:tabs>
        <w:kinsoku/>
        <w:wordWrap/>
        <w:overflowPunct/>
        <w:topLinePunct w:val="0"/>
        <w:bidi w:val="0"/>
        <w:spacing w:line="400" w:lineRule="exact"/>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第三条 承包人义务</w:t>
      </w:r>
    </w:p>
    <w:p>
      <w:pPr>
        <w:keepNext w:val="0"/>
        <w:keepLines w:val="0"/>
        <w:pageBreakBefore w:val="0"/>
        <w:tabs>
          <w:tab w:val="left" w:pos="720"/>
          <w:tab w:val="left" w:pos="900"/>
          <w:tab w:val="left" w:pos="2880"/>
        </w:tabs>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（一）承包人不得以任何理由向发包人及其工作人员行贿或馈赠礼金、有价证券、贵重礼品。</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（二）承包人不得以任何名义向发包人及其工作人员报销应由发包人或个人支付的任何费用。</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（三）承包人不得以任何理由安排发包人及其工作人员参加超标准宴请及娱乐活动。承包人不得为发包人或个人购置或提供通讯工具、交通工具和高档办公用品等。</w:t>
      </w:r>
    </w:p>
    <w:p>
      <w:pPr>
        <w:keepNext w:val="0"/>
        <w:keepLines w:val="0"/>
        <w:pageBreakBefore w:val="0"/>
        <w:tabs>
          <w:tab w:val="left" w:pos="1800"/>
          <w:tab w:val="left" w:pos="2160"/>
        </w:tabs>
        <w:kinsoku/>
        <w:wordWrap/>
        <w:overflowPunct/>
        <w:topLinePunct w:val="0"/>
        <w:bidi w:val="0"/>
        <w:spacing w:line="400" w:lineRule="exact"/>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第四条 违约责任</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（一）发包人及其工作人员违反本合同第一、二条，按管理权限，根据有关规定，给予党纪、政纪或组织处理；涉嫌犯罪的移交司法机关追究刑事责任；给承包人造成经济损失的，应予以赔偿。</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承包人及其工作人员违反本合同第一、二条，按管理权限，根据有关规定，给予党纪、政纪或组织处理；给发包人造成经济损失的，应予以赔偿；情节严重的，发包人建议工程建设主管部门给予承包人一至三年内不得进入其主管的工程建设市场的处罚。</w:t>
      </w:r>
    </w:p>
    <w:p>
      <w:pPr>
        <w:keepNext w:val="0"/>
        <w:keepLines w:val="0"/>
        <w:pageBreakBefore w:val="0"/>
        <w:kinsoku/>
        <w:wordWrap/>
        <w:overflowPunct/>
        <w:topLinePunct w:val="0"/>
        <w:bidi w:val="0"/>
        <w:spacing w:line="400" w:lineRule="exact"/>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第五条 双方约定：</w:t>
      </w:r>
    </w:p>
    <w:p>
      <w:pPr>
        <w:keepNext w:val="0"/>
        <w:keepLines w:val="0"/>
        <w:pageBreakBefore w:val="0"/>
        <w:kinsoku/>
        <w:wordWrap/>
        <w:overflowPunct/>
        <w:topLinePunct w:val="0"/>
        <w:bidi w:val="0"/>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本合同由双方或双方上级单位的纪检监察机关负责监督。由发包人或发包人上级单位的纪检监察机关约请承包人或承包人上级单位的纪检监察机关对本合同履行情况进行检查，提出本合同规定范围内的裁定意见。</w:t>
      </w:r>
    </w:p>
    <w:p>
      <w:pPr>
        <w:keepNext w:val="0"/>
        <w:keepLines w:val="0"/>
        <w:pageBreakBefore w:val="0"/>
        <w:kinsoku/>
        <w:wordWrap/>
        <w:overflowPunct/>
        <w:topLinePunct w:val="0"/>
        <w:bidi w:val="0"/>
        <w:spacing w:line="400" w:lineRule="exact"/>
        <w:ind w:firstLine="482" w:firstLineChars="200"/>
        <w:textAlignment w:val="auto"/>
        <w:rPr>
          <w:rFonts w:hint="eastAsia" w:ascii="宋体" w:hAnsi="宋体" w:eastAsia="宋体" w:cs="宋体"/>
          <w:sz w:val="24"/>
          <w:szCs w:val="24"/>
        </w:rPr>
      </w:pPr>
      <w:r>
        <w:rPr>
          <w:rFonts w:hint="eastAsia" w:ascii="宋体" w:hAnsi="宋体" w:eastAsia="宋体" w:cs="宋体"/>
          <w:b/>
          <w:sz w:val="24"/>
          <w:szCs w:val="24"/>
        </w:rPr>
        <w:t>第六条</w:t>
      </w:r>
      <w:r>
        <w:rPr>
          <w:rFonts w:hint="eastAsia" w:ascii="宋体" w:hAnsi="宋体" w:eastAsia="宋体" w:cs="宋体"/>
          <w:sz w:val="24"/>
          <w:szCs w:val="24"/>
        </w:rPr>
        <w:t xml:space="preserve"> 本合同有效期为发包人与承包人双方签署之日起至该工程项目竣工验收后止。</w:t>
      </w:r>
    </w:p>
    <w:p>
      <w:pPr>
        <w:keepNext w:val="0"/>
        <w:keepLines w:val="0"/>
        <w:pageBreakBefore w:val="0"/>
        <w:kinsoku/>
        <w:wordWrap/>
        <w:overflowPunct/>
        <w:topLinePunct w:val="0"/>
        <w:bidi w:val="0"/>
        <w:spacing w:line="400" w:lineRule="exact"/>
        <w:ind w:firstLine="482" w:firstLineChars="200"/>
        <w:textAlignment w:val="auto"/>
        <w:rPr>
          <w:rFonts w:hint="eastAsia" w:ascii="宋体" w:hAnsi="宋体" w:eastAsia="宋体" w:cs="宋体"/>
          <w:sz w:val="24"/>
          <w:szCs w:val="24"/>
        </w:rPr>
      </w:pPr>
      <w:r>
        <w:rPr>
          <w:rFonts w:hint="eastAsia" w:ascii="宋体" w:hAnsi="宋体" w:eastAsia="宋体" w:cs="宋体"/>
          <w:b/>
          <w:sz w:val="24"/>
          <w:szCs w:val="24"/>
        </w:rPr>
        <w:t xml:space="preserve">第七条 </w:t>
      </w:r>
      <w:r>
        <w:rPr>
          <w:rFonts w:hint="eastAsia" w:ascii="宋体" w:hAnsi="宋体" w:eastAsia="宋体" w:cs="宋体"/>
          <w:sz w:val="24"/>
          <w:szCs w:val="24"/>
        </w:rPr>
        <w:t>本合同作为</w:t>
      </w:r>
      <w:r>
        <w:rPr>
          <w:rFonts w:hint="eastAsia" w:ascii="宋体" w:hAnsi="宋体" w:eastAsia="宋体" w:cs="宋体"/>
          <w:sz w:val="24"/>
          <w:szCs w:val="24"/>
          <w:u w:val="single"/>
          <w:lang w:eastAsia="zh-CN"/>
        </w:rPr>
        <w:t>椒江区前所街道圆山社区党群服务中心设计施工一体化项目</w:t>
      </w:r>
      <w:r>
        <w:rPr>
          <w:rFonts w:hint="eastAsia" w:ascii="宋体" w:hAnsi="宋体" w:eastAsia="宋体" w:cs="宋体"/>
          <w:sz w:val="24"/>
          <w:szCs w:val="24"/>
        </w:rPr>
        <w:t>施工合同的附件，与施工合同具有同等的法律效力，经合同双方签署立即生效。</w:t>
      </w:r>
    </w:p>
    <w:p>
      <w:pPr>
        <w:keepNext w:val="0"/>
        <w:keepLines w:val="0"/>
        <w:pageBreakBefore w:val="0"/>
        <w:kinsoku/>
        <w:wordWrap/>
        <w:overflowPunct/>
        <w:topLinePunct w:val="0"/>
        <w:bidi w:val="0"/>
        <w:spacing w:line="400" w:lineRule="exact"/>
        <w:ind w:firstLine="482" w:firstLineChars="200"/>
        <w:textAlignment w:val="auto"/>
        <w:rPr>
          <w:rFonts w:hint="eastAsia" w:ascii="宋体" w:hAnsi="宋体" w:eastAsia="宋体" w:cs="宋体"/>
          <w:sz w:val="24"/>
          <w:szCs w:val="24"/>
        </w:rPr>
      </w:pPr>
      <w:r>
        <w:rPr>
          <w:rFonts w:hint="eastAsia" w:ascii="宋体" w:hAnsi="宋体" w:eastAsia="宋体" w:cs="宋体"/>
          <w:b/>
          <w:sz w:val="24"/>
          <w:szCs w:val="24"/>
        </w:rPr>
        <w:t xml:space="preserve">第八条 </w:t>
      </w:r>
      <w:r>
        <w:rPr>
          <w:rFonts w:hint="eastAsia" w:ascii="宋体" w:hAnsi="宋体" w:eastAsia="宋体" w:cs="宋体"/>
          <w:sz w:val="24"/>
          <w:szCs w:val="24"/>
        </w:rPr>
        <w:t>本合同发包人与承包人双方各执三份，送交双方监督单位各一份。</w:t>
      </w: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甲方单位：（盖章）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乙方单位：（盖章）</w:t>
      </w: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法定代表人：</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法定代表人：</w:t>
      </w: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委托代理人</w:t>
      </w: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委托代理人：</w:t>
      </w: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地址：　　　　　　　　　　　　　        地址：</w:t>
      </w: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snapToGrid w:val="0"/>
          <w:sz w:val="24"/>
          <w:szCs w:val="24"/>
        </w:rPr>
      </w:pPr>
      <w:r>
        <w:rPr>
          <w:rFonts w:hint="eastAsia" w:ascii="宋体" w:hAnsi="宋体" w:eastAsia="宋体" w:cs="宋体"/>
          <w:sz w:val="24"/>
          <w:szCs w:val="24"/>
        </w:rPr>
        <w:t>电话：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电话：</w:t>
      </w:r>
    </w:p>
    <w:p>
      <w:pPr>
        <w:keepNext w:val="0"/>
        <w:keepLines w:val="0"/>
        <w:pageBreakBefore w:val="0"/>
        <w:widowControl w:val="0"/>
        <w:kinsoku/>
        <w:wordWrap/>
        <w:overflowPunct/>
        <w:topLinePunct w:val="0"/>
        <w:bidi w:val="0"/>
        <w:adjustRightInd w:val="0"/>
        <w:snapToGrid w:val="0"/>
        <w:spacing w:line="400" w:lineRule="exact"/>
        <w:ind w:firstLine="544" w:firstLineChars="227"/>
        <w:textAlignment w:val="auto"/>
        <w:rPr>
          <w:rFonts w:hint="eastAsia" w:ascii="宋体" w:hAnsi="宋体" w:eastAsia="宋体" w:cs="宋体"/>
          <w:sz w:val="24"/>
          <w:szCs w:val="24"/>
        </w:rPr>
      </w:pPr>
    </w:p>
    <w:p>
      <w:pPr>
        <w:keepNext w:val="0"/>
        <w:keepLines w:val="0"/>
        <w:pageBreakBefore w:val="0"/>
        <w:kinsoku/>
        <w:wordWrap/>
        <w:overflowPunct/>
        <w:topLinePunct w:val="0"/>
        <w:bidi w:val="0"/>
        <w:spacing w:line="400" w:lineRule="exact"/>
        <w:jc w:val="right"/>
        <w:textAlignment w:val="auto"/>
        <w:rPr>
          <w:rFonts w:hint="eastAsia" w:ascii="宋体" w:hAnsi="宋体" w:eastAsia="宋体" w:cs="宋体"/>
          <w:sz w:val="24"/>
          <w:szCs w:val="24"/>
        </w:rPr>
      </w:pPr>
      <w:r>
        <w:rPr>
          <w:rFonts w:hint="eastAsia" w:ascii="宋体" w:hAnsi="宋体" w:eastAsia="宋体" w:cs="宋体"/>
          <w:sz w:val="24"/>
          <w:szCs w:val="24"/>
        </w:rPr>
        <w:t xml:space="preserve">签订日期:     年  月  日 </w:t>
      </w:r>
      <w:bookmarkStart w:id="67" w:name="_Toc237256590"/>
      <w:bookmarkStart w:id="68" w:name="_Toc237979988"/>
      <w:bookmarkStart w:id="69" w:name="_Toc276907132"/>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br w:type="page"/>
      </w:r>
      <w:bookmarkEnd w:id="67"/>
      <w:bookmarkEnd w:id="68"/>
      <w:bookmarkEnd w:id="69"/>
      <w:r>
        <w:rPr>
          <w:rFonts w:hint="eastAsia" w:ascii="宋体" w:hAnsi="宋体" w:eastAsia="宋体" w:cs="宋体"/>
          <w:sz w:val="24"/>
          <w:szCs w:val="24"/>
        </w:rPr>
        <w:t>附件3：</w:t>
      </w:r>
    </w:p>
    <w:p>
      <w:pPr>
        <w:keepNext w:val="0"/>
        <w:keepLines w:val="0"/>
        <w:pageBreakBefore w:val="0"/>
        <w:kinsoku/>
        <w:wordWrap/>
        <w:overflowPunct/>
        <w:topLinePunct w:val="0"/>
        <w:bidi w:val="0"/>
        <w:spacing w:line="400" w:lineRule="exact"/>
        <w:jc w:val="center"/>
        <w:textAlignment w:val="auto"/>
        <w:rPr>
          <w:rFonts w:hint="eastAsia" w:ascii="宋体" w:hAnsi="宋体" w:eastAsia="宋体" w:cs="宋体"/>
          <w:b/>
          <w:bCs/>
          <w:sz w:val="30"/>
          <w:szCs w:val="30"/>
        </w:rPr>
      </w:pPr>
      <w:r>
        <w:rPr>
          <w:rFonts w:hint="eastAsia" w:ascii="宋体" w:hAnsi="宋体" w:eastAsia="宋体" w:cs="宋体"/>
          <w:b/>
          <w:bCs/>
          <w:sz w:val="30"/>
          <w:szCs w:val="30"/>
        </w:rPr>
        <w:t>安全生产合同</w:t>
      </w:r>
    </w:p>
    <w:p>
      <w:pPr>
        <w:keepNext w:val="0"/>
        <w:keepLines w:val="0"/>
        <w:pageBreakBefore w:val="0"/>
        <w:kinsoku/>
        <w:wordWrap/>
        <w:overflowPunct/>
        <w:topLinePunct w:val="0"/>
        <w:bidi w:val="0"/>
        <w:spacing w:line="400" w:lineRule="exact"/>
        <w:jc w:val="center"/>
        <w:textAlignment w:val="auto"/>
        <w:rPr>
          <w:rFonts w:hint="eastAsia" w:ascii="宋体" w:hAnsi="宋体" w:eastAsia="宋体" w:cs="宋体"/>
          <w:sz w:val="24"/>
          <w:szCs w:val="24"/>
        </w:rPr>
      </w:pP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为在</w:t>
      </w:r>
      <w:r>
        <w:rPr>
          <w:rFonts w:hint="eastAsia" w:ascii="宋体" w:hAnsi="宋体" w:eastAsia="宋体" w:cs="宋体"/>
          <w:bCs/>
          <w:sz w:val="24"/>
          <w:szCs w:val="24"/>
          <w:u w:val="single"/>
          <w:lang w:eastAsia="zh-CN"/>
        </w:rPr>
        <w:t>椒江区前所街道圆山社区党群服务中心设计施工一体化项目</w:t>
      </w:r>
      <w:r>
        <w:rPr>
          <w:rFonts w:hint="eastAsia" w:ascii="宋体" w:hAnsi="宋体" w:eastAsia="宋体" w:cs="宋体"/>
          <w:sz w:val="24"/>
          <w:szCs w:val="24"/>
        </w:rPr>
        <w:t>合同的实施过程中创造安全、高效的施工环境，搞好本项目的安全管理工作，本项目发包人</w:t>
      </w:r>
      <w:r>
        <w:rPr>
          <w:rFonts w:hint="eastAsia" w:ascii="宋体" w:hAnsi="宋体" w:eastAsia="宋体" w:cs="宋体"/>
          <w:kern w:val="0"/>
          <w:sz w:val="24"/>
          <w:szCs w:val="24"/>
          <w:u w:val="single"/>
        </w:rPr>
        <w:t xml:space="preserve"> </w:t>
      </w:r>
      <w:r>
        <w:rPr>
          <w:rFonts w:hint="eastAsia" w:ascii="宋体" w:hAnsi="宋体" w:eastAsia="宋体" w:cs="宋体"/>
          <w:sz w:val="24"/>
          <w:szCs w:val="24"/>
          <w:u w:val="single"/>
          <w:lang w:eastAsia="zh-CN"/>
        </w:rPr>
        <w:t>台州市椒江区人民政府前所街道办事处</w:t>
      </w:r>
      <w:r>
        <w:rPr>
          <w:rFonts w:hint="eastAsia" w:ascii="宋体" w:hAnsi="宋体" w:eastAsia="宋体" w:cs="宋体"/>
          <w:kern w:val="0"/>
          <w:sz w:val="24"/>
          <w:szCs w:val="24"/>
          <w:u w:val="single"/>
        </w:rPr>
        <w:t xml:space="preserve">    </w:t>
      </w:r>
      <w:r>
        <w:rPr>
          <w:rFonts w:hint="eastAsia" w:ascii="宋体" w:hAnsi="宋体" w:eastAsia="宋体" w:cs="宋体"/>
          <w:sz w:val="24"/>
          <w:szCs w:val="24"/>
        </w:rPr>
        <w:t>与承包人</w:t>
      </w:r>
      <w:r>
        <w:rPr>
          <w:rFonts w:hint="eastAsia" w:ascii="宋体" w:hAnsi="宋体" w:eastAsia="宋体" w:cs="宋体"/>
          <w:sz w:val="24"/>
          <w:szCs w:val="24"/>
          <w:u w:val="single"/>
        </w:rPr>
        <w:t xml:space="preserve">              </w:t>
      </w:r>
      <w:r>
        <w:rPr>
          <w:rFonts w:hint="eastAsia" w:ascii="宋体" w:hAnsi="宋体" w:eastAsia="宋体" w:cs="宋体"/>
          <w:sz w:val="24"/>
          <w:szCs w:val="24"/>
        </w:rPr>
        <w:t>特此签订安全生产合同：</w:t>
      </w:r>
    </w:p>
    <w:p>
      <w:pPr>
        <w:keepNext w:val="0"/>
        <w:keepLines w:val="0"/>
        <w:pageBreakBefore w:val="0"/>
        <w:numPr>
          <w:ilvl w:val="1"/>
          <w:numId w:val="7"/>
        </w:numPr>
        <w:tabs>
          <w:tab w:val="left" w:pos="540"/>
          <w:tab w:val="left" w:pos="720"/>
          <w:tab w:val="left" w:pos="900"/>
        </w:tabs>
        <w:kinsoku/>
        <w:wordWrap/>
        <w:overflowPunct/>
        <w:topLinePunct w:val="0"/>
        <w:bidi w:val="0"/>
        <w:spacing w:line="400" w:lineRule="exact"/>
        <w:ind w:hanging="1140"/>
        <w:textAlignment w:val="auto"/>
        <w:rPr>
          <w:rFonts w:hint="eastAsia" w:ascii="宋体" w:hAnsi="宋体" w:eastAsia="宋体" w:cs="宋体"/>
          <w:b/>
          <w:sz w:val="24"/>
          <w:szCs w:val="24"/>
        </w:rPr>
      </w:pPr>
      <w:r>
        <w:rPr>
          <w:rFonts w:hint="eastAsia" w:ascii="宋体" w:hAnsi="宋体" w:eastAsia="宋体" w:cs="宋体"/>
          <w:b/>
          <w:sz w:val="24"/>
          <w:szCs w:val="24"/>
        </w:rPr>
        <w:t>发包人职责</w:t>
      </w:r>
    </w:p>
    <w:p>
      <w:pPr>
        <w:keepNext w:val="0"/>
        <w:keepLines w:val="0"/>
        <w:pageBreakBefore w:val="0"/>
        <w:tabs>
          <w:tab w:val="left" w:pos="900"/>
        </w:tabs>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1．严格遵守国家有关安全生产的法律法规，认真执行工程承包合同中的有关安全要求。</w:t>
      </w:r>
    </w:p>
    <w:p>
      <w:pPr>
        <w:keepNext w:val="0"/>
        <w:keepLines w:val="0"/>
        <w:pageBreakBefore w:val="0"/>
        <w:tabs>
          <w:tab w:val="left" w:pos="720"/>
        </w:tabs>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2.按照“安全第一、预防为主”和坚持“管生产必须管安全”的原则进行安全生产管理，做到生产与安全工作同时计划、布置、检查、总结和评比。</w:t>
      </w:r>
    </w:p>
    <w:p>
      <w:pPr>
        <w:keepNext w:val="0"/>
        <w:keepLines w:val="0"/>
        <w:pageBreakBefore w:val="0"/>
        <w:kinsoku/>
        <w:wordWrap/>
        <w:overflowPunct/>
        <w:topLinePunct w:val="0"/>
        <w:bidi w:val="0"/>
        <w:spacing w:line="400" w:lineRule="exact"/>
        <w:ind w:left="271" w:leftChars="129" w:firstLine="120" w:firstLineChars="50"/>
        <w:textAlignment w:val="auto"/>
        <w:rPr>
          <w:rFonts w:hint="eastAsia" w:ascii="宋体" w:hAnsi="宋体" w:eastAsia="宋体" w:cs="宋体"/>
          <w:sz w:val="24"/>
          <w:szCs w:val="24"/>
        </w:rPr>
      </w:pPr>
      <w:r>
        <w:rPr>
          <w:rFonts w:hint="eastAsia" w:ascii="宋体" w:hAnsi="宋体" w:eastAsia="宋体" w:cs="宋体"/>
          <w:sz w:val="24"/>
          <w:szCs w:val="24"/>
        </w:rPr>
        <w:t>3.重要的安全设施必须坚持与主体工程“三同时”的原则，即：同时设计、审批，</w:t>
      </w:r>
    </w:p>
    <w:p>
      <w:pPr>
        <w:keepNext w:val="0"/>
        <w:keepLines w:val="0"/>
        <w:pageBreakBefore w:val="0"/>
        <w:kinsoku/>
        <w:wordWrap/>
        <w:overflowPunct/>
        <w:topLinePunct w:val="0"/>
        <w:bidi w:val="0"/>
        <w:spacing w:line="400" w:lineRule="exact"/>
        <w:textAlignment w:val="auto"/>
        <w:rPr>
          <w:rFonts w:hint="eastAsia" w:ascii="宋体" w:hAnsi="宋体" w:eastAsia="宋体" w:cs="宋体"/>
          <w:sz w:val="24"/>
          <w:szCs w:val="24"/>
        </w:rPr>
      </w:pPr>
      <w:r>
        <w:rPr>
          <w:rFonts w:hint="eastAsia" w:ascii="宋体" w:hAnsi="宋体" w:eastAsia="宋体" w:cs="宋体"/>
          <w:sz w:val="24"/>
          <w:szCs w:val="24"/>
        </w:rPr>
        <w:t>同时施工，同时验收，投入使用。</w:t>
      </w:r>
    </w:p>
    <w:p>
      <w:pPr>
        <w:keepNext w:val="0"/>
        <w:keepLines w:val="0"/>
        <w:pageBreakBefore w:val="0"/>
        <w:tabs>
          <w:tab w:val="left" w:pos="720"/>
        </w:tabs>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4.组织对承包人施工现场安全生产检查，监督承包人及时处理发现的各种安全隐患。</w:t>
      </w:r>
    </w:p>
    <w:p>
      <w:pPr>
        <w:keepNext w:val="0"/>
        <w:keepLines w:val="0"/>
        <w:pageBreakBefore w:val="0"/>
        <w:kinsoku/>
        <w:wordWrap/>
        <w:overflowPunct/>
        <w:topLinePunct w:val="0"/>
        <w:bidi w:val="0"/>
        <w:spacing w:line="400" w:lineRule="exact"/>
        <w:textAlignment w:val="auto"/>
        <w:rPr>
          <w:rFonts w:hint="eastAsia" w:ascii="宋体" w:hAnsi="宋体" w:eastAsia="宋体" w:cs="宋体"/>
          <w:b/>
          <w:sz w:val="24"/>
          <w:szCs w:val="24"/>
        </w:rPr>
      </w:pPr>
      <w:r>
        <w:rPr>
          <w:rFonts w:hint="eastAsia" w:ascii="宋体" w:hAnsi="宋体" w:eastAsia="宋体" w:cs="宋体"/>
          <w:b/>
          <w:sz w:val="24"/>
          <w:szCs w:val="24"/>
        </w:rPr>
        <w:t>二、承包人职责</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1.严格遵守国家有关安全生产的法律法规和有关安全生产的规定，认真执行工程承包合同中的有关安全要求。</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坚持“安全第一、预防为主”和坚持“管生产必须管安全”的原则，加强安全生产宣传教育，增强全员安全生产意识，建立健全各项安全生产的管理机构和安全生产管理制度，配备专职及兼职安全检查人员，有组织有领导地开展生产安全生产活动。各级领导、工程技术人员、生产管理人员和具体操作人员，必须熟悉和遵守本条款的各项规定，做到生产与安全工作同时计划、布置、检查、总结和评比。</w:t>
      </w:r>
    </w:p>
    <w:p>
      <w:pPr>
        <w:keepNext w:val="0"/>
        <w:keepLines w:val="0"/>
        <w:pageBreakBefore w:val="0"/>
        <w:kinsoku/>
        <w:wordWrap/>
        <w:overflowPunct/>
        <w:topLinePunct w:val="0"/>
        <w:bidi w:val="0"/>
        <w:spacing w:line="400" w:lineRule="exact"/>
        <w:ind w:firstLine="600" w:firstLineChars="250"/>
        <w:textAlignment w:val="auto"/>
        <w:rPr>
          <w:rFonts w:hint="eastAsia" w:ascii="宋体" w:hAnsi="宋体" w:eastAsia="宋体" w:cs="宋体"/>
          <w:sz w:val="24"/>
          <w:szCs w:val="24"/>
        </w:rPr>
      </w:pPr>
      <w:r>
        <w:rPr>
          <w:rFonts w:hint="eastAsia" w:ascii="宋体" w:hAnsi="宋体" w:eastAsia="宋体" w:cs="宋体"/>
          <w:sz w:val="24"/>
          <w:szCs w:val="24"/>
        </w:rPr>
        <w:t>3.建立健全安全生产责任制。从派往项目实施的项目经理和生产工人（包括临时雇请的民工）的安全生产管理系统必须做到纵向到底，一环不漏；各职能部门、人员的安全生产责任制做到横向到边，人人有责。项目经理是安全生产的第一责任人。现场设置的安全机构，应指定1名安全员，专职负责所有员工的安全和治安保卫工作及预防事故的发生。安全机构人员，有权按有关规定发布指令，并采取保护性措施防止事故发生。</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4.施工期间，承包人应落实预防措施，防止其员工发生任何违法、违禁、暴力或妨碍治安的行为。</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承包人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经理必须承担管理责任。</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对于易燃易爆的材料除应专门妥善保管之外，还应配备有足够的消防设施，所有施工人员都应熟悉消防设备的性能和使用方法；承包人不得将任何种类的爆炸物给予、易货或以其他方式转让给任何其他人，或允许、容忍上述同样行为。</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7.操作人员上岗，必须按规定穿戴防护用品。各专业施工负责人和安全检查员应随时检查劳动防护用品的穿戴情况，不按规定穿戴防护用品的人员不得上岗。</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8.所有施工机具设备和高空作业的设备均应定期检查，并有安全员的签字记录，保证其经常处于完发状态；不合格的机具、设备和劳动保护用品严禁使用。</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9.施工中采用新技术、新工艺、新设备、新材料时，必须制定相应的安全技术措施，施工现场必须具有相关的安全标志牌。</w:t>
      </w:r>
    </w:p>
    <w:p>
      <w:pPr>
        <w:keepNext w:val="0"/>
        <w:keepLines w:val="0"/>
        <w:pageBreakBefore w:val="0"/>
        <w:tabs>
          <w:tab w:val="left" w:pos="360"/>
          <w:tab w:val="left" w:pos="540"/>
          <w:tab w:val="left" w:pos="900"/>
          <w:tab w:val="left" w:pos="1080"/>
        </w:tabs>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承包人必须按照本工程项目特点，组织制定本工程实施中的生产安全事故应急救援预案；如果发生安全事故，应按照《国务院关于特大安全事故行政责任追究的规定》以及其他有关规定，及时上报有关部门，并坚持“三不放过”的原则，严肃处理相关责任人。</w:t>
      </w:r>
    </w:p>
    <w:p>
      <w:pPr>
        <w:keepNext w:val="0"/>
        <w:keepLines w:val="0"/>
        <w:pageBreakBefore w:val="0"/>
        <w:tabs>
          <w:tab w:val="left" w:pos="360"/>
          <w:tab w:val="left" w:pos="540"/>
          <w:tab w:val="left" w:pos="900"/>
          <w:tab w:val="left" w:pos="1080"/>
        </w:tabs>
        <w:kinsoku/>
        <w:wordWrap/>
        <w:overflowPunct/>
        <w:topLinePunct w:val="0"/>
        <w:bidi w:val="0"/>
        <w:spacing w:line="400" w:lineRule="exact"/>
        <w:ind w:firstLine="480" w:firstLineChars="200"/>
        <w:textAlignment w:val="auto"/>
        <w:rPr>
          <w:rFonts w:hint="eastAsia" w:ascii="宋体" w:hAnsi="宋体" w:eastAsia="宋体" w:cs="宋体"/>
          <w:sz w:val="24"/>
          <w:szCs w:val="24"/>
        </w:rPr>
      </w:pPr>
    </w:p>
    <w:p>
      <w:pPr>
        <w:keepNext w:val="0"/>
        <w:keepLines w:val="0"/>
        <w:pageBreakBefore w:val="0"/>
        <w:tabs>
          <w:tab w:val="left" w:pos="360"/>
          <w:tab w:val="left" w:pos="540"/>
          <w:tab w:val="left" w:pos="900"/>
          <w:tab w:val="left" w:pos="1080"/>
        </w:tabs>
        <w:kinsoku/>
        <w:wordWrap/>
        <w:overflowPunct/>
        <w:topLinePunct w:val="0"/>
        <w:bidi w:val="0"/>
        <w:spacing w:line="400" w:lineRule="exact"/>
        <w:textAlignment w:val="auto"/>
        <w:rPr>
          <w:rFonts w:hint="eastAsia" w:ascii="宋体" w:hAnsi="宋体" w:eastAsia="宋体" w:cs="宋体"/>
          <w:b/>
          <w:sz w:val="24"/>
          <w:szCs w:val="24"/>
        </w:rPr>
      </w:pPr>
      <w:r>
        <w:rPr>
          <w:rFonts w:hint="eastAsia" w:ascii="宋体" w:hAnsi="宋体" w:eastAsia="宋体" w:cs="宋体"/>
          <w:b/>
          <w:sz w:val="24"/>
          <w:szCs w:val="24"/>
        </w:rPr>
        <w:t>三、违约责任</w:t>
      </w:r>
    </w:p>
    <w:p>
      <w:pPr>
        <w:keepNext w:val="0"/>
        <w:keepLines w:val="0"/>
        <w:pageBreakBefore w:val="0"/>
        <w:tabs>
          <w:tab w:val="left" w:pos="360"/>
          <w:tab w:val="left" w:pos="540"/>
          <w:tab w:val="left" w:pos="720"/>
          <w:tab w:val="left" w:pos="900"/>
          <w:tab w:val="left" w:pos="1080"/>
        </w:tabs>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如因发包人或承包人违约造成安全事故，将依法追究责任。</w:t>
      </w:r>
    </w:p>
    <w:p>
      <w:pPr>
        <w:keepNext w:val="0"/>
        <w:keepLines w:val="0"/>
        <w:pageBreakBefore w:val="0"/>
        <w:tabs>
          <w:tab w:val="left" w:pos="0"/>
          <w:tab w:val="left" w:pos="540"/>
          <w:tab w:val="left" w:pos="720"/>
          <w:tab w:val="left" w:pos="900"/>
          <w:tab w:val="left" w:pos="1080"/>
        </w:tabs>
        <w:kinsoku/>
        <w:wordWrap/>
        <w:overflowPunct/>
        <w:topLinePunct w:val="0"/>
        <w:bidi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本合同一式八份，双方各执四份。由双方法定代表人或授权代理人签字并加盖单位印章后生效。 </w:t>
      </w:r>
    </w:p>
    <w:p>
      <w:pPr>
        <w:keepNext w:val="0"/>
        <w:keepLines w:val="0"/>
        <w:pageBreakBefore w:val="0"/>
        <w:tabs>
          <w:tab w:val="left" w:pos="0"/>
          <w:tab w:val="left" w:pos="540"/>
          <w:tab w:val="left" w:pos="720"/>
          <w:tab w:val="left" w:pos="900"/>
          <w:tab w:val="left" w:pos="1080"/>
        </w:tabs>
        <w:kinsoku/>
        <w:wordWrap/>
        <w:overflowPunct/>
        <w:topLinePunct w:val="0"/>
        <w:bidi w:val="0"/>
        <w:spacing w:line="400" w:lineRule="exact"/>
        <w:ind w:firstLine="480" w:firstLineChars="200"/>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甲方单位：（盖章）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乙方单位：（盖章）</w:t>
      </w: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法定代表人：</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法定代表人：</w:t>
      </w: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委托代理人</w:t>
      </w: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委托代理人：</w:t>
      </w: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地址：　　　　　　　　　　　　　        地址：</w:t>
      </w: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snapToGrid w:val="0"/>
          <w:sz w:val="24"/>
          <w:szCs w:val="24"/>
        </w:rPr>
      </w:pPr>
      <w:r>
        <w:rPr>
          <w:rFonts w:hint="eastAsia" w:ascii="宋体" w:hAnsi="宋体" w:eastAsia="宋体" w:cs="宋体"/>
          <w:sz w:val="24"/>
          <w:szCs w:val="24"/>
        </w:rPr>
        <w:t>电话：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电话：</w:t>
      </w:r>
    </w:p>
    <w:p>
      <w:pPr>
        <w:keepNext w:val="0"/>
        <w:keepLines w:val="0"/>
        <w:pageBreakBefore w:val="0"/>
        <w:widowControl w:val="0"/>
        <w:kinsoku/>
        <w:wordWrap/>
        <w:overflowPunct/>
        <w:topLinePunct w:val="0"/>
        <w:bidi w:val="0"/>
        <w:adjustRightInd w:val="0"/>
        <w:snapToGrid w:val="0"/>
        <w:spacing w:line="400" w:lineRule="exact"/>
        <w:ind w:firstLine="544" w:firstLineChars="227"/>
        <w:textAlignment w:val="auto"/>
        <w:rPr>
          <w:rFonts w:hint="eastAsia" w:ascii="宋体" w:hAnsi="宋体" w:eastAsia="宋体" w:cs="宋体"/>
          <w:sz w:val="24"/>
          <w:szCs w:val="24"/>
        </w:rPr>
      </w:pPr>
    </w:p>
    <w:p>
      <w:pPr>
        <w:keepNext w:val="0"/>
        <w:keepLines w:val="0"/>
        <w:pageBreakBefore w:val="0"/>
        <w:kinsoku/>
        <w:wordWrap/>
        <w:overflowPunct/>
        <w:topLinePunct w:val="0"/>
        <w:bidi w:val="0"/>
        <w:spacing w:line="400" w:lineRule="exact"/>
        <w:jc w:val="right"/>
        <w:textAlignment w:val="auto"/>
        <w:rPr>
          <w:rFonts w:ascii="宋体" w:hAnsi="宋体"/>
          <w:szCs w:val="21"/>
        </w:rPr>
      </w:pPr>
      <w:r>
        <w:rPr>
          <w:rFonts w:hint="eastAsia" w:ascii="宋体" w:hAnsi="宋体" w:eastAsia="宋体" w:cs="宋体"/>
          <w:sz w:val="24"/>
          <w:szCs w:val="24"/>
        </w:rPr>
        <w:t>签订日期:     年  月  日</w:t>
      </w:r>
    </w:p>
    <w:p>
      <w:pPr>
        <w:pStyle w:val="9"/>
        <w:rPr>
          <w:rFonts w:ascii="宋体" w:hAnsi="宋体" w:cs="宋体"/>
          <w:color w:val="auto"/>
          <w:sz w:val="24"/>
          <w:highlight w:val="none"/>
        </w:rPr>
      </w:pPr>
      <w:r>
        <w:rPr>
          <w:rFonts w:ascii="宋体" w:hAnsi="宋体" w:cs="宋体"/>
          <w:color w:val="auto"/>
          <w:sz w:val="24"/>
          <w:highlight w:val="none"/>
        </w:rPr>
        <w:br w:type="page"/>
      </w:r>
    </w:p>
    <w:p>
      <w:pPr>
        <w:pStyle w:val="9"/>
        <w:rPr>
          <w:rFonts w:ascii="宋体" w:hAnsi="宋体" w:cs="宋体"/>
          <w:color w:val="auto"/>
          <w:sz w:val="24"/>
          <w:highlight w:val="none"/>
        </w:rPr>
      </w:pPr>
    </w:p>
    <w:p>
      <w:pPr>
        <w:spacing w:line="520" w:lineRule="exact"/>
        <w:jc w:val="center"/>
        <w:outlineLvl w:val="0"/>
        <w:rPr>
          <w:rFonts w:hint="eastAsia" w:ascii="宋体" w:hAnsi="宋体" w:eastAsia="宋体" w:cs="宋体"/>
          <w:b/>
          <w:color w:val="auto"/>
          <w:sz w:val="32"/>
          <w:szCs w:val="32"/>
          <w:highlight w:val="none"/>
        </w:rPr>
      </w:pPr>
      <w:bookmarkStart w:id="70" w:name="_Toc6969"/>
      <w:bookmarkStart w:id="71" w:name="_Toc27838"/>
      <w:bookmarkStart w:id="72" w:name="_Toc12595"/>
      <w:bookmarkStart w:id="73" w:name="_Toc22648"/>
      <w:r>
        <w:rPr>
          <w:rStyle w:val="74"/>
          <w:rFonts w:hint="eastAsia"/>
          <w:color w:val="auto"/>
          <w:sz w:val="32"/>
          <w:szCs w:val="40"/>
          <w:highlight w:val="none"/>
        </w:rPr>
        <w:t>第六章  投标文件格式</w:t>
      </w:r>
      <w:bookmarkEnd w:id="70"/>
      <w:bookmarkEnd w:id="71"/>
      <w:bookmarkEnd w:id="72"/>
      <w:bookmarkEnd w:id="73"/>
    </w:p>
    <w:p>
      <w:pPr>
        <w:tabs>
          <w:tab w:val="left" w:pos="7530"/>
        </w:tabs>
        <w:spacing w:line="520" w:lineRule="exact"/>
        <w:outlineLvl w:val="0"/>
        <w:rPr>
          <w:rFonts w:hint="eastAsia" w:ascii="宋体" w:hAnsi="宋体" w:eastAsia="宋体" w:cs="宋体"/>
          <w:bCs/>
          <w:color w:val="auto"/>
          <w:sz w:val="20"/>
          <w:szCs w:val="22"/>
          <w:highlight w:val="none"/>
        </w:rPr>
      </w:pPr>
      <w:bookmarkStart w:id="74" w:name="_Toc22316"/>
      <w:bookmarkStart w:id="75" w:name="_Toc10135"/>
      <w:bookmarkStart w:id="76" w:name="_Toc13903"/>
      <w:r>
        <w:rPr>
          <w:rFonts w:hint="eastAsia" w:ascii="宋体" w:hAnsi="宋体" w:eastAsia="宋体" w:cs="宋体"/>
          <w:bCs/>
          <w:color w:val="auto"/>
          <w:sz w:val="20"/>
          <w:szCs w:val="22"/>
          <w:highlight w:val="none"/>
        </w:rPr>
        <w:t>附件一：</w:t>
      </w:r>
      <w:bookmarkEnd w:id="74"/>
      <w:bookmarkEnd w:id="75"/>
    </w:p>
    <w:p>
      <w:pPr>
        <w:spacing w:line="640" w:lineRule="exact"/>
        <w:jc w:val="center"/>
        <w:rPr>
          <w:rFonts w:hint="eastAsia" w:ascii="宋体" w:hAnsi="宋体" w:eastAsia="宋体" w:cs="宋体"/>
          <w:b/>
          <w:bCs/>
          <w:color w:val="auto"/>
          <w:sz w:val="44"/>
          <w:szCs w:val="44"/>
          <w:highlight w:val="none"/>
          <w:lang w:eastAsia="zh-CN"/>
        </w:rPr>
      </w:pPr>
      <w:r>
        <w:rPr>
          <w:rFonts w:hint="eastAsia" w:ascii="宋体" w:hAnsi="宋体" w:cs="宋体"/>
          <w:b/>
          <w:bCs/>
          <w:color w:val="auto"/>
          <w:sz w:val="44"/>
          <w:szCs w:val="44"/>
          <w:highlight w:val="none"/>
          <w:lang w:eastAsia="zh-CN"/>
        </w:rPr>
        <w:t>椒江区前所街道圆山社区党群服务中心设计施工一体化项目</w:t>
      </w:r>
    </w:p>
    <w:p>
      <w:pPr>
        <w:spacing w:line="640" w:lineRule="exact"/>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（线上电子招投标）</w:t>
      </w:r>
    </w:p>
    <w:p>
      <w:pPr>
        <w:spacing w:before="156" w:beforeLines="50" w:after="156" w:afterLines="50" w:line="640" w:lineRule="exact"/>
        <w:jc w:val="center"/>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rPr>
        <w:t>项目编号：</w:t>
      </w:r>
      <w:r>
        <w:rPr>
          <w:rFonts w:hint="eastAsia" w:ascii="宋体" w:hAnsi="宋体" w:cs="宋体"/>
          <w:color w:val="auto"/>
          <w:sz w:val="32"/>
          <w:szCs w:val="32"/>
          <w:highlight w:val="none"/>
          <w:lang w:eastAsia="zh-CN"/>
        </w:rPr>
        <w:t>YHZB-2023-0601</w:t>
      </w:r>
    </w:p>
    <w:p>
      <w:pPr>
        <w:spacing w:line="900" w:lineRule="exact"/>
        <w:jc w:val="center"/>
        <w:rPr>
          <w:rFonts w:hint="eastAsia" w:ascii="宋体" w:hAnsi="宋体" w:eastAsia="宋体" w:cs="宋体"/>
          <w:color w:val="auto"/>
          <w:sz w:val="72"/>
          <w:szCs w:val="22"/>
          <w:highlight w:val="none"/>
        </w:rPr>
      </w:pPr>
    </w:p>
    <w:p>
      <w:pPr>
        <w:spacing w:line="900" w:lineRule="exact"/>
        <w:jc w:val="center"/>
        <w:rPr>
          <w:rFonts w:hint="eastAsia" w:ascii="宋体" w:hAnsi="宋体" w:eastAsia="宋体" w:cs="宋体"/>
          <w:color w:val="auto"/>
          <w:sz w:val="72"/>
          <w:szCs w:val="22"/>
          <w:highlight w:val="none"/>
        </w:rPr>
      </w:pP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资</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格</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文</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件</w:t>
      </w:r>
    </w:p>
    <w:p>
      <w:pPr>
        <w:spacing w:line="900" w:lineRule="exact"/>
        <w:ind w:firstLine="2100" w:firstLineChars="750"/>
        <w:rPr>
          <w:rFonts w:hint="eastAsia" w:ascii="宋体" w:hAnsi="宋体" w:eastAsia="宋体" w:cs="宋体"/>
          <w:color w:val="auto"/>
          <w:sz w:val="28"/>
          <w:szCs w:val="22"/>
          <w:highlight w:val="none"/>
        </w:rPr>
      </w:pPr>
    </w:p>
    <w:p>
      <w:pPr>
        <w:spacing w:after="156" w:afterLines="50" w:line="900" w:lineRule="exact"/>
        <w:jc w:val="cente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供应商全称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（盖公章）</w:t>
      </w:r>
    </w:p>
    <w:p>
      <w:pPr>
        <w:spacing w:after="156" w:afterLines="50" w:line="900" w:lineRule="exact"/>
        <w:ind w:firstLine="3200" w:firstLineChars="1000"/>
        <w:rPr>
          <w:rFonts w:hint="eastAsia" w:ascii="宋体" w:hAnsi="宋体" w:eastAsia="宋体" w:cs="宋体"/>
          <w:color w:val="auto"/>
          <w:sz w:val="24"/>
          <w:szCs w:val="24"/>
          <w:highlight w:val="none"/>
        </w:rPr>
      </w:pPr>
      <w:r>
        <w:rPr>
          <w:rFonts w:hint="eastAsia" w:ascii="宋体" w:hAnsi="宋体" w:eastAsia="宋体" w:cs="宋体"/>
          <w:color w:val="auto"/>
          <w:sz w:val="32"/>
          <w:szCs w:val="32"/>
          <w:highlight w:val="none"/>
        </w:rPr>
        <w:t>年  月  日</w:t>
      </w:r>
      <w:r>
        <w:rPr>
          <w:rFonts w:hint="eastAsia" w:ascii="宋体" w:hAnsi="宋体" w:eastAsia="宋体" w:cs="宋体"/>
          <w:color w:val="auto"/>
          <w:sz w:val="24"/>
          <w:szCs w:val="24"/>
          <w:highlight w:val="none"/>
        </w:rPr>
        <w:t xml:space="preserve"> </w:t>
      </w:r>
    </w:p>
    <w:p>
      <w:pPr>
        <w:spacing w:after="156" w:afterLines="50" w:line="9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32"/>
          <w:szCs w:val="32"/>
          <w:highlight w:val="none"/>
        </w:rPr>
        <w:t>投标截止时间前其他单位或个人不得解密、提取</w:t>
      </w:r>
    </w:p>
    <w:p>
      <w:pPr>
        <w:tabs>
          <w:tab w:val="left" w:pos="7530"/>
        </w:tabs>
        <w:spacing w:line="520" w:lineRule="exac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Start w:id="77" w:name="_Toc32127"/>
      <w:bookmarkStart w:id="78" w:name="_Toc21494"/>
      <w:r>
        <w:rPr>
          <w:rFonts w:hint="eastAsia" w:ascii="宋体" w:hAnsi="宋体" w:eastAsia="宋体" w:cs="宋体"/>
          <w:bCs/>
          <w:color w:val="auto"/>
          <w:sz w:val="20"/>
          <w:szCs w:val="22"/>
          <w:highlight w:val="none"/>
        </w:rPr>
        <w:t>附件二：</w:t>
      </w:r>
      <w:bookmarkEnd w:id="77"/>
      <w:bookmarkEnd w:id="78"/>
      <w:r>
        <w:rPr>
          <w:rFonts w:hint="eastAsia" w:ascii="宋体" w:hAnsi="宋体" w:eastAsia="宋体" w:cs="宋体"/>
          <w:bCs/>
          <w:color w:val="auto"/>
          <w:sz w:val="20"/>
          <w:szCs w:val="22"/>
          <w:highlight w:val="none"/>
        </w:rPr>
        <w:tab/>
      </w:r>
    </w:p>
    <w:p>
      <w:pPr>
        <w:jc w:val="center"/>
        <w:rPr>
          <w:rFonts w:hint="eastAsia" w:ascii="宋体" w:hAnsi="宋体" w:eastAsia="宋体" w:cs="宋体"/>
          <w:bCs/>
          <w:color w:val="auto"/>
          <w:sz w:val="40"/>
          <w:szCs w:val="40"/>
          <w:highlight w:val="none"/>
        </w:rPr>
      </w:pPr>
    </w:p>
    <w:p>
      <w:pPr>
        <w:spacing w:line="520" w:lineRule="exact"/>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资格审查声明函</w:t>
      </w:r>
    </w:p>
    <w:p>
      <w:pPr>
        <w:rPr>
          <w:rFonts w:hint="eastAsia" w:ascii="宋体" w:hAnsi="宋体" w:eastAsia="宋体" w:cs="宋体"/>
          <w:color w:val="auto"/>
          <w:sz w:val="20"/>
          <w:szCs w:val="22"/>
          <w:highlight w:val="none"/>
        </w:rPr>
      </w:pPr>
    </w:p>
    <w:p>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rPr>
        <w:t>致</w:t>
      </w:r>
      <w:r>
        <w:rPr>
          <w:rFonts w:hint="eastAsia" w:ascii="宋体" w:hAnsi="宋体" w:cs="宋体"/>
          <w:color w:val="auto"/>
          <w:sz w:val="24"/>
          <w:szCs w:val="24"/>
          <w:highlight w:val="none"/>
          <w:u w:val="single"/>
          <w:lang w:eastAsia="zh-CN"/>
        </w:rPr>
        <w:t>台州市椒江区人民政府前所街道办事处</w:t>
      </w:r>
      <w:r>
        <w:rPr>
          <w:rFonts w:hint="eastAsia" w:ascii="宋体" w:hAnsi="宋体" w:eastAsia="宋体" w:cs="宋体"/>
          <w:color w:val="auto"/>
          <w:sz w:val="24"/>
          <w:szCs w:val="24"/>
          <w:highlight w:val="none"/>
          <w:u w:val="singl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我方郑重声明，我方参加</w:t>
      </w:r>
      <w:r>
        <w:rPr>
          <w:rFonts w:hint="eastAsia" w:ascii="宋体" w:hAnsi="宋体" w:cs="宋体"/>
          <w:color w:val="auto"/>
          <w:sz w:val="24"/>
          <w:szCs w:val="24"/>
          <w:highlight w:val="none"/>
          <w:u w:val="single"/>
          <w:lang w:eastAsia="zh-CN"/>
        </w:rPr>
        <w:t>椒江区前所街道圆山社区党群服务中心设计施工一体化项目</w:t>
      </w: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u w:val="single"/>
          <w:lang w:eastAsia="zh-CN"/>
        </w:rPr>
        <w:t>YHZB-2023-0601</w:t>
      </w:r>
      <w:r>
        <w:rPr>
          <w:rFonts w:hint="eastAsia" w:ascii="宋体" w:hAnsi="宋体" w:eastAsia="宋体" w:cs="宋体"/>
          <w:color w:val="auto"/>
          <w:sz w:val="24"/>
          <w:szCs w:val="24"/>
          <w:highlight w:val="none"/>
        </w:rPr>
        <w:t>）的政府采购活动中所提交的《资格文件》所有内容真实、有效，不存在提供虚假材料的行为。我方清楚采购人或采购代理机构对我方提交的资格证明材料仅负审核的责任。如我方提交的资格证明材料存在不合法或与事实不符的情形，无条件接受一切处理决定，并承担相应法律责任。</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snapToGrid w:val="0"/>
        <w:spacing w:before="156" w:beforeLines="50" w:after="50" w:line="360" w:lineRule="auto"/>
        <w:rPr>
          <w:rFonts w:hint="eastAsia" w:ascii="宋体" w:hAnsi="宋体" w:eastAsia="宋体" w:cs="宋体"/>
          <w:color w:val="auto"/>
          <w:sz w:val="24"/>
          <w:szCs w:val="24"/>
          <w:highlight w:val="none"/>
        </w:rPr>
      </w:pPr>
    </w:p>
    <w:p>
      <w:pPr>
        <w:spacing w:line="460" w:lineRule="exact"/>
        <w:ind w:firstLine="3000" w:firstLineChars="1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供应商全称：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（盖公章）</w:t>
      </w:r>
    </w:p>
    <w:p>
      <w:pPr>
        <w:spacing w:line="460" w:lineRule="exact"/>
        <w:ind w:firstLine="1980" w:firstLineChars="825"/>
        <w:rPr>
          <w:rFonts w:hint="eastAsia" w:ascii="宋体" w:hAnsi="宋体" w:eastAsia="宋体" w:cs="宋体"/>
          <w:color w:val="auto"/>
          <w:sz w:val="24"/>
          <w:szCs w:val="24"/>
          <w:highlight w:val="none"/>
          <w:u w:val="single"/>
        </w:rPr>
      </w:pPr>
    </w:p>
    <w:p>
      <w:pPr>
        <w:spacing w:line="460" w:lineRule="exact"/>
        <w:ind w:firstLine="1320" w:firstLineChars="5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i/>
          <w:color w:val="auto"/>
          <w:sz w:val="24"/>
          <w:szCs w:val="24"/>
          <w:highlight w:val="none"/>
        </w:rPr>
        <w:t>（负责人）</w:t>
      </w:r>
      <w:r>
        <w:rPr>
          <w:rFonts w:hint="eastAsia" w:ascii="宋体" w:hAnsi="宋体" w:eastAsia="宋体" w:cs="宋体"/>
          <w:color w:val="auto"/>
          <w:sz w:val="24"/>
          <w:szCs w:val="24"/>
          <w:highlight w:val="none"/>
        </w:rPr>
        <w:t>或委托代理人：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2"/>
          <w:szCs w:val="22"/>
          <w:highlight w:val="none"/>
        </w:rPr>
        <w:t>签字或盖章</w:t>
      </w:r>
      <w:r>
        <w:rPr>
          <w:rFonts w:hint="eastAsia" w:ascii="宋体" w:hAnsi="宋体" w:eastAsia="宋体" w:cs="宋体"/>
          <w:color w:val="auto"/>
          <w:sz w:val="24"/>
          <w:szCs w:val="24"/>
          <w:highlight w:val="none"/>
        </w:rPr>
        <w:t>）</w:t>
      </w:r>
    </w:p>
    <w:p>
      <w:pPr>
        <w:spacing w:line="460" w:lineRule="exact"/>
        <w:ind w:firstLine="1980" w:firstLineChars="825"/>
        <w:rPr>
          <w:rFonts w:hint="eastAsia" w:ascii="宋体" w:hAnsi="宋体" w:eastAsia="宋体" w:cs="宋体"/>
          <w:color w:val="auto"/>
          <w:sz w:val="24"/>
          <w:szCs w:val="24"/>
          <w:highlight w:val="none"/>
        </w:rPr>
      </w:pPr>
    </w:p>
    <w:p>
      <w:pPr>
        <w:adjustRightInd w:val="0"/>
        <w:snapToGrid w:val="0"/>
        <w:spacing w:line="360" w:lineRule="auto"/>
        <w:ind w:right="480"/>
        <w:jc w:val="center"/>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 xml:space="preserve">                                            年    月    日</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spacing w:line="520" w:lineRule="exact"/>
        <w:jc w:val="center"/>
        <w:rPr>
          <w:rFonts w:hint="eastAsia" w:ascii="宋体" w:hAnsi="宋体" w:eastAsia="宋体" w:cs="宋体"/>
          <w:bCs/>
          <w:color w:val="auto"/>
          <w:sz w:val="40"/>
          <w:szCs w:val="40"/>
          <w:highlight w:val="none"/>
        </w:rPr>
      </w:pPr>
    </w:p>
    <w:p>
      <w:pPr>
        <w:spacing w:line="520" w:lineRule="exact"/>
        <w:jc w:val="center"/>
        <w:rPr>
          <w:rFonts w:hint="eastAsia" w:ascii="宋体" w:hAnsi="宋体" w:eastAsia="宋体" w:cs="宋体"/>
          <w:bCs/>
          <w:color w:val="auto"/>
          <w:sz w:val="20"/>
          <w:szCs w:val="22"/>
          <w:highlight w:val="none"/>
        </w:rPr>
      </w:pPr>
    </w:p>
    <w:p>
      <w:pPr>
        <w:spacing w:line="520" w:lineRule="exact"/>
        <w:jc w:val="lef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Start w:id="79" w:name="_Toc28907"/>
      <w:bookmarkStart w:id="80" w:name="_Toc4261"/>
      <w:r>
        <w:rPr>
          <w:rFonts w:hint="eastAsia" w:ascii="宋体" w:hAnsi="宋体" w:eastAsia="宋体" w:cs="宋体"/>
          <w:bCs/>
          <w:color w:val="auto"/>
          <w:sz w:val="20"/>
          <w:szCs w:val="22"/>
          <w:highlight w:val="none"/>
        </w:rPr>
        <w:t>附件三：</w:t>
      </w:r>
      <w:bookmarkEnd w:id="79"/>
    </w:p>
    <w:p>
      <w:pPr>
        <w:spacing w:line="520" w:lineRule="exact"/>
        <w:jc w:val="center"/>
        <w:rPr>
          <w:rFonts w:hint="eastAsia" w:ascii="宋体" w:hAnsi="宋体" w:eastAsia="宋体" w:cs="宋体"/>
          <w:bCs/>
          <w:color w:val="auto"/>
          <w:sz w:val="40"/>
          <w:szCs w:val="40"/>
          <w:highlight w:val="none"/>
        </w:rPr>
      </w:pPr>
    </w:p>
    <w:p>
      <w:pPr>
        <w:spacing w:line="520" w:lineRule="exact"/>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具有良好的商业信誉和健全的</w:t>
      </w:r>
    </w:p>
    <w:p>
      <w:pPr>
        <w:spacing w:line="520" w:lineRule="exact"/>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财务会计制度的承诺函</w:t>
      </w:r>
    </w:p>
    <w:p>
      <w:pPr>
        <w:spacing w:line="520" w:lineRule="exact"/>
        <w:jc w:val="center"/>
        <w:rPr>
          <w:rFonts w:hint="eastAsia" w:ascii="宋体" w:hAnsi="宋体" w:eastAsia="宋体" w:cs="宋体"/>
          <w:bCs/>
          <w:color w:val="auto"/>
          <w:sz w:val="40"/>
          <w:szCs w:val="40"/>
          <w:highlight w:val="none"/>
        </w:rPr>
      </w:pPr>
    </w:p>
    <w:p>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rPr>
        <w:t>致</w:t>
      </w:r>
      <w:r>
        <w:rPr>
          <w:rFonts w:hint="eastAsia" w:ascii="宋体" w:hAnsi="宋体" w:cs="宋体"/>
          <w:color w:val="auto"/>
          <w:sz w:val="24"/>
          <w:szCs w:val="24"/>
          <w:highlight w:val="none"/>
          <w:u w:val="single"/>
          <w:lang w:eastAsia="zh-CN"/>
        </w:rPr>
        <w:t>台州市椒江区人民政府前所街道办事处</w:t>
      </w:r>
      <w:r>
        <w:rPr>
          <w:rFonts w:hint="eastAsia" w:ascii="宋体" w:hAnsi="宋体" w:eastAsia="宋体" w:cs="宋体"/>
          <w:color w:val="auto"/>
          <w:sz w:val="24"/>
          <w:szCs w:val="24"/>
          <w:highlight w:val="none"/>
          <w:u w:val="singl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我方郑重承诺，我方具有良好的商业信誉和健全的财务会计制度</w:t>
      </w:r>
      <w:r>
        <w:rPr>
          <w:rFonts w:hint="eastAsia" w:ascii="宋体" w:hAnsi="宋体" w:eastAsia="宋体" w:cs="宋体"/>
          <w:color w:val="auto"/>
          <w:kern w:val="0"/>
          <w:sz w:val="24"/>
          <w:szCs w:val="24"/>
          <w:highlight w:val="none"/>
        </w:rPr>
        <w:t>，本文件中所提供的相关材料均真实有效，不存在虚假、造假行为。如有违反，愿承担一切责任</w:t>
      </w:r>
      <w:r>
        <w:rPr>
          <w:rFonts w:hint="eastAsia" w:ascii="宋体" w:hAnsi="宋体" w:eastAsia="宋体" w:cs="宋体"/>
          <w:color w:val="auto"/>
          <w:sz w:val="24"/>
          <w:szCs w:val="24"/>
          <w:highlight w:val="non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w:t>
      </w:r>
      <w:r>
        <w:rPr>
          <w:rFonts w:hint="eastAsia" w:ascii="宋体" w:hAnsi="宋体" w:eastAsia="宋体" w:cs="宋体"/>
          <w:color w:val="auto"/>
          <w:kern w:val="0"/>
          <w:sz w:val="24"/>
          <w:szCs w:val="24"/>
          <w:highlight w:val="none"/>
        </w:rPr>
        <w:t>承诺</w:t>
      </w:r>
      <w:r>
        <w:rPr>
          <w:rFonts w:hint="eastAsia" w:ascii="宋体" w:hAnsi="宋体" w:eastAsia="宋体" w:cs="宋体"/>
          <w:color w:val="auto"/>
          <w:sz w:val="24"/>
          <w:szCs w:val="24"/>
          <w:highlight w:val="non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snapToGrid w:val="0"/>
        <w:spacing w:before="156" w:beforeLines="50" w:after="50" w:line="360" w:lineRule="auto"/>
        <w:rPr>
          <w:rFonts w:hint="eastAsia" w:ascii="宋体" w:hAnsi="宋体" w:eastAsia="宋体" w:cs="宋体"/>
          <w:color w:val="auto"/>
          <w:sz w:val="24"/>
          <w:szCs w:val="24"/>
          <w:highlight w:val="none"/>
        </w:rPr>
      </w:pPr>
    </w:p>
    <w:p>
      <w:pPr>
        <w:pStyle w:val="9"/>
        <w:rPr>
          <w:rFonts w:hint="eastAsia" w:ascii="宋体" w:hAnsi="宋体" w:eastAsia="宋体" w:cs="宋体"/>
          <w:color w:val="auto"/>
          <w:sz w:val="24"/>
          <w:szCs w:val="24"/>
          <w:highlight w:val="none"/>
        </w:rPr>
      </w:pPr>
    </w:p>
    <w:p>
      <w:pPr>
        <w:pStyle w:val="9"/>
        <w:rPr>
          <w:rFonts w:hint="eastAsia" w:ascii="宋体" w:hAnsi="宋体" w:eastAsia="宋体" w:cs="宋体"/>
          <w:color w:val="auto"/>
          <w:sz w:val="24"/>
          <w:szCs w:val="24"/>
          <w:highlight w:val="none"/>
        </w:rPr>
      </w:pPr>
    </w:p>
    <w:p>
      <w:pPr>
        <w:spacing w:line="460" w:lineRule="exact"/>
        <w:ind w:firstLine="3000" w:firstLineChars="1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供应商全称：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（盖公章）</w:t>
      </w:r>
    </w:p>
    <w:p>
      <w:pPr>
        <w:spacing w:line="460" w:lineRule="exact"/>
        <w:ind w:firstLine="1980" w:firstLineChars="825"/>
        <w:rPr>
          <w:rFonts w:hint="eastAsia" w:ascii="宋体" w:hAnsi="宋体" w:eastAsia="宋体" w:cs="宋体"/>
          <w:color w:val="auto"/>
          <w:sz w:val="24"/>
          <w:szCs w:val="24"/>
          <w:highlight w:val="none"/>
          <w:u w:val="single"/>
        </w:rPr>
      </w:pPr>
    </w:p>
    <w:p>
      <w:pPr>
        <w:spacing w:line="460" w:lineRule="exact"/>
        <w:ind w:firstLine="1320" w:firstLineChars="5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i/>
          <w:color w:val="auto"/>
          <w:sz w:val="24"/>
          <w:szCs w:val="24"/>
          <w:highlight w:val="none"/>
        </w:rPr>
        <w:t>（负责人）</w:t>
      </w:r>
      <w:r>
        <w:rPr>
          <w:rFonts w:hint="eastAsia" w:ascii="宋体" w:hAnsi="宋体" w:eastAsia="宋体" w:cs="宋体"/>
          <w:color w:val="auto"/>
          <w:sz w:val="24"/>
          <w:szCs w:val="24"/>
          <w:highlight w:val="none"/>
        </w:rPr>
        <w:t>或委托代理人：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2"/>
          <w:szCs w:val="22"/>
          <w:highlight w:val="none"/>
        </w:rPr>
        <w:t>签字或盖章</w:t>
      </w:r>
      <w:r>
        <w:rPr>
          <w:rFonts w:hint="eastAsia" w:ascii="宋体" w:hAnsi="宋体" w:eastAsia="宋体" w:cs="宋体"/>
          <w:color w:val="auto"/>
          <w:sz w:val="24"/>
          <w:szCs w:val="24"/>
          <w:highlight w:val="none"/>
        </w:rPr>
        <w:t>）</w:t>
      </w:r>
    </w:p>
    <w:p>
      <w:pPr>
        <w:spacing w:line="460" w:lineRule="exact"/>
        <w:ind w:firstLine="1980" w:firstLineChars="825"/>
        <w:rPr>
          <w:rFonts w:hint="eastAsia" w:ascii="宋体" w:hAnsi="宋体" w:eastAsia="宋体" w:cs="宋体"/>
          <w:color w:val="auto"/>
          <w:sz w:val="24"/>
          <w:szCs w:val="24"/>
          <w:highlight w:val="none"/>
        </w:rPr>
      </w:pPr>
    </w:p>
    <w:p>
      <w:pPr>
        <w:adjustRightInd w:val="0"/>
        <w:snapToGrid w:val="0"/>
        <w:spacing w:line="360" w:lineRule="auto"/>
        <w:ind w:right="480"/>
        <w:jc w:val="center"/>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 xml:space="preserve">                                            年    月    日</w:t>
      </w:r>
    </w:p>
    <w:p>
      <w:pPr>
        <w:spacing w:line="520" w:lineRule="exact"/>
        <w:jc w:val="lef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Start w:id="81" w:name="_Toc17579"/>
      <w:r>
        <w:rPr>
          <w:rFonts w:hint="eastAsia" w:ascii="宋体" w:hAnsi="宋体" w:eastAsia="宋体" w:cs="宋体"/>
          <w:bCs/>
          <w:color w:val="auto"/>
          <w:sz w:val="20"/>
          <w:szCs w:val="22"/>
          <w:highlight w:val="none"/>
        </w:rPr>
        <w:t>附件</w:t>
      </w:r>
      <w:r>
        <w:rPr>
          <w:rFonts w:hint="eastAsia" w:ascii="宋体" w:hAnsi="宋体" w:eastAsia="宋体" w:cs="宋体"/>
          <w:bCs/>
          <w:color w:val="auto"/>
          <w:sz w:val="20"/>
          <w:szCs w:val="22"/>
          <w:highlight w:val="none"/>
          <w:lang w:eastAsia="zh-CN"/>
        </w:rPr>
        <w:t>四</w:t>
      </w:r>
      <w:r>
        <w:rPr>
          <w:rFonts w:hint="eastAsia" w:ascii="宋体" w:hAnsi="宋体" w:eastAsia="宋体" w:cs="宋体"/>
          <w:bCs/>
          <w:color w:val="auto"/>
          <w:sz w:val="20"/>
          <w:szCs w:val="22"/>
          <w:highlight w:val="none"/>
        </w:rPr>
        <w:t>：</w:t>
      </w:r>
      <w:bookmarkEnd w:id="81"/>
    </w:p>
    <w:p>
      <w:pPr>
        <w:spacing w:line="520" w:lineRule="exact"/>
        <w:jc w:val="center"/>
        <w:rPr>
          <w:rFonts w:hint="eastAsia" w:ascii="宋体" w:hAnsi="宋体" w:eastAsia="宋体" w:cs="宋体"/>
          <w:bCs/>
          <w:color w:val="auto"/>
          <w:sz w:val="40"/>
          <w:szCs w:val="40"/>
          <w:highlight w:val="none"/>
        </w:rPr>
      </w:pPr>
    </w:p>
    <w:p>
      <w:pPr>
        <w:spacing w:line="520" w:lineRule="exact"/>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具有履行合同所必需的设备和</w:t>
      </w:r>
    </w:p>
    <w:p>
      <w:pPr>
        <w:spacing w:line="520" w:lineRule="exact"/>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专业技术能力的承诺函</w:t>
      </w:r>
    </w:p>
    <w:p>
      <w:pPr>
        <w:spacing w:line="520" w:lineRule="exact"/>
        <w:jc w:val="center"/>
        <w:rPr>
          <w:rFonts w:hint="eastAsia" w:ascii="宋体" w:hAnsi="宋体" w:eastAsia="宋体" w:cs="宋体"/>
          <w:bCs/>
          <w:color w:val="auto"/>
          <w:sz w:val="40"/>
          <w:szCs w:val="40"/>
          <w:highlight w:val="none"/>
        </w:rPr>
      </w:pPr>
    </w:p>
    <w:p>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rPr>
        <w:t>致</w:t>
      </w:r>
      <w:r>
        <w:rPr>
          <w:rFonts w:hint="eastAsia" w:ascii="宋体" w:hAnsi="宋体" w:cs="宋体"/>
          <w:color w:val="auto"/>
          <w:sz w:val="24"/>
          <w:szCs w:val="24"/>
          <w:highlight w:val="none"/>
          <w:u w:val="single"/>
          <w:lang w:eastAsia="zh-CN"/>
        </w:rPr>
        <w:t>台州市椒江区人民政府前所街道办事处</w:t>
      </w:r>
      <w:r>
        <w:rPr>
          <w:rFonts w:hint="eastAsia" w:ascii="宋体" w:hAnsi="宋体" w:eastAsia="宋体" w:cs="宋体"/>
          <w:color w:val="auto"/>
          <w:sz w:val="24"/>
          <w:szCs w:val="24"/>
          <w:highlight w:val="none"/>
          <w:u w:val="singl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我方郑重承诺，我方具有履行</w:t>
      </w:r>
      <w:r>
        <w:rPr>
          <w:rFonts w:hint="eastAsia" w:ascii="宋体" w:hAnsi="宋体" w:cs="宋体"/>
          <w:color w:val="auto"/>
          <w:sz w:val="24"/>
          <w:szCs w:val="24"/>
          <w:highlight w:val="none"/>
          <w:u w:val="single"/>
          <w:lang w:eastAsia="zh-CN"/>
        </w:rPr>
        <w:t>椒江区前所街道圆山社区党群服务中心设计施工一体化项目</w:t>
      </w: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u w:val="single"/>
          <w:lang w:eastAsia="zh-CN"/>
        </w:rPr>
        <w:t>YHZB-2023-0601</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合同所必需的设备和专业技术能力，如中标，我方将按我方投标文件承诺，保证合同顺利履行。如有虚假或隐瞒，愿意承担一切后果</w:t>
      </w:r>
      <w:r>
        <w:rPr>
          <w:rFonts w:hint="eastAsia" w:ascii="宋体" w:hAnsi="宋体" w:eastAsia="宋体" w:cs="宋体"/>
          <w:color w:val="auto"/>
          <w:sz w:val="24"/>
          <w:szCs w:val="24"/>
          <w:highlight w:val="non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w:t>
      </w:r>
      <w:r>
        <w:rPr>
          <w:rFonts w:hint="eastAsia" w:ascii="宋体" w:hAnsi="宋体" w:eastAsia="宋体" w:cs="宋体"/>
          <w:color w:val="auto"/>
          <w:kern w:val="0"/>
          <w:sz w:val="24"/>
          <w:szCs w:val="24"/>
          <w:highlight w:val="none"/>
        </w:rPr>
        <w:t>承诺</w:t>
      </w:r>
      <w:r>
        <w:rPr>
          <w:rFonts w:hint="eastAsia" w:ascii="宋体" w:hAnsi="宋体" w:eastAsia="宋体" w:cs="宋体"/>
          <w:color w:val="auto"/>
          <w:sz w:val="24"/>
          <w:szCs w:val="24"/>
          <w:highlight w:val="non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snapToGrid w:val="0"/>
        <w:spacing w:before="156" w:beforeLines="50" w:after="50" w:line="360" w:lineRule="auto"/>
        <w:rPr>
          <w:rFonts w:hint="eastAsia" w:ascii="宋体" w:hAnsi="宋体" w:eastAsia="宋体" w:cs="宋体"/>
          <w:color w:val="auto"/>
          <w:sz w:val="24"/>
          <w:szCs w:val="24"/>
          <w:highlight w:val="none"/>
        </w:rPr>
      </w:pPr>
    </w:p>
    <w:p>
      <w:pPr>
        <w:pStyle w:val="9"/>
        <w:rPr>
          <w:rFonts w:hint="eastAsia" w:ascii="宋体" w:hAnsi="宋体" w:eastAsia="宋体" w:cs="宋体"/>
          <w:color w:val="auto"/>
          <w:sz w:val="24"/>
          <w:szCs w:val="24"/>
          <w:highlight w:val="none"/>
        </w:rPr>
      </w:pPr>
    </w:p>
    <w:p>
      <w:pPr>
        <w:pStyle w:val="9"/>
        <w:rPr>
          <w:rFonts w:hint="eastAsia" w:ascii="宋体" w:hAnsi="宋体" w:eastAsia="宋体" w:cs="宋体"/>
          <w:color w:val="auto"/>
          <w:sz w:val="24"/>
          <w:szCs w:val="24"/>
          <w:highlight w:val="none"/>
        </w:rPr>
      </w:pPr>
    </w:p>
    <w:p>
      <w:pPr>
        <w:spacing w:line="460" w:lineRule="exact"/>
        <w:ind w:firstLine="3000" w:firstLineChars="1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供应商全称：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（盖公章）</w:t>
      </w:r>
    </w:p>
    <w:p>
      <w:pPr>
        <w:spacing w:line="460" w:lineRule="exact"/>
        <w:ind w:firstLine="1980" w:firstLineChars="825"/>
        <w:rPr>
          <w:rFonts w:hint="eastAsia" w:ascii="宋体" w:hAnsi="宋体" w:eastAsia="宋体" w:cs="宋体"/>
          <w:color w:val="auto"/>
          <w:sz w:val="24"/>
          <w:szCs w:val="24"/>
          <w:highlight w:val="none"/>
          <w:u w:val="single"/>
        </w:rPr>
      </w:pPr>
    </w:p>
    <w:p>
      <w:pPr>
        <w:spacing w:line="460" w:lineRule="exact"/>
        <w:ind w:firstLine="1320" w:firstLineChars="5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i/>
          <w:color w:val="auto"/>
          <w:sz w:val="24"/>
          <w:szCs w:val="24"/>
          <w:highlight w:val="none"/>
        </w:rPr>
        <w:t>（负责人）</w:t>
      </w:r>
      <w:r>
        <w:rPr>
          <w:rFonts w:hint="eastAsia" w:ascii="宋体" w:hAnsi="宋体" w:eastAsia="宋体" w:cs="宋体"/>
          <w:color w:val="auto"/>
          <w:sz w:val="24"/>
          <w:szCs w:val="24"/>
          <w:highlight w:val="none"/>
        </w:rPr>
        <w:t>或委托代理人：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2"/>
          <w:szCs w:val="22"/>
          <w:highlight w:val="none"/>
        </w:rPr>
        <w:t>签字或盖章</w:t>
      </w:r>
      <w:r>
        <w:rPr>
          <w:rFonts w:hint="eastAsia" w:ascii="宋体" w:hAnsi="宋体" w:eastAsia="宋体" w:cs="宋体"/>
          <w:color w:val="auto"/>
          <w:sz w:val="24"/>
          <w:szCs w:val="24"/>
          <w:highlight w:val="none"/>
        </w:rPr>
        <w:t>）</w:t>
      </w:r>
    </w:p>
    <w:p>
      <w:pPr>
        <w:spacing w:line="460" w:lineRule="exact"/>
        <w:ind w:firstLine="1980" w:firstLineChars="825"/>
        <w:rPr>
          <w:rFonts w:hint="eastAsia" w:ascii="宋体" w:hAnsi="宋体" w:eastAsia="宋体" w:cs="宋体"/>
          <w:color w:val="auto"/>
          <w:sz w:val="24"/>
          <w:szCs w:val="24"/>
          <w:highlight w:val="none"/>
        </w:rPr>
      </w:pPr>
    </w:p>
    <w:p>
      <w:pPr>
        <w:adjustRightInd w:val="0"/>
        <w:snapToGrid w:val="0"/>
        <w:spacing w:line="360" w:lineRule="auto"/>
        <w:ind w:right="480"/>
        <w:jc w:val="center"/>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 xml:space="preserve">                                            年    月    日</w:t>
      </w:r>
    </w:p>
    <w:p>
      <w:pPr>
        <w:spacing w:line="520" w:lineRule="exact"/>
        <w:jc w:val="lef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End w:id="80"/>
      <w:bookmarkStart w:id="82" w:name="_Toc991"/>
      <w:bookmarkStart w:id="83" w:name="_Toc22292"/>
      <w:r>
        <w:rPr>
          <w:rFonts w:hint="eastAsia" w:ascii="宋体" w:hAnsi="宋体" w:eastAsia="宋体" w:cs="宋体"/>
          <w:bCs/>
          <w:color w:val="auto"/>
          <w:sz w:val="20"/>
          <w:szCs w:val="22"/>
          <w:highlight w:val="none"/>
        </w:rPr>
        <w:t>附件</w:t>
      </w:r>
      <w:r>
        <w:rPr>
          <w:rFonts w:hint="eastAsia" w:ascii="宋体" w:hAnsi="宋体" w:eastAsia="宋体" w:cs="宋体"/>
          <w:bCs/>
          <w:color w:val="auto"/>
          <w:sz w:val="20"/>
          <w:szCs w:val="22"/>
          <w:highlight w:val="none"/>
          <w:lang w:eastAsia="zh-CN"/>
        </w:rPr>
        <w:t>五</w:t>
      </w:r>
      <w:r>
        <w:rPr>
          <w:rFonts w:hint="eastAsia" w:ascii="宋体" w:hAnsi="宋体" w:eastAsia="宋体" w:cs="宋体"/>
          <w:bCs/>
          <w:color w:val="auto"/>
          <w:sz w:val="20"/>
          <w:szCs w:val="22"/>
          <w:highlight w:val="none"/>
        </w:rPr>
        <w:t>：</w:t>
      </w:r>
      <w:bookmarkEnd w:id="82"/>
      <w:bookmarkEnd w:id="83"/>
    </w:p>
    <w:p>
      <w:pPr>
        <w:spacing w:line="520" w:lineRule="exact"/>
        <w:jc w:val="center"/>
        <w:rPr>
          <w:rFonts w:hint="eastAsia" w:ascii="宋体" w:hAnsi="宋体" w:eastAsia="宋体" w:cs="宋体"/>
          <w:bCs/>
          <w:color w:val="auto"/>
          <w:sz w:val="40"/>
          <w:szCs w:val="40"/>
          <w:highlight w:val="none"/>
        </w:rPr>
      </w:pPr>
    </w:p>
    <w:p>
      <w:pPr>
        <w:spacing w:line="520" w:lineRule="exact"/>
        <w:jc w:val="center"/>
        <w:rPr>
          <w:rFonts w:hint="eastAsia" w:ascii="宋体" w:hAnsi="宋体" w:eastAsia="宋体" w:cs="宋体"/>
          <w:bCs/>
          <w:color w:val="auto"/>
          <w:sz w:val="40"/>
          <w:szCs w:val="40"/>
          <w:highlight w:val="none"/>
        </w:rPr>
      </w:pPr>
      <w:r>
        <w:rPr>
          <w:rFonts w:hint="eastAsia" w:ascii="宋体" w:hAnsi="宋体" w:eastAsia="宋体" w:cs="宋体"/>
          <w:b/>
          <w:color w:val="auto"/>
          <w:sz w:val="40"/>
          <w:szCs w:val="40"/>
          <w:highlight w:val="none"/>
        </w:rPr>
        <w:t>依法缴纳税收和社会保障资金的承诺函</w:t>
      </w:r>
    </w:p>
    <w:p>
      <w:pPr>
        <w:spacing w:line="520" w:lineRule="exact"/>
        <w:jc w:val="center"/>
        <w:rPr>
          <w:rFonts w:hint="eastAsia" w:ascii="宋体" w:hAnsi="宋体" w:eastAsia="宋体" w:cs="宋体"/>
          <w:bCs/>
          <w:color w:val="auto"/>
          <w:sz w:val="40"/>
          <w:szCs w:val="40"/>
          <w:highlight w:val="none"/>
        </w:rPr>
      </w:pPr>
    </w:p>
    <w:p>
      <w:pPr>
        <w:pStyle w:val="9"/>
        <w:rPr>
          <w:rFonts w:hint="eastAsia" w:ascii="宋体" w:hAnsi="宋体" w:eastAsia="宋体" w:cs="宋体"/>
          <w:color w:val="auto"/>
          <w:sz w:val="20"/>
          <w:szCs w:val="18"/>
          <w:highlight w:val="none"/>
        </w:rPr>
      </w:pPr>
    </w:p>
    <w:p>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rPr>
        <w:t>致</w:t>
      </w:r>
      <w:r>
        <w:rPr>
          <w:rFonts w:hint="eastAsia" w:ascii="宋体" w:hAnsi="宋体" w:cs="宋体"/>
          <w:color w:val="auto"/>
          <w:sz w:val="24"/>
          <w:szCs w:val="24"/>
          <w:highlight w:val="none"/>
          <w:u w:val="single"/>
          <w:lang w:eastAsia="zh-CN"/>
        </w:rPr>
        <w:t>台州市椒江区人民政府前所街道办事处</w:t>
      </w:r>
      <w:r>
        <w:rPr>
          <w:rFonts w:hint="eastAsia" w:ascii="宋体" w:hAnsi="宋体" w:eastAsia="宋体" w:cs="宋体"/>
          <w:color w:val="auto"/>
          <w:sz w:val="24"/>
          <w:szCs w:val="24"/>
          <w:highlight w:val="none"/>
          <w:u w:val="singl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我方郑重承诺，我方严格依法缴纳税收和社会保障资金，本文件中所提供的相关材料均真实有效，不存在虚假、造假行为。如有违反，愿承担一切责任。</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pStyle w:val="9"/>
        <w:rPr>
          <w:rFonts w:hint="eastAsia" w:ascii="宋体" w:hAnsi="宋体" w:eastAsia="宋体" w:cs="宋体"/>
          <w:color w:val="auto"/>
          <w:sz w:val="20"/>
          <w:szCs w:val="18"/>
          <w:highlight w:val="none"/>
        </w:rPr>
      </w:pP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w:t>
      </w:r>
      <w:r>
        <w:rPr>
          <w:rFonts w:hint="eastAsia" w:ascii="宋体" w:hAnsi="宋体" w:eastAsia="宋体" w:cs="宋体"/>
          <w:color w:val="auto"/>
          <w:kern w:val="0"/>
          <w:sz w:val="24"/>
          <w:szCs w:val="24"/>
          <w:highlight w:val="none"/>
        </w:rPr>
        <w:t>承诺</w:t>
      </w:r>
      <w:r>
        <w:rPr>
          <w:rFonts w:hint="eastAsia" w:ascii="宋体" w:hAnsi="宋体" w:eastAsia="宋体" w:cs="宋体"/>
          <w:color w:val="auto"/>
          <w:sz w:val="24"/>
          <w:szCs w:val="24"/>
          <w:highlight w:val="non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snapToGrid w:val="0"/>
        <w:spacing w:before="156" w:beforeLines="50" w:after="50" w:line="360" w:lineRule="auto"/>
        <w:rPr>
          <w:rFonts w:hint="eastAsia" w:ascii="宋体" w:hAnsi="宋体" w:eastAsia="宋体" w:cs="宋体"/>
          <w:color w:val="auto"/>
          <w:sz w:val="24"/>
          <w:szCs w:val="24"/>
          <w:highlight w:val="none"/>
        </w:rPr>
      </w:pPr>
    </w:p>
    <w:p>
      <w:pPr>
        <w:pStyle w:val="9"/>
        <w:rPr>
          <w:rFonts w:hint="eastAsia" w:ascii="宋体" w:hAnsi="宋体" w:eastAsia="宋体" w:cs="宋体"/>
          <w:color w:val="auto"/>
          <w:sz w:val="24"/>
          <w:szCs w:val="24"/>
          <w:highlight w:val="none"/>
        </w:rPr>
      </w:pPr>
    </w:p>
    <w:p>
      <w:pPr>
        <w:pStyle w:val="9"/>
        <w:rPr>
          <w:rFonts w:hint="eastAsia" w:ascii="宋体" w:hAnsi="宋体" w:eastAsia="宋体" w:cs="宋体"/>
          <w:color w:val="auto"/>
          <w:sz w:val="24"/>
          <w:szCs w:val="24"/>
          <w:highlight w:val="none"/>
        </w:rPr>
      </w:pPr>
    </w:p>
    <w:p>
      <w:pPr>
        <w:pStyle w:val="9"/>
        <w:rPr>
          <w:rFonts w:hint="eastAsia" w:ascii="宋体" w:hAnsi="宋体" w:eastAsia="宋体" w:cs="宋体"/>
          <w:color w:val="auto"/>
          <w:sz w:val="24"/>
          <w:szCs w:val="24"/>
          <w:highlight w:val="none"/>
        </w:rPr>
      </w:pPr>
    </w:p>
    <w:p>
      <w:pPr>
        <w:spacing w:line="460" w:lineRule="exact"/>
        <w:ind w:firstLine="3000" w:firstLineChars="1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供应商全称：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（盖公章）</w:t>
      </w:r>
    </w:p>
    <w:p>
      <w:pPr>
        <w:spacing w:line="460" w:lineRule="exact"/>
        <w:ind w:firstLine="1980" w:firstLineChars="825"/>
        <w:rPr>
          <w:rFonts w:hint="eastAsia" w:ascii="宋体" w:hAnsi="宋体" w:eastAsia="宋体" w:cs="宋体"/>
          <w:color w:val="auto"/>
          <w:sz w:val="24"/>
          <w:szCs w:val="24"/>
          <w:highlight w:val="none"/>
          <w:u w:val="single"/>
        </w:rPr>
      </w:pPr>
    </w:p>
    <w:p>
      <w:pPr>
        <w:spacing w:line="460" w:lineRule="exact"/>
        <w:ind w:firstLine="1320" w:firstLineChars="5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i/>
          <w:color w:val="auto"/>
          <w:sz w:val="24"/>
          <w:szCs w:val="24"/>
          <w:highlight w:val="none"/>
        </w:rPr>
        <w:t>（负责人）</w:t>
      </w:r>
      <w:r>
        <w:rPr>
          <w:rFonts w:hint="eastAsia" w:ascii="宋体" w:hAnsi="宋体" w:eastAsia="宋体" w:cs="宋体"/>
          <w:color w:val="auto"/>
          <w:sz w:val="24"/>
          <w:szCs w:val="24"/>
          <w:highlight w:val="none"/>
        </w:rPr>
        <w:t>或委托代理人：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2"/>
          <w:szCs w:val="22"/>
          <w:highlight w:val="none"/>
        </w:rPr>
        <w:t>签字或盖章</w:t>
      </w:r>
      <w:r>
        <w:rPr>
          <w:rFonts w:hint="eastAsia" w:ascii="宋体" w:hAnsi="宋体" w:eastAsia="宋体" w:cs="宋体"/>
          <w:color w:val="auto"/>
          <w:sz w:val="24"/>
          <w:szCs w:val="24"/>
          <w:highlight w:val="none"/>
        </w:rPr>
        <w:t>）</w:t>
      </w:r>
    </w:p>
    <w:p>
      <w:pPr>
        <w:spacing w:line="460" w:lineRule="exact"/>
        <w:ind w:firstLine="1980" w:firstLineChars="825"/>
        <w:rPr>
          <w:rFonts w:hint="eastAsia" w:ascii="宋体" w:hAnsi="宋体" w:eastAsia="宋体" w:cs="宋体"/>
          <w:color w:val="auto"/>
          <w:sz w:val="24"/>
          <w:szCs w:val="24"/>
          <w:highlight w:val="none"/>
        </w:rPr>
      </w:pPr>
    </w:p>
    <w:p>
      <w:pPr>
        <w:adjustRightInd w:val="0"/>
        <w:snapToGrid w:val="0"/>
        <w:spacing w:line="360" w:lineRule="auto"/>
        <w:ind w:right="480"/>
        <w:jc w:val="center"/>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 xml:space="preserve">                                            年    月    日</w:t>
      </w:r>
    </w:p>
    <w:p>
      <w:pPr>
        <w:spacing w:line="520" w:lineRule="exact"/>
        <w:jc w:val="left"/>
        <w:rPr>
          <w:rFonts w:hint="eastAsia" w:ascii="宋体" w:hAnsi="宋体" w:eastAsia="宋体" w:cs="宋体"/>
          <w:bCs/>
          <w:color w:val="auto"/>
          <w:sz w:val="20"/>
          <w:szCs w:val="22"/>
          <w:highlight w:val="none"/>
        </w:rPr>
      </w:pPr>
    </w:p>
    <w:p>
      <w:pPr>
        <w:spacing w:line="520" w:lineRule="exact"/>
        <w:jc w:val="left"/>
        <w:rPr>
          <w:rFonts w:hint="eastAsia" w:ascii="宋体" w:hAnsi="宋体" w:eastAsia="宋体" w:cs="宋体"/>
          <w:bCs/>
          <w:color w:val="auto"/>
          <w:sz w:val="20"/>
          <w:szCs w:val="22"/>
          <w:highlight w:val="none"/>
        </w:rPr>
      </w:pPr>
    </w:p>
    <w:p>
      <w:pPr>
        <w:spacing w:line="520" w:lineRule="exact"/>
        <w:jc w:val="lef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Start w:id="84" w:name="_Toc28620"/>
      <w:bookmarkStart w:id="85" w:name="_Toc9999"/>
      <w:r>
        <w:rPr>
          <w:rFonts w:hint="eastAsia" w:ascii="宋体" w:hAnsi="宋体" w:eastAsia="宋体" w:cs="宋体"/>
          <w:bCs/>
          <w:color w:val="auto"/>
          <w:sz w:val="20"/>
          <w:szCs w:val="22"/>
          <w:highlight w:val="none"/>
        </w:rPr>
        <w:t>附件</w:t>
      </w:r>
      <w:r>
        <w:rPr>
          <w:rFonts w:hint="eastAsia" w:ascii="宋体" w:hAnsi="宋体" w:eastAsia="宋体" w:cs="宋体"/>
          <w:bCs/>
          <w:color w:val="auto"/>
          <w:sz w:val="20"/>
          <w:szCs w:val="22"/>
          <w:highlight w:val="none"/>
          <w:lang w:eastAsia="zh-CN"/>
        </w:rPr>
        <w:t>六</w:t>
      </w:r>
      <w:r>
        <w:rPr>
          <w:rFonts w:hint="eastAsia" w:ascii="宋体" w:hAnsi="宋体" w:eastAsia="宋体" w:cs="宋体"/>
          <w:bCs/>
          <w:color w:val="auto"/>
          <w:sz w:val="20"/>
          <w:szCs w:val="22"/>
          <w:highlight w:val="none"/>
        </w:rPr>
        <w:t>：</w:t>
      </w:r>
      <w:bookmarkEnd w:id="84"/>
      <w:bookmarkEnd w:id="85"/>
    </w:p>
    <w:p>
      <w:pPr>
        <w:spacing w:line="520" w:lineRule="exact"/>
        <w:jc w:val="center"/>
        <w:rPr>
          <w:rFonts w:hint="eastAsia" w:ascii="宋体" w:hAnsi="宋体" w:eastAsia="宋体" w:cs="宋体"/>
          <w:bCs/>
          <w:color w:val="auto"/>
          <w:sz w:val="40"/>
          <w:szCs w:val="40"/>
          <w:highlight w:val="none"/>
        </w:rPr>
      </w:pPr>
    </w:p>
    <w:p>
      <w:pPr>
        <w:spacing w:line="520" w:lineRule="exact"/>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参加本次政府采购项目前三年内在经营活动中</w:t>
      </w:r>
    </w:p>
    <w:p>
      <w:pPr>
        <w:spacing w:line="520" w:lineRule="exact"/>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没有重大违法记录的承诺函</w:t>
      </w:r>
    </w:p>
    <w:p>
      <w:pPr>
        <w:spacing w:line="520" w:lineRule="exact"/>
        <w:jc w:val="center"/>
        <w:rPr>
          <w:rFonts w:hint="eastAsia" w:ascii="宋体" w:hAnsi="宋体" w:eastAsia="宋体" w:cs="宋体"/>
          <w:bCs/>
          <w:color w:val="auto"/>
          <w:sz w:val="40"/>
          <w:szCs w:val="40"/>
          <w:highlight w:val="none"/>
        </w:rPr>
      </w:pPr>
    </w:p>
    <w:p>
      <w:pPr>
        <w:spacing w:line="520" w:lineRule="exact"/>
        <w:jc w:val="center"/>
        <w:rPr>
          <w:rFonts w:hint="eastAsia" w:ascii="宋体" w:hAnsi="宋体" w:eastAsia="宋体" w:cs="宋体"/>
          <w:bCs/>
          <w:color w:val="auto"/>
          <w:sz w:val="40"/>
          <w:szCs w:val="40"/>
          <w:highlight w:val="none"/>
        </w:rPr>
      </w:pPr>
    </w:p>
    <w:p>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rPr>
        <w:t>致</w:t>
      </w:r>
      <w:r>
        <w:rPr>
          <w:rFonts w:hint="eastAsia" w:ascii="宋体" w:hAnsi="宋体" w:cs="宋体"/>
          <w:color w:val="auto"/>
          <w:sz w:val="24"/>
          <w:szCs w:val="24"/>
          <w:highlight w:val="none"/>
          <w:u w:val="single"/>
          <w:lang w:eastAsia="zh-CN"/>
        </w:rPr>
        <w:t>台州市椒江区人民政府前所街道办事处</w:t>
      </w:r>
      <w:r>
        <w:rPr>
          <w:rFonts w:hint="eastAsia" w:ascii="宋体" w:hAnsi="宋体" w:eastAsia="宋体" w:cs="宋体"/>
          <w:color w:val="auto"/>
          <w:sz w:val="24"/>
          <w:szCs w:val="24"/>
          <w:highlight w:val="none"/>
          <w:u w:val="singl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我方郑重承诺，我方在参加</w:t>
      </w:r>
      <w:r>
        <w:rPr>
          <w:rFonts w:hint="eastAsia" w:ascii="宋体" w:hAnsi="宋体" w:cs="宋体"/>
          <w:color w:val="auto"/>
          <w:sz w:val="24"/>
          <w:szCs w:val="24"/>
          <w:highlight w:val="none"/>
          <w:u w:val="single"/>
          <w:lang w:eastAsia="zh-CN"/>
        </w:rPr>
        <w:t>椒江区前所街道圆山社区党群服务中心设计施工一体化项目</w:t>
      </w: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u w:val="single"/>
          <w:lang w:eastAsia="zh-CN"/>
        </w:rPr>
        <w:t>YHZB-2023-0601</w:t>
      </w:r>
      <w:r>
        <w:rPr>
          <w:rFonts w:hint="eastAsia" w:ascii="宋体" w:hAnsi="宋体" w:eastAsia="宋体" w:cs="宋体"/>
          <w:color w:val="auto"/>
          <w:sz w:val="24"/>
          <w:szCs w:val="24"/>
          <w:highlight w:val="none"/>
        </w:rPr>
        <w:t>）采购活动前三年内，在经营活动中没有重大违法记录（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如有虚假或隐瞒，采购人可取消我方任何资格（投标/谈判/中标（成交）/签订合同），我方对此无任何异议，并愿意承担一切后果和责任。</w:t>
      </w:r>
    </w:p>
    <w:p>
      <w:pPr>
        <w:pStyle w:val="9"/>
        <w:rPr>
          <w:rFonts w:hint="eastAsia" w:ascii="宋体" w:hAnsi="宋体" w:eastAsia="宋体" w:cs="宋体"/>
          <w:color w:val="auto"/>
          <w:sz w:val="20"/>
          <w:szCs w:val="18"/>
          <w:highlight w:val="none"/>
        </w:rPr>
      </w:pP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w:t>
      </w:r>
      <w:r>
        <w:rPr>
          <w:rFonts w:hint="eastAsia" w:ascii="宋体" w:hAnsi="宋体" w:eastAsia="宋体" w:cs="宋体"/>
          <w:color w:val="auto"/>
          <w:kern w:val="0"/>
          <w:sz w:val="24"/>
          <w:szCs w:val="24"/>
          <w:highlight w:val="none"/>
        </w:rPr>
        <w:t>承诺</w:t>
      </w:r>
      <w:r>
        <w:rPr>
          <w:rFonts w:hint="eastAsia" w:ascii="宋体" w:hAnsi="宋体" w:eastAsia="宋体" w:cs="宋体"/>
          <w:color w:val="auto"/>
          <w:sz w:val="24"/>
          <w:szCs w:val="24"/>
          <w:highlight w:val="none"/>
        </w:rPr>
        <w:t>！</w:t>
      </w:r>
    </w:p>
    <w:p>
      <w:pPr>
        <w:pStyle w:val="9"/>
        <w:rPr>
          <w:rFonts w:hint="eastAsia" w:ascii="宋体" w:hAnsi="宋体" w:eastAsia="宋体" w:cs="宋体"/>
          <w:color w:val="auto"/>
          <w:sz w:val="24"/>
          <w:szCs w:val="24"/>
          <w:highlight w:val="none"/>
        </w:rPr>
      </w:pPr>
    </w:p>
    <w:p>
      <w:pPr>
        <w:spacing w:line="460" w:lineRule="exact"/>
        <w:ind w:firstLine="3000" w:firstLineChars="1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供应商全称：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（盖公章）</w:t>
      </w:r>
    </w:p>
    <w:p>
      <w:pPr>
        <w:spacing w:line="460" w:lineRule="exact"/>
        <w:ind w:firstLine="1980" w:firstLineChars="825"/>
        <w:rPr>
          <w:rFonts w:hint="eastAsia" w:ascii="宋体" w:hAnsi="宋体" w:eastAsia="宋体" w:cs="宋体"/>
          <w:color w:val="auto"/>
          <w:sz w:val="24"/>
          <w:szCs w:val="24"/>
          <w:highlight w:val="none"/>
          <w:u w:val="single"/>
        </w:rPr>
      </w:pPr>
    </w:p>
    <w:p>
      <w:pPr>
        <w:spacing w:line="460" w:lineRule="exact"/>
        <w:ind w:firstLine="1320" w:firstLineChars="5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i/>
          <w:color w:val="auto"/>
          <w:sz w:val="24"/>
          <w:szCs w:val="24"/>
          <w:highlight w:val="none"/>
        </w:rPr>
        <w:t>（负责人）</w:t>
      </w:r>
      <w:r>
        <w:rPr>
          <w:rFonts w:hint="eastAsia" w:ascii="宋体" w:hAnsi="宋体" w:eastAsia="宋体" w:cs="宋体"/>
          <w:color w:val="auto"/>
          <w:sz w:val="24"/>
          <w:szCs w:val="24"/>
          <w:highlight w:val="none"/>
        </w:rPr>
        <w:t>或委托代理人：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2"/>
          <w:szCs w:val="22"/>
          <w:highlight w:val="none"/>
        </w:rPr>
        <w:t>签字或盖章</w:t>
      </w:r>
      <w:r>
        <w:rPr>
          <w:rFonts w:hint="eastAsia" w:ascii="宋体" w:hAnsi="宋体" w:eastAsia="宋体" w:cs="宋体"/>
          <w:color w:val="auto"/>
          <w:sz w:val="24"/>
          <w:szCs w:val="24"/>
          <w:highlight w:val="none"/>
        </w:rPr>
        <w:t>）</w:t>
      </w:r>
    </w:p>
    <w:p>
      <w:pPr>
        <w:spacing w:line="460" w:lineRule="exact"/>
        <w:ind w:firstLine="1980" w:firstLineChars="825"/>
        <w:rPr>
          <w:rFonts w:hint="eastAsia" w:ascii="宋体" w:hAnsi="宋体" w:eastAsia="宋体" w:cs="宋体"/>
          <w:color w:val="auto"/>
          <w:sz w:val="24"/>
          <w:szCs w:val="24"/>
          <w:highlight w:val="none"/>
        </w:rPr>
      </w:pPr>
    </w:p>
    <w:p>
      <w:pPr>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年    月    日</w:t>
      </w:r>
    </w:p>
    <w:p>
      <w:pPr>
        <w:spacing w:line="520" w:lineRule="exact"/>
        <w:jc w:val="lef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Start w:id="86" w:name="_Toc7386"/>
      <w:bookmarkStart w:id="87" w:name="_Toc2811"/>
      <w:r>
        <w:rPr>
          <w:rFonts w:hint="eastAsia" w:ascii="宋体" w:hAnsi="宋体" w:eastAsia="宋体" w:cs="宋体"/>
          <w:bCs/>
          <w:color w:val="auto"/>
          <w:sz w:val="20"/>
          <w:szCs w:val="22"/>
          <w:highlight w:val="none"/>
        </w:rPr>
        <w:t>附件</w:t>
      </w:r>
      <w:r>
        <w:rPr>
          <w:rFonts w:hint="eastAsia" w:ascii="宋体" w:hAnsi="宋体" w:eastAsia="宋体" w:cs="宋体"/>
          <w:bCs/>
          <w:color w:val="auto"/>
          <w:sz w:val="20"/>
          <w:szCs w:val="22"/>
          <w:highlight w:val="none"/>
          <w:lang w:eastAsia="zh-CN"/>
        </w:rPr>
        <w:t>七</w:t>
      </w:r>
      <w:r>
        <w:rPr>
          <w:rFonts w:hint="eastAsia" w:ascii="宋体" w:hAnsi="宋体" w:eastAsia="宋体" w:cs="宋体"/>
          <w:bCs/>
          <w:color w:val="auto"/>
          <w:sz w:val="20"/>
          <w:szCs w:val="22"/>
          <w:highlight w:val="none"/>
        </w:rPr>
        <w:t>：</w:t>
      </w:r>
      <w:bookmarkEnd w:id="86"/>
      <w:bookmarkEnd w:id="87"/>
    </w:p>
    <w:p>
      <w:pPr>
        <w:spacing w:line="520" w:lineRule="exact"/>
        <w:jc w:val="center"/>
        <w:rPr>
          <w:rFonts w:hint="eastAsia" w:ascii="宋体" w:hAnsi="宋体" w:eastAsia="宋体" w:cs="宋体"/>
          <w:bCs/>
          <w:color w:val="auto"/>
          <w:sz w:val="40"/>
          <w:szCs w:val="40"/>
          <w:highlight w:val="none"/>
        </w:rPr>
      </w:pPr>
    </w:p>
    <w:p>
      <w:pPr>
        <w:spacing w:line="520" w:lineRule="exact"/>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没有失信记录承诺函</w:t>
      </w:r>
    </w:p>
    <w:p>
      <w:pPr>
        <w:spacing w:line="520" w:lineRule="exact"/>
        <w:jc w:val="center"/>
        <w:rPr>
          <w:rFonts w:hint="eastAsia" w:ascii="宋体" w:hAnsi="宋体" w:eastAsia="宋体" w:cs="宋体"/>
          <w:bCs/>
          <w:color w:val="auto"/>
          <w:sz w:val="40"/>
          <w:szCs w:val="40"/>
          <w:highlight w:val="none"/>
        </w:rPr>
      </w:pPr>
    </w:p>
    <w:p>
      <w:pPr>
        <w:pStyle w:val="9"/>
        <w:rPr>
          <w:rFonts w:hint="eastAsia" w:ascii="宋体" w:hAnsi="宋体" w:eastAsia="宋体" w:cs="宋体"/>
          <w:color w:val="auto"/>
          <w:sz w:val="20"/>
          <w:szCs w:val="18"/>
          <w:highlight w:val="none"/>
        </w:rPr>
      </w:pPr>
    </w:p>
    <w:p>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rPr>
        <w:t>致</w:t>
      </w:r>
      <w:r>
        <w:rPr>
          <w:rFonts w:hint="eastAsia" w:ascii="宋体" w:hAnsi="宋体" w:cs="宋体"/>
          <w:color w:val="auto"/>
          <w:sz w:val="24"/>
          <w:szCs w:val="24"/>
          <w:highlight w:val="none"/>
          <w:u w:val="single"/>
          <w:lang w:eastAsia="zh-CN"/>
        </w:rPr>
        <w:t>台州市椒江区人民政府前所街道办事处</w:t>
      </w:r>
      <w:r>
        <w:rPr>
          <w:rFonts w:hint="eastAsia" w:ascii="宋体" w:hAnsi="宋体" w:eastAsia="宋体" w:cs="宋体"/>
          <w:color w:val="auto"/>
          <w:sz w:val="24"/>
          <w:szCs w:val="24"/>
          <w:highlight w:val="none"/>
          <w:u w:val="single"/>
        </w:rPr>
        <w:t>：</w:t>
      </w:r>
    </w:p>
    <w:p>
      <w:pPr>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我方郑重承诺，</w:t>
      </w:r>
      <w:r>
        <w:rPr>
          <w:rFonts w:hint="eastAsia" w:ascii="宋体" w:hAnsi="宋体" w:eastAsia="宋体" w:cs="宋体"/>
          <w:color w:val="auto"/>
          <w:kern w:val="0"/>
          <w:sz w:val="24"/>
          <w:szCs w:val="24"/>
          <w:highlight w:val="none"/>
        </w:rPr>
        <w:t>到本项目投标截止时间为止，我方未被“信用中国”（http://www.creditchina.gov.cn）、中国政府采购网（http://www.ccgp.gov.cn）列入失信被执行人名单、重大税收违法案件当事人名单、政府采购严重违法失信行为记录名单。</w:t>
      </w:r>
    </w:p>
    <w:p>
      <w:pPr>
        <w:snapToGrid w:val="0"/>
        <w:spacing w:before="156" w:beforeLines="50" w:after="50"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u w:val="single"/>
        </w:rPr>
        <w:t>我方的信用信息记录以采购组织机构在资格审查时统一查询结果为准。</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pStyle w:val="9"/>
        <w:rPr>
          <w:rFonts w:hint="eastAsia" w:ascii="宋体" w:hAnsi="宋体" w:eastAsia="宋体" w:cs="宋体"/>
          <w:color w:val="auto"/>
          <w:sz w:val="20"/>
          <w:szCs w:val="18"/>
          <w:highlight w:val="none"/>
        </w:rPr>
      </w:pP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w:t>
      </w:r>
      <w:r>
        <w:rPr>
          <w:rFonts w:hint="eastAsia" w:ascii="宋体" w:hAnsi="宋体" w:eastAsia="宋体" w:cs="宋体"/>
          <w:color w:val="auto"/>
          <w:kern w:val="0"/>
          <w:sz w:val="24"/>
          <w:szCs w:val="24"/>
          <w:highlight w:val="none"/>
        </w:rPr>
        <w:t>承诺</w:t>
      </w:r>
      <w:r>
        <w:rPr>
          <w:rFonts w:hint="eastAsia" w:ascii="宋体" w:hAnsi="宋体" w:eastAsia="宋体" w:cs="宋体"/>
          <w:color w:val="auto"/>
          <w:sz w:val="24"/>
          <w:szCs w:val="24"/>
          <w:highlight w:val="non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pStyle w:val="9"/>
        <w:ind w:firstLine="0"/>
        <w:rPr>
          <w:rFonts w:hint="eastAsia" w:ascii="宋体" w:hAnsi="宋体" w:eastAsia="宋体" w:cs="宋体"/>
          <w:color w:val="auto"/>
          <w:sz w:val="24"/>
          <w:szCs w:val="24"/>
          <w:highlight w:val="none"/>
        </w:rPr>
      </w:pPr>
    </w:p>
    <w:p>
      <w:pPr>
        <w:pStyle w:val="9"/>
        <w:rPr>
          <w:rFonts w:hint="eastAsia" w:ascii="宋体" w:hAnsi="宋体" w:eastAsia="宋体" w:cs="宋体"/>
          <w:color w:val="auto"/>
          <w:sz w:val="24"/>
          <w:szCs w:val="24"/>
          <w:highlight w:val="none"/>
        </w:rPr>
      </w:pPr>
    </w:p>
    <w:p>
      <w:pPr>
        <w:spacing w:line="460" w:lineRule="exact"/>
        <w:ind w:firstLine="3000" w:firstLineChars="1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供应商全称：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（盖公章）</w:t>
      </w:r>
    </w:p>
    <w:p>
      <w:pPr>
        <w:spacing w:line="460" w:lineRule="exact"/>
        <w:ind w:firstLine="1980" w:firstLineChars="825"/>
        <w:rPr>
          <w:rFonts w:hint="eastAsia" w:ascii="宋体" w:hAnsi="宋体" w:eastAsia="宋体" w:cs="宋体"/>
          <w:color w:val="auto"/>
          <w:sz w:val="24"/>
          <w:szCs w:val="24"/>
          <w:highlight w:val="none"/>
          <w:u w:val="single"/>
        </w:rPr>
      </w:pPr>
    </w:p>
    <w:p>
      <w:pPr>
        <w:spacing w:line="460" w:lineRule="exact"/>
        <w:ind w:firstLine="1320" w:firstLineChars="5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i/>
          <w:color w:val="auto"/>
          <w:sz w:val="24"/>
          <w:szCs w:val="24"/>
          <w:highlight w:val="none"/>
        </w:rPr>
        <w:t>（负责人）</w:t>
      </w:r>
      <w:r>
        <w:rPr>
          <w:rFonts w:hint="eastAsia" w:ascii="宋体" w:hAnsi="宋体" w:eastAsia="宋体" w:cs="宋体"/>
          <w:color w:val="auto"/>
          <w:sz w:val="24"/>
          <w:szCs w:val="24"/>
          <w:highlight w:val="none"/>
        </w:rPr>
        <w:t>或委托代理人：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2"/>
          <w:szCs w:val="22"/>
          <w:highlight w:val="none"/>
        </w:rPr>
        <w:t>签字或盖章</w:t>
      </w:r>
      <w:r>
        <w:rPr>
          <w:rFonts w:hint="eastAsia" w:ascii="宋体" w:hAnsi="宋体" w:eastAsia="宋体" w:cs="宋体"/>
          <w:color w:val="auto"/>
          <w:sz w:val="24"/>
          <w:szCs w:val="24"/>
          <w:highlight w:val="none"/>
        </w:rPr>
        <w:t>）</w:t>
      </w:r>
    </w:p>
    <w:p>
      <w:pPr>
        <w:spacing w:line="460" w:lineRule="exact"/>
        <w:ind w:firstLine="1980" w:firstLineChars="825"/>
        <w:rPr>
          <w:rFonts w:hint="eastAsia" w:ascii="宋体" w:hAnsi="宋体" w:eastAsia="宋体" w:cs="宋体"/>
          <w:color w:val="auto"/>
          <w:sz w:val="24"/>
          <w:szCs w:val="24"/>
          <w:highlight w:val="none"/>
        </w:rPr>
      </w:pPr>
    </w:p>
    <w:p>
      <w:pPr>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年    月    日</w:t>
      </w:r>
    </w:p>
    <w:p>
      <w:pPr>
        <w:spacing w:line="520" w:lineRule="exact"/>
        <w:jc w:val="left"/>
        <w:rPr>
          <w:rFonts w:hint="eastAsia" w:ascii="宋体" w:hAnsi="宋体" w:eastAsia="宋体" w:cs="宋体"/>
          <w:color w:val="auto"/>
          <w:sz w:val="24"/>
          <w:szCs w:val="24"/>
          <w:highlight w:val="none"/>
        </w:rPr>
      </w:pPr>
    </w:p>
    <w:p>
      <w:pPr>
        <w:spacing w:line="520" w:lineRule="exact"/>
        <w:jc w:val="left"/>
        <w:rPr>
          <w:rFonts w:hint="eastAsia" w:ascii="宋体" w:hAnsi="宋体" w:eastAsia="宋体" w:cs="宋体"/>
          <w:color w:val="auto"/>
          <w:sz w:val="24"/>
          <w:szCs w:val="24"/>
          <w:highlight w:val="none"/>
        </w:rPr>
      </w:pPr>
    </w:p>
    <w:p>
      <w:pPr>
        <w:spacing w:line="460" w:lineRule="exact"/>
        <w:jc w:val="lef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Start w:id="88" w:name="_Toc18908"/>
      <w:bookmarkStart w:id="89" w:name="_Toc23451"/>
      <w:r>
        <w:rPr>
          <w:rFonts w:hint="eastAsia" w:ascii="宋体" w:hAnsi="宋体" w:eastAsia="宋体" w:cs="宋体"/>
          <w:bCs/>
          <w:color w:val="auto"/>
          <w:sz w:val="20"/>
          <w:szCs w:val="22"/>
          <w:highlight w:val="none"/>
        </w:rPr>
        <w:t>附件</w:t>
      </w:r>
      <w:r>
        <w:rPr>
          <w:rFonts w:hint="eastAsia" w:ascii="宋体" w:hAnsi="宋体" w:eastAsia="宋体" w:cs="宋体"/>
          <w:bCs/>
          <w:color w:val="auto"/>
          <w:sz w:val="20"/>
          <w:szCs w:val="22"/>
          <w:highlight w:val="none"/>
          <w:lang w:eastAsia="zh-CN"/>
        </w:rPr>
        <w:t>八</w:t>
      </w:r>
      <w:r>
        <w:rPr>
          <w:rFonts w:hint="eastAsia" w:ascii="宋体" w:hAnsi="宋体" w:eastAsia="宋体" w:cs="宋体"/>
          <w:bCs/>
          <w:color w:val="auto"/>
          <w:sz w:val="20"/>
          <w:szCs w:val="22"/>
          <w:highlight w:val="none"/>
        </w:rPr>
        <w:t>：</w:t>
      </w:r>
      <w:bookmarkEnd w:id="88"/>
      <w:bookmarkEnd w:id="89"/>
    </w:p>
    <w:p>
      <w:pPr>
        <w:spacing w:line="400" w:lineRule="exact"/>
        <w:jc w:val="center"/>
        <w:rPr>
          <w:rFonts w:hint="eastAsia" w:ascii="仿宋" w:hAnsi="仿宋" w:eastAsia="仿宋" w:cs="仿宋"/>
          <w:b/>
          <w:szCs w:val="21"/>
        </w:rPr>
      </w:pPr>
      <w:r>
        <w:rPr>
          <w:rFonts w:hint="eastAsia" w:ascii="宋体" w:hAnsi="宋体" w:eastAsia="宋体" w:cs="宋体"/>
          <w:b/>
          <w:bCs/>
          <w:color w:val="auto"/>
          <w:sz w:val="24"/>
          <w:szCs w:val="32"/>
          <w:highlight w:val="none"/>
        </w:rPr>
        <w:t>联合体投标协议书</w:t>
      </w:r>
    </w:p>
    <w:p>
      <w:pPr>
        <w:widowControl/>
        <w:spacing w:line="360" w:lineRule="auto"/>
        <w:ind w:firstLine="422" w:firstLineChars="200"/>
        <w:jc w:val="center"/>
        <w:rPr>
          <w:rFonts w:hint="eastAsia" w:ascii="宋体" w:hAnsi="宋体" w:cs="宋体"/>
          <w:b/>
          <w:szCs w:val="21"/>
        </w:rPr>
      </w:pPr>
      <w:r>
        <w:rPr>
          <w:rFonts w:hint="eastAsia" w:ascii="宋体" w:hAnsi="宋体" w:cs="宋体"/>
          <w:b/>
          <w:szCs w:val="21"/>
        </w:rPr>
        <w:t>（如以联合体形式参与政府采购的，提供联合协议，否则不需要提供。）</w:t>
      </w:r>
    </w:p>
    <w:p>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u w:val="single"/>
        </w:rPr>
        <w:t>（联合体所有成员名称）</w:t>
      </w:r>
      <w:r>
        <w:rPr>
          <w:rFonts w:hint="eastAsia" w:ascii="宋体" w:hAnsi="宋体" w:cs="宋体"/>
          <w:kern w:val="0"/>
          <w:szCs w:val="21"/>
        </w:rPr>
        <w:t>自愿</w:t>
      </w:r>
      <w:r>
        <w:rPr>
          <w:rFonts w:hint="eastAsia" w:ascii="宋体" w:hAnsi="宋体" w:cs="宋体"/>
          <w:kern w:val="0"/>
          <w:szCs w:val="21"/>
          <w:lang w:val="zh-CN"/>
        </w:rPr>
        <w:t>组成一个联合体，以一个</w:t>
      </w:r>
      <w:r>
        <w:rPr>
          <w:rFonts w:hint="eastAsia" w:ascii="宋体" w:hAnsi="宋体" w:cs="宋体"/>
          <w:kern w:val="0"/>
          <w:szCs w:val="21"/>
        </w:rPr>
        <w:t>供应商</w:t>
      </w:r>
      <w:r>
        <w:rPr>
          <w:rFonts w:hint="eastAsia" w:ascii="宋体" w:hAnsi="宋体" w:cs="宋体"/>
          <w:kern w:val="0"/>
          <w:szCs w:val="21"/>
          <w:lang w:val="zh-CN"/>
        </w:rPr>
        <w:t>的身份</w:t>
      </w:r>
      <w:r>
        <w:rPr>
          <w:rFonts w:hint="eastAsia" w:ascii="宋体" w:hAnsi="宋体" w:cs="宋体"/>
          <w:kern w:val="0"/>
          <w:szCs w:val="21"/>
        </w:rPr>
        <w:t>参加</w:t>
      </w:r>
      <w:r>
        <w:rPr>
          <w:rFonts w:hint="eastAsia" w:ascii="宋体" w:hAnsi="宋体" w:cs="宋体"/>
          <w:szCs w:val="21"/>
        </w:rPr>
        <w:t>（项目名称）（项目编号）</w:t>
      </w:r>
      <w:r>
        <w:rPr>
          <w:rFonts w:hint="eastAsia" w:ascii="宋体" w:hAnsi="宋体" w:cs="宋体"/>
          <w:kern w:val="0"/>
          <w:szCs w:val="21"/>
        </w:rPr>
        <w:t>政府采购活动</w:t>
      </w:r>
      <w:r>
        <w:rPr>
          <w:rFonts w:hint="eastAsia" w:ascii="宋体" w:hAnsi="宋体" w:cs="宋体"/>
          <w:kern w:val="0"/>
          <w:szCs w:val="21"/>
          <w:lang w:val="zh-CN"/>
        </w:rPr>
        <w:t xml:space="preserve">。 </w:t>
      </w:r>
    </w:p>
    <w:p>
      <w:pPr>
        <w:snapToGrid w:val="0"/>
        <w:spacing w:line="360" w:lineRule="auto"/>
        <w:ind w:firstLine="420" w:firstLineChars="200"/>
        <w:rPr>
          <w:rFonts w:hint="eastAsia" w:ascii="宋体" w:hAnsi="宋体" w:cs="宋体"/>
          <w:kern w:val="0"/>
          <w:szCs w:val="21"/>
          <w:lang w:val="zh-CN"/>
        </w:rPr>
      </w:pPr>
      <w:r>
        <w:rPr>
          <w:rFonts w:hint="eastAsia" w:ascii="宋体" w:hAnsi="宋体" w:cs="宋体"/>
          <w:kern w:val="0"/>
          <w:szCs w:val="21"/>
          <w:lang w:val="zh-CN"/>
        </w:rPr>
        <w:t>一、各方一致决定，</w:t>
      </w:r>
      <w:r>
        <w:rPr>
          <w:rFonts w:hint="eastAsia" w:ascii="宋体" w:hAnsi="宋体" w:cs="宋体"/>
          <w:kern w:val="0"/>
          <w:szCs w:val="21"/>
          <w:u w:val="single"/>
        </w:rPr>
        <w:t>（某联合体成员名称）</w:t>
      </w:r>
      <w:r>
        <w:rPr>
          <w:rFonts w:hint="eastAsia" w:ascii="宋体" w:hAnsi="宋体" w:cs="宋体"/>
          <w:kern w:val="0"/>
          <w:szCs w:val="21"/>
        </w:rPr>
        <w:t>为联合体</w:t>
      </w:r>
      <w:r>
        <w:rPr>
          <w:rFonts w:hint="eastAsia" w:ascii="宋体" w:hAnsi="宋体" w:cs="宋体"/>
          <w:kern w:val="0"/>
          <w:szCs w:val="21"/>
          <w:lang w:val="zh-CN"/>
        </w:rPr>
        <w:t>牵头人</w:t>
      </w:r>
      <w:r>
        <w:rPr>
          <w:rFonts w:hint="eastAsia" w:ascii="宋体" w:hAnsi="宋体" w:cs="宋体"/>
          <w:szCs w:val="21"/>
        </w:rPr>
        <w:t>，代表所有联合体成员负责投标和合同实施阶段的主办、协调工作</w:t>
      </w:r>
      <w:r>
        <w:rPr>
          <w:rFonts w:hint="eastAsia" w:ascii="宋体" w:hAnsi="宋体" w:cs="宋体"/>
          <w:kern w:val="0"/>
          <w:szCs w:val="21"/>
          <w:lang w:val="zh-CN"/>
        </w:rPr>
        <w:t>。</w:t>
      </w:r>
    </w:p>
    <w:p>
      <w:pPr>
        <w:pStyle w:val="81"/>
        <w:spacing w:line="360" w:lineRule="auto"/>
        <w:ind w:firstLine="420"/>
        <w:rPr>
          <w:rFonts w:hint="eastAsia" w:cs="宋体"/>
        </w:rPr>
      </w:pPr>
      <w:r>
        <w:rPr>
          <w:rFonts w:hint="eastAsia" w:cs="宋体"/>
        </w:rPr>
        <w:t>二、所有联合体成员各方签署授权书，授权书载明的授权代表根据</w:t>
      </w:r>
      <w:r>
        <w:rPr>
          <w:rFonts w:hint="eastAsia" w:cs="宋体"/>
          <w:lang w:eastAsia="zh-CN"/>
        </w:rPr>
        <w:t>招标</w:t>
      </w:r>
      <w:r>
        <w:rPr>
          <w:rFonts w:hint="eastAsia" w:cs="宋体"/>
        </w:rPr>
        <w:t>文件规定及响应内容而对采购人、采购代理机构所作的任何合法承诺，包括书面澄清及相应等均对联合体各方产生约束力。</w:t>
      </w:r>
    </w:p>
    <w:p>
      <w:pPr>
        <w:snapToGrid w:val="0"/>
        <w:spacing w:line="360" w:lineRule="auto"/>
        <w:ind w:firstLine="420" w:firstLineChars="200"/>
        <w:rPr>
          <w:rFonts w:hint="eastAsia" w:ascii="宋体" w:hAnsi="宋体" w:cs="宋体"/>
          <w:kern w:val="0"/>
          <w:szCs w:val="21"/>
          <w:lang w:val="zh-CN"/>
        </w:rPr>
      </w:pPr>
      <w:r>
        <w:rPr>
          <w:rFonts w:hint="eastAsia" w:ascii="宋体" w:hAnsi="宋体" w:cs="宋体"/>
          <w:kern w:val="0"/>
          <w:szCs w:val="21"/>
          <w:lang w:val="zh-CN"/>
        </w:rPr>
        <w:t>三、本次联合投标中，分工如下：</w:t>
      </w:r>
      <w:r>
        <w:rPr>
          <w:rFonts w:hint="eastAsia" w:ascii="宋体" w:hAnsi="宋体" w:cs="宋体"/>
          <w:kern w:val="0"/>
          <w:szCs w:val="21"/>
          <w:u w:val="single"/>
        </w:rPr>
        <w:t>（联合体其中一方成员名称）</w:t>
      </w:r>
      <w:r>
        <w:rPr>
          <w:rFonts w:hint="eastAsia" w:ascii="宋体" w:hAnsi="宋体" w:cs="宋体"/>
          <w:kern w:val="0"/>
          <w:szCs w:val="21"/>
          <w:lang w:val="zh-CN"/>
        </w:rPr>
        <w:t>承担的工作和义务为：；……。</w:t>
      </w:r>
    </w:p>
    <w:p>
      <w:pPr>
        <w:snapToGrid w:val="0"/>
        <w:spacing w:line="360" w:lineRule="auto"/>
        <w:ind w:firstLine="420" w:firstLineChars="200"/>
        <w:rPr>
          <w:rFonts w:hint="eastAsia" w:ascii="宋体" w:hAnsi="宋体" w:cs="宋体"/>
          <w:b/>
          <w:kern w:val="0"/>
          <w:szCs w:val="21"/>
          <w:lang w:val="zh-CN"/>
        </w:rPr>
      </w:pPr>
      <w:r>
        <w:rPr>
          <w:rFonts w:hint="eastAsia" w:ascii="宋体" w:hAnsi="宋体" w:cs="宋体"/>
          <w:kern w:val="0"/>
          <w:szCs w:val="21"/>
          <w:lang w:val="zh-CN"/>
        </w:rPr>
        <w:t>四、</w:t>
      </w:r>
      <w:r>
        <w:rPr>
          <w:rFonts w:hint="eastAsia" w:ascii="宋体" w:hAnsi="宋体" w:cs="宋体"/>
          <w:kern w:val="0"/>
          <w:szCs w:val="21"/>
          <w:u w:val="single"/>
        </w:rPr>
        <w:t>（联合体其中一方成员名称）</w:t>
      </w:r>
      <w:r>
        <w:rPr>
          <w:rFonts w:hint="eastAsia" w:ascii="宋体" w:hAnsi="宋体" w:cs="宋体"/>
          <w:kern w:val="0"/>
          <w:szCs w:val="21"/>
        </w:rPr>
        <w:t>为</w:t>
      </w:r>
      <w:r>
        <w:rPr>
          <w:rFonts w:hint="eastAsia" w:ascii="宋体" w:hAnsi="宋体" w:cs="宋体"/>
          <w:szCs w:val="21"/>
        </w:rPr>
        <w:t>中小企业</w:t>
      </w:r>
      <w:r>
        <w:rPr>
          <w:rFonts w:hint="eastAsia" w:ascii="宋体" w:hAnsi="宋体" w:cs="宋体"/>
          <w:kern w:val="0"/>
          <w:szCs w:val="21"/>
        </w:rPr>
        <w:t>，其合同份额占到合同总金额%以上；</w:t>
      </w:r>
      <w:r>
        <w:rPr>
          <w:rFonts w:hint="eastAsia" w:ascii="宋体" w:hAnsi="宋体" w:cs="宋体"/>
          <w:kern w:val="0"/>
          <w:szCs w:val="21"/>
          <w:lang w:val="zh-CN"/>
        </w:rPr>
        <w:t>……。</w:t>
      </w:r>
    </w:p>
    <w:p>
      <w:pPr>
        <w:snapToGrid w:val="0"/>
        <w:spacing w:line="360" w:lineRule="auto"/>
        <w:ind w:firstLine="420" w:firstLineChars="200"/>
        <w:rPr>
          <w:rFonts w:hint="eastAsia" w:ascii="宋体" w:hAnsi="宋体" w:cs="宋体"/>
          <w:kern w:val="0"/>
          <w:szCs w:val="21"/>
          <w:lang w:val="zh-CN"/>
        </w:rPr>
      </w:pPr>
      <w:r>
        <w:rPr>
          <w:rFonts w:hint="eastAsia" w:ascii="宋体" w:hAnsi="宋体" w:cs="宋体"/>
          <w:kern w:val="0"/>
          <w:szCs w:val="21"/>
          <w:lang w:val="zh-CN"/>
        </w:rPr>
        <w:t>五、如果</w:t>
      </w:r>
      <w:r>
        <w:rPr>
          <w:rFonts w:hint="eastAsia" w:ascii="宋体" w:hAnsi="宋体" w:cs="宋体"/>
          <w:kern w:val="0"/>
          <w:szCs w:val="21"/>
        </w:rPr>
        <w:t>成交</w:t>
      </w:r>
      <w:r>
        <w:rPr>
          <w:rFonts w:hint="eastAsia" w:ascii="宋体" w:hAnsi="宋体" w:cs="宋体"/>
          <w:kern w:val="0"/>
          <w:szCs w:val="21"/>
          <w:lang w:val="zh-CN"/>
        </w:rPr>
        <w:t>，</w:t>
      </w:r>
      <w:r>
        <w:rPr>
          <w:rFonts w:hint="eastAsia" w:ascii="宋体" w:hAnsi="宋体" w:cs="宋体"/>
          <w:szCs w:val="21"/>
        </w:rPr>
        <w:t>联合体各成员方共同与采购人签订合同，并就采购合同约定的事项对采购人承担连带责任。</w:t>
      </w:r>
    </w:p>
    <w:p>
      <w:pPr>
        <w:snapToGrid w:val="0"/>
        <w:spacing w:line="360" w:lineRule="auto"/>
        <w:ind w:firstLine="420" w:firstLineChars="200"/>
        <w:rPr>
          <w:rFonts w:hint="eastAsia" w:ascii="宋体" w:hAnsi="宋体" w:cs="宋体"/>
          <w:kern w:val="0"/>
          <w:szCs w:val="21"/>
          <w:lang w:val="zh-CN"/>
        </w:rPr>
      </w:pPr>
      <w:r>
        <w:rPr>
          <w:rFonts w:hint="eastAsia" w:ascii="宋体" w:hAnsi="宋体" w:cs="宋体"/>
          <w:kern w:val="0"/>
          <w:szCs w:val="21"/>
          <w:lang w:val="zh-CN"/>
        </w:rPr>
        <w:t>六、有关本次联合</w:t>
      </w:r>
      <w:r>
        <w:rPr>
          <w:rFonts w:hint="eastAsia" w:ascii="宋体" w:hAnsi="宋体" w:cs="宋体"/>
          <w:kern w:val="0"/>
          <w:szCs w:val="21"/>
        </w:rPr>
        <w:t>参与政府采购</w:t>
      </w:r>
      <w:r>
        <w:rPr>
          <w:rFonts w:hint="eastAsia" w:ascii="宋体" w:hAnsi="宋体" w:cs="宋体"/>
          <w:kern w:val="0"/>
          <w:szCs w:val="21"/>
          <w:lang w:val="zh-CN"/>
        </w:rPr>
        <w:t>的其他事宜：</w:t>
      </w:r>
    </w:p>
    <w:p>
      <w:pPr>
        <w:snapToGrid w:val="0"/>
        <w:spacing w:line="360" w:lineRule="auto"/>
        <w:ind w:firstLine="420" w:firstLineChars="200"/>
        <w:rPr>
          <w:rFonts w:hint="eastAsia" w:ascii="宋体" w:hAnsi="宋体" w:cs="宋体"/>
          <w:kern w:val="0"/>
          <w:szCs w:val="21"/>
          <w:lang w:val="zh-CN"/>
        </w:rPr>
      </w:pPr>
      <w:r>
        <w:rPr>
          <w:rFonts w:hint="eastAsia" w:ascii="宋体" w:hAnsi="宋体" w:cs="宋体"/>
          <w:kern w:val="0"/>
          <w:szCs w:val="21"/>
          <w:lang w:val="zh-CN"/>
        </w:rPr>
        <w:t>1、联合体各方不再单独参加或者与其他供应商另外组成联合体参加同一合同项下的政府采购活动。</w:t>
      </w:r>
    </w:p>
    <w:p>
      <w:pPr>
        <w:snapToGrid w:val="0"/>
        <w:spacing w:line="360" w:lineRule="auto"/>
        <w:ind w:firstLine="420" w:firstLineChars="200"/>
        <w:rPr>
          <w:rFonts w:hint="eastAsia" w:ascii="宋体" w:hAnsi="宋体" w:cs="宋体"/>
          <w:kern w:val="0"/>
          <w:szCs w:val="21"/>
          <w:lang w:val="zh-CN"/>
        </w:rPr>
      </w:pPr>
      <w:r>
        <w:rPr>
          <w:rFonts w:hint="eastAsia" w:ascii="宋体" w:hAnsi="宋体" w:cs="宋体"/>
          <w:kern w:val="0"/>
          <w:szCs w:val="21"/>
          <w:lang w:val="zh-CN"/>
        </w:rPr>
        <w:t>2、联合体中有同类资质的各方按照联合体分工承担相同工作的，按照资质等级较低的供应商确定资质等级。</w:t>
      </w:r>
    </w:p>
    <w:p>
      <w:pPr>
        <w:snapToGrid w:val="0"/>
        <w:spacing w:line="360" w:lineRule="auto"/>
        <w:ind w:firstLine="420" w:firstLineChars="200"/>
        <w:rPr>
          <w:rFonts w:hint="eastAsia" w:ascii="宋体" w:hAnsi="宋体" w:cs="宋体"/>
          <w:kern w:val="0"/>
          <w:szCs w:val="21"/>
          <w:lang w:val="zh-CN"/>
        </w:rPr>
      </w:pPr>
      <w:r>
        <w:rPr>
          <w:rFonts w:hint="eastAsia" w:ascii="宋体" w:hAnsi="宋体" w:cs="宋体"/>
          <w:kern w:val="0"/>
          <w:szCs w:val="21"/>
          <w:lang w:val="zh-CN"/>
        </w:rPr>
        <w:t>3、本协议提交采购人、采购代理机构后，联合体各方不得以任何形式对上述内容进行修改或撤销。</w:t>
      </w:r>
    </w:p>
    <w:p>
      <w:pPr>
        <w:pStyle w:val="9"/>
        <w:rPr>
          <w:rFonts w:hint="eastAsia" w:ascii="宋体" w:hAnsi="宋体" w:cs="宋体"/>
          <w:sz w:val="21"/>
          <w:szCs w:val="21"/>
        </w:rPr>
      </w:pPr>
      <w:r>
        <w:rPr>
          <w:rFonts w:hint="eastAsia" w:ascii="宋体" w:hAnsi="宋体" w:cs="宋体"/>
          <w:sz w:val="21"/>
          <w:szCs w:val="21"/>
        </w:rPr>
        <w:t>4、除</w:t>
      </w:r>
      <w:r>
        <w:rPr>
          <w:rFonts w:hint="eastAsia" w:ascii="宋体" w:hAnsi="宋体" w:cs="宋体"/>
          <w:sz w:val="21"/>
          <w:szCs w:val="21"/>
          <w:lang w:eastAsia="zh-CN"/>
        </w:rPr>
        <w:t>招标</w:t>
      </w:r>
      <w:r>
        <w:rPr>
          <w:rFonts w:hint="eastAsia" w:ascii="宋体" w:hAnsi="宋体" w:cs="宋体"/>
          <w:sz w:val="21"/>
          <w:szCs w:val="21"/>
        </w:rPr>
        <w:t>文件要求联合体双方盖章的部分外，其余部分由牵头人盖章即可。</w:t>
      </w:r>
    </w:p>
    <w:p>
      <w:pPr>
        <w:snapToGrid w:val="0"/>
        <w:spacing w:line="360" w:lineRule="auto"/>
        <w:ind w:firstLine="4410" w:firstLineChars="2100"/>
        <w:rPr>
          <w:rFonts w:hint="eastAsia" w:ascii="宋体" w:hAnsi="宋体" w:cs="宋体"/>
          <w:kern w:val="0"/>
          <w:szCs w:val="21"/>
          <w:lang w:val="zh-CN"/>
        </w:rPr>
      </w:pPr>
    </w:p>
    <w:p>
      <w:pPr>
        <w:snapToGrid w:val="0"/>
        <w:spacing w:line="360" w:lineRule="auto"/>
        <w:ind w:firstLine="4410" w:firstLineChars="2100"/>
        <w:rPr>
          <w:rFonts w:hint="eastAsia" w:ascii="宋体" w:hAnsi="宋体" w:cs="宋体"/>
          <w:kern w:val="0"/>
          <w:szCs w:val="21"/>
          <w:lang w:val="zh-CN"/>
        </w:rPr>
      </w:pPr>
    </w:p>
    <w:p>
      <w:pPr>
        <w:snapToGrid w:val="0"/>
        <w:spacing w:line="360" w:lineRule="auto"/>
        <w:ind w:firstLine="4410" w:firstLineChars="2100"/>
        <w:rPr>
          <w:rFonts w:hint="eastAsia" w:ascii="宋体" w:hAnsi="宋体" w:cs="宋体"/>
          <w:kern w:val="0"/>
          <w:szCs w:val="21"/>
          <w:lang w:val="zh-CN"/>
        </w:rPr>
      </w:pPr>
      <w:r>
        <w:rPr>
          <w:rFonts w:hint="eastAsia" w:ascii="宋体" w:hAnsi="宋体" w:cs="宋体"/>
          <w:kern w:val="0"/>
          <w:szCs w:val="21"/>
          <w:lang w:val="zh-CN"/>
        </w:rPr>
        <w:t>联合体成员名称（盖单位公章）：</w:t>
      </w:r>
    </w:p>
    <w:p>
      <w:pPr>
        <w:snapToGrid w:val="0"/>
        <w:spacing w:line="360" w:lineRule="auto"/>
        <w:ind w:firstLine="4410" w:firstLineChars="2100"/>
        <w:rPr>
          <w:rFonts w:hint="eastAsia" w:ascii="宋体" w:hAnsi="宋体" w:cs="宋体"/>
          <w:kern w:val="0"/>
          <w:szCs w:val="21"/>
          <w:lang w:val="zh-CN"/>
        </w:rPr>
      </w:pPr>
      <w:r>
        <w:rPr>
          <w:rFonts w:hint="eastAsia" w:ascii="宋体" w:hAnsi="宋体" w:cs="宋体"/>
          <w:kern w:val="0"/>
          <w:szCs w:val="21"/>
          <w:lang w:val="zh-CN"/>
        </w:rPr>
        <w:t>联合体成员名称（盖单位公章）：</w:t>
      </w:r>
    </w:p>
    <w:p>
      <w:pPr>
        <w:snapToGrid w:val="0"/>
        <w:spacing w:line="360" w:lineRule="auto"/>
        <w:ind w:firstLine="5670" w:firstLineChars="2700"/>
        <w:rPr>
          <w:rFonts w:hint="eastAsia" w:ascii="宋体" w:hAnsi="宋体" w:cs="宋体"/>
          <w:szCs w:val="21"/>
        </w:rPr>
      </w:pPr>
      <w:r>
        <w:rPr>
          <w:rFonts w:hint="eastAsia" w:ascii="宋体" w:hAnsi="宋体" w:cs="宋体"/>
          <w:kern w:val="0"/>
          <w:szCs w:val="21"/>
          <w:lang w:val="zh-CN"/>
        </w:rPr>
        <w:t>……</w:t>
      </w:r>
    </w:p>
    <w:p>
      <w:pPr>
        <w:snapToGrid w:val="0"/>
        <w:spacing w:line="360" w:lineRule="auto"/>
        <w:jc w:val="left"/>
        <w:rPr>
          <w:rFonts w:hint="eastAsia" w:ascii="宋体" w:hAnsi="宋体" w:cs="宋体"/>
          <w:kern w:val="0"/>
          <w:szCs w:val="21"/>
          <w:lang w:val="zh-CN"/>
        </w:rPr>
      </w:pPr>
      <w:r>
        <w:rPr>
          <w:rFonts w:hint="eastAsia" w:ascii="宋体" w:hAnsi="宋体" w:cs="宋体"/>
          <w:kern w:val="0"/>
          <w:szCs w:val="21"/>
          <w:lang w:val="zh-CN"/>
        </w:rPr>
        <w:t xml:space="preserve">                                              日期：  年  月   日</w:t>
      </w:r>
    </w:p>
    <w:p>
      <w:pPr>
        <w:keepNext w:val="0"/>
        <w:keepLines w:val="0"/>
        <w:pageBreakBefore w:val="0"/>
        <w:kinsoku/>
        <w:wordWrap/>
        <w:overflowPunct/>
        <w:topLinePunct w:val="0"/>
        <w:autoSpaceDE/>
        <w:autoSpaceDN/>
        <w:bidi w:val="0"/>
        <w:adjustRightInd/>
        <w:snapToGrid/>
        <w:spacing w:line="400" w:lineRule="exact"/>
        <w:ind w:right="18"/>
        <w:jc w:val="left"/>
        <w:textAlignment w:val="auto"/>
        <w:rPr>
          <w:rFonts w:hint="eastAsia" w:ascii="仿宋" w:hAnsi="仿宋" w:eastAsia="仿宋" w:cs="仿宋"/>
          <w:color w:val="000000"/>
          <w:szCs w:val="21"/>
        </w:rPr>
      </w:pPr>
    </w:p>
    <w:p>
      <w:pPr>
        <w:spacing w:line="460" w:lineRule="exact"/>
        <w:jc w:val="left"/>
        <w:outlineLvl w:val="0"/>
        <w:rPr>
          <w:rFonts w:hint="eastAsia" w:ascii="宋体" w:hAnsi="宋体" w:eastAsia="宋体" w:cs="宋体"/>
          <w:bCs/>
          <w:color w:val="auto"/>
          <w:kern w:val="0"/>
          <w:sz w:val="20"/>
          <w:szCs w:val="20"/>
          <w:highlight w:val="none"/>
        </w:rPr>
      </w:pPr>
      <w:r>
        <w:rPr>
          <w:rFonts w:hint="eastAsia" w:ascii="宋体" w:hAnsi="宋体" w:eastAsia="宋体" w:cs="宋体"/>
          <w:color w:val="auto"/>
          <w:sz w:val="24"/>
          <w:szCs w:val="24"/>
          <w:highlight w:val="none"/>
        </w:rPr>
        <w:br w:type="page"/>
      </w:r>
      <w:bookmarkEnd w:id="76"/>
      <w:bookmarkStart w:id="90" w:name="_Toc23193"/>
      <w:bookmarkStart w:id="91" w:name="_Toc21413"/>
      <w:r>
        <w:rPr>
          <w:rFonts w:hint="eastAsia" w:ascii="宋体" w:hAnsi="宋体" w:eastAsia="宋体" w:cs="宋体"/>
          <w:bCs/>
          <w:color w:val="auto"/>
          <w:sz w:val="20"/>
          <w:szCs w:val="22"/>
          <w:highlight w:val="none"/>
          <w:lang w:eastAsia="zh-CN"/>
        </w:rPr>
        <w:t>附件九：</w:t>
      </w:r>
      <w:bookmarkEnd w:id="90"/>
      <w:bookmarkEnd w:id="91"/>
    </w:p>
    <w:p>
      <w:pPr>
        <w:spacing w:line="460" w:lineRule="exact"/>
        <w:jc w:val="left"/>
        <w:rPr>
          <w:rFonts w:hint="eastAsia" w:ascii="宋体" w:hAnsi="宋体" w:eastAsia="宋体" w:cs="宋体"/>
          <w:color w:val="auto"/>
          <w:sz w:val="20"/>
          <w:szCs w:val="22"/>
          <w:highlight w:val="none"/>
        </w:rPr>
      </w:pPr>
    </w:p>
    <w:p>
      <w:pPr>
        <w:jc w:val="center"/>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中小企业声明函（</w:t>
      </w:r>
      <w:r>
        <w:rPr>
          <w:rFonts w:hint="eastAsia" w:ascii="宋体" w:hAnsi="宋体" w:cs="宋体"/>
          <w:b/>
          <w:bCs/>
          <w:color w:val="auto"/>
          <w:sz w:val="24"/>
          <w:szCs w:val="32"/>
          <w:highlight w:val="none"/>
          <w:lang w:val="en-US" w:eastAsia="zh-CN"/>
        </w:rPr>
        <w:t>工程</w:t>
      </w:r>
      <w:r>
        <w:rPr>
          <w:rFonts w:hint="eastAsia" w:ascii="宋体" w:hAnsi="宋体" w:eastAsia="宋体" w:cs="宋体"/>
          <w:b/>
          <w:bCs/>
          <w:color w:val="auto"/>
          <w:sz w:val="24"/>
          <w:szCs w:val="32"/>
          <w:highlight w:val="none"/>
        </w:rPr>
        <w:t>）</w:t>
      </w:r>
    </w:p>
    <w:p>
      <w:pPr>
        <w:jc w:val="both"/>
        <w:rPr>
          <w:rFonts w:hint="eastAsia" w:ascii="宋体" w:hAnsi="宋体" w:eastAsia="宋体" w:cs="宋体"/>
          <w:color w:val="auto"/>
          <w:sz w:val="20"/>
          <w:szCs w:val="22"/>
          <w:highlight w:val="none"/>
        </w:rPr>
      </w:pPr>
    </w:p>
    <w:p>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宋体" w:hAnsi="宋体" w:eastAsia="宋体" w:cs="宋体"/>
          <w:color w:val="auto"/>
          <w:sz w:val="22"/>
          <w:szCs w:val="28"/>
          <w:highlight w:val="none"/>
        </w:rPr>
      </w:pPr>
      <w:r>
        <w:rPr>
          <w:rFonts w:hint="eastAsia" w:ascii="宋体" w:hAnsi="宋体" w:eastAsia="宋体" w:cs="宋体"/>
          <w:color w:val="auto"/>
          <w:sz w:val="22"/>
          <w:szCs w:val="28"/>
          <w:highlight w:val="none"/>
        </w:rPr>
        <w:t>本公司</w:t>
      </w:r>
      <w:r>
        <w:rPr>
          <w:rFonts w:hint="eastAsia" w:ascii="宋体" w:hAnsi="宋体" w:cs="宋体"/>
          <w:szCs w:val="21"/>
        </w:rPr>
        <w:t>（联合体）</w:t>
      </w:r>
      <w:r>
        <w:rPr>
          <w:rFonts w:hint="eastAsia" w:ascii="宋体" w:hAnsi="宋体" w:eastAsia="宋体" w:cs="宋体"/>
          <w:color w:val="auto"/>
          <w:sz w:val="22"/>
          <w:szCs w:val="28"/>
          <w:highlight w:val="none"/>
        </w:rPr>
        <w:t>郑重声明，根据《政府采购促进中小企业发展管理办法》（财库﹝2020﹞46 号）的规定，本公司</w:t>
      </w:r>
      <w:r>
        <w:rPr>
          <w:rFonts w:hint="eastAsia" w:ascii="宋体" w:hAnsi="宋体" w:cs="宋体"/>
          <w:szCs w:val="21"/>
        </w:rPr>
        <w:t>（联合体）</w:t>
      </w:r>
      <w:r>
        <w:rPr>
          <w:rFonts w:hint="eastAsia" w:ascii="宋体" w:hAnsi="宋体" w:eastAsia="宋体" w:cs="宋体"/>
          <w:color w:val="auto"/>
          <w:sz w:val="22"/>
          <w:szCs w:val="28"/>
          <w:highlight w:val="none"/>
        </w:rPr>
        <w:t>参加</w:t>
      </w:r>
      <w:r>
        <w:rPr>
          <w:rFonts w:hint="eastAsia" w:ascii="宋体" w:hAnsi="宋体" w:cs="宋体"/>
          <w:color w:val="auto"/>
          <w:sz w:val="22"/>
          <w:szCs w:val="28"/>
          <w:highlight w:val="none"/>
          <w:u w:val="single"/>
          <w:lang w:eastAsia="zh-CN"/>
        </w:rPr>
        <w:t>台州市椒江区人民政府前所街道办事处</w:t>
      </w:r>
      <w:r>
        <w:rPr>
          <w:rFonts w:hint="eastAsia" w:ascii="宋体" w:hAnsi="宋体" w:eastAsia="宋体" w:cs="宋体"/>
          <w:color w:val="auto"/>
          <w:sz w:val="22"/>
          <w:szCs w:val="28"/>
          <w:highlight w:val="none"/>
        </w:rPr>
        <w:t>的</w:t>
      </w:r>
      <w:r>
        <w:rPr>
          <w:rFonts w:hint="eastAsia" w:ascii="宋体" w:hAnsi="宋体" w:cs="宋体"/>
          <w:color w:val="auto"/>
          <w:sz w:val="22"/>
          <w:szCs w:val="28"/>
          <w:highlight w:val="none"/>
          <w:u w:val="single"/>
          <w:lang w:eastAsia="zh-CN"/>
        </w:rPr>
        <w:t>椒江区前所街道圆山社区党群服务中心设计施工一体化项目</w:t>
      </w:r>
      <w:r>
        <w:rPr>
          <w:rFonts w:hint="eastAsia" w:ascii="宋体" w:hAnsi="宋体" w:eastAsia="宋体" w:cs="宋体"/>
          <w:color w:val="auto"/>
          <w:sz w:val="22"/>
          <w:szCs w:val="28"/>
          <w:highlight w:val="none"/>
          <w:u w:val="single"/>
          <w:lang w:eastAsia="zh-CN"/>
        </w:rPr>
        <w:t>（项目编号：</w:t>
      </w:r>
      <w:r>
        <w:rPr>
          <w:rFonts w:hint="eastAsia" w:ascii="宋体" w:hAnsi="宋体" w:cs="宋体"/>
          <w:color w:val="auto"/>
          <w:sz w:val="22"/>
          <w:szCs w:val="28"/>
          <w:highlight w:val="none"/>
          <w:u w:val="single"/>
          <w:lang w:eastAsia="zh-CN"/>
        </w:rPr>
        <w:t>YHZB-2023-0601</w:t>
      </w:r>
      <w:r>
        <w:rPr>
          <w:rFonts w:hint="eastAsia" w:ascii="宋体" w:hAnsi="宋体" w:eastAsia="宋体" w:cs="宋体"/>
          <w:color w:val="auto"/>
          <w:sz w:val="22"/>
          <w:szCs w:val="28"/>
          <w:highlight w:val="none"/>
          <w:u w:val="single"/>
          <w:lang w:eastAsia="zh-CN"/>
        </w:rPr>
        <w:t>）</w:t>
      </w:r>
      <w:r>
        <w:rPr>
          <w:rFonts w:hint="eastAsia" w:ascii="宋体" w:hAnsi="宋体" w:eastAsia="宋体" w:cs="宋体"/>
          <w:color w:val="auto"/>
          <w:sz w:val="22"/>
          <w:szCs w:val="28"/>
          <w:highlight w:val="none"/>
        </w:rPr>
        <w:t>采购活动，</w:t>
      </w:r>
      <w:r>
        <w:rPr>
          <w:rFonts w:hint="eastAsia" w:ascii="宋体" w:hAnsi="宋体" w:cs="宋体"/>
          <w:color w:val="auto"/>
          <w:sz w:val="22"/>
          <w:szCs w:val="28"/>
          <w:highlight w:val="none"/>
          <w:lang w:val="en-US" w:eastAsia="zh-CN"/>
        </w:rPr>
        <w:t>工程</w:t>
      </w:r>
      <w:r>
        <w:rPr>
          <w:rFonts w:hint="eastAsia" w:ascii="宋体" w:hAnsi="宋体" w:eastAsia="宋体" w:cs="宋体"/>
          <w:color w:val="auto"/>
          <w:sz w:val="22"/>
          <w:szCs w:val="28"/>
          <w:highlight w:val="none"/>
        </w:rPr>
        <w:t>全部由符合政策要求的中小企业承接。相关企业（含联合体中的中小企业、签订分包意向协议的中小企业）的具体情况如下：</w:t>
      </w:r>
    </w:p>
    <w:p>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宋体" w:hAnsi="宋体" w:eastAsia="宋体" w:cs="宋体"/>
          <w:color w:val="auto"/>
          <w:sz w:val="22"/>
          <w:szCs w:val="28"/>
          <w:highlight w:val="none"/>
        </w:rPr>
      </w:pPr>
      <w:r>
        <w:rPr>
          <w:rFonts w:hint="eastAsia" w:ascii="宋体" w:hAnsi="宋体" w:eastAsia="宋体" w:cs="宋体"/>
          <w:color w:val="auto"/>
          <w:sz w:val="22"/>
          <w:szCs w:val="28"/>
          <w:highlight w:val="none"/>
        </w:rPr>
        <w:t xml:space="preserve">1. </w:t>
      </w:r>
      <w:r>
        <w:rPr>
          <w:rFonts w:hint="eastAsia" w:ascii="宋体" w:hAnsi="宋体" w:cs="宋体"/>
          <w:color w:val="auto"/>
          <w:sz w:val="22"/>
          <w:szCs w:val="28"/>
          <w:highlight w:val="none"/>
          <w:u w:val="single"/>
          <w:lang w:val="en-US" w:eastAsia="zh-CN"/>
        </w:rPr>
        <w:t xml:space="preserve">  （</w:t>
      </w:r>
      <w:r>
        <w:rPr>
          <w:rFonts w:hint="eastAsia" w:ascii="宋体" w:hAnsi="宋体" w:cs="宋体"/>
          <w:szCs w:val="21"/>
          <w:u w:val="single"/>
        </w:rPr>
        <w:t>标的名称）</w:t>
      </w:r>
      <w:r>
        <w:rPr>
          <w:rFonts w:hint="eastAsia" w:ascii="宋体" w:hAnsi="宋体" w:eastAsia="宋体" w:cs="宋体"/>
          <w:color w:val="auto"/>
          <w:sz w:val="22"/>
          <w:szCs w:val="28"/>
          <w:highlight w:val="none"/>
        </w:rPr>
        <w:t xml:space="preserve">，属于 </w:t>
      </w:r>
      <w:r>
        <w:rPr>
          <w:rFonts w:hint="eastAsia" w:ascii="宋体" w:hAnsi="宋体" w:cs="宋体"/>
          <w:color w:val="auto"/>
          <w:sz w:val="22"/>
          <w:szCs w:val="28"/>
          <w:highlight w:val="none"/>
          <w:u w:val="single"/>
          <w:lang w:val="en-US" w:eastAsia="zh-CN"/>
        </w:rPr>
        <w:t xml:space="preserve"> </w:t>
      </w:r>
      <w:r>
        <w:rPr>
          <w:rFonts w:hint="eastAsia" w:ascii="宋体" w:hAnsi="宋体" w:cs="宋体"/>
          <w:szCs w:val="21"/>
          <w:u w:val="single"/>
        </w:rPr>
        <w:t>（采购文件中明确的所属行业）</w:t>
      </w:r>
      <w:r>
        <w:rPr>
          <w:rFonts w:hint="eastAsia" w:ascii="宋体" w:hAnsi="宋体" w:eastAsia="宋体" w:cs="宋体"/>
          <w:color w:val="auto"/>
          <w:sz w:val="22"/>
          <w:szCs w:val="28"/>
          <w:highlight w:val="none"/>
          <w:u w:val="single"/>
        </w:rPr>
        <w:t xml:space="preserve"> </w:t>
      </w:r>
      <w:r>
        <w:rPr>
          <w:rFonts w:hint="eastAsia" w:ascii="宋体" w:hAnsi="宋体" w:eastAsia="宋体" w:cs="宋体"/>
          <w:color w:val="auto"/>
          <w:sz w:val="22"/>
          <w:szCs w:val="28"/>
          <w:highlight w:val="none"/>
        </w:rPr>
        <w:t>行业；承建（承接）为</w:t>
      </w:r>
      <w:r>
        <w:rPr>
          <w:rFonts w:hint="eastAsia" w:ascii="宋体" w:hAnsi="宋体" w:eastAsia="宋体" w:cs="宋体"/>
          <w:color w:val="auto"/>
          <w:sz w:val="22"/>
          <w:szCs w:val="28"/>
          <w:highlight w:val="none"/>
          <w:u w:val="single"/>
        </w:rPr>
        <w:t>（企业名称）</w:t>
      </w:r>
      <w:r>
        <w:rPr>
          <w:rFonts w:hint="eastAsia" w:ascii="宋体" w:hAnsi="宋体" w:eastAsia="宋体" w:cs="宋体"/>
          <w:color w:val="auto"/>
          <w:sz w:val="22"/>
          <w:szCs w:val="28"/>
          <w:highlight w:val="none"/>
        </w:rPr>
        <w:t>，从业人员</w:t>
      </w:r>
      <w:r>
        <w:rPr>
          <w:rFonts w:hint="eastAsia" w:ascii="宋体" w:hAnsi="宋体" w:eastAsia="宋体" w:cs="宋体"/>
          <w:color w:val="auto"/>
          <w:sz w:val="22"/>
          <w:szCs w:val="28"/>
          <w:highlight w:val="none"/>
          <w:u w:val="single"/>
        </w:rPr>
        <w:t xml:space="preserve"> </w:t>
      </w:r>
      <w:r>
        <w:rPr>
          <w:rFonts w:hint="eastAsia" w:ascii="宋体" w:hAnsi="宋体" w:eastAsia="宋体" w:cs="宋体"/>
          <w:color w:val="auto"/>
          <w:sz w:val="22"/>
          <w:szCs w:val="28"/>
          <w:highlight w:val="none"/>
          <w:u w:val="single"/>
        </w:rPr>
        <w:tab/>
      </w:r>
      <w:r>
        <w:rPr>
          <w:rFonts w:hint="eastAsia" w:ascii="宋体" w:hAnsi="宋体" w:eastAsia="宋体" w:cs="宋体"/>
          <w:color w:val="auto"/>
          <w:sz w:val="22"/>
          <w:szCs w:val="28"/>
          <w:highlight w:val="none"/>
        </w:rPr>
        <w:t>人，营业收入为</w:t>
      </w:r>
      <w:r>
        <w:rPr>
          <w:rFonts w:hint="eastAsia" w:ascii="宋体" w:hAnsi="宋体" w:eastAsia="宋体" w:cs="宋体"/>
          <w:color w:val="auto"/>
          <w:sz w:val="22"/>
          <w:szCs w:val="28"/>
          <w:highlight w:val="none"/>
          <w:u w:val="single"/>
        </w:rPr>
        <w:t xml:space="preserve"> </w:t>
      </w:r>
      <w:r>
        <w:rPr>
          <w:rFonts w:hint="eastAsia" w:ascii="宋体" w:hAnsi="宋体" w:eastAsia="宋体" w:cs="宋体"/>
          <w:color w:val="auto"/>
          <w:sz w:val="22"/>
          <w:szCs w:val="28"/>
          <w:highlight w:val="none"/>
          <w:u w:val="single"/>
          <w:lang w:val="en-US" w:eastAsia="zh-CN"/>
        </w:rPr>
        <w:t xml:space="preserve">  </w:t>
      </w:r>
      <w:r>
        <w:rPr>
          <w:rFonts w:hint="eastAsia" w:ascii="宋体" w:hAnsi="宋体" w:eastAsia="宋体" w:cs="宋体"/>
          <w:color w:val="auto"/>
          <w:sz w:val="22"/>
          <w:szCs w:val="28"/>
          <w:highlight w:val="none"/>
        </w:rPr>
        <w:t>万元，资产总额为</w:t>
      </w:r>
      <w:r>
        <w:rPr>
          <w:rFonts w:hint="eastAsia" w:ascii="宋体" w:hAnsi="宋体" w:eastAsia="宋体" w:cs="宋体"/>
          <w:color w:val="auto"/>
          <w:sz w:val="22"/>
          <w:szCs w:val="28"/>
          <w:highlight w:val="none"/>
          <w:u w:val="single"/>
        </w:rPr>
        <w:t xml:space="preserve"> </w:t>
      </w:r>
      <w:r>
        <w:rPr>
          <w:rFonts w:hint="eastAsia" w:ascii="宋体" w:hAnsi="宋体" w:eastAsia="宋体" w:cs="宋体"/>
          <w:color w:val="auto"/>
          <w:sz w:val="22"/>
          <w:szCs w:val="28"/>
          <w:highlight w:val="none"/>
          <w:u w:val="single"/>
          <w:lang w:val="en-US" w:eastAsia="zh-CN"/>
        </w:rPr>
        <w:t xml:space="preserve">  </w:t>
      </w:r>
      <w:r>
        <w:rPr>
          <w:rFonts w:hint="eastAsia" w:ascii="宋体" w:hAnsi="宋体" w:eastAsia="宋体" w:cs="宋体"/>
          <w:color w:val="auto"/>
          <w:sz w:val="22"/>
          <w:szCs w:val="28"/>
          <w:highlight w:val="none"/>
          <w:u w:val="single"/>
        </w:rPr>
        <w:tab/>
      </w:r>
      <w:r>
        <w:rPr>
          <w:rFonts w:hint="eastAsia" w:ascii="宋体" w:hAnsi="宋体" w:eastAsia="宋体" w:cs="宋体"/>
          <w:color w:val="auto"/>
          <w:sz w:val="22"/>
          <w:szCs w:val="28"/>
          <w:highlight w:val="none"/>
        </w:rPr>
        <w:t>万元，属于</w:t>
      </w:r>
      <w:r>
        <w:rPr>
          <w:rFonts w:hint="eastAsia" w:ascii="宋体" w:hAnsi="宋体" w:eastAsia="宋体" w:cs="宋体"/>
          <w:color w:val="auto"/>
          <w:sz w:val="22"/>
          <w:szCs w:val="28"/>
          <w:highlight w:val="none"/>
          <w:u w:val="single"/>
        </w:rPr>
        <w:t>（中型企业、小型企业、微型企业）</w:t>
      </w:r>
      <w:r>
        <w:rPr>
          <w:rFonts w:hint="eastAsia" w:ascii="宋体" w:hAnsi="宋体" w:eastAsia="宋体" w:cs="宋体"/>
          <w:color w:val="auto"/>
          <w:sz w:val="22"/>
          <w:szCs w:val="28"/>
          <w:highlight w:val="none"/>
        </w:rPr>
        <w:t>；</w:t>
      </w:r>
    </w:p>
    <w:p>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宋体" w:hAnsi="宋体" w:eastAsia="宋体" w:cs="宋体"/>
          <w:color w:val="auto"/>
          <w:sz w:val="22"/>
          <w:szCs w:val="28"/>
          <w:highlight w:val="none"/>
        </w:rPr>
      </w:pPr>
      <w:r>
        <w:rPr>
          <w:rFonts w:hint="eastAsia" w:ascii="宋体" w:hAnsi="宋体" w:eastAsia="宋体" w:cs="宋体"/>
          <w:color w:val="auto"/>
          <w:sz w:val="22"/>
          <w:szCs w:val="28"/>
          <w:highlight w:val="none"/>
        </w:rPr>
        <w:t xml:space="preserve">2. </w:t>
      </w:r>
      <w:r>
        <w:rPr>
          <w:rFonts w:hint="eastAsia" w:ascii="宋体" w:hAnsi="宋体" w:cs="宋体"/>
          <w:color w:val="auto"/>
          <w:sz w:val="22"/>
          <w:szCs w:val="28"/>
          <w:highlight w:val="none"/>
          <w:u w:val="single"/>
          <w:lang w:val="en-US" w:eastAsia="zh-CN"/>
        </w:rPr>
        <w:t xml:space="preserve">  （</w:t>
      </w:r>
      <w:r>
        <w:rPr>
          <w:rFonts w:hint="eastAsia" w:ascii="宋体" w:hAnsi="宋体" w:cs="宋体"/>
          <w:szCs w:val="21"/>
          <w:u w:val="single"/>
        </w:rPr>
        <w:t>标的名称）</w:t>
      </w:r>
      <w:r>
        <w:rPr>
          <w:rFonts w:hint="eastAsia" w:ascii="宋体" w:hAnsi="宋体" w:eastAsia="宋体" w:cs="宋体"/>
          <w:color w:val="auto"/>
          <w:sz w:val="22"/>
          <w:szCs w:val="28"/>
          <w:highlight w:val="none"/>
        </w:rPr>
        <w:t xml:space="preserve">，属于 </w:t>
      </w:r>
      <w:r>
        <w:rPr>
          <w:rFonts w:hint="eastAsia" w:ascii="宋体" w:hAnsi="宋体" w:cs="宋体"/>
          <w:color w:val="auto"/>
          <w:sz w:val="22"/>
          <w:szCs w:val="28"/>
          <w:highlight w:val="none"/>
          <w:u w:val="single"/>
          <w:lang w:val="en-US" w:eastAsia="zh-CN"/>
        </w:rPr>
        <w:t xml:space="preserve"> </w:t>
      </w:r>
      <w:r>
        <w:rPr>
          <w:rFonts w:hint="eastAsia" w:ascii="宋体" w:hAnsi="宋体" w:cs="宋体"/>
          <w:szCs w:val="21"/>
          <w:u w:val="single"/>
        </w:rPr>
        <w:t>（采购文件中明确的所属行业）</w:t>
      </w:r>
      <w:r>
        <w:rPr>
          <w:rFonts w:hint="eastAsia" w:ascii="宋体" w:hAnsi="宋体" w:eastAsia="宋体" w:cs="宋体"/>
          <w:color w:val="auto"/>
          <w:sz w:val="22"/>
          <w:szCs w:val="28"/>
          <w:highlight w:val="none"/>
          <w:u w:val="single"/>
          <w:lang w:val="en-US" w:eastAsia="zh-CN"/>
        </w:rPr>
        <w:t xml:space="preserve"> </w:t>
      </w:r>
      <w:r>
        <w:rPr>
          <w:rFonts w:hint="eastAsia" w:ascii="宋体" w:hAnsi="宋体" w:eastAsia="宋体" w:cs="宋体"/>
          <w:color w:val="auto"/>
          <w:sz w:val="22"/>
          <w:szCs w:val="28"/>
          <w:highlight w:val="none"/>
        </w:rPr>
        <w:t>行业；承建（承接）为</w:t>
      </w:r>
      <w:r>
        <w:rPr>
          <w:rFonts w:hint="eastAsia" w:ascii="宋体" w:hAnsi="宋体" w:eastAsia="宋体" w:cs="宋体"/>
          <w:color w:val="auto"/>
          <w:sz w:val="22"/>
          <w:szCs w:val="28"/>
          <w:highlight w:val="none"/>
          <w:u w:val="single"/>
        </w:rPr>
        <w:t>（企业名称）</w:t>
      </w:r>
      <w:r>
        <w:rPr>
          <w:rFonts w:hint="eastAsia" w:ascii="宋体" w:hAnsi="宋体" w:eastAsia="宋体" w:cs="宋体"/>
          <w:color w:val="auto"/>
          <w:sz w:val="22"/>
          <w:szCs w:val="28"/>
          <w:highlight w:val="none"/>
        </w:rPr>
        <w:t>，从业人员</w:t>
      </w:r>
      <w:r>
        <w:rPr>
          <w:rFonts w:hint="eastAsia" w:ascii="宋体" w:hAnsi="宋体" w:eastAsia="宋体" w:cs="宋体"/>
          <w:color w:val="auto"/>
          <w:sz w:val="22"/>
          <w:szCs w:val="28"/>
          <w:highlight w:val="none"/>
          <w:u w:val="single"/>
        </w:rPr>
        <w:t xml:space="preserve"> </w:t>
      </w:r>
      <w:r>
        <w:rPr>
          <w:rFonts w:hint="eastAsia" w:ascii="宋体" w:hAnsi="宋体" w:eastAsia="宋体" w:cs="宋体"/>
          <w:color w:val="auto"/>
          <w:sz w:val="22"/>
          <w:szCs w:val="28"/>
          <w:highlight w:val="none"/>
          <w:u w:val="single"/>
        </w:rPr>
        <w:tab/>
      </w:r>
      <w:r>
        <w:rPr>
          <w:rFonts w:hint="eastAsia" w:ascii="宋体" w:hAnsi="宋体" w:eastAsia="宋体" w:cs="宋体"/>
          <w:color w:val="auto"/>
          <w:sz w:val="22"/>
          <w:szCs w:val="28"/>
          <w:highlight w:val="none"/>
        </w:rPr>
        <w:t>人，营业收入为</w:t>
      </w:r>
      <w:r>
        <w:rPr>
          <w:rFonts w:hint="eastAsia" w:ascii="宋体" w:hAnsi="宋体" w:eastAsia="宋体" w:cs="宋体"/>
          <w:color w:val="auto"/>
          <w:sz w:val="22"/>
          <w:szCs w:val="28"/>
          <w:highlight w:val="none"/>
          <w:u w:val="single"/>
        </w:rPr>
        <w:t xml:space="preserve"> </w:t>
      </w:r>
      <w:r>
        <w:rPr>
          <w:rFonts w:hint="eastAsia" w:ascii="宋体" w:hAnsi="宋体" w:eastAsia="宋体" w:cs="宋体"/>
          <w:color w:val="auto"/>
          <w:sz w:val="22"/>
          <w:szCs w:val="28"/>
          <w:highlight w:val="none"/>
          <w:u w:val="single"/>
          <w:lang w:val="en-US" w:eastAsia="zh-CN"/>
        </w:rPr>
        <w:t xml:space="preserve">  </w:t>
      </w:r>
      <w:r>
        <w:rPr>
          <w:rFonts w:hint="eastAsia" w:ascii="宋体" w:hAnsi="宋体" w:eastAsia="宋体" w:cs="宋体"/>
          <w:color w:val="auto"/>
          <w:sz w:val="22"/>
          <w:szCs w:val="28"/>
          <w:highlight w:val="none"/>
        </w:rPr>
        <w:t>万元，资产总额为</w:t>
      </w:r>
      <w:r>
        <w:rPr>
          <w:rFonts w:hint="eastAsia" w:ascii="宋体" w:hAnsi="宋体" w:eastAsia="宋体" w:cs="宋体"/>
          <w:color w:val="auto"/>
          <w:sz w:val="22"/>
          <w:szCs w:val="28"/>
          <w:highlight w:val="none"/>
          <w:u w:val="single"/>
          <w:lang w:val="en-US" w:eastAsia="zh-CN"/>
        </w:rPr>
        <w:t xml:space="preserve">     </w:t>
      </w:r>
      <w:r>
        <w:rPr>
          <w:rFonts w:hint="eastAsia" w:ascii="宋体" w:hAnsi="宋体" w:eastAsia="宋体" w:cs="宋体"/>
          <w:color w:val="auto"/>
          <w:sz w:val="22"/>
          <w:szCs w:val="28"/>
          <w:highlight w:val="none"/>
        </w:rPr>
        <w:t>万元，属于</w:t>
      </w:r>
      <w:r>
        <w:rPr>
          <w:rFonts w:hint="eastAsia" w:ascii="宋体" w:hAnsi="宋体" w:eastAsia="宋体" w:cs="宋体"/>
          <w:color w:val="auto"/>
          <w:sz w:val="22"/>
          <w:szCs w:val="28"/>
          <w:highlight w:val="none"/>
          <w:u w:val="single"/>
        </w:rPr>
        <w:t>（中型企业、小型企业、微型企业）</w:t>
      </w:r>
      <w:r>
        <w:rPr>
          <w:rFonts w:hint="eastAsia" w:ascii="宋体" w:hAnsi="宋体" w:eastAsia="宋体" w:cs="宋体"/>
          <w:color w:val="auto"/>
          <w:sz w:val="22"/>
          <w:szCs w:val="28"/>
          <w:highlight w:val="none"/>
        </w:rPr>
        <w:t>；</w:t>
      </w:r>
    </w:p>
    <w:p>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宋体" w:hAnsi="宋体" w:eastAsia="宋体" w:cs="宋体"/>
          <w:color w:val="auto"/>
          <w:sz w:val="22"/>
          <w:szCs w:val="28"/>
          <w:highlight w:val="none"/>
        </w:rPr>
      </w:pPr>
      <w:r>
        <w:rPr>
          <w:rFonts w:hint="eastAsia" w:ascii="宋体" w:hAnsi="宋体" w:eastAsia="宋体" w:cs="宋体"/>
          <w:color w:val="auto"/>
          <w:sz w:val="22"/>
          <w:szCs w:val="28"/>
          <w:highlight w:val="none"/>
        </w:rPr>
        <w:t>……</w:t>
      </w:r>
    </w:p>
    <w:p>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宋体" w:hAnsi="宋体" w:eastAsia="宋体" w:cs="宋体"/>
          <w:color w:val="auto"/>
          <w:sz w:val="22"/>
          <w:szCs w:val="28"/>
          <w:highlight w:val="none"/>
        </w:rPr>
      </w:pPr>
      <w:r>
        <w:rPr>
          <w:rFonts w:hint="eastAsia" w:ascii="宋体" w:hAnsi="宋体" w:eastAsia="宋体" w:cs="宋体"/>
          <w:color w:val="auto"/>
          <w:sz w:val="22"/>
          <w:szCs w:val="28"/>
          <w:highlight w:val="none"/>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宋体" w:hAnsi="宋体" w:eastAsia="宋体" w:cs="宋体"/>
          <w:color w:val="auto"/>
          <w:sz w:val="22"/>
          <w:szCs w:val="28"/>
          <w:highlight w:val="none"/>
        </w:rPr>
      </w:pPr>
      <w:r>
        <w:rPr>
          <w:rFonts w:hint="eastAsia" w:ascii="宋体" w:hAnsi="宋体" w:eastAsia="宋体" w:cs="宋体"/>
          <w:color w:val="auto"/>
          <w:sz w:val="22"/>
          <w:szCs w:val="28"/>
          <w:highlight w:val="none"/>
        </w:rPr>
        <w:t>本企业对上述声明内容的真实性负责。如有虚假，将依法承担相应责任。</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32"/>
          <w:highlight w:val="none"/>
        </w:rPr>
      </w:pPr>
    </w:p>
    <w:p>
      <w:pPr>
        <w:pStyle w:val="50"/>
        <w:snapToGrid w:val="0"/>
        <w:spacing w:line="360" w:lineRule="auto"/>
        <w:ind w:left="4253" w:leftChars="2025" w:firstLine="20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 标 人（单位公章）：</w:t>
      </w:r>
    </w:p>
    <w:p>
      <w:pPr>
        <w:pStyle w:val="50"/>
        <w:snapToGrid w:val="0"/>
        <w:spacing w:line="360" w:lineRule="auto"/>
        <w:ind w:left="4253" w:leftChars="2025" w:right="360" w:firstLine="20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日期：  年   月   日</w:t>
      </w:r>
    </w:p>
    <w:p>
      <w:pPr>
        <w:pStyle w:val="25"/>
        <w:rPr>
          <w:rFonts w:hint="eastAsia" w:ascii="宋体" w:hAnsi="宋体" w:eastAsia="宋体" w:cs="宋体"/>
          <w:color w:val="auto"/>
          <w:sz w:val="22"/>
          <w:szCs w:val="22"/>
          <w:highlight w:val="none"/>
        </w:rPr>
      </w:pPr>
    </w:p>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color w:val="auto"/>
          <w:sz w:val="22"/>
          <w:szCs w:val="28"/>
          <w:highlight w:val="none"/>
          <w:lang w:eastAsia="zh-CN"/>
        </w:rPr>
      </w:pPr>
      <w:r>
        <w:rPr>
          <w:rFonts w:hint="eastAsia" w:ascii="宋体" w:hAnsi="宋体" w:eastAsia="宋体" w:cs="宋体"/>
          <w:b/>
          <w:bCs/>
          <w:color w:val="auto"/>
          <w:sz w:val="22"/>
          <w:szCs w:val="28"/>
          <w:highlight w:val="none"/>
          <w:lang w:eastAsia="zh-CN"/>
        </w:rPr>
        <w:t>注：①投标供应商应实事求是填写并提供本表，不符合的可不提供。</w:t>
      </w:r>
    </w:p>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2"/>
          <w:szCs w:val="28"/>
          <w:highlight w:val="none"/>
          <w:lang w:eastAsia="zh-CN"/>
        </w:rPr>
      </w:pPr>
      <w:r>
        <w:rPr>
          <w:rFonts w:hint="eastAsia" w:ascii="宋体" w:hAnsi="宋体" w:eastAsia="宋体" w:cs="宋体"/>
          <w:color w:val="auto"/>
          <w:sz w:val="22"/>
          <w:szCs w:val="28"/>
          <w:highlight w:val="none"/>
          <w:lang w:eastAsia="zh-CN"/>
        </w:rPr>
        <w:t>②从业人员、营业收入、资产总额填报上一年度数据，无上一年度数据的新成立企业可不填报。</w:t>
      </w:r>
    </w:p>
    <w:p>
      <w:pPr>
        <w:pStyle w:val="4"/>
        <w:spacing w:before="62"/>
        <w:ind w:right="249"/>
        <w:jc w:val="center"/>
        <w:rPr>
          <w:rFonts w:hint="eastAsia" w:ascii="宋体" w:hAnsi="宋体" w:eastAsia="宋体" w:cs="宋体"/>
          <w:color w:val="auto"/>
          <w:sz w:val="28"/>
          <w:szCs w:val="28"/>
          <w:highlight w:val="none"/>
        </w:rPr>
      </w:pPr>
      <w:r>
        <w:rPr>
          <w:rFonts w:hint="eastAsia" w:ascii="宋体" w:hAnsi="宋体" w:eastAsia="宋体" w:cs="宋体"/>
          <w:b/>
          <w:color w:val="auto"/>
          <w:sz w:val="40"/>
          <w:szCs w:val="40"/>
          <w:highlight w:val="none"/>
        </w:rPr>
        <w:br w:type="page"/>
      </w:r>
      <w:bookmarkStart w:id="92" w:name="_Toc12571"/>
      <w:r>
        <w:rPr>
          <w:rFonts w:hint="eastAsia" w:ascii="宋体" w:hAnsi="宋体" w:eastAsia="宋体" w:cs="宋体"/>
          <w:b/>
          <w:bCs/>
          <w:color w:val="auto"/>
          <w:kern w:val="2"/>
          <w:sz w:val="24"/>
          <w:szCs w:val="32"/>
          <w:highlight w:val="none"/>
          <w:lang w:val="en-US" w:eastAsia="zh-CN" w:bidi="ar-SA"/>
        </w:rPr>
        <w:t>监狱企业声明函</w:t>
      </w:r>
      <w:bookmarkEnd w:id="92"/>
    </w:p>
    <w:p>
      <w:pPr>
        <w:pStyle w:val="12"/>
        <w:keepNext w:val="0"/>
        <w:keepLines w:val="0"/>
        <w:pageBreakBefore w:val="0"/>
        <w:widowControl w:val="0"/>
        <w:kinsoku/>
        <w:wordWrap/>
        <w:overflowPunct/>
        <w:topLinePunct w:val="0"/>
        <w:autoSpaceDE/>
        <w:autoSpaceDN/>
        <w:bidi w:val="0"/>
        <w:adjustRightInd/>
        <w:snapToGrid/>
        <w:spacing w:before="95" w:line="400" w:lineRule="exact"/>
        <w:ind w:right="381"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本企业郑重声明，根据《关于政府采购支持监狱企业发展有关问题的通知》（财库[2014]68 号） 的规定，本企业为</w:t>
      </w:r>
      <w:r>
        <w:rPr>
          <w:rFonts w:hint="eastAsia" w:ascii="宋体" w:hAnsi="宋体" w:eastAsia="宋体" w:cs="宋体"/>
          <w:color w:val="auto"/>
          <w:sz w:val="22"/>
          <w:szCs w:val="22"/>
          <w:highlight w:val="none"/>
          <w:u w:val="single"/>
        </w:rPr>
        <w:t>监狱企业</w:t>
      </w:r>
      <w:r>
        <w:rPr>
          <w:rFonts w:hint="eastAsia" w:ascii="宋体" w:hAnsi="宋体" w:eastAsia="宋体" w:cs="宋体"/>
          <w:color w:val="auto"/>
          <w:sz w:val="22"/>
          <w:szCs w:val="22"/>
          <w:highlight w:val="none"/>
        </w:rPr>
        <w:t>。</w:t>
      </w:r>
    </w:p>
    <w:p>
      <w:pPr>
        <w:pStyle w:val="12"/>
        <w:keepNext w:val="0"/>
        <w:keepLines w:val="0"/>
        <w:pageBreakBefore w:val="0"/>
        <w:widowControl w:val="0"/>
        <w:tabs>
          <w:tab w:val="left" w:pos="5987"/>
        </w:tabs>
        <w:kinsoku/>
        <w:wordWrap/>
        <w:overflowPunct/>
        <w:topLinePunct w:val="0"/>
        <w:autoSpaceDE/>
        <w:autoSpaceDN/>
        <w:bidi w:val="0"/>
        <w:adjustRightInd/>
        <w:snapToGrid/>
        <w:spacing w:line="400" w:lineRule="exact"/>
        <w:ind w:left="633"/>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根据上述标准，我企业属于</w:t>
      </w:r>
      <w:r>
        <w:rPr>
          <w:rFonts w:hint="eastAsia" w:ascii="宋体" w:hAnsi="宋体" w:eastAsia="宋体" w:cs="宋体"/>
          <w:color w:val="auto"/>
          <w:sz w:val="22"/>
          <w:szCs w:val="22"/>
          <w:highlight w:val="none"/>
          <w:u w:val="single"/>
        </w:rPr>
        <w:t>监狱企业</w:t>
      </w:r>
      <w:r>
        <w:rPr>
          <w:rFonts w:hint="eastAsia" w:ascii="宋体" w:hAnsi="宋体" w:eastAsia="宋体" w:cs="宋体"/>
          <w:color w:val="auto"/>
          <w:sz w:val="22"/>
          <w:szCs w:val="22"/>
          <w:highlight w:val="none"/>
        </w:rPr>
        <w:t>的理由为：</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rPr>
        <w:t>。</w:t>
      </w:r>
    </w:p>
    <w:p>
      <w:pPr>
        <w:pStyle w:val="12"/>
        <w:keepNext w:val="0"/>
        <w:keepLines w:val="0"/>
        <w:pageBreakBefore w:val="0"/>
        <w:widowControl w:val="0"/>
        <w:tabs>
          <w:tab w:val="left" w:pos="4730"/>
        </w:tabs>
        <w:kinsoku/>
        <w:wordWrap/>
        <w:overflowPunct/>
        <w:topLinePunct w:val="0"/>
        <w:autoSpaceDE/>
        <w:autoSpaceDN/>
        <w:bidi w:val="0"/>
        <w:adjustRightInd/>
        <w:snapToGrid/>
        <w:spacing w:before="72" w:line="400" w:lineRule="exact"/>
        <w:ind w:right="465"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本企业为</w:t>
      </w:r>
      <w:r>
        <w:rPr>
          <w:rFonts w:hint="eastAsia" w:ascii="宋体" w:hAnsi="宋体" w:eastAsia="宋体" w:cs="宋体"/>
          <w:color w:val="auto"/>
          <w:spacing w:val="4"/>
          <w:sz w:val="22"/>
          <w:szCs w:val="22"/>
          <w:highlight w:val="none"/>
        </w:rPr>
        <w:t>参</w:t>
      </w:r>
      <w:r>
        <w:rPr>
          <w:rFonts w:hint="eastAsia" w:ascii="宋体" w:hAnsi="宋体" w:eastAsia="宋体" w:cs="宋体"/>
          <w:color w:val="auto"/>
          <w:sz w:val="22"/>
          <w:szCs w:val="22"/>
          <w:highlight w:val="none"/>
        </w:rPr>
        <w:t>加</w:t>
      </w:r>
      <w:r>
        <w:rPr>
          <w:rFonts w:hint="eastAsia" w:ascii="宋体" w:hAnsi="宋体" w:cs="宋体"/>
          <w:color w:val="auto"/>
          <w:sz w:val="22"/>
          <w:szCs w:val="22"/>
          <w:highlight w:val="none"/>
          <w:u w:val="single"/>
          <w:lang w:eastAsia="zh-CN"/>
        </w:rPr>
        <w:t>台州市椒江区人民政府前所街道办事处</w:t>
      </w:r>
      <w:r>
        <w:rPr>
          <w:rFonts w:hint="eastAsia" w:ascii="宋体" w:hAnsi="宋体" w:eastAsia="宋体" w:cs="宋体"/>
          <w:color w:val="auto"/>
          <w:sz w:val="22"/>
          <w:szCs w:val="22"/>
          <w:highlight w:val="none"/>
        </w:rPr>
        <w:t>（采购人）</w:t>
      </w:r>
      <w:r>
        <w:rPr>
          <w:rFonts w:hint="eastAsia" w:ascii="宋体" w:hAnsi="宋体" w:cs="宋体"/>
          <w:color w:val="auto"/>
          <w:sz w:val="22"/>
          <w:szCs w:val="22"/>
          <w:highlight w:val="none"/>
          <w:u w:val="single"/>
          <w:lang w:eastAsia="zh-CN"/>
        </w:rPr>
        <w:t>椒江区前所街道圆山社区党群服务中心设计施工一体化项目</w:t>
      </w:r>
      <w:r>
        <w:rPr>
          <w:rFonts w:hint="eastAsia" w:ascii="宋体" w:hAnsi="宋体" w:eastAsia="宋体" w:cs="宋体"/>
          <w:color w:val="auto"/>
          <w:sz w:val="22"/>
          <w:szCs w:val="22"/>
          <w:highlight w:val="none"/>
        </w:rPr>
        <w:t>（项目名称）</w:t>
      </w:r>
      <w:r>
        <w:rPr>
          <w:rFonts w:hint="eastAsia" w:ascii="宋体" w:hAnsi="宋体" w:cs="宋体"/>
          <w:color w:val="auto"/>
          <w:sz w:val="22"/>
          <w:szCs w:val="22"/>
          <w:highlight w:val="none"/>
          <w:u w:val="single"/>
          <w:lang w:eastAsia="zh-CN"/>
        </w:rPr>
        <w:t>YHZB-2023-0601</w:t>
      </w:r>
      <w:r>
        <w:rPr>
          <w:rFonts w:hint="eastAsia" w:ascii="宋体" w:hAnsi="宋体" w:eastAsia="宋体" w:cs="宋体"/>
          <w:color w:val="auto"/>
          <w:sz w:val="22"/>
          <w:szCs w:val="22"/>
          <w:highlight w:val="none"/>
        </w:rPr>
        <w:t>（项目编号）</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（标项名称）采购活动，由本企业提供服务。</w:t>
      </w:r>
    </w:p>
    <w:p>
      <w:pPr>
        <w:pStyle w:val="12"/>
        <w:keepNext w:val="0"/>
        <w:keepLines w:val="0"/>
        <w:pageBreakBefore w:val="0"/>
        <w:widowControl w:val="0"/>
        <w:kinsoku/>
        <w:wordWrap/>
        <w:overflowPunct/>
        <w:topLinePunct w:val="0"/>
        <w:autoSpaceDE/>
        <w:autoSpaceDN/>
        <w:bidi w:val="0"/>
        <w:adjustRightInd/>
        <w:snapToGrid/>
        <w:spacing w:line="400" w:lineRule="exact"/>
        <w:ind w:left="633"/>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本企业对上述声明的真实性负责。如有虚假，将依法承担相应责任。</w:t>
      </w:r>
    </w:p>
    <w:p>
      <w:pPr>
        <w:pStyle w:val="50"/>
        <w:keepNext w:val="0"/>
        <w:keepLines w:val="0"/>
        <w:pageBreakBefore w:val="0"/>
        <w:widowControl w:val="0"/>
        <w:kinsoku/>
        <w:wordWrap/>
        <w:overflowPunct/>
        <w:topLinePunct w:val="0"/>
        <w:autoSpaceDE/>
        <w:autoSpaceDN/>
        <w:bidi w:val="0"/>
        <w:adjustRightInd/>
        <w:snapToGrid w:val="0"/>
        <w:spacing w:line="400" w:lineRule="exact"/>
        <w:ind w:left="4253" w:leftChars="2025" w:firstLine="20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 标 人（单位公章）：</w:t>
      </w:r>
    </w:p>
    <w:p>
      <w:pPr>
        <w:pStyle w:val="50"/>
        <w:keepNext w:val="0"/>
        <w:keepLines w:val="0"/>
        <w:pageBreakBefore w:val="0"/>
        <w:widowControl w:val="0"/>
        <w:kinsoku/>
        <w:wordWrap/>
        <w:overflowPunct/>
        <w:topLinePunct w:val="0"/>
        <w:autoSpaceDE/>
        <w:autoSpaceDN/>
        <w:bidi w:val="0"/>
        <w:adjustRightInd/>
        <w:snapToGrid w:val="0"/>
        <w:spacing w:line="400" w:lineRule="exact"/>
        <w:ind w:left="4253" w:leftChars="2025" w:right="360" w:firstLine="20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日期：  年   月   日</w:t>
      </w:r>
    </w:p>
    <w:p>
      <w:pPr>
        <w:pStyle w:val="12"/>
        <w:keepNext w:val="0"/>
        <w:keepLines w:val="0"/>
        <w:pageBreakBefore w:val="0"/>
        <w:widowControl w:val="0"/>
        <w:kinsoku/>
        <w:wordWrap/>
        <w:overflowPunct/>
        <w:topLinePunct w:val="0"/>
        <w:autoSpaceDE/>
        <w:autoSpaceDN/>
        <w:bidi w:val="0"/>
        <w:adjustRightInd/>
        <w:snapToGrid/>
        <w:spacing w:before="1" w:line="400" w:lineRule="exact"/>
        <w:ind w:left="633"/>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说明：</w:t>
      </w:r>
    </w:p>
    <w:p>
      <w:pPr>
        <w:pStyle w:val="12"/>
        <w:keepNext w:val="0"/>
        <w:keepLines w:val="0"/>
        <w:pageBreakBefore w:val="0"/>
        <w:widowControl w:val="0"/>
        <w:kinsoku/>
        <w:wordWrap/>
        <w:overflowPunct/>
        <w:topLinePunct w:val="0"/>
        <w:autoSpaceDE/>
        <w:autoSpaceDN/>
        <w:bidi w:val="0"/>
        <w:adjustRightInd/>
        <w:snapToGrid/>
        <w:spacing w:before="95" w:line="400" w:lineRule="exact"/>
        <w:ind w:right="381"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①</w:t>
      </w:r>
      <w:r>
        <w:rPr>
          <w:rFonts w:hint="eastAsia" w:ascii="宋体" w:hAnsi="宋体" w:eastAsia="宋体" w:cs="宋体"/>
          <w:color w:val="auto"/>
          <w:sz w:val="22"/>
          <w:szCs w:val="22"/>
          <w:highlight w:val="none"/>
        </w:rPr>
        <w:t>监狱企业参加政府采购活动时，应当提供由省级以上监狱管理局、戒毒管理局（含新疆生产建设兵团）出具的属于监狱企业的证明文件。</w:t>
      </w:r>
    </w:p>
    <w:p>
      <w:pPr>
        <w:pStyle w:val="12"/>
        <w:keepNext w:val="0"/>
        <w:keepLines w:val="0"/>
        <w:pageBreakBefore w:val="0"/>
        <w:widowControl w:val="0"/>
        <w:kinsoku/>
        <w:wordWrap/>
        <w:overflowPunct/>
        <w:topLinePunct w:val="0"/>
        <w:autoSpaceDE/>
        <w:autoSpaceDN/>
        <w:bidi w:val="0"/>
        <w:adjustRightInd/>
        <w:snapToGrid/>
        <w:spacing w:before="95" w:line="400" w:lineRule="exact"/>
        <w:ind w:right="381"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pStyle w:val="12"/>
        <w:keepNext w:val="0"/>
        <w:keepLines w:val="0"/>
        <w:pageBreakBefore w:val="0"/>
        <w:widowControl w:val="0"/>
        <w:kinsoku/>
        <w:wordWrap/>
        <w:overflowPunct/>
        <w:topLinePunct w:val="0"/>
        <w:autoSpaceDE/>
        <w:autoSpaceDN/>
        <w:bidi w:val="0"/>
        <w:adjustRightInd/>
        <w:snapToGrid/>
        <w:spacing w:before="95" w:line="400" w:lineRule="exact"/>
        <w:ind w:right="381" w:firstLine="42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②</w:t>
      </w:r>
      <w:r>
        <w:rPr>
          <w:rFonts w:hint="eastAsia" w:ascii="宋体" w:hAnsi="宋体" w:eastAsia="宋体" w:cs="宋体"/>
          <w:color w:val="auto"/>
          <w:sz w:val="22"/>
          <w:szCs w:val="22"/>
          <w:highlight w:val="none"/>
        </w:rPr>
        <w:t>不属于监狱企业，不用提供此函</w:t>
      </w:r>
    </w:p>
    <w:p>
      <w:pPr>
        <w:pStyle w:val="12"/>
        <w:ind w:left="0"/>
        <w:rPr>
          <w:rFonts w:hint="eastAsia" w:ascii="宋体" w:hAnsi="宋体" w:eastAsia="宋体" w:cs="宋体"/>
          <w:b/>
          <w:color w:val="auto"/>
          <w:sz w:val="22"/>
          <w:szCs w:val="22"/>
          <w:highlight w:val="none"/>
        </w:rPr>
      </w:pPr>
    </w:p>
    <w:p>
      <w:pPr>
        <w:pStyle w:val="12"/>
        <w:spacing w:before="12"/>
        <w:ind w:left="0"/>
        <w:rPr>
          <w:rFonts w:hint="eastAsia" w:ascii="宋体" w:hAnsi="宋体" w:eastAsia="宋体" w:cs="宋体"/>
          <w:b/>
          <w:color w:val="auto"/>
          <w:sz w:val="22"/>
          <w:szCs w:val="22"/>
          <w:highlight w:val="none"/>
        </w:rPr>
      </w:pPr>
    </w:p>
    <w:p>
      <w:pPr>
        <w:pStyle w:val="4"/>
        <w:spacing w:before="62"/>
        <w:ind w:right="249"/>
        <w:jc w:val="center"/>
        <w:rPr>
          <w:rFonts w:hint="eastAsia" w:ascii="宋体" w:hAnsi="宋体" w:eastAsia="宋体" w:cs="宋体"/>
          <w:b/>
          <w:bCs/>
          <w:color w:val="auto"/>
          <w:kern w:val="2"/>
          <w:sz w:val="24"/>
          <w:szCs w:val="32"/>
          <w:highlight w:val="none"/>
          <w:lang w:val="en-US" w:eastAsia="zh-CN" w:bidi="ar-SA"/>
        </w:rPr>
      </w:pPr>
      <w:bookmarkStart w:id="93" w:name="_Toc14762"/>
      <w:r>
        <w:rPr>
          <w:rFonts w:hint="eastAsia" w:ascii="宋体" w:hAnsi="宋体" w:eastAsia="宋体" w:cs="宋体"/>
          <w:b/>
          <w:bCs/>
          <w:color w:val="auto"/>
          <w:kern w:val="2"/>
          <w:sz w:val="24"/>
          <w:szCs w:val="32"/>
          <w:highlight w:val="none"/>
          <w:lang w:val="en-US" w:eastAsia="zh-CN" w:bidi="ar-SA"/>
        </w:rPr>
        <w:t>残疾人福利性单位声明函</w:t>
      </w:r>
      <w:bookmarkEnd w:id="93"/>
    </w:p>
    <w:p>
      <w:pPr>
        <w:pStyle w:val="12"/>
        <w:keepLines w:val="0"/>
        <w:pageBreakBefore w:val="0"/>
        <w:widowControl w:val="0"/>
        <w:kinsoku/>
        <w:wordWrap/>
        <w:overflowPunct/>
        <w:topLinePunct w:val="0"/>
        <w:autoSpaceDE/>
        <w:autoSpaceDN/>
        <w:bidi w:val="0"/>
        <w:spacing w:before="3" w:line="400" w:lineRule="exact"/>
        <w:ind w:left="0"/>
        <w:textAlignment w:val="auto"/>
        <w:rPr>
          <w:rFonts w:hint="eastAsia" w:ascii="宋体" w:hAnsi="宋体" w:eastAsia="宋体" w:cs="宋体"/>
          <w:b/>
          <w:color w:val="auto"/>
          <w:sz w:val="22"/>
          <w:szCs w:val="22"/>
          <w:highlight w:val="none"/>
        </w:rPr>
      </w:pPr>
    </w:p>
    <w:p>
      <w:pPr>
        <w:pStyle w:val="12"/>
        <w:keepLines w:val="0"/>
        <w:pageBreakBefore w:val="0"/>
        <w:widowControl w:val="0"/>
        <w:kinsoku/>
        <w:wordWrap/>
        <w:overflowPunct/>
        <w:topLinePunct w:val="0"/>
        <w:autoSpaceDE/>
        <w:autoSpaceDN/>
        <w:bidi w:val="0"/>
        <w:spacing w:line="400" w:lineRule="exact"/>
        <w:ind w:right="452" w:firstLine="420"/>
        <w:jc w:val="both"/>
        <w:textAlignment w:val="auto"/>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本单位郑重声明，根据《财政部 民政部 中国残疾人联合会关于促进残疾人就业政府采购政策的</w:t>
      </w:r>
      <w:r>
        <w:rPr>
          <w:rFonts w:hint="eastAsia" w:ascii="宋体" w:hAnsi="宋体" w:eastAsia="宋体" w:cs="宋体"/>
          <w:color w:val="auto"/>
          <w:spacing w:val="-13"/>
          <w:sz w:val="22"/>
          <w:szCs w:val="22"/>
          <w:highlight w:val="none"/>
        </w:rPr>
        <w:t>通知》</w:t>
      </w:r>
      <w:r>
        <w:rPr>
          <w:rFonts w:hint="eastAsia" w:ascii="宋体" w:hAnsi="宋体" w:eastAsia="宋体" w:cs="宋体"/>
          <w:color w:val="auto"/>
          <w:sz w:val="22"/>
          <w:szCs w:val="22"/>
          <w:highlight w:val="none"/>
        </w:rPr>
        <w:t>（</w:t>
      </w:r>
      <w:r>
        <w:rPr>
          <w:rFonts w:hint="eastAsia" w:ascii="宋体" w:hAnsi="宋体" w:eastAsia="宋体" w:cs="宋体"/>
          <w:color w:val="auto"/>
          <w:spacing w:val="-4"/>
          <w:sz w:val="22"/>
          <w:szCs w:val="22"/>
          <w:highlight w:val="none"/>
        </w:rPr>
        <w:t>财库〔</w:t>
      </w:r>
      <w:r>
        <w:rPr>
          <w:rFonts w:hint="eastAsia" w:ascii="宋体" w:hAnsi="宋体" w:eastAsia="宋体" w:cs="宋体"/>
          <w:color w:val="auto"/>
          <w:sz w:val="22"/>
          <w:szCs w:val="22"/>
          <w:highlight w:val="none"/>
        </w:rPr>
        <w:t>2017</w:t>
      </w:r>
      <w:r>
        <w:rPr>
          <w:rFonts w:hint="eastAsia" w:ascii="宋体" w:hAnsi="宋体" w:eastAsia="宋体" w:cs="宋体"/>
          <w:color w:val="auto"/>
          <w:spacing w:val="-13"/>
          <w:sz w:val="22"/>
          <w:szCs w:val="22"/>
          <w:highlight w:val="none"/>
        </w:rPr>
        <w:t>〕</w:t>
      </w:r>
      <w:r>
        <w:rPr>
          <w:rFonts w:hint="eastAsia" w:ascii="宋体" w:hAnsi="宋体" w:eastAsia="宋体" w:cs="宋体"/>
          <w:color w:val="auto"/>
          <w:sz w:val="22"/>
          <w:szCs w:val="22"/>
          <w:highlight w:val="none"/>
        </w:rPr>
        <w:t>141 号</w:t>
      </w:r>
      <w:r>
        <w:rPr>
          <w:rFonts w:hint="eastAsia" w:ascii="宋体" w:hAnsi="宋体" w:eastAsia="宋体" w:cs="宋体"/>
          <w:color w:val="auto"/>
          <w:spacing w:val="-13"/>
          <w:sz w:val="22"/>
          <w:szCs w:val="22"/>
          <w:highlight w:val="none"/>
        </w:rPr>
        <w:t>）</w:t>
      </w:r>
      <w:r>
        <w:rPr>
          <w:rFonts w:hint="eastAsia" w:ascii="宋体" w:hAnsi="宋体" w:eastAsia="宋体" w:cs="宋体"/>
          <w:color w:val="auto"/>
          <w:spacing w:val="-4"/>
          <w:sz w:val="22"/>
          <w:szCs w:val="22"/>
          <w:highlight w:val="none"/>
        </w:rPr>
        <w:t>的规定，本单位为符合条件的残疾人福利性单位，且本单位参加</w:t>
      </w:r>
      <w:r>
        <w:rPr>
          <w:rFonts w:hint="eastAsia" w:ascii="宋体" w:hAnsi="宋体" w:cs="宋体"/>
          <w:color w:val="auto"/>
          <w:sz w:val="22"/>
          <w:szCs w:val="22"/>
          <w:highlight w:val="none"/>
          <w:u w:val="single"/>
          <w:lang w:eastAsia="zh-CN"/>
        </w:rPr>
        <w:t>台州市椒江区人民政府前所街道办事处</w:t>
      </w:r>
      <w:r>
        <w:rPr>
          <w:rFonts w:hint="eastAsia" w:ascii="宋体" w:hAnsi="宋体" w:eastAsia="宋体" w:cs="宋体"/>
          <w:color w:val="auto"/>
          <w:sz w:val="22"/>
          <w:szCs w:val="22"/>
          <w:highlight w:val="none"/>
          <w:u w:val="single"/>
        </w:rPr>
        <w:t>（</w:t>
      </w:r>
      <w:r>
        <w:rPr>
          <w:rFonts w:hint="eastAsia" w:ascii="宋体" w:hAnsi="宋体" w:eastAsia="宋体" w:cs="宋体"/>
          <w:color w:val="auto"/>
          <w:sz w:val="22"/>
          <w:szCs w:val="22"/>
          <w:highlight w:val="none"/>
        </w:rPr>
        <w:t>采购人</w:t>
      </w:r>
      <w:r>
        <w:rPr>
          <w:rFonts w:hint="eastAsia" w:ascii="宋体" w:hAnsi="宋体" w:eastAsia="宋体" w:cs="宋体"/>
          <w:color w:val="auto"/>
          <w:spacing w:val="-14"/>
          <w:sz w:val="22"/>
          <w:szCs w:val="22"/>
          <w:highlight w:val="none"/>
        </w:rPr>
        <w:t>）</w:t>
      </w:r>
      <w:r>
        <w:rPr>
          <w:rFonts w:hint="eastAsia" w:ascii="宋体" w:hAnsi="宋体" w:cs="宋体"/>
          <w:color w:val="auto"/>
          <w:spacing w:val="-14"/>
          <w:sz w:val="22"/>
          <w:szCs w:val="22"/>
          <w:highlight w:val="none"/>
          <w:u w:val="single"/>
          <w:lang w:eastAsia="zh-CN"/>
        </w:rPr>
        <w:t>椒江区前所街道圆山社区党群服务中心设计施工一体化项目</w:t>
      </w:r>
      <w:r>
        <w:rPr>
          <w:rFonts w:hint="eastAsia" w:ascii="宋体" w:hAnsi="宋体" w:eastAsia="宋体" w:cs="宋体"/>
          <w:color w:val="auto"/>
          <w:sz w:val="22"/>
          <w:szCs w:val="22"/>
          <w:highlight w:val="none"/>
          <w:u w:val="single"/>
        </w:rPr>
        <w:t>（</w:t>
      </w:r>
      <w:r>
        <w:rPr>
          <w:rFonts w:hint="eastAsia" w:ascii="宋体" w:hAnsi="宋体" w:eastAsia="宋体" w:cs="宋体"/>
          <w:color w:val="auto"/>
          <w:sz w:val="22"/>
          <w:szCs w:val="22"/>
          <w:highlight w:val="none"/>
        </w:rPr>
        <w:t>项目名称</w:t>
      </w:r>
      <w:r>
        <w:rPr>
          <w:rFonts w:hint="eastAsia" w:ascii="宋体" w:hAnsi="宋体" w:eastAsia="宋体" w:cs="宋体"/>
          <w:color w:val="auto"/>
          <w:spacing w:val="-5"/>
          <w:sz w:val="22"/>
          <w:szCs w:val="22"/>
          <w:highlight w:val="none"/>
        </w:rPr>
        <w:t>）</w:t>
      </w:r>
      <w:r>
        <w:rPr>
          <w:rFonts w:hint="eastAsia" w:ascii="宋体" w:hAnsi="宋体" w:cs="宋体"/>
          <w:color w:val="auto"/>
          <w:spacing w:val="-5"/>
          <w:sz w:val="22"/>
          <w:szCs w:val="22"/>
          <w:highlight w:val="none"/>
          <w:u w:val="single"/>
          <w:lang w:eastAsia="zh-CN"/>
        </w:rPr>
        <w:t>YHZB-2023-0601</w:t>
      </w:r>
      <w:r>
        <w:rPr>
          <w:rFonts w:hint="eastAsia" w:ascii="宋体" w:hAnsi="宋体" w:eastAsia="宋体" w:cs="宋体"/>
          <w:color w:val="auto"/>
          <w:sz w:val="22"/>
          <w:szCs w:val="22"/>
          <w:highlight w:val="none"/>
        </w:rPr>
        <w:t>（项目编号）</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rPr>
        <w:t>（标项名称）采购活动由本单位提供服务。</w:t>
      </w:r>
    </w:p>
    <w:p>
      <w:pPr>
        <w:pStyle w:val="12"/>
        <w:keepLines w:val="0"/>
        <w:pageBreakBefore w:val="0"/>
        <w:widowControl w:val="0"/>
        <w:kinsoku/>
        <w:wordWrap/>
        <w:overflowPunct/>
        <w:topLinePunct w:val="0"/>
        <w:autoSpaceDE/>
        <w:autoSpaceDN/>
        <w:bidi w:val="0"/>
        <w:spacing w:before="71" w:line="400" w:lineRule="exact"/>
        <w:ind w:left="633"/>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本单位对上述声明的真实性负责。如有虚假，将依法承担相应责任。</w:t>
      </w:r>
    </w:p>
    <w:p>
      <w:pPr>
        <w:pStyle w:val="12"/>
        <w:keepLines w:val="0"/>
        <w:pageBreakBefore w:val="0"/>
        <w:widowControl w:val="0"/>
        <w:kinsoku/>
        <w:wordWrap/>
        <w:overflowPunct/>
        <w:topLinePunct w:val="0"/>
        <w:autoSpaceDE/>
        <w:autoSpaceDN/>
        <w:bidi w:val="0"/>
        <w:spacing w:line="400" w:lineRule="exact"/>
        <w:ind w:left="0"/>
        <w:textAlignment w:val="auto"/>
        <w:rPr>
          <w:rFonts w:hint="eastAsia" w:ascii="宋体" w:hAnsi="宋体" w:eastAsia="宋体" w:cs="宋体"/>
          <w:color w:val="auto"/>
          <w:sz w:val="22"/>
          <w:szCs w:val="22"/>
          <w:highlight w:val="none"/>
        </w:rPr>
      </w:pPr>
    </w:p>
    <w:p>
      <w:pPr>
        <w:pStyle w:val="50"/>
        <w:keepLines w:val="0"/>
        <w:pageBreakBefore w:val="0"/>
        <w:widowControl w:val="0"/>
        <w:kinsoku/>
        <w:wordWrap/>
        <w:overflowPunct/>
        <w:topLinePunct w:val="0"/>
        <w:autoSpaceDE/>
        <w:autoSpaceDN/>
        <w:bidi w:val="0"/>
        <w:snapToGrid w:val="0"/>
        <w:spacing w:line="400" w:lineRule="exact"/>
        <w:ind w:left="4253" w:leftChars="2025" w:firstLine="20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 标 人（单位公章）：</w:t>
      </w:r>
    </w:p>
    <w:p>
      <w:pPr>
        <w:pStyle w:val="50"/>
        <w:keepLines w:val="0"/>
        <w:pageBreakBefore w:val="0"/>
        <w:widowControl w:val="0"/>
        <w:kinsoku/>
        <w:wordWrap/>
        <w:overflowPunct/>
        <w:topLinePunct w:val="0"/>
        <w:autoSpaceDE/>
        <w:autoSpaceDN/>
        <w:bidi w:val="0"/>
        <w:snapToGrid w:val="0"/>
        <w:spacing w:line="400" w:lineRule="exact"/>
        <w:ind w:left="4253" w:leftChars="2025" w:right="360" w:firstLine="20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日期：  年   月   日</w:t>
      </w:r>
    </w:p>
    <w:p>
      <w:pPr>
        <w:pStyle w:val="12"/>
        <w:keepLines w:val="0"/>
        <w:pageBreakBefore w:val="0"/>
        <w:widowControl w:val="0"/>
        <w:kinsoku/>
        <w:wordWrap/>
        <w:overflowPunct/>
        <w:topLinePunct w:val="0"/>
        <w:autoSpaceDE/>
        <w:autoSpaceDN/>
        <w:bidi w:val="0"/>
        <w:spacing w:line="400" w:lineRule="exact"/>
        <w:ind w:left="633"/>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说明：</w:t>
      </w:r>
    </w:p>
    <w:p>
      <w:pPr>
        <w:keepLines w:val="0"/>
        <w:pageBreakBefore w:val="0"/>
        <w:widowControl w:val="0"/>
        <w:tabs>
          <w:tab w:val="left" w:pos="4860"/>
        </w:tabs>
        <w:kinsoku/>
        <w:wordWrap/>
        <w:overflowPunct/>
        <w:topLinePunct w:val="0"/>
        <w:autoSpaceDE/>
        <w:autoSpaceDN/>
        <w:bidi w:val="0"/>
        <w:spacing w:line="400" w:lineRule="exact"/>
        <w:ind w:right="1560" w:firstLine="440" w:firstLineChars="200"/>
        <w:jc w:val="center"/>
        <w:textAlignment w:val="auto"/>
        <w:rPr>
          <w:rFonts w:hint="eastAsia" w:ascii="宋体" w:hAnsi="宋体" w:eastAsia="宋体" w:cs="宋体"/>
          <w:color w:val="auto"/>
          <w:sz w:val="20"/>
          <w:szCs w:val="22"/>
          <w:highlight w:val="none"/>
        </w:rPr>
      </w:pPr>
      <w:r>
        <w:rPr>
          <w:rFonts w:hint="eastAsia" w:ascii="宋体" w:hAnsi="宋体" w:eastAsia="宋体" w:cs="宋体"/>
          <w:color w:val="auto"/>
          <w:sz w:val="22"/>
          <w:szCs w:val="22"/>
          <w:highlight w:val="none"/>
        </w:rPr>
        <w:t>1）不属于残疾人福利性单位，不用提供此函。</w:t>
      </w:r>
    </w:p>
    <w:p>
      <w:pPr>
        <w:spacing w:line="520" w:lineRule="exact"/>
        <w:jc w:val="left"/>
        <w:outlineLvl w:val="0"/>
        <w:rPr>
          <w:rFonts w:hint="eastAsia" w:ascii="宋体" w:hAnsi="宋体" w:eastAsia="宋体" w:cs="宋体"/>
          <w:b/>
          <w:i/>
          <w:color w:val="auto"/>
          <w:sz w:val="28"/>
          <w:szCs w:val="28"/>
          <w:highlight w:val="none"/>
          <w:u w:val="single"/>
        </w:rPr>
      </w:pPr>
      <w:bookmarkStart w:id="94" w:name="_Toc1073"/>
      <w:bookmarkStart w:id="95" w:name="_Toc17503"/>
      <w:r>
        <w:rPr>
          <w:rFonts w:hint="eastAsia" w:ascii="宋体" w:hAnsi="宋体" w:eastAsia="宋体" w:cs="宋体"/>
          <w:color w:val="auto"/>
          <w:sz w:val="20"/>
          <w:szCs w:val="20"/>
          <w:highlight w:val="none"/>
        </w:rPr>
        <w:t>附件</w:t>
      </w:r>
      <w:r>
        <w:rPr>
          <w:rFonts w:hint="eastAsia" w:ascii="宋体" w:hAnsi="宋体" w:eastAsia="宋体" w:cs="宋体"/>
          <w:color w:val="auto"/>
          <w:sz w:val="20"/>
          <w:szCs w:val="20"/>
          <w:highlight w:val="none"/>
          <w:lang w:eastAsia="zh-CN"/>
        </w:rPr>
        <w:t>十</w:t>
      </w:r>
      <w:r>
        <w:rPr>
          <w:rFonts w:hint="eastAsia" w:ascii="宋体" w:hAnsi="宋体" w:eastAsia="宋体" w:cs="宋体"/>
          <w:color w:val="auto"/>
          <w:sz w:val="20"/>
          <w:szCs w:val="20"/>
          <w:highlight w:val="none"/>
        </w:rPr>
        <w:t>：</w:t>
      </w:r>
      <w:bookmarkEnd w:id="94"/>
      <w:bookmarkEnd w:id="95"/>
      <w:r>
        <w:rPr>
          <w:rFonts w:hint="eastAsia" w:ascii="宋体" w:hAnsi="宋体" w:eastAsia="宋体" w:cs="宋体"/>
          <w:b/>
          <w:color w:val="auto"/>
          <w:sz w:val="24"/>
          <w:szCs w:val="22"/>
          <w:highlight w:val="none"/>
        </w:rPr>
        <w:t xml:space="preserve">                                              </w:t>
      </w:r>
    </w:p>
    <w:p>
      <w:pPr>
        <w:bidi w:val="0"/>
        <w:jc w:val="center"/>
        <w:rPr>
          <w:rFonts w:hint="eastAsia" w:ascii="Times New Roman" w:hAnsi="Times New Roman" w:eastAsia="宋体" w:cs="Times New Roman"/>
          <w:b/>
          <w:bCs/>
          <w:color w:val="auto"/>
          <w:sz w:val="36"/>
          <w:szCs w:val="44"/>
          <w:lang w:eastAsia="zh-CN"/>
        </w:rPr>
      </w:pPr>
      <w:r>
        <w:rPr>
          <w:rFonts w:hint="eastAsia" w:cs="Times New Roman"/>
          <w:b/>
          <w:bCs/>
          <w:color w:val="auto"/>
          <w:sz w:val="36"/>
          <w:szCs w:val="44"/>
          <w:lang w:eastAsia="zh-CN"/>
        </w:rPr>
        <w:t>椒江区前所街道圆山社区党群服务中心设计施工一体化项目</w:t>
      </w:r>
    </w:p>
    <w:p>
      <w:pPr>
        <w:pStyle w:val="9"/>
        <w:rPr>
          <w:rFonts w:hint="eastAsia" w:ascii="宋体" w:hAnsi="宋体" w:eastAsia="宋体" w:cs="宋体"/>
          <w:color w:val="auto"/>
          <w:sz w:val="20"/>
          <w:szCs w:val="18"/>
          <w:highlight w:val="none"/>
        </w:rPr>
      </w:pPr>
    </w:p>
    <w:p>
      <w:pPr>
        <w:spacing w:after="156" w:afterLines="50"/>
        <w:jc w:val="center"/>
        <w:rPr>
          <w:rFonts w:hint="eastAsia" w:ascii="宋体" w:hAnsi="宋体" w:eastAsia="宋体" w:cs="宋体"/>
          <w:color w:val="auto"/>
          <w:sz w:val="24"/>
          <w:szCs w:val="24"/>
          <w:highlight w:val="none"/>
        </w:rPr>
      </w:pPr>
      <w:r>
        <w:rPr>
          <w:rFonts w:hint="eastAsia" w:ascii="宋体" w:hAnsi="宋体" w:eastAsia="宋体" w:cs="宋体"/>
          <w:color w:val="auto"/>
          <w:sz w:val="36"/>
          <w:szCs w:val="36"/>
          <w:highlight w:val="none"/>
        </w:rPr>
        <w:t>（线上电子招投标）</w:t>
      </w:r>
    </w:p>
    <w:p>
      <w:pPr>
        <w:spacing w:after="156" w:afterLines="50"/>
        <w:jc w:val="center"/>
        <w:rPr>
          <w:rFonts w:hint="eastAsia" w:ascii="宋体" w:hAnsi="宋体" w:eastAsia="宋体" w:cs="宋体"/>
          <w:i/>
          <w:color w:val="auto"/>
          <w:sz w:val="28"/>
          <w:szCs w:val="22"/>
          <w:highlight w:val="none"/>
          <w:lang w:eastAsia="zh-CN"/>
        </w:rPr>
      </w:pPr>
      <w:r>
        <w:rPr>
          <w:rFonts w:hint="eastAsia" w:ascii="宋体" w:hAnsi="宋体" w:eastAsia="宋体" w:cs="宋体"/>
          <w:color w:val="auto"/>
          <w:sz w:val="32"/>
          <w:szCs w:val="32"/>
          <w:highlight w:val="none"/>
        </w:rPr>
        <w:t xml:space="preserve">项目编号： </w:t>
      </w:r>
      <w:r>
        <w:rPr>
          <w:rFonts w:hint="eastAsia" w:ascii="宋体" w:hAnsi="宋体" w:cs="宋体"/>
          <w:color w:val="auto"/>
          <w:sz w:val="32"/>
          <w:szCs w:val="32"/>
          <w:highlight w:val="none"/>
          <w:lang w:eastAsia="zh-CN"/>
        </w:rPr>
        <w:t>YHZB-2023-0601</w:t>
      </w:r>
    </w:p>
    <w:p>
      <w:pPr>
        <w:spacing w:line="900" w:lineRule="exact"/>
        <w:jc w:val="center"/>
        <w:rPr>
          <w:rFonts w:hint="eastAsia" w:ascii="宋体" w:hAnsi="宋体" w:eastAsia="宋体" w:cs="宋体"/>
          <w:color w:val="auto"/>
          <w:sz w:val="72"/>
          <w:szCs w:val="22"/>
          <w:highlight w:val="none"/>
        </w:rPr>
      </w:pP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商</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务</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技</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术</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文</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件</w:t>
      </w:r>
    </w:p>
    <w:p>
      <w:pPr>
        <w:spacing w:line="900" w:lineRule="exact"/>
        <w:ind w:firstLine="2100" w:firstLineChars="750"/>
        <w:rPr>
          <w:rFonts w:hint="eastAsia" w:ascii="宋体" w:hAnsi="宋体" w:eastAsia="宋体" w:cs="宋体"/>
          <w:color w:val="auto"/>
          <w:sz w:val="28"/>
          <w:szCs w:val="22"/>
          <w:highlight w:val="none"/>
        </w:rPr>
      </w:pPr>
    </w:p>
    <w:p>
      <w:pPr>
        <w:spacing w:after="156" w:afterLines="50" w:line="900" w:lineRule="exact"/>
        <w:jc w:val="cente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供应商全称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（盖公章）</w:t>
      </w:r>
    </w:p>
    <w:p>
      <w:pPr>
        <w:spacing w:after="156" w:afterLines="50" w:line="900" w:lineRule="exact"/>
        <w:ind w:firstLine="3200" w:firstLineChars="1000"/>
        <w:rPr>
          <w:rFonts w:hint="eastAsia" w:ascii="宋体" w:hAnsi="宋体" w:eastAsia="宋体" w:cs="宋体"/>
          <w:color w:val="auto"/>
          <w:sz w:val="20"/>
          <w:szCs w:val="22"/>
          <w:highlight w:val="none"/>
        </w:rPr>
      </w:pPr>
      <w:r>
        <w:rPr>
          <w:rFonts w:hint="eastAsia" w:ascii="宋体" w:hAnsi="宋体" w:eastAsia="宋体" w:cs="宋体"/>
          <w:color w:val="auto"/>
          <w:sz w:val="32"/>
          <w:szCs w:val="32"/>
          <w:highlight w:val="none"/>
        </w:rPr>
        <w:t>年  月  日</w:t>
      </w:r>
      <w:r>
        <w:rPr>
          <w:rFonts w:hint="eastAsia" w:ascii="宋体" w:hAnsi="宋体" w:eastAsia="宋体" w:cs="宋体"/>
          <w:color w:val="auto"/>
          <w:sz w:val="24"/>
          <w:szCs w:val="24"/>
          <w:highlight w:val="none"/>
        </w:rPr>
        <w:t xml:space="preserve"> </w:t>
      </w:r>
    </w:p>
    <w:p>
      <w:pPr>
        <w:spacing w:after="156" w:afterLines="50" w:line="900" w:lineRule="exact"/>
        <w:jc w:val="center"/>
        <w:rPr>
          <w:rFonts w:hint="eastAsia" w:ascii="宋体" w:hAnsi="宋体" w:eastAsia="宋体" w:cs="宋体"/>
          <w:bCs/>
          <w:color w:val="auto"/>
          <w:sz w:val="20"/>
          <w:szCs w:val="22"/>
          <w:highlight w:val="none"/>
        </w:rPr>
      </w:pPr>
      <w:r>
        <w:rPr>
          <w:rFonts w:hint="eastAsia" w:ascii="宋体" w:hAnsi="宋体" w:eastAsia="宋体" w:cs="宋体"/>
          <w:color w:val="auto"/>
          <w:sz w:val="32"/>
          <w:szCs w:val="32"/>
          <w:highlight w:val="none"/>
        </w:rPr>
        <w:t>投标截止时间前其他单位或个人不得解密、提取</w:t>
      </w:r>
    </w:p>
    <w:p>
      <w:pPr>
        <w:tabs>
          <w:tab w:val="left" w:pos="7530"/>
        </w:tabs>
        <w:spacing w:line="520" w:lineRule="exac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Start w:id="96" w:name="_Toc26668"/>
      <w:bookmarkStart w:id="97" w:name="_Toc19115"/>
      <w:r>
        <w:rPr>
          <w:rFonts w:hint="eastAsia" w:ascii="宋体" w:hAnsi="宋体" w:eastAsia="宋体" w:cs="宋体"/>
          <w:bCs/>
          <w:color w:val="auto"/>
          <w:sz w:val="20"/>
          <w:szCs w:val="22"/>
          <w:highlight w:val="none"/>
        </w:rPr>
        <w:t>附件</w:t>
      </w:r>
      <w:r>
        <w:rPr>
          <w:rFonts w:hint="eastAsia" w:ascii="宋体" w:hAnsi="宋体" w:eastAsia="宋体" w:cs="宋体"/>
          <w:bCs/>
          <w:color w:val="auto"/>
          <w:sz w:val="20"/>
          <w:szCs w:val="22"/>
          <w:highlight w:val="none"/>
          <w:lang w:eastAsia="zh-CN"/>
        </w:rPr>
        <w:t>十一</w:t>
      </w:r>
      <w:r>
        <w:rPr>
          <w:rFonts w:hint="eastAsia" w:ascii="宋体" w:hAnsi="宋体" w:eastAsia="宋体" w:cs="宋体"/>
          <w:bCs/>
          <w:color w:val="auto"/>
          <w:sz w:val="20"/>
          <w:szCs w:val="22"/>
          <w:highlight w:val="none"/>
        </w:rPr>
        <w:t>：</w:t>
      </w:r>
      <w:bookmarkEnd w:id="96"/>
      <w:bookmarkEnd w:id="97"/>
      <w:r>
        <w:rPr>
          <w:rFonts w:hint="eastAsia" w:ascii="宋体" w:hAnsi="宋体" w:eastAsia="宋体" w:cs="宋体"/>
          <w:bCs/>
          <w:color w:val="auto"/>
          <w:sz w:val="20"/>
          <w:szCs w:val="22"/>
          <w:highlight w:val="none"/>
        </w:rPr>
        <w:tab/>
      </w:r>
    </w:p>
    <w:p>
      <w:pPr>
        <w:jc w:val="center"/>
        <w:rPr>
          <w:rFonts w:hint="eastAsia" w:ascii="宋体" w:hAnsi="宋体" w:eastAsia="宋体" w:cs="宋体"/>
          <w:bCs/>
          <w:color w:val="auto"/>
          <w:sz w:val="40"/>
          <w:szCs w:val="40"/>
          <w:highlight w:val="none"/>
        </w:rPr>
      </w:pPr>
    </w:p>
    <w:p>
      <w:pPr>
        <w:jc w:val="center"/>
        <w:rPr>
          <w:rFonts w:hint="eastAsia" w:ascii="宋体" w:hAnsi="宋体" w:eastAsia="宋体" w:cs="宋体"/>
          <w:b/>
          <w:color w:val="auto"/>
          <w:sz w:val="20"/>
          <w:szCs w:val="22"/>
          <w:highlight w:val="none"/>
        </w:rPr>
      </w:pPr>
      <w:r>
        <w:rPr>
          <w:rFonts w:hint="eastAsia" w:ascii="宋体" w:hAnsi="宋体" w:eastAsia="宋体" w:cs="宋体"/>
          <w:b/>
          <w:color w:val="auto"/>
          <w:sz w:val="40"/>
          <w:szCs w:val="40"/>
          <w:highlight w:val="none"/>
        </w:rPr>
        <w:t>投标声明函</w:t>
      </w:r>
    </w:p>
    <w:p>
      <w:pPr>
        <w:rPr>
          <w:rFonts w:hint="eastAsia" w:ascii="宋体" w:hAnsi="宋体" w:eastAsia="宋体" w:cs="宋体"/>
          <w:color w:val="auto"/>
          <w:sz w:val="20"/>
          <w:szCs w:val="22"/>
          <w:highlight w:val="none"/>
        </w:rPr>
      </w:pPr>
    </w:p>
    <w:p>
      <w:pPr>
        <w:spacing w:line="360" w:lineRule="auto"/>
        <w:rPr>
          <w:rFonts w:hint="eastAsia" w:ascii="宋体" w:hAnsi="宋体" w:eastAsia="宋体" w:cs="宋体"/>
          <w:b/>
          <w:color w:val="auto"/>
          <w:w w:val="90"/>
          <w:kern w:val="0"/>
          <w:sz w:val="24"/>
          <w:szCs w:val="21"/>
          <w:highlight w:val="none"/>
          <w:u w:val="single"/>
        </w:rPr>
      </w:pPr>
    </w:p>
    <w:p>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rPr>
        <w:t>致</w:t>
      </w:r>
      <w:r>
        <w:rPr>
          <w:rFonts w:hint="eastAsia" w:ascii="宋体" w:hAnsi="宋体" w:cs="宋体"/>
          <w:color w:val="auto"/>
          <w:sz w:val="24"/>
          <w:szCs w:val="24"/>
          <w:highlight w:val="none"/>
          <w:u w:val="single"/>
          <w:lang w:eastAsia="zh-CN"/>
        </w:rPr>
        <w:t>台州市椒江区人民政府前所街道办事处</w:t>
      </w:r>
      <w:r>
        <w:rPr>
          <w:rFonts w:hint="eastAsia" w:ascii="宋体" w:hAnsi="宋体" w:eastAsia="宋体" w:cs="宋体"/>
          <w:color w:val="auto"/>
          <w:sz w:val="24"/>
          <w:szCs w:val="24"/>
          <w:highlight w:val="none"/>
          <w:u w:val="singl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我方郑重声明，我方参加</w:t>
      </w:r>
      <w:r>
        <w:rPr>
          <w:rFonts w:hint="eastAsia" w:ascii="宋体" w:hAnsi="宋体" w:cs="宋体"/>
          <w:color w:val="auto"/>
          <w:sz w:val="24"/>
          <w:szCs w:val="24"/>
          <w:highlight w:val="none"/>
          <w:u w:val="single"/>
          <w:lang w:eastAsia="zh-CN"/>
        </w:rPr>
        <w:t>椒江区前所街道圆山社区党群服务中心设计施工一体化项目</w:t>
      </w: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u w:val="single"/>
          <w:lang w:eastAsia="zh-CN"/>
        </w:rPr>
        <w:t>YHZB-2023-0601</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1"/>
          <w:highlight w:val="none"/>
        </w:rPr>
        <w:t>的政府采购活动中所提交的投标文件（包括商务技术文件和报价文件）所有内容真实、有效，不存在虚假响应、资料造假、重大负面问题隐瞒的行为。如有违反，愿承担包括“提供虚假材料”之内的一切责任</w:t>
      </w:r>
      <w:r>
        <w:rPr>
          <w:rFonts w:hint="eastAsia" w:ascii="宋体" w:hAnsi="宋体" w:eastAsia="宋体" w:cs="宋体"/>
          <w:color w:val="auto"/>
          <w:sz w:val="24"/>
          <w:szCs w:val="24"/>
          <w:highlight w:val="none"/>
        </w:rPr>
        <w:t>。</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pStyle w:val="9"/>
        <w:rPr>
          <w:rFonts w:hint="eastAsia" w:ascii="宋体" w:hAnsi="宋体" w:eastAsia="宋体" w:cs="宋体"/>
          <w:color w:val="auto"/>
          <w:sz w:val="20"/>
          <w:szCs w:val="18"/>
          <w:highlight w:val="none"/>
        </w:rPr>
      </w:pP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pPr>
        <w:snapToGrid w:val="0"/>
        <w:spacing w:before="156" w:beforeLines="50" w:after="50" w:line="360" w:lineRule="auto"/>
        <w:ind w:firstLine="480" w:firstLineChars="200"/>
        <w:rPr>
          <w:rFonts w:hint="eastAsia" w:ascii="宋体" w:hAnsi="宋体" w:eastAsia="宋体" w:cs="宋体"/>
          <w:color w:val="auto"/>
          <w:sz w:val="24"/>
          <w:szCs w:val="24"/>
          <w:highlight w:val="none"/>
        </w:rPr>
      </w:pPr>
    </w:p>
    <w:p>
      <w:pPr>
        <w:snapToGrid w:val="0"/>
        <w:spacing w:before="156" w:beforeLines="50" w:after="50" w:line="360" w:lineRule="auto"/>
        <w:rPr>
          <w:rFonts w:hint="eastAsia" w:ascii="宋体" w:hAnsi="宋体" w:eastAsia="宋体" w:cs="宋体"/>
          <w:color w:val="auto"/>
          <w:sz w:val="24"/>
          <w:szCs w:val="24"/>
          <w:highlight w:val="none"/>
        </w:rPr>
      </w:pPr>
    </w:p>
    <w:p>
      <w:pPr>
        <w:spacing w:line="460" w:lineRule="exact"/>
        <w:ind w:firstLine="3000" w:firstLineChars="1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供应商全称：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（盖公章）</w:t>
      </w:r>
    </w:p>
    <w:p>
      <w:pPr>
        <w:spacing w:line="460" w:lineRule="exact"/>
        <w:ind w:firstLine="1980" w:firstLineChars="825"/>
        <w:rPr>
          <w:rFonts w:hint="eastAsia" w:ascii="宋体" w:hAnsi="宋体" w:eastAsia="宋体" w:cs="宋体"/>
          <w:color w:val="auto"/>
          <w:sz w:val="24"/>
          <w:szCs w:val="24"/>
          <w:highlight w:val="none"/>
          <w:u w:val="single"/>
        </w:rPr>
      </w:pPr>
    </w:p>
    <w:p>
      <w:pPr>
        <w:spacing w:line="460" w:lineRule="exact"/>
        <w:ind w:firstLine="1320" w:firstLineChars="5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i/>
          <w:color w:val="auto"/>
          <w:sz w:val="24"/>
          <w:szCs w:val="24"/>
          <w:highlight w:val="none"/>
        </w:rPr>
        <w:t>（负责人）</w:t>
      </w:r>
      <w:r>
        <w:rPr>
          <w:rFonts w:hint="eastAsia" w:ascii="宋体" w:hAnsi="宋体" w:eastAsia="宋体" w:cs="宋体"/>
          <w:color w:val="auto"/>
          <w:sz w:val="24"/>
          <w:szCs w:val="24"/>
          <w:highlight w:val="none"/>
        </w:rPr>
        <w:t>或委托代理人：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2"/>
          <w:szCs w:val="22"/>
          <w:highlight w:val="none"/>
        </w:rPr>
        <w:t>签字或盖章</w:t>
      </w:r>
      <w:r>
        <w:rPr>
          <w:rFonts w:hint="eastAsia" w:ascii="宋体" w:hAnsi="宋体" w:eastAsia="宋体" w:cs="宋体"/>
          <w:color w:val="auto"/>
          <w:sz w:val="24"/>
          <w:szCs w:val="24"/>
          <w:highlight w:val="none"/>
        </w:rPr>
        <w:t>）</w:t>
      </w:r>
    </w:p>
    <w:p>
      <w:pPr>
        <w:spacing w:line="460" w:lineRule="exact"/>
        <w:ind w:firstLine="1980" w:firstLineChars="825"/>
        <w:rPr>
          <w:rFonts w:hint="eastAsia" w:ascii="宋体" w:hAnsi="宋体" w:eastAsia="宋体" w:cs="宋体"/>
          <w:color w:val="auto"/>
          <w:sz w:val="24"/>
          <w:szCs w:val="24"/>
          <w:highlight w:val="none"/>
        </w:rPr>
      </w:pPr>
    </w:p>
    <w:p>
      <w:pPr>
        <w:adjustRightInd w:val="0"/>
        <w:snapToGrid w:val="0"/>
        <w:spacing w:line="360" w:lineRule="auto"/>
        <w:ind w:right="480"/>
        <w:jc w:val="center"/>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 xml:space="preserve">                                            年    月    日</w:t>
      </w:r>
    </w:p>
    <w:p>
      <w:pPr>
        <w:spacing w:line="520" w:lineRule="exact"/>
        <w:jc w:val="left"/>
        <w:rPr>
          <w:rFonts w:hint="eastAsia" w:ascii="宋体" w:hAnsi="宋体" w:eastAsia="宋体" w:cs="宋体"/>
          <w:bCs/>
          <w:color w:val="auto"/>
          <w:sz w:val="20"/>
          <w:szCs w:val="22"/>
          <w:highlight w:val="none"/>
        </w:rPr>
      </w:pPr>
    </w:p>
    <w:p>
      <w:pPr>
        <w:tabs>
          <w:tab w:val="left" w:pos="7530"/>
        </w:tabs>
        <w:spacing w:line="520" w:lineRule="exac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Start w:id="98" w:name="_Toc32101"/>
      <w:bookmarkStart w:id="99" w:name="_Toc4395"/>
      <w:bookmarkStart w:id="100" w:name="_Toc9969"/>
      <w:r>
        <w:rPr>
          <w:rFonts w:hint="eastAsia" w:ascii="宋体" w:hAnsi="宋体" w:eastAsia="宋体" w:cs="宋体"/>
          <w:bCs/>
          <w:color w:val="auto"/>
          <w:sz w:val="20"/>
          <w:szCs w:val="22"/>
          <w:highlight w:val="none"/>
        </w:rPr>
        <w:t>附件十</w:t>
      </w:r>
      <w:r>
        <w:rPr>
          <w:rFonts w:hint="eastAsia" w:ascii="宋体" w:hAnsi="宋体" w:eastAsia="宋体" w:cs="宋体"/>
          <w:bCs/>
          <w:color w:val="auto"/>
          <w:sz w:val="20"/>
          <w:szCs w:val="22"/>
          <w:highlight w:val="none"/>
          <w:lang w:eastAsia="zh-CN"/>
        </w:rPr>
        <w:t>二</w:t>
      </w:r>
      <w:r>
        <w:rPr>
          <w:rFonts w:hint="eastAsia" w:ascii="宋体" w:hAnsi="宋体" w:eastAsia="宋体" w:cs="宋体"/>
          <w:bCs/>
          <w:color w:val="auto"/>
          <w:sz w:val="20"/>
          <w:szCs w:val="22"/>
          <w:highlight w:val="none"/>
        </w:rPr>
        <w:t>：</w:t>
      </w:r>
      <w:bookmarkEnd w:id="98"/>
      <w:bookmarkEnd w:id="99"/>
      <w:bookmarkEnd w:id="100"/>
      <w:r>
        <w:rPr>
          <w:rFonts w:hint="eastAsia" w:ascii="宋体" w:hAnsi="宋体" w:eastAsia="宋体" w:cs="宋体"/>
          <w:bCs/>
          <w:color w:val="auto"/>
          <w:sz w:val="20"/>
          <w:szCs w:val="22"/>
          <w:highlight w:val="none"/>
        </w:rPr>
        <w:tab/>
      </w:r>
    </w:p>
    <w:p>
      <w:pPr>
        <w:spacing w:line="520" w:lineRule="exact"/>
        <w:jc w:val="center"/>
        <w:rPr>
          <w:rFonts w:hint="eastAsia" w:ascii="宋体" w:hAnsi="宋体" w:eastAsia="宋体" w:cs="宋体"/>
          <w:b/>
          <w:color w:val="auto"/>
          <w:sz w:val="40"/>
          <w:szCs w:val="40"/>
          <w:highlight w:val="none"/>
        </w:rPr>
      </w:pPr>
    </w:p>
    <w:p>
      <w:pPr>
        <w:spacing w:line="520" w:lineRule="exact"/>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法定代表人（负责人）资格证明书</w:t>
      </w:r>
    </w:p>
    <w:p>
      <w:pPr>
        <w:spacing w:line="520" w:lineRule="exact"/>
        <w:jc w:val="center"/>
        <w:rPr>
          <w:rFonts w:hint="eastAsia" w:ascii="宋体" w:hAnsi="宋体" w:eastAsia="宋体" w:cs="宋体"/>
          <w:bCs/>
          <w:color w:val="auto"/>
          <w:sz w:val="40"/>
          <w:szCs w:val="40"/>
          <w:highlight w:val="none"/>
        </w:rPr>
      </w:pPr>
    </w:p>
    <w:p>
      <w:pPr>
        <w:spacing w:line="70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名称：</w:t>
      </w:r>
      <w:r>
        <w:rPr>
          <w:rFonts w:hint="eastAsia" w:ascii="宋体" w:hAnsi="宋体" w:eastAsia="宋体" w:cs="宋体"/>
          <w:color w:val="auto"/>
          <w:sz w:val="24"/>
          <w:szCs w:val="24"/>
          <w:highlight w:val="none"/>
          <w:u w:val="single"/>
        </w:rPr>
        <w:t xml:space="preserve">                                               </w:t>
      </w:r>
    </w:p>
    <w:p>
      <w:pPr>
        <w:spacing w:line="70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地址：</w:t>
      </w:r>
      <w:r>
        <w:rPr>
          <w:rFonts w:hint="eastAsia" w:ascii="宋体" w:hAnsi="宋体" w:eastAsia="宋体" w:cs="宋体"/>
          <w:color w:val="auto"/>
          <w:sz w:val="24"/>
          <w:szCs w:val="24"/>
          <w:highlight w:val="none"/>
          <w:u w:val="single"/>
        </w:rPr>
        <w:t xml:space="preserve">                                                     </w:t>
      </w:r>
    </w:p>
    <w:p>
      <w:pPr>
        <w:spacing w:line="70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成立时间：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 xml:space="preserve"> 年</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日</w:t>
      </w:r>
    </w:p>
    <w:p>
      <w:pPr>
        <w:spacing w:line="700" w:lineRule="exact"/>
        <w:rPr>
          <w:rFonts w:hint="eastAsia" w:ascii="宋体" w:hAnsi="宋体" w:eastAsia="宋体" w:cs="宋体"/>
          <w:color w:val="auto"/>
          <w:sz w:val="24"/>
          <w:szCs w:val="24"/>
          <w:highlight w:val="none"/>
          <w:u w:val="single"/>
        </w:rPr>
      </w:pPr>
      <w:r>
        <w:rPr>
          <w:rFonts w:hint="eastAsia" w:ascii="宋体" w:hAnsi="宋体" w:eastAsia="宋体" w:cs="宋体"/>
          <w:bCs/>
          <w:color w:val="auto"/>
          <w:sz w:val="24"/>
          <w:szCs w:val="24"/>
          <w:highlight w:val="none"/>
        </w:rPr>
        <w:t>经营期限：</w:t>
      </w:r>
      <w:r>
        <w:rPr>
          <w:rFonts w:hint="eastAsia" w:ascii="宋体" w:hAnsi="宋体" w:eastAsia="宋体" w:cs="宋体"/>
          <w:color w:val="auto"/>
          <w:sz w:val="24"/>
          <w:szCs w:val="24"/>
          <w:highlight w:val="none"/>
          <w:u w:val="single"/>
        </w:rPr>
        <w:t xml:space="preserve">                                                  </w:t>
      </w:r>
    </w:p>
    <w:p>
      <w:pPr>
        <w:spacing w:line="70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姓名：</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性别：</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年龄：</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 xml:space="preserve">            </w:t>
      </w:r>
    </w:p>
    <w:p>
      <w:pPr>
        <w:spacing w:line="700" w:lineRule="exact"/>
        <w:ind w:left="140" w:hanging="120" w:hanging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身份证号码： </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职务：</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 xml:space="preserve">               </w:t>
      </w:r>
    </w:p>
    <w:p>
      <w:pPr>
        <w:spacing w:line="700" w:lineRule="exact"/>
        <w:ind w:left="140" w:hanging="120" w:hanging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系  </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名称）的法定代表人（负责人）。</w:t>
      </w:r>
    </w:p>
    <w:p>
      <w:pPr>
        <w:spacing w:line="700" w:lineRule="exact"/>
        <w:rPr>
          <w:rFonts w:hint="eastAsia" w:ascii="宋体" w:hAnsi="宋体" w:eastAsia="宋体" w:cs="宋体"/>
          <w:bCs/>
          <w:color w:val="auto"/>
          <w:sz w:val="24"/>
          <w:szCs w:val="24"/>
          <w:highlight w:val="none"/>
        </w:rPr>
      </w:pPr>
    </w:p>
    <w:p>
      <w:pPr>
        <w:spacing w:line="520" w:lineRule="exact"/>
        <w:rPr>
          <w:rFonts w:hint="eastAsia" w:ascii="宋体" w:hAnsi="宋体" w:eastAsia="宋体" w:cs="宋体"/>
          <w:bCs/>
          <w:color w:val="auto"/>
          <w:sz w:val="24"/>
          <w:szCs w:val="24"/>
          <w:highlight w:val="none"/>
        </w:rPr>
      </w:pPr>
    </w:p>
    <w:p>
      <w:pPr>
        <w:spacing w:line="52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特此证明。</w:t>
      </w:r>
    </w:p>
    <w:p>
      <w:pPr>
        <w:spacing w:line="520" w:lineRule="exact"/>
        <w:jc w:val="right"/>
        <w:rPr>
          <w:rFonts w:hint="eastAsia" w:ascii="宋体" w:hAnsi="宋体" w:eastAsia="宋体" w:cs="宋体"/>
          <w:bCs/>
          <w:color w:val="auto"/>
          <w:sz w:val="24"/>
          <w:szCs w:val="24"/>
          <w:highlight w:val="none"/>
        </w:rPr>
      </w:pPr>
    </w:p>
    <w:p>
      <w:pPr>
        <w:wordWrap w:val="0"/>
        <w:spacing w:line="520" w:lineRule="exact"/>
        <w:jc w:val="righ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 xml:space="preserve">全称： </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（盖公章）</w:t>
      </w:r>
    </w:p>
    <w:p>
      <w:pPr>
        <w:spacing w:line="520" w:lineRule="exact"/>
        <w:ind w:firstLine="4200" w:firstLineChars="1750"/>
        <w:rPr>
          <w:rFonts w:hint="eastAsia" w:ascii="宋体" w:hAnsi="宋体" w:eastAsia="宋体" w:cs="宋体"/>
          <w:bCs/>
          <w:color w:val="auto"/>
          <w:sz w:val="24"/>
          <w:szCs w:val="24"/>
          <w:highlight w:val="none"/>
        </w:rPr>
      </w:pPr>
    </w:p>
    <w:p>
      <w:pPr>
        <w:spacing w:line="520" w:lineRule="exact"/>
        <w:ind w:firstLine="4200" w:firstLineChars="17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年    月    日</w:t>
      </w:r>
    </w:p>
    <w:p>
      <w:pPr>
        <w:spacing w:line="520" w:lineRule="exact"/>
        <w:rPr>
          <w:rFonts w:hint="eastAsia" w:ascii="宋体" w:hAnsi="宋体" w:eastAsia="宋体" w:cs="宋体"/>
          <w:bCs/>
          <w:color w:val="auto"/>
          <w:sz w:val="24"/>
          <w:szCs w:val="24"/>
          <w:highlight w:val="none"/>
        </w:rPr>
      </w:pPr>
    </w:p>
    <w:p>
      <w:pPr>
        <w:spacing w:line="500" w:lineRule="exact"/>
        <w:jc w:val="center"/>
        <w:rPr>
          <w:rFonts w:hint="eastAsia" w:ascii="宋体" w:hAnsi="宋体" w:eastAsia="宋体" w:cs="宋体"/>
          <w:color w:val="auto"/>
          <w:sz w:val="40"/>
          <w:szCs w:val="40"/>
          <w:highlight w:val="none"/>
        </w:rPr>
      </w:pPr>
    </w:p>
    <w:p>
      <w:pPr>
        <w:spacing w:line="500" w:lineRule="exact"/>
        <w:jc w:val="center"/>
        <w:rPr>
          <w:rFonts w:hint="eastAsia" w:ascii="宋体" w:hAnsi="宋体" w:eastAsia="宋体" w:cs="宋体"/>
          <w:color w:val="auto"/>
          <w:sz w:val="40"/>
          <w:szCs w:val="40"/>
          <w:highlight w:val="none"/>
        </w:rPr>
      </w:pPr>
    </w:p>
    <w:p>
      <w:pPr>
        <w:spacing w:line="500" w:lineRule="exact"/>
        <w:rPr>
          <w:rFonts w:hint="eastAsia" w:ascii="宋体" w:hAnsi="宋体" w:eastAsia="宋体" w:cs="宋体"/>
          <w:color w:val="auto"/>
          <w:sz w:val="40"/>
          <w:szCs w:val="40"/>
          <w:highlight w:val="none"/>
        </w:rPr>
      </w:pPr>
    </w:p>
    <w:p>
      <w:pPr>
        <w:spacing w:line="500" w:lineRule="exact"/>
        <w:rPr>
          <w:rFonts w:hint="eastAsia" w:ascii="宋体" w:hAnsi="宋体" w:eastAsia="宋体" w:cs="宋体"/>
          <w:color w:val="auto"/>
          <w:sz w:val="40"/>
          <w:szCs w:val="40"/>
          <w:highlight w:val="none"/>
        </w:rPr>
      </w:pPr>
    </w:p>
    <w:p>
      <w:pPr>
        <w:pStyle w:val="12"/>
        <w:rPr>
          <w:rFonts w:hint="eastAsia" w:ascii="宋体" w:hAnsi="宋体" w:eastAsia="宋体" w:cs="宋体"/>
          <w:color w:val="auto"/>
          <w:sz w:val="18"/>
          <w:szCs w:val="22"/>
          <w:highlight w:val="none"/>
        </w:rPr>
      </w:pPr>
    </w:p>
    <w:p>
      <w:pPr>
        <w:spacing w:line="520" w:lineRule="exact"/>
        <w:outlineLvl w:val="0"/>
        <w:rPr>
          <w:rFonts w:hint="eastAsia" w:ascii="宋体" w:hAnsi="宋体" w:eastAsia="宋体" w:cs="宋体"/>
          <w:bCs/>
          <w:color w:val="auto"/>
          <w:sz w:val="20"/>
          <w:szCs w:val="22"/>
          <w:highlight w:val="none"/>
        </w:rPr>
      </w:pPr>
      <w:bookmarkStart w:id="101" w:name="_Toc11118"/>
      <w:r>
        <w:rPr>
          <w:rFonts w:hint="eastAsia" w:ascii="宋体" w:hAnsi="宋体" w:eastAsia="宋体" w:cs="宋体"/>
          <w:bCs/>
          <w:color w:val="auto"/>
          <w:sz w:val="20"/>
          <w:szCs w:val="22"/>
          <w:highlight w:val="none"/>
        </w:rPr>
        <w:br w:type="page"/>
      </w:r>
      <w:bookmarkStart w:id="102" w:name="_Toc29138"/>
      <w:bookmarkStart w:id="103" w:name="_Toc20531"/>
      <w:bookmarkStart w:id="104" w:name="_Toc4078"/>
      <w:r>
        <w:rPr>
          <w:rFonts w:hint="eastAsia" w:ascii="宋体" w:hAnsi="宋体" w:eastAsia="宋体" w:cs="宋体"/>
          <w:bCs/>
          <w:color w:val="auto"/>
          <w:sz w:val="20"/>
          <w:szCs w:val="22"/>
          <w:highlight w:val="none"/>
        </w:rPr>
        <w:t>附件十</w:t>
      </w:r>
      <w:r>
        <w:rPr>
          <w:rFonts w:hint="eastAsia" w:ascii="宋体" w:hAnsi="宋体" w:eastAsia="宋体" w:cs="宋体"/>
          <w:bCs/>
          <w:color w:val="auto"/>
          <w:sz w:val="20"/>
          <w:szCs w:val="22"/>
          <w:highlight w:val="none"/>
          <w:lang w:eastAsia="zh-CN"/>
        </w:rPr>
        <w:t>三</w:t>
      </w:r>
      <w:r>
        <w:rPr>
          <w:rFonts w:hint="eastAsia" w:ascii="宋体" w:hAnsi="宋体" w:eastAsia="宋体" w:cs="宋体"/>
          <w:bCs/>
          <w:color w:val="auto"/>
          <w:sz w:val="20"/>
          <w:szCs w:val="22"/>
          <w:highlight w:val="none"/>
        </w:rPr>
        <w:t>：</w:t>
      </w:r>
      <w:bookmarkEnd w:id="101"/>
      <w:bookmarkEnd w:id="102"/>
      <w:bookmarkEnd w:id="103"/>
      <w:bookmarkEnd w:id="104"/>
    </w:p>
    <w:p>
      <w:pPr>
        <w:spacing w:line="500" w:lineRule="exact"/>
        <w:jc w:val="center"/>
        <w:rPr>
          <w:rFonts w:hint="eastAsia" w:ascii="宋体" w:hAnsi="宋体" w:eastAsia="宋体" w:cs="宋体"/>
          <w:b/>
          <w:bCs/>
          <w:color w:val="auto"/>
          <w:sz w:val="40"/>
          <w:szCs w:val="40"/>
          <w:highlight w:val="none"/>
        </w:rPr>
      </w:pPr>
    </w:p>
    <w:p>
      <w:pPr>
        <w:spacing w:line="500" w:lineRule="exact"/>
        <w:jc w:val="center"/>
        <w:rPr>
          <w:rFonts w:hint="eastAsia" w:ascii="宋体" w:hAnsi="宋体" w:eastAsia="宋体" w:cs="宋体"/>
          <w:b/>
          <w:bCs/>
          <w:color w:val="auto"/>
          <w:sz w:val="40"/>
          <w:szCs w:val="40"/>
          <w:highlight w:val="none"/>
        </w:rPr>
      </w:pPr>
      <w:r>
        <w:rPr>
          <w:rFonts w:hint="eastAsia" w:ascii="宋体" w:hAnsi="宋体" w:eastAsia="宋体" w:cs="宋体"/>
          <w:b/>
          <w:bCs/>
          <w:color w:val="auto"/>
          <w:sz w:val="40"/>
          <w:szCs w:val="40"/>
          <w:highlight w:val="none"/>
        </w:rPr>
        <w:t>授权委托书</w:t>
      </w:r>
    </w:p>
    <w:p>
      <w:pPr>
        <w:pStyle w:val="9"/>
        <w:rPr>
          <w:rFonts w:hint="eastAsia" w:ascii="宋体" w:hAnsi="宋体" w:eastAsia="宋体" w:cs="宋体"/>
          <w:color w:val="auto"/>
          <w:sz w:val="20"/>
          <w:szCs w:val="18"/>
          <w:highlight w:val="none"/>
        </w:rPr>
      </w:pPr>
    </w:p>
    <w:p>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致</w:t>
      </w:r>
      <w:r>
        <w:rPr>
          <w:rFonts w:hint="eastAsia" w:ascii="宋体" w:hAnsi="宋体" w:cs="宋体"/>
          <w:color w:val="auto"/>
          <w:sz w:val="22"/>
          <w:szCs w:val="22"/>
          <w:highlight w:val="none"/>
          <w:u w:val="single"/>
          <w:lang w:eastAsia="zh-CN"/>
        </w:rPr>
        <w:t>台州市椒江区人民政府前所街道办事处</w:t>
      </w:r>
      <w:r>
        <w:rPr>
          <w:rFonts w:hint="eastAsia" w:ascii="宋体" w:hAnsi="宋体" w:eastAsia="宋体" w:cs="宋体"/>
          <w:color w:val="auto"/>
          <w:sz w:val="22"/>
          <w:szCs w:val="22"/>
          <w:highlight w:val="none"/>
        </w:rPr>
        <w:t>：</w:t>
      </w:r>
    </w:p>
    <w:p>
      <w:pPr>
        <w:snapToGrid w:val="0"/>
        <w:spacing w:before="156" w:beforeLines="50" w:after="50"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（姓名）系</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名称）的法定代表人（负责人），现授权委托本单位在职职工</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（姓名）以我方的名义参加</w:t>
      </w:r>
      <w:r>
        <w:rPr>
          <w:rFonts w:hint="eastAsia" w:ascii="宋体" w:hAnsi="宋体" w:cs="宋体"/>
          <w:color w:val="auto"/>
          <w:sz w:val="22"/>
          <w:szCs w:val="22"/>
          <w:highlight w:val="none"/>
          <w:u w:val="single"/>
          <w:lang w:eastAsia="zh-CN"/>
        </w:rPr>
        <w:t>椒江区前所街道圆山社区党群服务中心设计施工一体化项目</w:t>
      </w:r>
      <w:r>
        <w:rPr>
          <w:rFonts w:hint="eastAsia" w:ascii="宋体" w:hAnsi="宋体" w:eastAsia="宋体" w:cs="宋体"/>
          <w:color w:val="auto"/>
          <w:sz w:val="22"/>
          <w:szCs w:val="22"/>
          <w:highlight w:val="none"/>
          <w:u w:val="single"/>
          <w:lang w:eastAsia="zh-CN"/>
        </w:rPr>
        <w:t>（项目编号：</w:t>
      </w:r>
      <w:r>
        <w:rPr>
          <w:rFonts w:hint="eastAsia" w:ascii="宋体" w:hAnsi="宋体" w:cs="宋体"/>
          <w:color w:val="auto"/>
          <w:sz w:val="22"/>
          <w:szCs w:val="22"/>
          <w:highlight w:val="none"/>
          <w:u w:val="single"/>
          <w:lang w:eastAsia="zh-CN"/>
        </w:rPr>
        <w:t>YHZB-2023-0601</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rPr>
        <w:t>的投标活动，并代表我方全权办理针对上述项目的投标、开标、评标、签约等具体事务和签署相关文件。</w:t>
      </w:r>
    </w:p>
    <w:p>
      <w:pPr>
        <w:snapToGrid w:val="0"/>
        <w:spacing w:before="156" w:beforeLines="50" w:after="50"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我方对委托代理人的签名负全部责任。</w:t>
      </w:r>
    </w:p>
    <w:p>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委托期限：</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。委托代理人在授权书有效期内签署的所有文件不因授权的撤销而失效。</w:t>
      </w:r>
    </w:p>
    <w:p>
      <w:pPr>
        <w:snapToGrid w:val="0"/>
        <w:spacing w:before="156" w:beforeLines="50" w:after="50"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委托代理人无转委托权，特此委托。</w:t>
      </w:r>
    </w:p>
    <w:p>
      <w:pPr>
        <w:spacing w:line="500" w:lineRule="exact"/>
        <w:ind w:firstLine="2760" w:firstLineChars="1150"/>
        <w:rPr>
          <w:rFonts w:hint="eastAsia" w:ascii="宋体" w:hAnsi="宋体" w:eastAsia="宋体" w:cs="宋体"/>
          <w:color w:val="auto"/>
          <w:sz w:val="24"/>
          <w:szCs w:val="24"/>
          <w:highlight w:val="none"/>
        </w:rPr>
      </w:pPr>
    </w:p>
    <w:p>
      <w:pPr>
        <w:spacing w:line="500" w:lineRule="exact"/>
        <w:ind w:firstLine="2420" w:firstLineChars="1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 xml:space="preserve">全称： </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（盖公章）</w:t>
      </w:r>
    </w:p>
    <w:p>
      <w:pPr>
        <w:spacing w:line="5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法定代表人（负责人）：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（签字或盖章）</w:t>
      </w:r>
    </w:p>
    <w:p>
      <w:pPr>
        <w:spacing w:line="500" w:lineRule="exact"/>
        <w:ind w:firstLine="2420" w:firstLineChars="1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身份证号码：</w:t>
      </w:r>
      <w:r>
        <w:rPr>
          <w:rFonts w:hint="eastAsia" w:ascii="宋体" w:hAnsi="宋体" w:eastAsia="宋体" w:cs="宋体"/>
          <w:color w:val="auto"/>
          <w:sz w:val="22"/>
          <w:szCs w:val="22"/>
          <w:highlight w:val="none"/>
          <w:u w:val="single"/>
        </w:rPr>
        <w:t xml:space="preserve">                                     </w:t>
      </w:r>
    </w:p>
    <w:p>
      <w:pPr>
        <w:spacing w:line="52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pPr>
        <w:spacing w:line="52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pPr>
        <w:spacing w:line="420" w:lineRule="exact"/>
        <w:ind w:firstLine="156" w:firstLineChars="71"/>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附：</w:t>
      </w:r>
    </w:p>
    <w:p>
      <w:pPr>
        <w:spacing w:line="420" w:lineRule="exact"/>
        <w:ind w:firstLine="560"/>
        <w:rPr>
          <w:rFonts w:hint="eastAsia" w:ascii="宋体" w:hAnsi="宋体" w:eastAsia="宋体" w:cs="宋体"/>
          <w:color w:val="auto"/>
          <w:sz w:val="22"/>
          <w:szCs w:val="22"/>
          <w:highlight w:val="none"/>
        </w:rPr>
      </w:pPr>
    </w:p>
    <w:p>
      <w:pPr>
        <w:spacing w:line="420" w:lineRule="exact"/>
        <w:ind w:firstLine="56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委托代理人姓名：  </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w:t>
      </w:r>
    </w:p>
    <w:p>
      <w:pPr>
        <w:spacing w:line="420" w:lineRule="exact"/>
        <w:ind w:firstLine="56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身份证号码：  </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w:t>
      </w:r>
    </w:p>
    <w:p>
      <w:pPr>
        <w:spacing w:line="420" w:lineRule="exact"/>
        <w:ind w:firstLine="56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联系电话： </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w:t>
      </w:r>
    </w:p>
    <w:p>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pPr>
        <w:spacing w:line="460" w:lineRule="exact"/>
        <w:rPr>
          <w:rFonts w:hint="eastAsia" w:ascii="宋体" w:hAnsi="宋体" w:eastAsia="宋体" w:cs="宋体"/>
          <w:color w:val="auto"/>
          <w:sz w:val="22"/>
          <w:szCs w:val="22"/>
          <w:highlight w:val="none"/>
        </w:rPr>
      </w:pPr>
    </w:p>
    <w:p>
      <w:pPr>
        <w:spacing w:line="52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年     月    日</w:t>
      </w:r>
    </w:p>
    <w:p>
      <w:pPr>
        <w:spacing w:line="420" w:lineRule="exact"/>
        <w:ind w:firstLine="156" w:firstLineChars="71"/>
        <w:rPr>
          <w:rFonts w:hint="eastAsia" w:ascii="宋体" w:hAnsi="宋体" w:eastAsia="宋体" w:cs="宋体"/>
          <w:color w:val="auto"/>
          <w:sz w:val="22"/>
          <w:szCs w:val="22"/>
          <w:highlight w:val="none"/>
        </w:rPr>
      </w:pPr>
    </w:p>
    <w:p>
      <w:pPr>
        <w:spacing w:line="460" w:lineRule="exac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Start w:id="105" w:name="_Toc24745"/>
      <w:bookmarkStart w:id="106" w:name="_Toc10886"/>
      <w:r>
        <w:rPr>
          <w:rFonts w:hint="eastAsia" w:ascii="宋体" w:hAnsi="宋体" w:eastAsia="宋体" w:cs="宋体"/>
          <w:bCs/>
          <w:color w:val="auto"/>
          <w:sz w:val="20"/>
          <w:szCs w:val="22"/>
          <w:highlight w:val="none"/>
        </w:rPr>
        <w:t>附件十</w:t>
      </w:r>
      <w:r>
        <w:rPr>
          <w:rFonts w:hint="eastAsia" w:ascii="宋体" w:hAnsi="宋体" w:eastAsia="宋体" w:cs="宋体"/>
          <w:bCs/>
          <w:color w:val="auto"/>
          <w:sz w:val="20"/>
          <w:szCs w:val="22"/>
          <w:highlight w:val="none"/>
          <w:lang w:eastAsia="zh-CN"/>
        </w:rPr>
        <w:t>四</w:t>
      </w:r>
      <w:r>
        <w:rPr>
          <w:rFonts w:hint="eastAsia" w:ascii="宋体" w:hAnsi="宋体" w:eastAsia="宋体" w:cs="宋体"/>
          <w:bCs/>
          <w:color w:val="auto"/>
          <w:sz w:val="20"/>
          <w:szCs w:val="22"/>
          <w:highlight w:val="none"/>
        </w:rPr>
        <w:t>：</w:t>
      </w:r>
      <w:bookmarkEnd w:id="105"/>
      <w:bookmarkEnd w:id="106"/>
    </w:p>
    <w:p>
      <w:pPr>
        <w:keepNext w:val="0"/>
        <w:keepLines w:val="0"/>
        <w:pageBreakBefore w:val="0"/>
        <w:widowControl w:val="0"/>
        <w:kinsoku/>
        <w:wordWrap/>
        <w:overflowPunct/>
        <w:topLinePunct w:val="0"/>
        <w:autoSpaceDE/>
        <w:autoSpaceDN/>
        <w:bidi w:val="0"/>
        <w:adjustRightInd/>
        <w:snapToGrid/>
        <w:spacing w:line="360" w:lineRule="auto"/>
        <w:ind w:left="25" w:leftChars="-150" w:right="-296" w:rightChars="-141" w:hanging="340" w:hangingChars="121"/>
        <w:jc w:val="center"/>
        <w:textAlignment w:val="auto"/>
        <w:rPr>
          <w:rFonts w:hint="eastAsia"/>
          <w:color w:val="auto"/>
          <w:sz w:val="20"/>
          <w:szCs w:val="22"/>
          <w:highlight w:val="none"/>
        </w:rPr>
      </w:pPr>
      <w:r>
        <w:rPr>
          <w:rFonts w:hint="eastAsia" w:ascii="宋体" w:hAnsi="宋体" w:eastAsia="宋体" w:cs="宋体"/>
          <w:b/>
          <w:bCs/>
          <w:color w:val="auto"/>
          <w:sz w:val="28"/>
          <w:szCs w:val="32"/>
          <w:highlight w:val="none"/>
          <w:lang w:val="en-US" w:eastAsia="zh-CN"/>
        </w:rPr>
        <w:t>供应商基本情况</w:t>
      </w:r>
      <w:r>
        <w:rPr>
          <w:rFonts w:hint="eastAsia" w:ascii="宋体" w:hAnsi="宋体" w:eastAsia="宋体" w:cs="宋体"/>
          <w:b/>
          <w:bCs/>
          <w:color w:val="auto"/>
          <w:sz w:val="28"/>
          <w:szCs w:val="32"/>
          <w:highlight w:val="none"/>
        </w:rPr>
        <w:t>一览表</w:t>
      </w:r>
    </w:p>
    <w:p>
      <w:pPr>
        <w:pStyle w:val="16"/>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olor w:val="auto"/>
          <w:sz w:val="20"/>
          <w:szCs w:val="22"/>
          <w:highlight w:val="none"/>
          <w:u w:val="single"/>
          <w:lang w:val="en-US" w:eastAsia="zh-CN"/>
        </w:rPr>
      </w:pPr>
      <w:r>
        <w:rPr>
          <w:rFonts w:hint="eastAsia" w:ascii="宋体" w:hAnsi="宋体" w:eastAsia="宋体" w:cs="宋体"/>
          <w:b/>
          <w:bCs/>
          <w:color w:val="auto"/>
          <w:sz w:val="22"/>
          <w:szCs w:val="22"/>
          <w:highlight w:val="none"/>
        </w:rPr>
        <w:t>项目名称：</w:t>
      </w:r>
      <w:r>
        <w:rPr>
          <w:rFonts w:hint="eastAsia" w:hAnsi="宋体" w:cs="宋体"/>
          <w:bCs/>
          <w:color w:val="auto"/>
          <w:sz w:val="22"/>
          <w:szCs w:val="22"/>
          <w:highlight w:val="none"/>
          <w:u w:val="single"/>
          <w:lang w:eastAsia="zh-CN"/>
        </w:rPr>
        <w:t>椒江区前所街道圆山社区党群服务中心设计施工一体化项目</w:t>
      </w:r>
      <w:r>
        <w:rPr>
          <w:rFonts w:hint="eastAsia" w:ascii="宋体" w:hAnsi="宋体" w:eastAsia="宋体" w:cs="宋体"/>
          <w:bCs/>
          <w:color w:val="auto"/>
          <w:sz w:val="22"/>
          <w:szCs w:val="22"/>
          <w:highlight w:val="none"/>
          <w:u w:val="none"/>
          <w:lang w:val="en-US" w:eastAsia="zh-CN"/>
        </w:rPr>
        <w:t xml:space="preserve">      </w:t>
      </w:r>
      <w:r>
        <w:rPr>
          <w:rFonts w:hint="eastAsia" w:ascii="宋体" w:hAnsi="宋体" w:eastAsia="宋体" w:cs="宋体"/>
          <w:b/>
          <w:bCs w:val="0"/>
          <w:color w:val="auto"/>
          <w:sz w:val="22"/>
          <w:szCs w:val="22"/>
          <w:highlight w:val="none"/>
          <w:lang w:val="en-US" w:eastAsia="zh-CN"/>
        </w:rPr>
        <w:t>项目编号：</w:t>
      </w:r>
      <w:r>
        <w:rPr>
          <w:rFonts w:hint="eastAsia" w:hAnsi="宋体" w:cs="宋体"/>
          <w:bCs/>
          <w:color w:val="auto"/>
          <w:sz w:val="22"/>
          <w:szCs w:val="22"/>
          <w:highlight w:val="none"/>
          <w:u w:val="single"/>
          <w:lang w:val="en-US" w:eastAsia="zh-CN"/>
        </w:rPr>
        <w:t>YHZB-2023-0601</w:t>
      </w:r>
    </w:p>
    <w:tbl>
      <w:tblPr>
        <w:tblStyle w:val="27"/>
        <w:tblW w:w="958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56"/>
        <w:gridCol w:w="701"/>
        <w:gridCol w:w="1620"/>
        <w:gridCol w:w="1658"/>
        <w:gridCol w:w="2001"/>
        <w:gridCol w:w="21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1456"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名称</w:t>
            </w:r>
          </w:p>
        </w:tc>
        <w:tc>
          <w:tcPr>
            <w:tcW w:w="3979" w:type="dxa"/>
            <w:gridSpan w:val="3"/>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200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法人代表</w:t>
            </w:r>
          </w:p>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（单位负责人）</w:t>
            </w:r>
          </w:p>
        </w:tc>
        <w:tc>
          <w:tcPr>
            <w:tcW w:w="215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456"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地址</w:t>
            </w:r>
          </w:p>
        </w:tc>
        <w:tc>
          <w:tcPr>
            <w:tcW w:w="3979" w:type="dxa"/>
            <w:gridSpan w:val="3"/>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200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企业性质</w:t>
            </w:r>
          </w:p>
        </w:tc>
        <w:tc>
          <w:tcPr>
            <w:tcW w:w="215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1456"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联系人姓名</w:t>
            </w:r>
          </w:p>
        </w:tc>
        <w:tc>
          <w:tcPr>
            <w:tcW w:w="3979" w:type="dxa"/>
            <w:gridSpan w:val="3"/>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200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固定电话</w:t>
            </w:r>
          </w:p>
        </w:tc>
        <w:tc>
          <w:tcPr>
            <w:tcW w:w="215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98" w:hRule="atLeast"/>
          <w:jc w:val="center"/>
        </w:trPr>
        <w:tc>
          <w:tcPr>
            <w:tcW w:w="1456" w:type="dxa"/>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w:t>
            </w:r>
          </w:p>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业</w:t>
            </w:r>
          </w:p>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概</w:t>
            </w:r>
          </w:p>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况</w:t>
            </w:r>
          </w:p>
        </w:tc>
        <w:tc>
          <w:tcPr>
            <w:tcW w:w="70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企业资质</w:t>
            </w:r>
          </w:p>
        </w:tc>
        <w:tc>
          <w:tcPr>
            <w:tcW w:w="7430" w:type="dxa"/>
            <w:gridSpan w:val="4"/>
            <w:tcBorders>
              <w:tl2br w:val="nil"/>
              <w:tr2bl w:val="nil"/>
            </w:tcBorders>
            <w:noWrap w:val="0"/>
            <w:vAlign w:val="center"/>
          </w:tcPr>
          <w:p>
            <w:pPr>
              <w:keepNext w:val="0"/>
              <w:keepLines w:val="0"/>
              <w:suppressLineNumbers w:val="0"/>
              <w:spacing w:before="0" w:beforeAutospacing="0" w:after="0" w:afterAutospacing="0"/>
              <w:ind w:left="0" w:right="0"/>
              <w:jc w:val="left"/>
              <w:rPr>
                <w:rFonts w:hint="eastAsia" w:ascii="宋体" w:hAnsi="宋体" w:eastAsia="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98" w:hRule="atLeast"/>
          <w:jc w:val="center"/>
        </w:trPr>
        <w:tc>
          <w:tcPr>
            <w:tcW w:w="1456"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70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职工人数</w:t>
            </w:r>
          </w:p>
        </w:tc>
        <w:tc>
          <w:tcPr>
            <w:tcW w:w="7430" w:type="dxa"/>
            <w:gridSpan w:val="4"/>
            <w:tcBorders>
              <w:tl2br w:val="nil"/>
              <w:tr2bl w:val="nil"/>
            </w:tcBorders>
            <w:noWrap w:val="0"/>
            <w:vAlign w:val="center"/>
          </w:tcPr>
          <w:p>
            <w:pPr>
              <w:keepNext w:val="0"/>
              <w:keepLines w:val="0"/>
              <w:suppressLineNumbers w:val="0"/>
              <w:spacing w:before="0" w:beforeAutospacing="0" w:after="0" w:afterAutospacing="0"/>
              <w:ind w:left="0" w:right="0"/>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职工总数</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lang w:val="en-US" w:eastAsia="zh-CN"/>
              </w:rPr>
              <w:t>人，其中</w:t>
            </w:r>
            <w:r>
              <w:rPr>
                <w:rFonts w:hint="default" w:ascii="宋体" w:hAnsi="宋体" w:eastAsia="宋体" w:cs="宋体"/>
                <w:color w:val="auto"/>
                <w:sz w:val="22"/>
                <w:szCs w:val="22"/>
                <w:highlight w:val="none"/>
                <w:lang w:val="en-US" w:eastAsia="zh-CN"/>
              </w:rPr>
              <w:t>中级职称的</w:t>
            </w:r>
            <w:r>
              <w:rPr>
                <w:rFonts w:hint="eastAsia" w:ascii="宋体" w:hAnsi="宋体" w:eastAsia="宋体" w:cs="宋体"/>
                <w:color w:val="auto"/>
                <w:sz w:val="22"/>
                <w:szCs w:val="22"/>
                <w:highlight w:val="none"/>
                <w:lang w:val="en-US" w:eastAsia="zh-CN"/>
              </w:rPr>
              <w:t>专业技术人员</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lang w:val="en-US" w:eastAsia="zh-CN"/>
              </w:rPr>
              <w:t>人 ，高级及</w:t>
            </w:r>
            <w:r>
              <w:rPr>
                <w:rFonts w:hint="default" w:ascii="宋体" w:hAnsi="宋体" w:eastAsia="宋体" w:cs="宋体"/>
                <w:color w:val="auto"/>
                <w:sz w:val="22"/>
                <w:szCs w:val="22"/>
                <w:highlight w:val="none"/>
                <w:lang w:val="en-US" w:eastAsia="zh-CN"/>
              </w:rPr>
              <w:t>以上</w:t>
            </w:r>
            <w:r>
              <w:rPr>
                <w:rFonts w:hint="eastAsia" w:ascii="宋体" w:hAnsi="宋体" w:eastAsia="宋体" w:cs="宋体"/>
                <w:color w:val="auto"/>
                <w:sz w:val="22"/>
                <w:szCs w:val="22"/>
                <w:highlight w:val="none"/>
                <w:lang w:val="en-US" w:eastAsia="zh-CN"/>
              </w:rPr>
              <w:t>职称证书</w:t>
            </w:r>
            <w:r>
              <w:rPr>
                <w:rFonts w:hint="default" w:ascii="宋体" w:hAnsi="宋体" w:eastAsia="宋体" w:cs="宋体"/>
                <w:color w:val="auto"/>
                <w:sz w:val="22"/>
                <w:szCs w:val="22"/>
                <w:highlight w:val="none"/>
                <w:lang w:val="en-US" w:eastAsia="zh-CN"/>
              </w:rPr>
              <w:t>的</w:t>
            </w:r>
            <w:r>
              <w:rPr>
                <w:rFonts w:hint="eastAsia" w:ascii="宋体" w:hAnsi="宋体" w:eastAsia="宋体" w:cs="宋体"/>
                <w:color w:val="auto"/>
                <w:sz w:val="22"/>
                <w:szCs w:val="22"/>
                <w:highlight w:val="none"/>
                <w:lang w:val="en-US" w:eastAsia="zh-CN"/>
              </w:rPr>
              <w:t>专业技术人员</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lang w:val="en-US" w:eastAsia="zh-CN"/>
              </w:rPr>
              <w:t>人 ，注册人员</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lang w:val="en-US" w:eastAsia="zh-CN"/>
              </w:rPr>
              <w:t>人，人员专业覆盖</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1456"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70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建筑</w:t>
            </w:r>
          </w:p>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面积</w:t>
            </w:r>
          </w:p>
        </w:tc>
        <w:tc>
          <w:tcPr>
            <w:tcW w:w="162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平方米</w:t>
            </w:r>
          </w:p>
        </w:tc>
        <w:tc>
          <w:tcPr>
            <w:tcW w:w="1658"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□自有□租赁</w:t>
            </w:r>
          </w:p>
        </w:tc>
        <w:tc>
          <w:tcPr>
            <w:tcW w:w="200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企业成立时间</w:t>
            </w:r>
          </w:p>
        </w:tc>
        <w:tc>
          <w:tcPr>
            <w:tcW w:w="215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1456"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701"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核准经营范围</w:t>
            </w:r>
          </w:p>
        </w:tc>
        <w:tc>
          <w:tcPr>
            <w:tcW w:w="7430" w:type="dxa"/>
            <w:gridSpan w:val="4"/>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456"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8131" w:type="dxa"/>
            <w:gridSpan w:val="5"/>
            <w:tcBorders>
              <w:tl2br w:val="nil"/>
              <w:tr2bl w:val="nil"/>
            </w:tcBorders>
            <w:noWrap w:val="0"/>
            <w:vAlign w:val="center"/>
          </w:tcPr>
          <w:p>
            <w:pPr>
              <w:keepNext w:val="0"/>
              <w:keepLines w:val="0"/>
              <w:suppressLineNumbers w:val="0"/>
              <w:spacing w:before="0" w:beforeAutospacing="0" w:after="0" w:afterAutospacing="0"/>
              <w:ind w:left="0" w:right="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发展历程及主要荣誉：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13" w:hRule="atLeast"/>
          <w:jc w:val="center"/>
        </w:trPr>
        <w:tc>
          <w:tcPr>
            <w:tcW w:w="1456"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企业综合情况介绍</w:t>
            </w:r>
          </w:p>
        </w:tc>
        <w:tc>
          <w:tcPr>
            <w:tcW w:w="8131" w:type="dxa"/>
            <w:gridSpan w:val="5"/>
            <w:tcBorders>
              <w:tl2br w:val="nil"/>
              <w:tr2bl w:val="nil"/>
            </w:tcBorders>
            <w:noWrap w:val="0"/>
            <w:vAlign w:val="center"/>
          </w:tcPr>
          <w:p>
            <w:pPr>
              <w:keepNext w:val="0"/>
              <w:keepLines w:val="0"/>
              <w:suppressLineNumbers w:val="0"/>
              <w:spacing w:before="0" w:beforeAutospacing="0" w:after="0" w:afterAutospacing="0"/>
              <w:ind w:left="0" w:right="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如企业规模、经营业绩、人员与技术力量情况等</w:t>
            </w:r>
          </w:p>
        </w:tc>
      </w:tr>
    </w:tbl>
    <w:p>
      <w:pPr>
        <w:keepNext w:val="0"/>
        <w:keepLines w:val="0"/>
        <w:pageBreakBefore w:val="0"/>
        <w:widowControl w:val="0"/>
        <w:kinsoku/>
        <w:wordWrap/>
        <w:overflowPunct/>
        <w:topLinePunct w:val="0"/>
        <w:autoSpaceDE/>
        <w:autoSpaceDN/>
        <w:bidi w:val="0"/>
        <w:adjustRightInd/>
        <w:snapToGrid/>
        <w:spacing w:line="360" w:lineRule="auto"/>
        <w:ind w:firstLine="208" w:firstLineChars="100"/>
        <w:textAlignment w:val="auto"/>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说明：表格中行数不够用时可按相同格式增加行数，其他一切内容和格式不得更改。</w:t>
      </w:r>
    </w:p>
    <w:p>
      <w:pPr>
        <w:pStyle w:val="9"/>
        <w:rPr>
          <w:rFonts w:hint="eastAsia" w:ascii="宋体" w:hAnsi="宋体" w:eastAsia="宋体" w:cs="宋体"/>
          <w:color w:val="auto"/>
          <w:sz w:val="21"/>
          <w:szCs w:val="18"/>
          <w:highlight w:val="none"/>
        </w:rPr>
      </w:pPr>
    </w:p>
    <w:p>
      <w:pPr>
        <w:spacing w:line="460" w:lineRule="exact"/>
        <w:ind w:firstLine="2750" w:firstLineChars="125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全称：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（盖公章）</w:t>
      </w:r>
    </w:p>
    <w:p>
      <w:pPr>
        <w:spacing w:line="460" w:lineRule="exact"/>
        <w:ind w:firstLine="1815" w:firstLineChars="825"/>
        <w:jc w:val="right"/>
        <w:rPr>
          <w:rFonts w:hint="eastAsia" w:ascii="宋体" w:hAnsi="宋体" w:eastAsia="宋体" w:cs="宋体"/>
          <w:color w:val="auto"/>
          <w:sz w:val="22"/>
          <w:szCs w:val="22"/>
          <w:highlight w:val="none"/>
          <w:u w:val="single"/>
        </w:rPr>
      </w:pPr>
    </w:p>
    <w:p>
      <w:pPr>
        <w:spacing w:line="460" w:lineRule="exact"/>
        <w:ind w:firstLine="1210" w:firstLineChars="55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法定代表人</w:t>
      </w:r>
      <w:r>
        <w:rPr>
          <w:rFonts w:hint="eastAsia" w:ascii="宋体" w:hAnsi="宋体" w:eastAsia="宋体" w:cs="宋体"/>
          <w:i/>
          <w:color w:val="auto"/>
          <w:sz w:val="22"/>
          <w:szCs w:val="22"/>
          <w:highlight w:val="none"/>
        </w:rPr>
        <w:t>（负责人）</w:t>
      </w:r>
      <w:r>
        <w:rPr>
          <w:rFonts w:hint="eastAsia" w:ascii="宋体" w:hAnsi="宋体" w:eastAsia="宋体" w:cs="宋体"/>
          <w:color w:val="auto"/>
          <w:sz w:val="22"/>
          <w:szCs w:val="22"/>
          <w:highlight w:val="none"/>
        </w:rPr>
        <w:t>或委托代理人：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（签字或盖章）</w:t>
      </w:r>
    </w:p>
    <w:p>
      <w:pPr>
        <w:spacing w:line="46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年    月    日</w:t>
      </w:r>
    </w:p>
    <w:p>
      <w:pPr>
        <w:spacing w:line="460" w:lineRule="exact"/>
        <w:outlineLvl w:val="0"/>
        <w:rPr>
          <w:rFonts w:hint="eastAsia" w:ascii="宋体" w:hAnsi="宋体" w:eastAsia="宋体" w:cs="宋体"/>
          <w:bCs/>
          <w:color w:val="auto"/>
          <w:sz w:val="20"/>
          <w:szCs w:val="22"/>
          <w:highlight w:val="none"/>
        </w:rPr>
      </w:pPr>
      <w:r>
        <w:rPr>
          <w:rFonts w:hint="eastAsia" w:ascii="宋体" w:hAnsi="宋体" w:eastAsia="宋体" w:cs="宋体"/>
          <w:color w:val="auto"/>
          <w:sz w:val="24"/>
          <w:szCs w:val="24"/>
          <w:highlight w:val="none"/>
        </w:rPr>
        <w:br w:type="page"/>
      </w:r>
      <w:bookmarkStart w:id="107" w:name="_Toc6306"/>
      <w:bookmarkStart w:id="108" w:name="_Toc19224"/>
      <w:r>
        <w:rPr>
          <w:rFonts w:hint="eastAsia" w:ascii="宋体" w:hAnsi="宋体" w:eastAsia="宋体" w:cs="宋体"/>
          <w:bCs/>
          <w:color w:val="auto"/>
          <w:sz w:val="20"/>
          <w:szCs w:val="22"/>
          <w:highlight w:val="none"/>
        </w:rPr>
        <w:t>附件十</w:t>
      </w:r>
      <w:r>
        <w:rPr>
          <w:rFonts w:hint="eastAsia" w:ascii="宋体" w:hAnsi="宋体" w:eastAsia="宋体" w:cs="宋体"/>
          <w:bCs/>
          <w:color w:val="auto"/>
          <w:sz w:val="20"/>
          <w:szCs w:val="22"/>
          <w:highlight w:val="none"/>
          <w:lang w:val="en-US" w:eastAsia="zh-CN"/>
        </w:rPr>
        <w:t>五</w:t>
      </w:r>
      <w:r>
        <w:rPr>
          <w:rFonts w:hint="eastAsia" w:ascii="宋体" w:hAnsi="宋体" w:eastAsia="宋体" w:cs="宋体"/>
          <w:bCs/>
          <w:color w:val="auto"/>
          <w:sz w:val="20"/>
          <w:szCs w:val="22"/>
          <w:highlight w:val="none"/>
        </w:rPr>
        <w:t>：</w:t>
      </w:r>
      <w:bookmarkEnd w:id="107"/>
      <w:bookmarkEnd w:id="108"/>
    </w:p>
    <w:p>
      <w:pPr>
        <w:pStyle w:val="16"/>
        <w:jc w:val="center"/>
        <w:rPr>
          <w:rFonts w:hint="eastAsia" w:ascii="宋体" w:hAnsi="宋体" w:eastAsia="宋体" w:cs="宋体"/>
          <w:b/>
          <w:color w:val="auto"/>
          <w:sz w:val="32"/>
          <w:szCs w:val="32"/>
          <w:highlight w:val="none"/>
          <w:lang w:val="en-US" w:eastAsia="zh-CN"/>
        </w:rPr>
      </w:pPr>
      <w:bookmarkStart w:id="109" w:name="_Toc461031912"/>
      <w:r>
        <w:rPr>
          <w:rFonts w:hint="eastAsia" w:ascii="宋体" w:hAnsi="宋体" w:eastAsia="宋体" w:cs="宋体"/>
          <w:b/>
          <w:color w:val="auto"/>
          <w:sz w:val="32"/>
          <w:szCs w:val="32"/>
          <w:highlight w:val="none"/>
          <w:lang w:val="en-US" w:eastAsia="zh-CN"/>
        </w:rPr>
        <w:t>拟派项目负责人</w:t>
      </w:r>
      <w:r>
        <w:rPr>
          <w:rFonts w:hint="eastAsia" w:hAnsi="宋体" w:cs="宋体"/>
          <w:b/>
          <w:color w:val="auto"/>
          <w:sz w:val="32"/>
          <w:szCs w:val="32"/>
          <w:highlight w:val="none"/>
          <w:lang w:val="en-US" w:eastAsia="zh-CN"/>
        </w:rPr>
        <w:t>/</w:t>
      </w:r>
      <w:r>
        <w:rPr>
          <w:rFonts w:hint="eastAsia" w:ascii="宋体" w:hAnsi="宋体" w:eastAsia="宋体" w:cs="宋体"/>
          <w:b/>
          <w:color w:val="auto"/>
          <w:sz w:val="32"/>
          <w:szCs w:val="32"/>
          <w:highlight w:val="none"/>
          <w:lang w:val="en-US" w:eastAsia="zh-CN"/>
        </w:rPr>
        <w:t>设计负责人简历表</w:t>
      </w:r>
      <w:bookmarkEnd w:id="109"/>
    </w:p>
    <w:p>
      <w:pPr>
        <w:pStyle w:val="26"/>
        <w:rPr>
          <w:rFonts w:hint="eastAsia"/>
          <w:color w:val="auto"/>
          <w:sz w:val="18"/>
          <w:szCs w:val="20"/>
          <w:lang w:val="en-US" w:eastAsia="zh-CN"/>
        </w:rPr>
      </w:pPr>
    </w:p>
    <w:p>
      <w:pPr>
        <w:pStyle w:val="16"/>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olor w:val="auto"/>
          <w:sz w:val="20"/>
          <w:szCs w:val="22"/>
          <w:highlight w:val="none"/>
          <w:u w:val="single"/>
          <w:lang w:val="en-US" w:eastAsia="zh-CN"/>
        </w:rPr>
      </w:pPr>
      <w:r>
        <w:rPr>
          <w:rFonts w:hint="eastAsia" w:ascii="宋体" w:hAnsi="宋体" w:eastAsia="宋体" w:cs="宋体"/>
          <w:b/>
          <w:bCs/>
          <w:color w:val="auto"/>
          <w:sz w:val="22"/>
          <w:szCs w:val="22"/>
          <w:highlight w:val="none"/>
        </w:rPr>
        <w:t>项目名称：</w:t>
      </w:r>
      <w:r>
        <w:rPr>
          <w:rFonts w:hint="eastAsia" w:hAnsi="宋体" w:cs="宋体"/>
          <w:bCs/>
          <w:color w:val="auto"/>
          <w:sz w:val="22"/>
          <w:szCs w:val="22"/>
          <w:highlight w:val="none"/>
          <w:u w:val="single"/>
          <w:lang w:eastAsia="zh-CN"/>
        </w:rPr>
        <w:t>椒江区前所街道圆山社区党群服务中心设计施工一体化项目</w:t>
      </w:r>
      <w:r>
        <w:rPr>
          <w:rFonts w:hint="eastAsia" w:ascii="宋体" w:hAnsi="宋体" w:eastAsia="宋体" w:cs="宋体"/>
          <w:bCs/>
          <w:color w:val="auto"/>
          <w:sz w:val="22"/>
          <w:szCs w:val="22"/>
          <w:highlight w:val="none"/>
          <w:u w:val="none"/>
          <w:lang w:val="en-US" w:eastAsia="zh-CN"/>
        </w:rPr>
        <w:t xml:space="preserve">      </w:t>
      </w:r>
      <w:r>
        <w:rPr>
          <w:rFonts w:hint="eastAsia" w:ascii="宋体" w:hAnsi="宋体" w:eastAsia="宋体" w:cs="宋体"/>
          <w:b/>
          <w:bCs w:val="0"/>
          <w:color w:val="auto"/>
          <w:sz w:val="22"/>
          <w:szCs w:val="22"/>
          <w:highlight w:val="none"/>
          <w:lang w:val="en-US" w:eastAsia="zh-CN"/>
        </w:rPr>
        <w:t>项目编号：</w:t>
      </w:r>
      <w:r>
        <w:rPr>
          <w:rFonts w:hint="eastAsia" w:hAnsi="宋体" w:cs="宋体"/>
          <w:bCs/>
          <w:color w:val="auto"/>
          <w:sz w:val="22"/>
          <w:szCs w:val="22"/>
          <w:highlight w:val="none"/>
          <w:u w:val="single"/>
          <w:lang w:val="en-US" w:eastAsia="zh-CN"/>
        </w:rPr>
        <w:t>YHZB-2023-0601</w:t>
      </w:r>
    </w:p>
    <w:tbl>
      <w:tblPr>
        <w:tblStyle w:val="27"/>
        <w:tblW w:w="944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644"/>
        <w:gridCol w:w="1452"/>
        <w:gridCol w:w="1467"/>
        <w:gridCol w:w="1779"/>
        <w:gridCol w:w="1389"/>
        <w:gridCol w:w="170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644"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姓名</w:t>
            </w:r>
          </w:p>
        </w:tc>
        <w:tc>
          <w:tcPr>
            <w:tcW w:w="1452"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p>
        </w:tc>
        <w:tc>
          <w:tcPr>
            <w:tcW w:w="1467"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性别</w:t>
            </w:r>
          </w:p>
        </w:tc>
        <w:tc>
          <w:tcPr>
            <w:tcW w:w="1779"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p>
        </w:tc>
        <w:tc>
          <w:tcPr>
            <w:tcW w:w="1389"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年龄</w:t>
            </w:r>
          </w:p>
        </w:tc>
        <w:tc>
          <w:tcPr>
            <w:tcW w:w="1709"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1" w:hRule="exact"/>
          <w:jc w:val="center"/>
        </w:trPr>
        <w:tc>
          <w:tcPr>
            <w:tcW w:w="1644"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职务</w:t>
            </w:r>
          </w:p>
        </w:tc>
        <w:tc>
          <w:tcPr>
            <w:tcW w:w="1452"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p>
        </w:tc>
        <w:tc>
          <w:tcPr>
            <w:tcW w:w="1467"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学历</w:t>
            </w:r>
          </w:p>
        </w:tc>
        <w:tc>
          <w:tcPr>
            <w:tcW w:w="1779"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p>
        </w:tc>
        <w:tc>
          <w:tcPr>
            <w:tcW w:w="1389"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参加工作时间</w:t>
            </w:r>
          </w:p>
        </w:tc>
        <w:tc>
          <w:tcPr>
            <w:tcW w:w="1709"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7" w:hRule="exact"/>
          <w:jc w:val="center"/>
        </w:trPr>
        <w:tc>
          <w:tcPr>
            <w:tcW w:w="1644"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职称</w:t>
            </w:r>
          </w:p>
        </w:tc>
        <w:tc>
          <w:tcPr>
            <w:tcW w:w="1452"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p>
        </w:tc>
        <w:tc>
          <w:tcPr>
            <w:tcW w:w="1467"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注册证书</w:t>
            </w:r>
          </w:p>
        </w:tc>
        <w:tc>
          <w:tcPr>
            <w:tcW w:w="1779"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p>
        </w:tc>
        <w:tc>
          <w:tcPr>
            <w:tcW w:w="1389"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从事项目负责人年限</w:t>
            </w:r>
          </w:p>
        </w:tc>
        <w:tc>
          <w:tcPr>
            <w:tcW w:w="1709"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39" w:hRule="exact"/>
          <w:jc w:val="center"/>
        </w:trPr>
        <w:tc>
          <w:tcPr>
            <w:tcW w:w="1644" w:type="dxa"/>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简   历</w:t>
            </w:r>
          </w:p>
        </w:tc>
        <w:tc>
          <w:tcPr>
            <w:tcW w:w="7796" w:type="dxa"/>
            <w:gridSpan w:val="5"/>
            <w:tcBorders>
              <w:tl2br w:val="nil"/>
              <w:tr2bl w:val="nil"/>
            </w:tcBorders>
            <w:noWrap w:val="0"/>
            <w:vAlign w:val="center"/>
          </w:tcPr>
          <w:p>
            <w:pPr>
              <w:keepNext w:val="0"/>
              <w:keepLines w:val="0"/>
              <w:suppressLineNumbers w:val="0"/>
              <w:bidi w:val="0"/>
              <w:spacing w:before="0" w:beforeAutospacing="0" w:after="0" w:afterAutospacing="0"/>
              <w:ind w:left="0" w:right="0"/>
              <w:jc w:val="center"/>
              <w:rPr>
                <w:rFonts w:hint="eastAsia" w:ascii="宋体" w:hAnsi="宋体" w:eastAsia="宋体" w:cs="宋体"/>
                <w:color w:val="auto"/>
                <w:spacing w:val="-6"/>
                <w:kern w:val="0"/>
                <w:sz w:val="24"/>
                <w:szCs w:val="24"/>
                <w:highlight w:val="none"/>
                <w:lang w:val="en-US" w:eastAsia="zh-CN"/>
              </w:rPr>
            </w:pPr>
          </w:p>
        </w:tc>
      </w:tr>
    </w:tbl>
    <w:p>
      <w:pPr>
        <w:numPr>
          <w:ilvl w:val="0"/>
          <w:numId w:val="0"/>
        </w:numPr>
        <w:spacing w:line="360" w:lineRule="auto"/>
        <w:jc w:val="both"/>
        <w:rPr>
          <w:rFonts w:hint="eastAsia" w:ascii="宋体" w:hAnsi="宋体" w:eastAsia="宋体" w:cs="宋体"/>
          <w:bCs/>
          <w:color w:val="auto"/>
          <w:sz w:val="22"/>
          <w:szCs w:val="22"/>
          <w:highlight w:val="none"/>
        </w:rPr>
      </w:pPr>
      <w:r>
        <w:rPr>
          <w:rFonts w:hint="eastAsia" w:ascii="宋体" w:hAnsi="宋体" w:eastAsia="宋体" w:cs="宋体"/>
          <w:b/>
          <w:color w:val="auto"/>
          <w:sz w:val="22"/>
          <w:szCs w:val="22"/>
          <w:highlight w:val="none"/>
        </w:rPr>
        <w:t>注：</w:t>
      </w:r>
      <w:r>
        <w:rPr>
          <w:rFonts w:hint="eastAsia" w:ascii="宋体" w:hAnsi="宋体" w:eastAsia="宋体" w:cs="宋体"/>
          <w:b/>
          <w:color w:val="auto"/>
          <w:sz w:val="22"/>
          <w:szCs w:val="22"/>
          <w:highlight w:val="none"/>
          <w:lang w:val="en-US" w:eastAsia="zh-CN"/>
        </w:rPr>
        <w:t>1、</w:t>
      </w:r>
      <w:r>
        <w:rPr>
          <w:rFonts w:hint="eastAsia" w:ascii="宋体" w:hAnsi="宋体" w:eastAsia="宋体" w:cs="宋体"/>
          <w:bCs/>
          <w:color w:val="auto"/>
          <w:sz w:val="22"/>
          <w:szCs w:val="22"/>
          <w:highlight w:val="none"/>
        </w:rPr>
        <w:t>表格中行数不够用时可按相同格式增加行数，其他一切内容和格式不得更改。</w:t>
      </w:r>
    </w:p>
    <w:p>
      <w:pPr>
        <w:numPr>
          <w:ilvl w:val="0"/>
          <w:numId w:val="8"/>
        </w:numPr>
        <w:spacing w:line="360" w:lineRule="auto"/>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须</w:t>
      </w:r>
      <w:r>
        <w:rPr>
          <w:rFonts w:hint="eastAsia" w:ascii="宋体" w:hAnsi="宋体" w:eastAsia="宋体" w:cs="宋体"/>
          <w:bCs/>
          <w:color w:val="auto"/>
          <w:sz w:val="22"/>
          <w:szCs w:val="22"/>
          <w:highlight w:val="none"/>
          <w:lang w:val="en-US" w:eastAsia="zh-CN"/>
        </w:rPr>
        <w:t>随本表</w:t>
      </w:r>
      <w:r>
        <w:rPr>
          <w:rFonts w:hint="eastAsia" w:ascii="宋体" w:hAnsi="宋体" w:eastAsia="宋体" w:cs="宋体"/>
          <w:bCs/>
          <w:color w:val="auto"/>
          <w:sz w:val="22"/>
          <w:szCs w:val="22"/>
          <w:highlight w:val="none"/>
        </w:rPr>
        <w:t>提供项目负责</w:t>
      </w:r>
      <w:r>
        <w:rPr>
          <w:rFonts w:hint="eastAsia" w:ascii="宋体" w:hAnsi="宋体" w:eastAsia="宋体" w:cs="宋体"/>
          <w:b w:val="0"/>
          <w:bCs/>
          <w:color w:val="auto"/>
          <w:sz w:val="22"/>
          <w:szCs w:val="22"/>
          <w:highlight w:val="none"/>
        </w:rPr>
        <w:t>人相关证书及身份证</w:t>
      </w:r>
      <w:r>
        <w:rPr>
          <w:rFonts w:hint="eastAsia" w:ascii="宋体" w:hAnsi="宋体" w:eastAsia="宋体" w:cs="宋体"/>
          <w:b w:val="0"/>
          <w:bCs/>
          <w:color w:val="auto"/>
          <w:sz w:val="22"/>
          <w:szCs w:val="22"/>
          <w:highlight w:val="none"/>
          <w:lang w:eastAsia="zh-CN"/>
        </w:rPr>
        <w:t>扫描件，</w:t>
      </w:r>
      <w:r>
        <w:rPr>
          <w:rFonts w:hint="eastAsia" w:ascii="宋体" w:hAnsi="宋体" w:eastAsia="宋体" w:cs="宋体"/>
          <w:bCs/>
          <w:color w:val="auto"/>
          <w:sz w:val="22"/>
          <w:szCs w:val="22"/>
          <w:highlight w:val="none"/>
          <w:lang w:eastAsia="zh-CN"/>
        </w:rPr>
        <w:t>还须提供在供应商处缴纳的近三个月的社保证明材料扫描件，</w:t>
      </w:r>
      <w:r>
        <w:rPr>
          <w:rFonts w:hint="eastAsia" w:ascii="宋体" w:hAnsi="宋体" w:eastAsia="宋体" w:cs="宋体"/>
          <w:b/>
          <w:bCs w:val="0"/>
          <w:color w:val="auto"/>
          <w:sz w:val="22"/>
          <w:szCs w:val="22"/>
          <w:highlight w:val="none"/>
          <w:lang w:val="en-US" w:eastAsia="zh-CN"/>
        </w:rPr>
        <w:t>以上所有资料</w:t>
      </w:r>
      <w:r>
        <w:rPr>
          <w:rFonts w:hint="eastAsia" w:ascii="宋体" w:hAnsi="宋体" w:eastAsia="宋体" w:cs="宋体"/>
          <w:b/>
          <w:bCs w:val="0"/>
          <w:color w:val="auto"/>
          <w:sz w:val="22"/>
          <w:szCs w:val="22"/>
          <w:highlight w:val="none"/>
        </w:rPr>
        <w:t>加盖单位公章，否则不得分</w:t>
      </w:r>
      <w:r>
        <w:rPr>
          <w:rFonts w:hint="eastAsia" w:ascii="宋体" w:hAnsi="宋体" w:eastAsia="宋体" w:cs="宋体"/>
          <w:bCs/>
          <w:color w:val="auto"/>
          <w:sz w:val="22"/>
          <w:szCs w:val="22"/>
          <w:highlight w:val="none"/>
        </w:rPr>
        <w:t>。</w:t>
      </w:r>
    </w:p>
    <w:p>
      <w:pPr>
        <w:pStyle w:val="26"/>
        <w:numPr>
          <w:ilvl w:val="0"/>
          <w:numId w:val="0"/>
        </w:numPr>
        <w:rPr>
          <w:rFonts w:hint="eastAsia"/>
          <w:color w:val="auto"/>
          <w:sz w:val="18"/>
          <w:szCs w:val="20"/>
        </w:rPr>
      </w:pPr>
    </w:p>
    <w:p>
      <w:pPr>
        <w:spacing w:line="460" w:lineRule="exact"/>
        <w:ind w:firstLine="2750" w:firstLineChars="125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全称：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（盖公章）</w:t>
      </w:r>
    </w:p>
    <w:p>
      <w:pPr>
        <w:spacing w:line="460" w:lineRule="exact"/>
        <w:ind w:firstLine="1815" w:firstLineChars="825"/>
        <w:jc w:val="right"/>
        <w:rPr>
          <w:rFonts w:hint="eastAsia" w:ascii="宋体" w:hAnsi="宋体" w:eastAsia="宋体" w:cs="宋体"/>
          <w:color w:val="auto"/>
          <w:sz w:val="22"/>
          <w:szCs w:val="22"/>
          <w:highlight w:val="none"/>
          <w:u w:val="single"/>
        </w:rPr>
      </w:pPr>
    </w:p>
    <w:p>
      <w:pPr>
        <w:spacing w:line="460" w:lineRule="exact"/>
        <w:ind w:firstLine="1210" w:firstLineChars="55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法定代表人</w:t>
      </w:r>
      <w:r>
        <w:rPr>
          <w:rFonts w:hint="eastAsia" w:ascii="宋体" w:hAnsi="宋体" w:eastAsia="宋体" w:cs="宋体"/>
          <w:i/>
          <w:color w:val="auto"/>
          <w:sz w:val="22"/>
          <w:szCs w:val="22"/>
          <w:highlight w:val="none"/>
        </w:rPr>
        <w:t>（负责人）</w:t>
      </w:r>
      <w:r>
        <w:rPr>
          <w:rFonts w:hint="eastAsia" w:ascii="宋体" w:hAnsi="宋体" w:eastAsia="宋体" w:cs="宋体"/>
          <w:color w:val="auto"/>
          <w:sz w:val="22"/>
          <w:szCs w:val="22"/>
          <w:highlight w:val="none"/>
        </w:rPr>
        <w:t>或委托代理人：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（签字或盖章）</w:t>
      </w:r>
    </w:p>
    <w:p>
      <w:pPr>
        <w:spacing w:line="460" w:lineRule="exact"/>
        <w:ind w:firstLine="1815" w:firstLineChars="825"/>
        <w:jc w:val="right"/>
        <w:rPr>
          <w:rFonts w:hint="eastAsia" w:ascii="宋体" w:hAnsi="宋体" w:eastAsia="宋体" w:cs="宋体"/>
          <w:color w:val="auto"/>
          <w:sz w:val="22"/>
          <w:szCs w:val="22"/>
          <w:highlight w:val="none"/>
        </w:rPr>
      </w:pPr>
    </w:p>
    <w:p>
      <w:pPr>
        <w:spacing w:line="46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年    月    日</w:t>
      </w:r>
    </w:p>
    <w:p>
      <w:pPr>
        <w:spacing w:line="460" w:lineRule="exact"/>
        <w:outlineLvl w:val="0"/>
        <w:rPr>
          <w:rFonts w:hint="eastAsia" w:ascii="宋体" w:hAnsi="宋体" w:eastAsia="宋体" w:cs="宋体"/>
          <w:bCs/>
          <w:color w:val="auto"/>
          <w:sz w:val="20"/>
          <w:szCs w:val="22"/>
          <w:highlight w:val="none"/>
        </w:rPr>
      </w:pPr>
      <w:r>
        <w:rPr>
          <w:rFonts w:hint="eastAsia" w:ascii="宋体" w:hAnsi="宋体" w:eastAsia="宋体" w:cs="宋体"/>
          <w:color w:val="auto"/>
          <w:sz w:val="22"/>
          <w:szCs w:val="22"/>
          <w:highlight w:val="none"/>
        </w:rPr>
        <w:br w:type="page"/>
      </w:r>
      <w:bookmarkStart w:id="110" w:name="_Toc26792"/>
      <w:bookmarkStart w:id="111" w:name="_Toc1350"/>
      <w:r>
        <w:rPr>
          <w:rFonts w:hint="eastAsia" w:ascii="宋体" w:hAnsi="宋体" w:eastAsia="宋体" w:cs="宋体"/>
          <w:bCs/>
          <w:color w:val="auto"/>
          <w:sz w:val="20"/>
          <w:szCs w:val="22"/>
          <w:highlight w:val="none"/>
        </w:rPr>
        <w:t>附件十</w:t>
      </w:r>
      <w:r>
        <w:rPr>
          <w:rFonts w:hint="eastAsia" w:ascii="宋体" w:hAnsi="宋体" w:eastAsia="宋体" w:cs="宋体"/>
          <w:bCs/>
          <w:color w:val="auto"/>
          <w:sz w:val="20"/>
          <w:szCs w:val="22"/>
          <w:highlight w:val="none"/>
          <w:lang w:val="en-US" w:eastAsia="zh-CN"/>
        </w:rPr>
        <w:t>六</w:t>
      </w:r>
      <w:r>
        <w:rPr>
          <w:rFonts w:hint="eastAsia" w:ascii="宋体" w:hAnsi="宋体" w:eastAsia="宋体" w:cs="宋体"/>
          <w:bCs/>
          <w:color w:val="auto"/>
          <w:sz w:val="20"/>
          <w:szCs w:val="22"/>
          <w:highlight w:val="none"/>
        </w:rPr>
        <w:t>：</w:t>
      </w:r>
      <w:bookmarkEnd w:id="110"/>
      <w:bookmarkEnd w:id="111"/>
    </w:p>
    <w:p>
      <w:pPr>
        <w:pStyle w:val="16"/>
        <w:jc w:val="center"/>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lang w:eastAsia="zh-CN"/>
        </w:rPr>
        <w:t>拟派项目组成员一览表</w:t>
      </w:r>
    </w:p>
    <w:p>
      <w:pPr>
        <w:rPr>
          <w:rFonts w:hint="eastAsia"/>
          <w:color w:val="auto"/>
          <w:sz w:val="20"/>
          <w:szCs w:val="22"/>
          <w:highlight w:val="none"/>
          <w:lang w:eastAsia="zh-CN"/>
        </w:rPr>
      </w:pPr>
    </w:p>
    <w:p>
      <w:pPr>
        <w:pStyle w:val="16"/>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olor w:val="auto"/>
          <w:sz w:val="20"/>
          <w:szCs w:val="22"/>
          <w:highlight w:val="none"/>
          <w:u w:val="single"/>
          <w:lang w:val="en-US" w:eastAsia="zh-CN"/>
        </w:rPr>
      </w:pPr>
      <w:r>
        <w:rPr>
          <w:rFonts w:hint="eastAsia" w:ascii="宋体" w:hAnsi="宋体" w:eastAsia="宋体" w:cs="宋体"/>
          <w:b/>
          <w:bCs/>
          <w:color w:val="auto"/>
          <w:sz w:val="22"/>
          <w:szCs w:val="22"/>
          <w:highlight w:val="none"/>
        </w:rPr>
        <w:t>项目名称：</w:t>
      </w:r>
      <w:r>
        <w:rPr>
          <w:rFonts w:hint="eastAsia" w:hAnsi="宋体" w:cs="宋体"/>
          <w:bCs/>
          <w:color w:val="auto"/>
          <w:sz w:val="22"/>
          <w:szCs w:val="22"/>
          <w:highlight w:val="none"/>
          <w:u w:val="single"/>
          <w:lang w:eastAsia="zh-CN"/>
        </w:rPr>
        <w:t>椒江区前所街道圆山社区党群服务中心设计施工一体化项目</w:t>
      </w:r>
      <w:r>
        <w:rPr>
          <w:rFonts w:hint="eastAsia" w:ascii="宋体" w:hAnsi="宋体" w:eastAsia="宋体" w:cs="宋体"/>
          <w:bCs/>
          <w:color w:val="auto"/>
          <w:sz w:val="22"/>
          <w:szCs w:val="22"/>
          <w:highlight w:val="none"/>
          <w:u w:val="none"/>
          <w:lang w:val="en-US" w:eastAsia="zh-CN"/>
        </w:rPr>
        <w:t xml:space="preserve">      </w:t>
      </w:r>
      <w:r>
        <w:rPr>
          <w:rFonts w:hint="eastAsia" w:ascii="宋体" w:hAnsi="宋体" w:eastAsia="宋体" w:cs="宋体"/>
          <w:b/>
          <w:bCs w:val="0"/>
          <w:color w:val="auto"/>
          <w:sz w:val="22"/>
          <w:szCs w:val="22"/>
          <w:highlight w:val="none"/>
          <w:lang w:val="en-US" w:eastAsia="zh-CN"/>
        </w:rPr>
        <w:t>项目编号：</w:t>
      </w:r>
      <w:r>
        <w:rPr>
          <w:rFonts w:hint="eastAsia" w:hAnsi="宋体" w:cs="宋体"/>
          <w:bCs/>
          <w:color w:val="auto"/>
          <w:sz w:val="22"/>
          <w:szCs w:val="22"/>
          <w:highlight w:val="none"/>
          <w:u w:val="single"/>
          <w:lang w:val="en-US" w:eastAsia="zh-CN"/>
        </w:rPr>
        <w:t>YHZB-2023-0601</w:t>
      </w:r>
    </w:p>
    <w:tbl>
      <w:tblPr>
        <w:tblStyle w:val="27"/>
        <w:tblW w:w="998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04"/>
        <w:gridCol w:w="946"/>
        <w:gridCol w:w="1111"/>
        <w:gridCol w:w="1780"/>
        <w:gridCol w:w="2099"/>
        <w:gridCol w:w="1373"/>
        <w:gridCol w:w="137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pacing w:val="-6"/>
                <w:sz w:val="21"/>
                <w:szCs w:val="24"/>
                <w:highlight w:val="none"/>
              </w:rPr>
            </w:pPr>
            <w:r>
              <w:rPr>
                <w:rFonts w:hint="eastAsia" w:ascii="宋体" w:hAnsi="宋体" w:eastAsia="宋体" w:cs="宋体"/>
                <w:b/>
                <w:bCs/>
                <w:color w:val="auto"/>
                <w:spacing w:val="-6"/>
                <w:sz w:val="21"/>
                <w:szCs w:val="24"/>
                <w:highlight w:val="none"/>
              </w:rPr>
              <w:t>姓名</w:t>
            </w:r>
          </w:p>
        </w:tc>
        <w:tc>
          <w:tcPr>
            <w:tcW w:w="94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pacing w:val="-6"/>
                <w:sz w:val="21"/>
                <w:szCs w:val="24"/>
                <w:highlight w:val="none"/>
              </w:rPr>
            </w:pPr>
            <w:r>
              <w:rPr>
                <w:rFonts w:hint="eastAsia" w:ascii="宋体" w:hAnsi="宋体" w:eastAsia="宋体" w:cs="宋体"/>
                <w:b/>
                <w:bCs/>
                <w:color w:val="auto"/>
                <w:spacing w:val="-6"/>
                <w:sz w:val="21"/>
                <w:szCs w:val="24"/>
                <w:highlight w:val="none"/>
                <w:lang w:eastAsia="zh-CN"/>
              </w:rPr>
              <w:t>年龄</w:t>
            </w:r>
          </w:p>
        </w:tc>
        <w:tc>
          <w:tcPr>
            <w:tcW w:w="11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pacing w:val="-6"/>
                <w:sz w:val="21"/>
                <w:szCs w:val="24"/>
                <w:highlight w:val="none"/>
              </w:rPr>
            </w:pPr>
            <w:r>
              <w:rPr>
                <w:rFonts w:hint="eastAsia" w:ascii="宋体" w:hAnsi="宋体" w:eastAsia="宋体" w:cs="宋体"/>
                <w:b/>
                <w:bCs/>
                <w:color w:val="auto"/>
                <w:spacing w:val="-6"/>
                <w:sz w:val="21"/>
                <w:szCs w:val="24"/>
                <w:highlight w:val="none"/>
                <w:lang w:val="en-US" w:eastAsia="zh-CN"/>
              </w:rPr>
              <w:t>学历</w:t>
            </w:r>
          </w:p>
        </w:tc>
        <w:tc>
          <w:tcPr>
            <w:tcW w:w="1780" w:type="dxa"/>
            <w:noWrap w:val="0"/>
            <w:vAlign w:val="center"/>
          </w:tcPr>
          <w:p>
            <w:pPr>
              <w:keepNext w:val="0"/>
              <w:keepLines w:val="0"/>
              <w:suppressLineNumbers w:val="0"/>
              <w:spacing w:before="0" w:beforeAutospacing="0" w:after="0" w:afterAutospacing="0"/>
              <w:ind w:left="0" w:right="0"/>
              <w:jc w:val="center"/>
              <w:rPr>
                <w:rFonts w:hint="default" w:ascii="宋体" w:hAnsi="宋体" w:eastAsia="宋体" w:cs="宋体"/>
                <w:b/>
                <w:bCs/>
                <w:color w:val="auto"/>
                <w:spacing w:val="-6"/>
                <w:sz w:val="21"/>
                <w:szCs w:val="24"/>
                <w:highlight w:val="none"/>
                <w:lang w:val="en-US"/>
              </w:rPr>
            </w:pPr>
            <w:r>
              <w:rPr>
                <w:rFonts w:hint="eastAsia" w:ascii="宋体" w:hAnsi="宋体" w:eastAsia="宋体" w:cs="宋体"/>
                <w:b/>
                <w:bCs/>
                <w:color w:val="auto"/>
                <w:spacing w:val="-6"/>
                <w:sz w:val="21"/>
                <w:szCs w:val="24"/>
                <w:highlight w:val="none"/>
                <w:lang w:eastAsia="zh-CN"/>
              </w:rPr>
              <w:t>相关</w:t>
            </w:r>
            <w:r>
              <w:rPr>
                <w:rFonts w:hint="eastAsia" w:ascii="宋体" w:hAnsi="宋体" w:eastAsia="宋体" w:cs="宋体"/>
                <w:b/>
                <w:bCs/>
                <w:color w:val="auto"/>
                <w:spacing w:val="-6"/>
                <w:sz w:val="21"/>
                <w:szCs w:val="24"/>
                <w:highlight w:val="none"/>
                <w:lang w:val="en-US" w:eastAsia="zh-CN"/>
              </w:rPr>
              <w:t>证书</w:t>
            </w:r>
          </w:p>
        </w:tc>
        <w:tc>
          <w:tcPr>
            <w:tcW w:w="2099" w:type="dxa"/>
            <w:noWrap w:val="0"/>
            <w:vAlign w:val="center"/>
          </w:tcPr>
          <w:p>
            <w:pPr>
              <w:keepNext w:val="0"/>
              <w:keepLines w:val="0"/>
              <w:suppressLineNumbers w:val="0"/>
              <w:spacing w:before="0" w:beforeAutospacing="0" w:after="0" w:afterAutospacing="0"/>
              <w:ind w:left="0" w:right="0"/>
              <w:jc w:val="center"/>
              <w:rPr>
                <w:rFonts w:hint="default" w:ascii="宋体" w:hAnsi="宋体" w:eastAsia="宋体" w:cs="宋体"/>
                <w:b/>
                <w:bCs/>
                <w:color w:val="auto"/>
                <w:spacing w:val="-6"/>
                <w:sz w:val="21"/>
                <w:szCs w:val="24"/>
                <w:highlight w:val="none"/>
                <w:lang w:val="en-US"/>
              </w:rPr>
            </w:pPr>
            <w:r>
              <w:rPr>
                <w:rFonts w:hint="eastAsia" w:ascii="宋体" w:hAnsi="宋体" w:eastAsia="宋体" w:cs="宋体"/>
                <w:b/>
                <w:bCs/>
                <w:color w:val="auto"/>
                <w:spacing w:val="-6"/>
                <w:sz w:val="21"/>
                <w:szCs w:val="24"/>
                <w:highlight w:val="none"/>
                <w:lang w:val="en-US" w:eastAsia="zh-CN"/>
              </w:rPr>
              <w:t>拟在本项目中的岗位</w:t>
            </w:r>
          </w:p>
        </w:tc>
        <w:tc>
          <w:tcPr>
            <w:tcW w:w="1373" w:type="dxa"/>
            <w:noWrap w:val="0"/>
            <w:vAlign w:val="center"/>
          </w:tcPr>
          <w:p>
            <w:pPr>
              <w:keepNext w:val="0"/>
              <w:keepLines w:val="0"/>
              <w:suppressLineNumbers w:val="0"/>
              <w:spacing w:before="0" w:beforeAutospacing="0" w:after="0" w:afterAutospacing="0"/>
              <w:ind w:left="0" w:right="0"/>
              <w:jc w:val="center"/>
              <w:rPr>
                <w:rFonts w:hint="default" w:ascii="宋体" w:hAnsi="宋体" w:eastAsia="宋体" w:cs="宋体"/>
                <w:b/>
                <w:bCs/>
                <w:color w:val="auto"/>
                <w:spacing w:val="-6"/>
                <w:sz w:val="21"/>
                <w:szCs w:val="24"/>
                <w:highlight w:val="none"/>
                <w:lang w:val="en-US" w:eastAsia="zh-CN"/>
              </w:rPr>
            </w:pPr>
            <w:r>
              <w:rPr>
                <w:rFonts w:hint="eastAsia" w:ascii="宋体" w:hAnsi="宋体" w:eastAsia="宋体" w:cs="宋体"/>
                <w:b/>
                <w:bCs/>
                <w:color w:val="auto"/>
                <w:spacing w:val="-6"/>
                <w:sz w:val="21"/>
                <w:szCs w:val="24"/>
                <w:highlight w:val="none"/>
                <w:lang w:val="en-US" w:eastAsia="zh-CN"/>
              </w:rPr>
              <w:t>岗位工龄</w:t>
            </w: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pacing w:val="-6"/>
                <w:sz w:val="21"/>
                <w:szCs w:val="24"/>
                <w:highlight w:val="none"/>
                <w:lang w:eastAsia="zh-CN"/>
              </w:rPr>
            </w:pPr>
            <w:r>
              <w:rPr>
                <w:rFonts w:hint="eastAsia" w:ascii="宋体" w:hAnsi="宋体" w:eastAsia="宋体" w:cs="宋体"/>
                <w:b/>
                <w:bCs/>
                <w:color w:val="auto"/>
                <w:spacing w:val="-6"/>
                <w:sz w:val="21"/>
                <w:szCs w:val="24"/>
                <w:highlight w:val="none"/>
                <w:lang w:val="en-US" w:eastAsia="zh-CN"/>
              </w:rPr>
              <w:t>从业经验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04" w:type="dxa"/>
            <w:noWrap w:val="0"/>
            <w:vAlign w:val="center"/>
          </w:tcPr>
          <w:p>
            <w:pPr>
              <w:keepNext w:val="0"/>
              <w:keepLines w:val="0"/>
              <w:suppressLineNumbers w:val="0"/>
              <w:spacing w:before="0" w:beforeAutospacing="0" w:after="0" w:afterAutospacing="0"/>
              <w:ind w:left="0" w:right="-420" w:rightChars="-200"/>
              <w:jc w:val="center"/>
              <w:rPr>
                <w:rFonts w:hint="eastAsia" w:ascii="宋体" w:hAnsi="宋体" w:eastAsia="宋体" w:cs="宋体"/>
                <w:b/>
                <w:bCs/>
                <w:color w:val="auto"/>
                <w:sz w:val="20"/>
                <w:szCs w:val="22"/>
                <w:highlight w:val="none"/>
              </w:rPr>
            </w:pPr>
          </w:p>
        </w:tc>
        <w:tc>
          <w:tcPr>
            <w:tcW w:w="94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1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lang w:eastAsia="zh-CN"/>
              </w:rPr>
            </w:pPr>
          </w:p>
        </w:tc>
        <w:tc>
          <w:tcPr>
            <w:tcW w:w="17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20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lang w:eastAsia="zh-CN"/>
              </w:rPr>
            </w:pPr>
            <w:r>
              <w:rPr>
                <w:rFonts w:hint="eastAsia" w:ascii="宋体" w:hAnsi="宋体" w:eastAsia="宋体" w:cs="宋体"/>
                <w:color w:val="auto"/>
                <w:sz w:val="20"/>
                <w:szCs w:val="22"/>
                <w:highlight w:val="none"/>
                <w:lang w:eastAsia="zh-CN"/>
              </w:rPr>
              <w:t>项目负责人</w:t>
            </w: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 w:val="20"/>
                <w:szCs w:val="22"/>
                <w:highlight w:val="none"/>
              </w:rPr>
            </w:pPr>
          </w:p>
        </w:tc>
        <w:tc>
          <w:tcPr>
            <w:tcW w:w="94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1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lang w:eastAsia="zh-CN"/>
              </w:rPr>
            </w:pPr>
          </w:p>
        </w:tc>
        <w:tc>
          <w:tcPr>
            <w:tcW w:w="17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20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lang w:eastAsia="zh-CN"/>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 w:val="20"/>
                <w:szCs w:val="22"/>
                <w:highlight w:val="none"/>
              </w:rPr>
            </w:pPr>
          </w:p>
        </w:tc>
        <w:tc>
          <w:tcPr>
            <w:tcW w:w="94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1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7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20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lang w:eastAsia="zh-CN"/>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 w:val="20"/>
                <w:szCs w:val="22"/>
                <w:highlight w:val="none"/>
              </w:rPr>
            </w:pPr>
          </w:p>
        </w:tc>
        <w:tc>
          <w:tcPr>
            <w:tcW w:w="94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1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7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20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lang w:eastAsia="zh-CN"/>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 w:val="20"/>
                <w:szCs w:val="22"/>
                <w:highlight w:val="none"/>
              </w:rPr>
            </w:pPr>
          </w:p>
        </w:tc>
        <w:tc>
          <w:tcPr>
            <w:tcW w:w="94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1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7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20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lang w:eastAsia="zh-CN"/>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94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1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7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20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lang w:eastAsia="zh-CN"/>
              </w:rPr>
            </w:pPr>
            <w:r>
              <w:rPr>
                <w:rFonts w:hint="eastAsia" w:ascii="宋体" w:hAnsi="宋体" w:eastAsia="宋体" w:cs="宋体"/>
                <w:color w:val="auto"/>
                <w:sz w:val="20"/>
                <w:szCs w:val="22"/>
                <w:highlight w:val="none"/>
                <w:lang w:val="en-US" w:eastAsia="zh-CN"/>
              </w:rPr>
              <w:t>......</w:t>
            </w: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94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1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7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20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r>
              <w:rPr>
                <w:rFonts w:hint="eastAsia" w:ascii="宋体" w:hAnsi="宋体" w:eastAsia="宋体" w:cs="宋体"/>
                <w:color w:val="auto"/>
                <w:sz w:val="20"/>
                <w:szCs w:val="22"/>
                <w:highlight w:val="none"/>
                <w:lang w:val="en-US" w:eastAsia="zh-CN"/>
              </w:rPr>
              <w:t>......</w:t>
            </w: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lang w:val="en-US" w:eastAsia="zh-CN"/>
              </w:rPr>
            </w:pPr>
            <w:r>
              <w:rPr>
                <w:rFonts w:hint="eastAsia" w:ascii="宋体" w:hAnsi="宋体" w:eastAsia="宋体" w:cs="宋体"/>
                <w:color w:val="auto"/>
                <w:sz w:val="20"/>
                <w:szCs w:val="22"/>
                <w:highlight w:val="none"/>
                <w:lang w:val="en-US" w:eastAsia="zh-CN"/>
              </w:rPr>
              <w:t>......</w:t>
            </w:r>
          </w:p>
        </w:tc>
        <w:tc>
          <w:tcPr>
            <w:tcW w:w="94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r>
              <w:rPr>
                <w:rFonts w:hint="eastAsia" w:ascii="宋体" w:hAnsi="宋体" w:eastAsia="宋体" w:cs="宋体"/>
                <w:color w:val="auto"/>
                <w:sz w:val="20"/>
                <w:szCs w:val="22"/>
                <w:highlight w:val="none"/>
                <w:lang w:val="en-US" w:eastAsia="zh-CN"/>
              </w:rPr>
              <w:t>......</w:t>
            </w:r>
          </w:p>
        </w:tc>
        <w:tc>
          <w:tcPr>
            <w:tcW w:w="1111"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r>
              <w:rPr>
                <w:rFonts w:hint="eastAsia" w:ascii="宋体" w:hAnsi="宋体" w:eastAsia="宋体" w:cs="宋体"/>
                <w:color w:val="auto"/>
                <w:sz w:val="20"/>
                <w:szCs w:val="22"/>
                <w:highlight w:val="none"/>
                <w:lang w:val="en-US" w:eastAsia="zh-CN"/>
              </w:rPr>
              <w:t>......</w:t>
            </w:r>
          </w:p>
        </w:tc>
        <w:tc>
          <w:tcPr>
            <w:tcW w:w="17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8"/>
                <w:szCs w:val="18"/>
                <w:highlight w:val="none"/>
              </w:rPr>
            </w:pPr>
            <w:r>
              <w:rPr>
                <w:rFonts w:hint="eastAsia" w:ascii="宋体" w:hAnsi="宋体" w:eastAsia="宋体" w:cs="宋体"/>
                <w:color w:val="auto"/>
                <w:sz w:val="20"/>
                <w:szCs w:val="22"/>
                <w:highlight w:val="none"/>
                <w:lang w:val="en-US" w:eastAsia="zh-CN"/>
              </w:rPr>
              <w:t>......</w:t>
            </w:r>
          </w:p>
        </w:tc>
        <w:tc>
          <w:tcPr>
            <w:tcW w:w="20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r>
              <w:rPr>
                <w:rFonts w:hint="eastAsia" w:ascii="宋体" w:hAnsi="宋体" w:eastAsia="宋体" w:cs="宋体"/>
                <w:color w:val="auto"/>
                <w:sz w:val="20"/>
                <w:szCs w:val="22"/>
                <w:highlight w:val="none"/>
                <w:lang w:val="en-US" w:eastAsia="zh-CN"/>
              </w:rPr>
              <w:t>......</w:t>
            </w: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r>
              <w:rPr>
                <w:rFonts w:hint="eastAsia" w:ascii="宋体" w:hAnsi="宋体" w:eastAsia="宋体" w:cs="宋体"/>
                <w:color w:val="auto"/>
                <w:sz w:val="20"/>
                <w:szCs w:val="22"/>
                <w:highlight w:val="none"/>
                <w:lang w:val="en-US" w:eastAsia="zh-CN"/>
              </w:rPr>
              <w:t>......</w:t>
            </w:r>
          </w:p>
        </w:tc>
        <w:tc>
          <w:tcPr>
            <w:tcW w:w="13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0"/>
                <w:szCs w:val="22"/>
                <w:highlight w:val="none"/>
              </w:rPr>
            </w:pPr>
            <w:r>
              <w:rPr>
                <w:rFonts w:hint="eastAsia" w:ascii="宋体" w:hAnsi="宋体" w:eastAsia="宋体" w:cs="宋体"/>
                <w:color w:val="auto"/>
                <w:sz w:val="20"/>
                <w:szCs w:val="22"/>
                <w:highlight w:val="none"/>
                <w:lang w:val="en-US" w:eastAsia="zh-CN"/>
              </w:rPr>
              <w:t>......</w:t>
            </w:r>
          </w:p>
        </w:tc>
      </w:tr>
    </w:tbl>
    <w:p>
      <w:pPr>
        <w:numPr>
          <w:ilvl w:val="0"/>
          <w:numId w:val="0"/>
        </w:numPr>
        <w:spacing w:line="360" w:lineRule="auto"/>
        <w:jc w:val="both"/>
        <w:rPr>
          <w:rFonts w:hint="eastAsia" w:ascii="宋体" w:hAnsi="宋体" w:eastAsia="宋体" w:cs="宋体"/>
          <w:bCs/>
          <w:color w:val="auto"/>
          <w:sz w:val="22"/>
          <w:szCs w:val="22"/>
          <w:highlight w:val="none"/>
        </w:rPr>
      </w:pPr>
      <w:r>
        <w:rPr>
          <w:rFonts w:hint="eastAsia" w:ascii="宋体" w:hAnsi="宋体" w:eastAsia="宋体" w:cs="宋体"/>
          <w:b/>
          <w:color w:val="auto"/>
          <w:sz w:val="22"/>
          <w:szCs w:val="22"/>
          <w:highlight w:val="none"/>
        </w:rPr>
        <w:t>注：</w:t>
      </w:r>
      <w:r>
        <w:rPr>
          <w:rFonts w:hint="eastAsia" w:ascii="宋体" w:hAnsi="宋体" w:eastAsia="宋体" w:cs="宋体"/>
          <w:b/>
          <w:color w:val="auto"/>
          <w:sz w:val="22"/>
          <w:szCs w:val="22"/>
          <w:highlight w:val="none"/>
          <w:lang w:val="en-US" w:eastAsia="zh-CN"/>
        </w:rPr>
        <w:t>1、</w:t>
      </w:r>
      <w:r>
        <w:rPr>
          <w:rFonts w:hint="eastAsia" w:ascii="宋体" w:hAnsi="宋体" w:eastAsia="宋体" w:cs="宋体"/>
          <w:bCs/>
          <w:color w:val="auto"/>
          <w:sz w:val="22"/>
          <w:szCs w:val="22"/>
          <w:highlight w:val="none"/>
        </w:rPr>
        <w:t>表格中行数不够用时可按相同格式增加行数，其他一切内容和格式不得更改。</w:t>
      </w:r>
    </w:p>
    <w:p>
      <w:pPr>
        <w:numPr>
          <w:ilvl w:val="0"/>
          <w:numId w:val="0"/>
        </w:numPr>
        <w:spacing w:line="360" w:lineRule="auto"/>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2、</w:t>
      </w:r>
      <w:r>
        <w:rPr>
          <w:rFonts w:hint="eastAsia" w:ascii="宋体" w:hAnsi="宋体" w:eastAsia="宋体" w:cs="宋体"/>
          <w:bCs/>
          <w:color w:val="auto"/>
          <w:sz w:val="22"/>
          <w:szCs w:val="22"/>
          <w:highlight w:val="none"/>
        </w:rPr>
        <w:t>须</w:t>
      </w:r>
      <w:r>
        <w:rPr>
          <w:rFonts w:hint="eastAsia" w:ascii="宋体" w:hAnsi="宋体" w:eastAsia="宋体" w:cs="宋体"/>
          <w:bCs/>
          <w:color w:val="auto"/>
          <w:sz w:val="22"/>
          <w:szCs w:val="22"/>
          <w:highlight w:val="none"/>
          <w:lang w:val="en-US" w:eastAsia="zh-CN"/>
        </w:rPr>
        <w:t>随本表</w:t>
      </w:r>
      <w:r>
        <w:rPr>
          <w:rFonts w:hint="eastAsia" w:ascii="宋体" w:hAnsi="宋体" w:eastAsia="宋体" w:cs="宋体"/>
          <w:bCs/>
          <w:color w:val="auto"/>
          <w:sz w:val="22"/>
          <w:szCs w:val="22"/>
          <w:highlight w:val="none"/>
        </w:rPr>
        <w:t>提供项目</w:t>
      </w:r>
      <w:r>
        <w:rPr>
          <w:rFonts w:hint="eastAsia" w:ascii="宋体" w:hAnsi="宋体" w:cs="宋体"/>
          <w:bCs/>
          <w:color w:val="auto"/>
          <w:sz w:val="22"/>
          <w:szCs w:val="22"/>
          <w:highlight w:val="none"/>
          <w:lang w:eastAsia="zh-CN"/>
        </w:rPr>
        <w:t>组成员</w:t>
      </w:r>
      <w:r>
        <w:rPr>
          <w:rFonts w:hint="eastAsia" w:ascii="宋体" w:hAnsi="宋体" w:eastAsia="宋体" w:cs="宋体"/>
          <w:b w:val="0"/>
          <w:bCs/>
          <w:color w:val="auto"/>
          <w:sz w:val="22"/>
          <w:szCs w:val="22"/>
          <w:highlight w:val="none"/>
          <w:lang w:val="en-US" w:eastAsia="zh-CN"/>
        </w:rPr>
        <w:t>学历证书、</w:t>
      </w:r>
      <w:r>
        <w:rPr>
          <w:rFonts w:hint="eastAsia" w:ascii="宋体" w:hAnsi="宋体" w:eastAsia="宋体" w:cs="宋体"/>
          <w:b w:val="0"/>
          <w:bCs/>
          <w:color w:val="auto"/>
          <w:sz w:val="22"/>
          <w:szCs w:val="22"/>
          <w:highlight w:val="none"/>
        </w:rPr>
        <w:t>相关证书及身份证</w:t>
      </w:r>
      <w:r>
        <w:rPr>
          <w:rFonts w:hint="eastAsia" w:ascii="宋体" w:hAnsi="宋体" w:eastAsia="宋体" w:cs="宋体"/>
          <w:bCs/>
          <w:color w:val="auto"/>
          <w:sz w:val="22"/>
          <w:szCs w:val="22"/>
          <w:highlight w:val="none"/>
        </w:rPr>
        <w:t>扫描件，还须提供</w:t>
      </w:r>
      <w:r>
        <w:rPr>
          <w:rFonts w:hint="eastAsia" w:ascii="宋体" w:hAnsi="宋体" w:eastAsia="宋体" w:cs="宋体"/>
          <w:bCs/>
          <w:color w:val="auto"/>
          <w:sz w:val="22"/>
          <w:szCs w:val="22"/>
          <w:highlight w:val="none"/>
          <w:lang w:eastAsia="zh-CN"/>
        </w:rPr>
        <w:t>在供应商处缴纳的</w:t>
      </w:r>
      <w:r>
        <w:rPr>
          <w:rFonts w:hint="eastAsia" w:ascii="宋体" w:hAnsi="宋体" w:eastAsia="宋体" w:cs="宋体"/>
          <w:bCs/>
          <w:color w:val="auto"/>
          <w:sz w:val="22"/>
          <w:szCs w:val="22"/>
          <w:highlight w:val="none"/>
        </w:rPr>
        <w:t>近三个月的社保证明材料扫描件</w:t>
      </w:r>
      <w:r>
        <w:rPr>
          <w:rFonts w:hint="eastAsia" w:ascii="宋体" w:hAnsi="宋体" w:eastAsia="宋体" w:cs="宋体"/>
          <w:bCs/>
          <w:color w:val="auto"/>
          <w:sz w:val="22"/>
          <w:szCs w:val="22"/>
          <w:highlight w:val="none"/>
          <w:lang w:eastAsia="zh-CN"/>
        </w:rPr>
        <w:t>，</w:t>
      </w:r>
      <w:r>
        <w:rPr>
          <w:rFonts w:hint="eastAsia" w:ascii="宋体" w:hAnsi="宋体" w:eastAsia="宋体" w:cs="宋体"/>
          <w:b/>
          <w:bCs w:val="0"/>
          <w:color w:val="auto"/>
          <w:sz w:val="22"/>
          <w:szCs w:val="22"/>
          <w:highlight w:val="none"/>
          <w:lang w:val="en-US" w:eastAsia="zh-CN"/>
        </w:rPr>
        <w:t>以上所有资料</w:t>
      </w:r>
      <w:r>
        <w:rPr>
          <w:rFonts w:hint="eastAsia" w:ascii="宋体" w:hAnsi="宋体" w:eastAsia="宋体" w:cs="宋体"/>
          <w:b/>
          <w:bCs w:val="0"/>
          <w:color w:val="auto"/>
          <w:sz w:val="22"/>
          <w:szCs w:val="22"/>
          <w:highlight w:val="none"/>
        </w:rPr>
        <w:t>加盖单位公章，否则不得分</w:t>
      </w:r>
      <w:r>
        <w:rPr>
          <w:rFonts w:hint="eastAsia" w:ascii="宋体" w:hAnsi="宋体" w:eastAsia="宋体" w:cs="宋体"/>
          <w:bCs/>
          <w:color w:val="auto"/>
          <w:sz w:val="22"/>
          <w:szCs w:val="22"/>
          <w:highlight w:val="none"/>
        </w:rPr>
        <w:t>。</w:t>
      </w:r>
    </w:p>
    <w:p>
      <w:pPr>
        <w:pStyle w:val="16"/>
        <w:spacing w:line="360" w:lineRule="auto"/>
        <w:jc w:val="left"/>
        <w:rPr>
          <w:rFonts w:hint="eastAsia" w:ascii="宋体" w:hAnsi="宋体" w:eastAsia="宋体" w:cs="宋体"/>
          <w:bCs/>
          <w:color w:val="auto"/>
          <w:sz w:val="22"/>
          <w:szCs w:val="22"/>
          <w:highlight w:val="none"/>
        </w:rPr>
      </w:pPr>
    </w:p>
    <w:p>
      <w:pPr>
        <w:spacing w:line="460" w:lineRule="exact"/>
        <w:ind w:firstLine="2750" w:firstLineChars="125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全称：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（盖公章）</w:t>
      </w:r>
    </w:p>
    <w:p>
      <w:pPr>
        <w:spacing w:line="460" w:lineRule="exact"/>
        <w:ind w:firstLine="1815" w:firstLineChars="825"/>
        <w:jc w:val="right"/>
        <w:rPr>
          <w:rFonts w:hint="eastAsia" w:ascii="宋体" w:hAnsi="宋体" w:eastAsia="宋体" w:cs="宋体"/>
          <w:color w:val="auto"/>
          <w:sz w:val="22"/>
          <w:szCs w:val="22"/>
          <w:highlight w:val="none"/>
          <w:u w:val="single"/>
        </w:rPr>
      </w:pPr>
    </w:p>
    <w:p>
      <w:pPr>
        <w:spacing w:line="460" w:lineRule="exact"/>
        <w:ind w:firstLine="1210" w:firstLineChars="55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法定代表人</w:t>
      </w:r>
      <w:r>
        <w:rPr>
          <w:rFonts w:hint="eastAsia" w:ascii="宋体" w:hAnsi="宋体" w:eastAsia="宋体" w:cs="宋体"/>
          <w:i/>
          <w:color w:val="auto"/>
          <w:sz w:val="22"/>
          <w:szCs w:val="22"/>
          <w:highlight w:val="none"/>
        </w:rPr>
        <w:t>（负责人）</w:t>
      </w:r>
      <w:r>
        <w:rPr>
          <w:rFonts w:hint="eastAsia" w:ascii="宋体" w:hAnsi="宋体" w:eastAsia="宋体" w:cs="宋体"/>
          <w:color w:val="auto"/>
          <w:sz w:val="22"/>
          <w:szCs w:val="22"/>
          <w:highlight w:val="none"/>
        </w:rPr>
        <w:t>或委托代理人：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（签字或盖章）</w:t>
      </w:r>
    </w:p>
    <w:p>
      <w:pPr>
        <w:spacing w:line="460" w:lineRule="exact"/>
        <w:ind w:firstLine="1815" w:firstLineChars="825"/>
        <w:jc w:val="right"/>
        <w:rPr>
          <w:rFonts w:hint="eastAsia" w:ascii="宋体" w:hAnsi="宋体" w:eastAsia="宋体" w:cs="宋体"/>
          <w:color w:val="auto"/>
          <w:sz w:val="22"/>
          <w:szCs w:val="22"/>
          <w:highlight w:val="none"/>
        </w:rPr>
      </w:pPr>
    </w:p>
    <w:p>
      <w:pPr>
        <w:spacing w:line="46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年    月    日</w:t>
      </w:r>
    </w:p>
    <w:p>
      <w:pPr>
        <w:spacing w:line="460" w:lineRule="exact"/>
        <w:jc w:val="left"/>
        <w:outlineLvl w:val="0"/>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br w:type="page"/>
      </w:r>
      <w:bookmarkStart w:id="112" w:name="_Toc28024"/>
      <w:bookmarkStart w:id="113" w:name="_Toc20283"/>
      <w:r>
        <w:rPr>
          <w:rFonts w:hint="eastAsia" w:ascii="宋体" w:hAnsi="宋体" w:eastAsia="宋体" w:cs="宋体"/>
          <w:bCs/>
          <w:color w:val="auto"/>
          <w:sz w:val="20"/>
          <w:szCs w:val="22"/>
          <w:highlight w:val="none"/>
          <w:lang w:val="en-US" w:eastAsia="zh-CN"/>
        </w:rPr>
        <w:t>附件十七：</w:t>
      </w:r>
      <w:bookmarkEnd w:id="112"/>
      <w:bookmarkEnd w:id="113"/>
    </w:p>
    <w:p>
      <w:pPr>
        <w:keepNext w:val="0"/>
        <w:keepLines w:val="0"/>
        <w:pageBreakBefore w:val="0"/>
        <w:widowControl w:val="0"/>
        <w:kinsoku/>
        <w:wordWrap/>
        <w:overflowPunct/>
        <w:topLinePunct w:val="0"/>
        <w:autoSpaceDE/>
        <w:autoSpaceDN/>
        <w:bidi w:val="0"/>
        <w:adjustRightInd/>
        <w:snapToGrid/>
        <w:spacing w:line="360" w:lineRule="auto"/>
        <w:ind w:left="25" w:leftChars="-150" w:right="-296" w:rightChars="-141" w:hanging="340" w:hangingChars="121"/>
        <w:jc w:val="center"/>
        <w:textAlignment w:val="auto"/>
        <w:rPr>
          <w:rFonts w:hint="eastAsia" w:ascii="宋体" w:hAnsi="宋体" w:eastAsia="宋体" w:cs="宋体"/>
          <w:b/>
          <w:bCs/>
          <w:color w:val="auto"/>
          <w:sz w:val="28"/>
          <w:szCs w:val="32"/>
          <w:highlight w:val="none"/>
        </w:rPr>
      </w:pPr>
      <w:r>
        <w:rPr>
          <w:rFonts w:hint="eastAsia" w:ascii="宋体" w:hAnsi="宋体" w:eastAsia="宋体" w:cs="宋体"/>
          <w:b/>
          <w:bCs/>
          <w:color w:val="auto"/>
          <w:sz w:val="28"/>
          <w:szCs w:val="32"/>
          <w:highlight w:val="none"/>
        </w:rPr>
        <w:t>供应商</w:t>
      </w:r>
      <w:r>
        <w:rPr>
          <w:rFonts w:hint="eastAsia" w:ascii="宋体" w:hAnsi="宋体" w:eastAsia="宋体" w:cs="宋体"/>
          <w:b/>
          <w:bCs/>
          <w:color w:val="auto"/>
          <w:sz w:val="28"/>
          <w:szCs w:val="32"/>
          <w:highlight w:val="none"/>
          <w:lang w:eastAsia="zh-CN"/>
        </w:rPr>
        <w:t>20</w:t>
      </w:r>
      <w:r>
        <w:rPr>
          <w:rFonts w:hint="eastAsia" w:ascii="宋体" w:hAnsi="宋体" w:cs="宋体"/>
          <w:b/>
          <w:bCs/>
          <w:color w:val="auto"/>
          <w:sz w:val="28"/>
          <w:szCs w:val="32"/>
          <w:highlight w:val="none"/>
          <w:lang w:val="en-US" w:eastAsia="zh-CN"/>
        </w:rPr>
        <w:t>20</w:t>
      </w:r>
      <w:r>
        <w:rPr>
          <w:rFonts w:hint="eastAsia" w:ascii="宋体" w:hAnsi="宋体" w:eastAsia="宋体" w:cs="宋体"/>
          <w:b/>
          <w:bCs/>
          <w:color w:val="auto"/>
          <w:sz w:val="28"/>
          <w:szCs w:val="32"/>
          <w:highlight w:val="none"/>
          <w:lang w:eastAsia="zh-CN"/>
        </w:rPr>
        <w:t>年1月1日</w:t>
      </w:r>
      <w:r>
        <w:rPr>
          <w:rFonts w:hint="eastAsia" w:ascii="宋体" w:hAnsi="宋体" w:eastAsia="宋体" w:cs="宋体"/>
          <w:b/>
          <w:bCs/>
          <w:color w:val="auto"/>
          <w:sz w:val="28"/>
          <w:szCs w:val="32"/>
          <w:highlight w:val="none"/>
        </w:rPr>
        <w:t>至今（以签订合同时间为准）</w:t>
      </w:r>
    </w:p>
    <w:p>
      <w:pPr>
        <w:keepNext w:val="0"/>
        <w:keepLines w:val="0"/>
        <w:pageBreakBefore w:val="0"/>
        <w:widowControl w:val="0"/>
        <w:kinsoku/>
        <w:wordWrap/>
        <w:overflowPunct/>
        <w:topLinePunct w:val="0"/>
        <w:autoSpaceDE/>
        <w:autoSpaceDN/>
        <w:bidi w:val="0"/>
        <w:adjustRightInd/>
        <w:snapToGrid/>
        <w:spacing w:line="360" w:lineRule="auto"/>
        <w:ind w:left="25" w:leftChars="-150" w:right="-296" w:rightChars="-141" w:hanging="340" w:hangingChars="121"/>
        <w:jc w:val="center"/>
        <w:textAlignment w:val="auto"/>
        <w:rPr>
          <w:rFonts w:hint="eastAsia" w:ascii="宋体" w:hAnsi="宋体" w:eastAsia="宋体" w:cs="宋体"/>
          <w:b/>
          <w:bCs/>
          <w:color w:val="auto"/>
          <w:sz w:val="28"/>
          <w:szCs w:val="32"/>
          <w:highlight w:val="none"/>
        </w:rPr>
      </w:pPr>
      <w:r>
        <w:rPr>
          <w:rFonts w:hint="eastAsia" w:ascii="宋体" w:hAnsi="宋体" w:eastAsia="宋体" w:cs="宋体"/>
          <w:b/>
          <w:bCs/>
          <w:color w:val="auto"/>
          <w:sz w:val="28"/>
          <w:szCs w:val="32"/>
          <w:highlight w:val="none"/>
          <w:lang w:eastAsia="zh-CN"/>
        </w:rPr>
        <w:t>承接过</w:t>
      </w:r>
      <w:r>
        <w:rPr>
          <w:rFonts w:hint="eastAsia" w:ascii="宋体" w:hAnsi="宋体" w:eastAsia="宋体" w:cs="宋体"/>
          <w:b/>
          <w:bCs/>
          <w:color w:val="auto"/>
          <w:sz w:val="28"/>
          <w:szCs w:val="32"/>
          <w:highlight w:val="none"/>
        </w:rPr>
        <w:t>的</w:t>
      </w:r>
      <w:r>
        <w:rPr>
          <w:rFonts w:hint="eastAsia" w:ascii="宋体" w:hAnsi="宋体" w:eastAsia="宋体" w:cs="宋体"/>
          <w:b/>
          <w:bCs/>
          <w:color w:val="auto"/>
          <w:sz w:val="28"/>
          <w:szCs w:val="32"/>
          <w:highlight w:val="none"/>
          <w:lang w:eastAsia="zh-CN"/>
        </w:rPr>
        <w:t>同类项目</w:t>
      </w:r>
      <w:r>
        <w:rPr>
          <w:rFonts w:hint="eastAsia" w:ascii="宋体" w:hAnsi="宋体" w:eastAsia="宋体" w:cs="宋体"/>
          <w:b/>
          <w:bCs/>
          <w:color w:val="auto"/>
          <w:sz w:val="28"/>
          <w:szCs w:val="32"/>
          <w:highlight w:val="none"/>
        </w:rPr>
        <w:t>业绩一览表</w:t>
      </w:r>
    </w:p>
    <w:p>
      <w:pPr>
        <w:pStyle w:val="26"/>
        <w:rPr>
          <w:rFonts w:hint="eastAsia"/>
          <w:color w:val="auto"/>
          <w:sz w:val="18"/>
          <w:szCs w:val="20"/>
          <w:highlight w:val="none"/>
        </w:rPr>
      </w:pPr>
    </w:p>
    <w:p>
      <w:pPr>
        <w:pStyle w:val="16"/>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olor w:val="auto"/>
          <w:sz w:val="20"/>
          <w:szCs w:val="22"/>
          <w:highlight w:val="none"/>
          <w:u w:val="single"/>
          <w:lang w:val="en-US" w:eastAsia="zh-CN"/>
        </w:rPr>
      </w:pPr>
      <w:r>
        <w:rPr>
          <w:rFonts w:hint="eastAsia" w:ascii="宋体" w:hAnsi="宋体" w:eastAsia="宋体" w:cs="宋体"/>
          <w:b/>
          <w:bCs/>
          <w:color w:val="auto"/>
          <w:sz w:val="22"/>
          <w:szCs w:val="22"/>
          <w:highlight w:val="none"/>
        </w:rPr>
        <w:t>项目名称：</w:t>
      </w:r>
      <w:r>
        <w:rPr>
          <w:rFonts w:hint="eastAsia" w:hAnsi="宋体" w:cs="宋体"/>
          <w:bCs/>
          <w:color w:val="auto"/>
          <w:sz w:val="22"/>
          <w:szCs w:val="22"/>
          <w:highlight w:val="none"/>
          <w:u w:val="single"/>
          <w:lang w:eastAsia="zh-CN"/>
        </w:rPr>
        <w:t>椒江区前所街道圆山社区党群服务中心设计施工一体化项目</w:t>
      </w:r>
      <w:r>
        <w:rPr>
          <w:rFonts w:hint="eastAsia" w:ascii="宋体" w:hAnsi="宋体" w:eastAsia="宋体" w:cs="宋体"/>
          <w:bCs/>
          <w:color w:val="auto"/>
          <w:sz w:val="22"/>
          <w:szCs w:val="22"/>
          <w:highlight w:val="none"/>
          <w:u w:val="none"/>
          <w:lang w:val="en-US" w:eastAsia="zh-CN"/>
        </w:rPr>
        <w:t xml:space="preserve">      </w:t>
      </w:r>
      <w:r>
        <w:rPr>
          <w:rFonts w:hint="eastAsia" w:ascii="宋体" w:hAnsi="宋体" w:eastAsia="宋体" w:cs="宋体"/>
          <w:b/>
          <w:bCs w:val="0"/>
          <w:color w:val="auto"/>
          <w:sz w:val="22"/>
          <w:szCs w:val="22"/>
          <w:highlight w:val="none"/>
          <w:lang w:val="en-US" w:eastAsia="zh-CN"/>
        </w:rPr>
        <w:t>项目编号：</w:t>
      </w:r>
      <w:r>
        <w:rPr>
          <w:rFonts w:hint="eastAsia" w:hAnsi="宋体" w:cs="宋体"/>
          <w:bCs/>
          <w:color w:val="auto"/>
          <w:sz w:val="22"/>
          <w:szCs w:val="22"/>
          <w:highlight w:val="none"/>
          <w:u w:val="single"/>
          <w:lang w:val="en-US" w:eastAsia="zh-CN"/>
        </w:rPr>
        <w:t>YHZB-2023-0601</w:t>
      </w:r>
    </w:p>
    <w:tbl>
      <w:tblPr>
        <w:tblStyle w:val="27"/>
        <w:tblW w:w="951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699"/>
        <w:gridCol w:w="1406"/>
        <w:gridCol w:w="1693"/>
        <w:gridCol w:w="1493"/>
        <w:gridCol w:w="1673"/>
        <w:gridCol w:w="155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16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项目名称</w:t>
            </w:r>
          </w:p>
        </w:tc>
        <w:tc>
          <w:tcPr>
            <w:tcW w:w="140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项目类型</w:t>
            </w:r>
          </w:p>
        </w:tc>
        <w:tc>
          <w:tcPr>
            <w:tcW w:w="1693" w:type="dxa"/>
            <w:noWrap w:val="0"/>
            <w:vAlign w:val="center"/>
          </w:tcPr>
          <w:p>
            <w:pPr>
              <w:keepNext w:val="0"/>
              <w:keepLines w:val="0"/>
              <w:suppressLineNumbers w:val="0"/>
              <w:spacing w:before="0" w:beforeAutospacing="0" w:after="0" w:afterAutospacing="0"/>
              <w:ind w:left="-57" w:leftChars="-27" w:right="-65" w:rightChars="-3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简要描述</w:t>
            </w:r>
          </w:p>
        </w:tc>
        <w:tc>
          <w:tcPr>
            <w:tcW w:w="1493" w:type="dxa"/>
            <w:noWrap w:val="0"/>
            <w:vAlign w:val="center"/>
          </w:tcPr>
          <w:p>
            <w:pPr>
              <w:keepNext w:val="0"/>
              <w:keepLines w:val="0"/>
              <w:suppressLineNumbers w:val="0"/>
              <w:spacing w:before="0" w:beforeAutospacing="0" w:after="0" w:afterAutospacing="0"/>
              <w:ind w:left="-57" w:leftChars="-27" w:right="-65" w:rightChars="-3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实施时间</w:t>
            </w:r>
          </w:p>
        </w:tc>
        <w:tc>
          <w:tcPr>
            <w:tcW w:w="16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服务</w:t>
            </w:r>
            <w:r>
              <w:rPr>
                <w:rFonts w:hint="eastAsia" w:ascii="宋体" w:hAnsi="宋体" w:eastAsia="宋体" w:cs="宋体"/>
                <w:color w:val="auto"/>
                <w:sz w:val="22"/>
                <w:szCs w:val="22"/>
                <w:highlight w:val="none"/>
              </w:rPr>
              <w:t>单位、联系人及电话</w:t>
            </w:r>
          </w:p>
        </w:tc>
        <w:tc>
          <w:tcPr>
            <w:tcW w:w="155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3" w:hRule="exact"/>
          <w:jc w:val="center"/>
        </w:trPr>
        <w:tc>
          <w:tcPr>
            <w:tcW w:w="16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40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693" w:type="dxa"/>
            <w:noWrap w:val="0"/>
            <w:vAlign w:val="center"/>
          </w:tcPr>
          <w:p>
            <w:pPr>
              <w:keepNext w:val="0"/>
              <w:keepLines w:val="0"/>
              <w:suppressLineNumbers w:val="0"/>
              <w:spacing w:before="0" w:beforeAutospacing="0" w:after="0" w:afterAutospacing="0"/>
              <w:ind w:left="-57" w:leftChars="-27" w:right="-65" w:rightChars="-31"/>
              <w:jc w:val="center"/>
              <w:rPr>
                <w:rFonts w:hint="eastAsia" w:ascii="宋体" w:hAnsi="宋体" w:eastAsia="宋体" w:cs="宋体"/>
                <w:color w:val="auto"/>
                <w:sz w:val="22"/>
                <w:szCs w:val="22"/>
                <w:highlight w:val="none"/>
              </w:rPr>
            </w:pPr>
          </w:p>
        </w:tc>
        <w:tc>
          <w:tcPr>
            <w:tcW w:w="1493" w:type="dxa"/>
            <w:noWrap w:val="0"/>
            <w:vAlign w:val="center"/>
          </w:tcPr>
          <w:p>
            <w:pPr>
              <w:keepNext w:val="0"/>
              <w:keepLines w:val="0"/>
              <w:suppressLineNumbers w:val="0"/>
              <w:spacing w:before="0" w:beforeAutospacing="0" w:after="0" w:afterAutospacing="0"/>
              <w:ind w:left="-57" w:leftChars="-27" w:right="-65" w:rightChars="-31"/>
              <w:jc w:val="center"/>
              <w:rPr>
                <w:rFonts w:hint="eastAsia" w:ascii="宋体" w:hAnsi="宋体" w:eastAsia="宋体" w:cs="宋体"/>
                <w:color w:val="auto"/>
                <w:sz w:val="22"/>
                <w:szCs w:val="22"/>
                <w:highlight w:val="none"/>
              </w:rPr>
            </w:pPr>
          </w:p>
        </w:tc>
        <w:tc>
          <w:tcPr>
            <w:tcW w:w="16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5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3" w:hRule="exact"/>
          <w:jc w:val="center"/>
        </w:trPr>
        <w:tc>
          <w:tcPr>
            <w:tcW w:w="16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40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693" w:type="dxa"/>
            <w:noWrap w:val="0"/>
            <w:vAlign w:val="center"/>
          </w:tcPr>
          <w:p>
            <w:pPr>
              <w:keepNext w:val="0"/>
              <w:keepLines w:val="0"/>
              <w:suppressLineNumbers w:val="0"/>
              <w:spacing w:before="0" w:beforeAutospacing="0" w:after="0" w:afterAutospacing="0"/>
              <w:ind w:left="-57" w:leftChars="-27" w:right="-65" w:rightChars="-31"/>
              <w:jc w:val="center"/>
              <w:rPr>
                <w:rFonts w:hint="eastAsia" w:ascii="宋体" w:hAnsi="宋体" w:eastAsia="宋体" w:cs="宋体"/>
                <w:color w:val="auto"/>
                <w:sz w:val="22"/>
                <w:szCs w:val="22"/>
                <w:highlight w:val="none"/>
              </w:rPr>
            </w:pPr>
          </w:p>
        </w:tc>
        <w:tc>
          <w:tcPr>
            <w:tcW w:w="1493" w:type="dxa"/>
            <w:noWrap w:val="0"/>
            <w:vAlign w:val="center"/>
          </w:tcPr>
          <w:p>
            <w:pPr>
              <w:keepNext w:val="0"/>
              <w:keepLines w:val="0"/>
              <w:suppressLineNumbers w:val="0"/>
              <w:spacing w:before="0" w:beforeAutospacing="0" w:after="0" w:afterAutospacing="0"/>
              <w:ind w:left="-57" w:leftChars="-27" w:right="-65" w:rightChars="-31"/>
              <w:jc w:val="center"/>
              <w:rPr>
                <w:rFonts w:hint="eastAsia" w:ascii="宋体" w:hAnsi="宋体" w:eastAsia="宋体" w:cs="宋体"/>
                <w:color w:val="auto"/>
                <w:sz w:val="22"/>
                <w:szCs w:val="22"/>
                <w:highlight w:val="none"/>
              </w:rPr>
            </w:pPr>
          </w:p>
        </w:tc>
        <w:tc>
          <w:tcPr>
            <w:tcW w:w="16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5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3" w:hRule="exact"/>
          <w:jc w:val="center"/>
        </w:trPr>
        <w:tc>
          <w:tcPr>
            <w:tcW w:w="169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40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693" w:type="dxa"/>
            <w:noWrap w:val="0"/>
            <w:vAlign w:val="center"/>
          </w:tcPr>
          <w:p>
            <w:pPr>
              <w:keepNext w:val="0"/>
              <w:keepLines w:val="0"/>
              <w:suppressLineNumbers w:val="0"/>
              <w:spacing w:before="0" w:beforeAutospacing="0" w:after="0" w:afterAutospacing="0"/>
              <w:ind w:left="-57" w:leftChars="-27" w:right="-65" w:rightChars="-31"/>
              <w:jc w:val="center"/>
              <w:rPr>
                <w:rFonts w:hint="eastAsia" w:ascii="宋体" w:hAnsi="宋体" w:eastAsia="宋体" w:cs="宋体"/>
                <w:color w:val="auto"/>
                <w:sz w:val="22"/>
                <w:szCs w:val="22"/>
                <w:highlight w:val="none"/>
              </w:rPr>
            </w:pPr>
          </w:p>
        </w:tc>
        <w:tc>
          <w:tcPr>
            <w:tcW w:w="1493" w:type="dxa"/>
            <w:noWrap w:val="0"/>
            <w:vAlign w:val="center"/>
          </w:tcPr>
          <w:p>
            <w:pPr>
              <w:keepNext w:val="0"/>
              <w:keepLines w:val="0"/>
              <w:suppressLineNumbers w:val="0"/>
              <w:spacing w:before="0" w:beforeAutospacing="0" w:after="0" w:afterAutospacing="0"/>
              <w:ind w:left="-57" w:leftChars="-27" w:right="-65" w:rightChars="-31"/>
              <w:jc w:val="center"/>
              <w:rPr>
                <w:rFonts w:hint="eastAsia" w:ascii="宋体" w:hAnsi="宋体" w:eastAsia="宋体" w:cs="宋体"/>
                <w:color w:val="auto"/>
                <w:sz w:val="22"/>
                <w:szCs w:val="22"/>
                <w:highlight w:val="none"/>
              </w:rPr>
            </w:pPr>
          </w:p>
        </w:tc>
        <w:tc>
          <w:tcPr>
            <w:tcW w:w="16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5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exact"/>
          <w:jc w:val="center"/>
        </w:trPr>
        <w:tc>
          <w:tcPr>
            <w:tcW w:w="1699" w:type="dxa"/>
            <w:noWrap w:val="0"/>
            <w:vAlign w:val="center"/>
          </w:tcPr>
          <w:p>
            <w:pPr>
              <w:keepNext w:val="0"/>
              <w:keepLines w:val="0"/>
              <w:suppressLineNumbers w:val="0"/>
              <w:spacing w:before="0" w:beforeAutospacing="0" w:after="0" w:afterAutospacing="0"/>
              <w:ind w:left="0" w:right="0"/>
              <w:jc w:val="cente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w:t>
            </w:r>
          </w:p>
        </w:tc>
        <w:tc>
          <w:tcPr>
            <w:tcW w:w="140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w:t>
            </w:r>
          </w:p>
        </w:tc>
        <w:tc>
          <w:tcPr>
            <w:tcW w:w="1693" w:type="dxa"/>
            <w:noWrap w:val="0"/>
            <w:vAlign w:val="center"/>
          </w:tcPr>
          <w:p>
            <w:pPr>
              <w:keepNext w:val="0"/>
              <w:keepLines w:val="0"/>
              <w:suppressLineNumbers w:val="0"/>
              <w:spacing w:before="0" w:beforeAutospacing="0" w:after="0" w:afterAutospacing="0"/>
              <w:ind w:left="-57" w:leftChars="-27" w:right="-65" w:rightChars="-3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w:t>
            </w:r>
          </w:p>
        </w:tc>
        <w:tc>
          <w:tcPr>
            <w:tcW w:w="1493" w:type="dxa"/>
            <w:noWrap w:val="0"/>
            <w:vAlign w:val="center"/>
          </w:tcPr>
          <w:p>
            <w:pPr>
              <w:keepNext w:val="0"/>
              <w:keepLines w:val="0"/>
              <w:suppressLineNumbers w:val="0"/>
              <w:spacing w:before="0" w:beforeAutospacing="0" w:after="0" w:afterAutospacing="0"/>
              <w:ind w:left="-57" w:leftChars="-27" w:right="-65" w:rightChars="-3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w:t>
            </w:r>
          </w:p>
        </w:tc>
        <w:tc>
          <w:tcPr>
            <w:tcW w:w="167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w:t>
            </w:r>
          </w:p>
        </w:tc>
        <w:tc>
          <w:tcPr>
            <w:tcW w:w="155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w:t>
            </w:r>
          </w:p>
        </w:tc>
      </w:tr>
    </w:tbl>
    <w:p>
      <w:pPr>
        <w:spacing w:line="460" w:lineRule="exact"/>
        <w:ind w:firstLine="208" w:firstLineChars="100"/>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说明：1、表格中行数不够用时可按相同格式增加行数，其他一切内容和格式不得更改。</w:t>
      </w:r>
    </w:p>
    <w:p>
      <w:pPr>
        <w:spacing w:line="460" w:lineRule="exact"/>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2、随表须同时</w:t>
      </w:r>
      <w:r>
        <w:rPr>
          <w:rFonts w:hint="eastAsia" w:ascii="宋体" w:hAnsi="宋体" w:eastAsia="宋体" w:cs="宋体"/>
          <w:color w:val="auto"/>
          <w:sz w:val="22"/>
          <w:szCs w:val="22"/>
          <w:highlight w:val="none"/>
          <w:lang w:eastAsia="zh-CN"/>
        </w:rPr>
        <w:t>业绩合同扫描件加盖单位公章，否则不得分</w:t>
      </w:r>
      <w:r>
        <w:rPr>
          <w:rFonts w:hint="eastAsia" w:ascii="宋体" w:hAnsi="宋体" w:eastAsia="宋体" w:cs="宋体"/>
          <w:color w:val="auto"/>
          <w:sz w:val="22"/>
          <w:szCs w:val="22"/>
          <w:highlight w:val="none"/>
        </w:rPr>
        <w:t>。</w:t>
      </w:r>
    </w:p>
    <w:p>
      <w:pPr>
        <w:pStyle w:val="9"/>
        <w:rPr>
          <w:rFonts w:hint="eastAsia" w:ascii="宋体" w:hAnsi="宋体" w:eastAsia="宋体" w:cs="宋体"/>
          <w:color w:val="auto"/>
          <w:sz w:val="21"/>
          <w:szCs w:val="18"/>
          <w:highlight w:val="none"/>
        </w:rPr>
      </w:pPr>
    </w:p>
    <w:p>
      <w:pPr>
        <w:spacing w:line="460" w:lineRule="exact"/>
        <w:ind w:firstLine="2750" w:firstLineChars="125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全称：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（盖公章）</w:t>
      </w:r>
    </w:p>
    <w:p>
      <w:pPr>
        <w:spacing w:line="460" w:lineRule="exact"/>
        <w:ind w:firstLine="1815" w:firstLineChars="825"/>
        <w:jc w:val="right"/>
        <w:rPr>
          <w:rFonts w:hint="eastAsia" w:ascii="宋体" w:hAnsi="宋体" w:eastAsia="宋体" w:cs="宋体"/>
          <w:color w:val="auto"/>
          <w:sz w:val="22"/>
          <w:szCs w:val="22"/>
          <w:highlight w:val="none"/>
          <w:u w:val="single"/>
        </w:rPr>
      </w:pPr>
    </w:p>
    <w:p>
      <w:pPr>
        <w:spacing w:line="460" w:lineRule="exact"/>
        <w:ind w:firstLine="1210" w:firstLineChars="55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法定代表人</w:t>
      </w:r>
      <w:r>
        <w:rPr>
          <w:rFonts w:hint="eastAsia" w:ascii="宋体" w:hAnsi="宋体" w:eastAsia="宋体" w:cs="宋体"/>
          <w:i/>
          <w:color w:val="auto"/>
          <w:sz w:val="22"/>
          <w:szCs w:val="22"/>
          <w:highlight w:val="none"/>
        </w:rPr>
        <w:t>（负责人）</w:t>
      </w:r>
      <w:r>
        <w:rPr>
          <w:rFonts w:hint="eastAsia" w:ascii="宋体" w:hAnsi="宋体" w:eastAsia="宋体" w:cs="宋体"/>
          <w:color w:val="auto"/>
          <w:sz w:val="22"/>
          <w:szCs w:val="22"/>
          <w:highlight w:val="none"/>
        </w:rPr>
        <w:t>或委托代理人：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（签字或盖章）</w:t>
      </w:r>
    </w:p>
    <w:p>
      <w:pPr>
        <w:spacing w:line="460" w:lineRule="exact"/>
        <w:ind w:firstLine="1815" w:firstLineChars="825"/>
        <w:jc w:val="right"/>
        <w:rPr>
          <w:rFonts w:hint="eastAsia" w:ascii="宋体" w:hAnsi="宋体" w:eastAsia="宋体" w:cs="宋体"/>
          <w:color w:val="auto"/>
          <w:sz w:val="22"/>
          <w:szCs w:val="22"/>
          <w:highlight w:val="none"/>
        </w:rPr>
      </w:pPr>
    </w:p>
    <w:p>
      <w:pPr>
        <w:spacing w:line="46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年    月    日</w:t>
      </w:r>
    </w:p>
    <w:p>
      <w:pPr>
        <w:spacing w:line="460" w:lineRule="exact"/>
        <w:jc w:val="both"/>
        <w:outlineLvl w:val="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br w:type="page"/>
      </w:r>
      <w:bookmarkStart w:id="114" w:name="_Toc10835"/>
      <w:bookmarkStart w:id="115" w:name="_Toc25421"/>
      <w:r>
        <w:rPr>
          <w:rFonts w:hint="eastAsia" w:ascii="宋体" w:hAnsi="宋体" w:eastAsia="宋体" w:cs="宋体"/>
          <w:bCs/>
          <w:color w:val="auto"/>
          <w:sz w:val="20"/>
          <w:szCs w:val="22"/>
          <w:highlight w:val="none"/>
          <w:lang w:val="en-US" w:eastAsia="zh-CN"/>
        </w:rPr>
        <w:t>附件十八：</w:t>
      </w:r>
      <w:bookmarkEnd w:id="114"/>
      <w:bookmarkEnd w:id="115"/>
    </w:p>
    <w:p>
      <w:pPr>
        <w:pStyle w:val="16"/>
        <w:snapToGrid w:val="0"/>
        <w:spacing w:line="400" w:lineRule="exact"/>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eastAsia="zh-CN"/>
        </w:rPr>
        <w:t>商务技术</w:t>
      </w:r>
      <w:r>
        <w:rPr>
          <w:rFonts w:hint="eastAsia" w:ascii="宋体" w:hAnsi="宋体" w:eastAsia="宋体" w:cs="宋体"/>
          <w:b/>
          <w:color w:val="auto"/>
          <w:sz w:val="32"/>
          <w:szCs w:val="32"/>
          <w:highlight w:val="none"/>
        </w:rPr>
        <w:t>偏离表</w:t>
      </w:r>
    </w:p>
    <w:p>
      <w:pPr>
        <w:pStyle w:val="1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2"/>
          <w:szCs w:val="22"/>
          <w:highlight w:val="none"/>
        </w:rPr>
      </w:pPr>
    </w:p>
    <w:p>
      <w:pPr>
        <w:pStyle w:val="1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项目名称：</w:t>
      </w:r>
      <w:r>
        <w:rPr>
          <w:rFonts w:hint="eastAsia" w:hAnsi="宋体" w:cs="宋体"/>
          <w:bCs/>
          <w:color w:val="auto"/>
          <w:sz w:val="22"/>
          <w:szCs w:val="22"/>
          <w:highlight w:val="none"/>
          <w:u w:val="single"/>
          <w:lang w:eastAsia="zh-CN"/>
        </w:rPr>
        <w:t>椒江区前所街道圆山社区党群服务中心设计施工一体化项目</w:t>
      </w:r>
      <w:r>
        <w:rPr>
          <w:rFonts w:hint="eastAsia" w:ascii="宋体" w:hAnsi="宋体" w:eastAsia="宋体" w:cs="宋体"/>
          <w:bCs/>
          <w:color w:val="auto"/>
          <w:sz w:val="22"/>
          <w:szCs w:val="22"/>
          <w:highlight w:val="none"/>
          <w:u w:val="none"/>
          <w:lang w:val="en-US" w:eastAsia="zh-CN"/>
        </w:rPr>
        <w:t xml:space="preserve">       </w:t>
      </w:r>
      <w:r>
        <w:rPr>
          <w:rFonts w:hint="eastAsia" w:ascii="宋体" w:hAnsi="宋体" w:eastAsia="宋体" w:cs="宋体"/>
          <w:b/>
          <w:bCs w:val="0"/>
          <w:color w:val="auto"/>
          <w:sz w:val="22"/>
          <w:szCs w:val="22"/>
          <w:highlight w:val="none"/>
          <w:lang w:val="en-US" w:eastAsia="zh-CN"/>
        </w:rPr>
        <w:t>项目编号：</w:t>
      </w:r>
      <w:r>
        <w:rPr>
          <w:rFonts w:hint="eastAsia" w:hAnsi="宋体" w:cs="宋体"/>
          <w:bCs/>
          <w:color w:val="auto"/>
          <w:sz w:val="22"/>
          <w:szCs w:val="22"/>
          <w:highlight w:val="none"/>
          <w:u w:val="single"/>
          <w:lang w:val="en-US" w:eastAsia="zh-CN"/>
        </w:rPr>
        <w:t>YHZB-2023-0601</w:t>
      </w:r>
    </w:p>
    <w:tbl>
      <w:tblPr>
        <w:tblStyle w:val="27"/>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94"/>
        <w:gridCol w:w="2972"/>
        <w:gridCol w:w="2004"/>
        <w:gridCol w:w="1825"/>
        <w:gridCol w:w="144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94" w:type="dxa"/>
            <w:shd w:val="clear" w:color="auto" w:fill="D9D9D9"/>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2972" w:type="dxa"/>
            <w:shd w:val="clear" w:color="auto" w:fill="D9D9D9"/>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采购文件条目</w:t>
            </w:r>
          </w:p>
        </w:tc>
        <w:tc>
          <w:tcPr>
            <w:tcW w:w="2004" w:type="dxa"/>
            <w:shd w:val="clear" w:color="auto" w:fill="D9D9D9"/>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采购文件要求</w:t>
            </w:r>
          </w:p>
        </w:tc>
        <w:tc>
          <w:tcPr>
            <w:tcW w:w="1825" w:type="dxa"/>
            <w:shd w:val="clear" w:color="auto" w:fill="D9D9D9"/>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投标文件响应</w:t>
            </w:r>
          </w:p>
        </w:tc>
        <w:tc>
          <w:tcPr>
            <w:tcW w:w="1449" w:type="dxa"/>
            <w:shd w:val="clear" w:color="auto" w:fill="D9D9D9"/>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偏离情况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exact"/>
        </w:trPr>
        <w:tc>
          <w:tcPr>
            <w:tcW w:w="89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p>
        </w:tc>
        <w:tc>
          <w:tcPr>
            <w:tcW w:w="297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0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825"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44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exact"/>
        </w:trPr>
        <w:tc>
          <w:tcPr>
            <w:tcW w:w="89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p>
        </w:tc>
        <w:tc>
          <w:tcPr>
            <w:tcW w:w="297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0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825"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44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exact"/>
        </w:trPr>
        <w:tc>
          <w:tcPr>
            <w:tcW w:w="89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p>
        </w:tc>
        <w:tc>
          <w:tcPr>
            <w:tcW w:w="297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0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825"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44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exact"/>
        </w:trPr>
        <w:tc>
          <w:tcPr>
            <w:tcW w:w="89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97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0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825"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44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exact"/>
        </w:trPr>
        <w:tc>
          <w:tcPr>
            <w:tcW w:w="89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97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0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825"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44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exact"/>
        </w:trPr>
        <w:tc>
          <w:tcPr>
            <w:tcW w:w="89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97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0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825"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44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exact"/>
        </w:trPr>
        <w:tc>
          <w:tcPr>
            <w:tcW w:w="89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97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0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825"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44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exact"/>
        </w:trPr>
        <w:tc>
          <w:tcPr>
            <w:tcW w:w="89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97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0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825"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44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exact"/>
        </w:trPr>
        <w:tc>
          <w:tcPr>
            <w:tcW w:w="89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97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2004"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825"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c>
          <w:tcPr>
            <w:tcW w:w="1449"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highlight w:val="none"/>
              </w:rPr>
            </w:pPr>
          </w:p>
        </w:tc>
      </w:tr>
    </w:tbl>
    <w:p>
      <w:pPr>
        <w:spacing w:line="460" w:lineRule="exact"/>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说明：1、</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须将投标文件对招标文件</w:t>
      </w:r>
      <w:r>
        <w:rPr>
          <w:rFonts w:hint="eastAsia" w:ascii="宋体" w:hAnsi="宋体" w:eastAsia="宋体" w:cs="宋体"/>
          <w:color w:val="auto"/>
          <w:sz w:val="22"/>
          <w:szCs w:val="22"/>
          <w:highlight w:val="none"/>
          <w:lang w:val="en-US" w:eastAsia="zh-CN"/>
        </w:rPr>
        <w:t>第四章内容</w:t>
      </w:r>
      <w:r>
        <w:rPr>
          <w:rFonts w:hint="eastAsia" w:ascii="宋体" w:hAnsi="宋体" w:eastAsia="宋体" w:cs="宋体"/>
          <w:color w:val="auto"/>
          <w:sz w:val="22"/>
          <w:szCs w:val="22"/>
          <w:highlight w:val="none"/>
        </w:rPr>
        <w:t>的所有偏离</w:t>
      </w:r>
      <w:r>
        <w:rPr>
          <w:rFonts w:hint="eastAsia" w:ascii="宋体" w:hAnsi="宋体" w:eastAsia="宋体" w:cs="宋体"/>
          <w:color w:val="auto"/>
          <w:sz w:val="22"/>
          <w:szCs w:val="22"/>
          <w:highlight w:val="none"/>
          <w:lang w:eastAsia="zh-CN"/>
        </w:rPr>
        <w:t>（正偏离、无偏离、负偏离）</w:t>
      </w:r>
      <w:r>
        <w:rPr>
          <w:rFonts w:hint="eastAsia" w:ascii="宋体" w:hAnsi="宋体" w:eastAsia="宋体" w:cs="宋体"/>
          <w:color w:val="auto"/>
          <w:sz w:val="22"/>
          <w:szCs w:val="22"/>
          <w:highlight w:val="none"/>
        </w:rPr>
        <w:t>填入此表。</w:t>
      </w:r>
    </w:p>
    <w:p>
      <w:pPr>
        <w:spacing w:line="460" w:lineRule="exact"/>
        <w:ind w:firstLine="221" w:firstLineChars="100"/>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2、如不填写，视为完全响应招标文件的要求。</w:t>
      </w:r>
    </w:p>
    <w:p>
      <w:pPr>
        <w:spacing w:line="460" w:lineRule="exact"/>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表格中行数不够用时可按相同格式增加行数，其他一切内容和格式不得更改。</w:t>
      </w:r>
    </w:p>
    <w:p>
      <w:pPr>
        <w:pStyle w:val="22"/>
        <w:rPr>
          <w:rFonts w:hint="eastAsia" w:ascii="宋体" w:hAnsi="宋体" w:eastAsia="宋体" w:cs="宋体"/>
          <w:color w:val="auto"/>
          <w:spacing w:val="-6"/>
          <w:sz w:val="18"/>
          <w:szCs w:val="18"/>
          <w:highlight w:val="none"/>
        </w:rPr>
      </w:pPr>
    </w:p>
    <w:p>
      <w:pPr>
        <w:rPr>
          <w:rFonts w:hint="eastAsia" w:ascii="宋体" w:hAnsi="宋体" w:eastAsia="宋体" w:cs="宋体"/>
          <w:color w:val="auto"/>
          <w:sz w:val="20"/>
          <w:szCs w:val="22"/>
          <w:highlight w:val="none"/>
        </w:rPr>
      </w:pPr>
    </w:p>
    <w:p>
      <w:pPr>
        <w:spacing w:line="460" w:lineRule="exact"/>
        <w:ind w:firstLine="2750" w:firstLineChars="125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全称：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（盖公章）</w:t>
      </w:r>
    </w:p>
    <w:p>
      <w:pPr>
        <w:spacing w:line="460" w:lineRule="exact"/>
        <w:ind w:firstLine="1815" w:firstLineChars="825"/>
        <w:jc w:val="right"/>
        <w:rPr>
          <w:rFonts w:hint="eastAsia" w:ascii="宋体" w:hAnsi="宋体" w:eastAsia="宋体" w:cs="宋体"/>
          <w:color w:val="auto"/>
          <w:sz w:val="22"/>
          <w:szCs w:val="22"/>
          <w:highlight w:val="none"/>
          <w:u w:val="single"/>
        </w:rPr>
      </w:pPr>
    </w:p>
    <w:p>
      <w:pPr>
        <w:spacing w:line="460" w:lineRule="exact"/>
        <w:ind w:firstLine="1210" w:firstLineChars="55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法定代表人</w:t>
      </w:r>
      <w:r>
        <w:rPr>
          <w:rFonts w:hint="eastAsia" w:ascii="宋体" w:hAnsi="宋体" w:eastAsia="宋体" w:cs="宋体"/>
          <w:i/>
          <w:color w:val="auto"/>
          <w:sz w:val="22"/>
          <w:szCs w:val="22"/>
          <w:highlight w:val="none"/>
        </w:rPr>
        <w:t>（负责人）</w:t>
      </w:r>
      <w:r>
        <w:rPr>
          <w:rFonts w:hint="eastAsia" w:ascii="宋体" w:hAnsi="宋体" w:eastAsia="宋体" w:cs="宋体"/>
          <w:color w:val="auto"/>
          <w:sz w:val="22"/>
          <w:szCs w:val="22"/>
          <w:highlight w:val="none"/>
        </w:rPr>
        <w:t>或委托代理人：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（签字或盖章）</w:t>
      </w:r>
    </w:p>
    <w:p>
      <w:pPr>
        <w:spacing w:line="460" w:lineRule="exact"/>
        <w:ind w:firstLine="1815" w:firstLineChars="825"/>
        <w:jc w:val="right"/>
        <w:rPr>
          <w:rFonts w:hint="eastAsia" w:ascii="宋体" w:hAnsi="宋体" w:eastAsia="宋体" w:cs="宋体"/>
          <w:color w:val="auto"/>
          <w:sz w:val="22"/>
          <w:szCs w:val="22"/>
          <w:highlight w:val="none"/>
        </w:rPr>
      </w:pPr>
    </w:p>
    <w:p>
      <w:pPr>
        <w:spacing w:line="46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年    月    日</w:t>
      </w:r>
    </w:p>
    <w:p>
      <w:pPr>
        <w:pStyle w:val="26"/>
        <w:rPr>
          <w:rFonts w:hint="eastAsia"/>
          <w:color w:val="auto"/>
          <w:sz w:val="18"/>
          <w:szCs w:val="20"/>
          <w:highlight w:val="none"/>
        </w:rPr>
      </w:pPr>
    </w:p>
    <w:p>
      <w:pPr>
        <w:spacing w:line="460" w:lineRule="exact"/>
        <w:outlineLvl w:val="0"/>
        <w:rPr>
          <w:rFonts w:hint="eastAsia" w:ascii="宋体" w:hAnsi="宋体" w:eastAsia="宋体" w:cs="宋体"/>
          <w:b/>
          <w:i/>
          <w:color w:val="auto"/>
          <w:sz w:val="28"/>
          <w:szCs w:val="28"/>
          <w:highlight w:val="none"/>
          <w:u w:val="single"/>
        </w:rPr>
      </w:pPr>
      <w:r>
        <w:rPr>
          <w:rFonts w:hint="eastAsia" w:ascii="宋体" w:hAnsi="宋体" w:eastAsia="宋体" w:cs="宋体"/>
          <w:bCs/>
          <w:color w:val="auto"/>
          <w:sz w:val="20"/>
          <w:szCs w:val="22"/>
          <w:highlight w:val="none"/>
        </w:rPr>
        <w:br w:type="page"/>
      </w:r>
      <w:bookmarkStart w:id="116" w:name="_Toc32503"/>
      <w:bookmarkStart w:id="117" w:name="_Toc21521"/>
      <w:r>
        <w:rPr>
          <w:rFonts w:hint="eastAsia" w:ascii="宋体" w:hAnsi="宋体" w:eastAsia="宋体" w:cs="宋体"/>
          <w:color w:val="auto"/>
          <w:sz w:val="20"/>
          <w:szCs w:val="20"/>
          <w:highlight w:val="none"/>
        </w:rPr>
        <w:t>附件</w:t>
      </w:r>
      <w:r>
        <w:rPr>
          <w:rFonts w:hint="eastAsia" w:ascii="宋体" w:hAnsi="宋体" w:eastAsia="宋体" w:cs="宋体"/>
          <w:color w:val="auto"/>
          <w:sz w:val="20"/>
          <w:szCs w:val="20"/>
          <w:highlight w:val="none"/>
          <w:lang w:eastAsia="zh-CN"/>
        </w:rPr>
        <w:t>十九</w:t>
      </w:r>
      <w:r>
        <w:rPr>
          <w:rFonts w:hint="eastAsia" w:ascii="宋体" w:hAnsi="宋体" w:eastAsia="宋体" w:cs="宋体"/>
          <w:color w:val="auto"/>
          <w:sz w:val="20"/>
          <w:szCs w:val="20"/>
          <w:highlight w:val="none"/>
        </w:rPr>
        <w:t>：</w:t>
      </w:r>
      <w:bookmarkEnd w:id="116"/>
      <w:bookmarkEnd w:id="117"/>
      <w:r>
        <w:rPr>
          <w:rFonts w:hint="eastAsia" w:ascii="宋体" w:hAnsi="宋体" w:eastAsia="宋体" w:cs="宋体"/>
          <w:b/>
          <w:color w:val="auto"/>
          <w:sz w:val="24"/>
          <w:szCs w:val="22"/>
          <w:highlight w:val="none"/>
        </w:rPr>
        <w:t xml:space="preserve">                                             </w:t>
      </w:r>
    </w:p>
    <w:p>
      <w:pPr>
        <w:spacing w:line="640" w:lineRule="exact"/>
        <w:rPr>
          <w:rFonts w:hint="eastAsia" w:ascii="宋体" w:hAnsi="宋体" w:eastAsia="宋体" w:cs="宋体"/>
          <w:color w:val="auto"/>
          <w:sz w:val="44"/>
          <w:szCs w:val="44"/>
          <w:highlight w:val="none"/>
        </w:rPr>
      </w:pPr>
    </w:p>
    <w:p>
      <w:pPr>
        <w:spacing w:before="156" w:beforeLines="50" w:after="156" w:afterLines="50" w:line="640" w:lineRule="exact"/>
        <w:jc w:val="center"/>
        <w:rPr>
          <w:rFonts w:hint="eastAsia" w:ascii="宋体" w:hAnsi="宋体" w:eastAsia="宋体" w:cs="宋体"/>
          <w:b/>
          <w:bCs/>
          <w:color w:val="auto"/>
          <w:sz w:val="44"/>
          <w:szCs w:val="44"/>
          <w:highlight w:val="none"/>
          <w:lang w:eastAsia="zh-CN"/>
        </w:rPr>
      </w:pPr>
      <w:r>
        <w:rPr>
          <w:rFonts w:hint="eastAsia" w:ascii="宋体" w:hAnsi="宋体" w:cs="宋体"/>
          <w:b/>
          <w:bCs/>
          <w:color w:val="auto"/>
          <w:sz w:val="44"/>
          <w:szCs w:val="44"/>
          <w:highlight w:val="none"/>
          <w:lang w:eastAsia="zh-CN"/>
        </w:rPr>
        <w:t>椒江区前所街道圆山社区党群服务中心设计施工一体化项目</w:t>
      </w:r>
    </w:p>
    <w:p>
      <w:pPr>
        <w:spacing w:before="156" w:beforeLines="50" w:after="156" w:afterLines="50" w:line="640" w:lineRule="exact"/>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（线上电子招投标）</w:t>
      </w:r>
    </w:p>
    <w:p>
      <w:pPr>
        <w:spacing w:before="156" w:beforeLines="50" w:after="156" w:afterLines="50" w:line="640" w:lineRule="exact"/>
        <w:jc w:val="center"/>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rPr>
        <w:t>项目编号：</w:t>
      </w:r>
      <w:r>
        <w:rPr>
          <w:rFonts w:hint="eastAsia" w:ascii="宋体" w:hAnsi="宋体" w:cs="宋体"/>
          <w:color w:val="auto"/>
          <w:sz w:val="32"/>
          <w:szCs w:val="32"/>
          <w:highlight w:val="none"/>
          <w:lang w:eastAsia="zh-CN"/>
        </w:rPr>
        <w:t>YHZB-2023-0601</w:t>
      </w:r>
    </w:p>
    <w:p>
      <w:pPr>
        <w:spacing w:line="900" w:lineRule="exact"/>
        <w:jc w:val="center"/>
        <w:rPr>
          <w:rFonts w:hint="eastAsia" w:ascii="宋体" w:hAnsi="宋体" w:eastAsia="宋体" w:cs="宋体"/>
          <w:i/>
          <w:color w:val="auto"/>
          <w:sz w:val="28"/>
          <w:szCs w:val="22"/>
          <w:highlight w:val="none"/>
        </w:rPr>
      </w:pPr>
      <w:r>
        <w:rPr>
          <w:rFonts w:hint="eastAsia" w:ascii="宋体" w:hAnsi="宋体" w:eastAsia="宋体" w:cs="宋体"/>
          <w:i/>
          <w:color w:val="auto"/>
          <w:sz w:val="28"/>
          <w:szCs w:val="22"/>
          <w:highlight w:val="none"/>
        </w:rPr>
        <w:t xml:space="preserve">   </w:t>
      </w:r>
    </w:p>
    <w:p>
      <w:pPr>
        <w:spacing w:line="900" w:lineRule="exact"/>
        <w:jc w:val="center"/>
        <w:rPr>
          <w:rFonts w:hint="eastAsia" w:ascii="宋体" w:hAnsi="宋体" w:eastAsia="宋体" w:cs="宋体"/>
          <w:i/>
          <w:color w:val="auto"/>
          <w:sz w:val="28"/>
          <w:szCs w:val="22"/>
          <w:highlight w:val="none"/>
        </w:rPr>
      </w:pP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报</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价</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文</w:t>
      </w:r>
    </w:p>
    <w:p>
      <w:pPr>
        <w:spacing w:line="900" w:lineRule="exact"/>
        <w:jc w:val="center"/>
        <w:rPr>
          <w:rFonts w:hint="eastAsia" w:ascii="宋体" w:hAnsi="宋体" w:eastAsia="宋体" w:cs="宋体"/>
          <w:color w:val="auto"/>
          <w:sz w:val="72"/>
          <w:szCs w:val="22"/>
          <w:highlight w:val="none"/>
        </w:rPr>
      </w:pPr>
      <w:r>
        <w:rPr>
          <w:rFonts w:hint="eastAsia" w:ascii="宋体" w:hAnsi="宋体" w:eastAsia="宋体" w:cs="宋体"/>
          <w:color w:val="auto"/>
          <w:sz w:val="72"/>
          <w:szCs w:val="22"/>
          <w:highlight w:val="none"/>
        </w:rPr>
        <w:t>件</w:t>
      </w:r>
    </w:p>
    <w:p>
      <w:pPr>
        <w:spacing w:line="900" w:lineRule="exact"/>
        <w:ind w:firstLine="2100" w:firstLineChars="750"/>
        <w:rPr>
          <w:rFonts w:hint="eastAsia" w:ascii="宋体" w:hAnsi="宋体" w:eastAsia="宋体" w:cs="宋体"/>
          <w:color w:val="auto"/>
          <w:sz w:val="28"/>
          <w:szCs w:val="22"/>
          <w:highlight w:val="none"/>
        </w:rPr>
      </w:pPr>
    </w:p>
    <w:p>
      <w:pPr>
        <w:spacing w:after="156" w:afterLines="50" w:line="900" w:lineRule="exact"/>
        <w:rPr>
          <w:rFonts w:hint="eastAsia" w:ascii="宋体" w:hAnsi="宋体" w:eastAsia="宋体" w:cs="宋体"/>
          <w:color w:val="auto"/>
          <w:sz w:val="32"/>
          <w:szCs w:val="32"/>
          <w:highlight w:val="none"/>
          <w:u w:val="single"/>
        </w:rPr>
      </w:pPr>
      <w:r>
        <w:rPr>
          <w:rFonts w:hint="eastAsia" w:ascii="宋体" w:hAnsi="宋体" w:eastAsia="宋体" w:cs="宋体"/>
          <w:color w:val="auto"/>
          <w:sz w:val="32"/>
          <w:szCs w:val="32"/>
          <w:highlight w:val="none"/>
          <w:lang w:eastAsia="zh-CN"/>
        </w:rPr>
        <w:t>供应商</w:t>
      </w:r>
      <w:r>
        <w:rPr>
          <w:rFonts w:hint="eastAsia" w:ascii="宋体" w:hAnsi="宋体" w:eastAsia="宋体" w:cs="宋体"/>
          <w:color w:val="auto"/>
          <w:sz w:val="32"/>
          <w:szCs w:val="32"/>
          <w:highlight w:val="none"/>
        </w:rPr>
        <w:t>全称</w:t>
      </w:r>
      <w:r>
        <w:rPr>
          <w:rFonts w:hint="eastAsia" w:ascii="宋体" w:hAnsi="宋体" w:eastAsia="宋体" w:cs="宋体"/>
          <w:color w:val="auto"/>
          <w:sz w:val="32"/>
          <w:szCs w:val="32"/>
          <w:highlight w:val="none"/>
          <w:u w:val="single"/>
        </w:rPr>
        <w:t xml:space="preserve">                               </w:t>
      </w:r>
      <w:r>
        <w:rPr>
          <w:rFonts w:hint="eastAsia" w:ascii="宋体" w:hAnsi="宋体" w:eastAsia="宋体" w:cs="宋体"/>
          <w:color w:val="auto"/>
          <w:sz w:val="32"/>
          <w:szCs w:val="32"/>
          <w:highlight w:val="none"/>
        </w:rPr>
        <w:t>（盖公章）</w:t>
      </w:r>
    </w:p>
    <w:p>
      <w:pPr>
        <w:spacing w:after="156" w:afterLines="50" w:line="900" w:lineRule="exact"/>
        <w:ind w:firstLine="3200" w:firstLineChars="1000"/>
        <w:rPr>
          <w:rFonts w:hint="eastAsia" w:ascii="宋体" w:hAnsi="宋体" w:eastAsia="宋体" w:cs="宋体"/>
          <w:color w:val="auto"/>
          <w:sz w:val="20"/>
          <w:szCs w:val="22"/>
          <w:highlight w:val="none"/>
        </w:rPr>
      </w:pPr>
      <w:r>
        <w:rPr>
          <w:rFonts w:hint="eastAsia" w:ascii="宋体" w:hAnsi="宋体" w:eastAsia="宋体" w:cs="宋体"/>
          <w:color w:val="auto"/>
          <w:sz w:val="32"/>
          <w:szCs w:val="32"/>
          <w:highlight w:val="none"/>
        </w:rPr>
        <w:t>年  月  日</w:t>
      </w:r>
      <w:r>
        <w:rPr>
          <w:rFonts w:hint="eastAsia" w:ascii="宋体" w:hAnsi="宋体" w:eastAsia="宋体" w:cs="宋体"/>
          <w:color w:val="auto"/>
          <w:sz w:val="24"/>
          <w:szCs w:val="24"/>
          <w:highlight w:val="none"/>
        </w:rPr>
        <w:t xml:space="preserve"> </w:t>
      </w:r>
    </w:p>
    <w:p>
      <w:pPr>
        <w:spacing w:after="156" w:afterLines="50" w:line="900" w:lineRule="exact"/>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投标截止时间前其他单位或个人不得解密、提取</w:t>
      </w:r>
    </w:p>
    <w:p>
      <w:pPr>
        <w:spacing w:line="460" w:lineRule="exac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br w:type="page"/>
      </w:r>
      <w:bookmarkStart w:id="118" w:name="_Toc23365"/>
      <w:bookmarkStart w:id="119" w:name="_Toc12120"/>
      <w:bookmarkStart w:id="120" w:name="_Toc27912"/>
      <w:r>
        <w:rPr>
          <w:rFonts w:hint="eastAsia" w:ascii="宋体" w:hAnsi="宋体" w:eastAsia="宋体" w:cs="宋体"/>
          <w:bCs/>
          <w:color w:val="auto"/>
          <w:sz w:val="20"/>
          <w:szCs w:val="22"/>
          <w:highlight w:val="none"/>
        </w:rPr>
        <w:t>附件</w:t>
      </w:r>
      <w:r>
        <w:rPr>
          <w:rFonts w:hint="eastAsia" w:ascii="宋体" w:hAnsi="宋体" w:eastAsia="宋体" w:cs="宋体"/>
          <w:bCs/>
          <w:color w:val="auto"/>
          <w:sz w:val="20"/>
          <w:szCs w:val="22"/>
          <w:highlight w:val="none"/>
          <w:lang w:eastAsia="zh-CN"/>
        </w:rPr>
        <w:t>二十</w:t>
      </w:r>
      <w:r>
        <w:rPr>
          <w:rFonts w:hint="eastAsia" w:ascii="宋体" w:hAnsi="宋体" w:eastAsia="宋体" w:cs="宋体"/>
          <w:bCs/>
          <w:color w:val="auto"/>
          <w:sz w:val="20"/>
          <w:szCs w:val="22"/>
          <w:highlight w:val="none"/>
        </w:rPr>
        <w:t>：</w:t>
      </w:r>
      <w:bookmarkEnd w:id="118"/>
      <w:bookmarkEnd w:id="119"/>
      <w:bookmarkEnd w:id="120"/>
    </w:p>
    <w:p>
      <w:pPr>
        <w:spacing w:line="420" w:lineRule="exact"/>
        <w:jc w:val="center"/>
        <w:rPr>
          <w:rFonts w:hint="eastAsia" w:ascii="宋体" w:hAnsi="宋体" w:eastAsia="宋体" w:cs="宋体"/>
          <w:color w:val="auto"/>
          <w:sz w:val="40"/>
          <w:szCs w:val="40"/>
          <w:highlight w:val="none"/>
        </w:rPr>
      </w:pPr>
      <w:r>
        <w:rPr>
          <w:rFonts w:hint="eastAsia" w:ascii="宋体" w:hAnsi="宋体" w:eastAsia="宋体" w:cs="宋体"/>
          <w:b/>
          <w:bCs/>
          <w:color w:val="auto"/>
          <w:sz w:val="40"/>
          <w:szCs w:val="40"/>
          <w:highlight w:val="none"/>
        </w:rPr>
        <w:t>投 标 函</w:t>
      </w:r>
    </w:p>
    <w:p>
      <w:pPr>
        <w:spacing w:line="360" w:lineRule="auto"/>
        <w:rPr>
          <w:rFonts w:hint="eastAsia" w:ascii="宋体" w:hAnsi="宋体" w:eastAsia="宋体" w:cs="宋体"/>
          <w:color w:val="auto"/>
          <w:sz w:val="22"/>
          <w:szCs w:val="22"/>
          <w:highlight w:val="none"/>
        </w:rPr>
      </w:pPr>
    </w:p>
    <w:p>
      <w:pPr>
        <w:spacing w:line="360" w:lineRule="auto"/>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rPr>
        <w:t>致</w:t>
      </w:r>
      <w:r>
        <w:rPr>
          <w:rFonts w:hint="eastAsia" w:ascii="宋体" w:hAnsi="宋体" w:cs="宋体"/>
          <w:color w:val="auto"/>
          <w:sz w:val="22"/>
          <w:szCs w:val="22"/>
          <w:highlight w:val="none"/>
          <w:u w:val="single"/>
          <w:lang w:eastAsia="zh-CN"/>
        </w:rPr>
        <w:t>台州市椒江区人民政府前所街道办事处</w:t>
      </w:r>
      <w:r>
        <w:rPr>
          <w:rFonts w:hint="eastAsia" w:ascii="宋体" w:hAnsi="宋体" w:eastAsia="宋体" w:cs="宋体"/>
          <w:color w:val="auto"/>
          <w:sz w:val="22"/>
          <w:szCs w:val="22"/>
          <w:highlight w:val="none"/>
        </w:rPr>
        <w:t>：</w:t>
      </w:r>
    </w:p>
    <w:p>
      <w:pPr>
        <w:spacing w:before="156" w:beforeLines="50"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（姓名）系</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名称）的法定代表人（负责人），我方愿意参加贵方组织的</w:t>
      </w:r>
      <w:r>
        <w:rPr>
          <w:rFonts w:hint="eastAsia" w:ascii="宋体" w:hAnsi="宋体" w:cs="宋体"/>
          <w:color w:val="auto"/>
          <w:sz w:val="22"/>
          <w:szCs w:val="22"/>
          <w:highlight w:val="none"/>
          <w:u w:val="single"/>
          <w:lang w:eastAsia="zh-CN"/>
        </w:rPr>
        <w:t>椒江区前所街道圆山社区党群服务中心设计施工一体化项目</w:t>
      </w:r>
      <w:r>
        <w:rPr>
          <w:rFonts w:hint="eastAsia" w:ascii="宋体" w:hAnsi="宋体" w:eastAsia="宋体" w:cs="宋体"/>
          <w:color w:val="auto"/>
          <w:sz w:val="22"/>
          <w:szCs w:val="22"/>
          <w:highlight w:val="none"/>
          <w:u w:val="single"/>
          <w:lang w:eastAsia="zh-CN"/>
        </w:rPr>
        <w:t>（项目编号：</w:t>
      </w:r>
      <w:r>
        <w:rPr>
          <w:rFonts w:hint="eastAsia" w:ascii="宋体" w:hAnsi="宋体" w:cs="宋体"/>
          <w:color w:val="auto"/>
          <w:sz w:val="22"/>
          <w:szCs w:val="22"/>
          <w:highlight w:val="none"/>
          <w:u w:val="single"/>
          <w:lang w:eastAsia="zh-CN"/>
        </w:rPr>
        <w:t>YHZB-2023-0601</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rPr>
        <w:t>的投标，为便于贵方公正、择优地确定中标供应商及其投标产品和服务，我方就本次投标有关事项郑重声明如下：</w:t>
      </w:r>
    </w:p>
    <w:p>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1、我方已详细阅读全部招标文件，同意招标文件中的各项要求；</w:t>
      </w:r>
    </w:p>
    <w:p>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2、我方向贵方提交的所有投标文件资料都是准确的和真实的；</w:t>
      </w:r>
    </w:p>
    <w:p>
      <w:pPr>
        <w:spacing w:line="400" w:lineRule="exact"/>
        <w:ind w:firstLine="440" w:firstLineChars="200"/>
        <w:rPr>
          <w:rFonts w:hint="eastAsia" w:ascii="宋体" w:hAnsi="宋体" w:eastAsia="宋体" w:cs="宋体"/>
          <w:i/>
          <w:color w:val="auto"/>
          <w:sz w:val="22"/>
          <w:szCs w:val="22"/>
          <w:highlight w:val="none"/>
        </w:rPr>
      </w:pPr>
      <w:r>
        <w:rPr>
          <w:rFonts w:hint="eastAsia" w:ascii="宋体" w:hAnsi="宋体" w:eastAsia="宋体" w:cs="宋体"/>
          <w:color w:val="auto"/>
          <w:sz w:val="22"/>
          <w:szCs w:val="22"/>
          <w:highlight w:val="none"/>
        </w:rPr>
        <w:t>3、我方此次向贵方提供的服务，我方有能力提供；</w:t>
      </w:r>
    </w:p>
    <w:p>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4、服务</w:t>
      </w:r>
      <w:r>
        <w:rPr>
          <w:rFonts w:hint="eastAsia" w:ascii="宋体" w:hAnsi="宋体" w:eastAsia="宋体" w:cs="宋体"/>
          <w:color w:val="auto"/>
          <w:sz w:val="22"/>
          <w:szCs w:val="22"/>
          <w:highlight w:val="none"/>
          <w:lang w:val="en-US" w:eastAsia="zh-CN"/>
        </w:rPr>
        <w:t>期限</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u w:val="single"/>
          <w:lang w:val="en-US" w:eastAsia="zh-CN"/>
        </w:rPr>
        <w:t xml:space="preserve"> </w:t>
      </w:r>
      <w:r>
        <w:rPr>
          <w:rFonts w:hint="eastAsia" w:ascii="宋体" w:hAnsi="宋体" w:cs="宋体"/>
          <w:color w:val="auto"/>
          <w:sz w:val="22"/>
          <w:szCs w:val="22"/>
          <w:highlight w:val="none"/>
          <w:u w:val="single"/>
          <w:lang w:val="en-US" w:eastAsia="zh-CN"/>
        </w:rPr>
        <w:t>80日历天</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rPr>
        <w:t>。</w:t>
      </w:r>
    </w:p>
    <w:p>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5、本投标有效期90天；</w:t>
      </w:r>
    </w:p>
    <w:p>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rPr>
        <w:t>、我方承诺在投标有效期内不修改、不撤销投标文件；</w:t>
      </w:r>
    </w:p>
    <w:p>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7</w:t>
      </w:r>
      <w:r>
        <w:rPr>
          <w:rFonts w:hint="eastAsia" w:ascii="宋体" w:hAnsi="宋体" w:eastAsia="宋体" w:cs="宋体"/>
          <w:color w:val="auto"/>
          <w:sz w:val="22"/>
          <w:szCs w:val="22"/>
          <w:highlight w:val="none"/>
        </w:rPr>
        <w:t>、按招标文件的规定履行合同责任和义务。</w:t>
      </w:r>
    </w:p>
    <w:p>
      <w:pPr>
        <w:spacing w:line="420" w:lineRule="exact"/>
        <w:ind w:firstLine="495" w:firstLineChars="225"/>
        <w:rPr>
          <w:rFonts w:hint="eastAsia" w:ascii="宋体" w:hAnsi="宋体" w:eastAsia="宋体" w:cs="宋体"/>
          <w:color w:val="auto"/>
          <w:sz w:val="22"/>
          <w:szCs w:val="22"/>
          <w:highlight w:val="none"/>
        </w:rPr>
      </w:pPr>
    </w:p>
    <w:p>
      <w:pPr>
        <w:spacing w:line="360" w:lineRule="exact"/>
        <w:ind w:firstLine="560"/>
        <w:rPr>
          <w:rFonts w:hint="eastAsia" w:ascii="宋体" w:hAnsi="宋体" w:eastAsia="宋体" w:cs="宋体"/>
          <w:color w:val="auto"/>
          <w:sz w:val="22"/>
          <w:szCs w:val="22"/>
          <w:highlight w:val="none"/>
          <w:u w:val="single"/>
        </w:rPr>
      </w:pPr>
    </w:p>
    <w:p>
      <w:pPr>
        <w:spacing w:line="360" w:lineRule="exact"/>
        <w:ind w:firstLine="56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全称：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（盖公章）</w:t>
      </w:r>
    </w:p>
    <w:p>
      <w:pPr>
        <w:spacing w:line="360" w:lineRule="exact"/>
        <w:ind w:firstLine="56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法定代表人</w:t>
      </w:r>
      <w:r>
        <w:rPr>
          <w:rFonts w:hint="eastAsia" w:ascii="宋体" w:hAnsi="宋体" w:eastAsia="宋体" w:cs="宋体"/>
          <w:i/>
          <w:color w:val="auto"/>
          <w:sz w:val="22"/>
          <w:szCs w:val="22"/>
          <w:highlight w:val="none"/>
        </w:rPr>
        <w:t>（负责人）</w:t>
      </w:r>
      <w:r>
        <w:rPr>
          <w:rFonts w:hint="eastAsia" w:ascii="宋体" w:hAnsi="宋体" w:eastAsia="宋体" w:cs="宋体"/>
          <w:color w:val="auto"/>
          <w:sz w:val="22"/>
          <w:szCs w:val="22"/>
          <w:highlight w:val="none"/>
        </w:rPr>
        <w:t>或委托代理人：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（签字或盖章）</w:t>
      </w:r>
    </w:p>
    <w:p>
      <w:pPr>
        <w:spacing w:line="420" w:lineRule="exact"/>
        <w:ind w:firstLine="495" w:firstLineChars="225"/>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rPr>
        <w:t>单位地址：</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邮编：</w:t>
      </w:r>
      <w:r>
        <w:rPr>
          <w:rFonts w:hint="eastAsia" w:ascii="宋体" w:hAnsi="宋体" w:eastAsia="宋体" w:cs="宋体"/>
          <w:color w:val="auto"/>
          <w:sz w:val="22"/>
          <w:szCs w:val="22"/>
          <w:highlight w:val="none"/>
          <w:u w:val="single"/>
        </w:rPr>
        <w:t xml:space="preserve">                  </w:t>
      </w:r>
    </w:p>
    <w:p>
      <w:pPr>
        <w:spacing w:line="420" w:lineRule="exact"/>
        <w:ind w:firstLine="495" w:firstLineChars="225"/>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rPr>
        <w:t>电话：</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传真：</w:t>
      </w:r>
      <w:r>
        <w:rPr>
          <w:rFonts w:hint="eastAsia" w:ascii="宋体" w:hAnsi="宋体" w:eastAsia="宋体" w:cs="宋体"/>
          <w:color w:val="auto"/>
          <w:sz w:val="22"/>
          <w:szCs w:val="22"/>
          <w:highlight w:val="none"/>
          <w:u w:val="single"/>
        </w:rPr>
        <w:t xml:space="preserve">                         </w:t>
      </w:r>
    </w:p>
    <w:p>
      <w:pPr>
        <w:spacing w:line="360" w:lineRule="exact"/>
        <w:ind w:firstLine="560"/>
        <w:rPr>
          <w:rFonts w:hint="eastAsia" w:ascii="宋体" w:hAnsi="宋体" w:eastAsia="宋体" w:cs="宋体"/>
          <w:color w:val="auto"/>
          <w:sz w:val="22"/>
          <w:szCs w:val="22"/>
          <w:highlight w:val="none"/>
          <w:u w:val="single"/>
        </w:rPr>
      </w:pPr>
    </w:p>
    <w:p>
      <w:pPr>
        <w:spacing w:line="360" w:lineRule="exact"/>
        <w:ind w:firstLine="560"/>
        <w:rPr>
          <w:rFonts w:hint="eastAsia" w:ascii="宋体" w:hAnsi="宋体" w:eastAsia="宋体" w:cs="宋体"/>
          <w:color w:val="auto"/>
          <w:sz w:val="22"/>
          <w:szCs w:val="22"/>
          <w:highlight w:val="none"/>
          <w:u w:val="single"/>
        </w:rPr>
      </w:pPr>
    </w:p>
    <w:p>
      <w:pPr>
        <w:spacing w:line="420" w:lineRule="exact"/>
        <w:ind w:right="480" w:firstLine="56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pPr>
        <w:spacing w:line="360" w:lineRule="exact"/>
        <w:ind w:firstLine="560"/>
        <w:rPr>
          <w:rFonts w:hint="eastAsia" w:ascii="宋体" w:hAnsi="宋体" w:eastAsia="宋体" w:cs="宋体"/>
          <w:bCs/>
          <w:color w:val="auto"/>
          <w:sz w:val="20"/>
          <w:szCs w:val="22"/>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2"/>
          <w:szCs w:val="22"/>
          <w:highlight w:val="none"/>
        </w:rPr>
        <w:t xml:space="preserve"> 年    月    日 </w:t>
      </w:r>
      <w:r>
        <w:rPr>
          <w:rFonts w:hint="eastAsia" w:ascii="宋体" w:hAnsi="宋体" w:eastAsia="宋体" w:cs="宋体"/>
          <w:color w:val="auto"/>
          <w:sz w:val="24"/>
          <w:szCs w:val="24"/>
          <w:highlight w:val="none"/>
        </w:rPr>
        <w:t xml:space="preserve">   </w:t>
      </w:r>
      <w:r>
        <w:rPr>
          <w:rFonts w:hint="eastAsia" w:ascii="宋体" w:hAnsi="宋体" w:eastAsia="宋体" w:cs="宋体"/>
          <w:bCs/>
          <w:color w:val="auto"/>
          <w:sz w:val="20"/>
          <w:szCs w:val="22"/>
          <w:highlight w:val="none"/>
        </w:rPr>
        <w:br w:type="page"/>
      </w:r>
      <w:r>
        <w:rPr>
          <w:rFonts w:hint="eastAsia" w:ascii="宋体" w:hAnsi="宋体" w:eastAsia="宋体" w:cs="宋体"/>
          <w:bCs/>
          <w:color w:val="auto"/>
          <w:sz w:val="20"/>
          <w:szCs w:val="22"/>
          <w:highlight w:val="none"/>
        </w:rPr>
        <w:t>附件</w:t>
      </w:r>
      <w:r>
        <w:rPr>
          <w:rFonts w:hint="eastAsia" w:ascii="宋体" w:hAnsi="宋体" w:eastAsia="宋体" w:cs="宋体"/>
          <w:bCs/>
          <w:color w:val="auto"/>
          <w:sz w:val="20"/>
          <w:szCs w:val="22"/>
          <w:highlight w:val="none"/>
          <w:lang w:eastAsia="zh-CN"/>
        </w:rPr>
        <w:t>二十一</w:t>
      </w:r>
      <w:r>
        <w:rPr>
          <w:rFonts w:hint="eastAsia" w:ascii="宋体" w:hAnsi="宋体" w:eastAsia="宋体" w:cs="宋体"/>
          <w:bCs/>
          <w:color w:val="auto"/>
          <w:sz w:val="20"/>
          <w:szCs w:val="22"/>
          <w:highlight w:val="none"/>
        </w:rPr>
        <w:t>：</w:t>
      </w:r>
    </w:p>
    <w:p>
      <w:pPr>
        <w:spacing w:line="420" w:lineRule="exact"/>
        <w:jc w:val="center"/>
        <w:rPr>
          <w:rFonts w:hint="eastAsia" w:ascii="宋体" w:hAnsi="宋体" w:eastAsia="宋体" w:cs="宋体"/>
          <w:b/>
          <w:bCs/>
          <w:color w:val="auto"/>
          <w:sz w:val="40"/>
          <w:szCs w:val="40"/>
          <w:highlight w:val="none"/>
        </w:rPr>
      </w:pPr>
      <w:bookmarkStart w:id="121" w:name="_Toc22086"/>
      <w:r>
        <w:rPr>
          <w:rFonts w:hint="eastAsia" w:ascii="宋体" w:hAnsi="宋体" w:eastAsia="宋体" w:cs="宋体"/>
          <w:b/>
          <w:bCs/>
          <w:color w:val="auto"/>
          <w:sz w:val="40"/>
          <w:szCs w:val="40"/>
          <w:highlight w:val="none"/>
        </w:rPr>
        <w:t>报价</w:t>
      </w:r>
      <w:r>
        <w:rPr>
          <w:rFonts w:hint="eastAsia" w:ascii="宋体" w:hAnsi="宋体" w:eastAsia="宋体" w:cs="宋体"/>
          <w:b/>
          <w:bCs/>
          <w:color w:val="auto"/>
          <w:sz w:val="40"/>
          <w:szCs w:val="40"/>
          <w:highlight w:val="none"/>
          <w:lang w:eastAsia="zh-CN"/>
        </w:rPr>
        <w:t>一览</w:t>
      </w:r>
      <w:r>
        <w:rPr>
          <w:rFonts w:hint="eastAsia" w:ascii="宋体" w:hAnsi="宋体" w:eastAsia="宋体" w:cs="宋体"/>
          <w:b/>
          <w:bCs/>
          <w:color w:val="auto"/>
          <w:sz w:val="40"/>
          <w:szCs w:val="40"/>
          <w:highlight w:val="none"/>
        </w:rPr>
        <w:t>表</w:t>
      </w:r>
      <w:bookmarkEnd w:id="121"/>
    </w:p>
    <w:p>
      <w:pPr>
        <w:pStyle w:val="26"/>
        <w:rPr>
          <w:rFonts w:hint="eastAsia"/>
          <w:color w:val="auto"/>
          <w:sz w:val="18"/>
          <w:szCs w:val="20"/>
          <w:highlight w:val="none"/>
        </w:rPr>
      </w:pPr>
    </w:p>
    <w:p>
      <w:pPr>
        <w:pStyle w:val="16"/>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olor w:val="auto"/>
          <w:sz w:val="20"/>
          <w:szCs w:val="22"/>
          <w:highlight w:val="none"/>
          <w:u w:val="single"/>
          <w:lang w:val="en-US" w:eastAsia="zh-CN"/>
        </w:rPr>
      </w:pPr>
      <w:r>
        <w:rPr>
          <w:rFonts w:hint="eastAsia" w:ascii="宋体" w:hAnsi="宋体" w:eastAsia="宋体" w:cs="宋体"/>
          <w:b/>
          <w:bCs/>
          <w:color w:val="auto"/>
          <w:sz w:val="22"/>
          <w:szCs w:val="22"/>
          <w:highlight w:val="none"/>
        </w:rPr>
        <w:t>项目名称：</w:t>
      </w:r>
      <w:r>
        <w:rPr>
          <w:rFonts w:hint="eastAsia" w:hAnsi="宋体" w:cs="宋体"/>
          <w:bCs/>
          <w:color w:val="auto"/>
          <w:sz w:val="22"/>
          <w:szCs w:val="22"/>
          <w:highlight w:val="none"/>
          <w:u w:val="single"/>
          <w:lang w:eastAsia="zh-CN"/>
        </w:rPr>
        <w:t>椒江区前所街道圆山社区党群服务中心设计施工一体化项目</w:t>
      </w:r>
      <w:r>
        <w:rPr>
          <w:rFonts w:hint="eastAsia" w:hAnsi="宋体" w:cs="宋体"/>
          <w:bCs/>
          <w:color w:val="auto"/>
          <w:sz w:val="22"/>
          <w:szCs w:val="22"/>
          <w:highlight w:val="none"/>
          <w:u w:val="none"/>
          <w:lang w:val="en-US" w:eastAsia="zh-CN"/>
        </w:rPr>
        <w:t xml:space="preserve">      </w:t>
      </w:r>
      <w:r>
        <w:rPr>
          <w:rFonts w:hint="eastAsia" w:ascii="宋体" w:hAnsi="宋体" w:eastAsia="宋体" w:cs="宋体"/>
          <w:b/>
          <w:bCs w:val="0"/>
          <w:color w:val="auto"/>
          <w:sz w:val="22"/>
          <w:szCs w:val="22"/>
          <w:highlight w:val="none"/>
          <w:lang w:val="en-US" w:eastAsia="zh-CN"/>
        </w:rPr>
        <w:t>项目编号：</w:t>
      </w:r>
      <w:r>
        <w:rPr>
          <w:rFonts w:hint="eastAsia" w:hAnsi="宋体" w:cs="宋体"/>
          <w:bCs/>
          <w:color w:val="auto"/>
          <w:sz w:val="22"/>
          <w:szCs w:val="22"/>
          <w:highlight w:val="none"/>
          <w:u w:val="single"/>
          <w:lang w:val="en-US" w:eastAsia="zh-CN"/>
        </w:rPr>
        <w:t>YHZB-2023-0601</w:t>
      </w:r>
    </w:p>
    <w:tbl>
      <w:tblPr>
        <w:tblStyle w:val="27"/>
        <w:tblW w:w="9379"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716"/>
        <w:gridCol w:w="1220"/>
        <w:gridCol w:w="1417"/>
        <w:gridCol w:w="402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47" w:hRule="atLeast"/>
        </w:trPr>
        <w:tc>
          <w:tcPr>
            <w:tcW w:w="271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采购内容</w:t>
            </w:r>
          </w:p>
        </w:tc>
        <w:tc>
          <w:tcPr>
            <w:tcW w:w="122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数量</w:t>
            </w:r>
          </w:p>
        </w:tc>
        <w:tc>
          <w:tcPr>
            <w:tcW w:w="1417"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单位</w:t>
            </w:r>
          </w:p>
        </w:tc>
        <w:tc>
          <w:tcPr>
            <w:tcW w:w="402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金额（元）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6" w:hRule="atLeast"/>
        </w:trPr>
        <w:tc>
          <w:tcPr>
            <w:tcW w:w="271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lang w:eastAsia="zh-CN"/>
              </w:rPr>
            </w:pPr>
            <w:r>
              <w:rPr>
                <w:rFonts w:hint="eastAsia" w:ascii="宋体" w:hAnsi="宋体" w:cs="宋体"/>
                <w:b/>
                <w:color w:val="auto"/>
                <w:sz w:val="22"/>
                <w:szCs w:val="22"/>
                <w:highlight w:val="none"/>
                <w:lang w:eastAsia="zh-CN"/>
              </w:rPr>
              <w:t>椒江区前所街道圆山社区党群服务中心设计施工一体化项目</w:t>
            </w:r>
          </w:p>
        </w:tc>
        <w:tc>
          <w:tcPr>
            <w:tcW w:w="122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1</w:t>
            </w:r>
          </w:p>
        </w:tc>
        <w:tc>
          <w:tcPr>
            <w:tcW w:w="1417"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lang w:eastAsia="zh-CN"/>
              </w:rPr>
            </w:pPr>
            <w:r>
              <w:rPr>
                <w:rFonts w:hint="eastAsia" w:ascii="宋体" w:hAnsi="宋体" w:eastAsia="宋体" w:cs="宋体"/>
                <w:b/>
                <w:color w:val="auto"/>
                <w:sz w:val="22"/>
                <w:szCs w:val="22"/>
                <w:highlight w:val="none"/>
                <w:lang w:eastAsia="zh-CN"/>
              </w:rPr>
              <w:t>项</w:t>
            </w:r>
          </w:p>
        </w:tc>
        <w:tc>
          <w:tcPr>
            <w:tcW w:w="4026" w:type="dxa"/>
            <w:noWrap w:val="0"/>
            <w:vAlign w:val="center"/>
          </w:tcPr>
          <w:p>
            <w:pPr>
              <w:keepNext w:val="0"/>
              <w:keepLines w:val="0"/>
              <w:suppressLineNumbers w:val="0"/>
              <w:spacing w:before="0" w:beforeAutospacing="0" w:after="0" w:afterAutospacing="0"/>
              <w:ind w:left="0" w:right="0"/>
              <w:jc w:val="left"/>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（小写）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14" w:hRule="atLeast"/>
        </w:trPr>
        <w:tc>
          <w:tcPr>
            <w:tcW w:w="2716"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投标总报价</w:t>
            </w:r>
          </w:p>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(人民币元)</w:t>
            </w:r>
          </w:p>
        </w:tc>
        <w:tc>
          <w:tcPr>
            <w:tcW w:w="6663" w:type="dxa"/>
            <w:gridSpan w:val="3"/>
            <w:noWrap w:val="0"/>
            <w:vAlign w:val="center"/>
          </w:tcPr>
          <w:p>
            <w:pPr>
              <w:keepNext w:val="0"/>
              <w:keepLines w:val="0"/>
              <w:suppressLineNumbers w:val="0"/>
              <w:spacing w:before="0" w:beforeAutospacing="0" w:after="0" w:afterAutospacing="0"/>
              <w:ind w:left="0" w:right="0"/>
              <w:jc w:val="left"/>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（大写）：</w:t>
            </w:r>
          </w:p>
        </w:tc>
      </w:tr>
    </w:tbl>
    <w:p>
      <w:pPr>
        <w:pStyle w:val="16"/>
        <w:snapToGrid w:val="0"/>
        <w:spacing w:line="360" w:lineRule="auto"/>
        <w:jc w:val="left"/>
        <w:rPr>
          <w:rFonts w:hint="eastAsia" w:ascii="宋体" w:hAnsi="宋体" w:eastAsia="宋体" w:cs="宋体"/>
          <w:bCs/>
          <w:color w:val="auto"/>
          <w:sz w:val="22"/>
          <w:szCs w:val="20"/>
          <w:highlight w:val="none"/>
        </w:rPr>
      </w:pPr>
    </w:p>
    <w:p>
      <w:pPr>
        <w:pStyle w:val="16"/>
        <w:snapToGrid w:val="0"/>
        <w:spacing w:line="360" w:lineRule="auto"/>
        <w:jc w:val="left"/>
        <w:rPr>
          <w:rFonts w:hint="eastAsia" w:ascii="宋体" w:hAnsi="宋体" w:eastAsia="宋体" w:cs="宋体"/>
          <w:bCs/>
          <w:color w:val="auto"/>
          <w:sz w:val="22"/>
          <w:szCs w:val="20"/>
          <w:highlight w:val="none"/>
          <w:u w:val="single"/>
        </w:rPr>
      </w:pPr>
      <w:r>
        <w:rPr>
          <w:rFonts w:hint="eastAsia" w:ascii="宋体" w:hAnsi="宋体" w:eastAsia="宋体" w:cs="宋体"/>
          <w:bCs/>
          <w:color w:val="auto"/>
          <w:sz w:val="22"/>
          <w:szCs w:val="20"/>
          <w:highlight w:val="none"/>
        </w:rPr>
        <w:t>说明：</w:t>
      </w:r>
      <w:r>
        <w:rPr>
          <w:rFonts w:hint="eastAsia" w:ascii="宋体" w:hAnsi="宋体" w:eastAsia="宋体" w:cs="宋体"/>
          <w:b/>
          <w:bCs w:val="0"/>
          <w:color w:val="auto"/>
          <w:sz w:val="22"/>
          <w:szCs w:val="20"/>
          <w:highlight w:val="none"/>
          <w:u w:val="single"/>
        </w:rPr>
        <w:t>▲1、</w:t>
      </w:r>
      <w:bookmarkStart w:id="122" w:name="_Toc8136"/>
      <w:r>
        <w:rPr>
          <w:rFonts w:hint="eastAsia" w:ascii="宋体" w:hAnsi="宋体" w:eastAsia="宋体" w:cs="宋体"/>
          <w:b/>
          <w:bCs w:val="0"/>
          <w:color w:val="auto"/>
          <w:sz w:val="22"/>
          <w:szCs w:val="20"/>
          <w:highlight w:val="none"/>
          <w:u w:val="single"/>
        </w:rPr>
        <w:t>投标报价是履行合同的最终价格，包括设计费、项目施工费、验收费、人工费、机械费、措施费、规费、保险费、质保期内的保修费、税费、购买及制作标书费、采购代理费、参加投标费用等一切费用，是履行合同的最终价格，其市场风险由投标人承担。</w:t>
      </w:r>
    </w:p>
    <w:p>
      <w:pPr>
        <w:pStyle w:val="16"/>
        <w:snapToGrid w:val="0"/>
        <w:spacing w:line="360" w:lineRule="auto"/>
        <w:jc w:val="left"/>
        <w:rPr>
          <w:rFonts w:hint="eastAsia" w:ascii="宋体" w:hAnsi="宋体" w:eastAsia="宋体" w:cs="宋体"/>
          <w:b/>
          <w:bCs w:val="0"/>
          <w:color w:val="auto"/>
          <w:sz w:val="22"/>
          <w:szCs w:val="20"/>
          <w:highlight w:val="none"/>
          <w:u w:val="single"/>
        </w:rPr>
      </w:pPr>
      <w:r>
        <w:rPr>
          <w:rFonts w:hint="eastAsia" w:ascii="宋体" w:hAnsi="宋体" w:eastAsia="宋体" w:cs="宋体"/>
          <w:b/>
          <w:bCs w:val="0"/>
          <w:color w:val="auto"/>
          <w:sz w:val="22"/>
          <w:szCs w:val="20"/>
          <w:highlight w:val="none"/>
          <w:u w:val="single"/>
        </w:rPr>
        <w:t>▲</w:t>
      </w:r>
      <w:r>
        <w:rPr>
          <w:rFonts w:hint="eastAsia" w:hAnsi="宋体" w:cs="宋体"/>
          <w:b/>
          <w:bCs w:val="0"/>
          <w:color w:val="auto"/>
          <w:sz w:val="22"/>
          <w:szCs w:val="20"/>
          <w:highlight w:val="none"/>
          <w:u w:val="single"/>
          <w:lang w:val="en-US" w:eastAsia="zh-CN"/>
        </w:rPr>
        <w:t>2、</w:t>
      </w:r>
      <w:r>
        <w:rPr>
          <w:rFonts w:hint="eastAsia" w:ascii="宋体" w:hAnsi="宋体" w:eastAsia="宋体" w:cs="宋体"/>
          <w:b/>
          <w:bCs w:val="0"/>
          <w:color w:val="auto"/>
          <w:sz w:val="22"/>
          <w:szCs w:val="20"/>
          <w:highlight w:val="none"/>
          <w:u w:val="single"/>
        </w:rPr>
        <w:t>如投标文件中遗漏了完工必须具备的材料、配件或服务，投标人在投标文件中应该指出，并根据自身的工程经验提出解决方案，并报价在总价中；投标人有义务保证采购人系统的完整性，如项目实施过程中因缺少设备、配件或服务导致采购人系统无法正常运行，中标人须免费提供。</w:t>
      </w:r>
    </w:p>
    <w:p>
      <w:pPr>
        <w:pStyle w:val="16"/>
        <w:numPr>
          <w:ilvl w:val="0"/>
          <w:numId w:val="0"/>
        </w:numPr>
        <w:snapToGrid w:val="0"/>
        <w:spacing w:line="360" w:lineRule="auto"/>
        <w:ind w:leftChars="0"/>
        <w:jc w:val="lef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3、</w:t>
      </w:r>
      <w:r>
        <w:rPr>
          <w:rFonts w:hint="eastAsia" w:ascii="宋体" w:hAnsi="宋体" w:eastAsia="宋体" w:cs="宋体"/>
          <w:bCs/>
          <w:color w:val="auto"/>
          <w:sz w:val="22"/>
          <w:szCs w:val="22"/>
          <w:highlight w:val="none"/>
        </w:rPr>
        <w:t>本表格的总报价应与《报价明细表》的合计金额相一致。</w:t>
      </w:r>
    </w:p>
    <w:p>
      <w:pPr>
        <w:pStyle w:val="16"/>
        <w:numPr>
          <w:ilvl w:val="0"/>
          <w:numId w:val="0"/>
        </w:numPr>
        <w:snapToGrid w:val="0"/>
        <w:spacing w:line="360" w:lineRule="auto"/>
        <w:ind w:leftChars="0"/>
        <w:jc w:val="left"/>
        <w:rPr>
          <w:rFonts w:hint="eastAsia" w:ascii="宋体" w:hAnsi="宋体" w:eastAsia="宋体" w:cs="宋体"/>
          <w:bCs/>
          <w:color w:val="auto"/>
          <w:sz w:val="22"/>
          <w:szCs w:val="22"/>
          <w:highlight w:val="none"/>
        </w:rPr>
      </w:pPr>
      <w:r>
        <w:rPr>
          <w:rFonts w:hint="eastAsia" w:hAnsi="宋体" w:cs="宋体"/>
          <w:bCs/>
          <w:color w:val="auto"/>
          <w:sz w:val="22"/>
          <w:szCs w:val="22"/>
          <w:highlight w:val="none"/>
          <w:lang w:val="en-US" w:eastAsia="zh-CN"/>
        </w:rPr>
        <w:t>4、</w:t>
      </w:r>
      <w:r>
        <w:rPr>
          <w:rFonts w:hint="eastAsia" w:ascii="宋体" w:hAnsi="宋体" w:eastAsia="宋体" w:cs="宋体"/>
          <w:bCs/>
          <w:color w:val="auto"/>
          <w:sz w:val="22"/>
          <w:szCs w:val="22"/>
          <w:highlight w:val="none"/>
        </w:rPr>
        <w:t>报价超过</w:t>
      </w:r>
      <w:r>
        <w:rPr>
          <w:rFonts w:hint="eastAsia" w:hAnsi="宋体" w:cs="宋体"/>
          <w:bCs/>
          <w:color w:val="auto"/>
          <w:sz w:val="22"/>
          <w:szCs w:val="22"/>
          <w:highlight w:val="none"/>
          <w:lang w:eastAsia="zh-CN"/>
        </w:rPr>
        <w:t>最高限价</w:t>
      </w:r>
      <w:r>
        <w:rPr>
          <w:rFonts w:hint="eastAsia" w:ascii="宋体" w:hAnsi="宋体" w:eastAsia="宋体" w:cs="宋体"/>
          <w:bCs/>
          <w:color w:val="auto"/>
          <w:sz w:val="22"/>
          <w:szCs w:val="22"/>
          <w:highlight w:val="none"/>
        </w:rPr>
        <w:t>的，作无效标处理。</w:t>
      </w:r>
      <w:bookmarkEnd w:id="122"/>
      <w:bookmarkStart w:id="123" w:name="_Toc22957"/>
    </w:p>
    <w:bookmarkEnd w:id="123"/>
    <w:p>
      <w:pPr>
        <w:spacing w:line="360" w:lineRule="auto"/>
        <w:ind w:right="-21" w:rightChars="-10"/>
        <w:rPr>
          <w:rFonts w:hint="eastAsia" w:ascii="宋体" w:hAnsi="宋体" w:eastAsia="宋体" w:cs="宋体"/>
          <w:color w:val="auto"/>
          <w:sz w:val="22"/>
          <w:szCs w:val="22"/>
          <w:highlight w:val="none"/>
        </w:rPr>
      </w:pPr>
    </w:p>
    <w:p>
      <w:pPr>
        <w:rPr>
          <w:rFonts w:hint="eastAsia" w:ascii="宋体" w:hAnsi="宋体" w:eastAsia="宋体" w:cs="宋体"/>
          <w:color w:val="auto"/>
          <w:kern w:val="0"/>
          <w:sz w:val="22"/>
          <w:szCs w:val="22"/>
          <w:highlight w:val="none"/>
        </w:rPr>
      </w:pPr>
    </w:p>
    <w:p>
      <w:pPr>
        <w:spacing w:line="460" w:lineRule="exact"/>
        <w:ind w:firstLine="3720" w:firstLineChars="15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全称：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（盖公章）</w:t>
      </w:r>
    </w:p>
    <w:p>
      <w:pPr>
        <w:spacing w:line="460" w:lineRule="exact"/>
        <w:ind w:firstLine="1980" w:firstLineChars="825"/>
        <w:rPr>
          <w:rFonts w:hint="eastAsia" w:ascii="宋体" w:hAnsi="宋体" w:eastAsia="宋体" w:cs="宋体"/>
          <w:color w:val="auto"/>
          <w:sz w:val="24"/>
          <w:szCs w:val="24"/>
          <w:highlight w:val="none"/>
          <w:u w:val="single"/>
        </w:rPr>
      </w:pPr>
    </w:p>
    <w:p>
      <w:pPr>
        <w:spacing w:line="460" w:lineRule="exact"/>
        <w:ind w:firstLine="2520" w:firstLineChars="10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i/>
          <w:color w:val="auto"/>
          <w:sz w:val="24"/>
          <w:szCs w:val="24"/>
          <w:highlight w:val="none"/>
        </w:rPr>
        <w:t>（负责人）</w:t>
      </w:r>
      <w:r>
        <w:rPr>
          <w:rFonts w:hint="eastAsia" w:ascii="宋体" w:hAnsi="宋体" w:eastAsia="宋体" w:cs="宋体"/>
          <w:color w:val="auto"/>
          <w:sz w:val="24"/>
          <w:szCs w:val="24"/>
          <w:highlight w:val="none"/>
        </w:rPr>
        <w:t>或委托代理人：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2"/>
          <w:szCs w:val="22"/>
          <w:highlight w:val="none"/>
        </w:rPr>
        <w:t>签字或盖章</w:t>
      </w:r>
      <w:r>
        <w:rPr>
          <w:rFonts w:hint="eastAsia" w:ascii="宋体" w:hAnsi="宋体" w:eastAsia="宋体" w:cs="宋体"/>
          <w:color w:val="auto"/>
          <w:sz w:val="24"/>
          <w:szCs w:val="24"/>
          <w:highlight w:val="none"/>
        </w:rPr>
        <w:t>）</w:t>
      </w:r>
    </w:p>
    <w:p>
      <w:pPr>
        <w:spacing w:line="460" w:lineRule="exact"/>
        <w:ind w:firstLine="1980" w:firstLineChars="825"/>
        <w:rPr>
          <w:rFonts w:hint="eastAsia" w:ascii="宋体" w:hAnsi="宋体" w:eastAsia="宋体" w:cs="宋体"/>
          <w:color w:val="auto"/>
          <w:sz w:val="24"/>
          <w:szCs w:val="24"/>
          <w:highlight w:val="none"/>
        </w:rPr>
      </w:pPr>
    </w:p>
    <w:p>
      <w:pPr>
        <w:bidi w:val="0"/>
        <w:jc w:val="right"/>
        <w:rPr>
          <w:rFonts w:hint="eastAsia"/>
          <w:color w:val="auto"/>
          <w:sz w:val="24"/>
          <w:szCs w:val="32"/>
        </w:rPr>
      </w:pPr>
      <w:r>
        <w:rPr>
          <w:rFonts w:hint="eastAsia"/>
          <w:color w:val="auto"/>
          <w:sz w:val="24"/>
          <w:szCs w:val="32"/>
        </w:rPr>
        <w:t xml:space="preserve">                                            </w:t>
      </w:r>
      <w:bookmarkStart w:id="124" w:name="_Toc2986"/>
      <w:r>
        <w:rPr>
          <w:rFonts w:hint="eastAsia"/>
          <w:color w:val="auto"/>
          <w:sz w:val="24"/>
          <w:szCs w:val="32"/>
        </w:rPr>
        <w:t>年    月    日</w:t>
      </w:r>
      <w:bookmarkEnd w:id="124"/>
    </w:p>
    <w:p>
      <w:pPr>
        <w:keepLines w:val="0"/>
        <w:pageBreakBefore w:val="0"/>
        <w:widowControl w:val="0"/>
        <w:tabs>
          <w:tab w:val="left" w:pos="4860"/>
        </w:tabs>
        <w:kinsoku/>
        <w:wordWrap/>
        <w:overflowPunct/>
        <w:topLinePunct w:val="0"/>
        <w:autoSpaceDE/>
        <w:autoSpaceDN/>
        <w:bidi w:val="0"/>
        <w:spacing w:line="400" w:lineRule="exact"/>
        <w:ind w:right="1560" w:firstLine="400" w:firstLineChars="200"/>
        <w:jc w:val="center"/>
        <w:textAlignment w:val="auto"/>
        <w:rPr>
          <w:rFonts w:hint="eastAsia" w:ascii="宋体" w:hAnsi="宋体" w:eastAsia="宋体" w:cs="宋体"/>
          <w:color w:val="auto"/>
          <w:sz w:val="20"/>
          <w:szCs w:val="22"/>
          <w:highlight w:val="none"/>
        </w:rPr>
      </w:pPr>
    </w:p>
    <w:p>
      <w:pPr>
        <w:pStyle w:val="48"/>
        <w:widowControl/>
        <w:spacing w:line="360" w:lineRule="auto"/>
        <w:ind w:right="84" w:rightChars="40"/>
        <w:jc w:val="left"/>
        <w:outlineLvl w:val="0"/>
        <w:rPr>
          <w:rFonts w:hint="eastAsia" w:ascii="宋体" w:hAnsi="宋体" w:eastAsia="宋体" w:cs="宋体"/>
          <w:bCs/>
          <w:color w:val="auto"/>
          <w:sz w:val="20"/>
          <w:szCs w:val="22"/>
          <w:highlight w:val="none"/>
        </w:rPr>
      </w:pPr>
      <w:bookmarkStart w:id="125" w:name="_Toc22829"/>
    </w:p>
    <w:p>
      <w:pPr>
        <w:pStyle w:val="48"/>
        <w:widowControl/>
        <w:spacing w:line="360" w:lineRule="auto"/>
        <w:ind w:right="84" w:rightChars="40"/>
        <w:jc w:val="left"/>
        <w:outlineLvl w:val="0"/>
        <w:rPr>
          <w:rFonts w:hint="eastAsia" w:ascii="宋体" w:hAnsi="宋体" w:eastAsia="宋体" w:cs="宋体"/>
          <w:bCs/>
          <w:color w:val="auto"/>
          <w:sz w:val="20"/>
          <w:szCs w:val="22"/>
          <w:highlight w:val="none"/>
        </w:rPr>
      </w:pPr>
    </w:p>
    <w:p>
      <w:pPr>
        <w:pStyle w:val="48"/>
        <w:widowControl/>
        <w:spacing w:line="360" w:lineRule="auto"/>
        <w:ind w:right="84" w:rightChars="40"/>
        <w:jc w:val="left"/>
        <w:outlineLvl w:val="0"/>
        <w:rPr>
          <w:rFonts w:hint="eastAsia" w:ascii="宋体" w:hAnsi="宋体" w:eastAsia="宋体" w:cs="宋体"/>
          <w:bCs/>
          <w:color w:val="auto"/>
          <w:sz w:val="20"/>
          <w:szCs w:val="22"/>
          <w:highlight w:val="none"/>
        </w:rPr>
      </w:pPr>
    </w:p>
    <w:p>
      <w:pPr>
        <w:pStyle w:val="48"/>
        <w:widowControl/>
        <w:spacing w:line="360" w:lineRule="auto"/>
        <w:ind w:right="84" w:rightChars="40"/>
        <w:jc w:val="left"/>
        <w:outlineLvl w:val="0"/>
        <w:rPr>
          <w:rFonts w:hint="eastAsia" w:ascii="宋体" w:hAnsi="宋体" w:eastAsia="宋体" w:cs="宋体"/>
          <w:bCs/>
          <w:color w:val="auto"/>
          <w:sz w:val="20"/>
          <w:szCs w:val="22"/>
          <w:highlight w:val="none"/>
        </w:rPr>
      </w:pPr>
      <w:r>
        <w:rPr>
          <w:rFonts w:hint="eastAsia" w:ascii="宋体" w:hAnsi="宋体" w:eastAsia="宋体" w:cs="宋体"/>
          <w:bCs/>
          <w:color w:val="auto"/>
          <w:sz w:val="20"/>
          <w:szCs w:val="22"/>
          <w:highlight w:val="none"/>
        </w:rPr>
        <w:t>附件</w:t>
      </w:r>
      <w:r>
        <w:rPr>
          <w:rFonts w:hint="eastAsia" w:ascii="宋体" w:hAnsi="宋体" w:eastAsia="宋体" w:cs="宋体"/>
          <w:bCs/>
          <w:color w:val="auto"/>
          <w:sz w:val="20"/>
          <w:szCs w:val="22"/>
          <w:highlight w:val="none"/>
          <w:lang w:eastAsia="zh-CN"/>
        </w:rPr>
        <w:t>二十</w:t>
      </w:r>
      <w:r>
        <w:rPr>
          <w:rFonts w:hint="eastAsia" w:ascii="宋体" w:hAnsi="宋体" w:cs="宋体"/>
          <w:bCs/>
          <w:color w:val="auto"/>
          <w:sz w:val="20"/>
          <w:szCs w:val="22"/>
          <w:highlight w:val="none"/>
          <w:lang w:eastAsia="zh-CN"/>
        </w:rPr>
        <w:t>二</w:t>
      </w:r>
      <w:r>
        <w:rPr>
          <w:rFonts w:hint="eastAsia" w:ascii="宋体" w:hAnsi="宋体" w:eastAsia="宋体" w:cs="宋体"/>
          <w:bCs/>
          <w:color w:val="auto"/>
          <w:sz w:val="20"/>
          <w:szCs w:val="22"/>
          <w:highlight w:val="none"/>
        </w:rPr>
        <w:t>：</w:t>
      </w:r>
    </w:p>
    <w:p>
      <w:pPr>
        <w:spacing w:line="360" w:lineRule="auto"/>
        <w:jc w:val="center"/>
        <w:rPr>
          <w:rFonts w:hint="eastAsia" w:ascii="仿宋" w:hAnsi="仿宋" w:eastAsia="仿宋" w:cs="仿宋"/>
          <w:bCs/>
          <w:sz w:val="30"/>
        </w:rPr>
      </w:pPr>
      <w:r>
        <w:rPr>
          <w:rFonts w:hint="eastAsia" w:ascii="仿宋" w:hAnsi="仿宋" w:eastAsia="仿宋" w:cs="仿宋"/>
          <w:bCs/>
          <w:sz w:val="30"/>
        </w:rPr>
        <w:t>报价明细表</w:t>
      </w:r>
    </w:p>
    <w:p>
      <w:pPr>
        <w:pStyle w:val="9"/>
        <w:spacing w:line="400" w:lineRule="exact"/>
        <w:ind w:firstLine="0"/>
        <w:rPr>
          <w:rFonts w:hint="eastAsia" w:ascii="宋体" w:hAnsi="宋体" w:eastAsia="宋体" w:cs="宋体"/>
          <w:szCs w:val="21"/>
        </w:rPr>
      </w:pPr>
      <w:r>
        <w:rPr>
          <w:rFonts w:hint="eastAsia" w:ascii="宋体" w:hAnsi="宋体" w:eastAsia="宋体" w:cs="宋体"/>
          <w:szCs w:val="21"/>
        </w:rPr>
        <w:t>项目名称：                                           项目编号：</w:t>
      </w:r>
    </w:p>
    <w:tbl>
      <w:tblPr>
        <w:tblStyle w:val="27"/>
        <w:tblW w:w="9356" w:type="dxa"/>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2286"/>
        <w:gridCol w:w="1009"/>
        <w:gridCol w:w="2537"/>
        <w:gridCol w:w="2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988"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rPr>
            </w:pPr>
            <w:r>
              <w:rPr>
                <w:rFonts w:hint="eastAsia" w:ascii="宋体" w:hAnsi="宋体" w:eastAsia="宋体" w:cs="宋体"/>
                <w:highlight w:val="none"/>
              </w:rPr>
              <w:t>序号</w:t>
            </w:r>
          </w:p>
        </w:tc>
        <w:tc>
          <w:tcPr>
            <w:tcW w:w="2286"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rPr>
            </w:pPr>
            <w:r>
              <w:rPr>
                <w:rFonts w:hint="eastAsia" w:ascii="宋体" w:hAnsi="宋体" w:eastAsia="宋体" w:cs="宋体"/>
                <w:highlight w:val="none"/>
              </w:rPr>
              <w:t>项目名称</w:t>
            </w:r>
          </w:p>
        </w:tc>
        <w:tc>
          <w:tcPr>
            <w:tcW w:w="1009"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数量</w:t>
            </w:r>
          </w:p>
        </w:tc>
        <w:tc>
          <w:tcPr>
            <w:tcW w:w="2537"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rPr>
            </w:pPr>
            <w:r>
              <w:rPr>
                <w:rFonts w:hint="eastAsia" w:ascii="宋体" w:hAnsi="宋体" w:eastAsia="宋体" w:cs="宋体"/>
                <w:highlight w:val="none"/>
              </w:rPr>
              <w:t>投标报价（元）</w:t>
            </w:r>
          </w:p>
        </w:tc>
        <w:tc>
          <w:tcPr>
            <w:tcW w:w="2536"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988"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1</w:t>
            </w:r>
          </w:p>
        </w:tc>
        <w:tc>
          <w:tcPr>
            <w:tcW w:w="2286"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设计费</w:t>
            </w:r>
          </w:p>
        </w:tc>
        <w:tc>
          <w:tcPr>
            <w:tcW w:w="1009"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rPr>
            </w:pPr>
            <w:r>
              <w:rPr>
                <w:rFonts w:hint="eastAsia" w:ascii="宋体" w:hAnsi="宋体" w:eastAsia="宋体" w:cs="宋体"/>
                <w:highlight w:val="none"/>
                <w:lang w:val="en-US" w:eastAsia="zh-CN"/>
              </w:rPr>
              <w:t>1项</w:t>
            </w:r>
          </w:p>
        </w:tc>
        <w:tc>
          <w:tcPr>
            <w:tcW w:w="2537"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2"/>
                <w:szCs w:val="21"/>
                <w:highlight w:val="none"/>
                <w:lang w:val="en-US" w:eastAsia="zh-CN"/>
              </w:rPr>
            </w:pPr>
          </w:p>
        </w:tc>
        <w:tc>
          <w:tcPr>
            <w:tcW w:w="2536"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设计费包含但不限于方案设计及后续方案优化、施工图设计、施工图预算编制、展陈和施工配合服务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trPr>
        <w:tc>
          <w:tcPr>
            <w:tcW w:w="988"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2</w:t>
            </w:r>
          </w:p>
        </w:tc>
        <w:tc>
          <w:tcPr>
            <w:tcW w:w="2286"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lang w:val="en-US" w:eastAsia="zh-CN"/>
              </w:rPr>
            </w:pPr>
            <w:r>
              <w:rPr>
                <w:rFonts w:hint="eastAsia" w:ascii="宋体" w:hAnsi="宋体" w:eastAsia="宋体" w:cs="宋体"/>
                <w:szCs w:val="21"/>
              </w:rPr>
              <w:t>建筑安装工程费报价（含设备购置费）</w:t>
            </w:r>
          </w:p>
        </w:tc>
        <w:tc>
          <w:tcPr>
            <w:tcW w:w="1009"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rPr>
            </w:pPr>
            <w:r>
              <w:rPr>
                <w:rFonts w:hint="eastAsia" w:ascii="宋体" w:hAnsi="宋体" w:eastAsia="宋体" w:cs="宋体"/>
                <w:highlight w:val="none"/>
                <w:lang w:val="en-US" w:eastAsia="zh-CN"/>
              </w:rPr>
              <w:t>1项</w:t>
            </w:r>
          </w:p>
        </w:tc>
        <w:tc>
          <w:tcPr>
            <w:tcW w:w="2537"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2"/>
                <w:szCs w:val="21"/>
                <w:highlight w:val="none"/>
                <w:lang w:val="en-US" w:eastAsia="zh-CN"/>
              </w:rPr>
            </w:pPr>
          </w:p>
        </w:tc>
        <w:tc>
          <w:tcPr>
            <w:tcW w:w="2536"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988" w:type="dxa"/>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3</w:t>
            </w:r>
          </w:p>
        </w:tc>
        <w:tc>
          <w:tcPr>
            <w:tcW w:w="3295" w:type="dxa"/>
            <w:gridSpan w:val="2"/>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rPr>
            </w:pPr>
            <w:r>
              <w:rPr>
                <w:rFonts w:hint="eastAsia" w:ascii="宋体" w:hAnsi="宋体" w:eastAsia="宋体" w:cs="宋体"/>
                <w:highlight w:val="none"/>
              </w:rPr>
              <w:t>投标总价</w:t>
            </w:r>
          </w:p>
        </w:tc>
        <w:tc>
          <w:tcPr>
            <w:tcW w:w="5073" w:type="dxa"/>
            <w:gridSpan w:val="2"/>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highlight w:val="none"/>
                <w:lang w:val="en-US" w:eastAsia="zh-CN"/>
              </w:rPr>
            </w:pPr>
          </w:p>
        </w:tc>
      </w:tr>
    </w:tbl>
    <w:p>
      <w:pPr>
        <w:spacing w:line="360" w:lineRule="exact"/>
        <w:ind w:firstLine="422" w:firstLineChars="200"/>
        <w:rPr>
          <w:rFonts w:hint="eastAsia" w:ascii="宋体" w:hAnsi="宋体" w:eastAsia="宋体" w:cs="宋体"/>
          <w:b/>
          <w:szCs w:val="21"/>
        </w:rPr>
      </w:pPr>
      <w:r>
        <w:rPr>
          <w:rFonts w:hint="eastAsia" w:ascii="宋体" w:hAnsi="宋体" w:eastAsia="宋体" w:cs="宋体"/>
          <w:b/>
          <w:szCs w:val="21"/>
        </w:rPr>
        <w:t>注：</w:t>
      </w:r>
      <w:r>
        <w:rPr>
          <w:rFonts w:hint="eastAsia" w:ascii="宋体" w:hAnsi="宋体" w:eastAsia="宋体" w:cs="宋体"/>
          <w:b/>
          <w:bCs/>
          <w:color w:val="000000"/>
          <w:sz w:val="21"/>
          <w:szCs w:val="21"/>
        </w:rPr>
        <w:t>▲</w:t>
      </w:r>
      <w:r>
        <w:rPr>
          <w:rFonts w:hint="eastAsia" w:ascii="宋体" w:hAnsi="宋体" w:eastAsia="宋体" w:cs="宋体"/>
          <w:b/>
          <w:szCs w:val="21"/>
        </w:rPr>
        <w:t>1、</w:t>
      </w:r>
      <w:r>
        <w:rPr>
          <w:rFonts w:hint="eastAsia" w:ascii="宋体" w:hAnsi="宋体" w:eastAsia="宋体" w:cs="宋体"/>
          <w:b/>
          <w:bCs/>
          <w:color w:val="000000"/>
          <w:sz w:val="21"/>
          <w:szCs w:val="21"/>
        </w:rPr>
        <w:t>投标报价是履行合同的最终价格，包括设计费</w:t>
      </w:r>
      <w:r>
        <w:rPr>
          <w:rFonts w:hint="eastAsia" w:ascii="宋体" w:hAnsi="宋体" w:eastAsia="宋体" w:cs="宋体"/>
          <w:b/>
          <w:bCs/>
          <w:color w:val="000000"/>
          <w:sz w:val="21"/>
          <w:szCs w:val="21"/>
          <w:lang w:eastAsia="zh-CN"/>
        </w:rPr>
        <w:t>、</w:t>
      </w:r>
      <w:r>
        <w:rPr>
          <w:rFonts w:hint="eastAsia" w:ascii="宋体" w:hAnsi="宋体" w:eastAsia="宋体" w:cs="宋体"/>
          <w:b/>
          <w:bCs/>
          <w:color w:val="000000"/>
          <w:sz w:val="21"/>
          <w:szCs w:val="21"/>
        </w:rPr>
        <w:t>项目施工费、验收费、人工费、机械费、措施费、规费、保险费、质保期内的保修费、税费、购买及制作标书费、采购代理费、参加投标费用等一切费用，是履行合同的最终价格，其市场风险由投标人承担。</w:t>
      </w:r>
    </w:p>
    <w:p>
      <w:pPr>
        <w:numPr>
          <w:ilvl w:val="0"/>
          <w:numId w:val="0"/>
        </w:numPr>
        <w:spacing w:line="360" w:lineRule="exact"/>
        <w:ind w:left="420" w:leftChars="0"/>
        <w:rPr>
          <w:rFonts w:hint="eastAsia" w:ascii="宋体" w:hAnsi="宋体" w:eastAsia="宋体" w:cs="宋体"/>
          <w:b/>
          <w:szCs w:val="21"/>
        </w:rPr>
      </w:pPr>
      <w:r>
        <w:rPr>
          <w:rFonts w:hint="eastAsia" w:ascii="宋体" w:hAnsi="宋体" w:eastAsia="宋体" w:cs="宋体"/>
          <w:b/>
          <w:szCs w:val="21"/>
          <w:lang w:val="en-US" w:eastAsia="zh-CN"/>
        </w:rPr>
        <w:t>2、</w:t>
      </w:r>
      <w:r>
        <w:rPr>
          <w:rFonts w:hint="eastAsia" w:ascii="宋体" w:hAnsi="宋体" w:eastAsia="宋体" w:cs="宋体"/>
          <w:b/>
          <w:szCs w:val="21"/>
        </w:rPr>
        <w:t>最终合计金额必须与</w:t>
      </w:r>
      <w:r>
        <w:rPr>
          <w:rFonts w:hint="eastAsia" w:ascii="宋体" w:hAnsi="宋体" w:eastAsia="宋体" w:cs="宋体"/>
          <w:b/>
          <w:szCs w:val="21"/>
          <w:lang w:val="en-US" w:eastAsia="zh-CN"/>
        </w:rPr>
        <w:t>报价一览</w:t>
      </w:r>
      <w:r>
        <w:rPr>
          <w:rFonts w:hint="eastAsia" w:ascii="宋体" w:hAnsi="宋体" w:eastAsia="宋体" w:cs="宋体"/>
          <w:b/>
          <w:szCs w:val="21"/>
        </w:rPr>
        <w:t>表中</w:t>
      </w:r>
      <w:r>
        <w:rPr>
          <w:rFonts w:hint="eastAsia" w:ascii="宋体" w:hAnsi="宋体" w:eastAsia="宋体" w:cs="宋体"/>
          <w:b/>
          <w:szCs w:val="21"/>
          <w:lang w:val="en-US" w:eastAsia="zh-CN"/>
        </w:rPr>
        <w:t>投标</w:t>
      </w:r>
      <w:r>
        <w:rPr>
          <w:rFonts w:hint="eastAsia" w:ascii="宋体" w:hAnsi="宋体" w:eastAsia="宋体" w:cs="宋体"/>
          <w:b/>
          <w:szCs w:val="21"/>
        </w:rPr>
        <w:t>总报价相一致。</w:t>
      </w:r>
    </w:p>
    <w:p>
      <w:pPr>
        <w:numPr>
          <w:ilvl w:val="0"/>
          <w:numId w:val="0"/>
        </w:numPr>
        <w:spacing w:line="360" w:lineRule="exact"/>
        <w:ind w:left="420" w:leftChars="0"/>
        <w:rPr>
          <w:rFonts w:hint="eastAsia" w:ascii="宋体" w:hAnsi="宋体" w:eastAsia="宋体" w:cs="宋体"/>
          <w:b/>
          <w:spacing w:val="0"/>
          <w:kern w:val="2"/>
          <w:sz w:val="21"/>
          <w:szCs w:val="21"/>
          <w:lang w:val="en-US" w:eastAsia="zh-CN" w:bidi="ar-SA"/>
        </w:rPr>
      </w:pPr>
      <w:r>
        <w:rPr>
          <w:rFonts w:hint="eastAsia" w:ascii="宋体" w:hAnsi="宋体" w:eastAsia="宋体" w:cs="宋体"/>
          <w:b/>
          <w:bCs/>
          <w:color w:val="000000"/>
          <w:sz w:val="21"/>
          <w:szCs w:val="21"/>
        </w:rPr>
        <w:t>▲</w:t>
      </w:r>
      <w:r>
        <w:rPr>
          <w:rFonts w:hint="eastAsia" w:ascii="宋体" w:hAnsi="宋体" w:eastAsia="宋体" w:cs="宋体"/>
          <w:b/>
          <w:bCs/>
          <w:color w:val="000000"/>
          <w:sz w:val="21"/>
          <w:szCs w:val="21"/>
          <w:lang w:val="en-US" w:eastAsia="zh-CN"/>
        </w:rPr>
        <w:t>3、</w:t>
      </w:r>
      <w:r>
        <w:rPr>
          <w:rFonts w:hint="eastAsia" w:ascii="宋体" w:hAnsi="宋体" w:eastAsia="宋体" w:cs="宋体"/>
          <w:b/>
          <w:spacing w:val="0"/>
          <w:kern w:val="2"/>
          <w:sz w:val="21"/>
          <w:szCs w:val="21"/>
          <w:lang w:val="en-US" w:eastAsia="zh-CN" w:bidi="ar-SA"/>
        </w:rPr>
        <w:t>建安费、设计费不得超过最高投标限价，否则作无效标处理。</w:t>
      </w:r>
    </w:p>
    <w:p>
      <w:pPr>
        <w:spacing w:line="360" w:lineRule="auto"/>
        <w:ind w:firstLine="4200" w:firstLineChars="2000"/>
        <w:jc w:val="both"/>
        <w:rPr>
          <w:rFonts w:hint="eastAsia" w:ascii="宋体" w:hAnsi="宋体" w:eastAsia="宋体" w:cs="宋体"/>
          <w:szCs w:val="21"/>
        </w:rPr>
      </w:pPr>
    </w:p>
    <w:p>
      <w:pPr>
        <w:spacing w:line="360" w:lineRule="auto"/>
        <w:ind w:firstLine="4200" w:firstLineChars="2000"/>
        <w:jc w:val="both"/>
        <w:rPr>
          <w:rFonts w:hint="eastAsia" w:ascii="宋体" w:hAnsi="宋体" w:eastAsia="宋体" w:cs="宋体"/>
          <w:szCs w:val="21"/>
          <w:u w:val="single"/>
          <w:lang w:val="en-US" w:eastAsia="zh-CN"/>
        </w:rPr>
      </w:pPr>
      <w:r>
        <w:rPr>
          <w:rFonts w:hint="eastAsia" w:ascii="宋体" w:hAnsi="宋体" w:eastAsia="宋体" w:cs="宋体"/>
          <w:szCs w:val="21"/>
        </w:rPr>
        <w:t>投标人全称</w:t>
      </w:r>
      <w:r>
        <w:rPr>
          <w:rFonts w:hint="eastAsia" w:ascii="宋体" w:hAnsi="宋体" w:eastAsia="宋体" w:cs="宋体"/>
          <w:szCs w:val="21"/>
          <w:u w:val="none"/>
        </w:rPr>
        <w:t>（盖章）</w:t>
      </w:r>
      <w:r>
        <w:rPr>
          <w:rFonts w:hint="eastAsia" w:ascii="宋体" w:hAnsi="宋体" w:eastAsia="宋体" w:cs="宋体"/>
          <w:szCs w:val="21"/>
        </w:rPr>
        <w:t>：</w:t>
      </w:r>
      <w:r>
        <w:rPr>
          <w:rFonts w:hint="eastAsia" w:ascii="宋体" w:hAnsi="宋体" w:eastAsia="宋体" w:cs="宋体"/>
          <w:szCs w:val="21"/>
          <w:u w:val="single"/>
          <w:lang w:val="en-US" w:eastAsia="zh-CN"/>
        </w:rPr>
        <w:t xml:space="preserve">                   </w:t>
      </w:r>
    </w:p>
    <w:p>
      <w:pPr>
        <w:spacing w:line="360" w:lineRule="auto"/>
        <w:ind w:firstLine="4200" w:firstLineChars="2000"/>
        <w:jc w:val="both"/>
        <w:rPr>
          <w:rFonts w:hint="eastAsia" w:ascii="宋体" w:hAnsi="宋体" w:eastAsia="宋体" w:cs="宋体"/>
          <w:szCs w:val="21"/>
          <w:u w:val="single"/>
          <w:lang w:val="en-US" w:eastAsia="zh-CN"/>
        </w:rPr>
      </w:pPr>
      <w:r>
        <w:rPr>
          <w:rFonts w:hint="eastAsia" w:ascii="宋体" w:hAnsi="宋体" w:eastAsia="宋体" w:cs="宋体"/>
          <w:szCs w:val="21"/>
        </w:rPr>
        <w:t>法定代表人</w:t>
      </w:r>
      <w:r>
        <w:rPr>
          <w:rFonts w:hint="eastAsia" w:ascii="宋体" w:hAnsi="宋体" w:eastAsia="宋体" w:cs="宋体"/>
          <w:szCs w:val="21"/>
          <w:u w:val="none"/>
        </w:rPr>
        <w:t>（签名或盖章）</w:t>
      </w:r>
      <w:r>
        <w:rPr>
          <w:rFonts w:hint="eastAsia" w:ascii="宋体" w:hAnsi="宋体" w:eastAsia="宋体" w:cs="宋体"/>
          <w:szCs w:val="21"/>
          <w:u w:val="none"/>
          <w:lang w:eastAsia="zh-CN"/>
        </w:rPr>
        <w:t>：</w:t>
      </w:r>
      <w:r>
        <w:rPr>
          <w:rFonts w:hint="eastAsia" w:ascii="宋体" w:hAnsi="宋体" w:eastAsia="宋体" w:cs="宋体"/>
          <w:szCs w:val="21"/>
          <w:u w:val="single"/>
          <w:lang w:val="en-US" w:eastAsia="zh-CN"/>
        </w:rPr>
        <w:t xml:space="preserve">              </w:t>
      </w:r>
    </w:p>
    <w:p>
      <w:pPr>
        <w:pStyle w:val="76"/>
        <w:rPr>
          <w:rFonts w:hint="eastAsia" w:ascii="宋体" w:hAnsi="宋体" w:eastAsia="宋体" w:cs="宋体"/>
          <w:szCs w:val="21"/>
          <w:u w:val="single"/>
          <w:lang w:val="en-US" w:eastAsia="zh-CN"/>
        </w:rPr>
      </w:pPr>
    </w:p>
    <w:p>
      <w:pPr>
        <w:rPr>
          <w:rFonts w:hint="eastAsia" w:ascii="宋体" w:hAnsi="宋体" w:eastAsia="宋体" w:cs="宋体"/>
          <w:lang w:val="en-US"/>
        </w:rPr>
      </w:pPr>
    </w:p>
    <w:p>
      <w:pPr>
        <w:adjustRightInd w:val="0"/>
        <w:snapToGrid w:val="0"/>
        <w:spacing w:line="360" w:lineRule="auto"/>
        <w:ind w:firstLine="420" w:firstLineChars="200"/>
        <w:jc w:val="center"/>
        <w:rPr>
          <w:rFonts w:hint="eastAsia" w:ascii="宋体" w:hAnsi="宋体" w:eastAsia="宋体" w:cs="宋体"/>
          <w:color w:val="000000"/>
          <w:szCs w:val="21"/>
          <w:u w:val="single"/>
        </w:rPr>
      </w:pPr>
      <w:r>
        <w:rPr>
          <w:rFonts w:hint="eastAsia" w:ascii="宋体" w:hAnsi="宋体" w:eastAsia="宋体" w:cs="宋体"/>
          <w:szCs w:val="21"/>
          <w:lang w:val="en-US" w:eastAsia="zh-CN"/>
        </w:rPr>
        <w:t xml:space="preserve">                                             </w:t>
      </w:r>
      <w:r>
        <w:rPr>
          <w:rFonts w:hint="eastAsia" w:ascii="宋体" w:hAnsi="宋体" w:eastAsia="宋体" w:cs="宋体"/>
          <w:szCs w:val="21"/>
        </w:rPr>
        <w:t xml:space="preserve">日期： </w:t>
      </w:r>
      <w:r>
        <w:rPr>
          <w:rFonts w:hint="eastAsia" w:ascii="宋体" w:hAnsi="宋体" w:eastAsia="宋体" w:cs="宋体"/>
          <w:bCs/>
          <w:color w:val="000000"/>
          <w:szCs w:val="21"/>
          <w:u w:val="single"/>
        </w:rPr>
        <w:t xml:space="preserve">         </w:t>
      </w:r>
      <w:r>
        <w:rPr>
          <w:rFonts w:hint="eastAsia" w:ascii="宋体" w:hAnsi="宋体" w:eastAsia="宋体" w:cs="宋体"/>
          <w:bCs/>
          <w:color w:val="000000"/>
          <w:szCs w:val="21"/>
        </w:rPr>
        <w:t>年</w:t>
      </w:r>
      <w:r>
        <w:rPr>
          <w:rFonts w:hint="eastAsia" w:ascii="宋体" w:hAnsi="宋体" w:eastAsia="宋体" w:cs="宋体"/>
          <w:bCs/>
          <w:color w:val="000000"/>
          <w:szCs w:val="21"/>
          <w:u w:val="single"/>
        </w:rPr>
        <w:t xml:space="preserve">    </w:t>
      </w:r>
      <w:r>
        <w:rPr>
          <w:rFonts w:hint="eastAsia" w:ascii="宋体" w:hAnsi="宋体" w:eastAsia="宋体" w:cs="宋体"/>
          <w:bCs/>
          <w:color w:val="000000"/>
          <w:szCs w:val="21"/>
        </w:rPr>
        <w:t>月</w:t>
      </w:r>
      <w:r>
        <w:rPr>
          <w:rFonts w:hint="eastAsia" w:ascii="宋体" w:hAnsi="宋体" w:eastAsia="宋体" w:cs="宋体"/>
          <w:bCs/>
          <w:color w:val="000000"/>
          <w:szCs w:val="21"/>
          <w:u w:val="single"/>
        </w:rPr>
        <w:t xml:space="preserve">    </w:t>
      </w:r>
      <w:r>
        <w:rPr>
          <w:rFonts w:hint="eastAsia" w:ascii="宋体" w:hAnsi="宋体" w:eastAsia="宋体" w:cs="宋体"/>
          <w:bCs/>
          <w:color w:val="000000"/>
          <w:szCs w:val="21"/>
        </w:rPr>
        <w:t>日</w:t>
      </w:r>
    </w:p>
    <w:p>
      <w:pPr>
        <w:pStyle w:val="48"/>
        <w:widowControl/>
        <w:spacing w:line="360" w:lineRule="auto"/>
        <w:ind w:right="84" w:rightChars="40"/>
        <w:jc w:val="left"/>
        <w:outlineLvl w:val="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br w:type="page"/>
      </w:r>
      <w:bookmarkStart w:id="126" w:name="_Toc7966"/>
      <w:bookmarkStart w:id="127" w:name="_Toc26543"/>
      <w:r>
        <w:rPr>
          <w:rFonts w:hint="eastAsia" w:ascii="宋体" w:hAnsi="宋体" w:eastAsia="宋体" w:cs="宋体"/>
          <w:color w:val="auto"/>
          <w:sz w:val="22"/>
          <w:szCs w:val="22"/>
          <w:highlight w:val="none"/>
          <w:lang w:eastAsia="zh-CN"/>
        </w:rPr>
        <w:t>附件二十</w:t>
      </w:r>
      <w:r>
        <w:rPr>
          <w:rFonts w:hint="eastAsia" w:ascii="宋体" w:hAnsi="宋体" w:cs="宋体"/>
          <w:color w:val="auto"/>
          <w:sz w:val="22"/>
          <w:szCs w:val="22"/>
          <w:highlight w:val="none"/>
          <w:lang w:val="en-US" w:eastAsia="zh-CN"/>
        </w:rPr>
        <w:t>三</w:t>
      </w:r>
      <w:r>
        <w:rPr>
          <w:rFonts w:hint="eastAsia" w:ascii="宋体" w:hAnsi="宋体" w:eastAsia="宋体" w:cs="宋体"/>
          <w:color w:val="auto"/>
          <w:sz w:val="22"/>
          <w:szCs w:val="22"/>
          <w:highlight w:val="none"/>
          <w:lang w:eastAsia="zh-CN"/>
        </w:rPr>
        <w:t>：</w:t>
      </w:r>
      <w:bookmarkEnd w:id="125"/>
      <w:bookmarkEnd w:id="126"/>
      <w:bookmarkEnd w:id="127"/>
    </w:p>
    <w:p>
      <w:pPr>
        <w:pStyle w:val="4"/>
        <w:spacing w:before="62"/>
        <w:ind w:right="249"/>
        <w:jc w:val="center"/>
        <w:rPr>
          <w:rFonts w:hint="eastAsia" w:ascii="宋体" w:hAnsi="宋体" w:eastAsia="宋体" w:cs="宋体"/>
          <w:b/>
          <w:bCs/>
          <w:color w:val="auto"/>
          <w:kern w:val="2"/>
          <w:sz w:val="28"/>
          <w:szCs w:val="36"/>
          <w:highlight w:val="none"/>
          <w:lang w:val="en-US" w:eastAsia="zh-CN" w:bidi="ar-SA"/>
        </w:rPr>
      </w:pPr>
      <w:bookmarkStart w:id="128" w:name="_Toc12846"/>
      <w:bookmarkStart w:id="129" w:name="_Toc2959"/>
      <w:r>
        <w:rPr>
          <w:rFonts w:hint="eastAsia" w:ascii="宋体" w:hAnsi="宋体" w:eastAsia="宋体" w:cs="宋体"/>
          <w:b/>
          <w:bCs/>
          <w:color w:val="auto"/>
          <w:kern w:val="2"/>
          <w:sz w:val="28"/>
          <w:szCs w:val="36"/>
          <w:highlight w:val="none"/>
          <w:lang w:val="en-US" w:eastAsia="zh-CN" w:bidi="ar-SA"/>
        </w:rPr>
        <w:t>政府采购活动现场确认声明书（开标后填写）</w:t>
      </w:r>
      <w:bookmarkEnd w:id="128"/>
      <w:bookmarkEnd w:id="129"/>
    </w:p>
    <w:p>
      <w:pPr>
        <w:pStyle w:val="26"/>
        <w:rPr>
          <w:rFonts w:hint="eastAsia"/>
          <w:color w:val="auto"/>
          <w:sz w:val="18"/>
          <w:szCs w:val="20"/>
          <w:highlight w:val="none"/>
        </w:rPr>
      </w:pPr>
    </w:p>
    <w:p>
      <w:pPr>
        <w:spacing w:line="360" w:lineRule="auto"/>
        <w:rPr>
          <w:rFonts w:hint="eastAsia" w:ascii="宋体" w:hAnsi="宋体" w:eastAsia="宋体" w:cs="宋体"/>
          <w:b/>
          <w:bCs/>
          <w:color w:val="auto"/>
          <w:kern w:val="0"/>
          <w:sz w:val="20"/>
          <w:szCs w:val="22"/>
          <w:highlight w:val="none"/>
        </w:rPr>
      </w:pPr>
      <w:r>
        <w:rPr>
          <w:rFonts w:hint="eastAsia" w:ascii="宋体" w:hAnsi="宋体" w:cs="宋体"/>
          <w:b/>
          <w:color w:val="auto"/>
          <w:kern w:val="0"/>
          <w:sz w:val="20"/>
          <w:szCs w:val="22"/>
          <w:highlight w:val="none"/>
          <w:u w:val="single"/>
          <w:lang w:eastAsia="zh-CN"/>
        </w:rPr>
        <w:t>台州市椒江区人民政府前所街道办事处</w:t>
      </w:r>
      <w:r>
        <w:rPr>
          <w:rFonts w:hint="eastAsia" w:ascii="宋体" w:hAnsi="宋体" w:eastAsia="宋体" w:cs="宋体"/>
          <w:b/>
          <w:color w:val="auto"/>
          <w:kern w:val="0"/>
          <w:sz w:val="20"/>
          <w:szCs w:val="22"/>
          <w:highlight w:val="none"/>
          <w:u w:val="single"/>
          <w:lang w:eastAsia="zh-CN"/>
        </w:rPr>
        <w:t>、</w:t>
      </w:r>
      <w:r>
        <w:rPr>
          <w:rFonts w:hint="eastAsia" w:ascii="宋体" w:hAnsi="宋体" w:cs="宋体"/>
          <w:b/>
          <w:color w:val="auto"/>
          <w:kern w:val="0"/>
          <w:sz w:val="20"/>
          <w:szCs w:val="22"/>
          <w:highlight w:val="none"/>
          <w:u w:val="single"/>
          <w:lang w:eastAsia="zh-CN"/>
        </w:rPr>
        <w:t>赢海招标代理（台州）有限公司</w:t>
      </w:r>
      <w:r>
        <w:rPr>
          <w:rFonts w:hint="eastAsia" w:ascii="宋体" w:hAnsi="宋体" w:eastAsia="宋体" w:cs="宋体"/>
          <w:b/>
          <w:color w:val="auto"/>
          <w:kern w:val="0"/>
          <w:sz w:val="20"/>
          <w:szCs w:val="22"/>
          <w:highlight w:val="none"/>
        </w:rPr>
        <w:t>：</w:t>
      </w:r>
    </w:p>
    <w:p>
      <w:pPr>
        <w:spacing w:line="360" w:lineRule="auto"/>
        <w:ind w:firstLine="354" w:firstLineChars="177"/>
        <w:jc w:val="left"/>
        <w:rPr>
          <w:rFonts w:hint="eastAsia" w:ascii="宋体" w:hAnsi="宋体" w:eastAsia="宋体" w:cs="宋体"/>
          <w:b/>
          <w:color w:val="auto"/>
          <w:kern w:val="0"/>
          <w:sz w:val="20"/>
          <w:szCs w:val="22"/>
          <w:highlight w:val="none"/>
        </w:rPr>
      </w:pPr>
      <w:r>
        <w:rPr>
          <w:rFonts w:hint="eastAsia" w:ascii="宋体" w:hAnsi="宋体" w:eastAsia="宋体" w:cs="宋体"/>
          <w:color w:val="auto"/>
          <w:kern w:val="0"/>
          <w:sz w:val="20"/>
          <w:szCs w:val="22"/>
          <w:highlight w:val="none"/>
        </w:rPr>
        <w:t>本人经由</w:t>
      </w:r>
      <w:r>
        <w:rPr>
          <w:rFonts w:hint="eastAsia" w:ascii="宋体" w:hAnsi="宋体" w:eastAsia="宋体" w:cs="宋体"/>
          <w:color w:val="auto"/>
          <w:kern w:val="0"/>
          <w:sz w:val="20"/>
          <w:szCs w:val="22"/>
          <w:highlight w:val="none"/>
          <w:lang w:val="en-US" w:eastAsia="zh-CN"/>
        </w:rPr>
        <w:t xml:space="preserve"> </w:t>
      </w:r>
      <w:r>
        <w:rPr>
          <w:rFonts w:hint="eastAsia" w:ascii="宋体" w:hAnsi="宋体" w:eastAsia="宋体" w:cs="宋体"/>
          <w:color w:val="auto"/>
          <w:kern w:val="0"/>
          <w:sz w:val="20"/>
          <w:szCs w:val="22"/>
          <w:highlight w:val="none"/>
          <w:u w:val="single"/>
          <w:lang w:val="en-US" w:eastAsia="zh-CN"/>
        </w:rPr>
        <w:t xml:space="preserve">                 </w:t>
      </w:r>
      <w:r>
        <w:rPr>
          <w:rFonts w:hint="eastAsia" w:ascii="宋体" w:hAnsi="宋体" w:eastAsia="宋体" w:cs="宋体"/>
          <w:color w:val="auto"/>
          <w:kern w:val="0"/>
          <w:sz w:val="20"/>
          <w:szCs w:val="22"/>
          <w:highlight w:val="none"/>
          <w:u w:val="single"/>
        </w:rPr>
        <w:t>（供应商名称）</w:t>
      </w:r>
      <w:r>
        <w:rPr>
          <w:rFonts w:hint="eastAsia" w:ascii="宋体" w:hAnsi="宋体" w:eastAsia="宋体" w:cs="宋体"/>
          <w:color w:val="auto"/>
          <w:kern w:val="0"/>
          <w:sz w:val="20"/>
          <w:szCs w:val="22"/>
          <w:highlight w:val="none"/>
        </w:rPr>
        <w:t>法定代表人</w:t>
      </w:r>
      <w:r>
        <w:rPr>
          <w:rFonts w:hint="eastAsia" w:ascii="宋体" w:hAnsi="宋体" w:eastAsia="宋体" w:cs="宋体"/>
          <w:color w:val="auto"/>
          <w:kern w:val="0"/>
          <w:sz w:val="20"/>
          <w:szCs w:val="22"/>
          <w:highlight w:val="none"/>
          <w:lang w:val="en-US" w:eastAsia="zh-CN"/>
        </w:rPr>
        <w:t xml:space="preserve"> </w:t>
      </w:r>
      <w:r>
        <w:rPr>
          <w:rFonts w:hint="eastAsia" w:ascii="宋体" w:hAnsi="宋体" w:eastAsia="宋体" w:cs="宋体"/>
          <w:color w:val="auto"/>
          <w:kern w:val="0"/>
          <w:sz w:val="20"/>
          <w:szCs w:val="22"/>
          <w:highlight w:val="none"/>
          <w:u w:val="single"/>
          <w:lang w:val="en-US" w:eastAsia="zh-CN"/>
        </w:rPr>
        <w:t xml:space="preserve">            </w:t>
      </w:r>
      <w:r>
        <w:rPr>
          <w:rFonts w:hint="eastAsia" w:ascii="宋体" w:hAnsi="宋体" w:eastAsia="宋体" w:cs="宋体"/>
          <w:color w:val="auto"/>
          <w:kern w:val="0"/>
          <w:sz w:val="20"/>
          <w:szCs w:val="22"/>
          <w:highlight w:val="none"/>
          <w:u w:val="single"/>
        </w:rPr>
        <w:t>（姓名）</w:t>
      </w:r>
      <w:r>
        <w:rPr>
          <w:rFonts w:hint="eastAsia" w:ascii="宋体" w:hAnsi="宋体" w:eastAsia="宋体" w:cs="宋体"/>
          <w:color w:val="auto"/>
          <w:kern w:val="0"/>
          <w:sz w:val="20"/>
          <w:szCs w:val="22"/>
          <w:highlight w:val="none"/>
        </w:rPr>
        <w:t>合法授权参加</w:t>
      </w:r>
      <w:r>
        <w:rPr>
          <w:rFonts w:hint="eastAsia" w:ascii="宋体" w:hAnsi="宋体" w:cs="宋体"/>
          <w:b/>
          <w:color w:val="auto"/>
          <w:kern w:val="0"/>
          <w:sz w:val="20"/>
          <w:szCs w:val="22"/>
          <w:highlight w:val="none"/>
          <w:u w:val="single"/>
          <w:lang w:eastAsia="zh-CN"/>
        </w:rPr>
        <w:t>椒江区前所街道圆山社区党群服务中心设计施工一体化项目</w:t>
      </w:r>
      <w:r>
        <w:rPr>
          <w:rFonts w:hint="eastAsia" w:ascii="宋体" w:hAnsi="宋体" w:eastAsia="宋体" w:cs="宋体"/>
          <w:b/>
          <w:color w:val="auto"/>
          <w:kern w:val="0"/>
          <w:sz w:val="20"/>
          <w:szCs w:val="22"/>
          <w:highlight w:val="none"/>
          <w:u w:val="single"/>
        </w:rPr>
        <w:t>（项目编号：</w:t>
      </w:r>
      <w:r>
        <w:rPr>
          <w:rFonts w:hint="eastAsia" w:ascii="宋体" w:hAnsi="宋体" w:cs="宋体"/>
          <w:b/>
          <w:color w:val="auto"/>
          <w:kern w:val="0"/>
          <w:sz w:val="20"/>
          <w:szCs w:val="22"/>
          <w:highlight w:val="none"/>
          <w:u w:val="single"/>
          <w:lang w:eastAsia="zh-CN"/>
        </w:rPr>
        <w:t>YHZB-2023-0601</w:t>
      </w:r>
      <w:r>
        <w:rPr>
          <w:rFonts w:hint="eastAsia" w:ascii="宋体" w:hAnsi="宋体" w:eastAsia="宋体" w:cs="宋体"/>
          <w:b/>
          <w:color w:val="auto"/>
          <w:kern w:val="0"/>
          <w:sz w:val="20"/>
          <w:szCs w:val="22"/>
          <w:highlight w:val="none"/>
          <w:u w:val="single"/>
        </w:rPr>
        <w:t>）</w:t>
      </w:r>
      <w:r>
        <w:rPr>
          <w:rFonts w:hint="eastAsia" w:ascii="宋体" w:hAnsi="宋体" w:eastAsia="宋体" w:cs="宋体"/>
          <w:color w:val="auto"/>
          <w:kern w:val="0"/>
          <w:sz w:val="20"/>
          <w:szCs w:val="22"/>
          <w:highlight w:val="none"/>
        </w:rPr>
        <w:t>的政府采购活动，</w:t>
      </w:r>
      <w:r>
        <w:rPr>
          <w:rFonts w:hint="eastAsia" w:ascii="宋体" w:hAnsi="宋体" w:eastAsia="宋体" w:cs="宋体"/>
          <w:b/>
          <w:color w:val="auto"/>
          <w:kern w:val="0"/>
          <w:sz w:val="20"/>
          <w:szCs w:val="22"/>
          <w:highlight w:val="none"/>
        </w:rPr>
        <w:t>经与本单位法定代表人（负责人）联系确认，现就有关公平竞争事项郑重声明如下：</w:t>
      </w:r>
    </w:p>
    <w:p>
      <w:pPr>
        <w:spacing w:line="360" w:lineRule="auto"/>
        <w:ind w:firstLine="355" w:firstLineChars="177"/>
        <w:jc w:val="left"/>
        <w:rPr>
          <w:rFonts w:hint="eastAsia" w:ascii="宋体" w:hAnsi="宋体" w:eastAsia="宋体" w:cs="宋体"/>
          <w:b/>
          <w:bCs/>
          <w:color w:val="auto"/>
          <w:kern w:val="0"/>
          <w:sz w:val="20"/>
          <w:szCs w:val="22"/>
          <w:highlight w:val="none"/>
        </w:rPr>
      </w:pPr>
      <w:r>
        <w:rPr>
          <w:rFonts w:hint="eastAsia" w:ascii="宋体" w:hAnsi="宋体" w:eastAsia="宋体" w:cs="宋体"/>
          <w:b/>
          <w:color w:val="auto"/>
          <w:kern w:val="0"/>
          <w:sz w:val="20"/>
          <w:szCs w:val="22"/>
          <w:highlight w:val="none"/>
        </w:rPr>
        <w:t>一、本单位与采购人之间：</w:t>
      </w:r>
      <w:r>
        <w:rPr>
          <w:rFonts w:hint="eastAsia" w:ascii="宋体" w:hAnsi="宋体" w:eastAsia="宋体" w:cs="宋体"/>
          <w:b/>
          <w:bCs/>
          <w:color w:val="auto"/>
          <w:kern w:val="0"/>
          <w:sz w:val="20"/>
          <w:szCs w:val="22"/>
          <w:highlight w:val="none"/>
        </w:rPr>
        <w:t>□不存在利害关系/□存在下列利害关系</w:t>
      </w:r>
      <w:r>
        <w:rPr>
          <w:rFonts w:hint="eastAsia" w:ascii="宋体" w:hAnsi="宋体" w:eastAsia="宋体" w:cs="宋体"/>
          <w:b/>
          <w:color w:val="auto"/>
          <w:kern w:val="0"/>
          <w:sz w:val="20"/>
          <w:szCs w:val="22"/>
          <w:highlight w:val="none"/>
        </w:rPr>
        <w:t>_______________</w:t>
      </w:r>
      <w:r>
        <w:rPr>
          <w:rFonts w:hint="eastAsia" w:ascii="宋体" w:hAnsi="宋体" w:eastAsia="宋体" w:cs="宋体"/>
          <w:b/>
          <w:bCs/>
          <w:color w:val="auto"/>
          <w:kern w:val="0"/>
          <w:sz w:val="20"/>
          <w:szCs w:val="22"/>
          <w:highlight w:val="none"/>
        </w:rPr>
        <w:t>：</w:t>
      </w:r>
    </w:p>
    <w:p>
      <w:pPr>
        <w:spacing w:line="360" w:lineRule="auto"/>
        <w:ind w:firstLine="354" w:firstLineChars="177"/>
        <w:jc w:val="left"/>
        <w:rPr>
          <w:rFonts w:hint="eastAsia" w:ascii="宋体" w:hAnsi="宋体" w:eastAsia="宋体" w:cs="宋体"/>
          <w:color w:val="auto"/>
          <w:kern w:val="0"/>
          <w:sz w:val="20"/>
          <w:szCs w:val="22"/>
          <w:highlight w:val="none"/>
        </w:rPr>
      </w:pPr>
      <w:r>
        <w:rPr>
          <w:rFonts w:hint="eastAsia" w:ascii="宋体" w:hAnsi="宋体" w:eastAsia="宋体" w:cs="宋体"/>
          <w:color w:val="auto"/>
          <w:kern w:val="0"/>
          <w:sz w:val="20"/>
          <w:szCs w:val="22"/>
          <w:highlight w:val="none"/>
        </w:rPr>
        <w:t>A.投资关系；B.行政隶属关系；C.业务指导关系；D.其他可能影响采购公正的利害关系（如有，请如实说明）：</w:t>
      </w:r>
      <w:r>
        <w:rPr>
          <w:rFonts w:hint="eastAsia" w:ascii="宋体" w:hAnsi="宋体" w:eastAsia="宋体" w:cs="宋体"/>
          <w:b/>
          <w:color w:val="auto"/>
          <w:kern w:val="0"/>
          <w:sz w:val="20"/>
          <w:szCs w:val="22"/>
          <w:highlight w:val="none"/>
        </w:rPr>
        <w:t>__________________________________________</w:t>
      </w:r>
    </w:p>
    <w:p>
      <w:pPr>
        <w:spacing w:line="360" w:lineRule="auto"/>
        <w:ind w:firstLine="355" w:firstLineChars="177"/>
        <w:jc w:val="left"/>
        <w:rPr>
          <w:rFonts w:hint="eastAsia" w:ascii="宋体" w:hAnsi="宋体" w:eastAsia="宋体" w:cs="宋体"/>
          <w:b/>
          <w:color w:val="auto"/>
          <w:kern w:val="0"/>
          <w:sz w:val="20"/>
          <w:szCs w:val="22"/>
          <w:highlight w:val="none"/>
        </w:rPr>
      </w:pPr>
      <w:r>
        <w:rPr>
          <w:rFonts w:hint="eastAsia" w:ascii="宋体" w:hAnsi="宋体" w:eastAsia="宋体" w:cs="宋体"/>
          <w:b/>
          <w:color w:val="auto"/>
          <w:kern w:val="0"/>
          <w:sz w:val="20"/>
          <w:szCs w:val="22"/>
          <w:highlight w:val="none"/>
        </w:rPr>
        <w:t>二、现已清楚知道参加本项目采购活动的其他所有供应商名称，本单位:</w:t>
      </w:r>
    </w:p>
    <w:p>
      <w:pPr>
        <w:spacing w:line="360" w:lineRule="auto"/>
        <w:ind w:firstLine="355" w:firstLineChars="177"/>
        <w:jc w:val="left"/>
        <w:rPr>
          <w:rFonts w:hint="eastAsia" w:ascii="宋体" w:hAnsi="宋体" w:eastAsia="宋体" w:cs="宋体"/>
          <w:b/>
          <w:bCs/>
          <w:color w:val="auto"/>
          <w:kern w:val="0"/>
          <w:sz w:val="20"/>
          <w:szCs w:val="22"/>
          <w:highlight w:val="none"/>
        </w:rPr>
      </w:pPr>
      <w:r>
        <w:rPr>
          <w:rFonts w:hint="eastAsia" w:ascii="宋体" w:hAnsi="宋体" w:eastAsia="宋体" w:cs="宋体"/>
          <w:b/>
          <w:bCs/>
          <w:color w:val="auto"/>
          <w:kern w:val="0"/>
          <w:sz w:val="20"/>
          <w:szCs w:val="22"/>
          <w:highlight w:val="none"/>
        </w:rPr>
        <w:t>□与其他所有供应商之间均不存在利害关系；</w:t>
      </w:r>
    </w:p>
    <w:p>
      <w:pPr>
        <w:spacing w:line="360" w:lineRule="auto"/>
        <w:ind w:firstLine="355" w:firstLineChars="177"/>
        <w:jc w:val="left"/>
        <w:rPr>
          <w:rFonts w:hint="eastAsia" w:ascii="宋体" w:hAnsi="宋体" w:eastAsia="宋体" w:cs="宋体"/>
          <w:color w:val="auto"/>
          <w:kern w:val="0"/>
          <w:sz w:val="20"/>
          <w:szCs w:val="22"/>
          <w:highlight w:val="none"/>
        </w:rPr>
      </w:pPr>
      <w:r>
        <w:rPr>
          <w:rFonts w:hint="eastAsia" w:ascii="宋体" w:hAnsi="宋体" w:eastAsia="宋体" w:cs="宋体"/>
          <w:b/>
          <w:bCs/>
          <w:color w:val="auto"/>
          <w:kern w:val="0"/>
          <w:sz w:val="20"/>
          <w:szCs w:val="22"/>
          <w:highlight w:val="none"/>
        </w:rPr>
        <w:t>□与</w:t>
      </w:r>
      <w:r>
        <w:rPr>
          <w:rFonts w:hint="eastAsia" w:ascii="宋体" w:hAnsi="宋体" w:eastAsia="宋体" w:cs="宋体"/>
          <w:b/>
          <w:color w:val="auto"/>
          <w:kern w:val="0"/>
          <w:sz w:val="20"/>
          <w:szCs w:val="22"/>
          <w:highlight w:val="none"/>
        </w:rPr>
        <w:t>____________________________________</w:t>
      </w:r>
      <w:r>
        <w:rPr>
          <w:rFonts w:hint="eastAsia" w:ascii="宋体" w:hAnsi="宋体" w:eastAsia="宋体" w:cs="宋体"/>
          <w:b/>
          <w:bCs/>
          <w:color w:val="auto"/>
          <w:kern w:val="0"/>
          <w:sz w:val="20"/>
          <w:szCs w:val="22"/>
          <w:highlight w:val="none"/>
          <w:u w:val="single"/>
        </w:rPr>
        <w:t>（供应商名称）</w:t>
      </w:r>
      <w:r>
        <w:rPr>
          <w:rFonts w:hint="eastAsia" w:ascii="宋体" w:hAnsi="宋体" w:eastAsia="宋体" w:cs="宋体"/>
          <w:b/>
          <w:bCs/>
          <w:color w:val="auto"/>
          <w:kern w:val="0"/>
          <w:sz w:val="20"/>
          <w:szCs w:val="22"/>
          <w:highlight w:val="none"/>
        </w:rPr>
        <w:t>之间存在下列利害关系</w:t>
      </w:r>
      <w:r>
        <w:rPr>
          <w:rFonts w:hint="eastAsia" w:ascii="宋体" w:hAnsi="宋体" w:eastAsia="宋体" w:cs="宋体"/>
          <w:b/>
          <w:color w:val="auto"/>
          <w:kern w:val="0"/>
          <w:sz w:val="20"/>
          <w:szCs w:val="22"/>
          <w:highlight w:val="none"/>
        </w:rPr>
        <w:t>_______</w:t>
      </w:r>
      <w:r>
        <w:rPr>
          <w:rFonts w:hint="eastAsia" w:ascii="宋体" w:hAnsi="宋体" w:eastAsia="宋体" w:cs="宋体"/>
          <w:color w:val="auto"/>
          <w:kern w:val="0"/>
          <w:sz w:val="20"/>
          <w:szCs w:val="22"/>
          <w:highlight w:val="none"/>
        </w:rPr>
        <w:t>：</w:t>
      </w:r>
    </w:p>
    <w:p>
      <w:pPr>
        <w:widowControl/>
        <w:spacing w:line="360" w:lineRule="auto"/>
        <w:ind w:firstLine="354" w:firstLineChars="177"/>
        <w:jc w:val="left"/>
        <w:rPr>
          <w:rFonts w:hint="eastAsia" w:ascii="宋体" w:hAnsi="宋体" w:eastAsia="宋体" w:cs="宋体"/>
          <w:color w:val="auto"/>
          <w:kern w:val="0"/>
          <w:sz w:val="20"/>
          <w:szCs w:val="22"/>
          <w:highlight w:val="none"/>
        </w:rPr>
      </w:pPr>
      <w:r>
        <w:rPr>
          <w:rFonts w:hint="eastAsia" w:ascii="宋体" w:hAnsi="宋体" w:eastAsia="宋体" w:cs="宋体"/>
          <w:color w:val="auto"/>
          <w:kern w:val="0"/>
          <w:sz w:val="20"/>
          <w:szCs w:val="22"/>
          <w:highlight w:val="none"/>
        </w:rPr>
        <w:t>A.法定代表人或负责人或实际控制人是同一人；</w:t>
      </w:r>
    </w:p>
    <w:p>
      <w:pPr>
        <w:widowControl/>
        <w:spacing w:line="360" w:lineRule="auto"/>
        <w:ind w:firstLine="354" w:firstLineChars="177"/>
        <w:jc w:val="left"/>
        <w:rPr>
          <w:rFonts w:hint="eastAsia" w:ascii="宋体" w:hAnsi="宋体" w:eastAsia="宋体" w:cs="宋体"/>
          <w:color w:val="auto"/>
          <w:kern w:val="0"/>
          <w:sz w:val="20"/>
          <w:szCs w:val="22"/>
          <w:highlight w:val="none"/>
        </w:rPr>
      </w:pPr>
      <w:r>
        <w:rPr>
          <w:rFonts w:hint="eastAsia" w:ascii="宋体" w:hAnsi="宋体" w:eastAsia="宋体" w:cs="宋体"/>
          <w:color w:val="auto"/>
          <w:kern w:val="0"/>
          <w:sz w:val="20"/>
          <w:szCs w:val="22"/>
          <w:highlight w:val="none"/>
        </w:rPr>
        <w:t>B.法定代表人或负责人或实际控制人是夫妻关系；</w:t>
      </w:r>
    </w:p>
    <w:p>
      <w:pPr>
        <w:widowControl/>
        <w:spacing w:line="360" w:lineRule="auto"/>
        <w:ind w:firstLine="354" w:firstLineChars="177"/>
        <w:jc w:val="left"/>
        <w:rPr>
          <w:rFonts w:hint="eastAsia" w:ascii="宋体" w:hAnsi="宋体" w:eastAsia="宋体" w:cs="宋体"/>
          <w:color w:val="auto"/>
          <w:kern w:val="0"/>
          <w:sz w:val="20"/>
          <w:szCs w:val="22"/>
          <w:highlight w:val="none"/>
        </w:rPr>
      </w:pPr>
      <w:r>
        <w:rPr>
          <w:rFonts w:hint="eastAsia" w:ascii="宋体" w:hAnsi="宋体" w:eastAsia="宋体" w:cs="宋体"/>
          <w:color w:val="auto"/>
          <w:kern w:val="0"/>
          <w:sz w:val="20"/>
          <w:szCs w:val="22"/>
          <w:highlight w:val="none"/>
        </w:rPr>
        <w:t>C.法定代表人或负责人或实际控制人是直系血亲关系；</w:t>
      </w:r>
    </w:p>
    <w:p>
      <w:pPr>
        <w:widowControl/>
        <w:spacing w:line="360" w:lineRule="auto"/>
        <w:ind w:firstLine="354" w:firstLineChars="177"/>
        <w:jc w:val="left"/>
        <w:rPr>
          <w:rFonts w:hint="eastAsia" w:ascii="宋体" w:hAnsi="宋体" w:eastAsia="宋体" w:cs="宋体"/>
          <w:color w:val="auto"/>
          <w:kern w:val="0"/>
          <w:sz w:val="20"/>
          <w:szCs w:val="22"/>
          <w:highlight w:val="none"/>
        </w:rPr>
      </w:pPr>
      <w:r>
        <w:rPr>
          <w:rFonts w:hint="eastAsia" w:ascii="宋体" w:hAnsi="宋体" w:eastAsia="宋体" w:cs="宋体"/>
          <w:color w:val="auto"/>
          <w:kern w:val="0"/>
          <w:sz w:val="20"/>
          <w:szCs w:val="22"/>
          <w:highlight w:val="none"/>
        </w:rPr>
        <w:t>D.法定代表人或负责人或实际控制人存在三代以内旁系血亲关系；</w:t>
      </w:r>
    </w:p>
    <w:p>
      <w:pPr>
        <w:widowControl/>
        <w:spacing w:line="360" w:lineRule="auto"/>
        <w:ind w:firstLine="354" w:firstLineChars="177"/>
        <w:jc w:val="left"/>
        <w:rPr>
          <w:rFonts w:hint="eastAsia" w:ascii="宋体" w:hAnsi="宋体" w:eastAsia="宋体" w:cs="宋体"/>
          <w:color w:val="auto"/>
          <w:kern w:val="0"/>
          <w:sz w:val="20"/>
          <w:szCs w:val="22"/>
          <w:highlight w:val="none"/>
        </w:rPr>
      </w:pPr>
      <w:r>
        <w:rPr>
          <w:rFonts w:hint="eastAsia" w:ascii="宋体" w:hAnsi="宋体" w:eastAsia="宋体" w:cs="宋体"/>
          <w:color w:val="auto"/>
          <w:kern w:val="0"/>
          <w:sz w:val="20"/>
          <w:szCs w:val="22"/>
          <w:highlight w:val="none"/>
        </w:rPr>
        <w:t>E.法定代表人或负责人或实际控制人存在近姻亲关系；</w:t>
      </w:r>
    </w:p>
    <w:p>
      <w:pPr>
        <w:widowControl/>
        <w:spacing w:line="360" w:lineRule="auto"/>
        <w:ind w:firstLine="354" w:firstLineChars="177"/>
        <w:jc w:val="left"/>
        <w:rPr>
          <w:rFonts w:hint="eastAsia" w:ascii="宋体" w:hAnsi="宋体" w:eastAsia="宋体" w:cs="宋体"/>
          <w:color w:val="auto"/>
          <w:kern w:val="0"/>
          <w:sz w:val="20"/>
          <w:szCs w:val="22"/>
          <w:highlight w:val="none"/>
        </w:rPr>
      </w:pPr>
      <w:r>
        <w:rPr>
          <w:rFonts w:hint="eastAsia" w:ascii="宋体" w:hAnsi="宋体" w:eastAsia="宋体" w:cs="宋体"/>
          <w:color w:val="auto"/>
          <w:kern w:val="0"/>
          <w:sz w:val="20"/>
          <w:szCs w:val="22"/>
          <w:highlight w:val="none"/>
        </w:rPr>
        <w:t>F.法定代表人或负责人或实际控制人存在股份控制或实际控制关系；</w:t>
      </w:r>
    </w:p>
    <w:p>
      <w:pPr>
        <w:widowControl/>
        <w:spacing w:line="360" w:lineRule="auto"/>
        <w:ind w:firstLine="354" w:firstLineChars="177"/>
        <w:jc w:val="left"/>
        <w:rPr>
          <w:rFonts w:hint="eastAsia" w:ascii="宋体" w:hAnsi="宋体" w:eastAsia="宋体" w:cs="宋体"/>
          <w:color w:val="auto"/>
          <w:kern w:val="0"/>
          <w:sz w:val="20"/>
          <w:szCs w:val="22"/>
          <w:highlight w:val="none"/>
        </w:rPr>
      </w:pPr>
      <w:r>
        <w:rPr>
          <w:rFonts w:hint="eastAsia" w:ascii="宋体" w:hAnsi="宋体" w:eastAsia="宋体" w:cs="宋体"/>
          <w:color w:val="auto"/>
          <w:kern w:val="0"/>
          <w:sz w:val="20"/>
          <w:szCs w:val="22"/>
          <w:highlight w:val="none"/>
        </w:rPr>
        <w:t>G.存在共同直接或间接投资设立子公司、联营企业和合营企业情况；</w:t>
      </w:r>
    </w:p>
    <w:p>
      <w:pPr>
        <w:widowControl/>
        <w:spacing w:line="360" w:lineRule="auto"/>
        <w:ind w:firstLine="354" w:firstLineChars="177"/>
        <w:jc w:val="left"/>
        <w:rPr>
          <w:rFonts w:hint="eastAsia" w:ascii="宋体" w:hAnsi="宋体" w:eastAsia="宋体" w:cs="宋体"/>
          <w:color w:val="auto"/>
          <w:kern w:val="0"/>
          <w:sz w:val="20"/>
          <w:szCs w:val="22"/>
          <w:highlight w:val="none"/>
        </w:rPr>
      </w:pPr>
      <w:r>
        <w:rPr>
          <w:rFonts w:hint="eastAsia" w:ascii="宋体" w:hAnsi="宋体" w:eastAsia="宋体" w:cs="宋体"/>
          <w:color w:val="auto"/>
          <w:kern w:val="0"/>
          <w:sz w:val="20"/>
          <w:szCs w:val="22"/>
          <w:highlight w:val="none"/>
        </w:rPr>
        <w:t>H.存在分级代理或代销关系、同一生产制造商关系、管理关系、重要业务（占主营业务收入50%以上）或重要财务往来关系（如融资）等其他实质性控制关系；</w:t>
      </w:r>
    </w:p>
    <w:p>
      <w:pPr>
        <w:spacing w:line="360" w:lineRule="auto"/>
        <w:ind w:firstLine="354" w:firstLineChars="177"/>
        <w:jc w:val="left"/>
        <w:rPr>
          <w:rFonts w:hint="eastAsia" w:ascii="宋体" w:hAnsi="宋体" w:eastAsia="宋体" w:cs="宋体"/>
          <w:color w:val="auto"/>
          <w:kern w:val="0"/>
          <w:sz w:val="20"/>
          <w:szCs w:val="22"/>
          <w:highlight w:val="none"/>
        </w:rPr>
      </w:pPr>
      <w:r>
        <w:rPr>
          <w:rFonts w:hint="eastAsia" w:ascii="宋体" w:hAnsi="宋体" w:eastAsia="宋体" w:cs="宋体"/>
          <w:color w:val="auto"/>
          <w:kern w:val="0"/>
          <w:sz w:val="20"/>
          <w:szCs w:val="22"/>
          <w:highlight w:val="none"/>
        </w:rPr>
        <w:t>I.其他利害关系情况</w:t>
      </w:r>
      <w:r>
        <w:rPr>
          <w:rFonts w:hint="eastAsia" w:ascii="宋体" w:hAnsi="宋体" w:eastAsia="宋体" w:cs="宋体"/>
          <w:b/>
          <w:color w:val="auto"/>
          <w:kern w:val="0"/>
          <w:sz w:val="20"/>
          <w:szCs w:val="22"/>
          <w:highlight w:val="none"/>
        </w:rPr>
        <w:t>_______________________________________________</w:t>
      </w:r>
      <w:r>
        <w:rPr>
          <w:rFonts w:hint="eastAsia" w:ascii="宋体" w:hAnsi="宋体" w:eastAsia="宋体" w:cs="宋体"/>
          <w:color w:val="auto"/>
          <w:kern w:val="0"/>
          <w:sz w:val="20"/>
          <w:szCs w:val="22"/>
          <w:highlight w:val="none"/>
        </w:rPr>
        <w:t>。</w:t>
      </w:r>
    </w:p>
    <w:p>
      <w:pPr>
        <w:widowControl/>
        <w:spacing w:line="360" w:lineRule="auto"/>
        <w:ind w:firstLine="355" w:firstLineChars="177"/>
        <w:jc w:val="left"/>
        <w:rPr>
          <w:rFonts w:hint="eastAsia" w:ascii="宋体" w:hAnsi="宋体" w:eastAsia="宋体" w:cs="宋体"/>
          <w:b/>
          <w:color w:val="auto"/>
          <w:kern w:val="0"/>
          <w:sz w:val="20"/>
          <w:szCs w:val="22"/>
          <w:highlight w:val="none"/>
        </w:rPr>
      </w:pPr>
      <w:r>
        <w:rPr>
          <w:rFonts w:hint="eastAsia" w:ascii="宋体" w:hAnsi="宋体" w:eastAsia="宋体" w:cs="宋体"/>
          <w:b/>
          <w:color w:val="auto"/>
          <w:kern w:val="0"/>
          <w:sz w:val="20"/>
          <w:szCs w:val="22"/>
          <w:highlight w:val="none"/>
        </w:rPr>
        <w:t>三、现已清楚知道并严格遵守政府采购法律法规和现场纪律。</w:t>
      </w:r>
    </w:p>
    <w:p>
      <w:pPr>
        <w:widowControl/>
        <w:spacing w:line="360" w:lineRule="auto"/>
        <w:ind w:firstLine="355" w:firstLineChars="177"/>
        <w:jc w:val="left"/>
        <w:rPr>
          <w:rFonts w:hint="eastAsia" w:ascii="宋体" w:hAnsi="宋体" w:eastAsia="宋体" w:cs="宋体"/>
          <w:b/>
          <w:color w:val="auto"/>
          <w:kern w:val="0"/>
          <w:sz w:val="20"/>
          <w:szCs w:val="22"/>
          <w:highlight w:val="none"/>
        </w:rPr>
      </w:pPr>
      <w:r>
        <w:rPr>
          <w:rFonts w:hint="eastAsia" w:ascii="宋体" w:hAnsi="宋体" w:eastAsia="宋体" w:cs="宋体"/>
          <w:b/>
          <w:color w:val="auto"/>
          <w:kern w:val="0"/>
          <w:sz w:val="20"/>
          <w:szCs w:val="22"/>
          <w:highlight w:val="none"/>
        </w:rPr>
        <w:t>四、我发现____________________________________________________________________供应商之间存在或可能存在上述第二条第__________________项利害关系。</w:t>
      </w:r>
    </w:p>
    <w:p>
      <w:pPr>
        <w:snapToGrid w:val="0"/>
        <w:spacing w:line="360" w:lineRule="auto"/>
        <w:jc w:val="right"/>
        <w:rPr>
          <w:rFonts w:hint="eastAsia" w:ascii="宋体" w:hAnsi="宋体" w:eastAsia="宋体" w:cs="宋体"/>
          <w:color w:val="auto"/>
          <w:kern w:val="0"/>
          <w:sz w:val="20"/>
          <w:szCs w:val="22"/>
          <w:highlight w:val="none"/>
        </w:rPr>
      </w:pPr>
      <w:r>
        <w:rPr>
          <w:rFonts w:hint="eastAsia" w:ascii="宋体" w:hAnsi="宋体" w:eastAsia="宋体" w:cs="宋体"/>
          <w:b/>
          <w:color w:val="auto"/>
          <w:kern w:val="0"/>
          <w:sz w:val="20"/>
          <w:szCs w:val="22"/>
          <w:highlight w:val="none"/>
        </w:rPr>
        <w:t>供应商盖章或法定代表人（或授权代表）签字（或盖章）：_______________</w:t>
      </w:r>
    </w:p>
    <w:p>
      <w:pPr>
        <w:jc w:val="right"/>
        <w:rPr>
          <w:rFonts w:hint="eastAsia" w:ascii="宋体" w:hAnsi="宋体" w:eastAsia="宋体" w:cs="宋体"/>
          <w:color w:val="auto"/>
          <w:sz w:val="20"/>
          <w:szCs w:val="22"/>
          <w:highlight w:val="none"/>
        </w:rPr>
      </w:pPr>
      <w:r>
        <w:rPr>
          <w:rFonts w:hint="eastAsia" w:ascii="宋体" w:hAnsi="宋体" w:eastAsia="宋体" w:cs="宋体"/>
          <w:color w:val="auto"/>
          <w:sz w:val="20"/>
          <w:szCs w:val="22"/>
          <w:highlight w:val="none"/>
        </w:rPr>
        <w:t>日期：________年____月____日</w:t>
      </w:r>
    </w:p>
    <w:p>
      <w:pPr>
        <w:bidi w:val="0"/>
        <w:rPr>
          <w:rFonts w:hint="eastAsia" w:ascii="宋体" w:hAnsi="宋体" w:eastAsia="宋体" w:cs="宋体"/>
          <w:color w:val="auto"/>
          <w:kern w:val="0"/>
          <w:sz w:val="20"/>
          <w:szCs w:val="22"/>
          <w:highlight w:val="none"/>
          <w:lang w:val="en-US" w:eastAsia="zh-CN"/>
        </w:rPr>
      </w:pPr>
    </w:p>
    <w:p>
      <w:pPr>
        <w:bidi w:val="0"/>
        <w:rPr>
          <w:color w:val="auto"/>
          <w:highlight w:val="none"/>
        </w:rPr>
      </w:pPr>
      <w:r>
        <w:rPr>
          <w:rFonts w:hint="eastAsia" w:ascii="宋体" w:hAnsi="宋体" w:eastAsia="宋体" w:cs="宋体"/>
          <w:color w:val="auto"/>
          <w:kern w:val="0"/>
          <w:sz w:val="20"/>
          <w:szCs w:val="22"/>
          <w:highlight w:val="none"/>
          <w:lang w:val="en-US" w:eastAsia="zh-CN"/>
        </w:rPr>
        <w:t>注：（供应商</w:t>
      </w:r>
      <w:r>
        <w:rPr>
          <w:rFonts w:hint="eastAsia" w:ascii="宋体" w:hAnsi="宋体" w:eastAsia="宋体" w:cs="宋体"/>
          <w:b w:val="0"/>
          <w:bCs w:val="0"/>
          <w:color w:val="auto"/>
          <w:kern w:val="0"/>
          <w:sz w:val="20"/>
          <w:szCs w:val="22"/>
          <w:highlight w:val="none"/>
          <w:lang w:val="en-US" w:eastAsia="zh-CN"/>
        </w:rPr>
        <w:t>解密投标文件及获知其他供应商信息进行如实声明并盖章，并在采购代理机构组织签署后，15分钟内以扫描件形式发送至采购代理机构邮箱：</w:t>
      </w:r>
      <w:r>
        <w:rPr>
          <w:rFonts w:hint="eastAsia" w:ascii="宋体" w:hAnsi="宋体" w:cs="宋体"/>
          <w:b w:val="0"/>
          <w:bCs w:val="0"/>
          <w:color w:val="auto"/>
          <w:kern w:val="0"/>
          <w:sz w:val="20"/>
          <w:szCs w:val="22"/>
          <w:highlight w:val="none"/>
          <w:lang w:val="en-US" w:eastAsia="zh-CN"/>
        </w:rPr>
        <w:t>373571617</w:t>
      </w:r>
      <w:r>
        <w:rPr>
          <w:rFonts w:hint="eastAsia" w:ascii="宋体" w:hAnsi="宋体" w:eastAsia="宋体" w:cs="宋体"/>
          <w:b w:val="0"/>
          <w:bCs w:val="0"/>
          <w:color w:val="auto"/>
          <w:kern w:val="0"/>
          <w:sz w:val="20"/>
          <w:szCs w:val="22"/>
          <w:highlight w:val="none"/>
          <w:lang w:val="en-US" w:eastAsia="zh-CN"/>
        </w:rPr>
        <w:t>@qq.com，逾期发送或未发送的视为无异议）</w:t>
      </w:r>
    </w:p>
    <w:sectPr>
      <w:footerReference r:id="rId5" w:type="default"/>
      <w:pgSz w:w="11906" w:h="16838"/>
      <w:pgMar w:top="1417" w:right="1361" w:bottom="1417" w:left="1361" w:header="907" w:footer="992" w:gutter="0"/>
      <w:pgBorders>
        <w:top w:val="none" w:sz="0" w:space="0"/>
        <w:left w:val="none" w:sz="0" w:space="0"/>
        <w:bottom w:val="none" w:sz="0" w:space="0"/>
        <w:right w:val="none" w:sz="0" w:space="0"/>
      </w:pgBorders>
      <w:pgNumType w:fmt="decimal" w:start="1"/>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20"/>
                          </w:pPr>
                          <w:r>
                            <w:fldChar w:fldCharType="begin"/>
                          </w:r>
                          <w:r>
                            <w:instrText xml:space="preserve"> PAGE  \* MERGEFORMAT </w:instrText>
                          </w:r>
                          <w:r>
                            <w:fldChar w:fldCharType="separate"/>
                          </w:r>
                          <w:r>
                            <w:t>59</w:t>
                          </w:r>
                          <w:r>
                            <w:fldChar w:fldCharType="end"/>
                          </w:r>
                        </w:p>
                      </w:txbxContent>
                    </wps:txbx>
                    <wps:bodyPr vert="horz" wrap="none" lIns="0" tIns="0" rIns="0" bIns="0" anchor="t">
                      <a:spAutoFit/>
                    </wps:bodyPr>
                  </wps:wsp>
                </a:graphicData>
              </a:graphic>
            </wp:anchor>
          </w:drawing>
        </mc:Choice>
        <mc:Fallback>
          <w:pict>
            <v:rect id="文本框 8"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T3PKzHAQAAjwMAAA4AAABkcnMvZTJvRG9jLnhtbK1TS27bMBDdF8gd&#10;CO5ryUZRCILloICRIEDQBkh7AJqiLAL8YYa25B4guUFX3XTfc/kcHerjFOkmi26oGQ755r3H0fq6&#10;t4YdFaD2ruLLRc6ZctLX2u0r/u3rzfuCM4zC1cJ4pyp+UsivN1fv1l0o1cq33tQKGIE4LLtQ8TbG&#10;UGYZylZZgQsflKNi48GKSCnssxpER+jWZKs8/5h1HuoAXipE2t2ORT4hwlsAfdNoqbZeHqxycUQF&#10;ZUQkSdjqgHwzsG0aJeOXpkEVmak4KY3DSk0o3qU126xFuQcRWi0nCuItFF5pskI7anqB2ooo2AH0&#10;P1BWS/Dom7iQ3majkMERUrHMX3nz2IqgBi1kNYaL6fj/YOXn4wMwXVf8A2dOWHrw84/n88/f519P&#10;rEj2dAFLOvUYHmDKkMKktW/Api+pYP1g6eliqeojk7S5LFZFkZPbkmpzQjjZy/UAGG+VtywFFQd6&#10;s8FKcbzHOB6dj6RuxqXV+RttzFhNO1miORJLUex3/cR25+sTSaSJJ/DWw3fOOnrvijsab87MnSM7&#10;02jMAczBbg6Ek3Sx4iMvDJ8OkdoP3FKzscPEgd5pUDfNVBqEv/Ph1Mt/tPk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uXW5UtAAAAAFAQAADwAAAAAAAAABACAAAAAiAAAAZHJzL2Rvd25yZXYueG1s&#10;UEsBAhQAFAAAAAgAh07iQIT3PKzHAQAAjwMAAA4AAAAAAAAAAQAgAAAAHwEAAGRycy9lMm9Eb2Mu&#10;eG1sUEsFBgAAAAAGAAYAWQEAAFgFAAAAAA==&#10;">
              <v:fill on="f" focussize="0,0"/>
              <v:stroke on="f"/>
              <v:imagedata o:title=""/>
              <o:lock v:ext="edit" aspectratio="f"/>
              <v:textbox inset="0mm,0mm,0mm,0mm" style="mso-fit-shape-to-text:t;">
                <w:txbxContent>
                  <w:p>
                    <w:pPr>
                      <w:pStyle w:val="20"/>
                    </w:pPr>
                    <w:r>
                      <w:fldChar w:fldCharType="begin"/>
                    </w:r>
                    <w:r>
                      <w:instrText xml:space="preserve"> PAGE  \* MERGEFORMAT </w:instrText>
                    </w:r>
                    <w:r>
                      <w:fldChar w:fldCharType="separate"/>
                    </w:r>
                    <w:r>
                      <w:t>59</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20"/>
                          </w:pPr>
                          <w:r>
                            <w:fldChar w:fldCharType="begin"/>
                          </w:r>
                          <w:r>
                            <w:instrText xml:space="preserve"> PAGE  \* MERGEFORMAT </w:instrText>
                          </w:r>
                          <w:r>
                            <w:fldChar w:fldCharType="separate"/>
                          </w:r>
                          <w:r>
                            <w:t>59</w:t>
                          </w:r>
                          <w:r>
                            <w:fldChar w:fldCharType="end"/>
                          </w:r>
                        </w:p>
                      </w:txbxContent>
                    </wps:txbx>
                    <wps:bodyPr vert="horz" wrap="none" lIns="0" tIns="0" rIns="0" bIns="0" anchor="t">
                      <a:spAutoFit/>
                    </wps:bodyPr>
                  </wps:wsp>
                </a:graphicData>
              </a:graphic>
            </wp:anchor>
          </w:drawing>
        </mc:Choice>
        <mc:Fallback>
          <w:pict>
            <v:rect id="文本框 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xIvZXGAQAAjwMAAA4AAABkcnMvZTJvRG9jLnhtbK1TS27bMBDdF8gd&#10;CO5ryV4UgmA5CGAkKFCkAdIegKYoiwB/mKEtuQdob9BVN933XD5Hh/o4QbLJIhtqhkO+ee9xtL7u&#10;rWFHBai9q/hykXOmnPS1dvuKf/92+7HgDKNwtTDeqYqfFPLrzdWHdRdKtfKtN7UCRiAOyy5UvI0x&#10;lFmGslVW4MIH5ajYeLAiUgr7rAbREbo12SrPP2WdhzqAlwqRdrdjkU+I8BZA3zRaqq2XB6tcHFFB&#10;GRFJErY6IN8MbJtGyfi1aVBFZipOSuOwUhOKd2nNNmtR7kGEVsuJgngLhRearNCOml6gtiIKdgD9&#10;CspqCR59ExfS22wUMjhCKpb5C28eWxHUoIWsxnAxHd8PVt4fH4DpmiaBMycsPfj596/zn3/nvz9Z&#10;kezpApZ06jE8wJQhhUlr34BNX1LB+sHS08VS1UcmaXNZrIoiJ7cl1eaEcLKn6wEw3ilvWQoqDvRm&#10;g5Xi+AXjeHQ+kroZl1bnb7UxYzXtZInmSCxFsd/1E9udr08kkSaewFsPPzjr6L0r7mi8OTOfHdmZ&#10;RmMOYA52cyCcpIsVH3lhuDlEaj9wS83GDhMHeqdB3TRTaRCe58Opp/9o8x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3Ei9lcYBAACPAwAADgAAAAAAAAABACAAAAAfAQAAZHJzL2Uyb0RvYy54&#10;bWxQSwUGAAAAAAYABgBZAQAAVwUAAAAA&#10;">
              <v:fill on="f" focussize="0,0"/>
              <v:stroke on="f"/>
              <v:imagedata o:title=""/>
              <o:lock v:ext="edit" aspectratio="f"/>
              <v:textbox inset="0mm,0mm,0mm,0mm" style="mso-fit-shape-to-text:t;">
                <w:txbxContent>
                  <w:p>
                    <w:pPr>
                      <w:pStyle w:val="20"/>
                    </w:pPr>
                    <w:r>
                      <w:fldChar w:fldCharType="begin"/>
                    </w:r>
                    <w:r>
                      <w:instrText xml:space="preserve"> PAGE  \* MERGEFORMAT </w:instrText>
                    </w:r>
                    <w:r>
                      <w:fldChar w:fldCharType="separate"/>
                    </w:r>
                    <w:r>
                      <w:t>59</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spacing w:line="20" w:lineRule="atLea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A094B7"/>
    <w:multiLevelType w:val="multilevel"/>
    <w:tmpl w:val="84A094B7"/>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第%2节　"/>
      <w:lvlJc w:val="left"/>
      <w:pPr>
        <w:ind w:left="0" w:firstLine="402"/>
      </w:pPr>
      <w:rPr>
        <w:rFonts w:hint="eastAsia"/>
      </w:rPr>
    </w:lvl>
    <w:lvl w:ilvl="2" w:tentative="0">
      <w:start w:val="1"/>
      <w:numFmt w:val="chineseCounting"/>
      <w:suff w:val="nothing"/>
      <w:lvlText w:val="第%3条　"/>
      <w:lvlJc w:val="left"/>
      <w:pPr>
        <w:ind w:left="0" w:firstLine="402"/>
      </w:pPr>
      <w:rPr>
        <w:rFonts w:hint="eastAsia"/>
      </w:rPr>
    </w:lvl>
    <w:lvl w:ilvl="3" w:tentative="0">
      <w:start w:val="1"/>
      <w:numFmt w:val="chineseCounting"/>
      <w:suff w:val="nothing"/>
      <w:lvlText w:val="（%4）"/>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decimalEnclosedCircleChinese"/>
      <w:suff w:val="nothing"/>
      <w:lvlText w:val="%7 "/>
      <w:lvlJc w:val="left"/>
      <w:pPr>
        <w:ind w:left="0" w:firstLine="402"/>
      </w:pPr>
      <w:rPr>
        <w:rFonts w:hint="eastAsia"/>
      </w:rPr>
    </w:lvl>
    <w:lvl w:ilvl="7" w:tentative="0">
      <w:start w:val="1"/>
      <w:numFmt w:val="decimal"/>
      <w:suff w:val="nothing"/>
      <w:lvlText w:val="%8）"/>
      <w:lvlJc w:val="left"/>
      <w:pPr>
        <w:ind w:left="0" w:firstLine="402"/>
      </w:pPr>
      <w:rPr>
        <w:rFonts w:hint="eastAsia"/>
      </w:rPr>
    </w:lvl>
    <w:lvl w:ilvl="8" w:tentative="0">
      <w:start w:val="1"/>
      <w:numFmt w:val="lowerLetter"/>
      <w:suff w:val="nothing"/>
      <w:lvlText w:val="%9．"/>
      <w:lvlJc w:val="left"/>
      <w:pPr>
        <w:ind w:left="0" w:firstLine="402"/>
      </w:pPr>
      <w:rPr>
        <w:rFonts w:hint="eastAsia"/>
      </w:rPr>
    </w:lvl>
  </w:abstractNum>
  <w:abstractNum w:abstractNumId="1">
    <w:nsid w:val="00000005"/>
    <w:multiLevelType w:val="singleLevel"/>
    <w:tmpl w:val="00000005"/>
    <w:lvl w:ilvl="0" w:tentative="0">
      <w:start w:val="1"/>
      <w:numFmt w:val="decimal"/>
      <w:pStyle w:val="8"/>
      <w:lvlText w:val="%1."/>
      <w:lvlJc w:val="left"/>
      <w:pPr>
        <w:tabs>
          <w:tab w:val="left" w:pos="360"/>
        </w:tabs>
        <w:ind w:left="360" w:hanging="360"/>
      </w:pPr>
    </w:lvl>
  </w:abstractNum>
  <w:abstractNum w:abstractNumId="2">
    <w:nsid w:val="00000009"/>
    <w:multiLevelType w:val="multilevel"/>
    <w:tmpl w:val="00000009"/>
    <w:lvl w:ilvl="0" w:tentative="0">
      <w:start w:val="1"/>
      <w:numFmt w:val="decimal"/>
      <w:pStyle w:val="3"/>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Text w:val="%1.%2.%3.%4.%5.%6.%7"/>
      <w:lvlJc w:val="left"/>
      <w:pPr>
        <w:ind w:left="5109" w:hanging="851"/>
      </w:pPr>
      <w:rPr>
        <w:rFonts w:hint="eastAsia"/>
      </w:rPr>
    </w:lvl>
    <w:lvl w:ilvl="7" w:tentative="0">
      <w:start w:val="1"/>
      <w:numFmt w:val="decimal"/>
      <w:suff w:val="nothing"/>
      <w:lvlText w:val="表%1-%8  "/>
      <w:lvlJc w:val="left"/>
      <w:pPr>
        <w:ind w:left="4820" w:hanging="1417"/>
      </w:pPr>
      <w:rPr>
        <w:rFonts w:hint="eastAsia" w:ascii="Times New Roman" w:hAnsi="Times New Roman" w:cs="Times New Roman"/>
        <w:bCs w:val="0"/>
        <w:i w:val="0"/>
        <w:iCs w:val="0"/>
        <w:caps w:val="0"/>
        <w:smallCaps w:val="0"/>
        <w:vanish w:val="0"/>
        <w:spacing w:val="0"/>
        <w:position w:val="0"/>
        <w:u w:val="none"/>
        <w:vertAlign w:val="baseline"/>
      </w:rPr>
    </w:lvl>
    <w:lvl w:ilvl="8" w:tentative="0">
      <w:start w:val="1"/>
      <w:numFmt w:val="decimal"/>
      <w:suff w:val="nothing"/>
      <w:lvlText w:val="图%1-%9  "/>
      <w:lvlJc w:val="left"/>
      <w:pPr>
        <w:ind w:left="5102" w:hanging="1700"/>
      </w:pPr>
      <w:rPr>
        <w:rFonts w:hint="eastAsia"/>
      </w:rPr>
    </w:lvl>
  </w:abstractNum>
  <w:abstractNum w:abstractNumId="3">
    <w:nsid w:val="0053208E"/>
    <w:multiLevelType w:val="multilevel"/>
    <w:tmpl w:val="0053208E"/>
    <w:lvl w:ilvl="0" w:tentative="0">
      <w:start w:val="1"/>
      <w:numFmt w:val="chineseCounting"/>
      <w:suff w:val="nothing"/>
      <w:lvlText w:val="第%1章 "/>
      <w:lvlJc w:val="left"/>
      <w:pPr>
        <w:ind w:left="432" w:hanging="432"/>
      </w:pPr>
      <w:rPr>
        <w:rFonts w:hint="eastAsia"/>
      </w:rPr>
    </w:lvl>
    <w:lvl w:ilvl="1" w:tentative="0">
      <w:start w:val="1"/>
      <w:numFmt w:val="decimal"/>
      <w:isLgl/>
      <w:lvlText w:val="%1.%2."/>
      <w:lvlJc w:val="left"/>
      <w:pPr>
        <w:ind w:left="575" w:hanging="575"/>
      </w:pPr>
      <w:rPr>
        <w:rFonts w:hint="eastAsia"/>
      </w:rPr>
    </w:lvl>
    <w:lvl w:ilvl="2" w:tentative="0">
      <w:start w:val="1"/>
      <w:numFmt w:val="decimal"/>
      <w:isLgl/>
      <w:lvlText w:val="%1.%2.%3"/>
      <w:lvlJc w:val="left"/>
      <w:pPr>
        <w:ind w:left="720" w:hanging="720"/>
      </w:pPr>
      <w:rPr>
        <w:rFonts w:hint="eastAsia" w:ascii="Times New Roman" w:hAnsi="Times New Roman" w:eastAsia="宋体" w:cs="宋体"/>
        <w:sz w:val="24"/>
        <w:szCs w:val="24"/>
      </w:rPr>
    </w:lvl>
    <w:lvl w:ilvl="3" w:tentative="0">
      <w:start w:val="1"/>
      <w:numFmt w:val="decimal"/>
      <w:pStyle w:val="2"/>
      <w:isLgl/>
      <w:lvlText w:val="%1.%2.%3.%4."/>
      <w:lvlJc w:val="left"/>
      <w:pPr>
        <w:ind w:left="864" w:hanging="864"/>
      </w:pPr>
      <w:rPr>
        <w:rFonts w:hint="eastAsia"/>
      </w:rPr>
    </w:lvl>
    <w:lvl w:ilvl="4" w:tentative="0">
      <w:start w:val="1"/>
      <w:numFmt w:val="decimal"/>
      <w:pStyle w:val="6"/>
      <w:isLgl/>
      <w:lvlText w:val="%1.%2.%3.%4.%5."/>
      <w:lvlJc w:val="left"/>
      <w:pPr>
        <w:ind w:left="1008" w:hanging="1008"/>
      </w:pPr>
      <w:rPr>
        <w:rFonts w:hint="eastAsia"/>
      </w:rPr>
    </w:lvl>
    <w:lvl w:ilvl="5" w:tentative="0">
      <w:start w:val="1"/>
      <w:numFmt w:val="decimal"/>
      <w:isLgl/>
      <w:lvlText w:val="%1.%2.%3.%4.%5.%6."/>
      <w:lvlJc w:val="left"/>
      <w:pPr>
        <w:ind w:left="1151" w:hanging="1151"/>
      </w:pPr>
      <w:rPr>
        <w:rFonts w:hint="eastAsia"/>
      </w:rPr>
    </w:lvl>
    <w:lvl w:ilvl="6" w:tentative="0">
      <w:start w:val="1"/>
      <w:numFmt w:val="decimal"/>
      <w:isLgl/>
      <w:lvlText w:val="%1.%2.%3.%4.%5.%6.%7."/>
      <w:lvlJc w:val="left"/>
      <w:pPr>
        <w:ind w:left="1296" w:hanging="1296"/>
      </w:pPr>
      <w:rPr>
        <w:rFonts w:hint="eastAsia"/>
      </w:rPr>
    </w:lvl>
    <w:lvl w:ilvl="7" w:tentative="0">
      <w:start w:val="1"/>
      <w:numFmt w:val="decimal"/>
      <w:isLgl/>
      <w:lvlText w:val="%1.%2.%3.%4.%5.%6.%7.%8."/>
      <w:lvlJc w:val="left"/>
      <w:pPr>
        <w:ind w:left="1440" w:hanging="1440"/>
      </w:pPr>
      <w:rPr>
        <w:rFonts w:hint="eastAsia"/>
      </w:rPr>
    </w:lvl>
    <w:lvl w:ilvl="8" w:tentative="0">
      <w:start w:val="1"/>
      <w:numFmt w:val="decimal"/>
      <w:isLgl/>
      <w:lvlText w:val="%1.%2.%3.%4.%5.%6.%7.%8.%9."/>
      <w:lvlJc w:val="left"/>
      <w:pPr>
        <w:ind w:left="1583" w:hanging="1583"/>
      </w:pPr>
      <w:rPr>
        <w:rFonts w:hint="eastAsia"/>
      </w:rPr>
    </w:lvl>
  </w:abstractNum>
  <w:abstractNum w:abstractNumId="4">
    <w:nsid w:val="08D84999"/>
    <w:multiLevelType w:val="singleLevel"/>
    <w:tmpl w:val="08D84999"/>
    <w:lvl w:ilvl="0" w:tentative="0">
      <w:start w:val="2"/>
      <w:numFmt w:val="decimal"/>
      <w:suff w:val="nothing"/>
      <w:lvlText w:val="%1、"/>
      <w:lvlJc w:val="left"/>
    </w:lvl>
  </w:abstractNum>
  <w:abstractNum w:abstractNumId="5">
    <w:nsid w:val="244CE361"/>
    <w:multiLevelType w:val="singleLevel"/>
    <w:tmpl w:val="244CE361"/>
    <w:lvl w:ilvl="0" w:tentative="0">
      <w:start w:val="2"/>
      <w:numFmt w:val="chineseCounting"/>
      <w:suff w:val="nothing"/>
      <w:lvlText w:val="（%1）"/>
      <w:lvlJc w:val="left"/>
      <w:rPr>
        <w:rFonts w:hint="eastAsia"/>
      </w:rPr>
    </w:lvl>
  </w:abstractNum>
  <w:abstractNum w:abstractNumId="6">
    <w:nsid w:val="5B6C0D47"/>
    <w:multiLevelType w:val="singleLevel"/>
    <w:tmpl w:val="5B6C0D47"/>
    <w:lvl w:ilvl="0" w:tentative="0">
      <w:start w:val="1"/>
      <w:numFmt w:val="chineseCounting"/>
      <w:suff w:val="nothing"/>
      <w:lvlText w:val="（%1）"/>
      <w:lvlJc w:val="left"/>
    </w:lvl>
  </w:abstractNum>
  <w:abstractNum w:abstractNumId="7">
    <w:nsid w:val="5B6C0D48"/>
    <w:multiLevelType w:val="multilevel"/>
    <w:tmpl w:val="5B6C0D48"/>
    <w:lvl w:ilvl="0" w:tentative="0">
      <w:start w:val="1"/>
      <w:numFmt w:val="japaneseCounting"/>
      <w:lvlText w:val="（%1）"/>
      <w:lvlJc w:val="left"/>
      <w:pPr>
        <w:tabs>
          <w:tab w:val="left" w:pos="720"/>
        </w:tabs>
        <w:ind w:left="720" w:hanging="720"/>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decimal"/>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2"/>
  </w:num>
  <w:num w:numId="2">
    <w:abstractNumId w:val="3"/>
  </w:num>
  <w:num w:numId="3">
    <w:abstractNumId w:val="1"/>
  </w:num>
  <w:num w:numId="4">
    <w:abstractNumId w:val="0"/>
  </w:num>
  <w:num w:numId="5">
    <w:abstractNumId w:val="5"/>
  </w:num>
  <w:num w:numId="6">
    <w:abstractNumId w:val="6"/>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embedSystemFonts/>
  <w:bordersDoNotSurroundHeader w:val="0"/>
  <w:bordersDoNotSurroundFooter w:val="0"/>
  <w:hideSpellingErrors/>
  <w:documentProtection w:formatting="1"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2YzZmZTA4YzZhZGI2MmM1YWJlNzk5Njc5MWJmNzEifQ=="/>
  </w:docVars>
  <w:rsids>
    <w:rsidRoot w:val="000B664E"/>
    <w:rsid w:val="000006D6"/>
    <w:rsid w:val="00033328"/>
    <w:rsid w:val="000B664E"/>
    <w:rsid w:val="000E0FD0"/>
    <w:rsid w:val="0017575F"/>
    <w:rsid w:val="00406D18"/>
    <w:rsid w:val="00487AFB"/>
    <w:rsid w:val="004D52E6"/>
    <w:rsid w:val="005212AB"/>
    <w:rsid w:val="0065696E"/>
    <w:rsid w:val="007D0D61"/>
    <w:rsid w:val="007E5327"/>
    <w:rsid w:val="009A13B3"/>
    <w:rsid w:val="00B52690"/>
    <w:rsid w:val="00BA0DA4"/>
    <w:rsid w:val="00C50DF7"/>
    <w:rsid w:val="00D457A4"/>
    <w:rsid w:val="00D66668"/>
    <w:rsid w:val="00D92F40"/>
    <w:rsid w:val="00DF01F3"/>
    <w:rsid w:val="01032000"/>
    <w:rsid w:val="011607D1"/>
    <w:rsid w:val="01172333"/>
    <w:rsid w:val="012052F9"/>
    <w:rsid w:val="012C3420"/>
    <w:rsid w:val="0131436A"/>
    <w:rsid w:val="01341807"/>
    <w:rsid w:val="014B3DB0"/>
    <w:rsid w:val="01586A1F"/>
    <w:rsid w:val="016A119D"/>
    <w:rsid w:val="018E1CDD"/>
    <w:rsid w:val="019404F8"/>
    <w:rsid w:val="01AB5289"/>
    <w:rsid w:val="01CC5EE4"/>
    <w:rsid w:val="01EA5A84"/>
    <w:rsid w:val="0212746E"/>
    <w:rsid w:val="022441F1"/>
    <w:rsid w:val="02250F96"/>
    <w:rsid w:val="02255A60"/>
    <w:rsid w:val="022720F4"/>
    <w:rsid w:val="024C61BE"/>
    <w:rsid w:val="025A6AAF"/>
    <w:rsid w:val="027D3C65"/>
    <w:rsid w:val="0284231A"/>
    <w:rsid w:val="029D110E"/>
    <w:rsid w:val="02A45993"/>
    <w:rsid w:val="02B80216"/>
    <w:rsid w:val="02BE6A10"/>
    <w:rsid w:val="02C14E5E"/>
    <w:rsid w:val="02C63797"/>
    <w:rsid w:val="02CE092B"/>
    <w:rsid w:val="02D40CFC"/>
    <w:rsid w:val="02D93027"/>
    <w:rsid w:val="02E6521A"/>
    <w:rsid w:val="02F85DBF"/>
    <w:rsid w:val="031374C5"/>
    <w:rsid w:val="03150570"/>
    <w:rsid w:val="032C0647"/>
    <w:rsid w:val="035A2559"/>
    <w:rsid w:val="038165EC"/>
    <w:rsid w:val="0392181C"/>
    <w:rsid w:val="03A65787"/>
    <w:rsid w:val="03D66FA5"/>
    <w:rsid w:val="040B1C8B"/>
    <w:rsid w:val="04425609"/>
    <w:rsid w:val="04734681"/>
    <w:rsid w:val="04952736"/>
    <w:rsid w:val="049E0ECD"/>
    <w:rsid w:val="04BC1F2C"/>
    <w:rsid w:val="04D57987"/>
    <w:rsid w:val="04E101FF"/>
    <w:rsid w:val="04F33787"/>
    <w:rsid w:val="04FF037E"/>
    <w:rsid w:val="052B1173"/>
    <w:rsid w:val="052E78A0"/>
    <w:rsid w:val="054A0784"/>
    <w:rsid w:val="057C509E"/>
    <w:rsid w:val="057E5747"/>
    <w:rsid w:val="058F1391"/>
    <w:rsid w:val="05C303E3"/>
    <w:rsid w:val="05EE67BF"/>
    <w:rsid w:val="05F61A09"/>
    <w:rsid w:val="061A72E3"/>
    <w:rsid w:val="061D0ABC"/>
    <w:rsid w:val="061F255D"/>
    <w:rsid w:val="06283968"/>
    <w:rsid w:val="06536749"/>
    <w:rsid w:val="065A26E1"/>
    <w:rsid w:val="06695BF5"/>
    <w:rsid w:val="067D1D52"/>
    <w:rsid w:val="06847C51"/>
    <w:rsid w:val="06A0494E"/>
    <w:rsid w:val="06A411DD"/>
    <w:rsid w:val="06BA622B"/>
    <w:rsid w:val="06BE687B"/>
    <w:rsid w:val="06D20D6A"/>
    <w:rsid w:val="06D71EA6"/>
    <w:rsid w:val="06E8123B"/>
    <w:rsid w:val="06EE4206"/>
    <w:rsid w:val="0732721F"/>
    <w:rsid w:val="07377CCF"/>
    <w:rsid w:val="073B06C1"/>
    <w:rsid w:val="07686E23"/>
    <w:rsid w:val="076D3A81"/>
    <w:rsid w:val="0791246E"/>
    <w:rsid w:val="079F425F"/>
    <w:rsid w:val="07A332EB"/>
    <w:rsid w:val="07A8002D"/>
    <w:rsid w:val="07AB3D1B"/>
    <w:rsid w:val="07DA37F7"/>
    <w:rsid w:val="07EC7DAF"/>
    <w:rsid w:val="080261BB"/>
    <w:rsid w:val="0817092F"/>
    <w:rsid w:val="081C66C3"/>
    <w:rsid w:val="08344CBB"/>
    <w:rsid w:val="08382534"/>
    <w:rsid w:val="083E7181"/>
    <w:rsid w:val="08450786"/>
    <w:rsid w:val="085031B9"/>
    <w:rsid w:val="086465D3"/>
    <w:rsid w:val="08C01BD2"/>
    <w:rsid w:val="08E74A1F"/>
    <w:rsid w:val="08F05C6D"/>
    <w:rsid w:val="08F50328"/>
    <w:rsid w:val="08FE21FF"/>
    <w:rsid w:val="090D2E85"/>
    <w:rsid w:val="09400BEB"/>
    <w:rsid w:val="09436A8B"/>
    <w:rsid w:val="09454903"/>
    <w:rsid w:val="095B6572"/>
    <w:rsid w:val="09AC4B61"/>
    <w:rsid w:val="09AE688E"/>
    <w:rsid w:val="09C435AC"/>
    <w:rsid w:val="09D423E4"/>
    <w:rsid w:val="09D45935"/>
    <w:rsid w:val="09DE30D1"/>
    <w:rsid w:val="09E6690D"/>
    <w:rsid w:val="0A193C90"/>
    <w:rsid w:val="0A40255E"/>
    <w:rsid w:val="0A6400F5"/>
    <w:rsid w:val="0A796B86"/>
    <w:rsid w:val="0A85004C"/>
    <w:rsid w:val="0AAE1407"/>
    <w:rsid w:val="0AC459AA"/>
    <w:rsid w:val="0AEA61A0"/>
    <w:rsid w:val="0AEF1752"/>
    <w:rsid w:val="0B1539CE"/>
    <w:rsid w:val="0B1D5084"/>
    <w:rsid w:val="0B201379"/>
    <w:rsid w:val="0B416A28"/>
    <w:rsid w:val="0B585187"/>
    <w:rsid w:val="0B5C5BE2"/>
    <w:rsid w:val="0B6251C3"/>
    <w:rsid w:val="0B950624"/>
    <w:rsid w:val="0BA92DF2"/>
    <w:rsid w:val="0BB15DC9"/>
    <w:rsid w:val="0BCE2F19"/>
    <w:rsid w:val="0BF9150E"/>
    <w:rsid w:val="0C152235"/>
    <w:rsid w:val="0C3B6AC4"/>
    <w:rsid w:val="0C474341"/>
    <w:rsid w:val="0CA635AF"/>
    <w:rsid w:val="0CD34803"/>
    <w:rsid w:val="0CD55E60"/>
    <w:rsid w:val="0D0D2160"/>
    <w:rsid w:val="0D295F98"/>
    <w:rsid w:val="0D515548"/>
    <w:rsid w:val="0D9251C1"/>
    <w:rsid w:val="0DB60ADD"/>
    <w:rsid w:val="0DC96DF6"/>
    <w:rsid w:val="0E1A1D85"/>
    <w:rsid w:val="0E2754CF"/>
    <w:rsid w:val="0E44635D"/>
    <w:rsid w:val="0E4A6988"/>
    <w:rsid w:val="0EB61DD1"/>
    <w:rsid w:val="0EF167B7"/>
    <w:rsid w:val="0F1C5939"/>
    <w:rsid w:val="0F3D5E99"/>
    <w:rsid w:val="0F4E4767"/>
    <w:rsid w:val="0F532E76"/>
    <w:rsid w:val="0F6C7A62"/>
    <w:rsid w:val="0F73522E"/>
    <w:rsid w:val="0F7E3B6C"/>
    <w:rsid w:val="0F862C71"/>
    <w:rsid w:val="0F9C530D"/>
    <w:rsid w:val="0FCE6041"/>
    <w:rsid w:val="0FF34D30"/>
    <w:rsid w:val="1005071D"/>
    <w:rsid w:val="1015129F"/>
    <w:rsid w:val="103E5F4C"/>
    <w:rsid w:val="104420B2"/>
    <w:rsid w:val="10750A53"/>
    <w:rsid w:val="107D1AA2"/>
    <w:rsid w:val="10BB6F63"/>
    <w:rsid w:val="10BC5375"/>
    <w:rsid w:val="10C74325"/>
    <w:rsid w:val="10CB6C16"/>
    <w:rsid w:val="10CD52E9"/>
    <w:rsid w:val="10D266A6"/>
    <w:rsid w:val="10D73E35"/>
    <w:rsid w:val="11362D01"/>
    <w:rsid w:val="11711200"/>
    <w:rsid w:val="11AE0310"/>
    <w:rsid w:val="11B83D80"/>
    <w:rsid w:val="11C44B4E"/>
    <w:rsid w:val="11F254F3"/>
    <w:rsid w:val="11FC1ECD"/>
    <w:rsid w:val="11FD1B40"/>
    <w:rsid w:val="12086043"/>
    <w:rsid w:val="122F7A6E"/>
    <w:rsid w:val="125909D4"/>
    <w:rsid w:val="125B79B2"/>
    <w:rsid w:val="12726E73"/>
    <w:rsid w:val="12757863"/>
    <w:rsid w:val="129A0C1F"/>
    <w:rsid w:val="12AA0BBB"/>
    <w:rsid w:val="12AB744F"/>
    <w:rsid w:val="12C34799"/>
    <w:rsid w:val="12CF34D5"/>
    <w:rsid w:val="13201BEB"/>
    <w:rsid w:val="132A0CBC"/>
    <w:rsid w:val="132F3F4B"/>
    <w:rsid w:val="133A118A"/>
    <w:rsid w:val="13496287"/>
    <w:rsid w:val="136975F6"/>
    <w:rsid w:val="137570CE"/>
    <w:rsid w:val="137B32C6"/>
    <w:rsid w:val="138403CC"/>
    <w:rsid w:val="13DD5551"/>
    <w:rsid w:val="13E53225"/>
    <w:rsid w:val="14373C58"/>
    <w:rsid w:val="14382F65"/>
    <w:rsid w:val="144657A1"/>
    <w:rsid w:val="1466467E"/>
    <w:rsid w:val="149C106A"/>
    <w:rsid w:val="14CB294A"/>
    <w:rsid w:val="15037617"/>
    <w:rsid w:val="1510744B"/>
    <w:rsid w:val="151E204B"/>
    <w:rsid w:val="15237771"/>
    <w:rsid w:val="155444B2"/>
    <w:rsid w:val="155B0F75"/>
    <w:rsid w:val="156264EB"/>
    <w:rsid w:val="157D50D3"/>
    <w:rsid w:val="15843EE0"/>
    <w:rsid w:val="15882221"/>
    <w:rsid w:val="159A6830"/>
    <w:rsid w:val="15DA2289"/>
    <w:rsid w:val="15E50060"/>
    <w:rsid w:val="1628375A"/>
    <w:rsid w:val="162A653D"/>
    <w:rsid w:val="162C5FD5"/>
    <w:rsid w:val="16400369"/>
    <w:rsid w:val="16415F91"/>
    <w:rsid w:val="165F0C7D"/>
    <w:rsid w:val="16763ADD"/>
    <w:rsid w:val="16C268D4"/>
    <w:rsid w:val="16D318C9"/>
    <w:rsid w:val="16E04CAC"/>
    <w:rsid w:val="16EC0C43"/>
    <w:rsid w:val="16F90909"/>
    <w:rsid w:val="170315AD"/>
    <w:rsid w:val="170D78B9"/>
    <w:rsid w:val="171351AA"/>
    <w:rsid w:val="172D48D7"/>
    <w:rsid w:val="175635B5"/>
    <w:rsid w:val="17577696"/>
    <w:rsid w:val="177C00A3"/>
    <w:rsid w:val="178A39A1"/>
    <w:rsid w:val="17AD5CA5"/>
    <w:rsid w:val="17C50FB3"/>
    <w:rsid w:val="17CE5CAE"/>
    <w:rsid w:val="17DF0031"/>
    <w:rsid w:val="17E56F60"/>
    <w:rsid w:val="18116D3D"/>
    <w:rsid w:val="1837690A"/>
    <w:rsid w:val="18376EA7"/>
    <w:rsid w:val="18455C50"/>
    <w:rsid w:val="18464CB5"/>
    <w:rsid w:val="1848415E"/>
    <w:rsid w:val="186E78BE"/>
    <w:rsid w:val="187A06A5"/>
    <w:rsid w:val="18934C0E"/>
    <w:rsid w:val="189D7F1E"/>
    <w:rsid w:val="18AD39EF"/>
    <w:rsid w:val="18BA41CA"/>
    <w:rsid w:val="18C543D1"/>
    <w:rsid w:val="18DD7AF6"/>
    <w:rsid w:val="18ED4079"/>
    <w:rsid w:val="18F6154D"/>
    <w:rsid w:val="18FA572F"/>
    <w:rsid w:val="190470DF"/>
    <w:rsid w:val="19202945"/>
    <w:rsid w:val="192B7E4B"/>
    <w:rsid w:val="192D26F0"/>
    <w:rsid w:val="1943204D"/>
    <w:rsid w:val="1966281A"/>
    <w:rsid w:val="196E2B90"/>
    <w:rsid w:val="197E44AD"/>
    <w:rsid w:val="19C5603E"/>
    <w:rsid w:val="19CA465F"/>
    <w:rsid w:val="19D87C69"/>
    <w:rsid w:val="19EB4EB3"/>
    <w:rsid w:val="19F2207E"/>
    <w:rsid w:val="1A120F80"/>
    <w:rsid w:val="1A18310C"/>
    <w:rsid w:val="1A576950"/>
    <w:rsid w:val="1A6A271D"/>
    <w:rsid w:val="1A7266C2"/>
    <w:rsid w:val="1A734CF7"/>
    <w:rsid w:val="1A7C2E0A"/>
    <w:rsid w:val="1A917985"/>
    <w:rsid w:val="1AA93880"/>
    <w:rsid w:val="1AAB08BD"/>
    <w:rsid w:val="1AB437AE"/>
    <w:rsid w:val="1AB84DFF"/>
    <w:rsid w:val="1AD5775F"/>
    <w:rsid w:val="1B0437FA"/>
    <w:rsid w:val="1B280691"/>
    <w:rsid w:val="1B3847A4"/>
    <w:rsid w:val="1B4841D4"/>
    <w:rsid w:val="1B502218"/>
    <w:rsid w:val="1B6663E8"/>
    <w:rsid w:val="1BA52A47"/>
    <w:rsid w:val="1BB32CA8"/>
    <w:rsid w:val="1BDF0B15"/>
    <w:rsid w:val="1BE57EDE"/>
    <w:rsid w:val="1C1C4F1A"/>
    <w:rsid w:val="1C281B11"/>
    <w:rsid w:val="1C5332C4"/>
    <w:rsid w:val="1C6B0181"/>
    <w:rsid w:val="1C8E6761"/>
    <w:rsid w:val="1CA20812"/>
    <w:rsid w:val="1CAA22CC"/>
    <w:rsid w:val="1CFF2872"/>
    <w:rsid w:val="1D0243C5"/>
    <w:rsid w:val="1D101801"/>
    <w:rsid w:val="1D23317E"/>
    <w:rsid w:val="1D244C53"/>
    <w:rsid w:val="1D5D6353"/>
    <w:rsid w:val="1D7C6239"/>
    <w:rsid w:val="1D7E5E8C"/>
    <w:rsid w:val="1DBC3344"/>
    <w:rsid w:val="1DCF4F46"/>
    <w:rsid w:val="1E061CFD"/>
    <w:rsid w:val="1E366694"/>
    <w:rsid w:val="1E416189"/>
    <w:rsid w:val="1E691BEB"/>
    <w:rsid w:val="1E994962"/>
    <w:rsid w:val="1EA25369"/>
    <w:rsid w:val="1EB12D29"/>
    <w:rsid w:val="1ECB7EC7"/>
    <w:rsid w:val="1EFF2FFD"/>
    <w:rsid w:val="1F086FE1"/>
    <w:rsid w:val="1F0D7232"/>
    <w:rsid w:val="1F1E1A8C"/>
    <w:rsid w:val="1F274B41"/>
    <w:rsid w:val="1F2A044D"/>
    <w:rsid w:val="1F3813D2"/>
    <w:rsid w:val="1F3A77F6"/>
    <w:rsid w:val="1F5A4BC9"/>
    <w:rsid w:val="1F664308"/>
    <w:rsid w:val="1F68119F"/>
    <w:rsid w:val="1FA11597"/>
    <w:rsid w:val="1FDC3C4B"/>
    <w:rsid w:val="20327AAD"/>
    <w:rsid w:val="203D6256"/>
    <w:rsid w:val="20462343"/>
    <w:rsid w:val="204D000B"/>
    <w:rsid w:val="20523BF1"/>
    <w:rsid w:val="205778BE"/>
    <w:rsid w:val="206278FF"/>
    <w:rsid w:val="206C4C94"/>
    <w:rsid w:val="206F6933"/>
    <w:rsid w:val="20AC033A"/>
    <w:rsid w:val="20BD5DD1"/>
    <w:rsid w:val="21221225"/>
    <w:rsid w:val="213D262B"/>
    <w:rsid w:val="214271D1"/>
    <w:rsid w:val="216553C6"/>
    <w:rsid w:val="216B6ABE"/>
    <w:rsid w:val="216E6218"/>
    <w:rsid w:val="217A7948"/>
    <w:rsid w:val="21BA6329"/>
    <w:rsid w:val="21DF0EC4"/>
    <w:rsid w:val="21FD4D5D"/>
    <w:rsid w:val="22005F27"/>
    <w:rsid w:val="22241FCA"/>
    <w:rsid w:val="222C20A9"/>
    <w:rsid w:val="22441BDE"/>
    <w:rsid w:val="22631669"/>
    <w:rsid w:val="22682C67"/>
    <w:rsid w:val="2269145A"/>
    <w:rsid w:val="227F1169"/>
    <w:rsid w:val="22A31F1B"/>
    <w:rsid w:val="22A410E4"/>
    <w:rsid w:val="22AA5B91"/>
    <w:rsid w:val="22D24584"/>
    <w:rsid w:val="233A57F2"/>
    <w:rsid w:val="233C653B"/>
    <w:rsid w:val="233D7220"/>
    <w:rsid w:val="2345208E"/>
    <w:rsid w:val="23556AC8"/>
    <w:rsid w:val="2363106B"/>
    <w:rsid w:val="23C15375"/>
    <w:rsid w:val="23D902C0"/>
    <w:rsid w:val="240920B7"/>
    <w:rsid w:val="243739E8"/>
    <w:rsid w:val="245060A9"/>
    <w:rsid w:val="2454687D"/>
    <w:rsid w:val="247F26EC"/>
    <w:rsid w:val="24855D52"/>
    <w:rsid w:val="24A965D3"/>
    <w:rsid w:val="24C26F00"/>
    <w:rsid w:val="24E54C76"/>
    <w:rsid w:val="24EB3D37"/>
    <w:rsid w:val="25160479"/>
    <w:rsid w:val="252E63EA"/>
    <w:rsid w:val="253E690E"/>
    <w:rsid w:val="254505BC"/>
    <w:rsid w:val="25491DB5"/>
    <w:rsid w:val="256A47F4"/>
    <w:rsid w:val="25730933"/>
    <w:rsid w:val="2573204F"/>
    <w:rsid w:val="25A156C1"/>
    <w:rsid w:val="25D521B8"/>
    <w:rsid w:val="25E365D5"/>
    <w:rsid w:val="25E42554"/>
    <w:rsid w:val="26147F1F"/>
    <w:rsid w:val="2655613E"/>
    <w:rsid w:val="26572059"/>
    <w:rsid w:val="26922254"/>
    <w:rsid w:val="269549C8"/>
    <w:rsid w:val="26A141C0"/>
    <w:rsid w:val="26AD6290"/>
    <w:rsid w:val="26DB434F"/>
    <w:rsid w:val="26EC1B19"/>
    <w:rsid w:val="26F22552"/>
    <w:rsid w:val="26FD1CBB"/>
    <w:rsid w:val="27052941"/>
    <w:rsid w:val="27207FB4"/>
    <w:rsid w:val="27524877"/>
    <w:rsid w:val="277615FD"/>
    <w:rsid w:val="27813AD7"/>
    <w:rsid w:val="27851317"/>
    <w:rsid w:val="27B555F1"/>
    <w:rsid w:val="27D500DB"/>
    <w:rsid w:val="27F563F9"/>
    <w:rsid w:val="281573ED"/>
    <w:rsid w:val="28220A81"/>
    <w:rsid w:val="283C6A98"/>
    <w:rsid w:val="285C501C"/>
    <w:rsid w:val="286F1880"/>
    <w:rsid w:val="28836A4D"/>
    <w:rsid w:val="289A4423"/>
    <w:rsid w:val="28B16480"/>
    <w:rsid w:val="28E1298E"/>
    <w:rsid w:val="290E359A"/>
    <w:rsid w:val="291278CB"/>
    <w:rsid w:val="29151C30"/>
    <w:rsid w:val="29356ABD"/>
    <w:rsid w:val="294C2D87"/>
    <w:rsid w:val="294F4B81"/>
    <w:rsid w:val="29703579"/>
    <w:rsid w:val="29763B68"/>
    <w:rsid w:val="298D7203"/>
    <w:rsid w:val="299F712B"/>
    <w:rsid w:val="29C35873"/>
    <w:rsid w:val="29E324F8"/>
    <w:rsid w:val="2A0F05BC"/>
    <w:rsid w:val="2A1738F0"/>
    <w:rsid w:val="2A402101"/>
    <w:rsid w:val="2A442EC2"/>
    <w:rsid w:val="2A455CC5"/>
    <w:rsid w:val="2A4B359A"/>
    <w:rsid w:val="2A9074F0"/>
    <w:rsid w:val="2AA21EE8"/>
    <w:rsid w:val="2AD43C05"/>
    <w:rsid w:val="2AE2770F"/>
    <w:rsid w:val="2AEB6D0C"/>
    <w:rsid w:val="2B11707A"/>
    <w:rsid w:val="2B2B6F28"/>
    <w:rsid w:val="2B4324C3"/>
    <w:rsid w:val="2B675149"/>
    <w:rsid w:val="2B856638"/>
    <w:rsid w:val="2BAB5F7C"/>
    <w:rsid w:val="2BEF0549"/>
    <w:rsid w:val="2BF00A05"/>
    <w:rsid w:val="2C041C52"/>
    <w:rsid w:val="2C0E5420"/>
    <w:rsid w:val="2C1A1476"/>
    <w:rsid w:val="2C2D0A57"/>
    <w:rsid w:val="2C3D18BF"/>
    <w:rsid w:val="2C4B1138"/>
    <w:rsid w:val="2C5E40DA"/>
    <w:rsid w:val="2C892A75"/>
    <w:rsid w:val="2C9A2B71"/>
    <w:rsid w:val="2CAB2EE9"/>
    <w:rsid w:val="2CDD14B1"/>
    <w:rsid w:val="2CDE6450"/>
    <w:rsid w:val="2CE5734A"/>
    <w:rsid w:val="2CEB6BD6"/>
    <w:rsid w:val="2CF277DE"/>
    <w:rsid w:val="2DD30780"/>
    <w:rsid w:val="2DF11E07"/>
    <w:rsid w:val="2DF31652"/>
    <w:rsid w:val="2DF31A5B"/>
    <w:rsid w:val="2E0A5F9B"/>
    <w:rsid w:val="2E3223C1"/>
    <w:rsid w:val="2E4C4794"/>
    <w:rsid w:val="2E5B19AA"/>
    <w:rsid w:val="2E666463"/>
    <w:rsid w:val="2E6717B6"/>
    <w:rsid w:val="2E705346"/>
    <w:rsid w:val="2E731AFF"/>
    <w:rsid w:val="2E7D2E4C"/>
    <w:rsid w:val="2E8B0409"/>
    <w:rsid w:val="2EDC6EB7"/>
    <w:rsid w:val="2EEE6347"/>
    <w:rsid w:val="2EEF14B5"/>
    <w:rsid w:val="2F0957D2"/>
    <w:rsid w:val="2F2A26AF"/>
    <w:rsid w:val="2F401671"/>
    <w:rsid w:val="2F4351FD"/>
    <w:rsid w:val="2F57478F"/>
    <w:rsid w:val="2F60077D"/>
    <w:rsid w:val="2F6D2F57"/>
    <w:rsid w:val="2F7639C7"/>
    <w:rsid w:val="2F8845CF"/>
    <w:rsid w:val="2FB14268"/>
    <w:rsid w:val="2FB73E7F"/>
    <w:rsid w:val="2FEC5E04"/>
    <w:rsid w:val="2FF104A3"/>
    <w:rsid w:val="2FF817EF"/>
    <w:rsid w:val="302208F9"/>
    <w:rsid w:val="30422295"/>
    <w:rsid w:val="30607673"/>
    <w:rsid w:val="30626D57"/>
    <w:rsid w:val="306C330D"/>
    <w:rsid w:val="306D1792"/>
    <w:rsid w:val="30760C45"/>
    <w:rsid w:val="307750E9"/>
    <w:rsid w:val="3095274E"/>
    <w:rsid w:val="30C14776"/>
    <w:rsid w:val="30CC1F34"/>
    <w:rsid w:val="30D302A8"/>
    <w:rsid w:val="31004D8F"/>
    <w:rsid w:val="31047E9F"/>
    <w:rsid w:val="31293E06"/>
    <w:rsid w:val="3141796D"/>
    <w:rsid w:val="316D1EF3"/>
    <w:rsid w:val="31975150"/>
    <w:rsid w:val="31A02736"/>
    <w:rsid w:val="31D324B3"/>
    <w:rsid w:val="31D53FF5"/>
    <w:rsid w:val="31D62E58"/>
    <w:rsid w:val="31E04411"/>
    <w:rsid w:val="31F03E72"/>
    <w:rsid w:val="3200413E"/>
    <w:rsid w:val="32482786"/>
    <w:rsid w:val="32560CAC"/>
    <w:rsid w:val="325E7570"/>
    <w:rsid w:val="326023B4"/>
    <w:rsid w:val="328C26F8"/>
    <w:rsid w:val="32A44717"/>
    <w:rsid w:val="32B62539"/>
    <w:rsid w:val="32D6528E"/>
    <w:rsid w:val="32F96543"/>
    <w:rsid w:val="331740BE"/>
    <w:rsid w:val="33185E0A"/>
    <w:rsid w:val="332D00A9"/>
    <w:rsid w:val="33437E6D"/>
    <w:rsid w:val="335F00B6"/>
    <w:rsid w:val="33AE70F1"/>
    <w:rsid w:val="33BC59C4"/>
    <w:rsid w:val="33BF7D6B"/>
    <w:rsid w:val="33CA04DD"/>
    <w:rsid w:val="33FD565F"/>
    <w:rsid w:val="340E2517"/>
    <w:rsid w:val="34277353"/>
    <w:rsid w:val="347673D8"/>
    <w:rsid w:val="34AB7131"/>
    <w:rsid w:val="34B52B00"/>
    <w:rsid w:val="34ED6CF6"/>
    <w:rsid w:val="3503410F"/>
    <w:rsid w:val="352C3FC8"/>
    <w:rsid w:val="35441B4F"/>
    <w:rsid w:val="3558228E"/>
    <w:rsid w:val="356A69FB"/>
    <w:rsid w:val="35846D53"/>
    <w:rsid w:val="358D0F0B"/>
    <w:rsid w:val="35A3072E"/>
    <w:rsid w:val="35DD44D1"/>
    <w:rsid w:val="35EB5F2D"/>
    <w:rsid w:val="36114896"/>
    <w:rsid w:val="363210EC"/>
    <w:rsid w:val="364006FE"/>
    <w:rsid w:val="3643179B"/>
    <w:rsid w:val="36731D67"/>
    <w:rsid w:val="368970D2"/>
    <w:rsid w:val="36D41B73"/>
    <w:rsid w:val="36ED5C83"/>
    <w:rsid w:val="36F020EC"/>
    <w:rsid w:val="36F569F4"/>
    <w:rsid w:val="37125F2E"/>
    <w:rsid w:val="372F15D7"/>
    <w:rsid w:val="375A6450"/>
    <w:rsid w:val="3760090F"/>
    <w:rsid w:val="376B4C00"/>
    <w:rsid w:val="37896778"/>
    <w:rsid w:val="37930204"/>
    <w:rsid w:val="37A62F8A"/>
    <w:rsid w:val="37C944FF"/>
    <w:rsid w:val="37CE097B"/>
    <w:rsid w:val="37E07766"/>
    <w:rsid w:val="37E55739"/>
    <w:rsid w:val="38044CD3"/>
    <w:rsid w:val="380B4C44"/>
    <w:rsid w:val="3818191B"/>
    <w:rsid w:val="3819172D"/>
    <w:rsid w:val="382A0C93"/>
    <w:rsid w:val="384764B1"/>
    <w:rsid w:val="3859622F"/>
    <w:rsid w:val="38816775"/>
    <w:rsid w:val="389A274F"/>
    <w:rsid w:val="389E0650"/>
    <w:rsid w:val="38A935FB"/>
    <w:rsid w:val="38C06A8C"/>
    <w:rsid w:val="38D83AB1"/>
    <w:rsid w:val="39785528"/>
    <w:rsid w:val="398163A9"/>
    <w:rsid w:val="398F2A83"/>
    <w:rsid w:val="39975041"/>
    <w:rsid w:val="399A59A4"/>
    <w:rsid w:val="39A13EE2"/>
    <w:rsid w:val="39B10038"/>
    <w:rsid w:val="39D24B22"/>
    <w:rsid w:val="39FB310B"/>
    <w:rsid w:val="3A06303A"/>
    <w:rsid w:val="3A064B49"/>
    <w:rsid w:val="3A206187"/>
    <w:rsid w:val="3A996BF7"/>
    <w:rsid w:val="3AEC4209"/>
    <w:rsid w:val="3AFD75A5"/>
    <w:rsid w:val="3B091EF1"/>
    <w:rsid w:val="3B344071"/>
    <w:rsid w:val="3B5929AE"/>
    <w:rsid w:val="3B806586"/>
    <w:rsid w:val="3B9A6CCE"/>
    <w:rsid w:val="3B9D403E"/>
    <w:rsid w:val="3BA00E76"/>
    <w:rsid w:val="3BF45B6D"/>
    <w:rsid w:val="3BFF21F8"/>
    <w:rsid w:val="3C052939"/>
    <w:rsid w:val="3C146F40"/>
    <w:rsid w:val="3C196084"/>
    <w:rsid w:val="3C40689A"/>
    <w:rsid w:val="3C5E53AF"/>
    <w:rsid w:val="3C6C2B89"/>
    <w:rsid w:val="3CD1792F"/>
    <w:rsid w:val="3D014DE9"/>
    <w:rsid w:val="3D094A62"/>
    <w:rsid w:val="3D2C224E"/>
    <w:rsid w:val="3D366C0B"/>
    <w:rsid w:val="3D6A6EE2"/>
    <w:rsid w:val="3D712564"/>
    <w:rsid w:val="3D7A7FC6"/>
    <w:rsid w:val="3DAD3404"/>
    <w:rsid w:val="3DB20799"/>
    <w:rsid w:val="3DB67171"/>
    <w:rsid w:val="3DBF3F07"/>
    <w:rsid w:val="3DD868D7"/>
    <w:rsid w:val="3E151A9D"/>
    <w:rsid w:val="3E2F7987"/>
    <w:rsid w:val="3E304C89"/>
    <w:rsid w:val="3E3573B4"/>
    <w:rsid w:val="3E6E73FF"/>
    <w:rsid w:val="3E881561"/>
    <w:rsid w:val="3EA66565"/>
    <w:rsid w:val="3EB02CBF"/>
    <w:rsid w:val="3EC07DEB"/>
    <w:rsid w:val="3EF47F62"/>
    <w:rsid w:val="3EFC0D30"/>
    <w:rsid w:val="3EFF2826"/>
    <w:rsid w:val="3EFF3605"/>
    <w:rsid w:val="3F0C576F"/>
    <w:rsid w:val="3F1661AA"/>
    <w:rsid w:val="3F2613EE"/>
    <w:rsid w:val="3F2A466B"/>
    <w:rsid w:val="3F4F66E8"/>
    <w:rsid w:val="3F6410D0"/>
    <w:rsid w:val="3F7F7B16"/>
    <w:rsid w:val="3FB737E4"/>
    <w:rsid w:val="3FEF0026"/>
    <w:rsid w:val="40097066"/>
    <w:rsid w:val="400D30A0"/>
    <w:rsid w:val="40307651"/>
    <w:rsid w:val="40694322"/>
    <w:rsid w:val="407C5F39"/>
    <w:rsid w:val="40884808"/>
    <w:rsid w:val="40A07CC2"/>
    <w:rsid w:val="40ED156C"/>
    <w:rsid w:val="40EE3BC3"/>
    <w:rsid w:val="41704C75"/>
    <w:rsid w:val="41705C05"/>
    <w:rsid w:val="41946430"/>
    <w:rsid w:val="41995549"/>
    <w:rsid w:val="41B67616"/>
    <w:rsid w:val="41C37163"/>
    <w:rsid w:val="41DE67D3"/>
    <w:rsid w:val="42164E83"/>
    <w:rsid w:val="4225435F"/>
    <w:rsid w:val="42315FF1"/>
    <w:rsid w:val="4232235C"/>
    <w:rsid w:val="423E5176"/>
    <w:rsid w:val="425B674B"/>
    <w:rsid w:val="42743EF3"/>
    <w:rsid w:val="42986E09"/>
    <w:rsid w:val="42A5645B"/>
    <w:rsid w:val="42B3755D"/>
    <w:rsid w:val="42C9206C"/>
    <w:rsid w:val="42D315BE"/>
    <w:rsid w:val="42E3660E"/>
    <w:rsid w:val="42F36125"/>
    <w:rsid w:val="42F56B76"/>
    <w:rsid w:val="4315253F"/>
    <w:rsid w:val="431568F3"/>
    <w:rsid w:val="4323087D"/>
    <w:rsid w:val="43273ED1"/>
    <w:rsid w:val="43557CFB"/>
    <w:rsid w:val="436304D9"/>
    <w:rsid w:val="43795CCE"/>
    <w:rsid w:val="437E0A62"/>
    <w:rsid w:val="43990150"/>
    <w:rsid w:val="439A22AD"/>
    <w:rsid w:val="43B446D0"/>
    <w:rsid w:val="43F736B9"/>
    <w:rsid w:val="44007C7B"/>
    <w:rsid w:val="443D36D9"/>
    <w:rsid w:val="444446A9"/>
    <w:rsid w:val="445C6678"/>
    <w:rsid w:val="448A223B"/>
    <w:rsid w:val="44BE7036"/>
    <w:rsid w:val="44C129BA"/>
    <w:rsid w:val="44CE154C"/>
    <w:rsid w:val="44EA40DA"/>
    <w:rsid w:val="44F83341"/>
    <w:rsid w:val="45185E65"/>
    <w:rsid w:val="45800144"/>
    <w:rsid w:val="45B803E4"/>
    <w:rsid w:val="45C43F1F"/>
    <w:rsid w:val="45DC26BC"/>
    <w:rsid w:val="45E160B3"/>
    <w:rsid w:val="46253924"/>
    <w:rsid w:val="462555FD"/>
    <w:rsid w:val="46326D24"/>
    <w:rsid w:val="46347950"/>
    <w:rsid w:val="46380A1F"/>
    <w:rsid w:val="46460AC9"/>
    <w:rsid w:val="4648427E"/>
    <w:rsid w:val="46577392"/>
    <w:rsid w:val="46681A12"/>
    <w:rsid w:val="46723DB8"/>
    <w:rsid w:val="467774AA"/>
    <w:rsid w:val="467A2F96"/>
    <w:rsid w:val="469A2D79"/>
    <w:rsid w:val="46A453B9"/>
    <w:rsid w:val="46BA7686"/>
    <w:rsid w:val="46DD5122"/>
    <w:rsid w:val="46E22739"/>
    <w:rsid w:val="46E3591C"/>
    <w:rsid w:val="47262546"/>
    <w:rsid w:val="478E7C34"/>
    <w:rsid w:val="479A04BF"/>
    <w:rsid w:val="479A139A"/>
    <w:rsid w:val="47A0762B"/>
    <w:rsid w:val="47B1476A"/>
    <w:rsid w:val="47B9163A"/>
    <w:rsid w:val="47E56F93"/>
    <w:rsid w:val="47F374D7"/>
    <w:rsid w:val="47FE3293"/>
    <w:rsid w:val="48002DC4"/>
    <w:rsid w:val="481B1D0B"/>
    <w:rsid w:val="483A1A0B"/>
    <w:rsid w:val="486D24D6"/>
    <w:rsid w:val="48802209"/>
    <w:rsid w:val="488E3D9D"/>
    <w:rsid w:val="48A338CA"/>
    <w:rsid w:val="48B57B29"/>
    <w:rsid w:val="48E02F12"/>
    <w:rsid w:val="48F10973"/>
    <w:rsid w:val="491D766A"/>
    <w:rsid w:val="49295A85"/>
    <w:rsid w:val="4955166A"/>
    <w:rsid w:val="497845A1"/>
    <w:rsid w:val="49956188"/>
    <w:rsid w:val="499B0914"/>
    <w:rsid w:val="49B67F27"/>
    <w:rsid w:val="49DE4346"/>
    <w:rsid w:val="49E01A5C"/>
    <w:rsid w:val="49F95705"/>
    <w:rsid w:val="4A103A3C"/>
    <w:rsid w:val="4A1B7079"/>
    <w:rsid w:val="4A4A1D79"/>
    <w:rsid w:val="4A4E3A26"/>
    <w:rsid w:val="4AA86FDB"/>
    <w:rsid w:val="4AB85A81"/>
    <w:rsid w:val="4AC11649"/>
    <w:rsid w:val="4AD64BDE"/>
    <w:rsid w:val="4AD74352"/>
    <w:rsid w:val="4ADA24C4"/>
    <w:rsid w:val="4AF928CD"/>
    <w:rsid w:val="4B045EDD"/>
    <w:rsid w:val="4B07100C"/>
    <w:rsid w:val="4B0F6DD5"/>
    <w:rsid w:val="4B355C12"/>
    <w:rsid w:val="4B752EB3"/>
    <w:rsid w:val="4B7C1E57"/>
    <w:rsid w:val="4BAA7070"/>
    <w:rsid w:val="4BC4004C"/>
    <w:rsid w:val="4BCE2302"/>
    <w:rsid w:val="4BDE24D9"/>
    <w:rsid w:val="4BE20D9A"/>
    <w:rsid w:val="4BF82E5B"/>
    <w:rsid w:val="4C1C552F"/>
    <w:rsid w:val="4C320465"/>
    <w:rsid w:val="4C5A1638"/>
    <w:rsid w:val="4C654367"/>
    <w:rsid w:val="4C6C7F84"/>
    <w:rsid w:val="4CA70B5A"/>
    <w:rsid w:val="4CB21030"/>
    <w:rsid w:val="4D062129"/>
    <w:rsid w:val="4D156290"/>
    <w:rsid w:val="4D354B46"/>
    <w:rsid w:val="4D3E7059"/>
    <w:rsid w:val="4D677DC8"/>
    <w:rsid w:val="4D721375"/>
    <w:rsid w:val="4D873304"/>
    <w:rsid w:val="4D8B3B2A"/>
    <w:rsid w:val="4DAD35A5"/>
    <w:rsid w:val="4DB43481"/>
    <w:rsid w:val="4DDE16AB"/>
    <w:rsid w:val="4DEE41B6"/>
    <w:rsid w:val="4E155F8C"/>
    <w:rsid w:val="4E1B4F57"/>
    <w:rsid w:val="4E584AB2"/>
    <w:rsid w:val="4E5E2FEC"/>
    <w:rsid w:val="4E6F51FA"/>
    <w:rsid w:val="4E704ACE"/>
    <w:rsid w:val="4E78707B"/>
    <w:rsid w:val="4E78750F"/>
    <w:rsid w:val="4E9422FF"/>
    <w:rsid w:val="4EB8665B"/>
    <w:rsid w:val="4EE44AF7"/>
    <w:rsid w:val="4EE76431"/>
    <w:rsid w:val="4EEF2AAB"/>
    <w:rsid w:val="4EF27ABF"/>
    <w:rsid w:val="4F045263"/>
    <w:rsid w:val="4F1639D2"/>
    <w:rsid w:val="4F5D23F3"/>
    <w:rsid w:val="4F7E3C92"/>
    <w:rsid w:val="4F922B76"/>
    <w:rsid w:val="4F9576D8"/>
    <w:rsid w:val="4FCC3B68"/>
    <w:rsid w:val="4FF530F6"/>
    <w:rsid w:val="502760C4"/>
    <w:rsid w:val="504143E0"/>
    <w:rsid w:val="50695AF9"/>
    <w:rsid w:val="5074349E"/>
    <w:rsid w:val="509230B3"/>
    <w:rsid w:val="50ED0658"/>
    <w:rsid w:val="50F8226A"/>
    <w:rsid w:val="512247A5"/>
    <w:rsid w:val="516E1A0B"/>
    <w:rsid w:val="51AC0513"/>
    <w:rsid w:val="51BB2504"/>
    <w:rsid w:val="51BB58D7"/>
    <w:rsid w:val="51C413B8"/>
    <w:rsid w:val="51EF789D"/>
    <w:rsid w:val="520D2D3C"/>
    <w:rsid w:val="520F2F3A"/>
    <w:rsid w:val="52294519"/>
    <w:rsid w:val="522A6394"/>
    <w:rsid w:val="523B5512"/>
    <w:rsid w:val="5257222D"/>
    <w:rsid w:val="525C605C"/>
    <w:rsid w:val="52683B07"/>
    <w:rsid w:val="528B6D42"/>
    <w:rsid w:val="529154E9"/>
    <w:rsid w:val="52952235"/>
    <w:rsid w:val="52A05C6A"/>
    <w:rsid w:val="52AB1FFC"/>
    <w:rsid w:val="52B07B8F"/>
    <w:rsid w:val="52BC2BC0"/>
    <w:rsid w:val="52E91C35"/>
    <w:rsid w:val="52EB11AD"/>
    <w:rsid w:val="52F428A8"/>
    <w:rsid w:val="531B19D3"/>
    <w:rsid w:val="531E5B94"/>
    <w:rsid w:val="53552D37"/>
    <w:rsid w:val="53582700"/>
    <w:rsid w:val="53584479"/>
    <w:rsid w:val="535D4AFC"/>
    <w:rsid w:val="53B1195F"/>
    <w:rsid w:val="53BA12AA"/>
    <w:rsid w:val="53D53184"/>
    <w:rsid w:val="54114357"/>
    <w:rsid w:val="541A7971"/>
    <w:rsid w:val="545B37F2"/>
    <w:rsid w:val="545C7FCE"/>
    <w:rsid w:val="54602BC2"/>
    <w:rsid w:val="546104E5"/>
    <w:rsid w:val="5485129E"/>
    <w:rsid w:val="549C512B"/>
    <w:rsid w:val="54A02340"/>
    <w:rsid w:val="54B24092"/>
    <w:rsid w:val="54D070B2"/>
    <w:rsid w:val="550365BC"/>
    <w:rsid w:val="551B7A1C"/>
    <w:rsid w:val="556F5979"/>
    <w:rsid w:val="55851C93"/>
    <w:rsid w:val="55C37BD9"/>
    <w:rsid w:val="55CA6245"/>
    <w:rsid w:val="55D37EEE"/>
    <w:rsid w:val="55FD30EB"/>
    <w:rsid w:val="560E3646"/>
    <w:rsid w:val="561005F8"/>
    <w:rsid w:val="56633457"/>
    <w:rsid w:val="568A09C3"/>
    <w:rsid w:val="56EB2AB7"/>
    <w:rsid w:val="570A5ABF"/>
    <w:rsid w:val="57197797"/>
    <w:rsid w:val="57250C88"/>
    <w:rsid w:val="57362D58"/>
    <w:rsid w:val="578F22BF"/>
    <w:rsid w:val="579A72B7"/>
    <w:rsid w:val="57A820B8"/>
    <w:rsid w:val="57C14700"/>
    <w:rsid w:val="57CB0881"/>
    <w:rsid w:val="57CE5826"/>
    <w:rsid w:val="57DB4FA7"/>
    <w:rsid w:val="58146A07"/>
    <w:rsid w:val="581D5EF4"/>
    <w:rsid w:val="583806A4"/>
    <w:rsid w:val="585B5580"/>
    <w:rsid w:val="585D3491"/>
    <w:rsid w:val="58681733"/>
    <w:rsid w:val="58724BEF"/>
    <w:rsid w:val="588F5045"/>
    <w:rsid w:val="589C6C5E"/>
    <w:rsid w:val="5901747E"/>
    <w:rsid w:val="59047B05"/>
    <w:rsid w:val="590A269E"/>
    <w:rsid w:val="592775EE"/>
    <w:rsid w:val="592E1460"/>
    <w:rsid w:val="59300276"/>
    <w:rsid w:val="59340884"/>
    <w:rsid w:val="597B210D"/>
    <w:rsid w:val="59B7576D"/>
    <w:rsid w:val="59B80B7D"/>
    <w:rsid w:val="59CD1542"/>
    <w:rsid w:val="59D53CDF"/>
    <w:rsid w:val="59D83250"/>
    <w:rsid w:val="59DB48BC"/>
    <w:rsid w:val="5A19222C"/>
    <w:rsid w:val="5A410DEF"/>
    <w:rsid w:val="5A5717E8"/>
    <w:rsid w:val="5A744056"/>
    <w:rsid w:val="5A850901"/>
    <w:rsid w:val="5AB0141B"/>
    <w:rsid w:val="5ACD687D"/>
    <w:rsid w:val="5AD760BB"/>
    <w:rsid w:val="5B2523E0"/>
    <w:rsid w:val="5B2B46E8"/>
    <w:rsid w:val="5B316E66"/>
    <w:rsid w:val="5B7420A1"/>
    <w:rsid w:val="5B87543D"/>
    <w:rsid w:val="5BEA5669"/>
    <w:rsid w:val="5C112C8C"/>
    <w:rsid w:val="5C304DC9"/>
    <w:rsid w:val="5C3348B7"/>
    <w:rsid w:val="5C3B4F3C"/>
    <w:rsid w:val="5C3E7FB9"/>
    <w:rsid w:val="5C4035E3"/>
    <w:rsid w:val="5C5F565F"/>
    <w:rsid w:val="5C6C4B26"/>
    <w:rsid w:val="5C700ABB"/>
    <w:rsid w:val="5C8F27B1"/>
    <w:rsid w:val="5CBD0034"/>
    <w:rsid w:val="5CCB5CF1"/>
    <w:rsid w:val="5CDD2AD5"/>
    <w:rsid w:val="5D0068FA"/>
    <w:rsid w:val="5D221E8A"/>
    <w:rsid w:val="5D2260D4"/>
    <w:rsid w:val="5D454258"/>
    <w:rsid w:val="5D613110"/>
    <w:rsid w:val="5D6C6D3E"/>
    <w:rsid w:val="5D810AA5"/>
    <w:rsid w:val="5DD15589"/>
    <w:rsid w:val="5DE336CE"/>
    <w:rsid w:val="5E035AB6"/>
    <w:rsid w:val="5E160396"/>
    <w:rsid w:val="5E26552F"/>
    <w:rsid w:val="5E2B7841"/>
    <w:rsid w:val="5E344FC5"/>
    <w:rsid w:val="5E351B01"/>
    <w:rsid w:val="5E651806"/>
    <w:rsid w:val="5E7E0365"/>
    <w:rsid w:val="5E804EE6"/>
    <w:rsid w:val="5E812ADB"/>
    <w:rsid w:val="5E977D01"/>
    <w:rsid w:val="5EA467FA"/>
    <w:rsid w:val="5F7A57AC"/>
    <w:rsid w:val="5F863725"/>
    <w:rsid w:val="5FAC5E68"/>
    <w:rsid w:val="5FB26B5A"/>
    <w:rsid w:val="5FBC6942"/>
    <w:rsid w:val="5FCA236A"/>
    <w:rsid w:val="5FE227FA"/>
    <w:rsid w:val="5FE7666D"/>
    <w:rsid w:val="5FEF6F25"/>
    <w:rsid w:val="6026609A"/>
    <w:rsid w:val="60714E01"/>
    <w:rsid w:val="60725285"/>
    <w:rsid w:val="60781E13"/>
    <w:rsid w:val="60871B56"/>
    <w:rsid w:val="608E59B3"/>
    <w:rsid w:val="60980C3C"/>
    <w:rsid w:val="60C53737"/>
    <w:rsid w:val="60CC2C4D"/>
    <w:rsid w:val="60EF0A8D"/>
    <w:rsid w:val="60FF2B7C"/>
    <w:rsid w:val="60FF62DF"/>
    <w:rsid w:val="61094995"/>
    <w:rsid w:val="612E2869"/>
    <w:rsid w:val="612E2CF2"/>
    <w:rsid w:val="616C24E5"/>
    <w:rsid w:val="61987590"/>
    <w:rsid w:val="619F5696"/>
    <w:rsid w:val="61BB22C0"/>
    <w:rsid w:val="61F70FC1"/>
    <w:rsid w:val="62283278"/>
    <w:rsid w:val="62433C31"/>
    <w:rsid w:val="624A4F9B"/>
    <w:rsid w:val="625F4306"/>
    <w:rsid w:val="62612837"/>
    <w:rsid w:val="62691FB2"/>
    <w:rsid w:val="62786C90"/>
    <w:rsid w:val="62830E1C"/>
    <w:rsid w:val="629D1EDE"/>
    <w:rsid w:val="62A464D7"/>
    <w:rsid w:val="62C834DA"/>
    <w:rsid w:val="62CF5E0F"/>
    <w:rsid w:val="635B489A"/>
    <w:rsid w:val="6362482E"/>
    <w:rsid w:val="63777971"/>
    <w:rsid w:val="637A7E9C"/>
    <w:rsid w:val="63913BC6"/>
    <w:rsid w:val="63AD0D28"/>
    <w:rsid w:val="63B155E5"/>
    <w:rsid w:val="63B17911"/>
    <w:rsid w:val="63B25D18"/>
    <w:rsid w:val="63BE417F"/>
    <w:rsid w:val="63D2399F"/>
    <w:rsid w:val="63EB7F19"/>
    <w:rsid w:val="63EE3A42"/>
    <w:rsid w:val="63F7561D"/>
    <w:rsid w:val="63FE447D"/>
    <w:rsid w:val="6417161F"/>
    <w:rsid w:val="6421269A"/>
    <w:rsid w:val="643F7174"/>
    <w:rsid w:val="646066CB"/>
    <w:rsid w:val="648B2611"/>
    <w:rsid w:val="6498121D"/>
    <w:rsid w:val="64A12B24"/>
    <w:rsid w:val="64AB7E82"/>
    <w:rsid w:val="652A6A68"/>
    <w:rsid w:val="652F7E35"/>
    <w:rsid w:val="6533068B"/>
    <w:rsid w:val="657C09AF"/>
    <w:rsid w:val="65965A19"/>
    <w:rsid w:val="65D83441"/>
    <w:rsid w:val="65EB594C"/>
    <w:rsid w:val="65FB0446"/>
    <w:rsid w:val="65FE3CE7"/>
    <w:rsid w:val="6643082D"/>
    <w:rsid w:val="66434B4A"/>
    <w:rsid w:val="665A00E6"/>
    <w:rsid w:val="66682C5B"/>
    <w:rsid w:val="66701E6B"/>
    <w:rsid w:val="667A7810"/>
    <w:rsid w:val="667C084F"/>
    <w:rsid w:val="668C7745"/>
    <w:rsid w:val="66CF52B8"/>
    <w:rsid w:val="66F37708"/>
    <w:rsid w:val="67100262"/>
    <w:rsid w:val="676052D9"/>
    <w:rsid w:val="67670D0C"/>
    <w:rsid w:val="67827569"/>
    <w:rsid w:val="6784541A"/>
    <w:rsid w:val="679450E9"/>
    <w:rsid w:val="67C866CE"/>
    <w:rsid w:val="67D555DB"/>
    <w:rsid w:val="67DD2D7C"/>
    <w:rsid w:val="67EB1CB1"/>
    <w:rsid w:val="68145369"/>
    <w:rsid w:val="681B1BA2"/>
    <w:rsid w:val="68336E40"/>
    <w:rsid w:val="6836610D"/>
    <w:rsid w:val="68380D39"/>
    <w:rsid w:val="683C0A1E"/>
    <w:rsid w:val="6840775A"/>
    <w:rsid w:val="68456DDE"/>
    <w:rsid w:val="68491692"/>
    <w:rsid w:val="68910767"/>
    <w:rsid w:val="68A239A5"/>
    <w:rsid w:val="68A55ED8"/>
    <w:rsid w:val="68E63EB3"/>
    <w:rsid w:val="690B1BE4"/>
    <w:rsid w:val="690E20AE"/>
    <w:rsid w:val="691514B3"/>
    <w:rsid w:val="69231F5F"/>
    <w:rsid w:val="69574B58"/>
    <w:rsid w:val="695E1DBF"/>
    <w:rsid w:val="695E4DF9"/>
    <w:rsid w:val="699A107E"/>
    <w:rsid w:val="699D00EA"/>
    <w:rsid w:val="69BE6266"/>
    <w:rsid w:val="69C97F5F"/>
    <w:rsid w:val="69EA088E"/>
    <w:rsid w:val="69EB0C0C"/>
    <w:rsid w:val="69FC0A1E"/>
    <w:rsid w:val="6A215046"/>
    <w:rsid w:val="6A2647EA"/>
    <w:rsid w:val="6A3D342E"/>
    <w:rsid w:val="6A4436AB"/>
    <w:rsid w:val="6A47165E"/>
    <w:rsid w:val="6A4E4A0A"/>
    <w:rsid w:val="6A525925"/>
    <w:rsid w:val="6A73352C"/>
    <w:rsid w:val="6A957ED9"/>
    <w:rsid w:val="6A9B5E95"/>
    <w:rsid w:val="6AA23091"/>
    <w:rsid w:val="6AA90BE8"/>
    <w:rsid w:val="6ABD796C"/>
    <w:rsid w:val="6AF0552D"/>
    <w:rsid w:val="6AF2584B"/>
    <w:rsid w:val="6B122264"/>
    <w:rsid w:val="6B1E174A"/>
    <w:rsid w:val="6B492C89"/>
    <w:rsid w:val="6B8224A1"/>
    <w:rsid w:val="6BB05D76"/>
    <w:rsid w:val="6BC013F5"/>
    <w:rsid w:val="6C4933FE"/>
    <w:rsid w:val="6C4F4DC7"/>
    <w:rsid w:val="6C5E4DE1"/>
    <w:rsid w:val="6C6E32C2"/>
    <w:rsid w:val="6C877B02"/>
    <w:rsid w:val="6CC93AB8"/>
    <w:rsid w:val="6CDA5745"/>
    <w:rsid w:val="6CEF2BCF"/>
    <w:rsid w:val="6CF036EC"/>
    <w:rsid w:val="6D025C3C"/>
    <w:rsid w:val="6D174D35"/>
    <w:rsid w:val="6D273E64"/>
    <w:rsid w:val="6D2A2528"/>
    <w:rsid w:val="6D4562C7"/>
    <w:rsid w:val="6D4D2752"/>
    <w:rsid w:val="6D663427"/>
    <w:rsid w:val="6D7B2E1B"/>
    <w:rsid w:val="6D987178"/>
    <w:rsid w:val="6D9B8D21"/>
    <w:rsid w:val="6D9C05B5"/>
    <w:rsid w:val="6D9E65C9"/>
    <w:rsid w:val="6DA57E98"/>
    <w:rsid w:val="6DD537B4"/>
    <w:rsid w:val="6E1042BF"/>
    <w:rsid w:val="6EA03090"/>
    <w:rsid w:val="6EC73A56"/>
    <w:rsid w:val="6EEB2223"/>
    <w:rsid w:val="6F1B6513"/>
    <w:rsid w:val="6F224B16"/>
    <w:rsid w:val="6F241291"/>
    <w:rsid w:val="6F257866"/>
    <w:rsid w:val="6F2661AC"/>
    <w:rsid w:val="6F2D6868"/>
    <w:rsid w:val="6F2F65B3"/>
    <w:rsid w:val="6F59718C"/>
    <w:rsid w:val="6F5B45DD"/>
    <w:rsid w:val="6F716A1C"/>
    <w:rsid w:val="6F9957DB"/>
    <w:rsid w:val="6FE510D4"/>
    <w:rsid w:val="6FE5137E"/>
    <w:rsid w:val="6FED5B27"/>
    <w:rsid w:val="6FEF0F0C"/>
    <w:rsid w:val="7020411E"/>
    <w:rsid w:val="70683A7E"/>
    <w:rsid w:val="70BB63A7"/>
    <w:rsid w:val="70D26290"/>
    <w:rsid w:val="70DF5CA5"/>
    <w:rsid w:val="70FC2A83"/>
    <w:rsid w:val="711801BB"/>
    <w:rsid w:val="711A7F8C"/>
    <w:rsid w:val="711D0DFE"/>
    <w:rsid w:val="715D7E77"/>
    <w:rsid w:val="71CD0B09"/>
    <w:rsid w:val="71D74F26"/>
    <w:rsid w:val="71E95169"/>
    <w:rsid w:val="71EA7040"/>
    <w:rsid w:val="72292A73"/>
    <w:rsid w:val="722E79BF"/>
    <w:rsid w:val="723A0135"/>
    <w:rsid w:val="72597208"/>
    <w:rsid w:val="72664129"/>
    <w:rsid w:val="727D60AE"/>
    <w:rsid w:val="7291630A"/>
    <w:rsid w:val="72CD0114"/>
    <w:rsid w:val="72E66750"/>
    <w:rsid w:val="72E725EE"/>
    <w:rsid w:val="73187DC8"/>
    <w:rsid w:val="73214D46"/>
    <w:rsid w:val="733566E9"/>
    <w:rsid w:val="73471A70"/>
    <w:rsid w:val="735934DF"/>
    <w:rsid w:val="739E7864"/>
    <w:rsid w:val="73AB5C78"/>
    <w:rsid w:val="73AD3D0D"/>
    <w:rsid w:val="73B166A3"/>
    <w:rsid w:val="73B238EA"/>
    <w:rsid w:val="73B27945"/>
    <w:rsid w:val="73C56E5F"/>
    <w:rsid w:val="73F26A5C"/>
    <w:rsid w:val="7400407A"/>
    <w:rsid w:val="74096F68"/>
    <w:rsid w:val="741713C4"/>
    <w:rsid w:val="744B4DE3"/>
    <w:rsid w:val="745C1190"/>
    <w:rsid w:val="74925052"/>
    <w:rsid w:val="74B15781"/>
    <w:rsid w:val="74B53B32"/>
    <w:rsid w:val="74C11864"/>
    <w:rsid w:val="74D05D4E"/>
    <w:rsid w:val="74E24A63"/>
    <w:rsid w:val="75240BBC"/>
    <w:rsid w:val="7533222E"/>
    <w:rsid w:val="75D51F38"/>
    <w:rsid w:val="75FE489F"/>
    <w:rsid w:val="7611392E"/>
    <w:rsid w:val="76471976"/>
    <w:rsid w:val="76512FF9"/>
    <w:rsid w:val="765B6822"/>
    <w:rsid w:val="76861007"/>
    <w:rsid w:val="768D35EF"/>
    <w:rsid w:val="768E0F6F"/>
    <w:rsid w:val="76A75B69"/>
    <w:rsid w:val="76AA651F"/>
    <w:rsid w:val="76BC3E6F"/>
    <w:rsid w:val="76C3673C"/>
    <w:rsid w:val="76E131F8"/>
    <w:rsid w:val="76E75814"/>
    <w:rsid w:val="76F36118"/>
    <w:rsid w:val="7711714B"/>
    <w:rsid w:val="771F6F0D"/>
    <w:rsid w:val="772E7150"/>
    <w:rsid w:val="7736476E"/>
    <w:rsid w:val="77383FCD"/>
    <w:rsid w:val="77385865"/>
    <w:rsid w:val="774509A1"/>
    <w:rsid w:val="776D0FAA"/>
    <w:rsid w:val="77931242"/>
    <w:rsid w:val="77AD7E13"/>
    <w:rsid w:val="77D14613"/>
    <w:rsid w:val="77E05D51"/>
    <w:rsid w:val="77E141C3"/>
    <w:rsid w:val="7808479F"/>
    <w:rsid w:val="78174088"/>
    <w:rsid w:val="78194328"/>
    <w:rsid w:val="783C3895"/>
    <w:rsid w:val="78422918"/>
    <w:rsid w:val="784E048A"/>
    <w:rsid w:val="785C1DD4"/>
    <w:rsid w:val="787066BF"/>
    <w:rsid w:val="787F2C56"/>
    <w:rsid w:val="78850C13"/>
    <w:rsid w:val="78884D24"/>
    <w:rsid w:val="789254BD"/>
    <w:rsid w:val="78A80DA0"/>
    <w:rsid w:val="78AB42EA"/>
    <w:rsid w:val="78CF29FB"/>
    <w:rsid w:val="78DE5ADD"/>
    <w:rsid w:val="78E748A6"/>
    <w:rsid w:val="78F82E92"/>
    <w:rsid w:val="78FD18D5"/>
    <w:rsid w:val="78FE526C"/>
    <w:rsid w:val="792B7DEB"/>
    <w:rsid w:val="79450781"/>
    <w:rsid w:val="794D72B0"/>
    <w:rsid w:val="7959404F"/>
    <w:rsid w:val="799404F4"/>
    <w:rsid w:val="79E306C6"/>
    <w:rsid w:val="7A126587"/>
    <w:rsid w:val="7A1873B3"/>
    <w:rsid w:val="7A1D2BEE"/>
    <w:rsid w:val="7A35441B"/>
    <w:rsid w:val="7A40715D"/>
    <w:rsid w:val="7A4E2702"/>
    <w:rsid w:val="7A540C7C"/>
    <w:rsid w:val="7A5612CF"/>
    <w:rsid w:val="7A95040A"/>
    <w:rsid w:val="7A9F2B71"/>
    <w:rsid w:val="7AA470EB"/>
    <w:rsid w:val="7AAE6942"/>
    <w:rsid w:val="7AB83901"/>
    <w:rsid w:val="7AD853DF"/>
    <w:rsid w:val="7AEE7031"/>
    <w:rsid w:val="7AF96A92"/>
    <w:rsid w:val="7AFB790B"/>
    <w:rsid w:val="7AFC4C9E"/>
    <w:rsid w:val="7B37348A"/>
    <w:rsid w:val="7B6F3CC4"/>
    <w:rsid w:val="7B762E1F"/>
    <w:rsid w:val="7B9779B1"/>
    <w:rsid w:val="7B993B87"/>
    <w:rsid w:val="7BA95E51"/>
    <w:rsid w:val="7BAC48DE"/>
    <w:rsid w:val="7BCC6F48"/>
    <w:rsid w:val="7BD02CD9"/>
    <w:rsid w:val="7BD41310"/>
    <w:rsid w:val="7BF64EDB"/>
    <w:rsid w:val="7C036DFE"/>
    <w:rsid w:val="7C3C40BE"/>
    <w:rsid w:val="7C4B2553"/>
    <w:rsid w:val="7C4D696A"/>
    <w:rsid w:val="7C650BD3"/>
    <w:rsid w:val="7C7375A2"/>
    <w:rsid w:val="7C80044E"/>
    <w:rsid w:val="7CA52C7C"/>
    <w:rsid w:val="7CA57EB5"/>
    <w:rsid w:val="7CB400F8"/>
    <w:rsid w:val="7CC768B4"/>
    <w:rsid w:val="7CD30B7D"/>
    <w:rsid w:val="7CDD506A"/>
    <w:rsid w:val="7D126F35"/>
    <w:rsid w:val="7D1B4125"/>
    <w:rsid w:val="7D1F1777"/>
    <w:rsid w:val="7D23773A"/>
    <w:rsid w:val="7D270829"/>
    <w:rsid w:val="7D2E6092"/>
    <w:rsid w:val="7D443468"/>
    <w:rsid w:val="7D79338D"/>
    <w:rsid w:val="7D8B70AB"/>
    <w:rsid w:val="7D99490E"/>
    <w:rsid w:val="7DA31E12"/>
    <w:rsid w:val="7DAC6685"/>
    <w:rsid w:val="7DC91348"/>
    <w:rsid w:val="7DCA3CB5"/>
    <w:rsid w:val="7E1853DE"/>
    <w:rsid w:val="7E1C3F62"/>
    <w:rsid w:val="7E2C5AEE"/>
    <w:rsid w:val="7E2D1F10"/>
    <w:rsid w:val="7E33329E"/>
    <w:rsid w:val="7E374B3D"/>
    <w:rsid w:val="7E404A2E"/>
    <w:rsid w:val="7E47369A"/>
    <w:rsid w:val="7E7755E0"/>
    <w:rsid w:val="7E7D5CB9"/>
    <w:rsid w:val="7EAE5170"/>
    <w:rsid w:val="7EB672AA"/>
    <w:rsid w:val="7EBB5B4C"/>
    <w:rsid w:val="7EC543CC"/>
    <w:rsid w:val="7ECB34D7"/>
    <w:rsid w:val="7EE7166F"/>
    <w:rsid w:val="7EE76221"/>
    <w:rsid w:val="7F0B00B5"/>
    <w:rsid w:val="7F1B445E"/>
    <w:rsid w:val="7F3D62C8"/>
    <w:rsid w:val="7F4D213E"/>
    <w:rsid w:val="7F582C29"/>
    <w:rsid w:val="7F73228D"/>
    <w:rsid w:val="7F991773"/>
    <w:rsid w:val="7FA8308A"/>
    <w:rsid w:val="7FAE5F92"/>
    <w:rsid w:val="7FB616B0"/>
    <w:rsid w:val="7FB977D3"/>
    <w:rsid w:val="7FF63759"/>
    <w:rsid w:val="9FE81BFB"/>
    <w:rsid w:val="B2C91EFB"/>
    <w:rsid w:val="B3DE70CB"/>
    <w:rsid w:val="BBAA0C53"/>
    <w:rsid w:val="BCEF9D5B"/>
    <w:rsid w:val="BDEBA3E3"/>
    <w:rsid w:val="BEA76F03"/>
    <w:rsid w:val="C7EDDC38"/>
    <w:rsid w:val="D23F1257"/>
    <w:rsid w:val="D977931B"/>
    <w:rsid w:val="DDDED2A5"/>
    <w:rsid w:val="DFBABDA8"/>
    <w:rsid w:val="ED3F1197"/>
    <w:rsid w:val="EEFDC5F5"/>
    <w:rsid w:val="EFD49623"/>
    <w:rsid w:val="F7FF4957"/>
    <w:rsid w:val="F9CB3D59"/>
    <w:rsid w:val="FE45331A"/>
    <w:rsid w:val="FFD7DBE8"/>
    <w:rsid w:val="FFEFEE7C"/>
    <w:rsid w:val="FFF38D5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nhideWhenUsed="0" w:uiPriority="1" w:semiHidden="0" w:name="heading 9"/>
    <w:lsdException w:uiPriority="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uiPriority="0" w:name="toc 1"/>
    <w:lsdException w:qFormat="1" w:unhideWhenUsed="0" w:uiPriority="99" w:semiHidden="0" w:name="toc 2"/>
    <w:lsdException w:uiPriority="0" w:name="toc 3"/>
    <w:lsdException w:uiPriority="0" w:name="toc 4"/>
    <w:lsdException w:uiPriority="0" w:name="toc 5"/>
    <w:lsdException w:qFormat="1" w:unhideWhenUsed="0" w:uiPriority="39"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4"/>
    <w:qFormat/>
    <w:uiPriority w:val="9"/>
    <w:pPr>
      <w:keepNext/>
      <w:keepLines/>
      <w:numPr>
        <w:ilvl w:val="0"/>
        <w:numId w:val="1"/>
      </w:numPr>
      <w:spacing w:before="60" w:after="60"/>
      <w:ind w:firstLine="0"/>
      <w:jc w:val="center"/>
      <w:outlineLvl w:val="0"/>
    </w:pPr>
    <w:rPr>
      <w:b/>
      <w:bCs/>
      <w:kern w:val="44"/>
      <w:sz w:val="44"/>
      <w:szCs w:val="44"/>
    </w:rPr>
  </w:style>
  <w:style w:type="paragraph" w:styleId="4">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5">
    <w:name w:val="heading 3"/>
    <w:basedOn w:val="1"/>
    <w:next w:val="1"/>
    <w:qFormat/>
    <w:uiPriority w:val="0"/>
    <w:pPr>
      <w:keepNext/>
      <w:keepLines/>
      <w:tabs>
        <w:tab w:val="left" w:pos="8280"/>
      </w:tabs>
      <w:spacing w:before="260" w:after="260" w:line="416" w:lineRule="auto"/>
      <w:outlineLvl w:val="2"/>
    </w:pPr>
    <w:rPr>
      <w:bCs/>
      <w:szCs w:val="32"/>
    </w:rPr>
  </w:style>
  <w:style w:type="paragraph" w:styleId="2">
    <w:name w:val="heading 4"/>
    <w:basedOn w:val="1"/>
    <w:next w:val="1"/>
    <w:qFormat/>
    <w:uiPriority w:val="0"/>
    <w:pPr>
      <w:keepNext/>
      <w:keepLines/>
      <w:numPr>
        <w:ilvl w:val="3"/>
        <w:numId w:val="2"/>
      </w:numPr>
      <w:tabs>
        <w:tab w:val="left" w:pos="0"/>
      </w:tabs>
      <w:adjustRightInd w:val="0"/>
      <w:snapToGrid w:val="0"/>
      <w:ind w:left="0" w:firstLine="0"/>
      <w:outlineLvl w:val="3"/>
    </w:pPr>
    <w:rPr>
      <w:rFonts w:ascii="Calibri" w:hAnsi="Calibri" w:eastAsia="宋体" w:cs="Times New Roman"/>
      <w:b/>
      <w:sz w:val="24"/>
      <w:lang w:val="en-US" w:eastAsia="zh-CN" w:bidi="ar-SA"/>
    </w:rPr>
  </w:style>
  <w:style w:type="paragraph" w:styleId="6">
    <w:name w:val="heading 5"/>
    <w:next w:val="1"/>
    <w:qFormat/>
    <w:uiPriority w:val="0"/>
    <w:pPr>
      <w:keepNext/>
      <w:keepLines/>
      <w:numPr>
        <w:ilvl w:val="4"/>
        <w:numId w:val="2"/>
      </w:numPr>
      <w:spacing w:line="360" w:lineRule="auto"/>
      <w:ind w:left="0" w:firstLine="0"/>
      <w:outlineLvl w:val="4"/>
    </w:pPr>
    <w:rPr>
      <w:rFonts w:ascii="Times New Roman" w:hAnsi="Times New Roman" w:eastAsia="宋体" w:cs="Times New Roman"/>
      <w:b/>
      <w:sz w:val="24"/>
      <w:lang w:val="en-US" w:eastAsia="zh-CN" w:bidi="ar-SA"/>
    </w:rPr>
  </w:style>
  <w:style w:type="paragraph" w:styleId="7">
    <w:name w:val="heading 9"/>
    <w:basedOn w:val="1"/>
    <w:next w:val="1"/>
    <w:qFormat/>
    <w:uiPriority w:val="1"/>
    <w:pPr>
      <w:spacing w:before="70"/>
      <w:ind w:left="673"/>
      <w:outlineLvl w:val="8"/>
    </w:pPr>
    <w:rPr>
      <w:rFonts w:ascii="仿宋" w:hAnsi="仿宋" w:eastAsia="仿宋" w:cs="仿宋"/>
      <w:b/>
      <w:bCs/>
      <w:sz w:val="21"/>
      <w:szCs w:val="21"/>
      <w:lang w:val="zh-CN" w:eastAsia="zh-CN" w:bidi="zh-CN"/>
    </w:rPr>
  </w:style>
  <w:style w:type="character" w:default="1" w:styleId="29">
    <w:name w:val="Default Paragraph Font"/>
    <w:semiHidden/>
    <w:unhideWhenUsed/>
    <w:qFormat/>
    <w:uiPriority w:val="1"/>
  </w:style>
  <w:style w:type="table" w:default="1" w:styleId="27">
    <w:name w:val="Normal Table"/>
    <w:semiHidden/>
    <w:unhideWhenUsed/>
    <w:qFormat/>
    <w:uiPriority w:val="99"/>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8">
    <w:name w:val="List Number"/>
    <w:basedOn w:val="1"/>
    <w:qFormat/>
    <w:uiPriority w:val="0"/>
    <w:pPr>
      <w:numPr>
        <w:ilvl w:val="0"/>
        <w:numId w:val="3"/>
      </w:numPr>
    </w:pPr>
  </w:style>
  <w:style w:type="paragraph" w:styleId="9">
    <w:name w:val="Normal Indent"/>
    <w:basedOn w:val="1"/>
    <w:next w:val="1"/>
    <w:qFormat/>
    <w:uiPriority w:val="0"/>
    <w:pPr>
      <w:ind w:firstLine="420"/>
    </w:pPr>
    <w:rPr>
      <w:szCs w:val="20"/>
    </w:rPr>
  </w:style>
  <w:style w:type="paragraph" w:styleId="10">
    <w:name w:val="index 5"/>
    <w:basedOn w:val="1"/>
    <w:next w:val="1"/>
    <w:qFormat/>
    <w:uiPriority w:val="0"/>
    <w:pPr>
      <w:ind w:left="800" w:leftChars="800"/>
    </w:pPr>
  </w:style>
  <w:style w:type="paragraph" w:styleId="11">
    <w:name w:val="annotation text"/>
    <w:basedOn w:val="1"/>
    <w:qFormat/>
    <w:uiPriority w:val="0"/>
    <w:pPr>
      <w:jc w:val="left"/>
    </w:pPr>
  </w:style>
  <w:style w:type="paragraph" w:styleId="12">
    <w:name w:val="Body Text"/>
    <w:basedOn w:val="1"/>
    <w:next w:val="13"/>
    <w:link w:val="68"/>
    <w:qFormat/>
    <w:uiPriority w:val="0"/>
    <w:pPr>
      <w:spacing w:line="360" w:lineRule="exact"/>
    </w:pPr>
    <w:rPr>
      <w:sz w:val="24"/>
    </w:rPr>
  </w:style>
  <w:style w:type="paragraph" w:styleId="13">
    <w:name w:val="Body Text First Indent"/>
    <w:basedOn w:val="12"/>
    <w:next w:val="14"/>
    <w:link w:val="72"/>
    <w:qFormat/>
    <w:uiPriority w:val="0"/>
    <w:pPr>
      <w:ind w:firstLine="200" w:firstLineChars="200"/>
    </w:pPr>
  </w:style>
  <w:style w:type="paragraph" w:styleId="14">
    <w:name w:val="toc 6"/>
    <w:basedOn w:val="1"/>
    <w:next w:val="1"/>
    <w:qFormat/>
    <w:uiPriority w:val="39"/>
    <w:pPr>
      <w:widowControl/>
      <w:ind w:left="1000"/>
      <w:jc w:val="left"/>
    </w:pPr>
    <w:rPr>
      <w:kern w:val="0"/>
      <w:sz w:val="18"/>
      <w:szCs w:val="20"/>
    </w:rPr>
  </w:style>
  <w:style w:type="paragraph" w:styleId="15">
    <w:name w:val="Body Text Indent"/>
    <w:basedOn w:val="1"/>
    <w:next w:val="1"/>
    <w:link w:val="66"/>
    <w:qFormat/>
    <w:uiPriority w:val="0"/>
    <w:pPr>
      <w:spacing w:after="120"/>
      <w:ind w:left="420" w:leftChars="200"/>
    </w:pPr>
  </w:style>
  <w:style w:type="paragraph" w:styleId="16">
    <w:name w:val="Plain Text"/>
    <w:basedOn w:val="1"/>
    <w:next w:val="17"/>
    <w:link w:val="70"/>
    <w:qFormat/>
    <w:uiPriority w:val="0"/>
    <w:rPr>
      <w:rFonts w:ascii="宋体" w:hAnsi="Courier New" w:cs="宋体"/>
    </w:rPr>
  </w:style>
  <w:style w:type="paragraph" w:styleId="17">
    <w:name w:val="Date"/>
    <w:basedOn w:val="1"/>
    <w:next w:val="1"/>
    <w:link w:val="69"/>
    <w:qFormat/>
    <w:uiPriority w:val="0"/>
    <w:pPr>
      <w:ind w:left="2500" w:leftChars="2500"/>
    </w:pPr>
    <w:rPr>
      <w:rFonts w:ascii="Calibri" w:hAnsi="Calibri" w:eastAsia="楷体_GB2312" w:cs="宋体"/>
      <w:sz w:val="32"/>
      <w:szCs w:val="22"/>
    </w:rPr>
  </w:style>
  <w:style w:type="paragraph" w:styleId="18">
    <w:name w:val="Body Text Indent 2"/>
    <w:basedOn w:val="1"/>
    <w:qFormat/>
    <w:uiPriority w:val="0"/>
    <w:pPr>
      <w:spacing w:after="120" w:line="480" w:lineRule="auto"/>
      <w:ind w:left="420" w:leftChars="200"/>
    </w:pPr>
    <w:rPr>
      <w:rFonts w:ascii="Calibri" w:hAnsi="Calibri"/>
    </w:rPr>
  </w:style>
  <w:style w:type="paragraph" w:styleId="19">
    <w:name w:val="Balloon Text"/>
    <w:basedOn w:val="1"/>
    <w:link w:val="59"/>
    <w:qFormat/>
    <w:uiPriority w:val="0"/>
    <w:rPr>
      <w:sz w:val="18"/>
      <w:szCs w:val="18"/>
    </w:rPr>
  </w:style>
  <w:style w:type="paragraph" w:styleId="20">
    <w:name w:val="footer"/>
    <w:basedOn w:val="1"/>
    <w:qFormat/>
    <w:uiPriority w:val="0"/>
    <w:pPr>
      <w:tabs>
        <w:tab w:val="center" w:pos="4153"/>
        <w:tab w:val="right" w:pos="8306"/>
      </w:tabs>
      <w:snapToGrid w:val="0"/>
      <w:jc w:val="left"/>
    </w:pPr>
    <w:rPr>
      <w:sz w:val="18"/>
    </w:rPr>
  </w:style>
  <w:style w:type="paragraph" w:styleId="2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2">
    <w:name w:val="toc 2"/>
    <w:basedOn w:val="1"/>
    <w:next w:val="1"/>
    <w:qFormat/>
    <w:uiPriority w:val="99"/>
    <w:pPr>
      <w:tabs>
        <w:tab w:val="right" w:leader="dot" w:pos="9170"/>
      </w:tabs>
      <w:ind w:left="210" w:firstLine="150"/>
      <w:jc w:val="left"/>
    </w:pPr>
    <w:rPr>
      <w:smallCaps/>
      <w:sz w:val="20"/>
      <w:szCs w:val="20"/>
    </w:rPr>
  </w:style>
  <w:style w:type="paragraph" w:styleId="23">
    <w:name w:val="Body Text 2"/>
    <w:basedOn w:val="1"/>
    <w:next w:val="1"/>
    <w:qFormat/>
    <w:uiPriority w:val="0"/>
    <w:pPr>
      <w:spacing w:after="120" w:line="480" w:lineRule="auto"/>
    </w:pPr>
    <w:rPr>
      <w:sz w:val="24"/>
    </w:rPr>
  </w:style>
  <w:style w:type="paragraph" w:styleId="24">
    <w:name w:val="Normal (Web)"/>
    <w:basedOn w:val="1"/>
    <w:next w:val="22"/>
    <w:qFormat/>
    <w:uiPriority w:val="0"/>
    <w:pPr>
      <w:widowControl/>
      <w:spacing w:before="100" w:beforeAutospacing="1" w:after="100" w:afterAutospacing="1"/>
      <w:jc w:val="left"/>
    </w:pPr>
    <w:rPr>
      <w:rFonts w:hint="eastAsia" w:ascii="宋体" w:hAnsi="宋体"/>
      <w:kern w:val="0"/>
      <w:sz w:val="24"/>
    </w:rPr>
  </w:style>
  <w:style w:type="paragraph" w:styleId="25">
    <w:name w:val="Title"/>
    <w:basedOn w:val="1"/>
    <w:next w:val="1"/>
    <w:qFormat/>
    <w:uiPriority w:val="0"/>
    <w:pPr>
      <w:widowControl/>
      <w:overflowPunct w:val="0"/>
      <w:autoSpaceDE w:val="0"/>
      <w:autoSpaceDN w:val="0"/>
      <w:adjustRightInd w:val="0"/>
      <w:jc w:val="center"/>
      <w:textAlignment w:val="baseline"/>
    </w:pPr>
    <w:rPr>
      <w:b/>
      <w:kern w:val="0"/>
      <w:sz w:val="24"/>
      <w:lang w:val="en-GB"/>
    </w:rPr>
  </w:style>
  <w:style w:type="paragraph" w:styleId="26">
    <w:name w:val="Body Text First Indent 2"/>
    <w:basedOn w:val="15"/>
    <w:next w:val="1"/>
    <w:link w:val="67"/>
    <w:qFormat/>
    <w:uiPriority w:val="0"/>
    <w:pPr>
      <w:ind w:firstLine="420"/>
    </w:pPr>
  </w:style>
  <w:style w:type="table" w:styleId="28">
    <w:name w:val="Table Grid"/>
    <w:basedOn w:val="27"/>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
  </w:style>
  <w:style w:type="character" w:styleId="30">
    <w:name w:val="Strong"/>
    <w:basedOn w:val="29"/>
    <w:qFormat/>
    <w:uiPriority w:val="0"/>
    <w:rPr>
      <w:b/>
    </w:rPr>
  </w:style>
  <w:style w:type="character" w:styleId="31">
    <w:name w:val="FollowedHyperlink"/>
    <w:basedOn w:val="29"/>
    <w:qFormat/>
    <w:uiPriority w:val="0"/>
    <w:rPr>
      <w:color w:val="800080"/>
      <w:u w:val="single"/>
    </w:rPr>
  </w:style>
  <w:style w:type="character" w:styleId="32">
    <w:name w:val="Emphasis"/>
    <w:basedOn w:val="29"/>
    <w:qFormat/>
    <w:uiPriority w:val="0"/>
    <w:rPr>
      <w:i/>
    </w:rPr>
  </w:style>
  <w:style w:type="character" w:styleId="33">
    <w:name w:val="Hyperlink"/>
    <w:qFormat/>
    <w:uiPriority w:val="0"/>
    <w:rPr>
      <w:color w:val="0000FF"/>
      <w:u w:val="single"/>
    </w:rPr>
  </w:style>
  <w:style w:type="character" w:styleId="34">
    <w:name w:val="annotation reference"/>
    <w:basedOn w:val="29"/>
    <w:qFormat/>
    <w:uiPriority w:val="0"/>
    <w:rPr>
      <w:sz w:val="21"/>
      <w:szCs w:val="21"/>
    </w:rPr>
  </w:style>
  <w:style w:type="paragraph" w:customStyle="1" w:styleId="35">
    <w:name w:val="[Normal]"/>
    <w:qFormat/>
    <w:uiPriority w:val="0"/>
    <w:rPr>
      <w:rFonts w:ascii="宋体" w:hAnsi="宋体" w:eastAsia="宋体" w:cs="Times New Roman"/>
      <w:sz w:val="24"/>
      <w:szCs w:val="22"/>
      <w:lang w:val="zh-CN" w:eastAsia="zh-CN" w:bidi="ar-SA"/>
    </w:rPr>
  </w:style>
  <w:style w:type="paragraph" w:customStyle="1" w:styleId="36">
    <w:name w:val="无间隔1"/>
    <w:qFormat/>
    <w:uiPriority w:val="99"/>
    <w:pPr>
      <w:adjustRightInd w:val="0"/>
      <w:snapToGrid w:val="0"/>
    </w:pPr>
    <w:rPr>
      <w:rFonts w:ascii="Tahoma" w:hAnsi="Tahoma" w:eastAsia="微软雅黑" w:cs="宋体"/>
      <w:sz w:val="22"/>
      <w:szCs w:val="22"/>
      <w:lang w:val="en-US" w:eastAsia="zh-CN" w:bidi="ar-SA"/>
    </w:rPr>
  </w:style>
  <w:style w:type="paragraph" w:styleId="37">
    <w:name w:val="List Paragraph"/>
    <w:basedOn w:val="1"/>
    <w:qFormat/>
    <w:uiPriority w:val="34"/>
    <w:pPr>
      <w:ind w:firstLine="420" w:firstLineChars="200"/>
    </w:pPr>
    <w:rPr>
      <w:rFonts w:ascii="Calibri" w:hAnsi="Calibri"/>
      <w:szCs w:val="22"/>
    </w:rPr>
  </w:style>
  <w:style w:type="paragraph" w:customStyle="1" w:styleId="38">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39">
    <w:name w:val="无间隔11"/>
    <w:qFormat/>
    <w:uiPriority w:val="0"/>
    <w:pPr>
      <w:adjustRightInd w:val="0"/>
      <w:snapToGrid w:val="0"/>
    </w:pPr>
    <w:rPr>
      <w:rFonts w:ascii="Tahoma" w:hAnsi="Tahoma" w:eastAsia="微软雅黑" w:cs="宋体"/>
      <w:sz w:val="22"/>
      <w:szCs w:val="22"/>
      <w:lang w:val="en-US" w:eastAsia="zh-CN" w:bidi="ar-SA"/>
    </w:rPr>
  </w:style>
  <w:style w:type="paragraph" w:customStyle="1" w:styleId="40">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41">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正文_14"/>
    <w:qFormat/>
    <w:uiPriority w:val="0"/>
    <w:rPr>
      <w:rFonts w:ascii="Times New Roman" w:hAnsi="Times New Roman" w:eastAsia="宋体" w:cs="Times New Roman"/>
      <w:sz w:val="21"/>
      <w:szCs w:val="22"/>
      <w:lang w:val="en-US" w:eastAsia="zh-CN" w:bidi="ar-SA"/>
    </w:rPr>
  </w:style>
  <w:style w:type="paragraph" w:customStyle="1" w:styleId="4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5">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纯文本_3"/>
    <w:basedOn w:val="45"/>
    <w:qFormat/>
    <w:uiPriority w:val="0"/>
    <w:pPr>
      <w:widowControl/>
      <w:jc w:val="left"/>
    </w:pPr>
    <w:rPr>
      <w:rFonts w:ascii="宋体" w:hAnsi="Courier New" w:cs="宋体"/>
      <w:szCs w:val="21"/>
    </w:rPr>
  </w:style>
  <w:style w:type="paragraph" w:customStyle="1" w:styleId="47">
    <w:name w:val="纯文本_0_1"/>
    <w:basedOn w:val="1"/>
    <w:qFormat/>
    <w:uiPriority w:val="0"/>
    <w:pPr>
      <w:widowControl/>
      <w:jc w:val="left"/>
    </w:pPr>
    <w:rPr>
      <w:rFonts w:ascii="宋体" w:hAnsi="Courier New" w:cs="宋体"/>
      <w:szCs w:val="21"/>
    </w:rPr>
  </w:style>
  <w:style w:type="paragraph" w:customStyle="1" w:styleId="48">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1">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52">
    <w:name w:val="font21"/>
    <w:basedOn w:val="29"/>
    <w:qFormat/>
    <w:uiPriority w:val="0"/>
    <w:rPr>
      <w:rFonts w:hint="default" w:ascii="Arial" w:hAnsi="Arial" w:cs="Arial"/>
      <w:color w:val="000000"/>
      <w:sz w:val="20"/>
      <w:szCs w:val="20"/>
      <w:u w:val="none"/>
    </w:rPr>
  </w:style>
  <w:style w:type="character" w:customStyle="1" w:styleId="53">
    <w:name w:val="font01"/>
    <w:basedOn w:val="29"/>
    <w:qFormat/>
    <w:uiPriority w:val="0"/>
    <w:rPr>
      <w:rFonts w:hint="eastAsia" w:ascii="宋体" w:hAnsi="宋体" w:eastAsia="宋体" w:cs="宋体"/>
      <w:color w:val="000000"/>
      <w:sz w:val="20"/>
      <w:szCs w:val="20"/>
      <w:u w:val="none"/>
    </w:rPr>
  </w:style>
  <w:style w:type="paragraph" w:customStyle="1" w:styleId="54">
    <w:name w:val="纯文本1"/>
    <w:basedOn w:val="55"/>
    <w:qFormat/>
    <w:uiPriority w:val="0"/>
    <w:pPr>
      <w:widowControl/>
      <w:jc w:val="left"/>
    </w:pPr>
    <w:rPr>
      <w:rFonts w:ascii="宋体" w:hAnsi="Courier New"/>
    </w:rPr>
  </w:style>
  <w:style w:type="paragraph" w:customStyle="1" w:styleId="55">
    <w:name w:val="正文1"/>
    <w:next w:val="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6">
    <w:name w:val="Table Paragraph"/>
    <w:basedOn w:val="1"/>
    <w:qFormat/>
    <w:uiPriority w:val="1"/>
    <w:rPr>
      <w:rFonts w:ascii="宋体" w:hAnsi="宋体" w:cs="宋体"/>
    </w:rPr>
  </w:style>
  <w:style w:type="paragraph" w:customStyle="1" w:styleId="57">
    <w:name w:val="WPSOffice手动目录 1"/>
    <w:qFormat/>
    <w:uiPriority w:val="0"/>
    <w:rPr>
      <w:rFonts w:ascii="Times New Roman" w:hAnsi="Times New Roman" w:eastAsia="宋体" w:cs="Times New Roman"/>
      <w:lang w:val="en-US" w:eastAsia="zh-CN" w:bidi="ar-SA"/>
    </w:rPr>
  </w:style>
  <w:style w:type="character" w:customStyle="1" w:styleId="58">
    <w:name w:val="标题 1 Char Char"/>
    <w:basedOn w:val="29"/>
    <w:qFormat/>
    <w:uiPriority w:val="0"/>
    <w:rPr>
      <w:rFonts w:eastAsia="宋体"/>
      <w:b/>
      <w:spacing w:val="-2"/>
      <w:sz w:val="24"/>
      <w:lang w:val="en-US" w:eastAsia="zh-CN" w:bidi="ar-SA"/>
    </w:rPr>
  </w:style>
  <w:style w:type="character" w:customStyle="1" w:styleId="59">
    <w:name w:val="批注框文本 字符"/>
    <w:basedOn w:val="29"/>
    <w:link w:val="19"/>
    <w:qFormat/>
    <w:uiPriority w:val="0"/>
    <w:rPr>
      <w:kern w:val="2"/>
      <w:sz w:val="18"/>
      <w:szCs w:val="18"/>
    </w:rPr>
  </w:style>
  <w:style w:type="character" w:customStyle="1" w:styleId="60">
    <w:name w:val="NormalCharacter"/>
    <w:qFormat/>
    <w:uiPriority w:val="0"/>
  </w:style>
  <w:style w:type="paragraph" w:customStyle="1" w:styleId="61">
    <w:name w:val="NormalIndent"/>
    <w:basedOn w:val="1"/>
    <w:qFormat/>
    <w:uiPriority w:val="0"/>
    <w:pPr>
      <w:ind w:firstLine="420"/>
    </w:pPr>
    <w:rPr>
      <w:szCs w:val="20"/>
    </w:rPr>
  </w:style>
  <w:style w:type="paragraph" w:customStyle="1" w:styleId="62">
    <w:name w:val="表格文字"/>
    <w:basedOn w:val="16"/>
    <w:next w:val="12"/>
    <w:qFormat/>
    <w:uiPriority w:val="0"/>
    <w:rPr>
      <w:rFonts w:ascii="Arial" w:hAnsi="Arial"/>
      <w:szCs w:val="21"/>
    </w:rPr>
  </w:style>
  <w:style w:type="paragraph" w:customStyle="1" w:styleId="63">
    <w:name w:val="MY正文"/>
    <w:basedOn w:val="1"/>
    <w:qFormat/>
    <w:uiPriority w:val="0"/>
    <w:pPr>
      <w:spacing w:line="360" w:lineRule="auto"/>
      <w:ind w:firstLine="200" w:firstLineChars="200"/>
    </w:pPr>
    <w:rPr>
      <w:sz w:val="24"/>
    </w:rPr>
  </w:style>
  <w:style w:type="paragraph" w:customStyle="1" w:styleId="64">
    <w:name w:val="默认段落字体 Para Char Char Char Char Char Char Char Char Char1 Char Char Char Char"/>
    <w:basedOn w:val="1"/>
    <w:qFormat/>
    <w:uiPriority w:val="0"/>
    <w:rPr>
      <w:rFonts w:ascii="Tahoma" w:hAnsi="Tahoma"/>
      <w:sz w:val="24"/>
      <w:szCs w:val="20"/>
    </w:rPr>
  </w:style>
  <w:style w:type="paragraph" w:customStyle="1" w:styleId="65">
    <w:name w:val="正文2"/>
    <w:qFormat/>
    <w:uiPriority w:val="0"/>
    <w:pPr>
      <w:jc w:val="both"/>
    </w:pPr>
    <w:rPr>
      <w:rFonts w:ascii="Calibri" w:hAnsi="Calibri" w:eastAsia="宋体" w:cs="Calibri"/>
      <w:kern w:val="2"/>
      <w:sz w:val="21"/>
      <w:szCs w:val="21"/>
      <w:lang w:val="en-US" w:eastAsia="zh-CN" w:bidi="ar-SA"/>
    </w:rPr>
  </w:style>
  <w:style w:type="character" w:customStyle="1" w:styleId="66">
    <w:name w:val="正文文本缩进 Char"/>
    <w:basedOn w:val="29"/>
    <w:link w:val="15"/>
    <w:qFormat/>
    <w:uiPriority w:val="0"/>
    <w:rPr>
      <w:kern w:val="2"/>
      <w:sz w:val="21"/>
      <w:szCs w:val="24"/>
    </w:rPr>
  </w:style>
  <w:style w:type="character" w:customStyle="1" w:styleId="67">
    <w:name w:val="正文首行缩进 2 Char"/>
    <w:basedOn w:val="66"/>
    <w:link w:val="26"/>
    <w:qFormat/>
    <w:uiPriority w:val="0"/>
    <w:rPr>
      <w:kern w:val="2"/>
      <w:sz w:val="21"/>
      <w:szCs w:val="24"/>
    </w:rPr>
  </w:style>
  <w:style w:type="character" w:customStyle="1" w:styleId="68">
    <w:name w:val="正文文本 Char"/>
    <w:basedOn w:val="29"/>
    <w:link w:val="12"/>
    <w:qFormat/>
    <w:uiPriority w:val="0"/>
    <w:rPr>
      <w:rFonts w:hint="default" w:ascii="Calibri" w:hAnsi="Calibri" w:cs="Calibri"/>
      <w:kern w:val="2"/>
      <w:sz w:val="21"/>
      <w:szCs w:val="24"/>
    </w:rPr>
  </w:style>
  <w:style w:type="character" w:customStyle="1" w:styleId="69">
    <w:name w:val="日期 Char"/>
    <w:basedOn w:val="29"/>
    <w:link w:val="17"/>
    <w:qFormat/>
    <w:uiPriority w:val="0"/>
    <w:rPr>
      <w:rFonts w:hint="default" w:ascii="Calibri" w:hAnsi="Calibri" w:eastAsia="楷体_GB2312" w:cs="Times New Roman"/>
      <w:kern w:val="2"/>
      <w:sz w:val="32"/>
      <w:szCs w:val="22"/>
    </w:rPr>
  </w:style>
  <w:style w:type="character" w:customStyle="1" w:styleId="70">
    <w:name w:val="纯文本 Char"/>
    <w:basedOn w:val="29"/>
    <w:link w:val="16"/>
    <w:qFormat/>
    <w:uiPriority w:val="0"/>
    <w:rPr>
      <w:rFonts w:hint="eastAsia" w:ascii="宋体" w:hAnsi="Courier New" w:eastAsia="宋体" w:cs="Times New Roman"/>
      <w:kern w:val="2"/>
      <w:sz w:val="21"/>
      <w:szCs w:val="24"/>
    </w:rPr>
  </w:style>
  <w:style w:type="paragraph" w:customStyle="1" w:styleId="71">
    <w:name w:val="表内文字"/>
    <w:basedOn w:val="1"/>
    <w:qFormat/>
    <w:uiPriority w:val="0"/>
    <w:pPr>
      <w:keepNext w:val="0"/>
      <w:keepLines w:val="0"/>
      <w:widowControl w:val="0"/>
      <w:suppressLineNumbers w:val="0"/>
      <w:spacing w:before="0" w:beforeAutospacing="0" w:after="0" w:afterAutospacing="0"/>
      <w:ind w:left="0" w:right="0"/>
      <w:jc w:val="center"/>
    </w:pPr>
    <w:rPr>
      <w:rFonts w:hint="eastAsia" w:ascii="宋体" w:hAnsi="Times New Roman" w:eastAsia="宋体" w:cs="Times New Roman"/>
      <w:bCs/>
      <w:color w:val="000000"/>
      <w:kern w:val="21"/>
      <w:sz w:val="18"/>
      <w:szCs w:val="21"/>
      <w:lang w:val="en-US" w:eastAsia="zh-CN" w:bidi="ar"/>
    </w:rPr>
  </w:style>
  <w:style w:type="character" w:customStyle="1" w:styleId="72">
    <w:name w:val="正文首行缩进 Char"/>
    <w:link w:val="13"/>
    <w:qFormat/>
    <w:uiPriority w:val="0"/>
    <w:rPr>
      <w:kern w:val="2"/>
      <w:sz w:val="21"/>
      <w:szCs w:val="24"/>
    </w:rPr>
  </w:style>
  <w:style w:type="paragraph" w:customStyle="1" w:styleId="73">
    <w:name w:val="公文"/>
    <w:basedOn w:val="1"/>
    <w:qFormat/>
    <w:uiPriority w:val="0"/>
    <w:pPr>
      <w:keepNext w:val="0"/>
      <w:keepLines w:val="0"/>
      <w:widowControl w:val="0"/>
      <w:suppressLineNumbers w:val="0"/>
      <w:spacing w:before="0" w:beforeAutospacing="0" w:after="0" w:afterAutospacing="0"/>
      <w:ind w:left="0" w:right="0" w:firstLine="640" w:firstLineChars="200"/>
      <w:jc w:val="both"/>
    </w:pPr>
    <w:rPr>
      <w:rFonts w:hint="eastAsia" w:ascii="仿宋_GB2312" w:hAnsi="仿宋_GB2312" w:eastAsia="仿宋_GB2312" w:cs="Times New Roman"/>
      <w:kern w:val="2"/>
      <w:sz w:val="32"/>
      <w:szCs w:val="24"/>
      <w:lang w:val="en-US" w:eastAsia="zh-CN" w:bidi="ar"/>
    </w:rPr>
  </w:style>
  <w:style w:type="character" w:customStyle="1" w:styleId="74">
    <w:name w:val="标题 1 Char"/>
    <w:link w:val="3"/>
    <w:qFormat/>
    <w:uiPriority w:val="0"/>
    <w:rPr>
      <w:b/>
      <w:bCs/>
      <w:kern w:val="44"/>
      <w:sz w:val="44"/>
      <w:szCs w:val="44"/>
    </w:rPr>
  </w:style>
  <w:style w:type="paragraph" w:customStyle="1" w:styleId="75">
    <w:name w:val="投标正文"/>
    <w:basedOn w:val="1"/>
    <w:qFormat/>
    <w:uiPriority w:val="0"/>
    <w:pPr>
      <w:ind w:firstLine="425" w:firstLineChars="177"/>
    </w:pPr>
    <w:rPr>
      <w:sz w:val="24"/>
      <w:szCs w:val="24"/>
    </w:rPr>
  </w:style>
  <w:style w:type="paragraph" w:customStyle="1" w:styleId="76">
    <w:name w:val="_Style 1"/>
    <w:basedOn w:val="1"/>
    <w:next w:val="1"/>
    <w:qFormat/>
    <w:uiPriority w:val="0"/>
    <w:pPr>
      <w:pBdr>
        <w:bottom w:val="single" w:color="auto" w:sz="6" w:space="1"/>
      </w:pBdr>
      <w:jc w:val="center"/>
    </w:pPr>
    <w:rPr>
      <w:rFonts w:ascii="Arial"/>
      <w:vanish/>
      <w:sz w:val="16"/>
    </w:rPr>
  </w:style>
  <w:style w:type="paragraph" w:customStyle="1" w:styleId="77">
    <w:name w:val="Plain Text"/>
    <w:basedOn w:val="1"/>
    <w:qFormat/>
    <w:uiPriority w:val="0"/>
    <w:pPr>
      <w:widowControl/>
      <w:adjustRightInd w:val="0"/>
      <w:jc w:val="left"/>
      <w:textAlignment w:val="baseline"/>
    </w:pPr>
    <w:rPr>
      <w:rFonts w:ascii="宋体" w:hAnsi="Courier New" w:eastAsia="楷体_GB2312"/>
      <w:kern w:val="0"/>
      <w:sz w:val="26"/>
      <w:szCs w:val="20"/>
    </w:rPr>
  </w:style>
  <w:style w:type="paragraph" w:customStyle="1" w:styleId="78">
    <w:name w:val="正文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
    <w:name w:val="Char Char Char Char1"/>
    <w:basedOn w:val="1"/>
    <w:qFormat/>
    <w:uiPriority w:val="0"/>
  </w:style>
  <w:style w:type="paragraph" w:customStyle="1" w:styleId="80">
    <w:name w:val="首行缩进"/>
    <w:basedOn w:val="1"/>
    <w:qFormat/>
    <w:uiPriority w:val="0"/>
    <w:rPr>
      <w:lang w:val="zh-CN"/>
    </w:rPr>
  </w:style>
  <w:style w:type="paragraph" w:customStyle="1" w:styleId="81">
    <w:name w:val="样式1"/>
    <w:basedOn w:val="1"/>
    <w:qFormat/>
    <w:uiPriority w:val="0"/>
    <w:pPr>
      <w:snapToGrid w:val="0"/>
      <w:spacing w:line="400" w:lineRule="atLeast"/>
      <w:ind w:firstLine="200" w:firstLineChars="200"/>
    </w:pPr>
    <w:rPr>
      <w:rFonts w:ascii="宋体" w:hAnsi="宋体"/>
      <w:kern w:val="0"/>
      <w:szCs w:val="21"/>
      <w:lang w:val="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72</Pages>
  <Words>42270</Words>
  <Characters>44399</Characters>
  <Lines>256</Lines>
  <Paragraphs>72</Paragraphs>
  <TotalTime>50</TotalTime>
  <ScaleCrop>false</ScaleCrop>
  <LinksUpToDate>false</LinksUpToDate>
  <CharactersWithSpaces>48369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2021-02-10T01:06:00Z</dcterms:created>
  <dc:creator>Thorpe521</dc:creator>
  <cp:lastModifiedBy>东&amp;天的风</cp:lastModifiedBy>
  <cp:lastPrinted>2023-04-23T02:32:00Z</cp:lastPrinted>
  <dcterms:modified xsi:type="dcterms:W3CDTF">2023-06-19T07:10:28Z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891837818D9A499C97535407329D91E5</vt:lpwstr>
  </property>
  <property fmtid="{D5CDD505-2E9C-101B-9397-08002B2CF9AE}" pid="4" name="woTemplateTypoMode" linkTarget="0">
    <vt:lpwstr>web</vt:lpwstr>
  </property>
  <property fmtid="{D5CDD505-2E9C-101B-9397-08002B2CF9AE}" pid="5" name="woTemplate" linkTarget="0">
    <vt:i4>1</vt:i4>
  </property>
</Properties>
</file>